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B2C76A">
      <w:pPr>
        <w:pStyle w:val="36"/>
        <w:spacing w:line="240" w:lineRule="atLeast"/>
        <w:jc w:val="center"/>
        <w:rPr>
          <w:rFonts w:ascii="黑体" w:eastAsia="黑体" w:cs="宋体"/>
          <w:b/>
          <w:color w:val="auto"/>
          <w:sz w:val="15"/>
          <w:szCs w:val="15"/>
          <w:highlight w:val="none"/>
        </w:rPr>
      </w:pPr>
    </w:p>
    <w:p w14:paraId="7BE71BBD">
      <w:pPr>
        <w:pStyle w:val="36"/>
        <w:spacing w:line="240" w:lineRule="atLeast"/>
        <w:jc w:val="center"/>
        <w:rPr>
          <w:rFonts w:ascii="黑体" w:eastAsia="黑体" w:cs="宋体"/>
          <w:b/>
          <w:color w:val="auto"/>
          <w:sz w:val="15"/>
          <w:szCs w:val="15"/>
          <w:highlight w:val="none"/>
        </w:rPr>
      </w:pPr>
    </w:p>
    <w:p w14:paraId="42407254">
      <w:pPr>
        <w:jc w:val="center"/>
        <w:rPr>
          <w:rFonts w:ascii="黑体" w:hAnsi="宋体" w:eastAsia="黑体" w:cs="宋体"/>
          <w:b/>
          <w:color w:val="auto"/>
          <w:kern w:val="0"/>
          <w:sz w:val="15"/>
          <w:szCs w:val="15"/>
          <w:highlight w:val="none"/>
        </w:rPr>
      </w:pPr>
    </w:p>
    <w:p w14:paraId="32265E62">
      <w:pPr>
        <w:jc w:val="center"/>
        <w:rPr>
          <w:rFonts w:ascii="黑体" w:hAnsi="宋体" w:eastAsia="黑体" w:cs="宋体"/>
          <w:b/>
          <w:color w:val="auto"/>
          <w:kern w:val="0"/>
          <w:sz w:val="15"/>
          <w:szCs w:val="15"/>
          <w:highlight w:val="none"/>
        </w:rPr>
      </w:pPr>
    </w:p>
    <w:p w14:paraId="6F18180C">
      <w:pPr>
        <w:jc w:val="center"/>
        <w:rPr>
          <w:rFonts w:hint="default" w:ascii="微软雅黑" w:hAnsi="微软雅黑" w:eastAsia="微软雅黑" w:cs="微软雅黑"/>
          <w:b/>
          <w:color w:val="auto"/>
          <w:spacing w:val="-6"/>
          <w:sz w:val="36"/>
          <w:szCs w:val="36"/>
          <w:highlight w:val="none"/>
          <w:lang w:val="en-US" w:eastAsia="zh-CN"/>
        </w:rPr>
      </w:pPr>
      <w:r>
        <w:rPr>
          <w:rFonts w:hint="default" w:ascii="微软雅黑" w:hAnsi="微软雅黑" w:eastAsia="微软雅黑" w:cs="微软雅黑"/>
          <w:b/>
          <w:color w:val="auto"/>
          <w:spacing w:val="-6"/>
          <w:sz w:val="36"/>
          <w:szCs w:val="36"/>
          <w:highlight w:val="none"/>
          <w:lang w:val="en-US" w:eastAsia="zh-CN"/>
        </w:rPr>
        <w:t>长春市宽城区医院异地建设项目柴油发电机采购与安装</w:t>
      </w:r>
    </w:p>
    <w:p w14:paraId="4750EC9B">
      <w:pPr>
        <w:jc w:val="center"/>
        <w:rPr>
          <w:rFonts w:hint="eastAsia" w:ascii="微软雅黑" w:hAnsi="微软雅黑" w:eastAsia="微软雅黑" w:cs="微软雅黑"/>
          <w:b/>
          <w:color w:val="auto"/>
          <w:spacing w:val="-6"/>
          <w:sz w:val="44"/>
          <w:szCs w:val="44"/>
          <w:highlight w:val="none"/>
        </w:rPr>
      </w:pPr>
    </w:p>
    <w:p w14:paraId="04C00465">
      <w:pPr>
        <w:jc w:val="center"/>
        <w:rPr>
          <w:rFonts w:ascii="黑体" w:eastAsia="黑体"/>
          <w:b/>
          <w:bCs/>
          <w:color w:val="auto"/>
          <w:sz w:val="100"/>
          <w:szCs w:val="100"/>
          <w:highlight w:val="none"/>
        </w:rPr>
      </w:pPr>
    </w:p>
    <w:p w14:paraId="2FB6FE23">
      <w:pPr>
        <w:jc w:val="center"/>
        <w:rPr>
          <w:rFonts w:ascii="黑体" w:eastAsia="黑体"/>
          <w:b/>
          <w:bCs/>
          <w:color w:val="auto"/>
          <w:sz w:val="96"/>
          <w:szCs w:val="96"/>
          <w:highlight w:val="none"/>
        </w:rPr>
      </w:pPr>
      <w:r>
        <w:rPr>
          <w:rFonts w:hint="eastAsia" w:ascii="方正小标宋简体" w:hAnsi="方正小标宋简体" w:eastAsia="方正小标宋简体" w:cs="方正小标宋简体"/>
          <w:b w:val="0"/>
          <w:bCs w:val="0"/>
          <w:color w:val="auto"/>
          <w:sz w:val="96"/>
          <w:szCs w:val="96"/>
          <w:highlight w:val="none"/>
        </w:rPr>
        <w:t>竞争性磋商文件</w:t>
      </w:r>
    </w:p>
    <w:p w14:paraId="0A0FC067">
      <w:pPr>
        <w:adjustRightInd w:val="0"/>
        <w:spacing w:line="360" w:lineRule="auto"/>
        <w:jc w:val="center"/>
        <w:rPr>
          <w:rFonts w:ascii="黑体" w:hAnsi="宋体" w:eastAsia="黑体" w:cs="宋体"/>
          <w:b/>
          <w:color w:val="auto"/>
          <w:sz w:val="32"/>
          <w:szCs w:val="32"/>
          <w:highlight w:val="none"/>
        </w:rPr>
      </w:pPr>
    </w:p>
    <w:p w14:paraId="6E66CBF0">
      <w:pPr>
        <w:spacing w:afterLines="100" w:line="480" w:lineRule="auto"/>
        <w:jc w:val="center"/>
        <w:rPr>
          <w:rFonts w:hint="eastAsia" w:ascii="黑体" w:hAnsi="宋体" w:eastAsia="黑体"/>
          <w:b/>
          <w:color w:val="auto"/>
          <w:sz w:val="32"/>
          <w:szCs w:val="32"/>
          <w:highlight w:val="none"/>
          <w:lang w:val="zh-CN" w:eastAsia="zh-CN"/>
        </w:rPr>
      </w:pPr>
      <w:r>
        <w:rPr>
          <w:rFonts w:hint="eastAsia" w:ascii="黑体" w:hAnsi="宋体" w:eastAsia="黑体"/>
          <w:b/>
          <w:color w:val="auto"/>
          <w:sz w:val="32"/>
          <w:szCs w:val="32"/>
          <w:highlight w:val="none"/>
          <w:lang w:val="zh-CN" w:eastAsia="zh-CN"/>
        </w:rPr>
        <w:t>项目编号：HXDR20241105</w:t>
      </w:r>
    </w:p>
    <w:p w14:paraId="09409490">
      <w:pPr>
        <w:adjustRightInd w:val="0"/>
        <w:spacing w:line="360" w:lineRule="auto"/>
        <w:jc w:val="center"/>
        <w:rPr>
          <w:rFonts w:hint="default" w:ascii="黑体" w:hAnsi="宋体" w:eastAsia="黑体" w:cs="宋体"/>
          <w:b/>
          <w:color w:val="auto"/>
          <w:sz w:val="32"/>
          <w:szCs w:val="32"/>
          <w:highlight w:val="none"/>
          <w:lang w:val="en-US" w:eastAsia="zh-CN"/>
        </w:rPr>
      </w:pPr>
    </w:p>
    <w:p w14:paraId="29862B53">
      <w:pPr>
        <w:adjustRightInd w:val="0"/>
        <w:spacing w:line="360" w:lineRule="auto"/>
        <w:rPr>
          <w:rFonts w:ascii="黑体" w:hAnsi="宋体" w:eastAsia="黑体" w:cs="宋体"/>
          <w:b/>
          <w:color w:val="auto"/>
          <w:sz w:val="24"/>
          <w:highlight w:val="none"/>
          <w:lang w:val="zh-CN"/>
        </w:rPr>
      </w:pPr>
    </w:p>
    <w:p w14:paraId="4E32F4E8">
      <w:pPr>
        <w:adjustRightInd w:val="0"/>
        <w:spacing w:line="360" w:lineRule="auto"/>
        <w:rPr>
          <w:rFonts w:ascii="黑体" w:hAnsi="宋体" w:eastAsia="黑体" w:cs="宋体"/>
          <w:b/>
          <w:color w:val="auto"/>
          <w:sz w:val="24"/>
          <w:highlight w:val="none"/>
          <w:lang w:val="zh-CN"/>
        </w:rPr>
      </w:pPr>
    </w:p>
    <w:p w14:paraId="17478B01">
      <w:pPr>
        <w:adjustRightInd w:val="0"/>
        <w:spacing w:line="360" w:lineRule="auto"/>
        <w:rPr>
          <w:rFonts w:ascii="黑体" w:hAnsi="宋体" w:eastAsia="黑体" w:cs="宋体"/>
          <w:b/>
          <w:color w:val="auto"/>
          <w:sz w:val="24"/>
          <w:highlight w:val="none"/>
          <w:lang w:val="zh-CN"/>
        </w:rPr>
      </w:pPr>
    </w:p>
    <w:p w14:paraId="2FFD77E0">
      <w:pPr>
        <w:adjustRightInd w:val="0"/>
        <w:spacing w:line="360" w:lineRule="auto"/>
        <w:rPr>
          <w:rFonts w:ascii="黑体" w:hAnsi="宋体" w:eastAsia="黑体" w:cs="宋体"/>
          <w:b/>
          <w:color w:val="auto"/>
          <w:sz w:val="24"/>
          <w:highlight w:val="none"/>
          <w:lang w:val="zh-CN"/>
        </w:rPr>
      </w:pPr>
    </w:p>
    <w:p w14:paraId="21D7ABA8">
      <w:pPr>
        <w:adjustRightInd w:val="0"/>
        <w:spacing w:line="360" w:lineRule="auto"/>
        <w:rPr>
          <w:rFonts w:ascii="黑体" w:hAnsi="宋体" w:eastAsia="黑体" w:cs="宋体"/>
          <w:b/>
          <w:color w:val="auto"/>
          <w:sz w:val="24"/>
          <w:highlight w:val="none"/>
          <w:lang w:val="zh-CN"/>
        </w:rPr>
      </w:pPr>
    </w:p>
    <w:p w14:paraId="08F2F4DC">
      <w:pPr>
        <w:adjustRightInd w:val="0"/>
        <w:spacing w:line="360" w:lineRule="auto"/>
        <w:rPr>
          <w:rFonts w:ascii="黑体" w:hAnsi="宋体" w:eastAsia="黑体" w:cs="宋体"/>
          <w:b/>
          <w:color w:val="auto"/>
          <w:sz w:val="24"/>
          <w:highlight w:val="none"/>
          <w:lang w:val="zh-CN"/>
        </w:rPr>
      </w:pPr>
    </w:p>
    <w:p w14:paraId="63FA3210">
      <w:pPr>
        <w:spacing w:afterLines="100" w:line="480" w:lineRule="auto"/>
        <w:jc w:val="left"/>
        <w:rPr>
          <w:rFonts w:hint="default" w:ascii="黑体" w:hAnsi="宋体" w:eastAsia="黑体"/>
          <w:b/>
          <w:color w:val="auto"/>
          <w:sz w:val="32"/>
          <w:szCs w:val="32"/>
          <w:highlight w:val="none"/>
          <w:lang w:val="en-US" w:eastAsia="zh-CN"/>
        </w:rPr>
      </w:pPr>
      <w:r>
        <w:rPr>
          <w:rFonts w:hint="eastAsia" w:ascii="黑体" w:hAnsi="宋体" w:eastAsia="黑体"/>
          <w:b/>
          <w:color w:val="auto"/>
          <w:sz w:val="32"/>
          <w:szCs w:val="32"/>
          <w:highlight w:val="none"/>
        </w:rPr>
        <w:t xml:space="preserve">   采   购   人</w:t>
      </w:r>
      <w:r>
        <w:rPr>
          <w:rFonts w:hint="eastAsia" w:ascii="黑体" w:hAnsi="宋体" w:eastAsia="黑体"/>
          <w:b/>
          <w:color w:val="auto"/>
          <w:sz w:val="32"/>
          <w:szCs w:val="32"/>
          <w:highlight w:val="none"/>
          <w:lang w:eastAsia="zh-CN"/>
        </w:rPr>
        <w:t>：</w:t>
      </w:r>
      <w:r>
        <w:rPr>
          <w:rFonts w:hint="eastAsia" w:ascii="黑体" w:hAnsi="宋体" w:eastAsia="黑体"/>
          <w:b/>
          <w:color w:val="auto"/>
          <w:sz w:val="32"/>
          <w:szCs w:val="32"/>
          <w:highlight w:val="none"/>
          <w:lang w:val="en-US" w:eastAsia="zh-CN"/>
        </w:rPr>
        <w:t>长春宽城经济开发区管理委员会</w:t>
      </w:r>
      <w:r>
        <w:rPr>
          <w:rFonts w:hint="eastAsia" w:ascii="黑体" w:hAnsi="宋体" w:eastAsia="黑体" w:cs="Times New Roman"/>
          <w:b/>
          <w:bCs/>
          <w:sz w:val="32"/>
          <w:szCs w:val="32"/>
          <w:highlight w:val="none"/>
        </w:rPr>
        <w:t>（盖章</w:t>
      </w:r>
      <w:r>
        <w:rPr>
          <w:rFonts w:hint="eastAsia" w:ascii="黑体" w:hAnsi="宋体" w:eastAsia="黑体"/>
          <w:b/>
          <w:bCs/>
          <w:sz w:val="32"/>
          <w:szCs w:val="32"/>
          <w:highlight w:val="none"/>
        </w:rPr>
        <w:t>）</w:t>
      </w:r>
    </w:p>
    <w:p w14:paraId="4FB07E3E">
      <w:pPr>
        <w:spacing w:afterLines="100" w:line="480" w:lineRule="auto"/>
        <w:jc w:val="left"/>
        <w:rPr>
          <w:rFonts w:hint="default" w:ascii="黑体" w:hAnsi="宋体" w:eastAsia="黑体"/>
          <w:b/>
          <w:color w:val="auto"/>
          <w:sz w:val="32"/>
          <w:szCs w:val="32"/>
          <w:highlight w:val="none"/>
          <w:lang w:val="en-US" w:eastAsia="zh-CN"/>
        </w:rPr>
      </w:pPr>
      <w:r>
        <w:rPr>
          <w:rFonts w:hint="eastAsia" w:ascii="黑体" w:hAnsi="宋体" w:eastAsia="黑体"/>
          <w:b/>
          <w:color w:val="auto"/>
          <w:sz w:val="32"/>
          <w:szCs w:val="32"/>
          <w:highlight w:val="none"/>
        </w:rPr>
        <w:t xml:space="preserve">   </w:t>
      </w:r>
      <w:r>
        <w:rPr>
          <w:rFonts w:hint="eastAsia" w:ascii="黑体" w:hAnsi="宋体" w:eastAsia="黑体"/>
          <w:b/>
          <w:color w:val="auto"/>
          <w:sz w:val="32"/>
          <w:szCs w:val="32"/>
          <w:highlight w:val="none"/>
          <w:lang w:val="en-US" w:eastAsia="zh-CN"/>
        </w:rPr>
        <w:t>采购代理机构：吉林华鑫德润项目管理咨询有限公司</w:t>
      </w:r>
      <w:r>
        <w:rPr>
          <w:rFonts w:hint="eastAsia" w:ascii="黑体" w:hAnsi="宋体" w:eastAsia="黑体" w:cs="Times New Roman"/>
          <w:b/>
          <w:bCs/>
          <w:sz w:val="32"/>
          <w:szCs w:val="32"/>
          <w:highlight w:val="none"/>
        </w:rPr>
        <w:t>（盖章</w:t>
      </w:r>
      <w:r>
        <w:rPr>
          <w:rFonts w:hint="eastAsia" w:ascii="黑体" w:hAnsi="宋体" w:eastAsia="黑体"/>
          <w:b/>
          <w:bCs/>
          <w:sz w:val="32"/>
          <w:szCs w:val="32"/>
          <w:highlight w:val="none"/>
        </w:rPr>
        <w:t>）</w:t>
      </w:r>
    </w:p>
    <w:p w14:paraId="5EE89CCD">
      <w:pPr>
        <w:spacing w:afterLines="100" w:line="480" w:lineRule="auto"/>
        <w:jc w:val="center"/>
        <w:rPr>
          <w:rFonts w:hint="eastAsia" w:ascii="黑体" w:hAnsi="宋体" w:eastAsia="黑体"/>
          <w:b/>
          <w:color w:val="auto"/>
          <w:sz w:val="32"/>
          <w:szCs w:val="32"/>
          <w:highlight w:val="none"/>
          <w:lang w:val="en-US" w:eastAsia="zh-CN"/>
        </w:rPr>
      </w:pPr>
      <w:r>
        <w:rPr>
          <w:rFonts w:hint="eastAsia" w:ascii="黑体" w:hAnsi="宋体" w:eastAsia="黑体"/>
          <w:b/>
          <w:color w:val="auto"/>
          <w:sz w:val="32"/>
          <w:szCs w:val="32"/>
          <w:highlight w:val="none"/>
          <w:lang w:val="en-US" w:eastAsia="zh-CN"/>
        </w:rPr>
        <w:t>日        期：</w:t>
      </w:r>
      <w:r>
        <w:rPr>
          <w:rFonts w:hint="eastAsia" w:ascii="黑体" w:hAnsi="宋体" w:eastAsia="黑体"/>
          <w:b/>
          <w:bCs/>
          <w:sz w:val="32"/>
          <w:szCs w:val="32"/>
          <w:highlight w:val="none"/>
        </w:rPr>
        <w:t>二</w:t>
      </w:r>
      <w:r>
        <w:rPr>
          <w:rFonts w:hint="eastAsia" w:ascii="黑体" w:hAnsi="黑体" w:eastAsia="黑体" w:cs="黑体"/>
          <w:b/>
          <w:bCs/>
          <w:sz w:val="32"/>
          <w:szCs w:val="32"/>
          <w:highlight w:val="none"/>
        </w:rPr>
        <w:t>〇</w:t>
      </w:r>
      <w:r>
        <w:rPr>
          <w:rFonts w:hint="eastAsia" w:ascii="黑体" w:hAnsi="宋体" w:eastAsia="黑体"/>
          <w:b/>
          <w:bCs/>
          <w:sz w:val="32"/>
          <w:szCs w:val="32"/>
          <w:highlight w:val="none"/>
        </w:rPr>
        <w:t>二</w:t>
      </w:r>
      <w:r>
        <w:rPr>
          <w:rFonts w:hint="eastAsia" w:ascii="黑体" w:hAnsi="黑体" w:eastAsia="黑体" w:cs="黑体"/>
          <w:b/>
          <w:bCs/>
          <w:sz w:val="32"/>
          <w:szCs w:val="32"/>
          <w:highlight w:val="none"/>
          <w:lang w:val="en-US" w:eastAsia="zh-CN"/>
        </w:rPr>
        <w:t>四</w:t>
      </w:r>
      <w:r>
        <w:rPr>
          <w:rFonts w:hint="eastAsia" w:ascii="黑体" w:hAnsi="宋体" w:eastAsia="黑体"/>
          <w:b/>
          <w:bCs/>
          <w:sz w:val="32"/>
          <w:szCs w:val="32"/>
          <w:highlight w:val="none"/>
        </w:rPr>
        <w:t>年</w:t>
      </w:r>
      <w:r>
        <w:rPr>
          <w:rFonts w:hint="eastAsia" w:ascii="黑体" w:hAnsi="宋体" w:eastAsia="黑体"/>
          <w:b/>
          <w:bCs/>
          <w:sz w:val="32"/>
          <w:szCs w:val="32"/>
          <w:highlight w:val="none"/>
          <w:lang w:val="en-US" w:eastAsia="zh-CN"/>
        </w:rPr>
        <w:t>十一</w:t>
      </w:r>
      <w:r>
        <w:rPr>
          <w:rFonts w:hint="eastAsia" w:ascii="黑体" w:hAnsi="宋体" w:eastAsia="黑体"/>
          <w:b/>
          <w:bCs/>
          <w:sz w:val="32"/>
          <w:szCs w:val="32"/>
          <w:highlight w:val="none"/>
        </w:rPr>
        <w:t>月</w:t>
      </w:r>
    </w:p>
    <w:p w14:paraId="131EB6C4">
      <w:pPr>
        <w:spacing w:afterLines="100" w:line="480" w:lineRule="auto"/>
        <w:jc w:val="center"/>
        <w:rPr>
          <w:rFonts w:hint="eastAsia" w:ascii="黑体" w:hAnsi="宋体" w:eastAsia="黑体"/>
          <w:b/>
          <w:color w:val="auto"/>
          <w:sz w:val="24"/>
          <w:szCs w:val="24"/>
          <w:highlight w:val="none"/>
          <w:lang w:val="en-US" w:eastAsia="zh-CN"/>
        </w:rPr>
        <w:sectPr>
          <w:headerReference r:id="rId5" w:type="first"/>
          <w:footerReference r:id="rId7" w:type="first"/>
          <w:headerReference r:id="rId3" w:type="default"/>
          <w:headerReference r:id="rId4" w:type="even"/>
          <w:footerReference r:id="rId6" w:type="even"/>
          <w:pgSz w:w="11906" w:h="16838"/>
          <w:pgMar w:top="1191" w:right="1191" w:bottom="1191" w:left="1191" w:header="851" w:footer="992" w:gutter="0"/>
          <w:pgBorders>
            <w:top w:val="none" w:sz="0" w:space="0"/>
            <w:left w:val="none" w:sz="0" w:space="0"/>
            <w:bottom w:val="none" w:sz="0" w:space="0"/>
            <w:right w:val="none" w:sz="0" w:space="0"/>
          </w:pgBorders>
          <w:pgNumType w:start="0"/>
          <w:cols w:space="720" w:num="1"/>
          <w:titlePg/>
          <w:docGrid w:linePitch="312" w:charSpace="0"/>
        </w:sectPr>
      </w:pPr>
    </w:p>
    <w:p w14:paraId="2B124A5E">
      <w:pPr>
        <w:spacing w:afterLines="100" w:line="480" w:lineRule="auto"/>
        <w:ind w:firstLine="708" w:firstLineChars="147"/>
        <w:jc w:val="center"/>
        <w:rPr>
          <w:rFonts w:ascii="宋体" w:hAnsi="宋体"/>
          <w:b/>
          <w:color w:val="auto"/>
          <w:sz w:val="48"/>
          <w:szCs w:val="48"/>
          <w:highlight w:val="none"/>
        </w:rPr>
      </w:pPr>
      <w:r>
        <w:rPr>
          <w:rFonts w:hint="eastAsia" w:ascii="宋体" w:hAnsi="宋体"/>
          <w:b/>
          <w:color w:val="auto"/>
          <w:sz w:val="48"/>
          <w:szCs w:val="48"/>
          <w:highlight w:val="none"/>
        </w:rPr>
        <w:t>目  录</w:t>
      </w:r>
    </w:p>
    <w:p w14:paraId="62240F80">
      <w:pPr>
        <w:pStyle w:val="29"/>
        <w:tabs>
          <w:tab w:val="right" w:leader="dot" w:pos="9346"/>
          <w:tab w:val="clear" w:pos="8296"/>
        </w:tabs>
        <w:spacing w:line="360" w:lineRule="auto"/>
        <w:ind w:right="105" w:rightChars="50" w:firstLine="602" w:firstLineChars="200"/>
        <w:rPr>
          <w:rStyle w:val="47"/>
          <w:rFonts w:hint="eastAsia" w:ascii="宋体" w:hAnsi="宋体" w:eastAsia="宋体" w:cs="Times New Roman"/>
          <w:color w:val="auto"/>
          <w:kern w:val="44"/>
          <w:sz w:val="30"/>
          <w:szCs w:val="30"/>
        </w:rPr>
      </w:pPr>
      <w:r>
        <w:rPr>
          <w:rStyle w:val="47"/>
          <w:rFonts w:hint="eastAsia" w:ascii="宋体" w:hAnsi="宋体" w:eastAsia="宋体" w:cs="Times New Roman"/>
          <w:color w:val="auto"/>
          <w:kern w:val="44"/>
          <w:sz w:val="30"/>
          <w:szCs w:val="30"/>
        </w:rPr>
        <w:fldChar w:fldCharType="begin"/>
      </w:r>
      <w:r>
        <w:rPr>
          <w:rStyle w:val="47"/>
          <w:rFonts w:hint="eastAsia" w:ascii="宋体" w:hAnsi="宋体" w:eastAsia="宋体" w:cs="Times New Roman"/>
          <w:color w:val="auto"/>
          <w:kern w:val="44"/>
          <w:sz w:val="30"/>
          <w:szCs w:val="30"/>
        </w:rPr>
        <w:instrText xml:space="preserve"> TOC \o "1-1" \h \z \u </w:instrText>
      </w:r>
      <w:r>
        <w:rPr>
          <w:rStyle w:val="47"/>
          <w:rFonts w:hint="eastAsia" w:ascii="宋体" w:hAnsi="宋体" w:eastAsia="宋体" w:cs="Times New Roman"/>
          <w:color w:val="auto"/>
          <w:kern w:val="44"/>
          <w:sz w:val="30"/>
          <w:szCs w:val="30"/>
        </w:rPr>
        <w:fldChar w:fldCharType="separate"/>
      </w:r>
      <w:r>
        <w:rPr>
          <w:rStyle w:val="47"/>
          <w:rFonts w:hint="eastAsia" w:ascii="宋体" w:hAnsi="宋体" w:eastAsia="宋体" w:cs="Times New Roman"/>
          <w:color w:val="auto"/>
          <w:kern w:val="44"/>
          <w:sz w:val="30"/>
          <w:szCs w:val="30"/>
        </w:rPr>
        <w:fldChar w:fldCharType="begin"/>
      </w:r>
      <w:r>
        <w:rPr>
          <w:rStyle w:val="47"/>
          <w:rFonts w:hint="eastAsia" w:ascii="宋体" w:hAnsi="宋体" w:eastAsia="宋体" w:cs="Times New Roman"/>
          <w:color w:val="auto"/>
          <w:kern w:val="44"/>
          <w:sz w:val="30"/>
          <w:szCs w:val="30"/>
        </w:rPr>
        <w:instrText xml:space="preserve"> HYPERLINK \l "_Toc488243400" </w:instrText>
      </w:r>
      <w:r>
        <w:rPr>
          <w:rStyle w:val="47"/>
          <w:rFonts w:hint="eastAsia" w:ascii="宋体" w:hAnsi="宋体" w:eastAsia="宋体" w:cs="Times New Roman"/>
          <w:color w:val="auto"/>
          <w:kern w:val="44"/>
          <w:sz w:val="30"/>
          <w:szCs w:val="30"/>
        </w:rPr>
        <w:fldChar w:fldCharType="separate"/>
      </w:r>
      <w:r>
        <w:rPr>
          <w:rStyle w:val="47"/>
          <w:rFonts w:hint="eastAsia" w:ascii="宋体" w:hAnsi="宋体" w:eastAsia="宋体" w:cs="Times New Roman"/>
          <w:color w:val="auto"/>
          <w:kern w:val="44"/>
          <w:sz w:val="30"/>
          <w:szCs w:val="30"/>
          <w:lang w:val="zh-CN"/>
        </w:rPr>
        <w:t>第一章  竞争性磋商公告</w:t>
      </w:r>
      <w:r>
        <w:rPr>
          <w:rStyle w:val="47"/>
          <w:rFonts w:hint="eastAsia" w:ascii="宋体" w:hAnsi="宋体" w:eastAsia="宋体" w:cs="Times New Roman"/>
          <w:color w:val="auto"/>
          <w:kern w:val="44"/>
          <w:sz w:val="30"/>
          <w:szCs w:val="30"/>
        </w:rPr>
        <w:tab/>
      </w:r>
      <w:r>
        <w:rPr>
          <w:rStyle w:val="47"/>
          <w:rFonts w:hint="eastAsia" w:ascii="宋体" w:hAnsi="宋体" w:eastAsia="宋体" w:cs="Times New Roman"/>
          <w:color w:val="auto"/>
          <w:kern w:val="44"/>
          <w:sz w:val="30"/>
          <w:szCs w:val="30"/>
        </w:rPr>
        <w:t>1</w:t>
      </w:r>
      <w:r>
        <w:rPr>
          <w:rStyle w:val="47"/>
          <w:rFonts w:hint="eastAsia" w:ascii="宋体" w:hAnsi="宋体" w:eastAsia="宋体" w:cs="Times New Roman"/>
          <w:color w:val="auto"/>
          <w:kern w:val="44"/>
          <w:sz w:val="30"/>
          <w:szCs w:val="30"/>
        </w:rPr>
        <w:fldChar w:fldCharType="end"/>
      </w:r>
    </w:p>
    <w:p w14:paraId="5182954F">
      <w:pPr>
        <w:pStyle w:val="29"/>
        <w:tabs>
          <w:tab w:val="right" w:leader="dot" w:pos="9346"/>
          <w:tab w:val="clear" w:pos="8296"/>
        </w:tabs>
        <w:spacing w:line="360" w:lineRule="auto"/>
        <w:ind w:right="105" w:rightChars="50" w:firstLine="602" w:firstLineChars="200"/>
        <w:rPr>
          <w:rStyle w:val="47"/>
          <w:rFonts w:hint="eastAsia" w:ascii="宋体" w:hAnsi="宋体" w:eastAsia="宋体" w:cs="Times New Roman"/>
          <w:color w:val="auto"/>
          <w:kern w:val="44"/>
          <w:sz w:val="30"/>
          <w:szCs w:val="30"/>
        </w:rPr>
      </w:pPr>
      <w:r>
        <w:rPr>
          <w:rStyle w:val="47"/>
          <w:rFonts w:hint="eastAsia" w:ascii="宋体" w:hAnsi="宋体" w:eastAsia="宋体" w:cs="Times New Roman"/>
          <w:color w:val="auto"/>
          <w:kern w:val="44"/>
          <w:sz w:val="30"/>
          <w:szCs w:val="30"/>
        </w:rPr>
        <w:fldChar w:fldCharType="begin"/>
      </w:r>
      <w:r>
        <w:rPr>
          <w:rStyle w:val="47"/>
          <w:rFonts w:hint="eastAsia" w:ascii="宋体" w:hAnsi="宋体" w:eastAsia="宋体" w:cs="Times New Roman"/>
          <w:color w:val="auto"/>
          <w:kern w:val="44"/>
          <w:sz w:val="30"/>
          <w:szCs w:val="30"/>
        </w:rPr>
        <w:instrText xml:space="preserve"> HYPERLINK \l "_Toc488243401" </w:instrText>
      </w:r>
      <w:r>
        <w:rPr>
          <w:rStyle w:val="47"/>
          <w:rFonts w:hint="eastAsia" w:ascii="宋体" w:hAnsi="宋体" w:eastAsia="宋体" w:cs="Times New Roman"/>
          <w:color w:val="auto"/>
          <w:kern w:val="44"/>
          <w:sz w:val="30"/>
          <w:szCs w:val="30"/>
        </w:rPr>
        <w:fldChar w:fldCharType="separate"/>
      </w:r>
      <w:r>
        <w:rPr>
          <w:rStyle w:val="47"/>
          <w:rFonts w:hint="eastAsia" w:ascii="宋体" w:hAnsi="宋体" w:eastAsia="宋体" w:cs="Times New Roman"/>
          <w:color w:val="auto"/>
          <w:kern w:val="44"/>
          <w:sz w:val="30"/>
          <w:szCs w:val="30"/>
        </w:rPr>
        <w:t>第二章  申请人须知</w:t>
      </w:r>
      <w:r>
        <w:rPr>
          <w:rStyle w:val="47"/>
          <w:rFonts w:hint="eastAsia" w:ascii="宋体" w:hAnsi="宋体" w:eastAsia="宋体" w:cs="Times New Roman"/>
          <w:color w:val="auto"/>
          <w:kern w:val="44"/>
          <w:sz w:val="30"/>
          <w:szCs w:val="30"/>
        </w:rPr>
        <w:tab/>
      </w:r>
      <w:r>
        <w:rPr>
          <w:rStyle w:val="47"/>
          <w:rFonts w:hint="eastAsia" w:ascii="宋体" w:hAnsi="宋体" w:eastAsia="宋体" w:cs="Times New Roman"/>
          <w:color w:val="auto"/>
          <w:kern w:val="44"/>
          <w:sz w:val="30"/>
          <w:szCs w:val="30"/>
          <w:lang w:val="en-US" w:eastAsia="zh-CN"/>
        </w:rPr>
        <w:t>5</w:t>
      </w:r>
      <w:r>
        <w:rPr>
          <w:rStyle w:val="47"/>
          <w:rFonts w:hint="eastAsia" w:ascii="宋体" w:hAnsi="宋体" w:eastAsia="宋体" w:cs="Times New Roman"/>
          <w:color w:val="auto"/>
          <w:kern w:val="44"/>
          <w:sz w:val="30"/>
          <w:szCs w:val="30"/>
        </w:rPr>
        <w:fldChar w:fldCharType="end"/>
      </w:r>
    </w:p>
    <w:p w14:paraId="6BA645A6">
      <w:pPr>
        <w:pStyle w:val="29"/>
        <w:tabs>
          <w:tab w:val="right" w:leader="dot" w:pos="9346"/>
          <w:tab w:val="clear" w:pos="8296"/>
        </w:tabs>
        <w:spacing w:line="360" w:lineRule="auto"/>
        <w:ind w:right="105" w:rightChars="50" w:firstLine="602" w:firstLineChars="200"/>
        <w:rPr>
          <w:rStyle w:val="47"/>
          <w:rFonts w:hint="eastAsia" w:ascii="宋体" w:hAnsi="宋体" w:eastAsia="宋体" w:cs="Times New Roman"/>
          <w:color w:val="auto"/>
          <w:kern w:val="44"/>
          <w:sz w:val="30"/>
          <w:szCs w:val="30"/>
          <w:lang w:val="en-US" w:eastAsia="zh-CN"/>
        </w:rPr>
      </w:pPr>
      <w:r>
        <w:rPr>
          <w:rStyle w:val="47"/>
          <w:rFonts w:hint="eastAsia" w:ascii="宋体" w:hAnsi="宋体" w:eastAsia="宋体" w:cs="Times New Roman"/>
          <w:color w:val="auto"/>
          <w:kern w:val="44"/>
          <w:sz w:val="30"/>
          <w:szCs w:val="30"/>
        </w:rPr>
        <w:fldChar w:fldCharType="begin"/>
      </w:r>
      <w:r>
        <w:rPr>
          <w:rStyle w:val="47"/>
          <w:rFonts w:hint="eastAsia" w:ascii="宋体" w:hAnsi="宋体" w:eastAsia="宋体" w:cs="Times New Roman"/>
          <w:color w:val="auto"/>
          <w:kern w:val="44"/>
          <w:sz w:val="30"/>
          <w:szCs w:val="30"/>
        </w:rPr>
        <w:instrText xml:space="preserve"> HYPERLINK \l "_Toc488243404" </w:instrText>
      </w:r>
      <w:r>
        <w:rPr>
          <w:rStyle w:val="47"/>
          <w:rFonts w:hint="eastAsia" w:ascii="宋体" w:hAnsi="宋体" w:eastAsia="宋体" w:cs="Times New Roman"/>
          <w:color w:val="auto"/>
          <w:kern w:val="44"/>
          <w:sz w:val="30"/>
          <w:szCs w:val="30"/>
        </w:rPr>
        <w:fldChar w:fldCharType="separate"/>
      </w:r>
      <w:r>
        <w:rPr>
          <w:rStyle w:val="47"/>
          <w:rFonts w:hint="eastAsia" w:ascii="宋体" w:hAnsi="宋体" w:eastAsia="宋体" w:cs="Times New Roman"/>
          <w:color w:val="auto"/>
          <w:kern w:val="44"/>
          <w:sz w:val="30"/>
          <w:szCs w:val="30"/>
          <w:lang w:val="zh-CN"/>
        </w:rPr>
        <w:t xml:space="preserve">第三章  </w:t>
      </w:r>
      <w:r>
        <w:rPr>
          <w:rStyle w:val="47"/>
          <w:rFonts w:hint="eastAsia" w:ascii="宋体" w:hAnsi="宋体" w:eastAsia="宋体" w:cs="Times New Roman"/>
          <w:color w:val="auto"/>
          <w:kern w:val="44"/>
          <w:sz w:val="30"/>
          <w:szCs w:val="30"/>
        </w:rPr>
        <w:t>评审办法</w:t>
      </w:r>
      <w:r>
        <w:rPr>
          <w:rStyle w:val="47"/>
          <w:rFonts w:hint="eastAsia" w:ascii="宋体" w:hAnsi="宋体" w:eastAsia="宋体" w:cs="Times New Roman"/>
          <w:color w:val="auto"/>
          <w:kern w:val="44"/>
          <w:sz w:val="30"/>
          <w:szCs w:val="30"/>
        </w:rPr>
        <w:tab/>
      </w:r>
      <w:r>
        <w:rPr>
          <w:rStyle w:val="47"/>
          <w:rFonts w:hint="eastAsia" w:ascii="宋体" w:hAnsi="宋体" w:eastAsia="宋体" w:cs="Times New Roman"/>
          <w:color w:val="auto"/>
          <w:kern w:val="44"/>
          <w:sz w:val="30"/>
          <w:szCs w:val="30"/>
          <w:lang w:val="en-US" w:eastAsia="zh-CN"/>
        </w:rPr>
        <w:t>2</w:t>
      </w:r>
      <w:r>
        <w:rPr>
          <w:rStyle w:val="47"/>
          <w:rFonts w:hint="eastAsia" w:ascii="宋体" w:hAnsi="宋体" w:eastAsia="宋体" w:cs="Times New Roman"/>
          <w:color w:val="auto"/>
          <w:kern w:val="44"/>
          <w:sz w:val="30"/>
          <w:szCs w:val="30"/>
        </w:rPr>
        <w:fldChar w:fldCharType="end"/>
      </w:r>
      <w:r>
        <w:rPr>
          <w:rStyle w:val="47"/>
          <w:rFonts w:hint="eastAsia" w:ascii="宋体" w:hAnsi="宋体" w:eastAsia="宋体" w:cs="Times New Roman"/>
          <w:color w:val="auto"/>
          <w:kern w:val="44"/>
          <w:sz w:val="30"/>
          <w:szCs w:val="30"/>
          <w:lang w:val="en-US" w:eastAsia="zh-CN"/>
        </w:rPr>
        <w:t>2</w:t>
      </w:r>
    </w:p>
    <w:p w14:paraId="3B8F50D8">
      <w:pPr>
        <w:pStyle w:val="29"/>
        <w:tabs>
          <w:tab w:val="right" w:leader="dot" w:pos="9346"/>
          <w:tab w:val="clear" w:pos="8296"/>
        </w:tabs>
        <w:spacing w:line="360" w:lineRule="auto"/>
        <w:ind w:right="105" w:rightChars="50" w:firstLine="602" w:firstLineChars="200"/>
        <w:rPr>
          <w:rStyle w:val="47"/>
          <w:rFonts w:hint="eastAsia" w:ascii="宋体" w:hAnsi="宋体" w:eastAsia="宋体" w:cs="Times New Roman"/>
          <w:color w:val="auto"/>
          <w:kern w:val="44"/>
          <w:sz w:val="30"/>
          <w:szCs w:val="30"/>
          <w:lang w:val="en-US" w:eastAsia="zh-CN"/>
        </w:rPr>
      </w:pPr>
      <w:r>
        <w:rPr>
          <w:rStyle w:val="47"/>
          <w:rFonts w:hint="eastAsia" w:ascii="宋体" w:hAnsi="宋体" w:eastAsia="宋体" w:cs="Times New Roman"/>
          <w:color w:val="auto"/>
          <w:kern w:val="44"/>
          <w:sz w:val="30"/>
          <w:szCs w:val="30"/>
        </w:rPr>
        <w:fldChar w:fldCharType="begin"/>
      </w:r>
      <w:r>
        <w:rPr>
          <w:rStyle w:val="47"/>
          <w:rFonts w:hint="eastAsia" w:ascii="宋体" w:hAnsi="宋体" w:eastAsia="宋体" w:cs="Times New Roman"/>
          <w:color w:val="auto"/>
          <w:kern w:val="44"/>
          <w:sz w:val="30"/>
          <w:szCs w:val="30"/>
        </w:rPr>
        <w:instrText xml:space="preserve"> HYPERLINK \l "_Toc488243406" </w:instrText>
      </w:r>
      <w:r>
        <w:rPr>
          <w:rStyle w:val="47"/>
          <w:rFonts w:hint="eastAsia" w:ascii="宋体" w:hAnsi="宋体" w:eastAsia="宋体" w:cs="Times New Roman"/>
          <w:color w:val="auto"/>
          <w:kern w:val="44"/>
          <w:sz w:val="30"/>
          <w:szCs w:val="30"/>
        </w:rPr>
        <w:fldChar w:fldCharType="separate"/>
      </w:r>
      <w:r>
        <w:rPr>
          <w:rStyle w:val="47"/>
          <w:rFonts w:hint="eastAsia" w:ascii="宋体" w:hAnsi="宋体" w:eastAsia="宋体" w:cs="Times New Roman"/>
          <w:color w:val="auto"/>
          <w:kern w:val="44"/>
          <w:sz w:val="30"/>
          <w:szCs w:val="30"/>
          <w:lang w:val="zh-CN"/>
        </w:rPr>
        <w:t>第四章  合同条款及格式</w:t>
      </w:r>
      <w:r>
        <w:rPr>
          <w:rStyle w:val="47"/>
          <w:rFonts w:hint="eastAsia" w:ascii="宋体" w:hAnsi="宋体" w:eastAsia="宋体" w:cs="Times New Roman"/>
          <w:color w:val="auto"/>
          <w:kern w:val="44"/>
          <w:sz w:val="30"/>
          <w:szCs w:val="30"/>
        </w:rPr>
        <w:tab/>
      </w:r>
      <w:r>
        <w:rPr>
          <w:rStyle w:val="47"/>
          <w:rFonts w:hint="eastAsia" w:ascii="宋体" w:hAnsi="宋体" w:eastAsia="宋体" w:cs="Times New Roman"/>
          <w:color w:val="auto"/>
          <w:kern w:val="44"/>
          <w:sz w:val="30"/>
          <w:szCs w:val="30"/>
          <w:lang w:val="en-US" w:eastAsia="zh-CN"/>
        </w:rPr>
        <w:t>2</w:t>
      </w:r>
      <w:r>
        <w:rPr>
          <w:rStyle w:val="47"/>
          <w:rFonts w:hint="eastAsia" w:ascii="宋体" w:hAnsi="宋体" w:eastAsia="宋体" w:cs="Times New Roman"/>
          <w:color w:val="auto"/>
          <w:kern w:val="44"/>
          <w:sz w:val="30"/>
          <w:szCs w:val="30"/>
        </w:rPr>
        <w:fldChar w:fldCharType="end"/>
      </w:r>
      <w:r>
        <w:rPr>
          <w:rStyle w:val="47"/>
          <w:rFonts w:hint="eastAsia" w:ascii="宋体" w:hAnsi="宋体" w:eastAsia="宋体" w:cs="Times New Roman"/>
          <w:color w:val="auto"/>
          <w:kern w:val="44"/>
          <w:sz w:val="30"/>
          <w:szCs w:val="30"/>
          <w:lang w:val="en-US" w:eastAsia="zh-CN"/>
        </w:rPr>
        <w:t>9</w:t>
      </w:r>
    </w:p>
    <w:p w14:paraId="3B1B1544">
      <w:pPr>
        <w:pStyle w:val="29"/>
        <w:tabs>
          <w:tab w:val="right" w:leader="dot" w:pos="9346"/>
          <w:tab w:val="clear" w:pos="8296"/>
        </w:tabs>
        <w:spacing w:line="360" w:lineRule="auto"/>
        <w:ind w:right="105" w:rightChars="50" w:firstLine="602" w:firstLineChars="200"/>
        <w:rPr>
          <w:rStyle w:val="47"/>
          <w:rFonts w:hint="eastAsia" w:ascii="宋体" w:hAnsi="宋体" w:eastAsia="宋体" w:cs="Times New Roman"/>
          <w:color w:val="auto"/>
          <w:kern w:val="44"/>
          <w:sz w:val="30"/>
          <w:szCs w:val="30"/>
          <w:lang w:val="en-US" w:eastAsia="zh-CN"/>
        </w:rPr>
      </w:pPr>
      <w:r>
        <w:rPr>
          <w:rStyle w:val="47"/>
          <w:rFonts w:hint="eastAsia" w:ascii="宋体" w:hAnsi="宋体" w:eastAsia="宋体" w:cs="Times New Roman"/>
          <w:color w:val="auto"/>
          <w:kern w:val="44"/>
          <w:sz w:val="30"/>
          <w:szCs w:val="30"/>
        </w:rPr>
        <w:fldChar w:fldCharType="begin"/>
      </w:r>
      <w:r>
        <w:rPr>
          <w:rStyle w:val="47"/>
          <w:rFonts w:hint="eastAsia" w:ascii="宋体" w:hAnsi="宋体" w:eastAsia="宋体" w:cs="Times New Roman"/>
          <w:color w:val="auto"/>
          <w:kern w:val="44"/>
          <w:sz w:val="30"/>
          <w:szCs w:val="30"/>
        </w:rPr>
        <w:instrText xml:space="preserve"> HYPERLINK \l "_Toc488243407" </w:instrText>
      </w:r>
      <w:r>
        <w:rPr>
          <w:rStyle w:val="47"/>
          <w:rFonts w:hint="eastAsia" w:ascii="宋体" w:hAnsi="宋体" w:eastAsia="宋体" w:cs="Times New Roman"/>
          <w:color w:val="auto"/>
          <w:kern w:val="44"/>
          <w:sz w:val="30"/>
          <w:szCs w:val="30"/>
        </w:rPr>
        <w:fldChar w:fldCharType="separate"/>
      </w:r>
      <w:r>
        <w:rPr>
          <w:rStyle w:val="47"/>
          <w:rFonts w:hint="eastAsia" w:ascii="宋体" w:hAnsi="宋体" w:eastAsia="宋体" w:cs="Times New Roman"/>
          <w:color w:val="auto"/>
          <w:kern w:val="44"/>
          <w:sz w:val="30"/>
          <w:szCs w:val="30"/>
        </w:rPr>
        <w:t>第五章  采购需求</w:t>
      </w:r>
      <w:r>
        <w:rPr>
          <w:rStyle w:val="47"/>
          <w:rFonts w:hint="eastAsia" w:ascii="宋体" w:hAnsi="宋体" w:eastAsia="宋体" w:cs="Times New Roman"/>
          <w:color w:val="auto"/>
          <w:kern w:val="44"/>
          <w:sz w:val="30"/>
          <w:szCs w:val="30"/>
        </w:rPr>
        <w:tab/>
      </w:r>
      <w:r>
        <w:rPr>
          <w:rStyle w:val="47"/>
          <w:rFonts w:hint="eastAsia" w:ascii="宋体" w:hAnsi="宋体" w:eastAsia="宋体" w:cs="Times New Roman"/>
          <w:color w:val="auto"/>
          <w:kern w:val="44"/>
          <w:sz w:val="30"/>
          <w:szCs w:val="30"/>
          <w:lang w:val="en-US" w:eastAsia="zh-CN"/>
        </w:rPr>
        <w:t>3</w:t>
      </w:r>
      <w:r>
        <w:rPr>
          <w:rStyle w:val="47"/>
          <w:rFonts w:hint="eastAsia" w:ascii="宋体" w:hAnsi="宋体" w:eastAsia="宋体" w:cs="Times New Roman"/>
          <w:color w:val="auto"/>
          <w:kern w:val="44"/>
          <w:sz w:val="30"/>
          <w:szCs w:val="30"/>
        </w:rPr>
        <w:fldChar w:fldCharType="end"/>
      </w:r>
      <w:r>
        <w:rPr>
          <w:rStyle w:val="47"/>
          <w:rFonts w:hint="eastAsia" w:ascii="宋体" w:hAnsi="宋体" w:eastAsia="宋体" w:cs="Times New Roman"/>
          <w:color w:val="auto"/>
          <w:kern w:val="44"/>
          <w:sz w:val="30"/>
          <w:szCs w:val="30"/>
          <w:lang w:val="en-US" w:eastAsia="zh-CN"/>
        </w:rPr>
        <w:t>0</w:t>
      </w:r>
    </w:p>
    <w:p w14:paraId="439BDACB">
      <w:pPr>
        <w:pStyle w:val="29"/>
        <w:tabs>
          <w:tab w:val="right" w:leader="dot" w:pos="9346"/>
          <w:tab w:val="clear" w:pos="8296"/>
        </w:tabs>
        <w:spacing w:line="360" w:lineRule="auto"/>
        <w:ind w:right="105" w:rightChars="50" w:firstLine="602" w:firstLineChars="200"/>
        <w:rPr>
          <w:rStyle w:val="47"/>
          <w:rFonts w:hint="default" w:ascii="宋体" w:hAnsi="宋体" w:eastAsia="宋体" w:cs="Times New Roman"/>
          <w:color w:val="auto"/>
          <w:kern w:val="44"/>
          <w:sz w:val="30"/>
          <w:szCs w:val="30"/>
          <w:lang w:val="en-US" w:eastAsia="zh-CN"/>
        </w:rPr>
      </w:pPr>
      <w:r>
        <w:rPr>
          <w:rStyle w:val="47"/>
          <w:rFonts w:hint="eastAsia" w:ascii="宋体" w:hAnsi="宋体" w:eastAsia="宋体" w:cs="Times New Roman"/>
          <w:color w:val="auto"/>
          <w:kern w:val="44"/>
          <w:sz w:val="30"/>
          <w:szCs w:val="30"/>
        </w:rPr>
        <w:fldChar w:fldCharType="begin"/>
      </w:r>
      <w:r>
        <w:rPr>
          <w:rStyle w:val="47"/>
          <w:rFonts w:hint="eastAsia" w:ascii="宋体" w:hAnsi="宋体" w:eastAsia="宋体" w:cs="Times New Roman"/>
          <w:color w:val="auto"/>
          <w:kern w:val="44"/>
          <w:sz w:val="30"/>
          <w:szCs w:val="30"/>
        </w:rPr>
        <w:instrText xml:space="preserve"> HYPERLINK \l "_目录" </w:instrText>
      </w:r>
      <w:r>
        <w:rPr>
          <w:rStyle w:val="47"/>
          <w:rFonts w:hint="eastAsia" w:ascii="宋体" w:hAnsi="宋体" w:eastAsia="宋体" w:cs="Times New Roman"/>
          <w:color w:val="auto"/>
          <w:kern w:val="44"/>
          <w:sz w:val="30"/>
          <w:szCs w:val="30"/>
        </w:rPr>
        <w:fldChar w:fldCharType="separate"/>
      </w:r>
      <w:r>
        <w:rPr>
          <w:rStyle w:val="47"/>
          <w:rFonts w:hint="eastAsia" w:ascii="宋体" w:hAnsi="宋体" w:eastAsia="宋体" w:cs="Times New Roman"/>
          <w:color w:val="auto"/>
          <w:kern w:val="44"/>
          <w:sz w:val="30"/>
          <w:szCs w:val="30"/>
        </w:rPr>
        <w:t>第六章  响应文件格式</w:t>
      </w:r>
      <w:r>
        <w:rPr>
          <w:rStyle w:val="47"/>
          <w:rFonts w:hint="eastAsia" w:ascii="宋体" w:hAnsi="宋体" w:eastAsia="宋体" w:cs="Times New Roman"/>
          <w:color w:val="auto"/>
          <w:kern w:val="44"/>
          <w:sz w:val="30"/>
          <w:szCs w:val="30"/>
        </w:rPr>
        <w:fldChar w:fldCharType="end"/>
      </w:r>
      <w:r>
        <w:rPr>
          <w:rStyle w:val="47"/>
          <w:rFonts w:hint="eastAsia" w:ascii="宋体" w:hAnsi="宋体" w:eastAsia="宋体" w:cs="Times New Roman"/>
          <w:color w:val="auto"/>
          <w:kern w:val="44"/>
          <w:sz w:val="30"/>
          <w:szCs w:val="30"/>
        </w:rPr>
        <w:fldChar w:fldCharType="end"/>
      </w:r>
      <w:r>
        <w:rPr>
          <w:rStyle w:val="47"/>
          <w:rFonts w:hint="eastAsia" w:ascii="宋体" w:hAnsi="宋体" w:eastAsia="宋体" w:cs="Times New Roman"/>
          <w:color w:val="auto"/>
          <w:kern w:val="44"/>
          <w:sz w:val="30"/>
          <w:szCs w:val="30"/>
        </w:rPr>
        <w:t>....................................</w:t>
      </w:r>
      <w:r>
        <w:rPr>
          <w:rStyle w:val="47"/>
          <w:rFonts w:hint="eastAsia" w:ascii="宋体" w:hAnsi="宋体" w:eastAsia="宋体" w:cs="Times New Roman"/>
          <w:color w:val="auto"/>
          <w:kern w:val="44"/>
          <w:sz w:val="30"/>
          <w:szCs w:val="30"/>
          <w:lang w:val="en-US" w:eastAsia="zh-CN"/>
        </w:rPr>
        <w:t>36</w:t>
      </w:r>
    </w:p>
    <w:p w14:paraId="499483BA">
      <w:pPr>
        <w:jc w:val="center"/>
        <w:rPr>
          <w:rFonts w:ascii="宋体" w:hAnsi="宋体"/>
          <w:color w:val="auto"/>
          <w:sz w:val="48"/>
          <w:szCs w:val="48"/>
          <w:highlight w:val="none"/>
        </w:rPr>
      </w:pPr>
    </w:p>
    <w:p w14:paraId="68BCB2D3">
      <w:pPr>
        <w:jc w:val="center"/>
        <w:rPr>
          <w:rFonts w:ascii="宋体" w:hAnsi="宋体"/>
          <w:color w:val="auto"/>
          <w:sz w:val="48"/>
          <w:szCs w:val="48"/>
          <w:highlight w:val="none"/>
        </w:rPr>
      </w:pPr>
    </w:p>
    <w:p w14:paraId="260E454D">
      <w:pPr>
        <w:jc w:val="center"/>
        <w:rPr>
          <w:rFonts w:ascii="宋体" w:hAnsi="宋体"/>
          <w:color w:val="auto"/>
          <w:sz w:val="48"/>
          <w:szCs w:val="48"/>
          <w:highlight w:val="none"/>
        </w:rPr>
      </w:pPr>
    </w:p>
    <w:p w14:paraId="7C5333A0">
      <w:pPr>
        <w:jc w:val="center"/>
        <w:rPr>
          <w:rFonts w:ascii="宋体" w:hAnsi="宋体"/>
          <w:color w:val="auto"/>
          <w:sz w:val="48"/>
          <w:szCs w:val="48"/>
          <w:highlight w:val="none"/>
        </w:rPr>
      </w:pPr>
    </w:p>
    <w:p w14:paraId="3DD55898">
      <w:pPr>
        <w:jc w:val="center"/>
        <w:rPr>
          <w:rFonts w:ascii="宋体" w:hAnsi="宋体"/>
          <w:color w:val="auto"/>
          <w:sz w:val="48"/>
          <w:szCs w:val="48"/>
          <w:highlight w:val="none"/>
        </w:rPr>
      </w:pPr>
    </w:p>
    <w:p w14:paraId="11909DE5">
      <w:pPr>
        <w:jc w:val="center"/>
        <w:rPr>
          <w:rFonts w:ascii="宋体" w:hAnsi="宋体"/>
          <w:color w:val="auto"/>
          <w:sz w:val="48"/>
          <w:szCs w:val="48"/>
          <w:highlight w:val="none"/>
        </w:rPr>
      </w:pPr>
    </w:p>
    <w:p w14:paraId="62D7FD95">
      <w:pPr>
        <w:jc w:val="center"/>
        <w:rPr>
          <w:rFonts w:ascii="宋体" w:hAnsi="宋体"/>
          <w:color w:val="auto"/>
          <w:sz w:val="48"/>
          <w:szCs w:val="48"/>
          <w:highlight w:val="none"/>
        </w:rPr>
      </w:pPr>
    </w:p>
    <w:p w14:paraId="5A013923">
      <w:pPr>
        <w:jc w:val="center"/>
        <w:rPr>
          <w:rFonts w:ascii="宋体" w:hAnsi="宋体"/>
          <w:color w:val="auto"/>
          <w:sz w:val="48"/>
          <w:szCs w:val="48"/>
          <w:highlight w:val="none"/>
        </w:rPr>
      </w:pPr>
    </w:p>
    <w:p w14:paraId="065E16DD">
      <w:pPr>
        <w:jc w:val="center"/>
        <w:rPr>
          <w:rFonts w:ascii="宋体" w:hAnsi="宋体"/>
          <w:color w:val="auto"/>
          <w:sz w:val="48"/>
          <w:szCs w:val="48"/>
          <w:highlight w:val="none"/>
        </w:rPr>
      </w:pPr>
    </w:p>
    <w:p w14:paraId="24C0887F">
      <w:pPr>
        <w:jc w:val="center"/>
        <w:rPr>
          <w:rFonts w:ascii="宋体" w:hAnsi="宋体"/>
          <w:color w:val="auto"/>
          <w:sz w:val="48"/>
          <w:szCs w:val="48"/>
          <w:highlight w:val="none"/>
        </w:rPr>
      </w:pPr>
    </w:p>
    <w:p w14:paraId="22567865">
      <w:pPr>
        <w:jc w:val="center"/>
        <w:rPr>
          <w:rFonts w:ascii="宋体" w:hAnsi="宋体"/>
          <w:color w:val="auto"/>
          <w:sz w:val="48"/>
          <w:szCs w:val="48"/>
          <w:highlight w:val="none"/>
        </w:rPr>
      </w:pPr>
    </w:p>
    <w:p w14:paraId="247E4E8E">
      <w:pPr>
        <w:jc w:val="center"/>
        <w:rPr>
          <w:rFonts w:ascii="宋体" w:hAnsi="宋体"/>
          <w:color w:val="auto"/>
          <w:sz w:val="48"/>
          <w:szCs w:val="48"/>
          <w:highlight w:val="none"/>
        </w:rPr>
      </w:pPr>
    </w:p>
    <w:p w14:paraId="4B12AC96">
      <w:pPr>
        <w:jc w:val="center"/>
        <w:rPr>
          <w:rFonts w:ascii="宋体" w:hAnsi="宋体"/>
          <w:color w:val="auto"/>
          <w:sz w:val="48"/>
          <w:szCs w:val="48"/>
          <w:highlight w:val="none"/>
        </w:rPr>
      </w:pPr>
    </w:p>
    <w:p w14:paraId="56224017">
      <w:pPr>
        <w:jc w:val="center"/>
        <w:rPr>
          <w:rFonts w:ascii="宋体" w:hAnsi="宋体"/>
          <w:color w:val="auto"/>
          <w:sz w:val="48"/>
          <w:szCs w:val="48"/>
          <w:highlight w:val="none"/>
        </w:rPr>
      </w:pPr>
    </w:p>
    <w:p w14:paraId="46D93EE7">
      <w:pPr>
        <w:jc w:val="both"/>
        <w:rPr>
          <w:rFonts w:ascii="宋体" w:hAnsi="宋体"/>
          <w:color w:val="auto"/>
          <w:sz w:val="48"/>
          <w:szCs w:val="48"/>
          <w:highlight w:val="none"/>
        </w:rPr>
      </w:pPr>
    </w:p>
    <w:p w14:paraId="78CF9638">
      <w:pPr>
        <w:spacing w:line="400" w:lineRule="exact"/>
        <w:jc w:val="center"/>
        <w:rPr>
          <w:rFonts w:hint="eastAsia" w:ascii="宋体" w:hAnsi="宋体" w:eastAsia="宋体" w:cs="宋体"/>
          <w:b/>
          <w:bCs/>
          <w:sz w:val="36"/>
          <w:szCs w:val="36"/>
          <w:highlight w:val="none"/>
          <w:lang w:val="en-US" w:eastAsia="zh-CN"/>
        </w:rPr>
        <w:sectPr>
          <w:footerReference r:id="rId8" w:type="default"/>
          <w:pgSz w:w="11906" w:h="16838"/>
          <w:pgMar w:top="1134" w:right="1134" w:bottom="1134" w:left="1134" w:header="851" w:footer="851" w:gutter="0"/>
          <w:pgBorders>
            <w:top w:val="none" w:sz="0" w:space="0"/>
            <w:left w:val="none" w:sz="0" w:space="0"/>
            <w:bottom w:val="none" w:sz="0" w:space="0"/>
            <w:right w:val="none" w:sz="0" w:space="0"/>
          </w:pgBorders>
          <w:pgNumType w:fmt="decimal" w:start="1"/>
          <w:cols w:space="720" w:num="1"/>
          <w:docGrid w:linePitch="312" w:charSpace="0"/>
        </w:sectPr>
      </w:pPr>
      <w:bookmarkStart w:id="0" w:name="_Toc15493"/>
    </w:p>
    <w:p w14:paraId="2929422C">
      <w:pPr>
        <w:pStyle w:val="49"/>
        <w:rPr>
          <w:rFonts w:hint="eastAsia"/>
          <w:lang w:val="en-US" w:eastAsia="zh-CN"/>
        </w:rPr>
      </w:pPr>
    </w:p>
    <w:bookmarkEnd w:id="0"/>
    <w:p w14:paraId="502E5095">
      <w:pPr>
        <w:spacing w:line="400" w:lineRule="exact"/>
        <w:jc w:val="center"/>
        <w:rPr>
          <w:rFonts w:hint="eastAsia" w:ascii="宋体" w:hAnsi="宋体" w:eastAsia="宋体" w:cs="宋体"/>
          <w:b/>
          <w:bCs/>
          <w:sz w:val="36"/>
          <w:szCs w:val="36"/>
          <w:highlight w:val="none"/>
          <w:lang w:val="en-US" w:eastAsia="zh-CN"/>
        </w:rPr>
      </w:pPr>
      <w:r>
        <w:rPr>
          <w:rFonts w:hint="eastAsia" w:ascii="宋体" w:hAnsi="宋体" w:eastAsia="宋体" w:cs="宋体"/>
          <w:b/>
          <w:bCs/>
          <w:sz w:val="36"/>
          <w:szCs w:val="36"/>
          <w:highlight w:val="none"/>
          <w:lang w:val="en-US" w:eastAsia="zh-CN"/>
        </w:rPr>
        <w:t>第一章 长春市宽城区医院异地建设项目柴油发电机</w:t>
      </w:r>
    </w:p>
    <w:p w14:paraId="2B984EE1">
      <w:pPr>
        <w:spacing w:line="400" w:lineRule="exact"/>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lang w:val="en-US" w:eastAsia="zh-CN"/>
        </w:rPr>
        <w:t>采购与安装</w:t>
      </w:r>
      <w:r>
        <w:rPr>
          <w:rFonts w:hint="eastAsia" w:ascii="宋体" w:hAnsi="宋体" w:eastAsia="宋体" w:cs="宋体"/>
          <w:b/>
          <w:bCs/>
          <w:sz w:val="36"/>
          <w:szCs w:val="36"/>
          <w:highlight w:val="none"/>
          <w:lang w:eastAsia="zh-CN"/>
        </w:rPr>
        <w:t>竞争性磋商</w:t>
      </w:r>
      <w:r>
        <w:rPr>
          <w:rFonts w:hint="eastAsia" w:ascii="宋体" w:hAnsi="宋体" w:eastAsia="宋体" w:cs="宋体"/>
          <w:b/>
          <w:bCs/>
          <w:sz w:val="36"/>
          <w:szCs w:val="36"/>
          <w:highlight w:val="none"/>
        </w:rPr>
        <w:t>公告</w:t>
      </w:r>
    </w:p>
    <w:tbl>
      <w:tblPr>
        <w:tblStyle w:val="4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622D7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0" w:hRule="atLeast"/>
          <w:jc w:val="center"/>
        </w:trPr>
        <w:tc>
          <w:tcPr>
            <w:tcW w:w="8522" w:type="dxa"/>
            <w:noWrap w:val="0"/>
            <w:vAlign w:val="top"/>
          </w:tcPr>
          <w:p w14:paraId="771141A9">
            <w:pPr>
              <w:pStyle w:val="49"/>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highlight w:val="none"/>
                <w:vertAlign w:val="baseline"/>
                <w:lang w:eastAsia="zh-CN"/>
              </w:rPr>
            </w:pPr>
            <w:r>
              <w:rPr>
                <w:rFonts w:hint="eastAsia" w:ascii="宋体" w:hAnsi="宋体" w:eastAsia="宋体" w:cs="宋体"/>
                <w:kern w:val="2"/>
                <w:sz w:val="24"/>
                <w:szCs w:val="24"/>
                <w:highlight w:val="none"/>
                <w:vertAlign w:val="baseline"/>
                <w:lang w:eastAsia="zh-CN"/>
              </w:rPr>
              <w:t>项目概况</w:t>
            </w:r>
          </w:p>
        </w:tc>
      </w:tr>
      <w:tr w14:paraId="3F02A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8522" w:type="dxa"/>
            <w:noWrap w:val="0"/>
            <w:vAlign w:val="top"/>
          </w:tcPr>
          <w:p w14:paraId="2E71F40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highlight w:val="none"/>
                <w:vertAlign w:val="baseline"/>
                <w:lang w:eastAsia="zh-CN"/>
              </w:rPr>
            </w:pPr>
            <w:r>
              <w:rPr>
                <w:rFonts w:hint="eastAsia" w:eastAsia="宋体" w:cs="宋体"/>
                <w:b w:val="0"/>
                <w:bCs w:val="0"/>
                <w:kern w:val="2"/>
                <w:sz w:val="24"/>
                <w:szCs w:val="24"/>
                <w:highlight w:val="none"/>
                <w:lang w:val="en-US" w:eastAsia="zh-CN"/>
              </w:rPr>
              <w:t>长春市宽城区医院异地建设项目柴油发电机采购与安装的潜在</w:t>
            </w:r>
            <w:r>
              <w:rPr>
                <w:rFonts w:hint="eastAsia" w:cs="宋体"/>
                <w:b w:val="0"/>
                <w:bCs w:val="0"/>
                <w:kern w:val="2"/>
                <w:sz w:val="24"/>
                <w:szCs w:val="24"/>
                <w:highlight w:val="none"/>
                <w:lang w:val="en-US" w:eastAsia="zh-CN"/>
              </w:rPr>
              <w:t>供应商</w:t>
            </w:r>
            <w:r>
              <w:rPr>
                <w:rFonts w:hint="eastAsia" w:eastAsia="宋体" w:cs="宋体"/>
                <w:b w:val="0"/>
                <w:bCs w:val="0"/>
                <w:kern w:val="2"/>
                <w:sz w:val="24"/>
                <w:szCs w:val="24"/>
                <w:highlight w:val="none"/>
                <w:lang w:val="en-US" w:eastAsia="zh-CN"/>
              </w:rPr>
              <w:t>应在</w:t>
            </w:r>
            <w:r>
              <w:rPr>
                <w:rFonts w:hint="eastAsia" w:ascii="宋体" w:hAnsi="宋体" w:eastAsia="宋体" w:cs="宋体"/>
                <w:color w:val="auto"/>
                <w:spacing w:val="0"/>
                <w:kern w:val="0"/>
                <w:sz w:val="24"/>
                <w:szCs w:val="21"/>
                <w:highlight w:val="none"/>
                <w:lang w:val="en-US" w:eastAsia="zh-CN" w:bidi="ar-SA"/>
              </w:rPr>
              <w:t>“政采云”平台(https://www.zcygov.cn/)</w:t>
            </w:r>
            <w:r>
              <w:rPr>
                <w:rFonts w:hint="eastAsia" w:ascii="宋体" w:hAnsi="宋体" w:cs="宋体"/>
                <w:color w:val="auto"/>
                <w:spacing w:val="0"/>
                <w:kern w:val="0"/>
                <w:sz w:val="24"/>
                <w:szCs w:val="21"/>
                <w:highlight w:val="none"/>
                <w:lang w:val="en-US" w:eastAsia="zh-CN" w:bidi="ar-SA"/>
              </w:rPr>
              <w:t>获取</w:t>
            </w:r>
            <w:r>
              <w:rPr>
                <w:rFonts w:hint="eastAsia" w:ascii="宋体" w:hAnsi="宋体" w:cs="宋体"/>
                <w:color w:val="auto"/>
                <w:kern w:val="0"/>
                <w:sz w:val="24"/>
                <w:szCs w:val="24"/>
                <w:highlight w:val="none"/>
                <w:lang w:eastAsia="zh-CN" w:bidi="ar"/>
              </w:rPr>
              <w:t>磋商文件</w:t>
            </w:r>
            <w:r>
              <w:rPr>
                <w:rFonts w:hint="eastAsia" w:ascii="宋体" w:hAnsi="宋体" w:cs="宋体"/>
                <w:color w:val="auto"/>
                <w:kern w:val="0"/>
                <w:sz w:val="24"/>
                <w:szCs w:val="24"/>
                <w:highlight w:val="none"/>
                <w:lang w:bidi="ar"/>
              </w:rPr>
              <w:t>，并于</w:t>
            </w:r>
            <w:r>
              <w:rPr>
                <w:rFonts w:hint="eastAsia" w:ascii="宋体" w:hAnsi="宋体" w:cs="宋体"/>
                <w:color w:val="auto"/>
                <w:kern w:val="0"/>
                <w:sz w:val="24"/>
                <w:szCs w:val="24"/>
                <w:highlight w:val="none"/>
                <w:lang w:eastAsia="zh-CN" w:bidi="ar"/>
              </w:rPr>
              <w:t>2024年</w:t>
            </w:r>
            <w:r>
              <w:rPr>
                <w:rFonts w:hint="eastAsia" w:ascii="宋体" w:hAnsi="宋体" w:cs="宋体"/>
                <w:color w:val="auto"/>
                <w:kern w:val="0"/>
                <w:sz w:val="24"/>
                <w:szCs w:val="24"/>
                <w:highlight w:val="none"/>
                <w:lang w:val="en-US" w:eastAsia="zh-CN" w:bidi="ar"/>
              </w:rPr>
              <w:t>11</w:t>
            </w:r>
            <w:r>
              <w:rPr>
                <w:rFonts w:hint="eastAsia" w:ascii="宋体" w:hAnsi="宋体" w:cs="宋体"/>
                <w:color w:val="auto"/>
                <w:kern w:val="0"/>
                <w:sz w:val="24"/>
                <w:szCs w:val="24"/>
                <w:highlight w:val="none"/>
                <w:lang w:eastAsia="zh-CN" w:bidi="ar"/>
              </w:rPr>
              <w:t>月</w:t>
            </w:r>
            <w:r>
              <w:rPr>
                <w:rFonts w:hint="eastAsia" w:ascii="宋体" w:hAnsi="宋体" w:cs="宋体"/>
                <w:color w:val="auto"/>
                <w:kern w:val="0"/>
                <w:sz w:val="24"/>
                <w:szCs w:val="24"/>
                <w:highlight w:val="none"/>
                <w:lang w:val="en-US" w:eastAsia="zh-CN" w:bidi="ar"/>
              </w:rPr>
              <w:t>28</w:t>
            </w:r>
            <w:r>
              <w:rPr>
                <w:rFonts w:hint="eastAsia" w:ascii="宋体" w:hAnsi="宋体" w:cs="宋体"/>
                <w:color w:val="auto"/>
                <w:kern w:val="0"/>
                <w:sz w:val="24"/>
                <w:szCs w:val="24"/>
                <w:highlight w:val="none"/>
                <w:lang w:eastAsia="zh-CN" w:bidi="ar"/>
              </w:rPr>
              <w:t>日09时00分</w:t>
            </w:r>
            <w:r>
              <w:rPr>
                <w:rFonts w:hint="eastAsia" w:ascii="宋体" w:hAnsi="宋体" w:cs="宋体"/>
                <w:color w:val="auto"/>
                <w:kern w:val="0"/>
                <w:sz w:val="24"/>
                <w:szCs w:val="24"/>
                <w:highlight w:val="none"/>
                <w:lang w:bidi="ar"/>
              </w:rPr>
              <w:t>（北京时间）前提交</w:t>
            </w:r>
            <w:r>
              <w:rPr>
                <w:rFonts w:hint="eastAsia" w:ascii="宋体" w:hAnsi="宋体" w:cs="宋体"/>
                <w:color w:val="auto"/>
                <w:kern w:val="0"/>
                <w:sz w:val="24"/>
                <w:szCs w:val="24"/>
                <w:highlight w:val="none"/>
                <w:lang w:eastAsia="zh-CN" w:bidi="ar"/>
              </w:rPr>
              <w:t>响应文件</w:t>
            </w:r>
            <w:r>
              <w:rPr>
                <w:rFonts w:hint="eastAsia" w:ascii="宋体" w:hAnsi="宋体" w:cs="宋体"/>
                <w:color w:val="auto"/>
                <w:kern w:val="0"/>
                <w:sz w:val="24"/>
                <w:szCs w:val="24"/>
                <w:highlight w:val="none"/>
                <w:lang w:bidi="ar"/>
              </w:rPr>
              <w:t>。</w:t>
            </w:r>
          </w:p>
        </w:tc>
      </w:tr>
    </w:tbl>
    <w:p w14:paraId="4988791B">
      <w:pPr>
        <w:keepNext w:val="0"/>
        <w:keepLines w:val="0"/>
        <w:pageBreakBefore w:val="0"/>
        <w:kinsoku/>
        <w:wordWrap/>
        <w:overflowPunct/>
        <w:topLinePunct w:val="0"/>
        <w:autoSpaceDE/>
        <w:autoSpaceDN/>
        <w:bidi w:val="0"/>
        <w:adjustRightInd w:val="0"/>
        <w:snapToGrid w:val="0"/>
        <w:spacing w:line="360" w:lineRule="auto"/>
        <w:ind w:firstLine="482"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sz w:val="24"/>
          <w:szCs w:val="24"/>
          <w:highlight w:val="none"/>
        </w:rPr>
        <w:t>一、</w:t>
      </w:r>
      <w:r>
        <w:rPr>
          <w:rFonts w:hint="eastAsia" w:ascii="宋体" w:hAnsi="宋体" w:eastAsia="宋体" w:cs="宋体"/>
          <w:b/>
          <w:sz w:val="24"/>
          <w:szCs w:val="24"/>
          <w:highlight w:val="none"/>
          <w:lang w:eastAsia="zh-CN"/>
        </w:rPr>
        <w:t>项目基本情况</w:t>
      </w:r>
    </w:p>
    <w:p w14:paraId="7EC2B86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1、项目编号：HXDR20241105；</w:t>
      </w:r>
    </w:p>
    <w:p w14:paraId="2908025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kern w:val="2"/>
          <w:sz w:val="24"/>
          <w:szCs w:val="24"/>
          <w:highlight w:val="none"/>
          <w:lang w:val="en-US" w:eastAsia="zh-CN"/>
        </w:rPr>
      </w:pPr>
      <w:r>
        <w:rPr>
          <w:rFonts w:hint="eastAsia" w:ascii="Times New Roman" w:hAnsi="Times New Roman" w:eastAsia="宋体" w:cs="宋体"/>
          <w:b w:val="0"/>
          <w:bCs w:val="0"/>
          <w:kern w:val="2"/>
          <w:sz w:val="24"/>
          <w:szCs w:val="24"/>
          <w:highlight w:val="none"/>
          <w:u w:val="none"/>
          <w:lang w:val="en-US" w:eastAsia="zh-CN"/>
        </w:rPr>
        <w:t>2、项目名称：长春市宽城区医院异地建设项目柴油发电机采购与安装</w:t>
      </w:r>
      <w:r>
        <w:rPr>
          <w:rFonts w:hint="eastAsia" w:ascii="宋体" w:hAnsi="宋体" w:eastAsia="宋体" w:cs="宋体"/>
          <w:b w:val="0"/>
          <w:bCs w:val="0"/>
          <w:kern w:val="2"/>
          <w:sz w:val="24"/>
          <w:szCs w:val="24"/>
          <w:highlight w:val="none"/>
          <w:lang w:val="en-US" w:eastAsia="zh-CN"/>
        </w:rPr>
        <w:t>；</w:t>
      </w:r>
    </w:p>
    <w:p w14:paraId="2E60EC2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Times New Roman" w:hAnsi="Times New Roman" w:eastAsia="宋体" w:cs="宋体"/>
          <w:b w:val="0"/>
          <w:bCs w:val="0"/>
          <w:color w:val="auto"/>
          <w:kern w:val="2"/>
          <w:sz w:val="24"/>
          <w:szCs w:val="24"/>
          <w:highlight w:val="none"/>
          <w:u w:val="none"/>
          <w:lang w:val="en-US" w:eastAsia="zh-CN"/>
        </w:rPr>
      </w:pPr>
      <w:r>
        <w:rPr>
          <w:rFonts w:hint="eastAsia" w:cs="宋体"/>
          <w:b w:val="0"/>
          <w:bCs w:val="0"/>
          <w:kern w:val="2"/>
          <w:sz w:val="24"/>
          <w:szCs w:val="24"/>
          <w:highlight w:val="none"/>
          <w:u w:val="none"/>
          <w:lang w:val="en-US" w:eastAsia="zh-CN"/>
        </w:rPr>
        <w:t>3</w:t>
      </w:r>
      <w:r>
        <w:rPr>
          <w:rFonts w:hint="eastAsia" w:ascii="Times New Roman" w:hAnsi="Times New Roman" w:eastAsia="宋体" w:cs="宋体"/>
          <w:b w:val="0"/>
          <w:bCs w:val="0"/>
          <w:kern w:val="2"/>
          <w:sz w:val="24"/>
          <w:szCs w:val="24"/>
          <w:highlight w:val="none"/>
          <w:u w:val="none"/>
          <w:lang w:val="en-US" w:eastAsia="zh-CN"/>
        </w:rPr>
        <w:t>、采购内容：</w:t>
      </w:r>
      <w:r>
        <w:rPr>
          <w:rFonts w:hint="eastAsia" w:cs="宋体"/>
          <w:b w:val="0"/>
          <w:bCs w:val="0"/>
          <w:kern w:val="2"/>
          <w:sz w:val="24"/>
          <w:szCs w:val="24"/>
          <w:highlight w:val="none"/>
          <w:u w:val="none"/>
          <w:lang w:val="en-US" w:eastAsia="zh-CN"/>
        </w:rPr>
        <w:t>柴油发电机组采购与安装，平时柴油发电机组630KW2台、人防柴油发电机组110KW1台并安装调试</w:t>
      </w:r>
      <w:r>
        <w:rPr>
          <w:rFonts w:hint="eastAsia" w:ascii="Times New Roman" w:hAnsi="Times New Roman" w:eastAsia="宋体" w:cs="宋体"/>
          <w:b w:val="0"/>
          <w:bCs w:val="0"/>
          <w:color w:val="auto"/>
          <w:kern w:val="2"/>
          <w:sz w:val="24"/>
          <w:szCs w:val="24"/>
          <w:highlight w:val="none"/>
          <w:u w:val="none"/>
          <w:lang w:val="en-US" w:eastAsia="zh-CN"/>
        </w:rPr>
        <w:t>；</w:t>
      </w:r>
    </w:p>
    <w:p w14:paraId="683CCCC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kern w:val="2"/>
          <w:sz w:val="24"/>
          <w:szCs w:val="24"/>
          <w:highlight w:val="none"/>
          <w:lang w:val="en-US" w:eastAsia="zh-CN"/>
        </w:rPr>
      </w:pPr>
      <w:r>
        <w:rPr>
          <w:rFonts w:hint="eastAsia" w:cs="宋体"/>
          <w:b w:val="0"/>
          <w:bCs w:val="0"/>
          <w:kern w:val="2"/>
          <w:sz w:val="24"/>
          <w:szCs w:val="24"/>
          <w:highlight w:val="none"/>
          <w:u w:val="none"/>
          <w:lang w:val="en-US" w:eastAsia="zh-CN"/>
        </w:rPr>
        <w:t>4</w:t>
      </w:r>
      <w:r>
        <w:rPr>
          <w:rFonts w:hint="eastAsia" w:ascii="Times New Roman" w:hAnsi="Times New Roman" w:eastAsia="宋体" w:cs="宋体"/>
          <w:b w:val="0"/>
          <w:bCs w:val="0"/>
          <w:kern w:val="2"/>
          <w:sz w:val="24"/>
          <w:szCs w:val="24"/>
          <w:highlight w:val="none"/>
          <w:u w:val="none"/>
          <w:lang w:val="en-US" w:eastAsia="zh-CN"/>
        </w:rPr>
        <w:t>、采购预算（</w:t>
      </w:r>
      <w:r>
        <w:rPr>
          <w:rFonts w:hint="eastAsia" w:ascii="宋体" w:hAnsi="宋体" w:eastAsia="宋体" w:cs="宋体"/>
          <w:b w:val="0"/>
          <w:bCs w:val="0"/>
          <w:kern w:val="2"/>
          <w:sz w:val="24"/>
          <w:szCs w:val="24"/>
          <w:highlight w:val="none"/>
          <w:lang w:val="en-US" w:eastAsia="zh-CN"/>
        </w:rPr>
        <w:t>即最高投标限价）：</w:t>
      </w:r>
      <w:r>
        <w:rPr>
          <w:rFonts w:hint="eastAsia" w:ascii="宋体" w:hAnsi="宋体" w:cs="宋体"/>
          <w:b w:val="0"/>
          <w:bCs w:val="0"/>
          <w:kern w:val="2"/>
          <w:sz w:val="24"/>
          <w:szCs w:val="24"/>
          <w:highlight w:val="none"/>
          <w:lang w:val="en-US" w:eastAsia="zh-CN"/>
        </w:rPr>
        <w:t>687127.23</w:t>
      </w:r>
      <w:r>
        <w:rPr>
          <w:rFonts w:hint="eastAsia" w:ascii="宋体" w:hAnsi="宋体" w:eastAsia="宋体" w:cs="宋体"/>
          <w:b w:val="0"/>
          <w:bCs w:val="0"/>
          <w:kern w:val="2"/>
          <w:sz w:val="24"/>
          <w:szCs w:val="24"/>
          <w:highlight w:val="none"/>
          <w:lang w:val="en-US" w:eastAsia="zh-CN"/>
        </w:rPr>
        <w:t>元；</w:t>
      </w:r>
    </w:p>
    <w:p w14:paraId="29F9216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kern w:val="2"/>
          <w:sz w:val="24"/>
          <w:szCs w:val="24"/>
          <w:highlight w:val="none"/>
          <w:lang w:val="en-US" w:eastAsia="zh-CN"/>
        </w:rPr>
      </w:pPr>
      <w:r>
        <w:rPr>
          <w:rFonts w:hint="eastAsia" w:ascii="宋体" w:hAnsi="宋体" w:cs="宋体"/>
          <w:b w:val="0"/>
          <w:bCs w:val="0"/>
          <w:kern w:val="2"/>
          <w:sz w:val="24"/>
          <w:szCs w:val="24"/>
          <w:highlight w:val="none"/>
          <w:lang w:val="en-US" w:eastAsia="zh-CN"/>
        </w:rPr>
        <w:t>5</w:t>
      </w:r>
      <w:r>
        <w:rPr>
          <w:rFonts w:hint="eastAsia" w:ascii="宋体" w:hAnsi="宋体" w:eastAsia="宋体" w:cs="宋体"/>
          <w:b w:val="0"/>
          <w:bCs w:val="0"/>
          <w:kern w:val="2"/>
          <w:sz w:val="24"/>
          <w:szCs w:val="24"/>
          <w:highlight w:val="none"/>
          <w:lang w:val="en-US" w:eastAsia="zh-CN"/>
        </w:rPr>
        <w:t>、资金来源：</w:t>
      </w:r>
      <w:r>
        <w:rPr>
          <w:rFonts w:hint="eastAsia" w:ascii="宋体" w:hAnsi="宋体" w:cs="宋体"/>
          <w:b w:val="0"/>
          <w:bCs w:val="0"/>
          <w:kern w:val="2"/>
          <w:sz w:val="24"/>
          <w:szCs w:val="24"/>
          <w:highlight w:val="none"/>
          <w:lang w:val="en-US" w:eastAsia="zh-CN"/>
        </w:rPr>
        <w:t>专项资金</w:t>
      </w:r>
      <w:r>
        <w:rPr>
          <w:rFonts w:hint="eastAsia" w:ascii="宋体" w:hAnsi="宋体" w:eastAsia="宋体" w:cs="宋体"/>
          <w:b w:val="0"/>
          <w:bCs w:val="0"/>
          <w:kern w:val="2"/>
          <w:sz w:val="24"/>
          <w:szCs w:val="24"/>
          <w:highlight w:val="none"/>
          <w:lang w:val="en-US" w:eastAsia="zh-CN"/>
        </w:rPr>
        <w:t>；</w:t>
      </w:r>
    </w:p>
    <w:p w14:paraId="54A6E36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kern w:val="2"/>
          <w:sz w:val="24"/>
          <w:szCs w:val="24"/>
          <w:highlight w:val="none"/>
          <w:lang w:val="en-US" w:eastAsia="zh-CN"/>
        </w:rPr>
      </w:pPr>
      <w:r>
        <w:rPr>
          <w:rFonts w:hint="eastAsia" w:ascii="宋体" w:hAnsi="宋体" w:cs="宋体"/>
          <w:b w:val="0"/>
          <w:bCs w:val="0"/>
          <w:kern w:val="2"/>
          <w:sz w:val="24"/>
          <w:szCs w:val="24"/>
          <w:highlight w:val="none"/>
          <w:lang w:val="en-US" w:eastAsia="zh-CN"/>
        </w:rPr>
        <w:t>6</w:t>
      </w:r>
      <w:r>
        <w:rPr>
          <w:rFonts w:hint="eastAsia" w:ascii="宋体" w:hAnsi="宋体" w:eastAsia="宋体" w:cs="宋体"/>
          <w:b w:val="0"/>
          <w:bCs w:val="0"/>
          <w:kern w:val="2"/>
          <w:sz w:val="24"/>
          <w:szCs w:val="24"/>
          <w:highlight w:val="none"/>
          <w:lang w:val="en-US" w:eastAsia="zh-CN"/>
        </w:rPr>
        <w:t>、采购方式：竞争性磋商；</w:t>
      </w:r>
    </w:p>
    <w:p w14:paraId="009E97E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kern w:val="2"/>
          <w:sz w:val="24"/>
          <w:szCs w:val="24"/>
          <w:highlight w:val="none"/>
          <w:lang w:val="en-US" w:eastAsia="zh-CN"/>
        </w:rPr>
      </w:pPr>
      <w:r>
        <w:rPr>
          <w:rFonts w:hint="eastAsia" w:ascii="宋体" w:hAnsi="宋体" w:cs="宋体"/>
          <w:b w:val="0"/>
          <w:bCs w:val="0"/>
          <w:kern w:val="2"/>
          <w:sz w:val="24"/>
          <w:szCs w:val="24"/>
          <w:highlight w:val="none"/>
          <w:lang w:val="en-US" w:eastAsia="zh-CN"/>
        </w:rPr>
        <w:t>7</w:t>
      </w:r>
      <w:r>
        <w:rPr>
          <w:rFonts w:hint="eastAsia" w:ascii="宋体" w:hAnsi="宋体" w:eastAsia="宋体" w:cs="宋体"/>
          <w:b w:val="0"/>
          <w:bCs w:val="0"/>
          <w:kern w:val="2"/>
          <w:sz w:val="24"/>
          <w:szCs w:val="24"/>
          <w:highlight w:val="none"/>
          <w:lang w:val="en-US" w:eastAsia="zh-CN"/>
        </w:rPr>
        <w:t>、资格审查方式：资格后审；</w:t>
      </w:r>
    </w:p>
    <w:p w14:paraId="04417E6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kern w:val="2"/>
          <w:sz w:val="24"/>
          <w:szCs w:val="24"/>
          <w:highlight w:val="none"/>
          <w:lang w:val="en-US" w:eastAsia="zh-CN"/>
        </w:rPr>
      </w:pPr>
      <w:r>
        <w:rPr>
          <w:rFonts w:hint="eastAsia" w:ascii="宋体" w:hAnsi="宋体" w:cs="宋体"/>
          <w:b w:val="0"/>
          <w:bCs w:val="0"/>
          <w:kern w:val="2"/>
          <w:sz w:val="24"/>
          <w:szCs w:val="24"/>
          <w:highlight w:val="none"/>
          <w:lang w:val="en-US" w:eastAsia="zh-CN"/>
        </w:rPr>
        <w:t>8</w:t>
      </w:r>
      <w:r>
        <w:rPr>
          <w:rFonts w:hint="eastAsia" w:ascii="宋体" w:hAnsi="宋体" w:eastAsia="宋体" w:cs="宋体"/>
          <w:b w:val="0"/>
          <w:bCs w:val="0"/>
          <w:kern w:val="2"/>
          <w:sz w:val="24"/>
          <w:szCs w:val="24"/>
          <w:highlight w:val="none"/>
          <w:lang w:val="en-US" w:eastAsia="zh-CN"/>
        </w:rPr>
        <w:t>、质量标准：符合现行国家、行业、地方或者其他相关标准的合格要求；</w:t>
      </w:r>
    </w:p>
    <w:p w14:paraId="1AA6E14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kern w:val="2"/>
          <w:sz w:val="24"/>
          <w:szCs w:val="24"/>
          <w:highlight w:val="none"/>
          <w:lang w:val="en-US" w:eastAsia="zh-CN"/>
        </w:rPr>
      </w:pPr>
      <w:r>
        <w:rPr>
          <w:rFonts w:hint="eastAsia" w:ascii="宋体" w:hAnsi="宋体" w:cs="宋体"/>
          <w:b w:val="0"/>
          <w:bCs w:val="0"/>
          <w:kern w:val="2"/>
          <w:sz w:val="24"/>
          <w:szCs w:val="24"/>
          <w:highlight w:val="none"/>
          <w:lang w:val="en-US" w:eastAsia="zh-CN"/>
        </w:rPr>
        <w:t>9</w:t>
      </w:r>
      <w:r>
        <w:rPr>
          <w:rFonts w:hint="eastAsia" w:ascii="宋体" w:hAnsi="宋体" w:eastAsia="宋体" w:cs="宋体"/>
          <w:b w:val="0"/>
          <w:bCs w:val="0"/>
          <w:kern w:val="2"/>
          <w:sz w:val="24"/>
          <w:szCs w:val="24"/>
          <w:highlight w:val="none"/>
          <w:lang w:val="en-US" w:eastAsia="zh-CN"/>
        </w:rPr>
        <w:t>、合同履行期限</w:t>
      </w:r>
      <w:r>
        <w:rPr>
          <w:rFonts w:hint="eastAsia" w:ascii="宋体" w:hAnsi="宋体" w:cs="宋体"/>
          <w:b w:val="0"/>
          <w:bCs w:val="0"/>
          <w:kern w:val="2"/>
          <w:sz w:val="24"/>
          <w:szCs w:val="24"/>
          <w:highlight w:val="none"/>
          <w:lang w:val="en-US" w:eastAsia="zh-CN"/>
        </w:rPr>
        <w:t>（供货</w:t>
      </w:r>
      <w:r>
        <w:rPr>
          <w:rFonts w:hint="eastAsia" w:ascii="宋体" w:hAnsi="宋体" w:eastAsia="宋体" w:cs="宋体"/>
          <w:b w:val="0"/>
          <w:bCs w:val="0"/>
          <w:kern w:val="2"/>
          <w:sz w:val="24"/>
          <w:szCs w:val="24"/>
          <w:highlight w:val="none"/>
          <w:lang w:val="en-US" w:eastAsia="zh-CN"/>
        </w:rPr>
        <w:t>期</w:t>
      </w:r>
      <w:r>
        <w:rPr>
          <w:rFonts w:hint="eastAsia" w:ascii="宋体" w:hAnsi="宋体" w:cs="宋体"/>
          <w:b w:val="0"/>
          <w:bCs w:val="0"/>
          <w:kern w:val="2"/>
          <w:sz w:val="24"/>
          <w:szCs w:val="24"/>
          <w:highlight w:val="none"/>
          <w:lang w:val="en-US" w:eastAsia="zh-CN"/>
        </w:rPr>
        <w:t>）</w:t>
      </w:r>
      <w:r>
        <w:rPr>
          <w:rFonts w:hint="eastAsia" w:ascii="宋体" w:hAnsi="宋体" w:eastAsia="宋体" w:cs="宋体"/>
          <w:b w:val="0"/>
          <w:bCs w:val="0"/>
          <w:kern w:val="2"/>
          <w:sz w:val="24"/>
          <w:szCs w:val="24"/>
          <w:highlight w:val="none"/>
          <w:lang w:val="en-US" w:eastAsia="zh-CN"/>
        </w:rPr>
        <w:t>：签订合同后</w:t>
      </w:r>
      <w:r>
        <w:rPr>
          <w:rFonts w:hint="eastAsia" w:ascii="宋体" w:hAnsi="宋体" w:cs="宋体"/>
          <w:b w:val="0"/>
          <w:bCs w:val="0"/>
          <w:kern w:val="2"/>
          <w:sz w:val="24"/>
          <w:szCs w:val="24"/>
          <w:highlight w:val="none"/>
          <w:lang w:val="en-US" w:eastAsia="zh-CN"/>
        </w:rPr>
        <w:t>10</w:t>
      </w:r>
      <w:r>
        <w:rPr>
          <w:rFonts w:hint="eastAsia" w:ascii="宋体" w:hAnsi="宋体" w:eastAsia="宋体" w:cs="宋体"/>
          <w:b w:val="0"/>
          <w:bCs w:val="0"/>
          <w:kern w:val="2"/>
          <w:sz w:val="24"/>
          <w:szCs w:val="24"/>
          <w:highlight w:val="none"/>
          <w:lang w:val="en-US" w:eastAsia="zh-CN"/>
        </w:rPr>
        <w:t>日历天内供货、安装、调试、验收完成；</w:t>
      </w:r>
    </w:p>
    <w:p w14:paraId="5EC4A93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1</w:t>
      </w:r>
      <w:r>
        <w:rPr>
          <w:rFonts w:hint="eastAsia" w:ascii="宋体" w:hAnsi="宋体" w:cs="宋体"/>
          <w:b w:val="0"/>
          <w:bCs w:val="0"/>
          <w:kern w:val="2"/>
          <w:sz w:val="24"/>
          <w:szCs w:val="24"/>
          <w:highlight w:val="none"/>
          <w:lang w:val="en-US" w:eastAsia="zh-CN"/>
        </w:rPr>
        <w:t>0</w:t>
      </w:r>
      <w:r>
        <w:rPr>
          <w:rFonts w:hint="eastAsia" w:ascii="宋体" w:hAnsi="宋体" w:eastAsia="宋体" w:cs="宋体"/>
          <w:b w:val="0"/>
          <w:bCs w:val="0"/>
          <w:kern w:val="2"/>
          <w:sz w:val="24"/>
          <w:szCs w:val="24"/>
          <w:highlight w:val="none"/>
          <w:lang w:val="en-US" w:eastAsia="zh-CN"/>
        </w:rPr>
        <w:t>、</w:t>
      </w:r>
      <w:r>
        <w:rPr>
          <w:rFonts w:hint="eastAsia" w:ascii="宋体" w:hAnsi="宋体" w:cs="宋体"/>
          <w:b w:val="0"/>
          <w:bCs w:val="0"/>
          <w:kern w:val="2"/>
          <w:sz w:val="24"/>
          <w:szCs w:val="24"/>
          <w:highlight w:val="none"/>
          <w:lang w:val="en-US" w:eastAsia="zh-CN"/>
        </w:rPr>
        <w:t>供货</w:t>
      </w:r>
      <w:r>
        <w:rPr>
          <w:rFonts w:hint="eastAsia" w:ascii="宋体" w:hAnsi="宋体" w:eastAsia="宋体" w:cs="宋体"/>
          <w:b w:val="0"/>
          <w:bCs w:val="0"/>
          <w:kern w:val="2"/>
          <w:sz w:val="24"/>
          <w:szCs w:val="24"/>
          <w:highlight w:val="none"/>
          <w:lang w:val="en-US" w:eastAsia="zh-CN"/>
        </w:rPr>
        <w:t>地点：采购人指定地点；</w:t>
      </w:r>
    </w:p>
    <w:p w14:paraId="5792C20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1</w:t>
      </w:r>
      <w:r>
        <w:rPr>
          <w:rFonts w:hint="eastAsia" w:ascii="宋体" w:hAnsi="宋体" w:cs="宋体"/>
          <w:b w:val="0"/>
          <w:bCs w:val="0"/>
          <w:kern w:val="2"/>
          <w:sz w:val="24"/>
          <w:szCs w:val="24"/>
          <w:highlight w:val="none"/>
          <w:lang w:val="en-US" w:eastAsia="zh-CN"/>
        </w:rPr>
        <w:t>1</w:t>
      </w:r>
      <w:r>
        <w:rPr>
          <w:rFonts w:hint="eastAsia" w:ascii="宋体" w:hAnsi="宋体" w:eastAsia="宋体" w:cs="宋体"/>
          <w:b w:val="0"/>
          <w:bCs w:val="0"/>
          <w:kern w:val="2"/>
          <w:sz w:val="24"/>
          <w:szCs w:val="24"/>
          <w:highlight w:val="none"/>
          <w:lang w:val="en-US" w:eastAsia="zh-CN"/>
        </w:rPr>
        <w:t>、联合体：本项目不接受联合体。</w:t>
      </w:r>
    </w:p>
    <w:p w14:paraId="5BC30822">
      <w:pPr>
        <w:pStyle w:val="107"/>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窗体底端</w:t>
      </w:r>
    </w:p>
    <w:p w14:paraId="228A6BFD">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2" w:firstLineChars="200"/>
        <w:jc w:val="both"/>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lang w:eastAsia="zh-CN"/>
        </w:rPr>
        <w:t>二、申请人的资格要求</w:t>
      </w:r>
    </w:p>
    <w:p w14:paraId="2DC71099">
      <w:pPr>
        <w:keepNext w:val="0"/>
        <w:keepLines w:val="0"/>
        <w:pageBreakBefore w:val="0"/>
        <w:kinsoku/>
        <w:wordWrap/>
        <w:overflowPunct/>
        <w:topLinePunct w:val="0"/>
        <w:autoSpaceDE/>
        <w:autoSpaceDN/>
        <w:bidi w:val="0"/>
        <w:adjustRightInd w:val="0"/>
        <w:snapToGrid w:val="0"/>
        <w:spacing w:line="360" w:lineRule="auto"/>
        <w:ind w:firstLine="482" w:firstLineChars="200"/>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1、满足《中华人民共和国政府采购法》第二十二条规定：</w:t>
      </w:r>
    </w:p>
    <w:p w14:paraId="1E057E70">
      <w:pPr>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(1)具有独立承担民事责任的能力；</w:t>
      </w:r>
    </w:p>
    <w:p w14:paraId="6BA276DD">
      <w:pPr>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(2)具有良好的商业信誉和健全的财务会计制度；</w:t>
      </w:r>
    </w:p>
    <w:p w14:paraId="2A64C976">
      <w:pPr>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(3)具有履行合同所必需的设备和专业技术能力；</w:t>
      </w:r>
    </w:p>
    <w:p w14:paraId="0560DABE">
      <w:pPr>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(4)有依法缴纳税收和社会保障资金的良好记录；</w:t>
      </w:r>
    </w:p>
    <w:p w14:paraId="649691B2">
      <w:pPr>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(5)参加政府采购活动前三年内，在经营活动中没有重大违法记录；</w:t>
      </w:r>
    </w:p>
    <w:p w14:paraId="2A5D7B1F">
      <w:pPr>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(6)法律、行政法规规定的其他条件。</w:t>
      </w:r>
    </w:p>
    <w:p w14:paraId="29BADD5E">
      <w:pPr>
        <w:pStyle w:val="16"/>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val="0"/>
          <w:color w:val="0000FF"/>
          <w:sz w:val="28"/>
          <w:szCs w:val="28"/>
          <w:highlight w:val="none"/>
          <w:lang w:val="en-US" w:eastAsia="zh-CN"/>
        </w:rPr>
      </w:pPr>
      <w:r>
        <w:rPr>
          <w:rFonts w:hint="eastAsia" w:ascii="宋体" w:hAnsi="宋体" w:eastAsia="宋体" w:cs="宋体"/>
          <w:b/>
          <w:bCs/>
          <w:sz w:val="24"/>
          <w:szCs w:val="24"/>
          <w:highlight w:val="none"/>
          <w:lang w:val="en-US" w:eastAsia="zh-CN"/>
        </w:rPr>
        <w:t>2、落实政府采购政策需满足的资格要求：</w:t>
      </w:r>
      <w:r>
        <w:rPr>
          <w:rFonts w:hint="eastAsia" w:ascii="宋体" w:hAnsi="宋体" w:eastAsia="宋体" w:cs="宋体"/>
          <w:color w:val="auto"/>
          <w:kern w:val="0"/>
          <w:sz w:val="24"/>
          <w:szCs w:val="24"/>
          <w:highlight w:val="none"/>
          <w:lang w:val="en-US" w:eastAsia="zh-CN" w:bidi="ar"/>
        </w:rPr>
        <w:t>本项目为专门面向中小企业；</w:t>
      </w:r>
    </w:p>
    <w:p w14:paraId="4E73F593">
      <w:pPr>
        <w:autoSpaceDE w:val="0"/>
        <w:spacing w:line="440" w:lineRule="exact"/>
        <w:ind w:firstLine="480" w:firstLineChars="20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本采购项目落实的政府采购政策：关于印发《政府采购促进中小企业发展管理办法》的通知（财库〔2020〕46号）、《关于进一步加大政府采购支持中小企业力度的通知》（财库〔2022〕19号）、《吉林省强化政府采购政策支持中小企业发展落实举措》（吉财采购〔2022〕478号）、《关于政府采购支持监狱企业发展有关问题的通知》(财库[2014]68号)、《三部门联合发布关于促进残疾人就业政府采购政策的通知》(财库[2017]141号)、《关于调整优化节能产品、环境标志产品政府采购执行机制的通知》(财库[2019]9号；</w:t>
      </w:r>
    </w:p>
    <w:p w14:paraId="5D3C74BA">
      <w:pPr>
        <w:pStyle w:val="16"/>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3、本项目的特定资格要求：</w:t>
      </w:r>
    </w:p>
    <w:p w14:paraId="52DD15EF">
      <w:pPr>
        <w:autoSpaceDE w:val="0"/>
        <w:spacing w:line="440" w:lineRule="exact"/>
        <w:ind w:firstLine="480" w:firstLineChars="200"/>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zh-CN" w:eastAsia="zh-CN" w:bidi="ar"/>
        </w:rPr>
        <w:t>（1）</w:t>
      </w:r>
      <w:r>
        <w:rPr>
          <w:rFonts w:hint="eastAsia" w:ascii="宋体" w:hAnsi="宋体" w:cs="宋体"/>
          <w:color w:val="auto"/>
          <w:kern w:val="0"/>
          <w:sz w:val="24"/>
          <w:szCs w:val="24"/>
          <w:highlight w:val="none"/>
          <w:lang w:val="en-US" w:eastAsia="zh-CN" w:bidi="ar"/>
        </w:rPr>
        <w:t>投标人须具备国家有关主管部门批准的制造或经销本项目合法资格；具有法人或其他组织的营业执照等证明文件</w:t>
      </w:r>
      <w:r>
        <w:rPr>
          <w:rFonts w:hint="eastAsia" w:ascii="宋体" w:hAnsi="宋体" w:eastAsia="宋体" w:cs="宋体"/>
          <w:color w:val="auto"/>
          <w:kern w:val="0"/>
          <w:sz w:val="24"/>
          <w:szCs w:val="24"/>
          <w:highlight w:val="none"/>
          <w:lang w:val="zh-CN" w:eastAsia="zh-CN" w:bidi="ar"/>
        </w:rPr>
        <w:t>；</w:t>
      </w:r>
    </w:p>
    <w:p w14:paraId="3ECA045A">
      <w:pPr>
        <w:autoSpaceDE w:val="0"/>
        <w:spacing w:line="440" w:lineRule="exact"/>
        <w:ind w:firstLine="480" w:firstLineChars="200"/>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zh-CN" w:eastAsia="zh-CN" w:bidi="ar"/>
        </w:rPr>
        <w:t>（</w:t>
      </w:r>
      <w:r>
        <w:rPr>
          <w:rFonts w:hint="eastAsia" w:ascii="宋体" w:hAnsi="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val="zh-CN" w:eastAsia="zh-CN" w:bidi="ar"/>
        </w:rPr>
        <w:t>）</w:t>
      </w:r>
      <w:r>
        <w:rPr>
          <w:rFonts w:hint="eastAsia" w:ascii="宋体" w:hAnsi="宋体" w:eastAsia="宋体" w:cs="宋体"/>
          <w:color w:val="auto"/>
          <w:kern w:val="0"/>
          <w:sz w:val="24"/>
          <w:szCs w:val="24"/>
          <w:highlight w:val="none"/>
          <w:lang w:val="en-US" w:eastAsia="zh-CN" w:bidi="ar"/>
        </w:rPr>
        <w:t>拒绝列入政府取消投标资格记录期间的企业或个人参加磋商；</w:t>
      </w:r>
    </w:p>
    <w:p w14:paraId="0629BD33">
      <w:pPr>
        <w:autoSpaceDE w:val="0"/>
        <w:spacing w:line="440" w:lineRule="exact"/>
        <w:ind w:firstLine="480" w:firstLineChars="200"/>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zh-CN" w:eastAsia="zh-CN" w:bidi="ar"/>
        </w:rPr>
        <w:t>（</w:t>
      </w:r>
      <w:r>
        <w:rPr>
          <w:rFonts w:hint="eastAsia" w:ascii="宋体" w:hAnsi="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val="zh-CN" w:eastAsia="zh-CN" w:bidi="ar"/>
        </w:rPr>
        <w:t>）</w:t>
      </w:r>
      <w:r>
        <w:rPr>
          <w:rFonts w:hint="eastAsia" w:ascii="宋体" w:hAnsi="宋体" w:eastAsia="宋体" w:cs="宋体"/>
          <w:color w:val="auto"/>
          <w:kern w:val="0"/>
          <w:sz w:val="24"/>
          <w:szCs w:val="24"/>
          <w:highlight w:val="none"/>
          <w:lang w:val="en-US" w:eastAsia="zh-CN" w:bidi="ar"/>
        </w:rPr>
        <w:t>不得为“信用中国”网站（www.creditchina.gov.cn）中列入失信被执行人和重大税收违法失信主体供应商；不得为中国政府采购网（www.ccpg.gov.cn）政府采购严重违法失信行为记录名单中被财政部门禁止参加政府采购活动的供应商（在处罚决定规定的时间和地域范围内）（详见财库[2016]125号）；在202</w:t>
      </w:r>
      <w:r>
        <w:rPr>
          <w:rFonts w:hint="eastAsia" w:ascii="宋体" w:hAnsi="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val="en-US" w:eastAsia="zh-CN" w:bidi="ar"/>
        </w:rPr>
        <w:t>年至今供应商和其法定代表人在“中国裁判文书网”(wenshu.court.gov.cn)上无行贿犯罪行为</w:t>
      </w:r>
      <w:r>
        <w:rPr>
          <w:rFonts w:hint="eastAsia" w:ascii="宋体" w:hAnsi="宋体" w:eastAsia="宋体" w:cs="宋体"/>
          <w:color w:val="auto"/>
          <w:kern w:val="0"/>
          <w:sz w:val="24"/>
          <w:szCs w:val="24"/>
          <w:highlight w:val="none"/>
          <w:lang w:val="zh-CN" w:eastAsia="zh-CN" w:bidi="ar"/>
        </w:rPr>
        <w:t>；</w:t>
      </w:r>
    </w:p>
    <w:p w14:paraId="422AB37C">
      <w:pPr>
        <w:autoSpaceDE w:val="0"/>
        <w:spacing w:line="440" w:lineRule="exact"/>
        <w:ind w:firstLine="480" w:firstLineChars="200"/>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zh-CN" w:eastAsia="zh-CN" w:bidi="ar"/>
        </w:rPr>
        <w:t>（</w:t>
      </w:r>
      <w:r>
        <w:rPr>
          <w:rFonts w:hint="eastAsia" w:ascii="宋体" w:hAnsi="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val="zh-CN" w:eastAsia="zh-CN" w:bidi="ar"/>
        </w:rPr>
        <w:t>）</w:t>
      </w:r>
      <w:r>
        <w:rPr>
          <w:rFonts w:hint="eastAsia" w:ascii="宋体" w:hAnsi="宋体" w:eastAsia="宋体" w:cs="宋体"/>
          <w:color w:val="auto"/>
          <w:kern w:val="0"/>
          <w:sz w:val="24"/>
          <w:szCs w:val="24"/>
          <w:highlight w:val="none"/>
          <w:lang w:val="en-US" w:eastAsia="zh-CN" w:bidi="ar"/>
        </w:rPr>
        <w:t>单位负责人为同一人或者存在直接控股、管理关系的不同供应商，不得参加同一合同项下的政府采购活动</w:t>
      </w:r>
      <w:r>
        <w:rPr>
          <w:rFonts w:hint="eastAsia" w:ascii="宋体" w:hAnsi="宋体" w:eastAsia="宋体" w:cs="宋体"/>
          <w:color w:val="auto"/>
          <w:kern w:val="0"/>
          <w:sz w:val="24"/>
          <w:szCs w:val="24"/>
          <w:highlight w:val="none"/>
          <w:lang w:val="zh-CN" w:eastAsia="zh-CN" w:bidi="ar"/>
        </w:rPr>
        <w:t>；</w:t>
      </w:r>
    </w:p>
    <w:p w14:paraId="6D3A52B9">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cs="宋体"/>
          <w:b/>
          <w:color w:val="auto"/>
          <w:kern w:val="0"/>
          <w:sz w:val="24"/>
          <w:szCs w:val="24"/>
          <w:lang w:eastAsia="zh-CN" w:bidi="ar"/>
        </w:rPr>
      </w:pPr>
      <w:r>
        <w:rPr>
          <w:rFonts w:hint="eastAsia" w:ascii="宋体" w:hAnsi="宋体" w:cs="宋体"/>
          <w:b/>
          <w:color w:val="auto"/>
          <w:kern w:val="0"/>
          <w:sz w:val="24"/>
          <w:szCs w:val="24"/>
          <w:shd w:val="clear" w:color="auto" w:fill="FFFFFF"/>
          <w:lang w:bidi="ar"/>
        </w:rPr>
        <w:t>三、获取</w:t>
      </w:r>
      <w:r>
        <w:rPr>
          <w:rFonts w:hint="eastAsia" w:ascii="宋体" w:hAnsi="宋体" w:cs="宋体"/>
          <w:b/>
          <w:color w:val="auto"/>
          <w:kern w:val="0"/>
          <w:sz w:val="24"/>
          <w:szCs w:val="24"/>
          <w:shd w:val="clear" w:color="auto" w:fill="FFFFFF"/>
          <w:lang w:eastAsia="zh-CN" w:bidi="ar"/>
        </w:rPr>
        <w:t>磋商文件</w:t>
      </w:r>
    </w:p>
    <w:p w14:paraId="1B086AAF">
      <w:pPr>
        <w:keepNext w:val="0"/>
        <w:keepLines w:val="0"/>
        <w:pageBreakBefore w:val="0"/>
        <w:widowControl/>
        <w:tabs>
          <w:tab w:val="left" w:pos="1050"/>
        </w:tabs>
        <w:kinsoku/>
        <w:wordWrap/>
        <w:overflowPunct/>
        <w:topLinePunct w:val="0"/>
        <w:autoSpaceDE/>
        <w:autoSpaceDN/>
        <w:bidi w:val="0"/>
        <w:adjustRightInd/>
        <w:snapToGrid/>
        <w:spacing w:line="420" w:lineRule="exact"/>
        <w:ind w:firstLine="460" w:firstLineChars="192"/>
        <w:textAlignment w:val="auto"/>
        <w:rPr>
          <w:rFonts w:hint="eastAsia" w:ascii="宋体" w:hAnsi="宋体" w:eastAsia="宋体" w:cs="宋体"/>
          <w:color w:val="auto"/>
          <w:kern w:val="0"/>
          <w:sz w:val="24"/>
          <w:szCs w:val="24"/>
          <w:shd w:val="clear" w:color="auto" w:fill="FFFFFF"/>
          <w:lang w:bidi="ar"/>
        </w:rPr>
      </w:pPr>
      <w:r>
        <w:rPr>
          <w:rFonts w:hint="eastAsia" w:ascii="宋体" w:hAnsi="宋体" w:eastAsia="宋体" w:cs="宋体"/>
          <w:color w:val="auto"/>
          <w:kern w:val="0"/>
          <w:sz w:val="24"/>
          <w:szCs w:val="24"/>
          <w:shd w:val="clear" w:color="auto" w:fill="FFFFFF"/>
          <w:lang w:bidi="ar"/>
        </w:rPr>
        <w:t>1、时间：202</w:t>
      </w:r>
      <w:r>
        <w:rPr>
          <w:rFonts w:hint="eastAsia" w:ascii="宋体" w:hAnsi="宋体" w:cs="宋体"/>
          <w:color w:val="auto"/>
          <w:kern w:val="0"/>
          <w:sz w:val="24"/>
          <w:szCs w:val="24"/>
          <w:shd w:val="clear" w:color="auto" w:fill="FFFFFF"/>
          <w:lang w:val="en-US" w:eastAsia="zh-CN" w:bidi="ar"/>
        </w:rPr>
        <w:t>4</w:t>
      </w:r>
      <w:r>
        <w:rPr>
          <w:rFonts w:hint="eastAsia" w:ascii="宋体" w:hAnsi="宋体" w:eastAsia="宋体" w:cs="宋体"/>
          <w:color w:val="auto"/>
          <w:kern w:val="0"/>
          <w:sz w:val="24"/>
          <w:szCs w:val="24"/>
          <w:shd w:val="clear" w:color="auto" w:fill="FFFFFF"/>
          <w:lang w:bidi="ar"/>
        </w:rPr>
        <w:t>年</w:t>
      </w:r>
      <w:r>
        <w:rPr>
          <w:rFonts w:hint="eastAsia" w:ascii="宋体" w:hAnsi="宋体" w:cs="宋体"/>
          <w:color w:val="auto"/>
          <w:kern w:val="0"/>
          <w:sz w:val="24"/>
          <w:szCs w:val="24"/>
          <w:shd w:val="clear" w:color="auto" w:fill="FFFFFF"/>
          <w:lang w:val="en-US" w:eastAsia="zh-CN" w:bidi="ar"/>
        </w:rPr>
        <w:t>11</w:t>
      </w:r>
      <w:r>
        <w:rPr>
          <w:rFonts w:hint="eastAsia" w:ascii="宋体" w:hAnsi="宋体" w:eastAsia="宋体" w:cs="宋体"/>
          <w:color w:val="auto"/>
          <w:kern w:val="0"/>
          <w:sz w:val="24"/>
          <w:szCs w:val="24"/>
          <w:shd w:val="clear" w:color="auto" w:fill="FFFFFF"/>
          <w:lang w:bidi="ar"/>
        </w:rPr>
        <w:t>月</w:t>
      </w:r>
      <w:r>
        <w:rPr>
          <w:rFonts w:hint="eastAsia" w:ascii="宋体" w:hAnsi="宋体" w:cs="宋体"/>
          <w:color w:val="auto"/>
          <w:kern w:val="0"/>
          <w:sz w:val="24"/>
          <w:szCs w:val="24"/>
          <w:shd w:val="clear" w:color="auto" w:fill="FFFFFF"/>
          <w:lang w:val="en-US" w:eastAsia="zh-CN" w:bidi="ar"/>
        </w:rPr>
        <w:t>14</w:t>
      </w:r>
      <w:r>
        <w:rPr>
          <w:rFonts w:hint="eastAsia" w:ascii="宋体" w:hAnsi="宋体" w:eastAsia="宋体" w:cs="宋体"/>
          <w:color w:val="auto"/>
          <w:kern w:val="0"/>
          <w:sz w:val="24"/>
          <w:szCs w:val="24"/>
          <w:shd w:val="clear" w:color="auto" w:fill="FFFFFF"/>
          <w:lang w:bidi="ar"/>
        </w:rPr>
        <w:t>日至202</w:t>
      </w:r>
      <w:r>
        <w:rPr>
          <w:rFonts w:hint="eastAsia" w:ascii="宋体" w:hAnsi="宋体" w:cs="宋体"/>
          <w:color w:val="auto"/>
          <w:kern w:val="0"/>
          <w:sz w:val="24"/>
          <w:szCs w:val="24"/>
          <w:shd w:val="clear" w:color="auto" w:fill="FFFFFF"/>
          <w:lang w:val="en-US" w:eastAsia="zh-CN" w:bidi="ar"/>
        </w:rPr>
        <w:t>4</w:t>
      </w:r>
      <w:r>
        <w:rPr>
          <w:rFonts w:hint="eastAsia" w:ascii="宋体" w:hAnsi="宋体" w:eastAsia="宋体" w:cs="宋体"/>
          <w:color w:val="auto"/>
          <w:kern w:val="0"/>
          <w:sz w:val="24"/>
          <w:szCs w:val="24"/>
          <w:shd w:val="clear" w:color="auto" w:fill="FFFFFF"/>
          <w:lang w:bidi="ar"/>
        </w:rPr>
        <w:t>年</w:t>
      </w:r>
      <w:r>
        <w:rPr>
          <w:rFonts w:hint="eastAsia" w:ascii="宋体" w:hAnsi="宋体" w:cs="宋体"/>
          <w:color w:val="auto"/>
          <w:kern w:val="0"/>
          <w:sz w:val="24"/>
          <w:szCs w:val="24"/>
          <w:shd w:val="clear" w:color="auto" w:fill="FFFFFF"/>
          <w:lang w:val="en-US" w:eastAsia="zh-CN" w:bidi="ar"/>
        </w:rPr>
        <w:t>11</w:t>
      </w:r>
      <w:r>
        <w:rPr>
          <w:rFonts w:hint="eastAsia" w:ascii="宋体" w:hAnsi="宋体" w:eastAsia="宋体" w:cs="宋体"/>
          <w:color w:val="auto"/>
          <w:kern w:val="0"/>
          <w:sz w:val="24"/>
          <w:szCs w:val="24"/>
          <w:shd w:val="clear" w:color="auto" w:fill="FFFFFF"/>
          <w:lang w:bidi="ar"/>
        </w:rPr>
        <w:t>月</w:t>
      </w:r>
      <w:r>
        <w:rPr>
          <w:rFonts w:hint="eastAsia" w:ascii="宋体" w:hAnsi="宋体" w:cs="宋体"/>
          <w:color w:val="auto"/>
          <w:kern w:val="0"/>
          <w:sz w:val="24"/>
          <w:szCs w:val="24"/>
          <w:shd w:val="clear" w:color="auto" w:fill="FFFFFF"/>
          <w:lang w:val="en-US" w:eastAsia="zh-CN" w:bidi="ar"/>
        </w:rPr>
        <w:t>21</w:t>
      </w:r>
      <w:r>
        <w:rPr>
          <w:rFonts w:hint="eastAsia" w:ascii="宋体" w:hAnsi="宋体" w:eastAsia="宋体" w:cs="宋体"/>
          <w:color w:val="auto"/>
          <w:kern w:val="0"/>
          <w:sz w:val="24"/>
          <w:szCs w:val="24"/>
          <w:shd w:val="clear" w:color="auto" w:fill="FFFFFF"/>
          <w:lang w:bidi="ar"/>
        </w:rPr>
        <w:t>日16:00止。</w:t>
      </w:r>
    </w:p>
    <w:p w14:paraId="3F7B3D31">
      <w:pPr>
        <w:keepNext w:val="0"/>
        <w:keepLines w:val="0"/>
        <w:pageBreakBefore w:val="0"/>
        <w:widowControl/>
        <w:tabs>
          <w:tab w:val="left" w:pos="1050"/>
        </w:tabs>
        <w:kinsoku/>
        <w:wordWrap/>
        <w:overflowPunct/>
        <w:topLinePunct w:val="0"/>
        <w:autoSpaceDE/>
        <w:autoSpaceDN/>
        <w:bidi w:val="0"/>
        <w:adjustRightInd/>
        <w:snapToGrid/>
        <w:spacing w:line="420" w:lineRule="exact"/>
        <w:ind w:firstLine="460" w:firstLineChars="192"/>
        <w:textAlignment w:val="auto"/>
        <w:rPr>
          <w:rFonts w:hint="eastAsia" w:ascii="宋体" w:hAnsi="宋体" w:eastAsia="宋体" w:cs="宋体"/>
          <w:color w:val="000000"/>
          <w:kern w:val="0"/>
          <w:sz w:val="24"/>
          <w:szCs w:val="24"/>
          <w:shd w:val="clear" w:color="auto" w:fill="FFFFFF"/>
          <w:lang w:bidi="ar"/>
        </w:rPr>
      </w:pPr>
      <w:r>
        <w:rPr>
          <w:rFonts w:hint="eastAsia" w:ascii="宋体" w:hAnsi="宋体" w:eastAsia="宋体" w:cs="宋体"/>
          <w:color w:val="000000"/>
          <w:kern w:val="0"/>
          <w:sz w:val="24"/>
          <w:szCs w:val="24"/>
          <w:shd w:val="clear" w:color="auto" w:fill="FFFFFF"/>
          <w:lang w:bidi="ar"/>
        </w:rPr>
        <w:t>2、地点：“政采云”平台(http：//www.zcygov.cn)。</w:t>
      </w:r>
    </w:p>
    <w:p w14:paraId="20EEF547">
      <w:pPr>
        <w:keepNext w:val="0"/>
        <w:keepLines w:val="0"/>
        <w:pageBreakBefore w:val="0"/>
        <w:widowControl/>
        <w:tabs>
          <w:tab w:val="left" w:pos="1050"/>
        </w:tabs>
        <w:kinsoku/>
        <w:wordWrap/>
        <w:overflowPunct/>
        <w:topLinePunct w:val="0"/>
        <w:autoSpaceDE/>
        <w:autoSpaceDN/>
        <w:bidi w:val="0"/>
        <w:adjustRightInd/>
        <w:snapToGrid/>
        <w:spacing w:line="420" w:lineRule="exact"/>
        <w:ind w:firstLine="460" w:firstLineChars="192"/>
        <w:textAlignment w:val="auto"/>
        <w:rPr>
          <w:rFonts w:hint="eastAsia" w:ascii="宋体" w:hAnsi="宋体" w:eastAsia="宋体" w:cs="宋体"/>
          <w:color w:val="000000"/>
          <w:kern w:val="0"/>
          <w:sz w:val="24"/>
          <w:szCs w:val="24"/>
          <w:shd w:val="clear" w:color="auto" w:fill="FFFFFF"/>
          <w:lang w:bidi="ar"/>
        </w:rPr>
      </w:pPr>
      <w:r>
        <w:rPr>
          <w:rFonts w:hint="eastAsia" w:ascii="宋体" w:hAnsi="宋体" w:eastAsia="宋体" w:cs="宋体"/>
          <w:color w:val="000000"/>
          <w:kern w:val="0"/>
          <w:sz w:val="24"/>
          <w:szCs w:val="24"/>
          <w:shd w:val="clear" w:color="auto" w:fill="FFFFFF"/>
          <w:lang w:bidi="ar"/>
        </w:rPr>
        <w:t>3、方式：网上下载，供应商可自行在“政采云”平台(http：//www.zcygov.cn) 下载采购文件(操作路径：登录“政采云”平台-项目采购-获取采购文件- 找到本项目-点击“申请获取采购文件”)，其他途径获取的</w:t>
      </w:r>
      <w:r>
        <w:rPr>
          <w:rFonts w:hint="eastAsia" w:ascii="宋体" w:hAnsi="宋体" w:cs="宋体"/>
          <w:color w:val="000000"/>
          <w:kern w:val="0"/>
          <w:sz w:val="24"/>
          <w:szCs w:val="24"/>
          <w:shd w:val="clear" w:color="auto" w:fill="FFFFFF"/>
          <w:lang w:val="en-US" w:eastAsia="zh-CN" w:bidi="ar"/>
        </w:rPr>
        <w:t>磋商文件</w:t>
      </w:r>
      <w:r>
        <w:rPr>
          <w:rFonts w:hint="eastAsia" w:ascii="宋体" w:hAnsi="宋体" w:eastAsia="宋体" w:cs="宋体"/>
          <w:color w:val="000000"/>
          <w:kern w:val="0"/>
          <w:sz w:val="24"/>
          <w:szCs w:val="24"/>
          <w:shd w:val="clear" w:color="auto" w:fill="FFFFFF"/>
          <w:lang w:bidi="ar"/>
        </w:rPr>
        <w:t>开标时一律按无效投标处理。</w:t>
      </w:r>
    </w:p>
    <w:p w14:paraId="23F57B1A">
      <w:pPr>
        <w:keepNext w:val="0"/>
        <w:keepLines w:val="0"/>
        <w:pageBreakBefore w:val="0"/>
        <w:widowControl/>
        <w:tabs>
          <w:tab w:val="left" w:pos="1050"/>
        </w:tabs>
        <w:kinsoku/>
        <w:wordWrap/>
        <w:overflowPunct/>
        <w:topLinePunct w:val="0"/>
        <w:autoSpaceDE/>
        <w:autoSpaceDN/>
        <w:bidi w:val="0"/>
        <w:adjustRightInd/>
        <w:snapToGrid/>
        <w:spacing w:line="420" w:lineRule="exact"/>
        <w:ind w:firstLine="460" w:firstLineChars="192"/>
        <w:textAlignment w:val="auto"/>
        <w:rPr>
          <w:rFonts w:hint="eastAsia" w:ascii="宋体" w:hAnsi="宋体" w:eastAsia="宋体" w:cs="宋体"/>
          <w:color w:val="000000"/>
          <w:kern w:val="0"/>
          <w:sz w:val="24"/>
          <w:szCs w:val="24"/>
          <w:shd w:val="clear" w:color="auto" w:fill="FFFFFF"/>
          <w:lang w:bidi="ar"/>
        </w:rPr>
      </w:pPr>
      <w:r>
        <w:rPr>
          <w:rFonts w:hint="eastAsia" w:ascii="宋体" w:hAnsi="宋体" w:eastAsia="宋体" w:cs="宋体"/>
          <w:color w:val="000000"/>
          <w:kern w:val="0"/>
          <w:sz w:val="24"/>
          <w:szCs w:val="24"/>
          <w:shd w:val="clear" w:color="auto" w:fill="FFFFFF"/>
          <w:lang w:bidi="ar"/>
        </w:rPr>
        <w:t>4、售价：0元。</w:t>
      </w:r>
    </w:p>
    <w:p w14:paraId="4B0F6B7C">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cs="宋体"/>
          <w:b/>
          <w:color w:val="000000"/>
          <w:kern w:val="0"/>
          <w:sz w:val="24"/>
          <w:szCs w:val="24"/>
          <w:lang w:bidi="ar"/>
        </w:rPr>
      </w:pPr>
      <w:r>
        <w:rPr>
          <w:rFonts w:hint="eastAsia" w:ascii="宋体" w:hAnsi="宋体" w:cs="宋体"/>
          <w:b/>
          <w:color w:val="000000"/>
          <w:kern w:val="0"/>
          <w:sz w:val="24"/>
          <w:szCs w:val="24"/>
          <w:shd w:val="clear" w:color="auto" w:fill="FFFFFF"/>
          <w:lang w:bidi="ar"/>
        </w:rPr>
        <w:t>四、提交</w:t>
      </w:r>
      <w:r>
        <w:rPr>
          <w:rFonts w:hint="eastAsia" w:ascii="宋体" w:hAnsi="宋体" w:cs="宋体"/>
          <w:b/>
          <w:color w:val="000000"/>
          <w:kern w:val="0"/>
          <w:sz w:val="24"/>
          <w:szCs w:val="24"/>
          <w:shd w:val="clear" w:color="auto" w:fill="FFFFFF"/>
          <w:lang w:eastAsia="zh-CN" w:bidi="ar"/>
        </w:rPr>
        <w:t>响应文件</w:t>
      </w:r>
      <w:r>
        <w:rPr>
          <w:rFonts w:hint="eastAsia" w:ascii="宋体" w:hAnsi="宋体" w:cs="宋体"/>
          <w:b/>
          <w:color w:val="000000"/>
          <w:kern w:val="0"/>
          <w:sz w:val="24"/>
          <w:szCs w:val="24"/>
          <w:shd w:val="clear" w:color="auto" w:fill="FFFFFF"/>
          <w:lang w:bidi="ar"/>
        </w:rPr>
        <w:t>截止时间、开标时间和地点</w:t>
      </w:r>
    </w:p>
    <w:p w14:paraId="7957131C">
      <w:pPr>
        <w:keepNext w:val="0"/>
        <w:keepLines w:val="0"/>
        <w:pageBreakBefore w:val="0"/>
        <w:widowControl/>
        <w:kinsoku/>
        <w:wordWrap/>
        <w:overflowPunct/>
        <w:topLinePunct w:val="0"/>
        <w:autoSpaceDE/>
        <w:autoSpaceDN/>
        <w:bidi w:val="0"/>
        <w:adjustRightInd/>
        <w:snapToGrid/>
        <w:spacing w:line="460" w:lineRule="exact"/>
        <w:ind w:firstLine="640"/>
        <w:jc w:val="left"/>
        <w:textAlignment w:val="auto"/>
        <w:rPr>
          <w:rFonts w:hint="eastAsia" w:ascii="宋体" w:hAnsi="宋体" w:eastAsia="宋体" w:cs="宋体"/>
          <w:color w:val="000000"/>
          <w:kern w:val="0"/>
          <w:sz w:val="24"/>
          <w:szCs w:val="24"/>
          <w:shd w:val="clear" w:color="auto" w:fill="FFFFFF"/>
          <w:lang w:val="en-US" w:eastAsia="zh-CN" w:bidi="ar"/>
        </w:rPr>
      </w:pPr>
      <w:r>
        <w:rPr>
          <w:rFonts w:hint="eastAsia" w:ascii="宋体" w:hAnsi="宋体" w:eastAsia="宋体" w:cs="宋体"/>
          <w:color w:val="000000"/>
          <w:kern w:val="0"/>
          <w:sz w:val="24"/>
          <w:szCs w:val="24"/>
          <w:shd w:val="clear" w:color="auto" w:fill="FFFFFF"/>
          <w:lang w:val="en-US" w:eastAsia="zh-CN" w:bidi="ar"/>
        </w:rPr>
        <w:t>截止时间：2024年</w:t>
      </w:r>
      <w:r>
        <w:rPr>
          <w:rFonts w:hint="eastAsia" w:ascii="宋体" w:hAnsi="宋体" w:cs="宋体"/>
          <w:color w:val="000000"/>
          <w:kern w:val="0"/>
          <w:sz w:val="24"/>
          <w:szCs w:val="24"/>
          <w:shd w:val="clear" w:color="auto" w:fill="FFFFFF"/>
          <w:lang w:val="en-US" w:eastAsia="zh-CN" w:bidi="ar"/>
        </w:rPr>
        <w:t>11</w:t>
      </w:r>
      <w:r>
        <w:rPr>
          <w:rFonts w:hint="eastAsia" w:ascii="宋体" w:hAnsi="宋体" w:eastAsia="宋体" w:cs="宋体"/>
          <w:color w:val="000000"/>
          <w:kern w:val="0"/>
          <w:sz w:val="24"/>
          <w:szCs w:val="24"/>
          <w:shd w:val="clear" w:color="auto" w:fill="FFFFFF"/>
          <w:lang w:val="en-US" w:eastAsia="zh-CN" w:bidi="ar"/>
        </w:rPr>
        <w:t>月</w:t>
      </w:r>
      <w:r>
        <w:rPr>
          <w:rFonts w:hint="eastAsia" w:ascii="宋体" w:hAnsi="宋体" w:cs="宋体"/>
          <w:color w:val="000000"/>
          <w:kern w:val="0"/>
          <w:sz w:val="24"/>
          <w:szCs w:val="24"/>
          <w:shd w:val="clear" w:color="auto" w:fill="FFFFFF"/>
          <w:lang w:val="en-US" w:eastAsia="zh-CN" w:bidi="ar"/>
        </w:rPr>
        <w:t>28</w:t>
      </w:r>
      <w:r>
        <w:rPr>
          <w:rFonts w:hint="eastAsia" w:ascii="宋体" w:hAnsi="宋体" w:eastAsia="宋体" w:cs="宋体"/>
          <w:color w:val="000000"/>
          <w:kern w:val="0"/>
          <w:sz w:val="24"/>
          <w:szCs w:val="24"/>
          <w:shd w:val="clear" w:color="auto" w:fill="FFFFFF"/>
          <w:lang w:val="en-US" w:eastAsia="zh-CN" w:bidi="ar"/>
        </w:rPr>
        <w:t>日</w:t>
      </w:r>
      <w:r>
        <w:rPr>
          <w:rFonts w:hint="eastAsia" w:ascii="宋体" w:hAnsi="宋体" w:cs="宋体"/>
          <w:color w:val="000000"/>
          <w:kern w:val="0"/>
          <w:sz w:val="24"/>
          <w:szCs w:val="24"/>
          <w:shd w:val="clear" w:color="auto" w:fill="FFFFFF"/>
          <w:lang w:val="en-US" w:eastAsia="zh-CN" w:bidi="ar"/>
        </w:rPr>
        <w:t>09</w:t>
      </w:r>
      <w:r>
        <w:rPr>
          <w:rFonts w:hint="eastAsia" w:ascii="宋体" w:hAnsi="宋体" w:eastAsia="宋体" w:cs="宋体"/>
          <w:color w:val="000000"/>
          <w:kern w:val="0"/>
          <w:sz w:val="24"/>
          <w:szCs w:val="24"/>
          <w:shd w:val="clear" w:color="auto" w:fill="FFFFFF"/>
          <w:lang w:val="en-US" w:eastAsia="zh-CN" w:bidi="ar"/>
        </w:rPr>
        <w:t>时</w:t>
      </w:r>
      <w:r>
        <w:rPr>
          <w:rFonts w:hint="eastAsia" w:ascii="宋体" w:hAnsi="宋体" w:cs="宋体"/>
          <w:color w:val="000000"/>
          <w:kern w:val="0"/>
          <w:sz w:val="24"/>
          <w:szCs w:val="24"/>
          <w:shd w:val="clear" w:color="auto" w:fill="FFFFFF"/>
          <w:lang w:val="en-US" w:eastAsia="zh-CN" w:bidi="ar"/>
        </w:rPr>
        <w:t>0</w:t>
      </w:r>
      <w:r>
        <w:rPr>
          <w:rFonts w:hint="eastAsia" w:ascii="宋体" w:hAnsi="宋体" w:eastAsia="宋体" w:cs="宋体"/>
          <w:color w:val="000000"/>
          <w:kern w:val="0"/>
          <w:sz w:val="24"/>
          <w:szCs w:val="24"/>
          <w:shd w:val="clear" w:color="auto" w:fill="FFFFFF"/>
          <w:lang w:val="en-US" w:eastAsia="zh-CN" w:bidi="ar"/>
        </w:rPr>
        <w:t>0分（北京时间）</w:t>
      </w:r>
    </w:p>
    <w:p w14:paraId="598EC236">
      <w:pPr>
        <w:keepNext w:val="0"/>
        <w:keepLines w:val="0"/>
        <w:pageBreakBefore w:val="0"/>
        <w:widowControl/>
        <w:kinsoku/>
        <w:wordWrap/>
        <w:overflowPunct/>
        <w:topLinePunct w:val="0"/>
        <w:autoSpaceDE/>
        <w:autoSpaceDN/>
        <w:bidi w:val="0"/>
        <w:adjustRightInd/>
        <w:snapToGrid/>
        <w:spacing w:line="460" w:lineRule="exact"/>
        <w:ind w:firstLine="640"/>
        <w:jc w:val="left"/>
        <w:textAlignment w:val="auto"/>
        <w:rPr>
          <w:rFonts w:hint="eastAsia" w:ascii="宋体" w:hAnsi="宋体" w:eastAsia="宋体" w:cs="宋体"/>
          <w:color w:val="000000"/>
          <w:kern w:val="0"/>
          <w:sz w:val="24"/>
          <w:szCs w:val="24"/>
          <w:shd w:val="clear" w:color="auto" w:fill="FFFFFF"/>
          <w:lang w:val="en-US" w:eastAsia="zh-CN" w:bidi="ar"/>
        </w:rPr>
      </w:pPr>
      <w:r>
        <w:rPr>
          <w:rFonts w:hint="eastAsia" w:ascii="宋体" w:hAnsi="宋体" w:eastAsia="宋体" w:cs="宋体"/>
          <w:color w:val="000000"/>
          <w:kern w:val="0"/>
          <w:sz w:val="24"/>
          <w:szCs w:val="24"/>
          <w:shd w:val="clear" w:color="auto" w:fill="FFFFFF"/>
          <w:lang w:val="en-US" w:eastAsia="zh-CN" w:bidi="ar"/>
        </w:rPr>
        <w:t>地    点：</w:t>
      </w:r>
      <w:r>
        <w:rPr>
          <w:rFonts w:hint="eastAsia" w:ascii="宋体" w:hAnsi="宋体" w:cs="宋体"/>
          <w:color w:val="000000"/>
          <w:kern w:val="0"/>
          <w:sz w:val="24"/>
          <w:szCs w:val="24"/>
          <w:shd w:val="clear" w:color="auto" w:fill="FFFFFF"/>
          <w:lang w:val="en-US" w:eastAsia="zh-CN" w:bidi="ar"/>
        </w:rPr>
        <w:t>长春市二道区洋浦大街6669号凯利中心AB栋101开标四室</w:t>
      </w:r>
    </w:p>
    <w:p w14:paraId="65E02674">
      <w:pPr>
        <w:keepNext w:val="0"/>
        <w:keepLines w:val="0"/>
        <w:pageBreakBefore w:val="0"/>
        <w:widowControl/>
        <w:kinsoku/>
        <w:wordWrap/>
        <w:overflowPunct/>
        <w:topLinePunct w:val="0"/>
        <w:autoSpaceDE/>
        <w:autoSpaceDN/>
        <w:bidi w:val="0"/>
        <w:adjustRightInd/>
        <w:snapToGrid/>
        <w:spacing w:line="460" w:lineRule="exact"/>
        <w:ind w:firstLine="640"/>
        <w:jc w:val="left"/>
        <w:textAlignment w:val="auto"/>
        <w:rPr>
          <w:rFonts w:hint="eastAsia" w:ascii="宋体" w:hAnsi="宋体" w:eastAsia="宋体" w:cs="宋体"/>
          <w:color w:val="000000"/>
          <w:kern w:val="0"/>
          <w:sz w:val="24"/>
          <w:szCs w:val="24"/>
          <w:shd w:val="clear" w:color="auto" w:fill="FFFFFF"/>
          <w:lang w:eastAsia="zh-CN" w:bidi="ar"/>
        </w:rPr>
      </w:pPr>
      <w:r>
        <w:rPr>
          <w:rFonts w:hint="eastAsia" w:ascii="宋体" w:hAnsi="宋体" w:eastAsia="宋体" w:cs="宋体"/>
          <w:color w:val="000000"/>
          <w:kern w:val="0"/>
          <w:sz w:val="24"/>
          <w:szCs w:val="24"/>
          <w:shd w:val="clear" w:color="auto" w:fill="FFFFFF"/>
          <w:lang w:val="en-US" w:eastAsia="zh-CN" w:bidi="ar"/>
        </w:rPr>
        <w:t>响应文件提交方式：本项目为全流程电子化项目，通过“政采云”平台（https://www.zcygov.cn/）实行在线电子投标，供应商应先安装“政采云投标客户端”（请自行前往“政采云”平台进行下载），并按照本项目采购文件和“政采云”平台的要求编制、加密后在响应文件提交截止时间前通过网络上传至“政采云”平台，供应商在“政采云”平台提交电子响应文件时，请填写参加开标活动经办人联系方式。在制作响应文件前，供应商需申领CA，领取CA后与政采云平台的账号进行绑定，使用CA对响应文件进行签章，否则，有可能导致无法在线编制响应文件和参与响应，其后果由供应商自行承担。</w:t>
      </w:r>
    </w:p>
    <w:p w14:paraId="496CD11B">
      <w:pPr>
        <w:keepNext w:val="0"/>
        <w:keepLines w:val="0"/>
        <w:pageBreakBefore w:val="0"/>
        <w:widowControl w:val="0"/>
        <w:kinsoku/>
        <w:wordWrap/>
        <w:overflowPunct/>
        <w:topLinePunct w:val="0"/>
        <w:autoSpaceDE w:val="0"/>
        <w:autoSpaceDN/>
        <w:bidi w:val="0"/>
        <w:adjustRightInd/>
        <w:snapToGrid/>
        <w:spacing w:line="500" w:lineRule="exact"/>
        <w:ind w:firstLine="482" w:firstLineChars="200"/>
        <w:textAlignment w:val="auto"/>
        <w:rPr>
          <w:rFonts w:hint="eastAsia" w:ascii="宋体" w:hAnsi="宋体" w:eastAsia="宋体" w:cs="宋体"/>
          <w:b/>
          <w:color w:val="auto"/>
          <w:kern w:val="0"/>
          <w:sz w:val="24"/>
          <w:szCs w:val="24"/>
          <w:highlight w:val="none"/>
          <w:lang w:bidi="ar"/>
        </w:rPr>
      </w:pPr>
      <w:r>
        <w:rPr>
          <w:rFonts w:hint="eastAsia" w:ascii="宋体" w:hAnsi="宋体" w:eastAsia="宋体" w:cs="宋体"/>
          <w:b/>
          <w:color w:val="auto"/>
          <w:kern w:val="0"/>
          <w:sz w:val="24"/>
          <w:szCs w:val="24"/>
          <w:highlight w:val="none"/>
          <w:lang w:bidi="ar"/>
        </w:rPr>
        <w:t>五、响应文件开启</w:t>
      </w:r>
    </w:p>
    <w:p w14:paraId="7C17644D">
      <w:pPr>
        <w:keepNext w:val="0"/>
        <w:keepLines w:val="0"/>
        <w:pageBreakBefore w:val="0"/>
        <w:widowControl w:val="0"/>
        <w:kinsoku/>
        <w:wordWrap/>
        <w:overflowPunct/>
        <w:topLinePunct w:val="0"/>
        <w:autoSpaceDE w:val="0"/>
        <w:autoSpaceDN/>
        <w:bidi w:val="0"/>
        <w:adjustRightInd/>
        <w:snapToGrid/>
        <w:spacing w:line="500" w:lineRule="exact"/>
        <w:ind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时间：</w:t>
      </w:r>
      <w:r>
        <w:rPr>
          <w:rFonts w:hint="eastAsia" w:ascii="宋体" w:hAnsi="宋体" w:cs="宋体"/>
          <w:color w:val="auto"/>
          <w:kern w:val="0"/>
          <w:sz w:val="24"/>
          <w:szCs w:val="24"/>
          <w:highlight w:val="none"/>
          <w:lang w:val="en-US" w:eastAsia="zh-CN" w:bidi="ar"/>
        </w:rPr>
        <w:t>2024年11月28日09时00分</w:t>
      </w:r>
      <w:r>
        <w:rPr>
          <w:rFonts w:hint="eastAsia" w:ascii="宋体" w:hAnsi="宋体" w:eastAsia="宋体" w:cs="宋体"/>
          <w:color w:val="auto"/>
          <w:kern w:val="0"/>
          <w:sz w:val="24"/>
          <w:szCs w:val="24"/>
          <w:highlight w:val="none"/>
          <w:lang w:val="en-US" w:eastAsia="zh-CN" w:bidi="ar"/>
        </w:rPr>
        <w:t>（北京时间）</w:t>
      </w:r>
    </w:p>
    <w:p w14:paraId="07F0757D">
      <w:pPr>
        <w:keepNext w:val="0"/>
        <w:keepLines w:val="0"/>
        <w:pageBreakBefore w:val="0"/>
        <w:widowControl w:val="0"/>
        <w:kinsoku/>
        <w:wordWrap/>
        <w:overflowPunct/>
        <w:topLinePunct w:val="0"/>
        <w:autoSpaceDE w:val="0"/>
        <w:autoSpaceDN/>
        <w:bidi w:val="0"/>
        <w:adjustRightInd/>
        <w:snapToGrid/>
        <w:spacing w:line="500" w:lineRule="exact"/>
        <w:ind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地点：长春市二道区洋浦大街6999号凯利中心AB栋101开标</w:t>
      </w:r>
      <w:r>
        <w:rPr>
          <w:rFonts w:hint="eastAsia" w:ascii="宋体" w:hAnsi="宋体" w:cs="宋体"/>
          <w:color w:val="auto"/>
          <w:kern w:val="0"/>
          <w:sz w:val="24"/>
          <w:szCs w:val="24"/>
          <w:highlight w:val="none"/>
          <w:lang w:val="en-US" w:eastAsia="zh-CN" w:bidi="ar"/>
        </w:rPr>
        <w:t>四</w:t>
      </w:r>
      <w:r>
        <w:rPr>
          <w:rFonts w:hint="eastAsia" w:ascii="宋体" w:hAnsi="宋体" w:eastAsia="宋体" w:cs="宋体"/>
          <w:color w:val="auto"/>
          <w:kern w:val="0"/>
          <w:sz w:val="24"/>
          <w:szCs w:val="24"/>
          <w:highlight w:val="none"/>
          <w:lang w:val="en-US" w:eastAsia="zh-CN" w:bidi="ar"/>
        </w:rPr>
        <w:t>室</w:t>
      </w:r>
    </w:p>
    <w:p w14:paraId="4F0FC7E5">
      <w:pPr>
        <w:keepNext w:val="0"/>
        <w:keepLines w:val="0"/>
        <w:pageBreakBefore w:val="0"/>
        <w:widowControl w:val="0"/>
        <w:kinsoku/>
        <w:wordWrap/>
        <w:overflowPunct/>
        <w:topLinePunct w:val="0"/>
        <w:autoSpaceDE w:val="0"/>
        <w:autoSpaceDN/>
        <w:bidi w:val="0"/>
        <w:adjustRightInd/>
        <w:snapToGrid/>
        <w:spacing w:line="500" w:lineRule="exact"/>
        <w:ind w:firstLine="480" w:firstLineChars="200"/>
        <w:textAlignment w:val="auto"/>
        <w:rPr>
          <w:rFonts w:hint="eastAsia" w:ascii="宋体" w:hAnsi="宋体" w:cs="宋体"/>
          <w:b/>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电子响应文件解密期限及方式：开启时间后 30 分钟内，由供应商持制作该电子响应文件的同一数字证书（CA 锁）及电脑进行远程解密（各供应商网上开评标系统公布供应商名单前，不要提前进行远程解密；具体解密时间在直播时采购代理机构工作人员会进行通知）。响应文件解密截止时间后，“政采云”平台公布响应报价信息，供应商持企业数字证书登录“政采云 ”平台在线查询响应报价信息。</w:t>
      </w:r>
    </w:p>
    <w:p w14:paraId="6EC70D30">
      <w:pPr>
        <w:keepNext w:val="0"/>
        <w:keepLines w:val="0"/>
        <w:pageBreakBefore w:val="0"/>
        <w:widowControl w:val="0"/>
        <w:kinsoku/>
        <w:wordWrap/>
        <w:overflowPunct/>
        <w:topLinePunct w:val="0"/>
        <w:autoSpaceDE w:val="0"/>
        <w:autoSpaceDN/>
        <w:bidi w:val="0"/>
        <w:adjustRightInd/>
        <w:snapToGrid/>
        <w:spacing w:line="500" w:lineRule="exact"/>
        <w:ind w:firstLine="482" w:firstLineChars="200"/>
        <w:textAlignment w:val="auto"/>
        <w:rPr>
          <w:rFonts w:hint="eastAsia" w:ascii="宋体" w:hAnsi="宋体" w:cs="宋体"/>
          <w:color w:val="auto"/>
          <w:kern w:val="0"/>
          <w:sz w:val="24"/>
          <w:szCs w:val="24"/>
          <w:highlight w:val="none"/>
          <w:lang w:bidi="ar"/>
        </w:rPr>
      </w:pPr>
      <w:r>
        <w:rPr>
          <w:rFonts w:hint="eastAsia" w:ascii="宋体" w:hAnsi="宋体" w:cs="宋体"/>
          <w:b/>
          <w:color w:val="auto"/>
          <w:kern w:val="0"/>
          <w:sz w:val="24"/>
          <w:szCs w:val="24"/>
          <w:highlight w:val="none"/>
          <w:lang w:val="en-US" w:eastAsia="zh-CN" w:bidi="ar"/>
        </w:rPr>
        <w:t>六</w:t>
      </w:r>
      <w:r>
        <w:rPr>
          <w:rFonts w:hint="eastAsia" w:ascii="宋体" w:hAnsi="宋体" w:cs="宋体"/>
          <w:b/>
          <w:color w:val="auto"/>
          <w:kern w:val="0"/>
          <w:sz w:val="24"/>
          <w:szCs w:val="24"/>
          <w:highlight w:val="none"/>
          <w:lang w:bidi="ar"/>
        </w:rPr>
        <w:t>、公告期限</w:t>
      </w:r>
    </w:p>
    <w:p w14:paraId="1A2D9825">
      <w:pPr>
        <w:keepNext w:val="0"/>
        <w:keepLines w:val="0"/>
        <w:pageBreakBefore w:val="0"/>
        <w:kinsoku/>
        <w:overflowPunct/>
        <w:topLinePunct w:val="0"/>
        <w:autoSpaceDE w:val="0"/>
        <w:autoSpaceDN/>
        <w:bidi w:val="0"/>
        <w:spacing w:line="500" w:lineRule="exact"/>
        <w:ind w:firstLine="42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自本公告发布之日起5个工作日。</w:t>
      </w:r>
    </w:p>
    <w:p w14:paraId="24CAEEF3">
      <w:pPr>
        <w:keepNext w:val="0"/>
        <w:keepLines w:val="0"/>
        <w:pageBreakBefore w:val="0"/>
        <w:widowControl w:val="0"/>
        <w:kinsoku/>
        <w:wordWrap/>
        <w:overflowPunct/>
        <w:topLinePunct w:val="0"/>
        <w:autoSpaceDE w:val="0"/>
        <w:autoSpaceDN/>
        <w:bidi w:val="0"/>
        <w:adjustRightInd/>
        <w:snapToGrid/>
        <w:spacing w:line="500" w:lineRule="exact"/>
        <w:ind w:firstLine="482" w:firstLineChars="200"/>
        <w:textAlignment w:val="auto"/>
        <w:rPr>
          <w:rFonts w:hint="eastAsia" w:ascii="宋体" w:hAnsi="宋体" w:eastAsia="宋体" w:cs="宋体"/>
          <w:b/>
          <w:color w:val="auto"/>
          <w:kern w:val="0"/>
          <w:sz w:val="24"/>
          <w:szCs w:val="24"/>
          <w:highlight w:val="none"/>
          <w:lang w:bidi="ar"/>
        </w:rPr>
      </w:pPr>
      <w:r>
        <w:rPr>
          <w:rFonts w:hint="eastAsia" w:ascii="宋体" w:hAnsi="宋体" w:eastAsia="宋体" w:cs="宋体"/>
          <w:b/>
          <w:color w:val="auto"/>
          <w:kern w:val="0"/>
          <w:sz w:val="24"/>
          <w:szCs w:val="24"/>
          <w:highlight w:val="none"/>
          <w:lang w:val="en-US" w:eastAsia="zh-CN" w:bidi="ar"/>
        </w:rPr>
        <w:t>七</w:t>
      </w:r>
      <w:r>
        <w:rPr>
          <w:rFonts w:hint="eastAsia" w:ascii="宋体" w:hAnsi="宋体" w:eastAsia="宋体" w:cs="宋体"/>
          <w:b/>
          <w:color w:val="auto"/>
          <w:kern w:val="0"/>
          <w:sz w:val="24"/>
          <w:szCs w:val="24"/>
          <w:highlight w:val="none"/>
          <w:lang w:bidi="ar"/>
        </w:rPr>
        <w:t>、其它补充事宜</w:t>
      </w:r>
    </w:p>
    <w:p w14:paraId="5BB79E07">
      <w:pPr>
        <w:pStyle w:val="36"/>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500" w:lineRule="exact"/>
        <w:ind w:left="0" w:right="0"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cs="宋体"/>
          <w:color w:val="auto"/>
          <w:kern w:val="0"/>
          <w:sz w:val="24"/>
          <w:szCs w:val="24"/>
          <w:highlight w:val="none"/>
          <w:lang w:bidi="ar"/>
        </w:rPr>
        <w:t>本次</w:t>
      </w:r>
      <w:r>
        <w:rPr>
          <w:rFonts w:hint="eastAsia" w:ascii="宋体" w:hAnsi="宋体" w:cs="宋体"/>
          <w:color w:val="auto"/>
          <w:kern w:val="0"/>
          <w:sz w:val="24"/>
          <w:szCs w:val="24"/>
          <w:highlight w:val="none"/>
          <w:lang w:val="en-US" w:eastAsia="zh-CN" w:bidi="ar"/>
        </w:rPr>
        <w:t>竞争性磋商</w:t>
      </w:r>
      <w:r>
        <w:rPr>
          <w:rFonts w:hint="eastAsia" w:ascii="宋体" w:hAnsi="宋体" w:cs="宋体"/>
          <w:color w:val="auto"/>
          <w:kern w:val="0"/>
          <w:sz w:val="24"/>
          <w:szCs w:val="24"/>
          <w:highlight w:val="none"/>
          <w:lang w:bidi="ar"/>
        </w:rPr>
        <w:t>公告</w:t>
      </w:r>
      <w:r>
        <w:rPr>
          <w:rFonts w:hint="eastAsia" w:ascii="宋体" w:hAnsi="宋体" w:eastAsia="宋体" w:cs="宋体"/>
          <w:color w:val="auto"/>
          <w:kern w:val="0"/>
          <w:sz w:val="24"/>
          <w:szCs w:val="24"/>
          <w:highlight w:val="none"/>
          <w:lang w:eastAsia="zh-CN" w:bidi="ar"/>
        </w:rPr>
        <w:t>同时</w:t>
      </w:r>
      <w:r>
        <w:rPr>
          <w:rFonts w:hint="eastAsia" w:ascii="宋体" w:hAnsi="宋体" w:eastAsia="宋体" w:cs="宋体"/>
          <w:color w:val="auto"/>
          <w:kern w:val="0"/>
          <w:sz w:val="24"/>
          <w:szCs w:val="24"/>
          <w:highlight w:val="none"/>
          <w:lang w:val="en-US" w:eastAsia="zh-CN" w:bidi="ar"/>
        </w:rPr>
        <w:t>在“政采云”平台（http:// www.zcygov.cn），同步推送到吉林省政府采购网（http://www.ccgp-jilin.gov.cn/）、中国政府采购网上发布</w:t>
      </w:r>
      <w:r>
        <w:rPr>
          <w:rFonts w:hint="eastAsia" w:ascii="宋体" w:hAnsi="宋体" w:eastAsia="宋体" w:cs="宋体"/>
          <w:color w:val="auto"/>
          <w:kern w:val="0"/>
          <w:sz w:val="24"/>
          <w:szCs w:val="24"/>
          <w:highlight w:val="none"/>
          <w:lang w:eastAsia="zh-CN" w:bidi="ar"/>
        </w:rPr>
        <w:t>。</w:t>
      </w:r>
    </w:p>
    <w:p w14:paraId="33AB6E2B">
      <w:pPr>
        <w:keepNext w:val="0"/>
        <w:keepLines w:val="0"/>
        <w:pageBreakBefore w:val="0"/>
        <w:kinsoku/>
        <w:wordWrap/>
        <w:overflowPunct/>
        <w:topLinePunct w:val="0"/>
        <w:autoSpaceDE/>
        <w:autoSpaceDN/>
        <w:bidi w:val="0"/>
        <w:adjustRightInd w:val="0"/>
        <w:snapToGrid w:val="0"/>
        <w:spacing w:line="500" w:lineRule="exact"/>
        <w:ind w:firstLine="482" w:firstLineChars="200"/>
        <w:jc w:val="both"/>
        <w:textAlignment w:val="auto"/>
        <w:rPr>
          <w:rFonts w:hint="eastAsia" w:ascii="宋体" w:hAnsi="宋体" w:eastAsia="宋体" w:cs="宋体"/>
          <w:b/>
          <w:sz w:val="24"/>
          <w:szCs w:val="24"/>
          <w:highlight w:val="none"/>
          <w:lang w:eastAsia="zh-CN"/>
        </w:rPr>
      </w:pPr>
      <w:r>
        <w:rPr>
          <w:rFonts w:hint="eastAsia" w:ascii="宋体" w:hAnsi="宋体" w:cs="宋体"/>
          <w:b/>
          <w:sz w:val="24"/>
          <w:szCs w:val="24"/>
          <w:highlight w:val="none"/>
          <w:lang w:val="en-US" w:eastAsia="zh-CN"/>
        </w:rPr>
        <w:t>八</w:t>
      </w:r>
      <w:r>
        <w:rPr>
          <w:rFonts w:hint="eastAsia" w:ascii="宋体" w:hAnsi="宋体" w:eastAsia="宋体" w:cs="宋体"/>
          <w:b/>
          <w:sz w:val="24"/>
          <w:szCs w:val="24"/>
          <w:highlight w:val="none"/>
          <w:lang w:eastAsia="zh-CN"/>
        </w:rPr>
        <w:t>、对本次招标提出询问，请按以下方式联系</w:t>
      </w:r>
    </w:p>
    <w:p w14:paraId="2BFB4D6E">
      <w:pPr>
        <w:pStyle w:val="36"/>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500" w:lineRule="exact"/>
        <w:ind w:left="0" w:right="0"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1.采购人信息</w:t>
      </w:r>
    </w:p>
    <w:p w14:paraId="724D892D">
      <w:pPr>
        <w:pStyle w:val="36"/>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500" w:lineRule="exact"/>
        <w:ind w:left="0" w:right="0" w:firstLine="480" w:firstLineChars="200"/>
        <w:jc w:val="both"/>
        <w:textAlignment w:val="auto"/>
        <w:rPr>
          <w:rFonts w:hint="default"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名  称：长春宽城经济开发区管理委员会</w:t>
      </w:r>
    </w:p>
    <w:p w14:paraId="620A6AC9">
      <w:pPr>
        <w:pStyle w:val="36"/>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500" w:lineRule="exact"/>
        <w:ind w:left="0" w:right="0" w:firstLine="480" w:firstLineChars="200"/>
        <w:jc w:val="both"/>
        <w:textAlignment w:val="auto"/>
        <w:rPr>
          <w:rFonts w:hint="default"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地  址：长春市宽城区北凯旋路7388号</w:t>
      </w:r>
    </w:p>
    <w:p w14:paraId="5CC71CA3">
      <w:pPr>
        <w:pStyle w:val="36"/>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500" w:lineRule="exact"/>
        <w:ind w:left="0" w:right="0" w:firstLine="480" w:firstLineChars="200"/>
        <w:jc w:val="both"/>
        <w:textAlignment w:val="auto"/>
        <w:rPr>
          <w:rFonts w:hint="default"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联系人：胡玉姝</w:t>
      </w:r>
    </w:p>
    <w:p w14:paraId="5A693CF4">
      <w:pPr>
        <w:pStyle w:val="36"/>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500" w:lineRule="exact"/>
        <w:ind w:left="0" w:right="0" w:firstLine="480" w:firstLineChars="200"/>
        <w:jc w:val="both"/>
        <w:textAlignment w:val="auto"/>
        <w:rPr>
          <w:rFonts w:hint="default" w:ascii="宋体" w:hAnsi="宋体" w:eastAsia="宋体" w:cs="宋体"/>
          <w:b w:val="0"/>
          <w:bCs w:val="0"/>
          <w:kern w:val="2"/>
          <w:sz w:val="24"/>
          <w:szCs w:val="24"/>
          <w:highlight w:val="none"/>
          <w:u w:val="none"/>
          <w:lang w:val="en-US" w:eastAsia="zh-CN"/>
        </w:rPr>
      </w:pPr>
      <w:r>
        <w:rPr>
          <w:rFonts w:hint="eastAsia" w:ascii="宋体" w:hAnsi="宋体" w:eastAsia="宋体" w:cs="宋体"/>
          <w:b w:val="0"/>
          <w:bCs w:val="0"/>
          <w:kern w:val="2"/>
          <w:sz w:val="24"/>
          <w:szCs w:val="24"/>
          <w:highlight w:val="none"/>
          <w:u w:val="none"/>
          <w:lang w:val="en-US" w:eastAsia="zh-CN"/>
        </w:rPr>
        <w:t>电  话：0431-89991801</w:t>
      </w:r>
    </w:p>
    <w:p w14:paraId="27BE11E0">
      <w:pPr>
        <w:pStyle w:val="36"/>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500" w:lineRule="exact"/>
        <w:ind w:left="0" w:right="0" w:firstLine="480" w:firstLineChars="200"/>
        <w:jc w:val="both"/>
        <w:textAlignment w:val="auto"/>
        <w:rPr>
          <w:rFonts w:hint="eastAsia" w:ascii="宋体" w:hAnsi="宋体" w:eastAsia="宋体" w:cs="宋体"/>
          <w:b w:val="0"/>
          <w:bCs w:val="0"/>
          <w:kern w:val="2"/>
          <w:sz w:val="24"/>
          <w:szCs w:val="24"/>
          <w:highlight w:val="none"/>
          <w:u w:val="none"/>
          <w:lang w:val="en-US" w:eastAsia="zh-CN"/>
        </w:rPr>
      </w:pPr>
      <w:r>
        <w:rPr>
          <w:rFonts w:hint="eastAsia" w:ascii="宋体" w:hAnsi="宋体" w:eastAsia="宋体" w:cs="宋体"/>
          <w:b w:val="0"/>
          <w:bCs w:val="0"/>
          <w:kern w:val="2"/>
          <w:sz w:val="24"/>
          <w:szCs w:val="24"/>
          <w:highlight w:val="none"/>
          <w:u w:val="none"/>
          <w:lang w:val="en-US" w:eastAsia="zh-CN"/>
        </w:rPr>
        <w:t>2.采购代理机构信息</w:t>
      </w:r>
    </w:p>
    <w:p w14:paraId="2587945A">
      <w:pPr>
        <w:pStyle w:val="36"/>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500" w:lineRule="exact"/>
        <w:ind w:left="0" w:right="0" w:firstLine="480" w:firstLineChars="200"/>
        <w:jc w:val="both"/>
        <w:textAlignment w:val="auto"/>
        <w:rPr>
          <w:rFonts w:hint="eastAsia" w:ascii="宋体" w:hAnsi="宋体" w:eastAsia="宋体" w:cs="宋体"/>
          <w:b w:val="0"/>
          <w:bCs w:val="0"/>
          <w:kern w:val="2"/>
          <w:sz w:val="24"/>
          <w:szCs w:val="24"/>
          <w:highlight w:val="none"/>
          <w:u w:val="none"/>
          <w:lang w:val="en-US" w:eastAsia="zh-CN"/>
        </w:rPr>
      </w:pPr>
      <w:r>
        <w:rPr>
          <w:rFonts w:hint="eastAsia" w:ascii="宋体" w:hAnsi="宋体" w:eastAsia="宋体" w:cs="宋体"/>
          <w:b w:val="0"/>
          <w:bCs w:val="0"/>
          <w:kern w:val="2"/>
          <w:sz w:val="24"/>
          <w:szCs w:val="24"/>
          <w:highlight w:val="none"/>
          <w:u w:val="none"/>
          <w:lang w:val="en-US" w:eastAsia="zh-CN"/>
        </w:rPr>
        <w:t>名    称：</w:t>
      </w:r>
      <w:r>
        <w:rPr>
          <w:rFonts w:hint="eastAsia" w:cs="宋体"/>
          <w:b w:val="0"/>
          <w:bCs w:val="0"/>
          <w:kern w:val="2"/>
          <w:sz w:val="24"/>
          <w:szCs w:val="24"/>
          <w:highlight w:val="none"/>
          <w:u w:val="none"/>
          <w:lang w:val="zh-CN" w:eastAsia="zh-CN"/>
        </w:rPr>
        <w:t>吉林华鑫德润项目管理咨询有限公司</w:t>
      </w:r>
    </w:p>
    <w:p w14:paraId="675C45FA">
      <w:pPr>
        <w:pStyle w:val="36"/>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500" w:lineRule="exact"/>
        <w:ind w:left="0" w:right="0" w:firstLine="480" w:firstLineChars="200"/>
        <w:jc w:val="both"/>
        <w:textAlignment w:val="auto"/>
        <w:rPr>
          <w:rFonts w:hint="default" w:ascii="宋体" w:hAnsi="宋体" w:eastAsia="宋体" w:cs="宋体"/>
          <w:b w:val="0"/>
          <w:bCs w:val="0"/>
          <w:kern w:val="2"/>
          <w:sz w:val="24"/>
          <w:szCs w:val="24"/>
          <w:highlight w:val="none"/>
          <w:u w:val="none"/>
          <w:lang w:val="en-US" w:eastAsia="zh-CN"/>
        </w:rPr>
      </w:pPr>
      <w:r>
        <w:rPr>
          <w:rFonts w:hint="eastAsia" w:ascii="宋体" w:hAnsi="宋体" w:eastAsia="宋体" w:cs="宋体"/>
          <w:b w:val="0"/>
          <w:bCs w:val="0"/>
          <w:kern w:val="2"/>
          <w:sz w:val="24"/>
          <w:szCs w:val="24"/>
          <w:highlight w:val="none"/>
          <w:u w:val="none"/>
          <w:lang w:val="en-US" w:eastAsia="zh-CN"/>
        </w:rPr>
        <w:t>地    址：长春市高新技术产业开发区越达路888号越达科技产业园2号楼15A03号</w:t>
      </w:r>
    </w:p>
    <w:p w14:paraId="03D2D19E">
      <w:pPr>
        <w:pStyle w:val="36"/>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500" w:lineRule="exact"/>
        <w:ind w:left="0" w:right="0" w:firstLine="480" w:firstLineChars="200"/>
        <w:jc w:val="both"/>
        <w:textAlignment w:val="auto"/>
        <w:rPr>
          <w:rFonts w:hint="default" w:cs="宋体"/>
          <w:b w:val="0"/>
          <w:bCs w:val="0"/>
          <w:kern w:val="2"/>
          <w:sz w:val="24"/>
          <w:szCs w:val="24"/>
          <w:highlight w:val="none"/>
          <w:u w:val="none"/>
          <w:lang w:val="en-US" w:eastAsia="zh-CN"/>
        </w:rPr>
      </w:pPr>
      <w:r>
        <w:rPr>
          <w:rFonts w:hint="eastAsia" w:ascii="宋体" w:hAnsi="宋体" w:eastAsia="宋体" w:cs="宋体"/>
          <w:b w:val="0"/>
          <w:bCs w:val="0"/>
          <w:kern w:val="2"/>
          <w:sz w:val="24"/>
          <w:szCs w:val="24"/>
          <w:highlight w:val="none"/>
          <w:u w:val="none"/>
          <w:lang w:val="en-US" w:eastAsia="zh-CN"/>
        </w:rPr>
        <w:t>电    话：15643604917</w:t>
      </w:r>
    </w:p>
    <w:p w14:paraId="6C1293ED">
      <w:pPr>
        <w:pStyle w:val="36"/>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500" w:lineRule="exact"/>
        <w:ind w:left="0" w:right="0" w:firstLine="480" w:firstLineChars="200"/>
        <w:jc w:val="both"/>
        <w:textAlignment w:val="auto"/>
        <w:rPr>
          <w:rFonts w:hint="eastAsia" w:ascii="宋体" w:hAnsi="宋体" w:eastAsia="宋体" w:cs="宋体"/>
          <w:b w:val="0"/>
          <w:bCs w:val="0"/>
          <w:kern w:val="2"/>
          <w:sz w:val="24"/>
          <w:szCs w:val="24"/>
          <w:highlight w:val="none"/>
          <w:u w:val="none"/>
          <w:lang w:val="en-US" w:eastAsia="zh-CN"/>
        </w:rPr>
      </w:pPr>
      <w:r>
        <w:rPr>
          <w:rFonts w:hint="eastAsia" w:ascii="宋体" w:hAnsi="宋体" w:eastAsia="宋体" w:cs="宋体"/>
          <w:b w:val="0"/>
          <w:bCs w:val="0"/>
          <w:kern w:val="2"/>
          <w:sz w:val="24"/>
          <w:szCs w:val="24"/>
          <w:highlight w:val="none"/>
          <w:u w:val="none"/>
          <w:lang w:val="en-US" w:eastAsia="zh-CN"/>
        </w:rPr>
        <w:t>3.项目联系方式</w:t>
      </w:r>
    </w:p>
    <w:p w14:paraId="69C486E7">
      <w:pPr>
        <w:pStyle w:val="36"/>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500" w:lineRule="exact"/>
        <w:ind w:left="0" w:right="0" w:firstLine="480" w:firstLineChars="200"/>
        <w:jc w:val="both"/>
        <w:textAlignment w:val="auto"/>
        <w:rPr>
          <w:rFonts w:hint="eastAsia" w:ascii="宋体" w:hAnsi="宋体" w:eastAsia="宋体" w:cs="宋体"/>
          <w:b w:val="0"/>
          <w:bCs w:val="0"/>
          <w:kern w:val="2"/>
          <w:sz w:val="24"/>
          <w:szCs w:val="24"/>
          <w:highlight w:val="none"/>
          <w:u w:val="none"/>
          <w:lang w:val="en-US" w:eastAsia="zh-CN"/>
        </w:rPr>
      </w:pPr>
      <w:r>
        <w:rPr>
          <w:rFonts w:hint="eastAsia" w:ascii="宋体" w:hAnsi="宋体" w:eastAsia="宋体" w:cs="宋体"/>
          <w:b w:val="0"/>
          <w:bCs w:val="0"/>
          <w:kern w:val="2"/>
          <w:sz w:val="24"/>
          <w:szCs w:val="24"/>
          <w:highlight w:val="none"/>
          <w:u w:val="none"/>
          <w:lang w:val="en-US" w:eastAsia="zh-CN"/>
        </w:rPr>
        <w:t>项目联系人：</w:t>
      </w:r>
      <w:r>
        <w:rPr>
          <w:rFonts w:hint="eastAsia" w:cs="宋体"/>
          <w:b w:val="0"/>
          <w:bCs w:val="0"/>
          <w:kern w:val="2"/>
          <w:sz w:val="24"/>
          <w:szCs w:val="24"/>
          <w:highlight w:val="none"/>
          <w:u w:val="none"/>
          <w:lang w:val="en-US" w:eastAsia="zh-CN"/>
        </w:rPr>
        <w:t>王吉明</w:t>
      </w:r>
    </w:p>
    <w:p w14:paraId="4CDAE9AB">
      <w:pPr>
        <w:pStyle w:val="36"/>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500" w:lineRule="exact"/>
        <w:ind w:left="0" w:right="0" w:firstLine="480" w:firstLineChars="200"/>
        <w:jc w:val="both"/>
        <w:textAlignment w:val="auto"/>
        <w:rPr>
          <w:rFonts w:hint="default"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u w:val="none"/>
          <w:lang w:val="en-US" w:eastAsia="zh-CN"/>
        </w:rPr>
        <w:t>电     话：15643604917</w:t>
      </w:r>
    </w:p>
    <w:p w14:paraId="66F6EAAE">
      <w:pPr>
        <w:pStyle w:val="36"/>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500" w:lineRule="exact"/>
        <w:ind w:left="0" w:right="0" w:firstLine="480" w:firstLineChars="200"/>
        <w:jc w:val="both"/>
        <w:textAlignment w:val="auto"/>
        <w:rPr>
          <w:rFonts w:hint="eastAsia" w:ascii="宋体" w:hAnsi="宋体" w:eastAsia="宋体" w:cs="宋体"/>
          <w:b w:val="0"/>
          <w:bCs w:val="0"/>
          <w:kern w:val="2"/>
          <w:sz w:val="24"/>
          <w:szCs w:val="24"/>
          <w:highlight w:val="none"/>
          <w:u w:val="none"/>
          <w:lang w:val="en-US" w:eastAsia="zh-CN"/>
        </w:rPr>
      </w:pPr>
      <w:r>
        <w:rPr>
          <w:rFonts w:hint="eastAsia" w:ascii="宋体" w:hAnsi="宋体" w:eastAsia="宋体" w:cs="宋体"/>
          <w:b w:val="0"/>
          <w:bCs w:val="0"/>
          <w:kern w:val="2"/>
          <w:sz w:val="24"/>
          <w:szCs w:val="24"/>
          <w:highlight w:val="none"/>
          <w:u w:val="none"/>
          <w:lang w:val="en-US" w:eastAsia="zh-CN"/>
        </w:rPr>
        <w:t>4.招标监督管理部门</w:t>
      </w:r>
    </w:p>
    <w:p w14:paraId="3DD4CA06">
      <w:pPr>
        <w:pStyle w:val="36"/>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500" w:lineRule="exact"/>
        <w:ind w:left="0" w:right="0" w:firstLine="480" w:firstLineChars="200"/>
        <w:jc w:val="both"/>
        <w:textAlignment w:val="auto"/>
        <w:rPr>
          <w:rFonts w:hint="eastAsia" w:ascii="宋体" w:hAnsi="宋体" w:eastAsia="宋体" w:cs="宋体"/>
          <w:b w:val="0"/>
          <w:bCs w:val="0"/>
          <w:kern w:val="2"/>
          <w:sz w:val="24"/>
          <w:szCs w:val="24"/>
          <w:highlight w:val="none"/>
          <w:u w:val="none"/>
          <w:lang w:val="en-US" w:eastAsia="zh-CN"/>
        </w:rPr>
      </w:pPr>
      <w:r>
        <w:rPr>
          <w:rFonts w:hint="eastAsia" w:ascii="宋体" w:hAnsi="宋体" w:eastAsia="宋体" w:cs="宋体"/>
          <w:b w:val="0"/>
          <w:bCs w:val="0"/>
          <w:kern w:val="2"/>
          <w:sz w:val="24"/>
          <w:szCs w:val="24"/>
          <w:highlight w:val="none"/>
          <w:u w:val="none"/>
          <w:lang w:val="en-US" w:eastAsia="zh-CN"/>
        </w:rPr>
        <w:t>名  称：长春宽城经济开发区财政金融局</w:t>
      </w:r>
    </w:p>
    <w:p w14:paraId="3DAFE965">
      <w:pPr>
        <w:pStyle w:val="36"/>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500" w:lineRule="exact"/>
        <w:ind w:left="0" w:right="0" w:firstLine="480" w:firstLineChars="200"/>
        <w:jc w:val="both"/>
        <w:textAlignment w:val="auto"/>
        <w:rPr>
          <w:rFonts w:hint="default" w:ascii="宋体" w:hAnsi="宋体" w:eastAsia="宋体" w:cs="宋体"/>
          <w:b w:val="0"/>
          <w:bCs w:val="0"/>
          <w:kern w:val="2"/>
          <w:sz w:val="24"/>
          <w:szCs w:val="24"/>
          <w:highlight w:val="none"/>
          <w:u w:val="none"/>
          <w:lang w:val="en-US" w:eastAsia="zh-CN"/>
        </w:rPr>
      </w:pPr>
      <w:r>
        <w:rPr>
          <w:rFonts w:hint="eastAsia" w:ascii="宋体" w:hAnsi="宋体" w:eastAsia="宋体" w:cs="宋体"/>
          <w:b w:val="0"/>
          <w:bCs w:val="0"/>
          <w:kern w:val="2"/>
          <w:sz w:val="24"/>
          <w:szCs w:val="24"/>
          <w:highlight w:val="none"/>
          <w:u w:val="none"/>
          <w:lang w:val="en-US" w:eastAsia="zh-CN"/>
        </w:rPr>
        <w:t>联系人：曾祥雪</w:t>
      </w:r>
    </w:p>
    <w:p w14:paraId="29FBEB90">
      <w:pPr>
        <w:pStyle w:val="36"/>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500" w:lineRule="exact"/>
        <w:ind w:left="0" w:right="0" w:firstLine="480" w:firstLineChars="200"/>
        <w:jc w:val="both"/>
        <w:textAlignment w:val="auto"/>
        <w:rPr>
          <w:rFonts w:ascii="宋体" w:hAnsi="宋体" w:cs="宋体"/>
          <w:bCs/>
          <w:szCs w:val="21"/>
          <w:highlight w:val="none"/>
          <w:lang w:val="zh-CN"/>
        </w:rPr>
      </w:pPr>
      <w:r>
        <w:rPr>
          <w:rFonts w:hint="eastAsia" w:ascii="宋体" w:hAnsi="宋体" w:eastAsia="宋体" w:cs="宋体"/>
          <w:b w:val="0"/>
          <w:bCs w:val="0"/>
          <w:kern w:val="2"/>
          <w:sz w:val="24"/>
          <w:szCs w:val="24"/>
          <w:highlight w:val="none"/>
          <w:u w:val="none"/>
          <w:lang w:val="en-US" w:eastAsia="zh-CN"/>
        </w:rPr>
        <w:t>电  话：0431-89991808</w:t>
      </w:r>
    </w:p>
    <w:p w14:paraId="45F37B62">
      <w:pPr>
        <w:numPr>
          <w:ilvl w:val="0"/>
          <w:numId w:val="0"/>
        </w:numPr>
        <w:spacing w:line="440" w:lineRule="exact"/>
        <w:ind w:firstLine="480" w:firstLineChars="200"/>
        <w:jc w:val="left"/>
        <w:rPr>
          <w:rFonts w:hint="eastAsia" w:ascii="宋体" w:hAnsi="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本项目按照吉林省财政厅《关于依托政府采购数字金融服务平台开展融资业务有关事项的通知》（吉财采购【2023】721号）支持申请“政采合同贷”的政策。“政采数金平台”联系电话：张经理0431-81888978，柯经理：0431-81888998。</w:t>
      </w:r>
      <w:r>
        <w:rPr>
          <w:rFonts w:hint="eastAsia" w:ascii="宋体" w:hAnsi="宋体" w:cs="宋体"/>
          <w:b w:val="0"/>
          <w:bCs w:val="0"/>
          <w:sz w:val="24"/>
          <w:szCs w:val="24"/>
          <w:highlight w:val="none"/>
          <w:lang w:val="en-US" w:eastAsia="zh-CN"/>
        </w:rPr>
        <w:t xml:space="preserve">                                    </w:t>
      </w:r>
    </w:p>
    <w:p w14:paraId="2198EAF4">
      <w:pPr>
        <w:pStyle w:val="36"/>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right="0" w:firstLine="48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br w:type="page"/>
      </w:r>
      <w:bookmarkStart w:id="1" w:name="_Toc383794598"/>
      <w:bookmarkStart w:id="2" w:name="_Toc325358490"/>
      <w:bookmarkStart w:id="3" w:name="_Toc291782331"/>
      <w:bookmarkStart w:id="4" w:name="_Toc184635071"/>
    </w:p>
    <w:p w14:paraId="00B78697">
      <w:pPr>
        <w:pStyle w:val="112"/>
        <w:spacing w:beforeAutospacing="0" w:afterAutospacing="0"/>
        <w:ind w:left="840" w:leftChars="0" w:hanging="630" w:firstLineChars="0"/>
        <w:rPr>
          <w:rFonts w:hint="eastAsia" w:ascii="宋体" w:hAnsi="宋体" w:eastAsia="宋体" w:cs="宋体"/>
          <w:b/>
          <w:bCs/>
        </w:rPr>
      </w:pPr>
      <w:r>
        <w:rPr>
          <w:rFonts w:hint="eastAsia" w:ascii="宋体" w:hAnsi="宋体" w:eastAsia="宋体" w:cs="宋体"/>
          <w:b/>
          <w:bCs/>
        </w:rPr>
        <w:t>窗体顶端</w:t>
      </w:r>
    </w:p>
    <w:p w14:paraId="6465250D">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right="0"/>
        <w:jc w:val="center"/>
        <w:rPr>
          <w:rFonts w:hint="eastAsia" w:ascii="宋体" w:hAnsi="宋体" w:eastAsia="宋体" w:cs="宋体"/>
          <w:b/>
          <w:bCs/>
          <w:color w:val="000000"/>
          <w:sz w:val="32"/>
          <w:szCs w:val="32"/>
          <w:shd w:val="clear" w:fill="FFFFFF"/>
          <w:lang w:val="en-US" w:eastAsia="zh-CN"/>
        </w:rPr>
      </w:pPr>
      <w:r>
        <w:rPr>
          <w:rFonts w:hint="eastAsia" w:ascii="宋体" w:hAnsi="宋体" w:eastAsia="宋体" w:cs="宋体"/>
          <w:b/>
          <w:bCs/>
          <w:color w:val="000000"/>
          <w:sz w:val="32"/>
          <w:szCs w:val="32"/>
          <w:shd w:val="clear" w:fill="FFFFFF"/>
          <w:lang w:val="en-US" w:eastAsia="zh-CN"/>
        </w:rPr>
        <w:t>长春市宽城区医院异地建设项目柴油发电机采购与安装</w:t>
      </w:r>
    </w:p>
    <w:p w14:paraId="6D55145B">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right="0"/>
        <w:jc w:val="center"/>
        <w:rPr>
          <w:rFonts w:hint="eastAsia" w:ascii="宋体" w:hAnsi="宋体" w:eastAsia="宋体" w:cs="宋体"/>
          <w:b/>
          <w:bCs/>
          <w:sz w:val="32"/>
          <w:szCs w:val="32"/>
        </w:rPr>
      </w:pPr>
      <w:r>
        <w:rPr>
          <w:rFonts w:hint="eastAsia" w:ascii="宋体" w:hAnsi="宋体" w:eastAsia="宋体" w:cs="宋体"/>
          <w:b/>
          <w:bCs/>
          <w:color w:val="000000"/>
          <w:sz w:val="32"/>
          <w:szCs w:val="32"/>
          <w:shd w:val="clear" w:fill="FFFFFF"/>
          <w:lang w:val="en-US" w:eastAsia="zh-CN"/>
        </w:rPr>
        <w:t>澄清公告</w:t>
      </w:r>
    </w:p>
    <w:p w14:paraId="475F4EE6">
      <w:pPr>
        <w:pStyle w:val="3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00" w:lineRule="exact"/>
        <w:ind w:right="0"/>
        <w:jc w:val="left"/>
        <w:textAlignment w:val="auto"/>
        <w:outlineLvl w:val="9"/>
        <w:rPr>
          <w:rFonts w:hint="eastAsia" w:ascii="宋体" w:hAnsi="宋体" w:eastAsia="宋体" w:cs="宋体"/>
          <w:b/>
          <w:bCs/>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一、项目基本情况：</w:t>
      </w:r>
    </w:p>
    <w:p w14:paraId="10D30B18">
      <w:pPr>
        <w:pStyle w:val="3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00" w:lineRule="exact"/>
        <w:ind w:right="0" w:firstLine="482" w:firstLineChars="200"/>
        <w:jc w:val="left"/>
        <w:textAlignment w:val="auto"/>
        <w:outlineLvl w:val="9"/>
        <w:rPr>
          <w:rFonts w:hint="eastAsia" w:ascii="宋体" w:hAnsi="宋体" w:eastAsia="宋体" w:cs="宋体"/>
          <w:b/>
          <w:bCs/>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 xml:space="preserve">原公告的项目编号：HXDR20241105 </w:t>
      </w:r>
    </w:p>
    <w:p w14:paraId="0CD4C80A">
      <w:pPr>
        <w:pStyle w:val="3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00" w:lineRule="exact"/>
        <w:ind w:right="0" w:firstLine="482" w:firstLineChars="200"/>
        <w:jc w:val="left"/>
        <w:textAlignment w:val="auto"/>
        <w:outlineLvl w:val="9"/>
        <w:rPr>
          <w:rFonts w:hint="eastAsia" w:ascii="宋体" w:hAnsi="宋体" w:eastAsia="宋体" w:cs="宋体"/>
          <w:b/>
          <w:bCs/>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原公告的项目名称：长春市宽城区医院异地建设项目柴油发电机采购与安装</w:t>
      </w:r>
    </w:p>
    <w:p w14:paraId="45918E54">
      <w:pPr>
        <w:pStyle w:val="3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00" w:lineRule="exact"/>
        <w:ind w:right="0" w:firstLine="482" w:firstLineChars="200"/>
        <w:jc w:val="left"/>
        <w:textAlignment w:val="auto"/>
        <w:outlineLvl w:val="9"/>
        <w:rPr>
          <w:rFonts w:hint="default" w:ascii="宋体" w:hAnsi="宋体" w:eastAsia="宋体" w:cs="宋体"/>
          <w:b/>
          <w:bCs/>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首次公告日期：2024年11月13日</w:t>
      </w:r>
    </w:p>
    <w:p w14:paraId="6705706D">
      <w:pPr>
        <w:pStyle w:val="3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00" w:lineRule="exact"/>
        <w:ind w:right="0"/>
        <w:jc w:val="left"/>
        <w:textAlignment w:val="auto"/>
        <w:outlineLvl w:val="9"/>
        <w:rPr>
          <w:rFonts w:hint="eastAsia" w:ascii="宋体" w:hAnsi="宋体" w:eastAsia="宋体" w:cs="宋体"/>
          <w:b/>
          <w:bCs/>
          <w:color w:val="333333"/>
          <w:sz w:val="24"/>
          <w:szCs w:val="24"/>
          <w:shd w:val="clear" w:fill="FFFFFF"/>
          <w:lang w:eastAsia="zh-CN"/>
        </w:rPr>
      </w:pPr>
      <w:r>
        <w:rPr>
          <w:rFonts w:hint="eastAsia" w:ascii="宋体" w:hAnsi="宋体" w:eastAsia="宋体" w:cs="宋体"/>
          <w:b/>
          <w:bCs/>
          <w:color w:val="333333"/>
          <w:sz w:val="24"/>
          <w:szCs w:val="24"/>
          <w:shd w:val="clear" w:fill="FFFFFF"/>
          <w:lang w:val="en-US" w:eastAsia="zh-CN"/>
        </w:rPr>
        <w:t>二、澄清信息</w:t>
      </w:r>
      <w:r>
        <w:rPr>
          <w:rFonts w:hint="eastAsia" w:ascii="宋体" w:hAnsi="宋体" w:eastAsia="宋体" w:cs="宋体"/>
          <w:b/>
          <w:bCs/>
          <w:color w:val="333333"/>
          <w:sz w:val="24"/>
          <w:szCs w:val="24"/>
          <w:shd w:val="clear" w:fill="FFFFFF"/>
          <w:lang w:eastAsia="zh-CN"/>
        </w:rPr>
        <w:t>：</w:t>
      </w:r>
    </w:p>
    <w:p w14:paraId="24F7B406">
      <w:pPr>
        <w:pStyle w:val="3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00" w:lineRule="exact"/>
        <w:ind w:right="0" w:firstLine="482" w:firstLineChars="200"/>
        <w:jc w:val="left"/>
        <w:textAlignment w:val="auto"/>
        <w:outlineLvl w:val="9"/>
        <w:rPr>
          <w:rFonts w:hint="default" w:ascii="宋体" w:hAnsi="宋体" w:eastAsia="宋体" w:cs="宋体"/>
          <w:b/>
          <w:bCs/>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澄清事项：磋商文件</w:t>
      </w:r>
    </w:p>
    <w:p w14:paraId="467A8742">
      <w:pPr>
        <w:pStyle w:val="3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00" w:lineRule="exact"/>
        <w:ind w:right="0" w:firstLine="482" w:firstLineChars="200"/>
        <w:jc w:val="left"/>
        <w:textAlignment w:val="auto"/>
        <w:outlineLvl w:val="9"/>
        <w:rPr>
          <w:rFonts w:hint="eastAsia" w:ascii="宋体" w:hAnsi="宋体" w:eastAsia="宋体" w:cs="宋体"/>
          <w:b/>
          <w:bCs/>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澄清</w:t>
      </w:r>
      <w:r>
        <w:rPr>
          <w:rFonts w:hint="eastAsia" w:ascii="宋体" w:hAnsi="宋体" w:eastAsia="宋体" w:cs="宋体"/>
          <w:b/>
          <w:bCs/>
          <w:color w:val="333333"/>
          <w:sz w:val="24"/>
          <w:szCs w:val="24"/>
          <w:shd w:val="clear" w:fill="FFFFFF"/>
        </w:rPr>
        <w:t>内容：</w:t>
      </w:r>
      <w:r>
        <w:rPr>
          <w:rFonts w:hint="eastAsia" w:ascii="宋体" w:hAnsi="宋体" w:eastAsia="宋体" w:cs="宋体"/>
          <w:b/>
          <w:bCs/>
          <w:color w:val="333333"/>
          <w:sz w:val="24"/>
          <w:szCs w:val="24"/>
          <w:shd w:val="clear" w:fill="FFFFFF"/>
          <w:lang w:val="en-US" w:eastAsia="zh-CN"/>
        </w:rPr>
        <w:t>第五章《采购需求》：</w:t>
      </w:r>
    </w:p>
    <w:p w14:paraId="3C5C2FE7">
      <w:pPr>
        <w:pStyle w:val="3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00" w:lineRule="exact"/>
        <w:ind w:right="0" w:firstLine="482" w:firstLineChars="200"/>
        <w:jc w:val="left"/>
        <w:textAlignment w:val="auto"/>
        <w:outlineLvl w:val="9"/>
        <w:rPr>
          <w:rFonts w:hint="eastAsia" w:ascii="宋体" w:hAnsi="宋体" w:eastAsia="宋体" w:cs="宋体"/>
          <w:b/>
          <w:bCs/>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1、项目名称：长春市宽城区医院异地建设项目柴油发电机采购与安装；</w:t>
      </w:r>
    </w:p>
    <w:p w14:paraId="04806096">
      <w:pPr>
        <w:pStyle w:val="3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00" w:lineRule="exact"/>
        <w:ind w:right="0" w:firstLine="482" w:firstLineChars="200"/>
        <w:jc w:val="left"/>
        <w:textAlignment w:val="auto"/>
        <w:outlineLvl w:val="9"/>
        <w:rPr>
          <w:rFonts w:hint="eastAsia" w:ascii="宋体" w:hAnsi="宋体" w:eastAsia="宋体" w:cs="宋体"/>
          <w:b/>
          <w:bCs/>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2、采购内容：柴油发电机组采购与安装，平时柴油发电机组630KW2台、人防柴油发电机组110KW1台并安装调试；</w:t>
      </w:r>
    </w:p>
    <w:p w14:paraId="1C1D9113">
      <w:pPr>
        <w:pStyle w:val="3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00" w:lineRule="exact"/>
        <w:ind w:right="0" w:firstLine="482" w:firstLineChars="200"/>
        <w:jc w:val="left"/>
        <w:textAlignment w:val="auto"/>
        <w:outlineLvl w:val="9"/>
        <w:rPr>
          <w:rFonts w:hint="eastAsia" w:ascii="宋体" w:hAnsi="宋体" w:eastAsia="宋体" w:cs="宋体"/>
          <w:b/>
          <w:bCs/>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3、采购预算（即最高投标限价）：687127.23元（最高投标限价中包含暂列金57000元。潜在投标人最终报价总价包含暂列金57000元）；</w:t>
      </w:r>
    </w:p>
    <w:p w14:paraId="5BB08D58">
      <w:pPr>
        <w:pStyle w:val="3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00" w:lineRule="exact"/>
        <w:ind w:right="0" w:firstLine="482" w:firstLineChars="200"/>
        <w:jc w:val="left"/>
        <w:textAlignment w:val="auto"/>
        <w:outlineLvl w:val="9"/>
        <w:rPr>
          <w:rFonts w:hint="eastAsia" w:ascii="宋体" w:hAnsi="宋体" w:eastAsia="宋体" w:cs="宋体"/>
          <w:b/>
          <w:bCs/>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4、柴油发电机组给出的功率 630KW/110KW为主用功率。</w:t>
      </w:r>
    </w:p>
    <w:p w14:paraId="2A72794E">
      <w:pPr>
        <w:pStyle w:val="3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00" w:lineRule="exact"/>
        <w:ind w:right="0" w:firstLine="482" w:firstLineChars="200"/>
        <w:jc w:val="left"/>
        <w:textAlignment w:val="auto"/>
        <w:outlineLvl w:val="9"/>
        <w:rPr>
          <w:rFonts w:hint="eastAsia" w:ascii="宋体" w:hAnsi="宋体" w:eastAsia="宋体" w:cs="宋体"/>
          <w:b/>
          <w:bCs/>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5、柴油发电机组使用方式：敞开式机组室内安装。</w:t>
      </w:r>
    </w:p>
    <w:p w14:paraId="57C9A5F4">
      <w:pPr>
        <w:pStyle w:val="3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00" w:lineRule="exact"/>
        <w:ind w:right="0" w:firstLine="482" w:firstLineChars="200"/>
        <w:jc w:val="left"/>
        <w:textAlignment w:val="auto"/>
        <w:outlineLvl w:val="9"/>
        <w:rPr>
          <w:rFonts w:hint="eastAsia" w:ascii="宋体" w:hAnsi="宋体" w:eastAsia="宋体" w:cs="宋体"/>
          <w:b/>
          <w:bCs/>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6．不接受翻新设备或二手设备、代工贴牌产品；</w:t>
      </w:r>
    </w:p>
    <w:p w14:paraId="7AA8CFBE">
      <w:pPr>
        <w:pStyle w:val="3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00" w:lineRule="exact"/>
        <w:ind w:right="0" w:firstLine="482" w:firstLineChars="200"/>
        <w:jc w:val="left"/>
        <w:textAlignment w:val="auto"/>
        <w:outlineLvl w:val="9"/>
        <w:rPr>
          <w:rFonts w:hint="eastAsia" w:ascii="宋体" w:hAnsi="宋体" w:eastAsia="宋体" w:cs="宋体"/>
          <w:b/>
          <w:bCs/>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7．提供加盖原厂商公章的出厂合格证，出厂测试报告文件。</w:t>
      </w:r>
    </w:p>
    <w:p w14:paraId="7450584A">
      <w:pPr>
        <w:pStyle w:val="3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00" w:lineRule="exact"/>
        <w:ind w:right="0" w:firstLine="482" w:firstLineChars="200"/>
        <w:jc w:val="left"/>
        <w:textAlignment w:val="auto"/>
        <w:outlineLvl w:val="9"/>
        <w:rPr>
          <w:rFonts w:hint="eastAsia" w:ascii="宋体" w:hAnsi="宋体" w:eastAsia="宋体" w:cs="宋体"/>
          <w:b/>
          <w:bCs/>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8．提供提供柴油发电机组尺寸、重量、及铭牌。</w:t>
      </w:r>
    </w:p>
    <w:p w14:paraId="57B67F09">
      <w:pPr>
        <w:pStyle w:val="3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00" w:lineRule="exact"/>
        <w:ind w:right="0" w:firstLine="482" w:firstLineChars="200"/>
        <w:jc w:val="left"/>
        <w:textAlignment w:val="auto"/>
        <w:outlineLvl w:val="9"/>
        <w:rPr>
          <w:rFonts w:hint="eastAsia" w:ascii="宋体" w:hAnsi="宋体" w:eastAsia="宋体" w:cs="宋体"/>
          <w:b/>
          <w:bCs/>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9．发电机组标准安装后在使用地现场带载测试（不低于90%)。</w:t>
      </w:r>
    </w:p>
    <w:p w14:paraId="4234E467">
      <w:pPr>
        <w:pStyle w:val="3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00" w:lineRule="exact"/>
        <w:ind w:right="0" w:firstLine="482" w:firstLineChars="200"/>
        <w:jc w:val="left"/>
        <w:textAlignment w:val="auto"/>
        <w:outlineLvl w:val="9"/>
        <w:rPr>
          <w:rFonts w:hint="eastAsia" w:ascii="宋体" w:hAnsi="宋体" w:eastAsia="宋体" w:cs="宋体"/>
          <w:b/>
          <w:bCs/>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10．备用630KW机组不是并机使用，2组发电机在一个屋。</w:t>
      </w:r>
    </w:p>
    <w:p w14:paraId="3CEFC757">
      <w:pPr>
        <w:pStyle w:val="3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00" w:lineRule="exact"/>
        <w:ind w:right="0" w:firstLine="482" w:firstLineChars="200"/>
        <w:jc w:val="left"/>
        <w:textAlignment w:val="auto"/>
        <w:outlineLvl w:val="9"/>
        <w:rPr>
          <w:rFonts w:hint="eastAsia" w:ascii="宋体" w:hAnsi="宋体" w:eastAsia="宋体" w:cs="宋体"/>
          <w:b/>
          <w:bCs/>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11．柴油发电机组安装调试工程界面：至低压双电源柜，满足柴发正常使用及相关部门验收要求。</w:t>
      </w:r>
    </w:p>
    <w:p w14:paraId="16C0F639">
      <w:pPr>
        <w:pStyle w:val="3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00" w:lineRule="exact"/>
        <w:ind w:right="0" w:firstLine="482" w:firstLineChars="200"/>
        <w:jc w:val="left"/>
        <w:textAlignment w:val="auto"/>
        <w:outlineLvl w:val="9"/>
        <w:rPr>
          <w:rFonts w:hint="eastAsia" w:ascii="宋体" w:hAnsi="宋体" w:eastAsia="宋体" w:cs="宋体"/>
          <w:b/>
          <w:bCs/>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12、采购内容及技术要求：630kW敞开式应急柴油发电机组2套、110kW 敞开式应急柴油发电机组 1 套符合国标要求，并满足验收条件。</w:t>
      </w:r>
    </w:p>
    <w:p w14:paraId="2F6FA172">
      <w:pPr>
        <w:pStyle w:val="3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00" w:lineRule="exact"/>
        <w:ind w:right="0" w:firstLine="482" w:firstLineChars="200"/>
        <w:jc w:val="left"/>
        <w:textAlignment w:val="auto"/>
        <w:outlineLvl w:val="9"/>
        <w:rPr>
          <w:rFonts w:hint="eastAsia" w:ascii="宋体" w:hAnsi="宋体" w:eastAsia="宋体" w:cs="宋体"/>
          <w:b/>
          <w:bCs/>
          <w:color w:val="333333"/>
          <w:sz w:val="24"/>
          <w:szCs w:val="24"/>
          <w:shd w:val="clear" w:fill="FFFFFF"/>
          <w:lang w:eastAsia="zh-CN"/>
        </w:rPr>
      </w:pPr>
      <w:r>
        <w:rPr>
          <w:rFonts w:hint="eastAsia" w:ascii="宋体" w:hAnsi="宋体" w:eastAsia="宋体" w:cs="宋体"/>
          <w:b/>
          <w:bCs/>
          <w:color w:val="333333"/>
          <w:sz w:val="24"/>
          <w:szCs w:val="24"/>
          <w:shd w:val="clear" w:fill="FFFFFF"/>
          <w:lang w:val="en-US" w:eastAsia="zh-CN"/>
        </w:rPr>
        <w:t>采购需求以此为准</w:t>
      </w:r>
      <w:r>
        <w:rPr>
          <w:rFonts w:hint="eastAsia" w:ascii="宋体" w:hAnsi="宋体" w:eastAsia="宋体" w:cs="宋体"/>
          <w:b/>
          <w:bCs/>
          <w:color w:val="333333"/>
          <w:sz w:val="24"/>
          <w:szCs w:val="24"/>
          <w:shd w:val="clear" w:fill="FFFFFF"/>
          <w:lang w:eastAsia="zh-CN"/>
        </w:rPr>
        <w:t>。</w:t>
      </w:r>
    </w:p>
    <w:p w14:paraId="20FF9089">
      <w:pPr>
        <w:pStyle w:val="3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00" w:lineRule="exact"/>
        <w:ind w:right="0" w:firstLine="964" w:firstLineChars="400"/>
        <w:jc w:val="left"/>
        <w:textAlignment w:val="auto"/>
        <w:outlineLvl w:val="9"/>
        <w:rPr>
          <w:rFonts w:hint="default" w:ascii="宋体" w:hAnsi="宋体" w:eastAsia="宋体" w:cs="宋体"/>
          <w:b/>
          <w:bCs/>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磋商文件变更内容:见答疑澄清文件“第五章《采购需求》”</w:t>
      </w:r>
    </w:p>
    <w:p w14:paraId="7A40962D">
      <w:pPr>
        <w:pStyle w:val="3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00" w:lineRule="exact"/>
        <w:ind w:right="0" w:firstLine="482" w:firstLineChars="200"/>
        <w:jc w:val="left"/>
        <w:textAlignment w:val="auto"/>
        <w:outlineLvl w:val="9"/>
        <w:rPr>
          <w:rFonts w:hint="default" w:ascii="宋体" w:hAnsi="宋体" w:eastAsia="宋体" w:cs="宋体"/>
          <w:b/>
          <w:bCs/>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更正日期：2024年11月21日</w:t>
      </w:r>
    </w:p>
    <w:p w14:paraId="6BADD55E">
      <w:pPr>
        <w:pStyle w:val="3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00" w:lineRule="exact"/>
        <w:ind w:left="917" w:leftChars="292" w:right="0" w:hanging="304" w:hangingChars="126"/>
        <w:jc w:val="left"/>
        <w:textAlignment w:val="auto"/>
        <w:outlineLvl w:val="9"/>
        <w:rPr>
          <w:rFonts w:hint="eastAsia" w:ascii="宋体" w:hAnsi="宋体" w:eastAsia="宋体" w:cs="宋体"/>
          <w:b/>
          <w:bCs/>
          <w:sz w:val="24"/>
          <w:szCs w:val="24"/>
        </w:rPr>
      </w:pPr>
      <w:r>
        <w:rPr>
          <w:rFonts w:hint="eastAsia" w:ascii="宋体" w:hAnsi="宋体" w:eastAsia="宋体" w:cs="宋体"/>
          <w:b/>
          <w:bCs/>
          <w:color w:val="333333"/>
          <w:sz w:val="24"/>
          <w:szCs w:val="24"/>
          <w:shd w:val="clear" w:fill="FFFFFF"/>
        </w:rPr>
        <w:t>除上述内容，其他不变。</w:t>
      </w:r>
    </w:p>
    <w:p w14:paraId="50F574B4">
      <w:pPr>
        <w:keepNext w:val="0"/>
        <w:keepLines w:val="0"/>
        <w:pageBreakBefore w:val="0"/>
        <w:widowControl w:val="0"/>
        <w:kinsoku/>
        <w:wordWrap/>
        <w:overflowPunct/>
        <w:topLinePunct w:val="0"/>
        <w:autoSpaceDE/>
        <w:autoSpaceDN/>
        <w:bidi w:val="0"/>
        <w:adjustRightInd/>
        <w:snapToGrid/>
        <w:spacing w:line="360" w:lineRule="auto"/>
        <w:ind w:firstLine="361" w:firstLineChars="150"/>
        <w:jc w:val="left"/>
        <w:textAlignment w:val="auto"/>
        <w:rPr>
          <w:rFonts w:hint="eastAsia" w:ascii="宋体" w:hAnsi="宋体" w:eastAsia="宋体" w:cs="宋体"/>
          <w:b/>
          <w:bCs/>
          <w:color w:val="333333"/>
          <w:kern w:val="0"/>
          <w:sz w:val="24"/>
          <w:szCs w:val="24"/>
          <w:shd w:val="clear" w:fill="FFFFFF"/>
          <w:lang w:val="en-US" w:eastAsia="zh-CN" w:bidi="ar"/>
        </w:rPr>
      </w:pPr>
      <w:r>
        <w:rPr>
          <w:rFonts w:hint="eastAsia" w:ascii="宋体" w:hAnsi="宋体" w:eastAsia="宋体" w:cs="宋体"/>
          <w:b/>
          <w:bCs/>
          <w:color w:val="333333"/>
          <w:kern w:val="0"/>
          <w:sz w:val="24"/>
          <w:szCs w:val="24"/>
          <w:shd w:val="clear" w:fill="FFFFFF"/>
          <w:lang w:val="en-US" w:eastAsia="zh-CN" w:bidi="ar"/>
        </w:rPr>
        <w:t>三：其他补充事宜</w:t>
      </w:r>
    </w:p>
    <w:p w14:paraId="1FAE303C">
      <w:pPr>
        <w:keepNext w:val="0"/>
        <w:keepLines w:val="0"/>
        <w:pageBreakBefore w:val="0"/>
        <w:widowControl w:val="0"/>
        <w:kinsoku/>
        <w:wordWrap/>
        <w:overflowPunct/>
        <w:topLinePunct w:val="0"/>
        <w:autoSpaceDE/>
        <w:autoSpaceDN/>
        <w:bidi w:val="0"/>
        <w:adjustRightInd/>
        <w:snapToGrid/>
        <w:spacing w:line="360" w:lineRule="auto"/>
        <w:ind w:firstLine="843" w:firstLineChars="350"/>
        <w:jc w:val="left"/>
        <w:textAlignment w:val="auto"/>
        <w:rPr>
          <w:rFonts w:hint="eastAsia" w:ascii="宋体" w:hAnsi="宋体" w:eastAsia="宋体" w:cs="宋体"/>
          <w:b/>
          <w:bCs/>
          <w:color w:val="333333"/>
          <w:kern w:val="0"/>
          <w:sz w:val="24"/>
          <w:szCs w:val="24"/>
          <w:shd w:val="clear" w:fill="FFFFFF"/>
          <w:lang w:val="en-US" w:eastAsia="zh-CN" w:bidi="ar"/>
        </w:rPr>
      </w:pPr>
      <w:r>
        <w:rPr>
          <w:rFonts w:hint="eastAsia" w:ascii="宋体" w:hAnsi="宋体" w:eastAsia="宋体" w:cs="宋体"/>
          <w:b/>
          <w:bCs/>
          <w:color w:val="333333"/>
          <w:kern w:val="0"/>
          <w:sz w:val="24"/>
          <w:szCs w:val="24"/>
          <w:shd w:val="clear" w:fill="FFFFFF"/>
          <w:lang w:val="en-US" w:eastAsia="zh-CN" w:bidi="ar"/>
        </w:rPr>
        <w:t>无</w:t>
      </w:r>
    </w:p>
    <w:p w14:paraId="158C7E89">
      <w:pPr>
        <w:keepNext w:val="0"/>
        <w:keepLines w:val="0"/>
        <w:pageBreakBefore w:val="0"/>
        <w:widowControl w:val="0"/>
        <w:kinsoku/>
        <w:wordWrap/>
        <w:overflowPunct/>
        <w:topLinePunct w:val="0"/>
        <w:autoSpaceDE/>
        <w:autoSpaceDN/>
        <w:bidi w:val="0"/>
        <w:adjustRightInd/>
        <w:snapToGrid/>
        <w:spacing w:line="360" w:lineRule="auto"/>
        <w:ind w:firstLine="361" w:firstLineChars="150"/>
        <w:jc w:val="left"/>
        <w:textAlignment w:val="auto"/>
        <w:rPr>
          <w:rFonts w:hint="default" w:ascii="宋体" w:hAnsi="宋体" w:eastAsia="宋体" w:cs="宋体"/>
          <w:b/>
          <w:bCs/>
          <w:color w:val="333333"/>
          <w:kern w:val="0"/>
          <w:sz w:val="24"/>
          <w:szCs w:val="24"/>
          <w:shd w:val="clear" w:fill="FFFFFF"/>
          <w:lang w:val="en-US" w:eastAsia="zh-CN" w:bidi="ar"/>
        </w:rPr>
      </w:pPr>
      <w:r>
        <w:rPr>
          <w:rFonts w:hint="eastAsia" w:ascii="宋体" w:hAnsi="宋体" w:eastAsia="宋体" w:cs="宋体"/>
          <w:b/>
          <w:bCs/>
          <w:color w:val="333333"/>
          <w:kern w:val="0"/>
          <w:sz w:val="24"/>
          <w:szCs w:val="24"/>
          <w:shd w:val="clear" w:fill="FFFFFF"/>
          <w:lang w:val="en-US" w:eastAsia="zh-CN" w:bidi="ar"/>
        </w:rPr>
        <w:t>四：凡对本公告内容提出询问，请按以下方式联系。</w:t>
      </w:r>
    </w:p>
    <w:p w14:paraId="46A40001">
      <w:pPr>
        <w:pStyle w:val="36"/>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500" w:lineRule="exact"/>
        <w:ind w:left="0" w:right="0"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1.采购人信息</w:t>
      </w:r>
    </w:p>
    <w:p w14:paraId="27FFBD3B">
      <w:pPr>
        <w:pStyle w:val="36"/>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500" w:lineRule="exact"/>
        <w:ind w:left="0" w:right="0" w:firstLine="480" w:firstLineChars="200"/>
        <w:jc w:val="both"/>
        <w:textAlignment w:val="auto"/>
        <w:rPr>
          <w:rFonts w:hint="default"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名  称：长春宽城经济开发区管理委员会</w:t>
      </w:r>
    </w:p>
    <w:p w14:paraId="70AAF0C4">
      <w:pPr>
        <w:pStyle w:val="36"/>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500" w:lineRule="exact"/>
        <w:ind w:left="0" w:right="0" w:firstLine="480" w:firstLineChars="200"/>
        <w:jc w:val="both"/>
        <w:textAlignment w:val="auto"/>
        <w:rPr>
          <w:rFonts w:hint="default"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地  址：长春市宽城区北凯旋路7388号</w:t>
      </w:r>
    </w:p>
    <w:p w14:paraId="68B44368">
      <w:pPr>
        <w:pStyle w:val="36"/>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500" w:lineRule="exact"/>
        <w:ind w:left="0" w:right="0" w:firstLine="480" w:firstLineChars="200"/>
        <w:jc w:val="both"/>
        <w:textAlignment w:val="auto"/>
        <w:rPr>
          <w:rFonts w:hint="default"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联系人：胡玉姝</w:t>
      </w:r>
    </w:p>
    <w:p w14:paraId="2231A2C2">
      <w:pPr>
        <w:pStyle w:val="36"/>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500" w:lineRule="exact"/>
        <w:ind w:left="0" w:right="0" w:firstLine="480" w:firstLineChars="200"/>
        <w:jc w:val="both"/>
        <w:textAlignment w:val="auto"/>
        <w:rPr>
          <w:rFonts w:hint="default" w:ascii="宋体" w:hAnsi="宋体" w:eastAsia="宋体" w:cs="宋体"/>
          <w:b w:val="0"/>
          <w:bCs w:val="0"/>
          <w:kern w:val="2"/>
          <w:sz w:val="24"/>
          <w:szCs w:val="24"/>
          <w:highlight w:val="none"/>
          <w:u w:val="none"/>
          <w:lang w:val="en-US" w:eastAsia="zh-CN"/>
        </w:rPr>
      </w:pPr>
      <w:r>
        <w:rPr>
          <w:rFonts w:hint="eastAsia" w:ascii="宋体" w:hAnsi="宋体" w:eastAsia="宋体" w:cs="宋体"/>
          <w:b w:val="0"/>
          <w:bCs w:val="0"/>
          <w:kern w:val="2"/>
          <w:sz w:val="24"/>
          <w:szCs w:val="24"/>
          <w:highlight w:val="none"/>
          <w:u w:val="none"/>
          <w:lang w:val="en-US" w:eastAsia="zh-CN"/>
        </w:rPr>
        <w:t>电  话：0431-89991801</w:t>
      </w:r>
    </w:p>
    <w:p w14:paraId="78FAA23B">
      <w:pPr>
        <w:pStyle w:val="36"/>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500" w:lineRule="exact"/>
        <w:ind w:left="0" w:right="0" w:firstLine="480" w:firstLineChars="200"/>
        <w:jc w:val="both"/>
        <w:textAlignment w:val="auto"/>
        <w:rPr>
          <w:rFonts w:hint="eastAsia" w:ascii="宋体" w:hAnsi="宋体" w:eastAsia="宋体" w:cs="宋体"/>
          <w:b w:val="0"/>
          <w:bCs w:val="0"/>
          <w:kern w:val="2"/>
          <w:sz w:val="24"/>
          <w:szCs w:val="24"/>
          <w:highlight w:val="none"/>
          <w:u w:val="none"/>
          <w:lang w:val="en-US" w:eastAsia="zh-CN"/>
        </w:rPr>
      </w:pPr>
      <w:r>
        <w:rPr>
          <w:rFonts w:hint="eastAsia" w:ascii="宋体" w:hAnsi="宋体" w:eastAsia="宋体" w:cs="宋体"/>
          <w:b w:val="0"/>
          <w:bCs w:val="0"/>
          <w:kern w:val="2"/>
          <w:sz w:val="24"/>
          <w:szCs w:val="24"/>
          <w:highlight w:val="none"/>
          <w:u w:val="none"/>
          <w:lang w:val="en-US" w:eastAsia="zh-CN"/>
        </w:rPr>
        <w:t>2.采购代理机构信息</w:t>
      </w:r>
    </w:p>
    <w:p w14:paraId="71862905">
      <w:pPr>
        <w:pStyle w:val="36"/>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500" w:lineRule="exact"/>
        <w:ind w:left="0" w:right="0" w:firstLine="480" w:firstLineChars="200"/>
        <w:jc w:val="both"/>
        <w:textAlignment w:val="auto"/>
        <w:rPr>
          <w:rFonts w:hint="eastAsia" w:ascii="宋体" w:hAnsi="宋体" w:eastAsia="宋体" w:cs="宋体"/>
          <w:b w:val="0"/>
          <w:bCs w:val="0"/>
          <w:kern w:val="2"/>
          <w:sz w:val="24"/>
          <w:szCs w:val="24"/>
          <w:highlight w:val="none"/>
          <w:u w:val="none"/>
          <w:lang w:val="en-US" w:eastAsia="zh-CN"/>
        </w:rPr>
      </w:pPr>
      <w:r>
        <w:rPr>
          <w:rFonts w:hint="eastAsia" w:ascii="宋体" w:hAnsi="宋体" w:eastAsia="宋体" w:cs="宋体"/>
          <w:b w:val="0"/>
          <w:bCs w:val="0"/>
          <w:kern w:val="2"/>
          <w:sz w:val="24"/>
          <w:szCs w:val="24"/>
          <w:highlight w:val="none"/>
          <w:u w:val="none"/>
          <w:lang w:val="en-US" w:eastAsia="zh-CN"/>
        </w:rPr>
        <w:t>名    称：</w:t>
      </w:r>
      <w:r>
        <w:rPr>
          <w:rFonts w:hint="eastAsia" w:cs="宋体"/>
          <w:b w:val="0"/>
          <w:bCs w:val="0"/>
          <w:kern w:val="2"/>
          <w:sz w:val="24"/>
          <w:szCs w:val="24"/>
          <w:highlight w:val="none"/>
          <w:u w:val="none"/>
          <w:lang w:val="zh-CN" w:eastAsia="zh-CN"/>
        </w:rPr>
        <w:t>吉林华鑫德润项目管理咨询有限公司</w:t>
      </w:r>
    </w:p>
    <w:p w14:paraId="33C48A61">
      <w:pPr>
        <w:pStyle w:val="36"/>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500" w:lineRule="exact"/>
        <w:ind w:left="0" w:right="0" w:firstLine="480" w:firstLineChars="200"/>
        <w:jc w:val="both"/>
        <w:textAlignment w:val="auto"/>
        <w:rPr>
          <w:rFonts w:hint="default" w:ascii="宋体" w:hAnsi="宋体" w:eastAsia="宋体" w:cs="宋体"/>
          <w:b w:val="0"/>
          <w:bCs w:val="0"/>
          <w:kern w:val="2"/>
          <w:sz w:val="24"/>
          <w:szCs w:val="24"/>
          <w:highlight w:val="none"/>
          <w:u w:val="none"/>
          <w:lang w:val="en-US" w:eastAsia="zh-CN"/>
        </w:rPr>
      </w:pPr>
      <w:r>
        <w:rPr>
          <w:rFonts w:hint="eastAsia" w:ascii="宋体" w:hAnsi="宋体" w:eastAsia="宋体" w:cs="宋体"/>
          <w:b w:val="0"/>
          <w:bCs w:val="0"/>
          <w:kern w:val="2"/>
          <w:sz w:val="24"/>
          <w:szCs w:val="24"/>
          <w:highlight w:val="none"/>
          <w:u w:val="none"/>
          <w:lang w:val="en-US" w:eastAsia="zh-CN"/>
        </w:rPr>
        <w:t>地    址：长春市高新技术产业开发区越达路888号越达科技产业园2号楼15A03号</w:t>
      </w:r>
    </w:p>
    <w:p w14:paraId="69D6D48A">
      <w:pPr>
        <w:pStyle w:val="36"/>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500" w:lineRule="exact"/>
        <w:ind w:left="0" w:right="0" w:firstLine="480" w:firstLineChars="200"/>
        <w:jc w:val="both"/>
        <w:textAlignment w:val="auto"/>
        <w:rPr>
          <w:rFonts w:hint="default" w:cs="宋体"/>
          <w:b w:val="0"/>
          <w:bCs w:val="0"/>
          <w:kern w:val="2"/>
          <w:sz w:val="24"/>
          <w:szCs w:val="24"/>
          <w:highlight w:val="none"/>
          <w:u w:val="none"/>
          <w:lang w:val="en-US" w:eastAsia="zh-CN"/>
        </w:rPr>
      </w:pPr>
      <w:r>
        <w:rPr>
          <w:rFonts w:hint="eastAsia" w:ascii="宋体" w:hAnsi="宋体" w:eastAsia="宋体" w:cs="宋体"/>
          <w:b w:val="0"/>
          <w:bCs w:val="0"/>
          <w:kern w:val="2"/>
          <w:sz w:val="24"/>
          <w:szCs w:val="24"/>
          <w:highlight w:val="none"/>
          <w:u w:val="none"/>
          <w:lang w:val="en-US" w:eastAsia="zh-CN"/>
        </w:rPr>
        <w:t>电    话：15643604917</w:t>
      </w:r>
    </w:p>
    <w:p w14:paraId="408913E1">
      <w:pPr>
        <w:pStyle w:val="36"/>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500" w:lineRule="exact"/>
        <w:ind w:left="0" w:right="0" w:firstLine="480" w:firstLineChars="200"/>
        <w:jc w:val="both"/>
        <w:textAlignment w:val="auto"/>
        <w:rPr>
          <w:rFonts w:hint="eastAsia" w:ascii="宋体" w:hAnsi="宋体" w:eastAsia="宋体" w:cs="宋体"/>
          <w:b w:val="0"/>
          <w:bCs w:val="0"/>
          <w:kern w:val="2"/>
          <w:sz w:val="24"/>
          <w:szCs w:val="24"/>
          <w:highlight w:val="none"/>
          <w:u w:val="none"/>
          <w:lang w:val="en-US" w:eastAsia="zh-CN"/>
        </w:rPr>
      </w:pPr>
      <w:r>
        <w:rPr>
          <w:rFonts w:hint="eastAsia" w:ascii="宋体" w:hAnsi="宋体" w:eastAsia="宋体" w:cs="宋体"/>
          <w:b w:val="0"/>
          <w:bCs w:val="0"/>
          <w:kern w:val="2"/>
          <w:sz w:val="24"/>
          <w:szCs w:val="24"/>
          <w:highlight w:val="none"/>
          <w:u w:val="none"/>
          <w:lang w:val="en-US" w:eastAsia="zh-CN"/>
        </w:rPr>
        <w:t>3.项目联系方式</w:t>
      </w:r>
    </w:p>
    <w:p w14:paraId="57045E07">
      <w:pPr>
        <w:pStyle w:val="36"/>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500" w:lineRule="exact"/>
        <w:ind w:left="0" w:right="0" w:firstLine="480" w:firstLineChars="200"/>
        <w:jc w:val="both"/>
        <w:textAlignment w:val="auto"/>
        <w:rPr>
          <w:rFonts w:hint="eastAsia" w:ascii="宋体" w:hAnsi="宋体" w:eastAsia="宋体" w:cs="宋体"/>
          <w:b w:val="0"/>
          <w:bCs w:val="0"/>
          <w:kern w:val="2"/>
          <w:sz w:val="24"/>
          <w:szCs w:val="24"/>
          <w:highlight w:val="none"/>
          <w:u w:val="none"/>
          <w:lang w:val="en-US" w:eastAsia="zh-CN"/>
        </w:rPr>
      </w:pPr>
      <w:r>
        <w:rPr>
          <w:rFonts w:hint="eastAsia" w:ascii="宋体" w:hAnsi="宋体" w:eastAsia="宋体" w:cs="宋体"/>
          <w:b w:val="0"/>
          <w:bCs w:val="0"/>
          <w:kern w:val="2"/>
          <w:sz w:val="24"/>
          <w:szCs w:val="24"/>
          <w:highlight w:val="none"/>
          <w:u w:val="none"/>
          <w:lang w:val="en-US" w:eastAsia="zh-CN"/>
        </w:rPr>
        <w:t>项目联系人：</w:t>
      </w:r>
      <w:r>
        <w:rPr>
          <w:rFonts w:hint="eastAsia" w:cs="宋体"/>
          <w:b w:val="0"/>
          <w:bCs w:val="0"/>
          <w:kern w:val="2"/>
          <w:sz w:val="24"/>
          <w:szCs w:val="24"/>
          <w:highlight w:val="none"/>
          <w:u w:val="none"/>
          <w:lang w:val="en-US" w:eastAsia="zh-CN"/>
        </w:rPr>
        <w:t>王吉明</w:t>
      </w:r>
    </w:p>
    <w:p w14:paraId="6027826A">
      <w:pPr>
        <w:pStyle w:val="36"/>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500" w:lineRule="exact"/>
        <w:ind w:left="0" w:right="0" w:firstLine="480" w:firstLineChars="200"/>
        <w:jc w:val="both"/>
        <w:textAlignment w:val="auto"/>
        <w:rPr>
          <w:rFonts w:hint="default"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u w:val="none"/>
          <w:lang w:val="en-US" w:eastAsia="zh-CN"/>
        </w:rPr>
        <w:t>电     话：15643604917</w:t>
      </w:r>
    </w:p>
    <w:p w14:paraId="0F788414">
      <w:pPr>
        <w:pStyle w:val="36"/>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500" w:lineRule="exact"/>
        <w:ind w:left="0" w:right="0" w:firstLine="480" w:firstLineChars="200"/>
        <w:jc w:val="both"/>
        <w:textAlignment w:val="auto"/>
        <w:rPr>
          <w:rFonts w:hint="eastAsia" w:ascii="宋体" w:hAnsi="宋体" w:eastAsia="宋体" w:cs="宋体"/>
          <w:b w:val="0"/>
          <w:bCs w:val="0"/>
          <w:kern w:val="2"/>
          <w:sz w:val="24"/>
          <w:szCs w:val="24"/>
          <w:highlight w:val="none"/>
          <w:u w:val="none"/>
          <w:lang w:val="en-US" w:eastAsia="zh-CN"/>
        </w:rPr>
      </w:pPr>
      <w:r>
        <w:rPr>
          <w:rFonts w:hint="eastAsia" w:ascii="宋体" w:hAnsi="宋体" w:eastAsia="宋体" w:cs="宋体"/>
          <w:b w:val="0"/>
          <w:bCs w:val="0"/>
          <w:kern w:val="2"/>
          <w:sz w:val="24"/>
          <w:szCs w:val="24"/>
          <w:highlight w:val="none"/>
          <w:u w:val="none"/>
          <w:lang w:val="en-US" w:eastAsia="zh-CN"/>
        </w:rPr>
        <w:t>4.招标监督管理部门</w:t>
      </w:r>
    </w:p>
    <w:p w14:paraId="496D29EC">
      <w:pPr>
        <w:pStyle w:val="36"/>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500" w:lineRule="exact"/>
        <w:ind w:left="0" w:right="0" w:firstLine="480" w:firstLineChars="200"/>
        <w:jc w:val="both"/>
        <w:textAlignment w:val="auto"/>
        <w:rPr>
          <w:rFonts w:hint="eastAsia" w:ascii="宋体" w:hAnsi="宋体" w:eastAsia="宋体" w:cs="宋体"/>
          <w:b w:val="0"/>
          <w:bCs w:val="0"/>
          <w:kern w:val="2"/>
          <w:sz w:val="24"/>
          <w:szCs w:val="24"/>
          <w:highlight w:val="none"/>
          <w:u w:val="none"/>
          <w:lang w:val="en-US" w:eastAsia="zh-CN"/>
        </w:rPr>
      </w:pPr>
      <w:r>
        <w:rPr>
          <w:rFonts w:hint="eastAsia" w:ascii="宋体" w:hAnsi="宋体" w:eastAsia="宋体" w:cs="宋体"/>
          <w:b w:val="0"/>
          <w:bCs w:val="0"/>
          <w:kern w:val="2"/>
          <w:sz w:val="24"/>
          <w:szCs w:val="24"/>
          <w:highlight w:val="none"/>
          <w:u w:val="none"/>
          <w:lang w:val="en-US" w:eastAsia="zh-CN"/>
        </w:rPr>
        <w:t>名  称：长春宽城经济开发区财政金融局</w:t>
      </w:r>
    </w:p>
    <w:p w14:paraId="18005586">
      <w:pPr>
        <w:pStyle w:val="36"/>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500" w:lineRule="exact"/>
        <w:ind w:left="0" w:right="0" w:firstLine="480" w:firstLineChars="200"/>
        <w:jc w:val="both"/>
        <w:textAlignment w:val="auto"/>
        <w:rPr>
          <w:rFonts w:hint="default" w:ascii="宋体" w:hAnsi="宋体" w:eastAsia="宋体" w:cs="宋体"/>
          <w:b w:val="0"/>
          <w:bCs w:val="0"/>
          <w:kern w:val="2"/>
          <w:sz w:val="24"/>
          <w:szCs w:val="24"/>
          <w:highlight w:val="none"/>
          <w:u w:val="none"/>
          <w:lang w:val="en-US" w:eastAsia="zh-CN"/>
        </w:rPr>
      </w:pPr>
      <w:r>
        <w:rPr>
          <w:rFonts w:hint="eastAsia" w:ascii="宋体" w:hAnsi="宋体" w:eastAsia="宋体" w:cs="宋体"/>
          <w:b w:val="0"/>
          <w:bCs w:val="0"/>
          <w:kern w:val="2"/>
          <w:sz w:val="24"/>
          <w:szCs w:val="24"/>
          <w:highlight w:val="none"/>
          <w:u w:val="none"/>
          <w:lang w:val="en-US" w:eastAsia="zh-CN"/>
        </w:rPr>
        <w:t>联系人：曾祥雪</w:t>
      </w:r>
    </w:p>
    <w:p w14:paraId="15169A61">
      <w:pPr>
        <w:pStyle w:val="36"/>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500" w:lineRule="exact"/>
        <w:ind w:left="0" w:right="0" w:firstLine="480" w:firstLineChars="200"/>
        <w:jc w:val="both"/>
        <w:textAlignment w:val="auto"/>
        <w:rPr>
          <w:rFonts w:ascii="宋体" w:hAnsi="宋体" w:cs="宋体"/>
          <w:bCs/>
          <w:szCs w:val="21"/>
          <w:highlight w:val="none"/>
          <w:lang w:val="zh-CN"/>
        </w:rPr>
      </w:pPr>
      <w:r>
        <w:rPr>
          <w:rFonts w:hint="eastAsia" w:ascii="宋体" w:hAnsi="宋体" w:eastAsia="宋体" w:cs="宋体"/>
          <w:b w:val="0"/>
          <w:bCs w:val="0"/>
          <w:kern w:val="2"/>
          <w:sz w:val="24"/>
          <w:szCs w:val="24"/>
          <w:highlight w:val="none"/>
          <w:u w:val="none"/>
          <w:lang w:val="en-US" w:eastAsia="zh-CN"/>
        </w:rPr>
        <w:t>电  话：0431-89991808</w:t>
      </w:r>
    </w:p>
    <w:p w14:paraId="53227461">
      <w:pPr>
        <w:pStyle w:val="3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00" w:lineRule="exact"/>
        <w:ind w:right="0"/>
        <w:jc w:val="center"/>
        <w:textAlignment w:val="auto"/>
        <w:outlineLvl w:val="9"/>
        <w:rPr>
          <w:rFonts w:hint="eastAsia" w:ascii="宋体" w:hAnsi="宋体" w:eastAsia="宋体" w:cs="宋体"/>
          <w:b/>
          <w:bCs/>
          <w:sz w:val="24"/>
          <w:szCs w:val="24"/>
        </w:rPr>
      </w:pPr>
      <w:r>
        <w:rPr>
          <w:rFonts w:hint="eastAsia" w:ascii="宋体" w:hAnsi="宋体" w:eastAsia="宋体" w:cs="宋体"/>
          <w:b/>
          <w:bCs/>
          <w:color w:val="333333"/>
          <w:sz w:val="24"/>
          <w:szCs w:val="24"/>
          <w:shd w:val="clear" w:fill="FFFFFF"/>
        </w:rPr>
        <w:t>202</w:t>
      </w:r>
      <w:r>
        <w:rPr>
          <w:rFonts w:hint="eastAsia" w:ascii="宋体" w:hAnsi="宋体" w:eastAsia="宋体" w:cs="宋体"/>
          <w:b/>
          <w:bCs/>
          <w:color w:val="333333"/>
          <w:sz w:val="24"/>
          <w:szCs w:val="24"/>
          <w:shd w:val="clear" w:fill="FFFFFF"/>
          <w:lang w:val="en-US" w:eastAsia="zh-CN"/>
        </w:rPr>
        <w:t>4</w:t>
      </w:r>
      <w:r>
        <w:rPr>
          <w:rFonts w:hint="eastAsia" w:ascii="宋体" w:hAnsi="宋体" w:eastAsia="宋体" w:cs="宋体"/>
          <w:b/>
          <w:bCs/>
          <w:color w:val="333333"/>
          <w:sz w:val="24"/>
          <w:szCs w:val="24"/>
          <w:shd w:val="clear" w:fill="FFFFFF"/>
        </w:rPr>
        <w:t>年</w:t>
      </w:r>
      <w:r>
        <w:rPr>
          <w:rFonts w:hint="eastAsia" w:ascii="宋体" w:hAnsi="宋体" w:eastAsia="宋体" w:cs="宋体"/>
          <w:b/>
          <w:bCs/>
          <w:color w:val="333333"/>
          <w:sz w:val="24"/>
          <w:szCs w:val="24"/>
          <w:shd w:val="clear" w:fill="FFFFFF"/>
          <w:lang w:val="en-US" w:eastAsia="zh-CN"/>
        </w:rPr>
        <w:t>11</w:t>
      </w:r>
      <w:r>
        <w:rPr>
          <w:rFonts w:hint="eastAsia" w:ascii="宋体" w:hAnsi="宋体" w:eastAsia="宋体" w:cs="宋体"/>
          <w:b/>
          <w:bCs/>
          <w:color w:val="333333"/>
          <w:sz w:val="24"/>
          <w:szCs w:val="24"/>
          <w:shd w:val="clear" w:fill="FFFFFF"/>
        </w:rPr>
        <w:t>月</w:t>
      </w:r>
      <w:r>
        <w:rPr>
          <w:rFonts w:hint="eastAsia" w:ascii="宋体" w:hAnsi="宋体" w:eastAsia="宋体" w:cs="宋体"/>
          <w:b/>
          <w:bCs/>
          <w:color w:val="333333"/>
          <w:sz w:val="24"/>
          <w:szCs w:val="24"/>
          <w:shd w:val="clear" w:fill="FFFFFF"/>
          <w:lang w:val="en-US" w:eastAsia="zh-CN"/>
        </w:rPr>
        <w:t>21</w:t>
      </w:r>
      <w:r>
        <w:rPr>
          <w:rFonts w:hint="eastAsia" w:ascii="宋体" w:hAnsi="宋体" w:eastAsia="宋体" w:cs="宋体"/>
          <w:b/>
          <w:bCs/>
          <w:color w:val="333333"/>
          <w:sz w:val="24"/>
          <w:szCs w:val="24"/>
          <w:shd w:val="clear" w:fill="FFFFFF"/>
        </w:rPr>
        <w:t>日</w:t>
      </w:r>
    </w:p>
    <w:p w14:paraId="51AF3572">
      <w:pPr>
        <w:pStyle w:val="36"/>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right="0" w:firstLine="480"/>
        <w:jc w:val="left"/>
        <w:textAlignment w:val="auto"/>
        <w:outlineLvl w:val="9"/>
        <w:rPr>
          <w:rFonts w:hint="eastAsia" w:ascii="宋体" w:hAnsi="宋体" w:eastAsia="宋体" w:cs="宋体"/>
          <w:color w:val="auto"/>
          <w:sz w:val="24"/>
          <w:szCs w:val="24"/>
          <w:highlight w:val="none"/>
          <w:lang w:val="en-US" w:eastAsia="zh-CN"/>
        </w:rPr>
      </w:pPr>
    </w:p>
    <w:p w14:paraId="5EECBECA">
      <w:pPr>
        <w:pStyle w:val="36"/>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right="0" w:firstLine="480"/>
        <w:jc w:val="left"/>
        <w:textAlignment w:val="auto"/>
        <w:outlineLvl w:val="9"/>
        <w:rPr>
          <w:rFonts w:hint="eastAsia" w:ascii="宋体" w:hAnsi="宋体" w:eastAsia="宋体" w:cs="宋体"/>
          <w:b/>
          <w:bCs/>
          <w:kern w:val="2"/>
          <w:sz w:val="36"/>
          <w:szCs w:val="36"/>
          <w:highlight w:val="none"/>
          <w:lang w:val="en-US" w:eastAsia="zh-CN" w:bidi="ar-SA"/>
        </w:rPr>
      </w:pPr>
    </w:p>
    <w:p w14:paraId="0BE9EA96">
      <w:pPr>
        <w:pStyle w:val="36"/>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right="0" w:firstLine="480"/>
        <w:jc w:val="left"/>
        <w:textAlignment w:val="auto"/>
        <w:outlineLvl w:val="9"/>
        <w:rPr>
          <w:rFonts w:hint="eastAsia" w:ascii="宋体" w:hAnsi="宋体" w:eastAsia="宋体" w:cs="宋体"/>
          <w:b/>
          <w:bCs/>
          <w:kern w:val="2"/>
          <w:sz w:val="36"/>
          <w:szCs w:val="36"/>
          <w:highlight w:val="none"/>
          <w:lang w:val="en-US" w:eastAsia="zh-CN" w:bidi="ar-SA"/>
        </w:rPr>
      </w:pPr>
    </w:p>
    <w:p w14:paraId="58331294">
      <w:pPr>
        <w:pStyle w:val="36"/>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right="0" w:firstLine="480"/>
        <w:jc w:val="left"/>
        <w:textAlignment w:val="auto"/>
        <w:outlineLvl w:val="9"/>
        <w:rPr>
          <w:rFonts w:hint="eastAsia" w:ascii="宋体" w:hAnsi="宋体" w:eastAsia="宋体" w:cs="宋体"/>
          <w:b/>
          <w:bCs/>
          <w:kern w:val="2"/>
          <w:sz w:val="36"/>
          <w:szCs w:val="36"/>
          <w:highlight w:val="none"/>
          <w:lang w:val="en-US" w:eastAsia="zh-CN" w:bidi="ar-SA"/>
        </w:rPr>
      </w:pPr>
    </w:p>
    <w:p w14:paraId="10BF4D7E">
      <w:pPr>
        <w:pStyle w:val="36"/>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right="0" w:firstLine="480"/>
        <w:jc w:val="left"/>
        <w:textAlignment w:val="auto"/>
        <w:outlineLvl w:val="9"/>
        <w:rPr>
          <w:rFonts w:hint="eastAsia" w:ascii="宋体" w:hAnsi="宋体" w:eastAsia="宋体" w:cs="宋体"/>
          <w:b/>
          <w:bCs/>
          <w:kern w:val="2"/>
          <w:sz w:val="36"/>
          <w:szCs w:val="36"/>
          <w:highlight w:val="none"/>
          <w:lang w:val="en-US" w:eastAsia="zh-CN" w:bidi="ar-SA"/>
        </w:rPr>
      </w:pPr>
    </w:p>
    <w:p w14:paraId="5D7BFE8A">
      <w:pPr>
        <w:pStyle w:val="36"/>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right="0" w:firstLine="480"/>
        <w:jc w:val="left"/>
        <w:textAlignment w:val="auto"/>
        <w:outlineLvl w:val="9"/>
        <w:rPr>
          <w:rFonts w:hint="eastAsia" w:ascii="宋体" w:hAnsi="宋体" w:eastAsia="宋体" w:cs="宋体"/>
          <w:b/>
          <w:bCs/>
          <w:kern w:val="2"/>
          <w:sz w:val="36"/>
          <w:szCs w:val="36"/>
          <w:highlight w:val="none"/>
          <w:lang w:val="en-US" w:eastAsia="zh-CN" w:bidi="ar-SA"/>
        </w:rPr>
      </w:pPr>
    </w:p>
    <w:p w14:paraId="7C6B1700">
      <w:pPr>
        <w:pStyle w:val="36"/>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right="0" w:firstLine="480"/>
        <w:jc w:val="left"/>
        <w:textAlignment w:val="auto"/>
        <w:outlineLvl w:val="9"/>
        <w:rPr>
          <w:rFonts w:hint="eastAsia" w:ascii="宋体" w:hAnsi="宋体" w:eastAsia="宋体" w:cs="宋体"/>
          <w:b/>
          <w:bCs/>
          <w:kern w:val="2"/>
          <w:sz w:val="36"/>
          <w:szCs w:val="36"/>
          <w:highlight w:val="none"/>
          <w:lang w:val="en-US" w:eastAsia="zh-CN" w:bidi="ar-SA"/>
        </w:rPr>
      </w:pPr>
    </w:p>
    <w:p w14:paraId="363183AD">
      <w:pPr>
        <w:pStyle w:val="36"/>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right="0" w:firstLine="480"/>
        <w:jc w:val="left"/>
        <w:textAlignment w:val="auto"/>
        <w:outlineLvl w:val="9"/>
        <w:rPr>
          <w:rFonts w:hint="eastAsia" w:ascii="宋体" w:hAnsi="宋体" w:eastAsia="宋体" w:cs="宋体"/>
          <w:b/>
          <w:bCs/>
          <w:kern w:val="2"/>
          <w:sz w:val="36"/>
          <w:szCs w:val="36"/>
          <w:highlight w:val="none"/>
          <w:lang w:val="en-US" w:eastAsia="zh-CN" w:bidi="ar-SA"/>
        </w:rPr>
      </w:pPr>
      <w:r>
        <w:rPr>
          <w:rFonts w:hint="eastAsia" w:ascii="宋体" w:hAnsi="宋体" w:eastAsia="宋体" w:cs="宋体"/>
          <w:b/>
          <w:bCs/>
          <w:kern w:val="2"/>
          <w:sz w:val="36"/>
          <w:szCs w:val="36"/>
          <w:highlight w:val="none"/>
          <w:lang w:val="en-US" w:eastAsia="zh-CN" w:bidi="ar-SA"/>
        </w:rPr>
        <w:t>第二章  申请人须知</w:t>
      </w:r>
      <w:bookmarkEnd w:id="1"/>
    </w:p>
    <w:p w14:paraId="044D1794">
      <w:pPr>
        <w:pStyle w:val="5"/>
        <w:keepNext/>
        <w:keepLines/>
        <w:pageBreakBefore w:val="0"/>
        <w:widowControl w:val="0"/>
        <w:kinsoku/>
        <w:wordWrap/>
        <w:overflowPunct/>
        <w:topLinePunct w:val="0"/>
        <w:autoSpaceDE/>
        <w:autoSpaceDN/>
        <w:bidi w:val="0"/>
        <w:adjustRightInd/>
        <w:snapToGrid/>
        <w:spacing w:before="0" w:after="0" w:line="416" w:lineRule="auto"/>
        <w:jc w:val="center"/>
        <w:textAlignment w:val="auto"/>
        <w:rPr>
          <w:color w:val="auto"/>
          <w:sz w:val="30"/>
          <w:szCs w:val="30"/>
          <w:highlight w:val="none"/>
        </w:rPr>
      </w:pPr>
      <w:bookmarkStart w:id="5" w:name="_Toc383794599"/>
      <w:r>
        <w:rPr>
          <w:rFonts w:hint="eastAsia"/>
          <w:color w:val="auto"/>
          <w:sz w:val="30"/>
          <w:szCs w:val="30"/>
          <w:highlight w:val="none"/>
        </w:rPr>
        <w:t>申请人须知前附表</w:t>
      </w:r>
      <w:bookmarkEnd w:id="5"/>
    </w:p>
    <w:tbl>
      <w:tblPr>
        <w:tblStyle w:val="40"/>
        <w:tblW w:w="9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2095"/>
        <w:gridCol w:w="6675"/>
      </w:tblGrid>
      <w:tr w14:paraId="22161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95" w:type="dxa"/>
            <w:vAlign w:val="center"/>
          </w:tcPr>
          <w:p w14:paraId="43050700">
            <w:pPr>
              <w:spacing w:line="400" w:lineRule="exact"/>
              <w:jc w:val="center"/>
              <w:rPr>
                <w:color w:val="auto"/>
                <w:highlight w:val="none"/>
              </w:rPr>
            </w:pPr>
            <w:r>
              <w:rPr>
                <w:rFonts w:hint="eastAsia"/>
                <w:color w:val="auto"/>
                <w:highlight w:val="none"/>
              </w:rPr>
              <w:t>条款号</w:t>
            </w:r>
          </w:p>
        </w:tc>
        <w:tc>
          <w:tcPr>
            <w:tcW w:w="2095" w:type="dxa"/>
            <w:vAlign w:val="center"/>
          </w:tcPr>
          <w:p w14:paraId="4D41D685">
            <w:pPr>
              <w:spacing w:line="400" w:lineRule="exact"/>
              <w:jc w:val="center"/>
              <w:rPr>
                <w:color w:val="auto"/>
                <w:highlight w:val="none"/>
              </w:rPr>
            </w:pPr>
            <w:r>
              <w:rPr>
                <w:rFonts w:hint="eastAsia"/>
                <w:color w:val="auto"/>
                <w:highlight w:val="none"/>
              </w:rPr>
              <w:t>条款名称</w:t>
            </w:r>
          </w:p>
        </w:tc>
        <w:tc>
          <w:tcPr>
            <w:tcW w:w="6675" w:type="dxa"/>
            <w:vAlign w:val="center"/>
          </w:tcPr>
          <w:p w14:paraId="37043E4E">
            <w:pPr>
              <w:spacing w:line="400" w:lineRule="exact"/>
              <w:jc w:val="center"/>
              <w:rPr>
                <w:color w:val="auto"/>
                <w:highlight w:val="none"/>
              </w:rPr>
            </w:pPr>
            <w:r>
              <w:rPr>
                <w:rFonts w:hint="eastAsia"/>
                <w:color w:val="auto"/>
                <w:highlight w:val="none"/>
              </w:rPr>
              <w:t>编列内容</w:t>
            </w:r>
          </w:p>
        </w:tc>
      </w:tr>
      <w:tr w14:paraId="7343A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995" w:type="dxa"/>
            <w:vAlign w:val="center"/>
          </w:tcPr>
          <w:p w14:paraId="2BD54143">
            <w:pPr>
              <w:spacing w:line="400" w:lineRule="exact"/>
              <w:jc w:val="center"/>
              <w:rPr>
                <w:color w:val="auto"/>
                <w:highlight w:val="none"/>
              </w:rPr>
            </w:pPr>
            <w:r>
              <w:rPr>
                <w:rFonts w:hint="eastAsia"/>
                <w:color w:val="auto"/>
                <w:highlight w:val="none"/>
              </w:rPr>
              <w:t>1.1.2</w:t>
            </w:r>
          </w:p>
        </w:tc>
        <w:tc>
          <w:tcPr>
            <w:tcW w:w="2095" w:type="dxa"/>
            <w:vAlign w:val="center"/>
          </w:tcPr>
          <w:p w14:paraId="55F93CB0">
            <w:pPr>
              <w:spacing w:line="400" w:lineRule="exact"/>
              <w:jc w:val="center"/>
              <w:rPr>
                <w:color w:val="auto"/>
                <w:highlight w:val="none"/>
              </w:rPr>
            </w:pPr>
            <w:r>
              <w:rPr>
                <w:rFonts w:hint="eastAsia"/>
                <w:color w:val="auto"/>
                <w:highlight w:val="none"/>
              </w:rPr>
              <w:t>采购人</w:t>
            </w:r>
          </w:p>
        </w:tc>
        <w:tc>
          <w:tcPr>
            <w:tcW w:w="6675" w:type="dxa"/>
            <w:vAlign w:val="center"/>
          </w:tcPr>
          <w:p w14:paraId="38691AC0">
            <w:pPr>
              <w:spacing w:line="400" w:lineRule="exact"/>
              <w:rPr>
                <w:rFonts w:hint="default" w:ascii="宋体" w:hAnsi="宋体" w:eastAsia="宋体" w:cs="微软雅黑"/>
                <w:color w:val="auto"/>
                <w:szCs w:val="21"/>
                <w:highlight w:val="none"/>
                <w:lang w:val="en-US" w:eastAsia="zh-CN"/>
              </w:rPr>
            </w:pPr>
            <w:r>
              <w:rPr>
                <w:rFonts w:hint="default" w:ascii="宋体" w:hAnsi="宋体" w:eastAsia="宋体" w:cs="微软雅黑"/>
                <w:color w:val="auto"/>
                <w:szCs w:val="21"/>
                <w:highlight w:val="none"/>
                <w:lang w:val="en-US" w:eastAsia="zh-CN"/>
              </w:rPr>
              <w:t>名  称：长春宽城经济开发区管理委员会</w:t>
            </w:r>
          </w:p>
          <w:p w14:paraId="2E917F87">
            <w:pPr>
              <w:spacing w:line="400" w:lineRule="exact"/>
              <w:rPr>
                <w:rFonts w:hint="default" w:ascii="宋体" w:hAnsi="宋体" w:eastAsia="宋体" w:cs="微软雅黑"/>
                <w:color w:val="auto"/>
                <w:szCs w:val="21"/>
                <w:highlight w:val="none"/>
                <w:lang w:val="en-US" w:eastAsia="zh-CN"/>
              </w:rPr>
            </w:pPr>
            <w:r>
              <w:rPr>
                <w:rFonts w:hint="default" w:ascii="宋体" w:hAnsi="宋体" w:eastAsia="宋体" w:cs="微软雅黑"/>
                <w:color w:val="auto"/>
                <w:szCs w:val="21"/>
                <w:highlight w:val="none"/>
                <w:lang w:val="en-US" w:eastAsia="zh-CN"/>
              </w:rPr>
              <w:t>地  址：长春市宽城区北凯旋路7388号</w:t>
            </w:r>
          </w:p>
          <w:p w14:paraId="611D87BF">
            <w:pPr>
              <w:spacing w:line="400" w:lineRule="exact"/>
              <w:rPr>
                <w:rFonts w:hint="default" w:ascii="宋体" w:hAnsi="宋体" w:eastAsia="宋体" w:cs="微软雅黑"/>
                <w:color w:val="auto"/>
                <w:szCs w:val="21"/>
                <w:highlight w:val="none"/>
                <w:lang w:val="en-US" w:eastAsia="zh-CN"/>
              </w:rPr>
            </w:pPr>
            <w:r>
              <w:rPr>
                <w:rFonts w:hint="default" w:ascii="宋体" w:hAnsi="宋体" w:eastAsia="宋体" w:cs="微软雅黑"/>
                <w:color w:val="auto"/>
                <w:szCs w:val="21"/>
                <w:highlight w:val="none"/>
                <w:lang w:val="en-US" w:eastAsia="zh-CN"/>
              </w:rPr>
              <w:t>联系人：胡玉姝</w:t>
            </w:r>
          </w:p>
          <w:p w14:paraId="0607D835">
            <w:pPr>
              <w:spacing w:line="400" w:lineRule="exact"/>
              <w:rPr>
                <w:rFonts w:hint="default" w:ascii="宋体" w:hAnsi="宋体" w:eastAsia="宋体" w:cs="微软雅黑"/>
                <w:color w:val="auto"/>
                <w:szCs w:val="21"/>
                <w:highlight w:val="none"/>
                <w:lang w:val="en-US" w:eastAsia="zh-CN"/>
              </w:rPr>
            </w:pPr>
            <w:r>
              <w:rPr>
                <w:rFonts w:hint="default" w:ascii="宋体" w:hAnsi="宋体" w:eastAsia="宋体" w:cs="微软雅黑"/>
                <w:color w:val="auto"/>
                <w:szCs w:val="21"/>
                <w:highlight w:val="none"/>
                <w:lang w:val="en-US" w:eastAsia="zh-CN"/>
              </w:rPr>
              <w:t>电  话：0431-89991801</w:t>
            </w:r>
          </w:p>
        </w:tc>
      </w:tr>
      <w:tr w14:paraId="03621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5" w:type="dxa"/>
            <w:vAlign w:val="center"/>
          </w:tcPr>
          <w:p w14:paraId="1B9DA88D">
            <w:pPr>
              <w:spacing w:line="400" w:lineRule="exact"/>
              <w:jc w:val="center"/>
              <w:rPr>
                <w:color w:val="auto"/>
                <w:highlight w:val="none"/>
              </w:rPr>
            </w:pPr>
            <w:r>
              <w:rPr>
                <w:rFonts w:hint="eastAsia"/>
                <w:color w:val="auto"/>
                <w:highlight w:val="none"/>
              </w:rPr>
              <w:t>1.1.3</w:t>
            </w:r>
          </w:p>
        </w:tc>
        <w:tc>
          <w:tcPr>
            <w:tcW w:w="2095" w:type="dxa"/>
            <w:vAlign w:val="center"/>
          </w:tcPr>
          <w:p w14:paraId="75737AA0">
            <w:pPr>
              <w:spacing w:line="400" w:lineRule="exact"/>
              <w:rPr>
                <w:rFonts w:hint="eastAsia" w:ascii="宋体" w:hAnsi="宋体" w:eastAsia="宋体" w:cs="微软雅黑"/>
                <w:color w:val="auto"/>
                <w:szCs w:val="21"/>
                <w:highlight w:val="none"/>
                <w:lang w:eastAsia="zh-CN"/>
              </w:rPr>
            </w:pPr>
            <w:r>
              <w:rPr>
                <w:rFonts w:hint="eastAsia" w:ascii="宋体" w:hAnsi="宋体" w:eastAsia="宋体" w:cs="微软雅黑"/>
                <w:color w:val="auto"/>
                <w:szCs w:val="21"/>
                <w:highlight w:val="none"/>
                <w:lang w:eastAsia="zh-CN"/>
              </w:rPr>
              <w:t>采购代理机构</w:t>
            </w:r>
          </w:p>
        </w:tc>
        <w:tc>
          <w:tcPr>
            <w:tcW w:w="6675" w:type="dxa"/>
            <w:vAlign w:val="center"/>
          </w:tcPr>
          <w:p w14:paraId="18452181">
            <w:pPr>
              <w:spacing w:line="400" w:lineRule="exact"/>
              <w:rPr>
                <w:rFonts w:hint="eastAsia" w:ascii="宋体" w:hAnsi="宋体" w:eastAsia="宋体" w:cs="微软雅黑"/>
                <w:color w:val="auto"/>
                <w:szCs w:val="21"/>
                <w:highlight w:val="none"/>
                <w:lang w:eastAsia="zh-CN"/>
              </w:rPr>
            </w:pPr>
            <w:r>
              <w:rPr>
                <w:rFonts w:hint="eastAsia" w:ascii="宋体" w:hAnsi="宋体" w:eastAsia="宋体" w:cs="微软雅黑"/>
                <w:color w:val="auto"/>
                <w:szCs w:val="21"/>
                <w:highlight w:val="none"/>
                <w:lang w:eastAsia="zh-CN"/>
              </w:rPr>
              <w:t>名    称：</w:t>
            </w:r>
            <w:r>
              <w:rPr>
                <w:rFonts w:hint="eastAsia" w:ascii="宋体" w:hAnsi="宋体" w:eastAsia="宋体" w:cs="微软雅黑"/>
                <w:color w:val="auto"/>
                <w:szCs w:val="21"/>
                <w:highlight w:val="none"/>
                <w:lang w:val="zh-CN" w:eastAsia="zh-CN"/>
              </w:rPr>
              <w:t>吉林华鑫德润项目管理咨询有限公司</w:t>
            </w:r>
          </w:p>
          <w:p w14:paraId="13B63639">
            <w:pPr>
              <w:spacing w:line="400" w:lineRule="exact"/>
              <w:rPr>
                <w:rFonts w:hint="eastAsia" w:ascii="宋体" w:hAnsi="宋体" w:eastAsia="宋体" w:cs="微软雅黑"/>
                <w:color w:val="auto"/>
                <w:szCs w:val="21"/>
                <w:highlight w:val="none"/>
                <w:lang w:eastAsia="zh-CN"/>
              </w:rPr>
            </w:pPr>
            <w:r>
              <w:rPr>
                <w:rFonts w:hint="eastAsia" w:ascii="宋体" w:hAnsi="宋体" w:eastAsia="宋体" w:cs="微软雅黑"/>
                <w:color w:val="auto"/>
                <w:szCs w:val="21"/>
                <w:highlight w:val="none"/>
                <w:lang w:eastAsia="zh-CN"/>
              </w:rPr>
              <w:t>地    址：</w:t>
            </w:r>
            <w:r>
              <w:rPr>
                <w:rFonts w:hint="eastAsia" w:ascii="宋体" w:hAnsi="宋体" w:eastAsia="宋体" w:cs="微软雅黑"/>
                <w:color w:val="auto"/>
                <w:szCs w:val="21"/>
                <w:highlight w:val="none"/>
                <w:lang w:val="en-US" w:eastAsia="zh-CN"/>
              </w:rPr>
              <w:t>长春市高新技术产业开发区越达路888号越达科技产业园2号楼15A03号</w:t>
            </w:r>
          </w:p>
          <w:p w14:paraId="0A6CBACA">
            <w:pPr>
              <w:spacing w:line="400" w:lineRule="exact"/>
              <w:rPr>
                <w:rFonts w:hint="eastAsia" w:ascii="宋体" w:hAnsi="宋体" w:eastAsia="宋体" w:cs="微软雅黑"/>
                <w:color w:val="auto"/>
                <w:szCs w:val="21"/>
                <w:highlight w:val="none"/>
                <w:lang w:val="en-US" w:eastAsia="zh-CN"/>
              </w:rPr>
            </w:pPr>
            <w:r>
              <w:rPr>
                <w:rFonts w:hint="eastAsia" w:ascii="宋体" w:hAnsi="宋体" w:eastAsia="宋体" w:cs="微软雅黑"/>
                <w:color w:val="auto"/>
                <w:szCs w:val="21"/>
                <w:highlight w:val="none"/>
                <w:lang w:val="en-US" w:eastAsia="zh-CN"/>
              </w:rPr>
              <w:t>联系人：王吉明</w:t>
            </w:r>
          </w:p>
          <w:p w14:paraId="4E3BCD26">
            <w:pPr>
              <w:spacing w:line="400" w:lineRule="exact"/>
              <w:rPr>
                <w:rFonts w:hint="eastAsia" w:ascii="宋体" w:hAnsi="宋体" w:eastAsia="宋体" w:cs="微软雅黑"/>
                <w:color w:val="auto"/>
                <w:szCs w:val="21"/>
                <w:highlight w:val="none"/>
                <w:lang w:eastAsia="zh-CN"/>
              </w:rPr>
            </w:pPr>
            <w:r>
              <w:rPr>
                <w:rFonts w:hint="eastAsia" w:ascii="宋体" w:hAnsi="宋体" w:eastAsia="宋体" w:cs="微软雅黑"/>
                <w:color w:val="auto"/>
                <w:szCs w:val="21"/>
                <w:highlight w:val="none"/>
                <w:lang w:val="en-US" w:eastAsia="zh-CN"/>
              </w:rPr>
              <w:t>联系方式：15643604917</w:t>
            </w:r>
          </w:p>
        </w:tc>
      </w:tr>
      <w:tr w14:paraId="14B37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95" w:type="dxa"/>
            <w:vAlign w:val="center"/>
          </w:tcPr>
          <w:p w14:paraId="5C6E90B8">
            <w:pPr>
              <w:spacing w:line="400" w:lineRule="exact"/>
              <w:jc w:val="center"/>
              <w:rPr>
                <w:color w:val="auto"/>
                <w:highlight w:val="none"/>
              </w:rPr>
            </w:pPr>
            <w:r>
              <w:rPr>
                <w:rFonts w:hint="eastAsia"/>
                <w:color w:val="auto"/>
                <w:highlight w:val="none"/>
              </w:rPr>
              <w:t>1.1.4</w:t>
            </w:r>
          </w:p>
        </w:tc>
        <w:tc>
          <w:tcPr>
            <w:tcW w:w="2095" w:type="dxa"/>
            <w:vAlign w:val="center"/>
          </w:tcPr>
          <w:p w14:paraId="26A52C85">
            <w:pPr>
              <w:spacing w:line="400" w:lineRule="exact"/>
              <w:jc w:val="center"/>
              <w:rPr>
                <w:color w:val="auto"/>
                <w:highlight w:val="none"/>
              </w:rPr>
            </w:pPr>
            <w:r>
              <w:rPr>
                <w:rFonts w:hint="eastAsia"/>
                <w:color w:val="auto"/>
                <w:highlight w:val="none"/>
              </w:rPr>
              <w:t>项目名称</w:t>
            </w:r>
          </w:p>
        </w:tc>
        <w:tc>
          <w:tcPr>
            <w:tcW w:w="6675" w:type="dxa"/>
            <w:vAlign w:val="center"/>
          </w:tcPr>
          <w:p w14:paraId="37C81A4D">
            <w:pPr>
              <w:spacing w:line="400" w:lineRule="exact"/>
              <w:rPr>
                <w:rFonts w:hint="eastAsia" w:ascii="宋体" w:hAnsi="宋体" w:eastAsia="宋体" w:cs="微软雅黑"/>
                <w:color w:val="auto"/>
                <w:szCs w:val="21"/>
                <w:highlight w:val="none"/>
                <w:lang w:eastAsia="zh-CN"/>
              </w:rPr>
            </w:pPr>
            <w:r>
              <w:rPr>
                <w:rFonts w:hint="eastAsia" w:ascii="宋体" w:hAnsi="宋体" w:eastAsia="宋体" w:cs="微软雅黑"/>
                <w:color w:val="auto"/>
                <w:szCs w:val="21"/>
                <w:highlight w:val="none"/>
                <w:lang w:val="en-US" w:eastAsia="zh-CN"/>
              </w:rPr>
              <w:t>长春市宽城区医院异地建设项目柴油发电机采购与安装</w:t>
            </w:r>
          </w:p>
        </w:tc>
      </w:tr>
      <w:tr w14:paraId="4ADEB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95" w:type="dxa"/>
            <w:vAlign w:val="center"/>
          </w:tcPr>
          <w:p w14:paraId="17E4F13F">
            <w:pPr>
              <w:spacing w:line="400" w:lineRule="exact"/>
              <w:jc w:val="center"/>
              <w:rPr>
                <w:color w:val="auto"/>
                <w:highlight w:val="none"/>
              </w:rPr>
            </w:pPr>
            <w:r>
              <w:rPr>
                <w:rFonts w:hint="eastAsia"/>
                <w:color w:val="auto"/>
                <w:highlight w:val="none"/>
              </w:rPr>
              <w:t>1.1.5</w:t>
            </w:r>
          </w:p>
        </w:tc>
        <w:tc>
          <w:tcPr>
            <w:tcW w:w="2095" w:type="dxa"/>
            <w:vAlign w:val="center"/>
          </w:tcPr>
          <w:p w14:paraId="4B0AB0CE">
            <w:pPr>
              <w:spacing w:line="400" w:lineRule="exact"/>
              <w:jc w:val="center"/>
              <w:rPr>
                <w:color w:val="auto"/>
                <w:highlight w:val="none"/>
              </w:rPr>
            </w:pPr>
            <w:r>
              <w:rPr>
                <w:rFonts w:hint="eastAsia"/>
                <w:color w:val="auto"/>
                <w:highlight w:val="none"/>
                <w:lang w:val="en-US" w:eastAsia="zh-CN"/>
              </w:rPr>
              <w:t>供货</w:t>
            </w:r>
            <w:r>
              <w:rPr>
                <w:rFonts w:hint="eastAsia"/>
                <w:color w:val="auto"/>
                <w:highlight w:val="none"/>
              </w:rPr>
              <w:t>地点</w:t>
            </w:r>
          </w:p>
        </w:tc>
        <w:tc>
          <w:tcPr>
            <w:tcW w:w="6675" w:type="dxa"/>
            <w:vAlign w:val="center"/>
          </w:tcPr>
          <w:p w14:paraId="2E339BAE">
            <w:pPr>
              <w:spacing w:line="400" w:lineRule="exact"/>
              <w:rPr>
                <w:rFonts w:hint="eastAsia" w:ascii="宋体" w:hAnsi="宋体" w:eastAsia="宋体" w:cs="微软雅黑"/>
                <w:color w:val="auto"/>
                <w:szCs w:val="21"/>
                <w:highlight w:val="none"/>
                <w:lang w:val="en-US" w:eastAsia="zh-CN"/>
              </w:rPr>
            </w:pPr>
            <w:r>
              <w:rPr>
                <w:rFonts w:hint="eastAsia" w:ascii="宋体" w:hAnsi="宋体" w:eastAsia="宋体" w:cs="微软雅黑"/>
                <w:color w:val="auto"/>
                <w:szCs w:val="21"/>
                <w:highlight w:val="none"/>
                <w:lang w:val="en-US" w:eastAsia="zh-CN"/>
              </w:rPr>
              <w:t>采购人指定地点</w:t>
            </w:r>
          </w:p>
        </w:tc>
      </w:tr>
      <w:tr w14:paraId="68400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95" w:type="dxa"/>
            <w:vAlign w:val="center"/>
          </w:tcPr>
          <w:p w14:paraId="53A766F8">
            <w:pPr>
              <w:spacing w:line="400" w:lineRule="exact"/>
              <w:jc w:val="center"/>
              <w:rPr>
                <w:color w:val="auto"/>
                <w:highlight w:val="none"/>
              </w:rPr>
            </w:pPr>
            <w:r>
              <w:rPr>
                <w:rFonts w:hint="eastAsia"/>
                <w:color w:val="auto"/>
                <w:highlight w:val="none"/>
              </w:rPr>
              <w:t>1.2.1</w:t>
            </w:r>
          </w:p>
        </w:tc>
        <w:tc>
          <w:tcPr>
            <w:tcW w:w="2095" w:type="dxa"/>
            <w:vAlign w:val="center"/>
          </w:tcPr>
          <w:p w14:paraId="77AC1714">
            <w:pPr>
              <w:spacing w:line="400" w:lineRule="exact"/>
              <w:jc w:val="center"/>
              <w:rPr>
                <w:color w:val="auto"/>
                <w:highlight w:val="none"/>
              </w:rPr>
            </w:pPr>
            <w:r>
              <w:rPr>
                <w:rFonts w:hint="eastAsia"/>
                <w:color w:val="auto"/>
                <w:highlight w:val="none"/>
              </w:rPr>
              <w:t>资金来源</w:t>
            </w:r>
          </w:p>
        </w:tc>
        <w:tc>
          <w:tcPr>
            <w:tcW w:w="6675" w:type="dxa"/>
            <w:vAlign w:val="center"/>
          </w:tcPr>
          <w:p w14:paraId="2B08B585">
            <w:pPr>
              <w:spacing w:line="400" w:lineRule="exact"/>
              <w:rPr>
                <w:rFonts w:hint="eastAsia" w:ascii="宋体" w:hAnsi="宋体" w:eastAsia="宋体" w:cs="微软雅黑"/>
                <w:color w:val="auto"/>
                <w:szCs w:val="21"/>
                <w:highlight w:val="none"/>
                <w:lang w:val="en-US" w:eastAsia="zh-CN"/>
              </w:rPr>
            </w:pPr>
            <w:r>
              <w:rPr>
                <w:rFonts w:hint="eastAsia" w:ascii="宋体" w:hAnsi="宋体" w:cs="微软雅黑"/>
                <w:color w:val="auto"/>
                <w:szCs w:val="21"/>
                <w:highlight w:val="none"/>
                <w:lang w:val="en-US" w:eastAsia="zh-CN"/>
              </w:rPr>
              <w:t>专项</w:t>
            </w:r>
            <w:r>
              <w:rPr>
                <w:rFonts w:hint="eastAsia" w:ascii="宋体" w:hAnsi="宋体" w:eastAsia="宋体" w:cs="微软雅黑"/>
                <w:color w:val="auto"/>
                <w:szCs w:val="21"/>
                <w:highlight w:val="none"/>
                <w:lang w:val="en-US" w:eastAsia="zh-CN"/>
              </w:rPr>
              <w:t>资金</w:t>
            </w:r>
          </w:p>
        </w:tc>
      </w:tr>
      <w:tr w14:paraId="287CA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95" w:type="dxa"/>
            <w:vAlign w:val="center"/>
          </w:tcPr>
          <w:p w14:paraId="1FE04AB2">
            <w:pPr>
              <w:spacing w:line="400" w:lineRule="exact"/>
              <w:jc w:val="center"/>
              <w:rPr>
                <w:color w:val="auto"/>
                <w:highlight w:val="none"/>
              </w:rPr>
            </w:pPr>
            <w:r>
              <w:rPr>
                <w:rFonts w:hint="eastAsia"/>
                <w:color w:val="auto"/>
                <w:highlight w:val="none"/>
              </w:rPr>
              <w:t>1.2.2</w:t>
            </w:r>
          </w:p>
        </w:tc>
        <w:tc>
          <w:tcPr>
            <w:tcW w:w="2095" w:type="dxa"/>
            <w:vAlign w:val="center"/>
          </w:tcPr>
          <w:p w14:paraId="41A09F1D">
            <w:pPr>
              <w:spacing w:line="400" w:lineRule="exact"/>
              <w:jc w:val="center"/>
              <w:rPr>
                <w:color w:val="auto"/>
                <w:highlight w:val="none"/>
              </w:rPr>
            </w:pPr>
            <w:r>
              <w:rPr>
                <w:rFonts w:hint="eastAsia"/>
                <w:color w:val="auto"/>
                <w:highlight w:val="none"/>
              </w:rPr>
              <w:t>出资比例</w:t>
            </w:r>
          </w:p>
        </w:tc>
        <w:tc>
          <w:tcPr>
            <w:tcW w:w="6675" w:type="dxa"/>
            <w:vAlign w:val="center"/>
          </w:tcPr>
          <w:p w14:paraId="1AF552B7">
            <w:pPr>
              <w:spacing w:line="400" w:lineRule="exact"/>
              <w:rPr>
                <w:rFonts w:hint="default" w:ascii="宋体" w:hAnsi="宋体" w:eastAsia="宋体" w:cs="微软雅黑"/>
                <w:color w:val="auto"/>
                <w:szCs w:val="21"/>
                <w:highlight w:val="none"/>
                <w:lang w:val="en-US" w:eastAsia="zh-CN"/>
              </w:rPr>
            </w:pPr>
            <w:r>
              <w:rPr>
                <w:rFonts w:hint="eastAsia" w:ascii="宋体" w:hAnsi="宋体" w:eastAsia="宋体" w:cs="微软雅黑"/>
                <w:color w:val="auto"/>
                <w:szCs w:val="21"/>
                <w:highlight w:val="none"/>
                <w:lang w:val="en-US" w:eastAsia="zh-CN"/>
              </w:rPr>
              <w:t>100%</w:t>
            </w:r>
          </w:p>
        </w:tc>
      </w:tr>
      <w:tr w14:paraId="49229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95" w:type="dxa"/>
            <w:vAlign w:val="center"/>
          </w:tcPr>
          <w:p w14:paraId="169B33FC">
            <w:pPr>
              <w:spacing w:line="400" w:lineRule="exact"/>
              <w:jc w:val="center"/>
              <w:rPr>
                <w:color w:val="auto"/>
                <w:highlight w:val="none"/>
              </w:rPr>
            </w:pPr>
            <w:r>
              <w:rPr>
                <w:rFonts w:hint="eastAsia"/>
                <w:color w:val="auto"/>
                <w:highlight w:val="none"/>
              </w:rPr>
              <w:t>1.2.3</w:t>
            </w:r>
          </w:p>
        </w:tc>
        <w:tc>
          <w:tcPr>
            <w:tcW w:w="2095" w:type="dxa"/>
            <w:vAlign w:val="center"/>
          </w:tcPr>
          <w:p w14:paraId="34F21574">
            <w:pPr>
              <w:spacing w:line="400" w:lineRule="exact"/>
              <w:jc w:val="center"/>
              <w:rPr>
                <w:color w:val="auto"/>
                <w:highlight w:val="none"/>
              </w:rPr>
            </w:pPr>
            <w:r>
              <w:rPr>
                <w:rFonts w:hint="eastAsia"/>
                <w:color w:val="auto"/>
                <w:highlight w:val="none"/>
              </w:rPr>
              <w:t>资金落实情况</w:t>
            </w:r>
          </w:p>
        </w:tc>
        <w:tc>
          <w:tcPr>
            <w:tcW w:w="6675" w:type="dxa"/>
            <w:vAlign w:val="center"/>
          </w:tcPr>
          <w:p w14:paraId="4D905DE8">
            <w:pPr>
              <w:spacing w:line="400" w:lineRule="exact"/>
              <w:rPr>
                <w:rFonts w:hint="eastAsia" w:ascii="宋体" w:hAnsi="宋体" w:eastAsia="宋体" w:cs="微软雅黑"/>
                <w:color w:val="auto"/>
                <w:szCs w:val="21"/>
                <w:highlight w:val="none"/>
                <w:lang w:val="en-US" w:eastAsia="zh-CN"/>
              </w:rPr>
            </w:pPr>
            <w:r>
              <w:rPr>
                <w:rFonts w:hint="eastAsia" w:ascii="宋体" w:hAnsi="宋体" w:eastAsia="宋体" w:cs="微软雅黑"/>
                <w:color w:val="auto"/>
                <w:szCs w:val="21"/>
                <w:highlight w:val="none"/>
                <w:lang w:val="en-US" w:eastAsia="zh-CN"/>
              </w:rPr>
              <w:t>已落实</w:t>
            </w:r>
          </w:p>
        </w:tc>
      </w:tr>
      <w:tr w14:paraId="08E7A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95" w:type="dxa"/>
            <w:vAlign w:val="center"/>
          </w:tcPr>
          <w:p w14:paraId="3DF00905">
            <w:pPr>
              <w:spacing w:line="400" w:lineRule="exact"/>
              <w:jc w:val="center"/>
              <w:rPr>
                <w:color w:val="auto"/>
                <w:highlight w:val="none"/>
              </w:rPr>
            </w:pPr>
            <w:r>
              <w:rPr>
                <w:rFonts w:hint="eastAsia"/>
                <w:color w:val="auto"/>
                <w:highlight w:val="none"/>
              </w:rPr>
              <w:t>1.3.1</w:t>
            </w:r>
          </w:p>
        </w:tc>
        <w:tc>
          <w:tcPr>
            <w:tcW w:w="2095" w:type="dxa"/>
            <w:vAlign w:val="center"/>
          </w:tcPr>
          <w:p w14:paraId="43EB4EEF">
            <w:pPr>
              <w:spacing w:line="400" w:lineRule="exact"/>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采购</w:t>
            </w:r>
            <w:r>
              <w:rPr>
                <w:rFonts w:hint="eastAsia" w:ascii="宋体" w:hAnsi="宋体"/>
                <w:color w:val="auto"/>
                <w:szCs w:val="21"/>
                <w:highlight w:val="none"/>
                <w:lang w:val="en-US" w:eastAsia="zh-CN"/>
              </w:rPr>
              <w:t>内容</w:t>
            </w:r>
          </w:p>
        </w:tc>
        <w:tc>
          <w:tcPr>
            <w:tcW w:w="6675" w:type="dxa"/>
            <w:vAlign w:val="center"/>
          </w:tcPr>
          <w:p w14:paraId="7CA966C5">
            <w:pPr>
              <w:spacing w:line="400" w:lineRule="exact"/>
              <w:rPr>
                <w:rFonts w:hint="eastAsia" w:ascii="宋体" w:hAnsi="宋体" w:eastAsia="宋体" w:cs="微软雅黑"/>
                <w:color w:val="auto"/>
                <w:szCs w:val="21"/>
                <w:highlight w:val="none"/>
                <w:lang w:val="en-US" w:eastAsia="zh-CN"/>
              </w:rPr>
            </w:pPr>
            <w:r>
              <w:rPr>
                <w:rFonts w:hint="eastAsia" w:ascii="宋体" w:hAnsi="宋体" w:eastAsia="宋体" w:cs="微软雅黑"/>
                <w:color w:val="auto"/>
                <w:szCs w:val="21"/>
                <w:highlight w:val="none"/>
                <w:lang w:val="en-US" w:eastAsia="zh-CN"/>
              </w:rPr>
              <w:t>柴油发电机组采购与安装，平时柴油发电机组630KW2台、人防柴油发电机组110KW1台并安装调试；</w:t>
            </w:r>
            <w:bookmarkStart w:id="54" w:name="_GoBack"/>
            <w:bookmarkEnd w:id="54"/>
          </w:p>
        </w:tc>
      </w:tr>
      <w:tr w14:paraId="697F7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5" w:type="dxa"/>
            <w:vAlign w:val="center"/>
          </w:tcPr>
          <w:p w14:paraId="464284E8">
            <w:pPr>
              <w:spacing w:line="400" w:lineRule="exact"/>
              <w:jc w:val="center"/>
              <w:rPr>
                <w:color w:val="auto"/>
                <w:highlight w:val="none"/>
              </w:rPr>
            </w:pPr>
            <w:r>
              <w:rPr>
                <w:rFonts w:hint="eastAsia"/>
                <w:color w:val="auto"/>
                <w:highlight w:val="none"/>
              </w:rPr>
              <w:t>1.3.2</w:t>
            </w:r>
          </w:p>
        </w:tc>
        <w:tc>
          <w:tcPr>
            <w:tcW w:w="2095" w:type="dxa"/>
            <w:vAlign w:val="center"/>
          </w:tcPr>
          <w:p w14:paraId="1ED30EFB">
            <w:pPr>
              <w:spacing w:line="400" w:lineRule="exact"/>
              <w:jc w:val="center"/>
              <w:rPr>
                <w:rFonts w:hint="eastAsia" w:ascii="宋体" w:hAnsi="宋体" w:eastAsia="宋体"/>
                <w:color w:val="auto"/>
                <w:highlight w:val="none"/>
                <w:lang w:eastAsia="zh-CN"/>
              </w:rPr>
            </w:pPr>
            <w:r>
              <w:rPr>
                <w:rFonts w:hint="eastAsia" w:ascii="宋体" w:hAnsi="宋体"/>
                <w:color w:val="auto"/>
                <w:highlight w:val="none"/>
                <w:lang w:val="en-US" w:eastAsia="zh-CN"/>
              </w:rPr>
              <w:t>供货期限</w:t>
            </w:r>
          </w:p>
        </w:tc>
        <w:tc>
          <w:tcPr>
            <w:tcW w:w="6675" w:type="dxa"/>
            <w:shd w:val="clear" w:color="auto" w:fill="auto"/>
            <w:vAlign w:val="center"/>
          </w:tcPr>
          <w:p w14:paraId="5891743C">
            <w:pPr>
              <w:spacing w:line="400" w:lineRule="exact"/>
              <w:rPr>
                <w:rFonts w:hint="eastAsia" w:ascii="宋体" w:hAnsi="宋体" w:eastAsia="宋体" w:cs="微软雅黑"/>
                <w:color w:val="auto"/>
                <w:szCs w:val="21"/>
                <w:highlight w:val="none"/>
                <w:lang w:val="en-US" w:eastAsia="zh-CN"/>
              </w:rPr>
            </w:pPr>
            <w:r>
              <w:rPr>
                <w:rFonts w:hint="eastAsia" w:ascii="宋体" w:hAnsi="宋体" w:eastAsia="宋体" w:cs="微软雅黑"/>
                <w:color w:val="auto"/>
                <w:szCs w:val="21"/>
                <w:highlight w:val="none"/>
                <w:lang w:val="en-US" w:eastAsia="zh-CN"/>
              </w:rPr>
              <w:t>签订合同后</w:t>
            </w:r>
            <w:r>
              <w:rPr>
                <w:rFonts w:hint="eastAsia" w:ascii="宋体" w:hAnsi="宋体" w:cs="微软雅黑"/>
                <w:color w:val="auto"/>
                <w:szCs w:val="21"/>
                <w:highlight w:val="none"/>
                <w:lang w:val="en-US" w:eastAsia="zh-CN"/>
              </w:rPr>
              <w:t>10</w:t>
            </w:r>
            <w:r>
              <w:rPr>
                <w:rFonts w:hint="eastAsia" w:ascii="宋体" w:hAnsi="宋体" w:eastAsia="宋体" w:cs="微软雅黑"/>
                <w:color w:val="auto"/>
                <w:szCs w:val="21"/>
                <w:highlight w:val="none"/>
                <w:lang w:val="en-US" w:eastAsia="zh-CN"/>
              </w:rPr>
              <w:t>日历天内供货、安装、调试、验收完成</w:t>
            </w:r>
          </w:p>
        </w:tc>
      </w:tr>
      <w:tr w14:paraId="12CB7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95" w:type="dxa"/>
            <w:vAlign w:val="center"/>
          </w:tcPr>
          <w:p w14:paraId="24AA9135">
            <w:pPr>
              <w:spacing w:line="400" w:lineRule="exact"/>
              <w:jc w:val="center"/>
              <w:rPr>
                <w:color w:val="auto"/>
                <w:highlight w:val="none"/>
              </w:rPr>
            </w:pPr>
            <w:r>
              <w:rPr>
                <w:rFonts w:hint="eastAsia"/>
                <w:color w:val="auto"/>
                <w:highlight w:val="none"/>
              </w:rPr>
              <w:t>1.3.3</w:t>
            </w:r>
          </w:p>
        </w:tc>
        <w:tc>
          <w:tcPr>
            <w:tcW w:w="2095" w:type="dxa"/>
            <w:vAlign w:val="center"/>
          </w:tcPr>
          <w:p w14:paraId="0FF929CB">
            <w:pPr>
              <w:spacing w:line="400" w:lineRule="exact"/>
              <w:jc w:val="center"/>
              <w:rPr>
                <w:color w:val="auto"/>
                <w:highlight w:val="none"/>
              </w:rPr>
            </w:pPr>
            <w:r>
              <w:rPr>
                <w:rFonts w:hint="eastAsia"/>
                <w:color w:val="auto"/>
                <w:highlight w:val="none"/>
              </w:rPr>
              <w:t>质量标准</w:t>
            </w:r>
          </w:p>
        </w:tc>
        <w:tc>
          <w:tcPr>
            <w:tcW w:w="6675" w:type="dxa"/>
            <w:vAlign w:val="center"/>
          </w:tcPr>
          <w:p w14:paraId="1EA2F2AB">
            <w:pPr>
              <w:spacing w:line="400" w:lineRule="exact"/>
              <w:rPr>
                <w:rFonts w:ascii="宋体" w:hAnsi="宋体"/>
                <w:color w:val="auto"/>
                <w:szCs w:val="21"/>
                <w:highlight w:val="none"/>
              </w:rPr>
            </w:pPr>
            <w:r>
              <w:rPr>
                <w:rFonts w:hint="eastAsia" w:ascii="宋体" w:hAnsi="宋体"/>
                <w:color w:val="auto"/>
                <w:szCs w:val="21"/>
                <w:highlight w:val="none"/>
                <w:lang w:val="en-US" w:eastAsia="zh-CN"/>
              </w:rPr>
              <w:t>符合现行国家、行业、地方或者其他相关标准的合格要求</w:t>
            </w:r>
          </w:p>
        </w:tc>
      </w:tr>
      <w:tr w14:paraId="2EA76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95" w:type="dxa"/>
            <w:vAlign w:val="center"/>
          </w:tcPr>
          <w:p w14:paraId="34C2822C">
            <w:pPr>
              <w:spacing w:line="400" w:lineRule="exact"/>
              <w:jc w:val="center"/>
              <w:rPr>
                <w:color w:val="auto"/>
                <w:highlight w:val="none"/>
              </w:rPr>
            </w:pPr>
            <w:r>
              <w:rPr>
                <w:rFonts w:hint="eastAsia"/>
                <w:color w:val="auto"/>
                <w:highlight w:val="none"/>
              </w:rPr>
              <w:t>1.4.1</w:t>
            </w:r>
          </w:p>
        </w:tc>
        <w:tc>
          <w:tcPr>
            <w:tcW w:w="2095" w:type="dxa"/>
            <w:vAlign w:val="center"/>
          </w:tcPr>
          <w:p w14:paraId="6FD7A32E">
            <w:pPr>
              <w:spacing w:line="400" w:lineRule="exact"/>
              <w:jc w:val="center"/>
              <w:rPr>
                <w:color w:val="auto"/>
                <w:highlight w:val="none"/>
              </w:rPr>
            </w:pPr>
            <w:r>
              <w:rPr>
                <w:rFonts w:hint="eastAsia"/>
                <w:color w:val="auto"/>
                <w:highlight w:val="none"/>
              </w:rPr>
              <w:t>申请人资质条件、能力和信誉</w:t>
            </w:r>
          </w:p>
        </w:tc>
        <w:tc>
          <w:tcPr>
            <w:tcW w:w="6675" w:type="dxa"/>
            <w:vAlign w:val="center"/>
          </w:tcPr>
          <w:p w14:paraId="7B35994C">
            <w:pPr>
              <w:spacing w:line="400" w:lineRule="exac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1、满足《中华人民共和国政府采购法》第二十二条规定：</w:t>
            </w:r>
          </w:p>
          <w:p w14:paraId="774C8511">
            <w:pPr>
              <w:spacing w:line="400" w:lineRule="exac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(1)具有独立承担民事责任的能力；</w:t>
            </w:r>
          </w:p>
          <w:p w14:paraId="5CC7A661">
            <w:pPr>
              <w:spacing w:line="400" w:lineRule="exac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(2)具有良好的商业信誉和健全的财务会计制度；</w:t>
            </w:r>
          </w:p>
          <w:p w14:paraId="2C9F8DBD">
            <w:pPr>
              <w:spacing w:line="400" w:lineRule="exac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(3)具有履行合同所必需的设备和专业技术能力；</w:t>
            </w:r>
          </w:p>
          <w:p w14:paraId="2E34056B">
            <w:pPr>
              <w:spacing w:line="400" w:lineRule="exac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(4)有依法缴纳税收和社会保障资金的良好记录；</w:t>
            </w:r>
          </w:p>
          <w:p w14:paraId="7456E8AC">
            <w:pPr>
              <w:spacing w:line="400" w:lineRule="exac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(5)参加政府采购活动前三年内，在经营活动中没有重大违法记录；</w:t>
            </w:r>
          </w:p>
          <w:p w14:paraId="18B2DA21">
            <w:pPr>
              <w:spacing w:line="400" w:lineRule="exac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(6)法律、行政法规规定的其他条件。</w:t>
            </w:r>
          </w:p>
          <w:p w14:paraId="7A7553BF">
            <w:pPr>
              <w:spacing w:line="400" w:lineRule="exac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2、落实政府采购政策需满足的资格要求：本项目为专门面向中小企业；</w:t>
            </w:r>
          </w:p>
          <w:p w14:paraId="726D89F6">
            <w:pPr>
              <w:spacing w:line="400" w:lineRule="exac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本采购项目落实的政府采购政策：关于印发《政府采购促进中小企业发展管理办法》的通知（财库〔2020〕46号）、《关于进一步加大政府采购支持中小企业力度的通知》（财库〔2022〕19号）、《吉林省强化政府采购政策支持中小企业发展落实举措》（吉财采购〔2022〕478号）、《关于政府采购支持监狱企业发展有关问题的通知》(财库[2014]68号)、《三部门联合发布关于促进残疾人就业政府采购政策的通知》(财库[2017]141号)、《关于调整优化节能产品、环境标志产品政府采购执行机制的通知》(财库[2019]9号；</w:t>
            </w:r>
          </w:p>
          <w:p w14:paraId="75B97C8C">
            <w:pPr>
              <w:spacing w:line="400" w:lineRule="exac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3、本项目的特定资格要求：</w:t>
            </w:r>
          </w:p>
          <w:p w14:paraId="7F6D8D71">
            <w:pPr>
              <w:spacing w:line="400" w:lineRule="exac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（1）投标人须具备国家有关主管部门批准的制造或经销本项目合法资格；具有法人或其他组织的营业执照等证明文件；</w:t>
            </w:r>
          </w:p>
          <w:p w14:paraId="26D30FAF">
            <w:pPr>
              <w:spacing w:line="400" w:lineRule="exac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（2）拒绝列入政府取消投标资格记录期间的企业或个人参加磋商；</w:t>
            </w:r>
          </w:p>
          <w:p w14:paraId="1DAA94AA">
            <w:pPr>
              <w:spacing w:line="400" w:lineRule="exac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不得为“信用中国”网站（www.creditchina.gov.cn）中列入失信被执行人和重大税收违法失信主体供应商；不得为中国政府采购网（www.ccpg.gov.cn）政府采购严重违法失信行为记录名单中被财政部门禁止参加政府采购活动的供应商（在处罚决定规定的时间和地域范围内）（详见财库[2016]125号）；在2021年至今供应商和其法定代表人在“中国裁判文书网”(wenshu.court.gov.cn)上无行贿犯罪行为；</w:t>
            </w:r>
          </w:p>
          <w:p w14:paraId="47B1F6FD">
            <w:pPr>
              <w:spacing w:line="400" w:lineRule="exac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（4）单位负责人为同一人或者存在直接控股、管理关系的不同供应商，不得参加同一合同项下的政府采购活动；</w:t>
            </w:r>
          </w:p>
        </w:tc>
      </w:tr>
      <w:tr w14:paraId="67CEB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95" w:type="dxa"/>
            <w:vAlign w:val="center"/>
          </w:tcPr>
          <w:p w14:paraId="40FDCFD9">
            <w:pPr>
              <w:spacing w:line="400" w:lineRule="exact"/>
              <w:jc w:val="center"/>
              <w:rPr>
                <w:color w:val="auto"/>
                <w:highlight w:val="none"/>
              </w:rPr>
            </w:pPr>
            <w:r>
              <w:rPr>
                <w:rFonts w:hint="eastAsia"/>
                <w:color w:val="auto"/>
                <w:highlight w:val="none"/>
              </w:rPr>
              <w:t>1.4.2</w:t>
            </w:r>
          </w:p>
        </w:tc>
        <w:tc>
          <w:tcPr>
            <w:tcW w:w="2095" w:type="dxa"/>
            <w:vAlign w:val="center"/>
          </w:tcPr>
          <w:p w14:paraId="25D4C706">
            <w:pPr>
              <w:spacing w:line="400" w:lineRule="exact"/>
              <w:jc w:val="center"/>
              <w:rPr>
                <w:color w:val="auto"/>
                <w:highlight w:val="none"/>
              </w:rPr>
            </w:pPr>
            <w:r>
              <w:rPr>
                <w:rFonts w:hint="eastAsia"/>
                <w:color w:val="auto"/>
                <w:highlight w:val="none"/>
              </w:rPr>
              <w:t>是否接受联合体投标</w:t>
            </w:r>
          </w:p>
        </w:tc>
        <w:tc>
          <w:tcPr>
            <w:tcW w:w="6675" w:type="dxa"/>
            <w:vAlign w:val="center"/>
          </w:tcPr>
          <w:p w14:paraId="7943707D">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不接受</w:t>
            </w:r>
          </w:p>
        </w:tc>
      </w:tr>
      <w:tr w14:paraId="6834D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95" w:type="dxa"/>
            <w:vAlign w:val="center"/>
          </w:tcPr>
          <w:p w14:paraId="148EC0EC">
            <w:pPr>
              <w:spacing w:line="400" w:lineRule="exact"/>
              <w:jc w:val="center"/>
              <w:rPr>
                <w:color w:val="auto"/>
                <w:highlight w:val="none"/>
              </w:rPr>
            </w:pPr>
            <w:r>
              <w:rPr>
                <w:rFonts w:hint="eastAsia"/>
                <w:color w:val="auto"/>
                <w:highlight w:val="none"/>
              </w:rPr>
              <w:t>1.9.1</w:t>
            </w:r>
          </w:p>
        </w:tc>
        <w:tc>
          <w:tcPr>
            <w:tcW w:w="2095" w:type="dxa"/>
            <w:vAlign w:val="center"/>
          </w:tcPr>
          <w:p w14:paraId="05E70070">
            <w:pPr>
              <w:spacing w:line="400" w:lineRule="exact"/>
              <w:jc w:val="center"/>
              <w:rPr>
                <w:color w:val="auto"/>
                <w:highlight w:val="none"/>
              </w:rPr>
            </w:pPr>
            <w:r>
              <w:rPr>
                <w:rFonts w:hint="eastAsia"/>
                <w:color w:val="auto"/>
                <w:highlight w:val="none"/>
              </w:rPr>
              <w:t>踏勘现场</w:t>
            </w:r>
          </w:p>
        </w:tc>
        <w:tc>
          <w:tcPr>
            <w:tcW w:w="6675" w:type="dxa"/>
            <w:vAlign w:val="center"/>
          </w:tcPr>
          <w:p w14:paraId="118815BD">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lang w:val="en-US" w:eastAsia="zh-CN"/>
              </w:rPr>
              <w:t>不</w:t>
            </w:r>
            <w:r>
              <w:rPr>
                <w:rFonts w:hint="eastAsia" w:ascii="宋体" w:hAnsi="宋体" w:cs="Times New Roman"/>
                <w:color w:val="auto"/>
                <w:szCs w:val="21"/>
                <w:highlight w:val="none"/>
              </w:rPr>
              <w:t>组织</w:t>
            </w:r>
          </w:p>
        </w:tc>
      </w:tr>
      <w:tr w14:paraId="4700F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95" w:type="dxa"/>
            <w:vAlign w:val="center"/>
          </w:tcPr>
          <w:p w14:paraId="4ED7AE5C">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1.10.1</w:t>
            </w:r>
          </w:p>
        </w:tc>
        <w:tc>
          <w:tcPr>
            <w:tcW w:w="2095" w:type="dxa"/>
            <w:vAlign w:val="center"/>
          </w:tcPr>
          <w:p w14:paraId="52353CF8">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投标预备会</w:t>
            </w:r>
          </w:p>
        </w:tc>
        <w:tc>
          <w:tcPr>
            <w:tcW w:w="6675" w:type="dxa"/>
            <w:vAlign w:val="center"/>
          </w:tcPr>
          <w:p w14:paraId="6367A8C7">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fldChar w:fldCharType="begin"/>
            </w:r>
            <w:r>
              <w:rPr>
                <w:rFonts w:hint="eastAsia" w:ascii="宋体" w:hAnsi="宋体" w:eastAsia="宋体" w:cs="宋体"/>
                <w:bCs/>
                <w:color w:val="auto"/>
                <w:sz w:val="21"/>
                <w:szCs w:val="21"/>
                <w:highlight w:val="none"/>
                <w:lang w:val="zh-CN"/>
              </w:rPr>
              <w:instrText xml:space="preserve">eq \o\ac(</w:instrText>
            </w:r>
            <w:r>
              <w:rPr>
                <w:rFonts w:hint="eastAsia" w:ascii="宋体" w:hAnsi="宋体" w:eastAsia="宋体" w:cs="宋体"/>
                <w:bCs/>
                <w:color w:val="auto"/>
                <w:position w:val="-4"/>
                <w:sz w:val="21"/>
                <w:szCs w:val="21"/>
                <w:highlight w:val="none"/>
                <w:lang w:val="zh-CN"/>
              </w:rPr>
              <w:instrText xml:space="preserve">□</w:instrText>
            </w:r>
            <w:r>
              <w:rPr>
                <w:rFonts w:hint="eastAsia" w:ascii="宋体" w:hAnsi="宋体" w:eastAsia="宋体" w:cs="宋体"/>
                <w:bCs/>
                <w:color w:val="auto"/>
                <w:position w:val="0"/>
                <w:sz w:val="21"/>
                <w:szCs w:val="21"/>
                <w:highlight w:val="none"/>
                <w:lang w:val="zh-CN"/>
              </w:rPr>
              <w:instrText xml:space="preserve">,√)</w:instrText>
            </w:r>
            <w:r>
              <w:rPr>
                <w:rFonts w:hint="eastAsia" w:ascii="宋体" w:hAnsi="宋体" w:eastAsia="宋体" w:cs="宋体"/>
                <w:bCs/>
                <w:color w:val="auto"/>
                <w:sz w:val="21"/>
                <w:szCs w:val="21"/>
                <w:highlight w:val="none"/>
                <w:lang w:val="zh-CN"/>
              </w:rPr>
              <w:fldChar w:fldCharType="end"/>
            </w:r>
            <w:r>
              <w:rPr>
                <w:rFonts w:hint="eastAsia" w:ascii="宋体" w:hAnsi="宋体" w:eastAsia="宋体" w:cs="宋体"/>
                <w:bCs/>
                <w:color w:val="auto"/>
                <w:sz w:val="21"/>
                <w:szCs w:val="21"/>
                <w:highlight w:val="none"/>
                <w:lang w:val="zh-CN"/>
              </w:rPr>
              <w:t>不召开</w:t>
            </w:r>
          </w:p>
          <w:p w14:paraId="2CD1D0B1">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□召开,召开时间：/</w:t>
            </w:r>
          </w:p>
          <w:p w14:paraId="701D39E9">
            <w:pPr>
              <w:keepNext w:val="0"/>
              <w:keepLines w:val="0"/>
              <w:pageBreakBefore w:val="0"/>
              <w:widowControl w:val="0"/>
              <w:kinsoku/>
              <w:wordWrap w:val="0"/>
              <w:overflowPunct/>
              <w:topLinePunct w:val="0"/>
              <w:autoSpaceDE/>
              <w:autoSpaceDN/>
              <w:bidi w:val="0"/>
              <w:adjustRightInd w:val="0"/>
              <w:spacing w:line="440" w:lineRule="exact"/>
              <w:ind w:firstLine="735" w:firstLineChars="350"/>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rPr>
              <w:t>召开地点：/</w:t>
            </w:r>
          </w:p>
        </w:tc>
      </w:tr>
      <w:tr w14:paraId="37FBB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995" w:type="dxa"/>
            <w:vAlign w:val="center"/>
          </w:tcPr>
          <w:p w14:paraId="5EBAF060">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rPr>
              <w:t>1.11.1</w:t>
            </w:r>
          </w:p>
        </w:tc>
        <w:tc>
          <w:tcPr>
            <w:tcW w:w="2095" w:type="dxa"/>
            <w:vAlign w:val="center"/>
          </w:tcPr>
          <w:p w14:paraId="7AF3C31F">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rPr>
              <w:t>分包</w:t>
            </w:r>
          </w:p>
        </w:tc>
        <w:tc>
          <w:tcPr>
            <w:tcW w:w="6675" w:type="dxa"/>
            <w:vAlign w:val="center"/>
          </w:tcPr>
          <w:p w14:paraId="511C5F19">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fldChar w:fldCharType="begin"/>
            </w:r>
            <w:r>
              <w:rPr>
                <w:rFonts w:hint="eastAsia" w:ascii="宋体" w:hAnsi="宋体" w:eastAsia="宋体" w:cs="宋体"/>
                <w:bCs/>
                <w:color w:val="auto"/>
                <w:sz w:val="21"/>
                <w:szCs w:val="21"/>
                <w:highlight w:val="none"/>
                <w:lang w:val="zh-CN"/>
              </w:rPr>
              <w:instrText xml:space="preserve">eq \o\ac(</w:instrText>
            </w:r>
            <w:r>
              <w:rPr>
                <w:rFonts w:hint="eastAsia" w:ascii="宋体" w:hAnsi="宋体" w:eastAsia="宋体" w:cs="宋体"/>
                <w:bCs/>
                <w:color w:val="auto"/>
                <w:position w:val="-4"/>
                <w:sz w:val="31"/>
                <w:szCs w:val="21"/>
                <w:highlight w:val="none"/>
                <w:lang w:val="zh-CN"/>
              </w:rPr>
              <w:instrText xml:space="preserve">□</w:instrText>
            </w:r>
            <w:r>
              <w:rPr>
                <w:rFonts w:hint="eastAsia" w:ascii="宋体" w:hAnsi="宋体" w:eastAsia="宋体" w:cs="宋体"/>
                <w:bCs/>
                <w:color w:val="auto"/>
                <w:position w:val="0"/>
                <w:sz w:val="21"/>
                <w:szCs w:val="21"/>
                <w:highlight w:val="none"/>
                <w:lang w:val="zh-CN"/>
              </w:rPr>
              <w:instrText xml:space="preserve">,√)</w:instrText>
            </w:r>
            <w:r>
              <w:rPr>
                <w:rFonts w:hint="eastAsia" w:ascii="宋体" w:hAnsi="宋体" w:eastAsia="宋体" w:cs="宋体"/>
                <w:bCs/>
                <w:color w:val="auto"/>
                <w:sz w:val="21"/>
                <w:szCs w:val="21"/>
                <w:highlight w:val="none"/>
                <w:lang w:val="zh-CN"/>
              </w:rPr>
              <w:fldChar w:fldCharType="end"/>
            </w:r>
            <w:r>
              <w:rPr>
                <w:rFonts w:hint="eastAsia" w:ascii="宋体" w:hAnsi="宋体" w:eastAsia="宋体" w:cs="宋体"/>
                <w:bCs/>
                <w:color w:val="auto"/>
                <w:sz w:val="21"/>
                <w:szCs w:val="21"/>
                <w:highlight w:val="none"/>
                <w:lang w:val="zh-CN"/>
              </w:rPr>
              <w:t>不允许</w:t>
            </w:r>
          </w:p>
          <w:p w14:paraId="6680B879">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□允许，分包内容：/</w:t>
            </w:r>
          </w:p>
        </w:tc>
      </w:tr>
      <w:tr w14:paraId="7804D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95" w:type="dxa"/>
            <w:vAlign w:val="center"/>
          </w:tcPr>
          <w:p w14:paraId="74623F69">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1.12</w:t>
            </w:r>
          </w:p>
        </w:tc>
        <w:tc>
          <w:tcPr>
            <w:tcW w:w="2095" w:type="dxa"/>
            <w:vAlign w:val="center"/>
          </w:tcPr>
          <w:p w14:paraId="03822F3D">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偏离</w:t>
            </w:r>
          </w:p>
        </w:tc>
        <w:tc>
          <w:tcPr>
            <w:tcW w:w="6675" w:type="dxa"/>
            <w:vAlign w:val="center"/>
          </w:tcPr>
          <w:p w14:paraId="39FF80FA">
            <w:pPr>
              <w:spacing w:line="400" w:lineRule="exact"/>
              <w:rPr>
                <w:rFonts w:ascii="宋体" w:hAnsi="宋体"/>
                <w:color w:val="auto"/>
                <w:szCs w:val="21"/>
                <w:highlight w:val="none"/>
              </w:rPr>
            </w:pPr>
            <w:r>
              <w:rPr>
                <w:rFonts w:hint="eastAsia" w:ascii="宋体" w:hAnsi="宋体"/>
                <w:color w:val="auto"/>
                <w:szCs w:val="21"/>
                <w:highlight w:val="none"/>
              </w:rPr>
              <w:t>不允许</w:t>
            </w:r>
          </w:p>
        </w:tc>
      </w:tr>
      <w:tr w14:paraId="41864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5" w:type="dxa"/>
            <w:vAlign w:val="center"/>
          </w:tcPr>
          <w:p w14:paraId="1EA2B696">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2.1</w:t>
            </w:r>
          </w:p>
        </w:tc>
        <w:tc>
          <w:tcPr>
            <w:tcW w:w="2095" w:type="dxa"/>
            <w:vAlign w:val="center"/>
          </w:tcPr>
          <w:p w14:paraId="7A33A101">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构成磋商文件的其他材料</w:t>
            </w:r>
          </w:p>
        </w:tc>
        <w:tc>
          <w:tcPr>
            <w:tcW w:w="6675" w:type="dxa"/>
            <w:vAlign w:val="center"/>
          </w:tcPr>
          <w:p w14:paraId="47CEB839">
            <w:pPr>
              <w:spacing w:line="400" w:lineRule="exact"/>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zh-CN" w:eastAsia="zh-CN"/>
              </w:rPr>
              <w:t>本项目的澄清、修改、补充说明文件</w:t>
            </w:r>
            <w:r>
              <w:rPr>
                <w:rFonts w:hint="eastAsia" w:ascii="Times New Roman" w:hAnsi="Times New Roman" w:eastAsia="宋体" w:cs="Times New Roman"/>
                <w:highlight w:val="none"/>
                <w:lang w:val="en-US" w:eastAsia="zh-CN"/>
              </w:rPr>
              <w:t>（如有）。</w:t>
            </w:r>
          </w:p>
          <w:p w14:paraId="512F02C3">
            <w:pPr>
              <w:spacing w:line="400" w:lineRule="exact"/>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注：采购代理机构将上述内容以带有编号的补遗文件发送到“政采云”平台(https://www.zcygov.cn)</w:t>
            </w:r>
            <w:r>
              <w:rPr>
                <w:rFonts w:hint="eastAsia" w:ascii="Times New Roman" w:hAnsi="Times New Roman" w:eastAsia="宋体" w:cs="Times New Roman"/>
                <w:highlight w:val="none"/>
                <w:lang w:val="zh-CN" w:eastAsia="zh-CN"/>
              </w:rPr>
              <w:t>答疑文件</w:t>
            </w:r>
            <w:r>
              <w:rPr>
                <w:rFonts w:hint="eastAsia" w:ascii="Times New Roman" w:hAnsi="Times New Roman" w:eastAsia="宋体" w:cs="Times New Roman"/>
                <w:highlight w:val="none"/>
                <w:lang w:val="en-US" w:eastAsia="zh-CN"/>
              </w:rPr>
              <w:t>中，各供应商登录“政采云”平台(https://www.zcygov.cn)答疑文件处自行下载。如果供应商未在上述答疑文件中收到相应文件，请及时与采购代理机构联系，否则采购人和采购代理机构不承担任何责任。</w:t>
            </w:r>
          </w:p>
        </w:tc>
      </w:tr>
      <w:tr w14:paraId="7C318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5" w:type="dxa"/>
            <w:vAlign w:val="center"/>
          </w:tcPr>
          <w:p w14:paraId="36978285">
            <w:pPr>
              <w:spacing w:line="400" w:lineRule="exact"/>
              <w:jc w:val="center"/>
              <w:rPr>
                <w:color w:val="auto"/>
                <w:highlight w:val="none"/>
              </w:rPr>
            </w:pPr>
            <w:r>
              <w:rPr>
                <w:rFonts w:hint="eastAsia"/>
                <w:color w:val="auto"/>
                <w:highlight w:val="none"/>
              </w:rPr>
              <w:t>2.2.1</w:t>
            </w:r>
          </w:p>
        </w:tc>
        <w:tc>
          <w:tcPr>
            <w:tcW w:w="2095" w:type="dxa"/>
            <w:vAlign w:val="center"/>
          </w:tcPr>
          <w:p w14:paraId="17A249F6">
            <w:pPr>
              <w:spacing w:line="400" w:lineRule="exact"/>
              <w:jc w:val="center"/>
              <w:rPr>
                <w:color w:val="auto"/>
                <w:highlight w:val="none"/>
              </w:rPr>
            </w:pPr>
            <w:r>
              <w:rPr>
                <w:rFonts w:hint="eastAsia"/>
                <w:color w:val="auto"/>
                <w:highlight w:val="none"/>
              </w:rPr>
              <w:t>申请人要求澄清磋商文件的截止时间</w:t>
            </w:r>
          </w:p>
        </w:tc>
        <w:tc>
          <w:tcPr>
            <w:tcW w:w="6675" w:type="dxa"/>
            <w:vAlign w:val="center"/>
          </w:tcPr>
          <w:p w14:paraId="6B7A97B4">
            <w:pPr>
              <w:keepNext w:val="0"/>
              <w:keepLines w:val="0"/>
              <w:pageBreakBefore w:val="0"/>
              <w:kinsoku/>
              <w:wordWrap/>
              <w:overflowPunct/>
              <w:autoSpaceDE/>
              <w:autoSpaceDN/>
              <w:bidi w:val="0"/>
              <w:spacing w:line="0" w:lineRule="atLeast"/>
              <w:textAlignment w:val="auto"/>
              <w:rPr>
                <w:rFonts w:hint="eastAsia" w:ascii="宋体" w:hAnsi="宋体" w:eastAsia="宋体" w:cs="宋体"/>
                <w:color w:val="000000"/>
                <w:kern w:val="2"/>
                <w:sz w:val="21"/>
                <w:szCs w:val="21"/>
                <w:highlight w:val="none"/>
                <w:lang w:val="zh-CN" w:eastAsia="zh-CN" w:bidi="ar-SA"/>
              </w:rPr>
            </w:pPr>
            <w:r>
              <w:rPr>
                <w:rFonts w:hint="eastAsia" w:ascii="宋体" w:hAnsi="宋体" w:eastAsia="宋体" w:cs="宋体"/>
                <w:color w:val="000000"/>
                <w:sz w:val="21"/>
                <w:szCs w:val="21"/>
                <w:highlight w:val="none"/>
                <w:lang w:val="en-US" w:eastAsia="zh-CN"/>
              </w:rPr>
              <w:t>时间：</w:t>
            </w:r>
            <w:r>
              <w:rPr>
                <w:rFonts w:hint="eastAsia" w:ascii="宋体" w:hAnsi="宋体" w:eastAsia="宋体" w:cs="宋体"/>
                <w:color w:val="000000"/>
                <w:sz w:val="21"/>
                <w:szCs w:val="21"/>
                <w:highlight w:val="none"/>
                <w:lang w:val="zh-CN"/>
              </w:rPr>
              <w:t>提交响应文件截止时间5天前</w:t>
            </w:r>
            <w:r>
              <w:rPr>
                <w:rFonts w:hint="eastAsia" w:ascii="宋体" w:hAnsi="宋体" w:eastAsia="宋体" w:cs="宋体"/>
                <w:color w:val="000000"/>
                <w:sz w:val="21"/>
                <w:szCs w:val="21"/>
                <w:highlight w:val="none"/>
                <w:lang w:val="zh-CN" w:eastAsia="zh-CN"/>
              </w:rPr>
              <w:t>。</w:t>
            </w:r>
          </w:p>
        </w:tc>
      </w:tr>
      <w:tr w14:paraId="63FD4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5" w:type="dxa"/>
            <w:vAlign w:val="center"/>
          </w:tcPr>
          <w:p w14:paraId="6256DA9E">
            <w:pPr>
              <w:spacing w:line="400" w:lineRule="exact"/>
              <w:jc w:val="center"/>
              <w:rPr>
                <w:color w:val="auto"/>
                <w:highlight w:val="none"/>
              </w:rPr>
            </w:pPr>
            <w:r>
              <w:rPr>
                <w:rFonts w:hint="eastAsia"/>
                <w:color w:val="auto"/>
                <w:highlight w:val="none"/>
              </w:rPr>
              <w:t>2.2.2</w:t>
            </w:r>
          </w:p>
        </w:tc>
        <w:tc>
          <w:tcPr>
            <w:tcW w:w="2095" w:type="dxa"/>
            <w:vAlign w:val="center"/>
          </w:tcPr>
          <w:p w14:paraId="4CBEC973">
            <w:pPr>
              <w:spacing w:line="400" w:lineRule="exact"/>
              <w:jc w:val="center"/>
              <w:rPr>
                <w:color w:val="auto"/>
                <w:highlight w:val="none"/>
              </w:rPr>
            </w:pPr>
            <w:r>
              <w:rPr>
                <w:rFonts w:hint="eastAsia"/>
                <w:color w:val="auto"/>
                <w:highlight w:val="none"/>
              </w:rPr>
              <w:t>磋商时间和地点</w:t>
            </w:r>
          </w:p>
        </w:tc>
        <w:tc>
          <w:tcPr>
            <w:tcW w:w="6675" w:type="dxa"/>
            <w:shd w:val="clear" w:color="auto" w:fill="auto"/>
            <w:vAlign w:val="center"/>
          </w:tcPr>
          <w:p w14:paraId="78938678">
            <w:pPr>
              <w:spacing w:line="400" w:lineRule="exact"/>
              <w:jc w:val="both"/>
              <w:rPr>
                <w:rFonts w:hint="eastAsia" w:ascii="Times New Roman" w:hAnsi="Times New Roman" w:eastAsia="宋体" w:cs="Times New Roman"/>
                <w:color w:val="auto"/>
                <w:highlight w:val="none"/>
                <w:lang w:val="zh-CN" w:eastAsia="zh-CN"/>
              </w:rPr>
            </w:pPr>
            <w:r>
              <w:rPr>
                <w:rFonts w:hint="eastAsia" w:ascii="Times New Roman" w:hAnsi="Times New Roman" w:eastAsia="宋体" w:cs="Times New Roman"/>
                <w:color w:val="auto"/>
                <w:highlight w:val="none"/>
                <w:lang w:val="en-US" w:eastAsia="zh-CN"/>
              </w:rPr>
              <w:t>磋商时间：2024年</w:t>
            </w:r>
            <w:r>
              <w:rPr>
                <w:rFonts w:hint="eastAsia" w:cs="Times New Roman"/>
                <w:color w:val="auto"/>
                <w:highlight w:val="none"/>
                <w:lang w:val="en-US" w:eastAsia="zh-CN"/>
              </w:rPr>
              <w:t>11</w:t>
            </w:r>
            <w:r>
              <w:rPr>
                <w:rFonts w:hint="eastAsia" w:ascii="Times New Roman" w:hAnsi="Times New Roman" w:eastAsia="宋体" w:cs="Times New Roman"/>
                <w:color w:val="auto"/>
                <w:highlight w:val="none"/>
                <w:lang w:val="en-US" w:eastAsia="zh-CN"/>
              </w:rPr>
              <w:t>月</w:t>
            </w:r>
            <w:r>
              <w:rPr>
                <w:rFonts w:hint="eastAsia" w:cs="Times New Roman"/>
                <w:color w:val="auto"/>
                <w:highlight w:val="none"/>
                <w:lang w:val="en-US" w:eastAsia="zh-CN"/>
              </w:rPr>
              <w:t>28</w:t>
            </w:r>
            <w:r>
              <w:rPr>
                <w:rFonts w:hint="eastAsia" w:ascii="Times New Roman" w:hAnsi="Times New Roman" w:eastAsia="宋体" w:cs="Times New Roman"/>
                <w:color w:val="auto"/>
                <w:highlight w:val="none"/>
                <w:lang w:val="en-US" w:eastAsia="zh-CN"/>
              </w:rPr>
              <w:t>日</w:t>
            </w:r>
            <w:r>
              <w:rPr>
                <w:rFonts w:hint="eastAsia" w:cs="Times New Roman"/>
                <w:color w:val="auto"/>
                <w:highlight w:val="none"/>
                <w:lang w:val="en-US" w:eastAsia="zh-CN"/>
              </w:rPr>
              <w:t>09</w:t>
            </w:r>
            <w:r>
              <w:rPr>
                <w:rFonts w:hint="eastAsia" w:ascii="Times New Roman" w:hAnsi="Times New Roman" w:eastAsia="宋体" w:cs="Times New Roman"/>
                <w:color w:val="auto"/>
                <w:highlight w:val="none"/>
                <w:lang w:val="en-US" w:eastAsia="zh-CN"/>
              </w:rPr>
              <w:t>时</w:t>
            </w:r>
            <w:r>
              <w:rPr>
                <w:rFonts w:hint="eastAsia" w:cs="Times New Roman"/>
                <w:color w:val="auto"/>
                <w:highlight w:val="none"/>
                <w:lang w:val="en-US" w:eastAsia="zh-CN"/>
              </w:rPr>
              <w:t>0</w:t>
            </w:r>
            <w:r>
              <w:rPr>
                <w:rFonts w:hint="eastAsia" w:ascii="Times New Roman" w:hAnsi="Times New Roman" w:eastAsia="宋体" w:cs="Times New Roman"/>
                <w:color w:val="auto"/>
                <w:highlight w:val="none"/>
                <w:lang w:val="en-US" w:eastAsia="zh-CN"/>
              </w:rPr>
              <w:t>0分</w:t>
            </w:r>
          </w:p>
          <w:p w14:paraId="4F1F1C70">
            <w:pPr>
              <w:spacing w:line="400" w:lineRule="exact"/>
              <w:jc w:val="both"/>
              <w:rPr>
                <w:rFonts w:hint="eastAsia" w:ascii="Times New Roman" w:hAnsi="Times New Roman" w:eastAsia="宋体" w:cs="Times New Roman"/>
                <w:color w:val="0000FF"/>
                <w:highlight w:val="none"/>
                <w:lang w:val="en-US" w:eastAsia="zh-CN"/>
              </w:rPr>
            </w:pPr>
            <w:r>
              <w:rPr>
                <w:rFonts w:hint="eastAsia" w:ascii="Times New Roman" w:hAnsi="Times New Roman" w:eastAsia="宋体" w:cs="Times New Roman"/>
                <w:color w:val="auto"/>
                <w:highlight w:val="none"/>
                <w:lang w:val="en-US" w:eastAsia="zh-CN"/>
              </w:rPr>
              <w:t>磋商</w:t>
            </w:r>
            <w:r>
              <w:rPr>
                <w:rFonts w:hint="eastAsia" w:ascii="Times New Roman" w:hAnsi="Times New Roman" w:eastAsia="宋体" w:cs="Times New Roman"/>
                <w:color w:val="auto"/>
                <w:highlight w:val="none"/>
              </w:rPr>
              <w:t>地点：</w:t>
            </w:r>
            <w:r>
              <w:rPr>
                <w:rFonts w:hint="eastAsia" w:cs="Times New Roman"/>
                <w:color w:val="auto"/>
                <w:highlight w:val="none"/>
                <w:lang w:val="zh-CN" w:eastAsia="zh-CN"/>
              </w:rPr>
              <w:t>长春市二道区洋浦大街6669号凯利中心AB栋101开标</w:t>
            </w:r>
            <w:r>
              <w:rPr>
                <w:rFonts w:hint="eastAsia" w:cs="Times New Roman"/>
                <w:color w:val="auto"/>
                <w:highlight w:val="none"/>
                <w:lang w:val="en-US" w:eastAsia="zh-CN"/>
              </w:rPr>
              <w:t>四</w:t>
            </w:r>
            <w:r>
              <w:rPr>
                <w:rFonts w:hint="eastAsia" w:cs="Times New Roman"/>
                <w:color w:val="auto"/>
                <w:highlight w:val="none"/>
                <w:lang w:val="zh-CN" w:eastAsia="zh-CN"/>
              </w:rPr>
              <w:t>室</w:t>
            </w:r>
          </w:p>
          <w:p w14:paraId="1E8DF908">
            <w:pPr>
              <w:pStyle w:val="17"/>
              <w:rPr>
                <w:rFonts w:hint="eastAsia"/>
                <w:lang w:val="zh-CN" w:eastAsia="zh-CN"/>
              </w:rPr>
            </w:pPr>
            <w:r>
              <w:rPr>
                <w:rFonts w:hint="eastAsia"/>
                <w:lang w:eastAsia="zh-CN"/>
              </w:rPr>
              <w:t>1.</w:t>
            </w:r>
            <w:r>
              <w:rPr>
                <w:rFonts w:hint="eastAsia"/>
                <w:lang w:val="zh-CN" w:eastAsia="zh-CN"/>
              </w:rPr>
              <w:t>本项目开启方式为远程开启，供应商不到现场。供应商投标时，需携带制作投标文件时用来加密的有效数字证书（CA认证）登录“政采云”平台电子开标大厅现场按规定时间对加密的投标文件进行解密。</w:t>
            </w:r>
          </w:p>
          <w:p w14:paraId="4D2BD3A4">
            <w:pPr>
              <w:pStyle w:val="17"/>
            </w:pPr>
            <w:r>
              <w:rPr>
                <w:rFonts w:hint="eastAsia"/>
                <w:lang w:eastAsia="zh-CN"/>
              </w:rPr>
              <w:t>2.</w:t>
            </w:r>
            <w:r>
              <w:rPr>
                <w:rFonts w:hint="eastAsia"/>
                <w:lang w:val="zh-CN" w:eastAsia="zh-CN"/>
              </w:rPr>
              <w:t>投标文件提交方式：本项目为全流程电子化项目，通过“政采云”平台（http：//www.zcygov.cn）实行在线电子投标，供应商应先安装“政采云电子交易客户端”（请自行前往“政采云”平台进行下载），并按照本项目</w:t>
            </w:r>
            <w:r>
              <w:rPr>
                <w:rFonts w:hint="eastAsia"/>
                <w:lang w:val="en-US" w:eastAsia="zh-CN"/>
              </w:rPr>
              <w:t>磋商</w:t>
            </w:r>
            <w:r>
              <w:rPr>
                <w:rFonts w:hint="eastAsia"/>
                <w:lang w:val="zh-CN" w:eastAsia="zh-CN"/>
              </w:rPr>
              <w:t>文件和“政采云”平台的要求编制、加密后在磋商截止时间前通过网络上传至“政采云”平台，供应商在“政采云”平台提交电子版投标文件时，请填写参加开标活动经办人联系方式。</w:t>
            </w:r>
          </w:p>
        </w:tc>
      </w:tr>
      <w:tr w14:paraId="4C76D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5" w:type="dxa"/>
            <w:vAlign w:val="center"/>
          </w:tcPr>
          <w:p w14:paraId="2301859B">
            <w:pPr>
              <w:spacing w:line="400" w:lineRule="exact"/>
              <w:jc w:val="center"/>
              <w:rPr>
                <w:color w:val="auto"/>
                <w:highlight w:val="none"/>
              </w:rPr>
            </w:pPr>
            <w:r>
              <w:rPr>
                <w:rFonts w:hint="eastAsia"/>
                <w:color w:val="auto"/>
                <w:highlight w:val="none"/>
              </w:rPr>
              <w:t>2.2.3</w:t>
            </w:r>
          </w:p>
        </w:tc>
        <w:tc>
          <w:tcPr>
            <w:tcW w:w="2095" w:type="dxa"/>
            <w:vAlign w:val="center"/>
          </w:tcPr>
          <w:p w14:paraId="40B09553">
            <w:pPr>
              <w:spacing w:line="400" w:lineRule="exact"/>
              <w:jc w:val="center"/>
              <w:rPr>
                <w:color w:val="auto"/>
                <w:highlight w:val="none"/>
              </w:rPr>
            </w:pPr>
            <w:r>
              <w:rPr>
                <w:rFonts w:hint="eastAsia"/>
                <w:color w:val="auto"/>
                <w:highlight w:val="none"/>
              </w:rPr>
              <w:t>申请人确认收到磋商文件澄清的时间</w:t>
            </w:r>
          </w:p>
        </w:tc>
        <w:tc>
          <w:tcPr>
            <w:tcW w:w="6675" w:type="dxa"/>
            <w:vAlign w:val="center"/>
          </w:tcPr>
          <w:p w14:paraId="15967CEA">
            <w:pPr>
              <w:spacing w:line="400" w:lineRule="exact"/>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时间：收到澄清后24小时内（以发出时间为准）。</w:t>
            </w:r>
            <w:r>
              <w:rPr>
                <w:rFonts w:hint="eastAsia" w:ascii="Times New Roman" w:hAnsi="Times New Roman" w:eastAsia="宋体" w:cs="Times New Roman"/>
                <w:highlight w:val="none"/>
                <w:lang w:val="zh-CN" w:eastAsia="zh-CN"/>
              </w:rPr>
              <w:t>形式：本项目所有修改文件均在</w:t>
            </w:r>
            <w:r>
              <w:rPr>
                <w:rFonts w:hint="eastAsia" w:ascii="Times New Roman" w:hAnsi="Times New Roman" w:eastAsia="宋体" w:cs="Times New Roman"/>
                <w:highlight w:val="none"/>
                <w:lang w:val="en-US" w:eastAsia="zh-CN"/>
              </w:rPr>
              <w:t>“政采云”平台(https://www.zcygov.cn)</w:t>
            </w:r>
            <w:r>
              <w:rPr>
                <w:rFonts w:hint="eastAsia" w:ascii="Times New Roman" w:hAnsi="Times New Roman" w:eastAsia="宋体" w:cs="Times New Roman"/>
                <w:highlight w:val="none"/>
                <w:lang w:val="zh-CN" w:eastAsia="zh-CN"/>
              </w:rPr>
              <w:t>”中发布，供应商收到后必须以确认函的形式发送至采购代理机构的邮箱</w:t>
            </w:r>
            <w:r>
              <w:rPr>
                <w:rFonts w:hint="eastAsia" w:cs="Times New Roman"/>
                <w:highlight w:val="none"/>
                <w:lang w:val="en-US" w:eastAsia="zh-CN"/>
              </w:rPr>
              <w:t>969444636</w:t>
            </w:r>
            <w:r>
              <w:rPr>
                <w:rFonts w:hint="eastAsia" w:ascii="Times New Roman" w:hAnsi="Times New Roman" w:eastAsia="宋体" w:cs="Times New Roman"/>
                <w:highlight w:val="none"/>
                <w:lang w:val="zh-CN" w:eastAsia="zh-CN"/>
              </w:rPr>
              <w:t>@qq.com，因供应商自身原因未能及时查阅下载所导致的对本项目有关文件理解错误由供应商自行承担。</w:t>
            </w:r>
          </w:p>
        </w:tc>
      </w:tr>
      <w:tr w14:paraId="1A578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5" w:type="dxa"/>
            <w:vAlign w:val="center"/>
          </w:tcPr>
          <w:p w14:paraId="673D6A88">
            <w:pPr>
              <w:spacing w:line="400" w:lineRule="exact"/>
              <w:jc w:val="center"/>
              <w:rPr>
                <w:color w:val="auto"/>
                <w:highlight w:val="none"/>
              </w:rPr>
            </w:pPr>
            <w:r>
              <w:rPr>
                <w:rFonts w:hint="eastAsia"/>
                <w:color w:val="auto"/>
                <w:highlight w:val="none"/>
              </w:rPr>
              <w:t>2.3.2</w:t>
            </w:r>
          </w:p>
        </w:tc>
        <w:tc>
          <w:tcPr>
            <w:tcW w:w="2095" w:type="dxa"/>
            <w:vAlign w:val="center"/>
          </w:tcPr>
          <w:p w14:paraId="512D7D4D">
            <w:pPr>
              <w:spacing w:line="400" w:lineRule="exact"/>
              <w:jc w:val="center"/>
              <w:rPr>
                <w:color w:val="auto"/>
                <w:highlight w:val="none"/>
              </w:rPr>
            </w:pPr>
            <w:r>
              <w:rPr>
                <w:rFonts w:hint="eastAsia"/>
                <w:color w:val="auto"/>
                <w:highlight w:val="none"/>
              </w:rPr>
              <w:t>申请人确认收到磋商文件修改的时间</w:t>
            </w:r>
          </w:p>
        </w:tc>
        <w:tc>
          <w:tcPr>
            <w:tcW w:w="6675" w:type="dxa"/>
            <w:vAlign w:val="center"/>
          </w:tcPr>
          <w:p w14:paraId="649BFC9F">
            <w:pPr>
              <w:spacing w:line="400" w:lineRule="exact"/>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详见本章2.2.3款。</w:t>
            </w:r>
          </w:p>
        </w:tc>
      </w:tr>
      <w:tr w14:paraId="3400F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95" w:type="dxa"/>
            <w:vAlign w:val="center"/>
          </w:tcPr>
          <w:p w14:paraId="2A6A4D2D">
            <w:pPr>
              <w:spacing w:line="400" w:lineRule="exact"/>
              <w:jc w:val="center"/>
              <w:rPr>
                <w:rFonts w:hint="eastAsia" w:ascii="Times New Roman" w:hAnsi="Times New Roman" w:eastAsia="宋体" w:cs="Times New Roman"/>
                <w:color w:val="auto"/>
                <w:kern w:val="2"/>
                <w:sz w:val="21"/>
                <w:szCs w:val="24"/>
                <w:highlight w:val="none"/>
                <w:lang w:val="zh-CN" w:eastAsia="zh-CN" w:bidi="ar-SA"/>
              </w:rPr>
            </w:pPr>
            <w:r>
              <w:rPr>
                <w:rFonts w:hint="eastAsia" w:ascii="Times New Roman" w:hAnsi="Times New Roman" w:eastAsia="宋体" w:cs="Times New Roman"/>
                <w:color w:val="auto"/>
                <w:highlight w:val="none"/>
                <w:lang w:val="zh-CN"/>
              </w:rPr>
              <w:t>3.2.</w:t>
            </w:r>
            <w:r>
              <w:rPr>
                <w:rFonts w:hint="eastAsia" w:cs="Times New Roman"/>
                <w:color w:val="auto"/>
                <w:highlight w:val="none"/>
                <w:lang w:val="en-US" w:eastAsia="zh-CN"/>
              </w:rPr>
              <w:t>3</w:t>
            </w:r>
          </w:p>
        </w:tc>
        <w:tc>
          <w:tcPr>
            <w:tcW w:w="2095" w:type="dxa"/>
            <w:vAlign w:val="center"/>
          </w:tcPr>
          <w:p w14:paraId="769BC63C">
            <w:pPr>
              <w:spacing w:line="400" w:lineRule="exact"/>
              <w:jc w:val="center"/>
              <w:rPr>
                <w:rFonts w:hint="eastAsia" w:ascii="Times New Roman" w:hAnsi="Times New Roman" w:eastAsia="宋体" w:cs="Times New Roman"/>
                <w:color w:val="auto"/>
                <w:kern w:val="2"/>
                <w:sz w:val="21"/>
                <w:szCs w:val="24"/>
                <w:highlight w:val="none"/>
                <w:lang w:val="zh-CN" w:eastAsia="zh-CN" w:bidi="ar-SA"/>
              </w:rPr>
            </w:pPr>
            <w:r>
              <w:rPr>
                <w:rFonts w:hint="eastAsia" w:ascii="Times New Roman" w:hAnsi="Times New Roman" w:eastAsia="宋体" w:cs="Times New Roman"/>
                <w:color w:val="auto"/>
                <w:highlight w:val="none"/>
              </w:rPr>
              <w:t>最高投标限价</w:t>
            </w:r>
          </w:p>
        </w:tc>
        <w:tc>
          <w:tcPr>
            <w:tcW w:w="6675" w:type="dxa"/>
            <w:vAlign w:val="center"/>
          </w:tcPr>
          <w:p w14:paraId="3E5DD598">
            <w:pPr>
              <w:spacing w:line="400" w:lineRule="exact"/>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highlight w:val="none"/>
                <w:lang w:val="en-US" w:eastAsia="zh-CN"/>
              </w:rPr>
              <w:t xml:space="preserve"> 687127.23元</w:t>
            </w:r>
            <w:r>
              <w:rPr>
                <w:rFonts w:hint="eastAsia" w:ascii="宋体" w:hAnsi="宋体"/>
                <w:color w:val="auto"/>
                <w:highlight w:val="none"/>
              </w:rPr>
              <w:t>（申请人进行报价时不得超出此价格，否则按</w:t>
            </w:r>
            <w:r>
              <w:rPr>
                <w:rFonts w:hint="eastAsia" w:ascii="宋体" w:hAnsi="宋体"/>
                <w:color w:val="auto"/>
                <w:highlight w:val="none"/>
                <w:lang w:val="en-US" w:eastAsia="zh-CN"/>
              </w:rPr>
              <w:t>无效报价</w:t>
            </w:r>
            <w:r>
              <w:rPr>
                <w:rFonts w:hint="eastAsia" w:ascii="宋体" w:hAnsi="宋体"/>
                <w:color w:val="auto"/>
                <w:highlight w:val="none"/>
              </w:rPr>
              <w:t>处理）。</w:t>
            </w:r>
          </w:p>
        </w:tc>
      </w:tr>
      <w:tr w14:paraId="1F2B5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95" w:type="dxa"/>
            <w:vAlign w:val="center"/>
          </w:tcPr>
          <w:p w14:paraId="414F566A">
            <w:pPr>
              <w:spacing w:line="400" w:lineRule="exact"/>
              <w:jc w:val="center"/>
              <w:rPr>
                <w:rFonts w:hint="eastAsia" w:eastAsia="宋体"/>
                <w:color w:val="auto"/>
                <w:highlight w:val="none"/>
                <w:lang w:eastAsia="zh-CN"/>
              </w:rPr>
            </w:pPr>
            <w:r>
              <w:rPr>
                <w:rFonts w:hint="eastAsia"/>
                <w:color w:val="auto"/>
                <w:highlight w:val="none"/>
              </w:rPr>
              <w:t>3.2.</w:t>
            </w:r>
            <w:r>
              <w:rPr>
                <w:rFonts w:hint="eastAsia"/>
                <w:color w:val="auto"/>
                <w:highlight w:val="none"/>
                <w:lang w:val="en-US" w:eastAsia="zh-CN"/>
              </w:rPr>
              <w:t>7</w:t>
            </w:r>
          </w:p>
        </w:tc>
        <w:tc>
          <w:tcPr>
            <w:tcW w:w="2095" w:type="dxa"/>
            <w:vAlign w:val="center"/>
          </w:tcPr>
          <w:p w14:paraId="70F5F219">
            <w:pPr>
              <w:spacing w:line="400" w:lineRule="exact"/>
              <w:jc w:val="center"/>
              <w:rPr>
                <w:color w:val="auto"/>
                <w:highlight w:val="none"/>
              </w:rPr>
            </w:pPr>
            <w:r>
              <w:rPr>
                <w:rFonts w:hint="eastAsia" w:ascii="宋体" w:hAnsi="宋体"/>
                <w:color w:val="auto"/>
                <w:szCs w:val="21"/>
                <w:highlight w:val="none"/>
              </w:rPr>
              <w:t>报价的次数</w:t>
            </w:r>
          </w:p>
        </w:tc>
        <w:tc>
          <w:tcPr>
            <w:tcW w:w="6675" w:type="dxa"/>
            <w:vAlign w:val="center"/>
          </w:tcPr>
          <w:p w14:paraId="104BF9B9">
            <w:pPr>
              <w:spacing w:line="400" w:lineRule="exact"/>
              <w:rPr>
                <w:rFonts w:hint="eastAsia" w:ascii="Times New Roman" w:hAnsi="Times New Roman" w:eastAsia="宋体" w:cs="Times New Roman"/>
                <w:color w:val="0000FF"/>
                <w:highlight w:val="none"/>
                <w:lang w:val="en-US" w:eastAsia="zh-CN"/>
              </w:rPr>
            </w:pPr>
            <w:r>
              <w:rPr>
                <w:rFonts w:hint="eastAsia" w:ascii="Times New Roman" w:hAnsi="Times New Roman" w:eastAsia="宋体" w:cs="Times New Roman"/>
                <w:color w:val="0000FF"/>
                <w:highlight w:val="none"/>
                <w:lang w:val="en-US" w:eastAsia="zh-CN"/>
              </w:rPr>
              <w:t>2次</w:t>
            </w:r>
          </w:p>
          <w:p w14:paraId="58C5137A">
            <w:pPr>
              <w:pStyle w:val="29"/>
              <w:rPr>
                <w:rFonts w:hint="default" w:ascii="Times New Roman" w:hAnsi="Times New Roman" w:eastAsia="宋体" w:cs="Times New Roman"/>
                <w:b w:val="0"/>
                <w:color w:val="0000FF"/>
                <w:kern w:val="2"/>
                <w:sz w:val="21"/>
                <w:szCs w:val="24"/>
                <w:highlight w:val="none"/>
                <w:lang w:val="en-US" w:eastAsia="zh-CN" w:bidi="ar-SA"/>
              </w:rPr>
            </w:pPr>
            <w:r>
              <w:rPr>
                <w:rFonts w:hint="eastAsia" w:ascii="Times New Roman" w:hAnsi="Times New Roman" w:eastAsia="宋体" w:cs="Times New Roman"/>
                <w:b w:val="0"/>
                <w:color w:val="0000FF"/>
                <w:kern w:val="2"/>
                <w:sz w:val="21"/>
                <w:szCs w:val="24"/>
                <w:highlight w:val="none"/>
                <w:lang w:val="en-US" w:eastAsia="zh-CN" w:bidi="ar-SA"/>
              </w:rPr>
              <w:t>注：开标当日，投标人不必抵达开标现场，仅需在任意地点通过“政采云”平台（https://www.zcygov.cn）参加开标会议，投标人代表须全程在线等候，投标人得到磋商小组指令后网上进行二次报价</w:t>
            </w:r>
            <w:r>
              <w:rPr>
                <w:rFonts w:hint="eastAsia" w:ascii="Times New Roman" w:eastAsia="宋体" w:cs="Times New Roman"/>
                <w:b w:val="0"/>
                <w:color w:val="0000FF"/>
                <w:kern w:val="2"/>
                <w:sz w:val="21"/>
                <w:szCs w:val="24"/>
                <w:highlight w:val="none"/>
                <w:lang w:val="en-US" w:eastAsia="zh-CN" w:bidi="ar-SA"/>
              </w:rPr>
              <w:t>。二次报价须上传报价清单（以附件形式），格式见附件。</w:t>
            </w:r>
          </w:p>
          <w:p w14:paraId="19A8F8F8">
            <w:pPr>
              <w:pStyle w:val="29"/>
              <w:rPr>
                <w:rFonts w:hint="eastAsia"/>
                <w:lang w:val="en-US" w:eastAsia="zh-CN"/>
              </w:rPr>
            </w:pPr>
            <w:r>
              <w:rPr>
                <w:rFonts w:hint="eastAsia" w:ascii="Times New Roman" w:hAnsi="Times New Roman" w:eastAsia="宋体" w:cs="Times New Roman"/>
                <w:b w:val="0"/>
                <w:kern w:val="2"/>
                <w:sz w:val="21"/>
                <w:szCs w:val="24"/>
                <w:highlight w:val="none"/>
                <w:lang w:val="en-US" w:eastAsia="zh-CN" w:bidi="ar-SA"/>
              </w:rPr>
              <w:t>未按照磋商文件要求进行二次报价的投标人视为放弃二次报价，由此引发的后果和责任由投标人自行承担。</w:t>
            </w:r>
          </w:p>
        </w:tc>
      </w:tr>
      <w:tr w14:paraId="4D1BD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5" w:type="dxa"/>
            <w:vAlign w:val="center"/>
          </w:tcPr>
          <w:p w14:paraId="60166FB9">
            <w:pPr>
              <w:spacing w:line="400" w:lineRule="exact"/>
              <w:jc w:val="center"/>
              <w:rPr>
                <w:color w:val="auto"/>
                <w:highlight w:val="none"/>
              </w:rPr>
            </w:pPr>
            <w:r>
              <w:rPr>
                <w:rFonts w:hint="eastAsia"/>
                <w:color w:val="auto"/>
                <w:highlight w:val="none"/>
              </w:rPr>
              <w:t>3.3.1</w:t>
            </w:r>
          </w:p>
        </w:tc>
        <w:tc>
          <w:tcPr>
            <w:tcW w:w="2095" w:type="dxa"/>
            <w:vAlign w:val="center"/>
          </w:tcPr>
          <w:p w14:paraId="5CE5FFFE">
            <w:pPr>
              <w:spacing w:line="400" w:lineRule="exact"/>
              <w:jc w:val="center"/>
              <w:rPr>
                <w:color w:val="auto"/>
                <w:highlight w:val="none"/>
              </w:rPr>
            </w:pPr>
            <w:r>
              <w:rPr>
                <w:rFonts w:hint="eastAsia"/>
                <w:color w:val="auto"/>
                <w:highlight w:val="none"/>
              </w:rPr>
              <w:t>响应有效期</w:t>
            </w:r>
          </w:p>
        </w:tc>
        <w:tc>
          <w:tcPr>
            <w:tcW w:w="6675" w:type="dxa"/>
            <w:vAlign w:val="center"/>
          </w:tcPr>
          <w:p w14:paraId="57D180EA">
            <w:pPr>
              <w:spacing w:line="400" w:lineRule="exact"/>
              <w:jc w:val="both"/>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zh-CN"/>
              </w:rPr>
              <w:t>投标截止之日后90天（日历天），从</w:t>
            </w:r>
            <w:r>
              <w:rPr>
                <w:rFonts w:hint="eastAsia" w:ascii="Times New Roman" w:hAnsi="Times New Roman" w:eastAsia="宋体" w:cs="Times New Roman"/>
                <w:color w:val="auto"/>
                <w:highlight w:val="none"/>
                <w:lang w:val="en-US" w:eastAsia="zh-CN"/>
              </w:rPr>
              <w:t>响应文件递交</w:t>
            </w:r>
            <w:r>
              <w:rPr>
                <w:rFonts w:hint="eastAsia" w:ascii="Times New Roman" w:hAnsi="Times New Roman" w:eastAsia="宋体" w:cs="Times New Roman"/>
                <w:color w:val="auto"/>
                <w:highlight w:val="none"/>
                <w:lang w:val="zh-CN"/>
              </w:rPr>
              <w:t>截止之日算起。</w:t>
            </w:r>
          </w:p>
        </w:tc>
      </w:tr>
      <w:tr w14:paraId="157A8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95" w:type="dxa"/>
            <w:vAlign w:val="center"/>
          </w:tcPr>
          <w:p w14:paraId="24752609">
            <w:pPr>
              <w:spacing w:line="400" w:lineRule="exact"/>
              <w:jc w:val="center"/>
              <w:rPr>
                <w:color w:val="auto"/>
                <w:highlight w:val="none"/>
              </w:rPr>
            </w:pPr>
            <w:r>
              <w:rPr>
                <w:rFonts w:hint="eastAsia"/>
                <w:color w:val="auto"/>
                <w:highlight w:val="none"/>
              </w:rPr>
              <w:t>3.4.1</w:t>
            </w:r>
          </w:p>
        </w:tc>
        <w:tc>
          <w:tcPr>
            <w:tcW w:w="2095" w:type="dxa"/>
            <w:vAlign w:val="center"/>
          </w:tcPr>
          <w:p w14:paraId="3C4D64BC">
            <w:pPr>
              <w:spacing w:line="400" w:lineRule="exact"/>
              <w:jc w:val="center"/>
              <w:rPr>
                <w:color w:val="auto"/>
                <w:highlight w:val="none"/>
              </w:rPr>
            </w:pPr>
            <w:r>
              <w:rPr>
                <w:rFonts w:hint="eastAsia"/>
                <w:color w:val="auto"/>
                <w:highlight w:val="none"/>
              </w:rPr>
              <w:t>磋商保证金</w:t>
            </w:r>
          </w:p>
        </w:tc>
        <w:tc>
          <w:tcPr>
            <w:tcW w:w="6675" w:type="dxa"/>
            <w:vAlign w:val="center"/>
          </w:tcPr>
          <w:p w14:paraId="63A08295">
            <w:pPr>
              <w:keepNext w:val="0"/>
              <w:keepLines w:val="0"/>
              <w:pageBreakBefore w:val="0"/>
              <w:widowControl w:val="0"/>
              <w:kinsoku/>
              <w:wordWrap w:val="0"/>
              <w:overflowPunct/>
              <w:topLinePunct w:val="0"/>
              <w:autoSpaceDE/>
              <w:autoSpaceDN/>
              <w:bidi w:val="0"/>
              <w:spacing w:line="440" w:lineRule="exact"/>
              <w:textAlignment w:val="auto"/>
              <w:rPr>
                <w:rFonts w:ascii="宋体" w:hAnsi="宋体"/>
                <w:bCs/>
                <w:color w:val="auto"/>
                <w:sz w:val="21"/>
                <w:szCs w:val="21"/>
                <w:highlight w:val="none"/>
              </w:rPr>
            </w:pPr>
            <w:r>
              <w:rPr>
                <w:rFonts w:hint="eastAsia" w:ascii="宋体" w:hAnsi="宋体"/>
                <w:bCs/>
                <w:color w:val="auto"/>
                <w:sz w:val="21"/>
                <w:szCs w:val="21"/>
                <w:highlight w:val="none"/>
                <w:lang w:eastAsia="zh-CN"/>
              </w:rPr>
              <w:fldChar w:fldCharType="begin"/>
            </w:r>
            <w:r>
              <w:rPr>
                <w:rFonts w:hint="eastAsia" w:ascii="宋体" w:hAnsi="宋体"/>
                <w:bCs/>
                <w:color w:val="auto"/>
                <w:sz w:val="21"/>
                <w:szCs w:val="21"/>
                <w:highlight w:val="none"/>
                <w:lang w:eastAsia="zh-CN"/>
              </w:rPr>
              <w:instrText xml:space="preserve">eq \o\ac(□,√)</w:instrText>
            </w:r>
            <w:r>
              <w:rPr>
                <w:rFonts w:hint="eastAsia" w:ascii="宋体" w:hAnsi="宋体"/>
                <w:bCs/>
                <w:color w:val="auto"/>
                <w:sz w:val="21"/>
                <w:szCs w:val="21"/>
                <w:highlight w:val="none"/>
                <w:lang w:eastAsia="zh-CN"/>
              </w:rPr>
              <w:fldChar w:fldCharType="end"/>
            </w:r>
            <w:r>
              <w:rPr>
                <w:rFonts w:hint="eastAsia" w:ascii="宋体" w:hAnsi="宋体"/>
                <w:bCs/>
                <w:color w:val="auto"/>
                <w:sz w:val="21"/>
                <w:szCs w:val="21"/>
                <w:highlight w:val="none"/>
                <w:lang w:eastAsia="zh-CN"/>
              </w:rPr>
              <w:t>不要求</w:t>
            </w:r>
          </w:p>
        </w:tc>
      </w:tr>
      <w:tr w14:paraId="3D30B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95" w:type="dxa"/>
            <w:vAlign w:val="center"/>
          </w:tcPr>
          <w:p w14:paraId="3C9AC0E6">
            <w:pPr>
              <w:spacing w:line="400" w:lineRule="exact"/>
              <w:jc w:val="center"/>
              <w:rPr>
                <w:rFonts w:hint="default" w:eastAsia="宋体"/>
                <w:color w:val="auto"/>
                <w:highlight w:val="none"/>
                <w:lang w:val="en-US" w:eastAsia="zh-CN"/>
              </w:rPr>
            </w:pPr>
            <w:r>
              <w:rPr>
                <w:rFonts w:hint="eastAsia"/>
                <w:color w:val="auto"/>
                <w:highlight w:val="none"/>
                <w:lang w:val="en-US" w:eastAsia="zh-CN"/>
              </w:rPr>
              <w:t>3.4.2</w:t>
            </w:r>
          </w:p>
        </w:tc>
        <w:tc>
          <w:tcPr>
            <w:tcW w:w="2095" w:type="dxa"/>
            <w:vAlign w:val="center"/>
          </w:tcPr>
          <w:p w14:paraId="0FDEC2E6">
            <w:pPr>
              <w:spacing w:line="400" w:lineRule="exact"/>
              <w:jc w:val="center"/>
              <w:rPr>
                <w:rFonts w:hint="eastAsia" w:eastAsia="宋体"/>
                <w:color w:val="auto"/>
                <w:highlight w:val="none"/>
                <w:lang w:val="en-US" w:eastAsia="zh-CN"/>
              </w:rPr>
            </w:pPr>
            <w:r>
              <w:rPr>
                <w:rFonts w:hint="eastAsia"/>
                <w:color w:val="auto"/>
                <w:highlight w:val="none"/>
                <w:lang w:val="en-US" w:eastAsia="zh-CN"/>
              </w:rPr>
              <w:t>质保期</w:t>
            </w:r>
          </w:p>
        </w:tc>
        <w:tc>
          <w:tcPr>
            <w:tcW w:w="6675" w:type="dxa"/>
            <w:vAlign w:val="center"/>
          </w:tcPr>
          <w:p w14:paraId="525657AF">
            <w:pPr>
              <w:keepNext w:val="0"/>
              <w:keepLines w:val="0"/>
              <w:pageBreakBefore w:val="0"/>
              <w:widowControl w:val="0"/>
              <w:kinsoku/>
              <w:wordWrap w:val="0"/>
              <w:overflowPunct/>
              <w:topLinePunct w:val="0"/>
              <w:autoSpaceDE/>
              <w:autoSpaceDN/>
              <w:bidi w:val="0"/>
              <w:spacing w:line="440" w:lineRule="exact"/>
              <w:textAlignment w:val="auto"/>
              <w:rPr>
                <w:rFonts w:hint="default" w:ascii="宋体" w:hAnsi="宋体"/>
                <w:bCs/>
                <w:color w:val="auto"/>
                <w:sz w:val="21"/>
                <w:szCs w:val="21"/>
                <w:highlight w:val="none"/>
                <w:lang w:val="en-US" w:eastAsia="zh-CN"/>
              </w:rPr>
            </w:pPr>
            <w:r>
              <w:rPr>
                <w:rFonts w:hint="eastAsia" w:ascii="宋体" w:hAnsi="宋体"/>
                <w:bCs/>
                <w:color w:val="auto"/>
                <w:sz w:val="21"/>
                <w:szCs w:val="21"/>
                <w:highlight w:val="none"/>
                <w:lang w:val="en-US" w:eastAsia="zh-CN"/>
              </w:rPr>
              <w:t>2年</w:t>
            </w:r>
          </w:p>
        </w:tc>
      </w:tr>
      <w:tr w14:paraId="2F9A6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995" w:type="dxa"/>
            <w:vAlign w:val="center"/>
          </w:tcPr>
          <w:p w14:paraId="2E57A5A0">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color w:val="auto"/>
                <w:sz w:val="21"/>
                <w:szCs w:val="21"/>
                <w:highlight w:val="none"/>
              </w:rPr>
            </w:pPr>
            <w:r>
              <w:rPr>
                <w:rFonts w:hint="eastAsia" w:ascii="宋体" w:hAnsi="宋体" w:eastAsia="宋体" w:cs="宋体"/>
                <w:bCs/>
                <w:color w:val="auto"/>
                <w:sz w:val="21"/>
                <w:szCs w:val="21"/>
                <w:highlight w:val="none"/>
                <w:lang w:val="zh-CN"/>
              </w:rPr>
              <w:t>3.4.4</w:t>
            </w:r>
          </w:p>
        </w:tc>
        <w:tc>
          <w:tcPr>
            <w:tcW w:w="2095" w:type="dxa"/>
            <w:vAlign w:val="center"/>
          </w:tcPr>
          <w:p w14:paraId="32446B1A">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color w:val="auto"/>
                <w:sz w:val="21"/>
                <w:szCs w:val="21"/>
                <w:highlight w:val="none"/>
              </w:rPr>
            </w:pPr>
            <w:r>
              <w:rPr>
                <w:rFonts w:hint="eastAsia" w:ascii="宋体" w:hAnsi="宋体" w:eastAsia="宋体" w:cs="宋体"/>
                <w:bCs/>
                <w:color w:val="auto"/>
                <w:sz w:val="21"/>
                <w:szCs w:val="21"/>
                <w:highlight w:val="none"/>
              </w:rPr>
              <w:t>其他可以不予退还</w:t>
            </w:r>
            <w:r>
              <w:rPr>
                <w:rFonts w:hint="eastAsia" w:ascii="宋体" w:hAnsi="宋体" w:eastAsia="宋体" w:cs="宋体"/>
                <w:bCs/>
                <w:color w:val="auto"/>
                <w:sz w:val="21"/>
                <w:szCs w:val="21"/>
                <w:highlight w:val="none"/>
                <w:lang w:eastAsia="zh-CN"/>
              </w:rPr>
              <w:t>磋商保证金</w:t>
            </w:r>
            <w:r>
              <w:rPr>
                <w:rFonts w:hint="eastAsia" w:ascii="宋体" w:hAnsi="宋体" w:eastAsia="宋体" w:cs="宋体"/>
                <w:bCs/>
                <w:color w:val="auto"/>
                <w:sz w:val="21"/>
                <w:szCs w:val="21"/>
                <w:highlight w:val="none"/>
              </w:rPr>
              <w:t>的情形</w:t>
            </w:r>
          </w:p>
        </w:tc>
        <w:tc>
          <w:tcPr>
            <w:tcW w:w="6675" w:type="dxa"/>
            <w:vAlign w:val="center"/>
          </w:tcPr>
          <w:p w14:paraId="49907F4C">
            <w:pPr>
              <w:pageBreakBefore w:val="0"/>
              <w:kinsoku/>
              <w:overflowPunct/>
              <w:topLinePunct w:val="0"/>
              <w:bidi w:val="0"/>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供应商在投标过程中借用他人资质，互相串通、结盟，伪造虚假业绩、人员、财务、履约情况等，或违反国家有关规定，损害招标的公正性和竞争性进行投标者。</w:t>
            </w:r>
          </w:p>
        </w:tc>
      </w:tr>
      <w:tr w14:paraId="5F8A0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95" w:type="dxa"/>
            <w:vAlign w:val="center"/>
          </w:tcPr>
          <w:p w14:paraId="0C4A4E9F">
            <w:pPr>
              <w:spacing w:line="400" w:lineRule="exact"/>
              <w:jc w:val="center"/>
              <w:rPr>
                <w:rFonts w:hint="eastAsia" w:eastAsia="宋体"/>
                <w:color w:val="auto"/>
                <w:highlight w:val="none"/>
                <w:lang w:eastAsia="zh-CN"/>
              </w:rPr>
            </w:pPr>
            <w:r>
              <w:rPr>
                <w:rFonts w:hint="eastAsia"/>
                <w:color w:val="auto"/>
                <w:highlight w:val="none"/>
              </w:rPr>
              <w:t>3.</w:t>
            </w:r>
            <w:r>
              <w:rPr>
                <w:rFonts w:hint="eastAsia"/>
                <w:color w:val="auto"/>
                <w:highlight w:val="none"/>
                <w:lang w:val="en-US" w:eastAsia="zh-CN"/>
              </w:rPr>
              <w:t>4</w:t>
            </w:r>
            <w:r>
              <w:rPr>
                <w:rFonts w:hint="eastAsia"/>
                <w:color w:val="auto"/>
                <w:highlight w:val="none"/>
              </w:rPr>
              <w:t>.</w:t>
            </w:r>
            <w:r>
              <w:rPr>
                <w:rFonts w:hint="eastAsia"/>
                <w:color w:val="auto"/>
                <w:highlight w:val="none"/>
                <w:lang w:val="en-US" w:eastAsia="zh-CN"/>
              </w:rPr>
              <w:t>5</w:t>
            </w:r>
          </w:p>
        </w:tc>
        <w:tc>
          <w:tcPr>
            <w:tcW w:w="2095" w:type="dxa"/>
            <w:vAlign w:val="center"/>
          </w:tcPr>
          <w:p w14:paraId="234CABF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auto"/>
                <w:highlight w:val="none"/>
              </w:rPr>
            </w:pPr>
            <w:r>
              <w:rPr>
                <w:rFonts w:hint="eastAsia"/>
                <w:color w:val="auto"/>
                <w:highlight w:val="none"/>
              </w:rPr>
              <w:t>近年财务状况的年份要求</w:t>
            </w:r>
          </w:p>
        </w:tc>
        <w:tc>
          <w:tcPr>
            <w:tcW w:w="6675" w:type="dxa"/>
            <w:vAlign w:val="center"/>
          </w:tcPr>
          <w:p w14:paraId="4570919D">
            <w:pPr>
              <w:pageBreakBefore w:val="0"/>
              <w:kinsoku/>
              <w:overflowPunct/>
              <w:topLinePunct w:val="0"/>
              <w:bidi w:val="0"/>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财务状况良好，提供近三年（2021～2023年）财务报表或经会计师事务所或审计机构审计的财务审计报告（新成立不足三年的企业需提供自成立之日起至2023年的财务报表或财务审计报告，2023年以后成立的企业应提供资金证明）；</w:t>
            </w:r>
          </w:p>
          <w:p w14:paraId="0B537AB9">
            <w:pPr>
              <w:pageBreakBefore w:val="0"/>
              <w:kinsoku/>
              <w:overflowPunct/>
              <w:topLinePunct w:val="0"/>
              <w:bidi w:val="0"/>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响应文件内附财务审计报告复印件加盖投标单位公章</w:t>
            </w:r>
          </w:p>
        </w:tc>
      </w:tr>
      <w:tr w14:paraId="37FD0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95" w:type="dxa"/>
            <w:vAlign w:val="center"/>
          </w:tcPr>
          <w:p w14:paraId="19223A56">
            <w:pPr>
              <w:spacing w:line="400" w:lineRule="exact"/>
              <w:jc w:val="center"/>
              <w:rPr>
                <w:rFonts w:hint="eastAsia" w:eastAsia="宋体"/>
                <w:color w:val="auto"/>
                <w:highlight w:val="none"/>
                <w:lang w:eastAsia="zh-CN"/>
              </w:rPr>
            </w:pPr>
            <w:r>
              <w:rPr>
                <w:rFonts w:hint="eastAsia"/>
                <w:color w:val="auto"/>
                <w:highlight w:val="none"/>
              </w:rPr>
              <w:t>3.</w:t>
            </w:r>
            <w:r>
              <w:rPr>
                <w:rFonts w:hint="eastAsia"/>
                <w:color w:val="auto"/>
                <w:highlight w:val="none"/>
                <w:lang w:val="en-US" w:eastAsia="zh-CN"/>
              </w:rPr>
              <w:t>4</w:t>
            </w:r>
            <w:r>
              <w:rPr>
                <w:rFonts w:hint="eastAsia"/>
                <w:color w:val="auto"/>
                <w:highlight w:val="none"/>
              </w:rPr>
              <w:t>.</w:t>
            </w:r>
            <w:r>
              <w:rPr>
                <w:rFonts w:hint="eastAsia"/>
                <w:color w:val="auto"/>
                <w:highlight w:val="none"/>
                <w:lang w:val="en-US" w:eastAsia="zh-CN"/>
              </w:rPr>
              <w:t>6</w:t>
            </w:r>
          </w:p>
        </w:tc>
        <w:tc>
          <w:tcPr>
            <w:tcW w:w="2095" w:type="dxa"/>
            <w:vAlign w:val="center"/>
          </w:tcPr>
          <w:p w14:paraId="07C469F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auto"/>
                <w:highlight w:val="none"/>
              </w:rPr>
            </w:pPr>
            <w:r>
              <w:rPr>
                <w:rFonts w:hint="eastAsia"/>
                <w:color w:val="auto"/>
                <w:highlight w:val="none"/>
              </w:rPr>
              <w:t>近年完成的类似项目的年份要求</w:t>
            </w:r>
          </w:p>
        </w:tc>
        <w:tc>
          <w:tcPr>
            <w:tcW w:w="6675" w:type="dxa"/>
            <w:vAlign w:val="center"/>
          </w:tcPr>
          <w:p w14:paraId="3DDC611A">
            <w:pPr>
              <w:pageBreakBefore w:val="0"/>
              <w:kinsoku/>
              <w:overflowPunct/>
              <w:topLinePunct w:val="0"/>
              <w:bidi w:val="0"/>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202</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年1月1日至磋商公告发布之日止。</w:t>
            </w:r>
          </w:p>
        </w:tc>
      </w:tr>
      <w:tr w14:paraId="4879E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995" w:type="dxa"/>
            <w:vAlign w:val="center"/>
          </w:tcPr>
          <w:p w14:paraId="783FBFDF">
            <w:pPr>
              <w:spacing w:line="400" w:lineRule="exact"/>
              <w:jc w:val="center"/>
              <w:rPr>
                <w:rFonts w:hint="eastAsia" w:eastAsia="宋体"/>
                <w:color w:val="auto"/>
                <w:highlight w:val="none"/>
                <w:lang w:eastAsia="zh-CN"/>
              </w:rPr>
            </w:pPr>
            <w:r>
              <w:rPr>
                <w:rFonts w:hint="eastAsia"/>
                <w:color w:val="auto"/>
                <w:highlight w:val="none"/>
              </w:rPr>
              <w:t>3.</w:t>
            </w:r>
            <w:r>
              <w:rPr>
                <w:rFonts w:hint="eastAsia"/>
                <w:color w:val="auto"/>
                <w:highlight w:val="none"/>
                <w:lang w:val="en-US" w:eastAsia="zh-CN"/>
              </w:rPr>
              <w:t>5</w:t>
            </w:r>
          </w:p>
        </w:tc>
        <w:tc>
          <w:tcPr>
            <w:tcW w:w="2095" w:type="dxa"/>
            <w:vAlign w:val="center"/>
          </w:tcPr>
          <w:p w14:paraId="752E1E8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auto"/>
                <w:highlight w:val="none"/>
              </w:rPr>
            </w:pPr>
            <w:r>
              <w:rPr>
                <w:rFonts w:hint="eastAsia"/>
                <w:color w:val="auto"/>
                <w:spacing w:val="-11"/>
                <w:highlight w:val="none"/>
              </w:rPr>
              <w:t>是否允许递交备选投标方案</w:t>
            </w:r>
          </w:p>
        </w:tc>
        <w:tc>
          <w:tcPr>
            <w:tcW w:w="6675" w:type="dxa"/>
            <w:vAlign w:val="center"/>
          </w:tcPr>
          <w:p w14:paraId="5D3A625D">
            <w:pPr>
              <w:spacing w:line="400" w:lineRule="exact"/>
              <w:rPr>
                <w:rFonts w:ascii="宋体" w:hAnsi="宋体"/>
                <w:color w:val="auto"/>
                <w:szCs w:val="21"/>
                <w:highlight w:val="none"/>
              </w:rPr>
            </w:pPr>
            <w:r>
              <w:rPr>
                <w:rFonts w:hint="eastAsia" w:ascii="宋体" w:hAnsi="宋体"/>
                <w:color w:val="auto"/>
                <w:szCs w:val="21"/>
                <w:highlight w:val="none"/>
              </w:rPr>
              <w:t>不允许</w:t>
            </w:r>
          </w:p>
        </w:tc>
      </w:tr>
      <w:tr w14:paraId="08CD8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95" w:type="dxa"/>
            <w:vAlign w:val="center"/>
          </w:tcPr>
          <w:p w14:paraId="356FD018">
            <w:pPr>
              <w:spacing w:line="400" w:lineRule="exact"/>
              <w:jc w:val="center"/>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val="zh-CN"/>
              </w:rPr>
              <w:t>3.</w:t>
            </w:r>
            <w:r>
              <w:rPr>
                <w:rFonts w:hint="eastAsia" w:cs="Times New Roman"/>
                <w:color w:val="auto"/>
                <w:highlight w:val="none"/>
                <w:lang w:val="en-US" w:eastAsia="zh-CN"/>
              </w:rPr>
              <w:t>6</w:t>
            </w:r>
            <w:r>
              <w:rPr>
                <w:rFonts w:hint="eastAsia" w:ascii="Times New Roman" w:hAnsi="Times New Roman" w:eastAsia="宋体" w:cs="Times New Roman"/>
                <w:color w:val="auto"/>
                <w:highlight w:val="none"/>
                <w:lang w:val="zh-CN"/>
              </w:rPr>
              <w:t>.</w:t>
            </w:r>
            <w:r>
              <w:rPr>
                <w:rFonts w:hint="eastAsia" w:cs="Times New Roman"/>
                <w:color w:val="auto"/>
                <w:highlight w:val="none"/>
                <w:lang w:val="en-US" w:eastAsia="zh-CN"/>
              </w:rPr>
              <w:t>4</w:t>
            </w:r>
          </w:p>
        </w:tc>
        <w:tc>
          <w:tcPr>
            <w:tcW w:w="2095" w:type="dxa"/>
            <w:vAlign w:val="center"/>
          </w:tcPr>
          <w:p w14:paraId="12D2867E">
            <w:pPr>
              <w:spacing w:line="400" w:lineRule="exact"/>
              <w:jc w:val="cente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zh-CN"/>
              </w:rPr>
              <w:t>响应文件的补充递交</w:t>
            </w:r>
          </w:p>
        </w:tc>
        <w:tc>
          <w:tcPr>
            <w:tcW w:w="6675" w:type="dxa"/>
            <w:vAlign w:val="center"/>
          </w:tcPr>
          <w:p w14:paraId="58E573E8">
            <w:pPr>
              <w:pageBreakBefore w:val="0"/>
              <w:kinsoku/>
              <w:overflowPunct/>
              <w:topLinePunct w:val="0"/>
              <w:bidi w:val="0"/>
              <w:spacing w:line="288" w:lineRule="auto"/>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lang w:val="zh-CN" w:eastAsia="zh-CN"/>
              </w:rPr>
              <w:t>单位需在成交通知书领取之前到采购代理机构提交纸质版响应文件</w:t>
            </w:r>
            <w:r>
              <w:rPr>
                <w:rFonts w:hint="eastAsia" w:ascii="宋体" w:hAnsi="宋体" w:eastAsia="宋体" w:cs="宋体"/>
                <w:color w:val="auto"/>
                <w:sz w:val="21"/>
                <w:szCs w:val="21"/>
                <w:highlight w:val="none"/>
                <w:lang w:val="en-US" w:eastAsia="zh-CN"/>
              </w:rPr>
              <w:t>正本1份、</w:t>
            </w:r>
            <w:r>
              <w:rPr>
                <w:rFonts w:hint="eastAsia" w:ascii="宋体" w:hAnsi="宋体" w:eastAsia="宋体" w:cs="宋体"/>
                <w:color w:val="auto"/>
                <w:sz w:val="21"/>
                <w:szCs w:val="21"/>
                <w:highlight w:val="none"/>
                <w:lang w:val="zh-CN" w:eastAsia="zh-CN"/>
              </w:rPr>
              <w:t>副本</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份</w:t>
            </w:r>
            <w:r>
              <w:rPr>
                <w:rFonts w:hint="eastAsia" w:ascii="宋体" w:hAnsi="宋体" w:eastAsia="宋体" w:cs="宋体"/>
                <w:color w:val="auto"/>
                <w:sz w:val="21"/>
                <w:szCs w:val="21"/>
                <w:highlight w:val="none"/>
                <w:lang w:val="zh-CN" w:eastAsia="zh-CN"/>
              </w:rPr>
              <w:t>（成交单位提交的纸质版响应文件副本，必须与上传的电子响应文件以及开标截止时间前递交的纸质版响应文件正本相同，装订要整齐、牢固、采用左侧纵向无线胶订机胶订，编制目录及页码，使用标准的宋体字、A4纸打印胶装装订成册），否则视为放弃成交。</w:t>
            </w:r>
          </w:p>
        </w:tc>
      </w:tr>
      <w:tr w14:paraId="6DD2F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95" w:type="dxa"/>
            <w:vAlign w:val="center"/>
          </w:tcPr>
          <w:p w14:paraId="15D39EF0">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eastAsia="宋体"/>
                <w:color w:val="auto"/>
                <w:sz w:val="21"/>
                <w:szCs w:val="21"/>
                <w:highlight w:val="none"/>
                <w:lang w:val="en-US" w:eastAsia="zh-CN"/>
              </w:rPr>
            </w:pPr>
            <w:r>
              <w:rPr>
                <w:rFonts w:hint="eastAsia" w:ascii="宋体" w:hAnsi="宋体" w:eastAsia="宋体" w:cs="宋体"/>
                <w:bCs/>
                <w:color w:val="auto"/>
                <w:sz w:val="21"/>
                <w:szCs w:val="21"/>
                <w:highlight w:val="none"/>
                <w:lang w:val="zh-CN"/>
              </w:rPr>
              <w:t>3.</w:t>
            </w: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lang w:val="zh-CN"/>
              </w:rPr>
              <w:t>.</w:t>
            </w:r>
            <w:r>
              <w:rPr>
                <w:rFonts w:hint="eastAsia" w:ascii="宋体" w:hAnsi="宋体" w:cs="宋体"/>
                <w:bCs/>
                <w:color w:val="auto"/>
                <w:sz w:val="21"/>
                <w:szCs w:val="21"/>
                <w:highlight w:val="none"/>
                <w:lang w:val="en-US" w:eastAsia="zh-CN"/>
              </w:rPr>
              <w:t>6</w:t>
            </w:r>
          </w:p>
        </w:tc>
        <w:tc>
          <w:tcPr>
            <w:tcW w:w="2095" w:type="dxa"/>
            <w:vAlign w:val="center"/>
          </w:tcPr>
          <w:p w14:paraId="472DD3CB">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color w:val="auto"/>
                <w:sz w:val="21"/>
                <w:szCs w:val="21"/>
                <w:highlight w:val="none"/>
              </w:rPr>
            </w:pPr>
            <w:r>
              <w:rPr>
                <w:rFonts w:hint="eastAsia" w:ascii="宋体" w:hAnsi="宋体" w:eastAsia="宋体" w:cs="宋体"/>
                <w:bCs/>
                <w:color w:val="auto"/>
                <w:sz w:val="21"/>
                <w:szCs w:val="21"/>
                <w:highlight w:val="none"/>
                <w:lang w:val="zh-CN"/>
              </w:rPr>
              <w:t>响应文件上传</w:t>
            </w:r>
          </w:p>
        </w:tc>
        <w:tc>
          <w:tcPr>
            <w:tcW w:w="6675" w:type="dxa"/>
            <w:vAlign w:val="center"/>
          </w:tcPr>
          <w:p w14:paraId="40736A12">
            <w:pPr>
              <w:keepNext w:val="0"/>
              <w:keepLines w:val="0"/>
              <w:pageBreakBefore w:val="0"/>
              <w:widowControl w:val="0"/>
              <w:kinsoku/>
              <w:wordWrap w:val="0"/>
              <w:overflowPunct/>
              <w:topLinePunct w:val="0"/>
              <w:autoSpaceDE/>
              <w:autoSpaceDN/>
              <w:bidi w:val="0"/>
              <w:adjustRightInd w:val="0"/>
              <w:spacing w:line="440" w:lineRule="exact"/>
              <w:textAlignment w:val="auto"/>
              <w:rPr>
                <w:rFonts w:ascii="宋体" w:hAnsi="宋体" w:cs="宋体"/>
                <w:color w:val="auto"/>
                <w:kern w:val="0"/>
                <w:sz w:val="21"/>
                <w:szCs w:val="21"/>
                <w:highlight w:val="none"/>
              </w:rPr>
            </w:pPr>
            <w:r>
              <w:rPr>
                <w:rFonts w:hint="eastAsia" w:ascii="宋体" w:hAnsi="宋体" w:eastAsia="宋体" w:cs="宋体"/>
                <w:bCs/>
                <w:color w:val="auto"/>
                <w:kern w:val="15"/>
                <w:sz w:val="21"/>
                <w:szCs w:val="21"/>
                <w:highlight w:val="none"/>
                <w:lang w:eastAsia="zh-CN"/>
              </w:rPr>
              <w:t>供应商</w:t>
            </w:r>
            <w:r>
              <w:rPr>
                <w:rFonts w:hint="eastAsia" w:ascii="宋体" w:hAnsi="宋体" w:eastAsia="宋体" w:cs="宋体"/>
                <w:bCs/>
                <w:color w:val="auto"/>
                <w:kern w:val="15"/>
                <w:sz w:val="21"/>
                <w:szCs w:val="21"/>
                <w:highlight w:val="none"/>
              </w:rPr>
              <w:t>需在开标前将</w:t>
            </w:r>
            <w:r>
              <w:rPr>
                <w:rFonts w:hint="eastAsia" w:ascii="宋体" w:hAnsi="宋体" w:eastAsia="宋体" w:cs="宋体"/>
                <w:bCs/>
                <w:color w:val="auto"/>
                <w:kern w:val="15"/>
                <w:sz w:val="21"/>
                <w:szCs w:val="21"/>
                <w:highlight w:val="none"/>
                <w:lang w:eastAsia="zh-CN"/>
              </w:rPr>
              <w:t>响应文件</w:t>
            </w:r>
            <w:r>
              <w:rPr>
                <w:rFonts w:hint="eastAsia" w:ascii="宋体" w:hAnsi="宋体" w:eastAsia="宋体" w:cs="宋体"/>
                <w:bCs/>
                <w:color w:val="auto"/>
                <w:kern w:val="15"/>
                <w:sz w:val="21"/>
                <w:szCs w:val="21"/>
                <w:highlight w:val="none"/>
              </w:rPr>
              <w:t>制作工具生成的加密文件上传到</w:t>
            </w:r>
            <w:r>
              <w:rPr>
                <w:rFonts w:hint="eastAsia" w:ascii="宋体" w:hAnsi="宋体" w:cs="宋体"/>
                <w:bCs/>
                <w:color w:val="auto"/>
                <w:sz w:val="21"/>
                <w:szCs w:val="21"/>
                <w:highlight w:val="none"/>
              </w:rPr>
              <w:t>政府采购云平台（网址：http://www.zcygov.cn）</w:t>
            </w:r>
            <w:r>
              <w:rPr>
                <w:rFonts w:hint="eastAsia" w:ascii="宋体" w:hAnsi="宋体" w:eastAsia="宋体" w:cs="宋体"/>
                <w:bCs/>
                <w:color w:val="auto"/>
                <w:kern w:val="15"/>
                <w:sz w:val="21"/>
                <w:szCs w:val="21"/>
                <w:highlight w:val="none"/>
              </w:rPr>
              <w:t>。</w:t>
            </w:r>
          </w:p>
        </w:tc>
      </w:tr>
      <w:tr w14:paraId="5687F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95" w:type="dxa"/>
            <w:vAlign w:val="center"/>
          </w:tcPr>
          <w:p w14:paraId="4288E2CD">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4.2.1</w:t>
            </w:r>
          </w:p>
        </w:tc>
        <w:tc>
          <w:tcPr>
            <w:tcW w:w="2095" w:type="dxa"/>
            <w:vAlign w:val="center"/>
          </w:tcPr>
          <w:p w14:paraId="5FC8DDF8">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供应商上传提交响应文件的截止时间(开标时间）</w:t>
            </w:r>
          </w:p>
        </w:tc>
        <w:tc>
          <w:tcPr>
            <w:tcW w:w="6675" w:type="dxa"/>
            <w:vAlign w:val="center"/>
          </w:tcPr>
          <w:p w14:paraId="7E62944F">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kern w:val="15"/>
                <w:sz w:val="21"/>
                <w:szCs w:val="21"/>
                <w:highlight w:val="none"/>
                <w:lang w:eastAsia="zh-CN"/>
              </w:rPr>
            </w:pPr>
            <w:r>
              <w:rPr>
                <w:rFonts w:hint="eastAsia" w:ascii="宋体" w:hAnsi="宋体" w:cs="宋体"/>
                <w:bCs/>
                <w:color w:val="auto"/>
                <w:sz w:val="21"/>
                <w:szCs w:val="21"/>
                <w:highlight w:val="none"/>
                <w:lang w:eastAsia="zh-CN"/>
              </w:rPr>
              <w:t>202</w:t>
            </w:r>
            <w:r>
              <w:rPr>
                <w:rFonts w:hint="eastAsia" w:ascii="宋体" w:hAnsi="宋体" w:cs="宋体"/>
                <w:bCs/>
                <w:color w:val="auto"/>
                <w:sz w:val="21"/>
                <w:szCs w:val="21"/>
                <w:highlight w:val="none"/>
                <w:lang w:val="en-US" w:eastAsia="zh-CN"/>
              </w:rPr>
              <w:t>4</w:t>
            </w:r>
            <w:r>
              <w:rPr>
                <w:rFonts w:hint="eastAsia" w:ascii="宋体" w:hAnsi="宋体" w:cs="宋体"/>
                <w:bCs/>
                <w:color w:val="auto"/>
                <w:sz w:val="21"/>
                <w:szCs w:val="21"/>
                <w:highlight w:val="none"/>
                <w:lang w:eastAsia="zh-CN"/>
              </w:rPr>
              <w:t>年</w:t>
            </w:r>
            <w:r>
              <w:rPr>
                <w:rFonts w:hint="eastAsia" w:ascii="宋体" w:hAnsi="宋体" w:cs="宋体"/>
                <w:bCs/>
                <w:color w:val="auto"/>
                <w:sz w:val="21"/>
                <w:szCs w:val="21"/>
                <w:highlight w:val="none"/>
                <w:lang w:val="en-US" w:eastAsia="zh-CN"/>
              </w:rPr>
              <w:t>11</w:t>
            </w:r>
            <w:r>
              <w:rPr>
                <w:rFonts w:hint="eastAsia" w:ascii="宋体" w:hAnsi="宋体" w:cs="宋体"/>
                <w:bCs/>
                <w:color w:val="auto"/>
                <w:sz w:val="21"/>
                <w:szCs w:val="21"/>
                <w:highlight w:val="none"/>
                <w:lang w:eastAsia="zh-CN"/>
              </w:rPr>
              <w:t>月</w:t>
            </w:r>
            <w:r>
              <w:rPr>
                <w:rFonts w:hint="eastAsia" w:ascii="宋体" w:hAnsi="宋体" w:cs="宋体"/>
                <w:bCs/>
                <w:color w:val="auto"/>
                <w:sz w:val="21"/>
                <w:szCs w:val="21"/>
                <w:highlight w:val="none"/>
                <w:lang w:val="en-US" w:eastAsia="zh-CN"/>
              </w:rPr>
              <w:t>28</w:t>
            </w:r>
            <w:r>
              <w:rPr>
                <w:rFonts w:hint="eastAsia" w:ascii="宋体" w:hAnsi="宋体" w:cs="宋体"/>
                <w:bCs/>
                <w:color w:val="auto"/>
                <w:sz w:val="21"/>
                <w:szCs w:val="21"/>
                <w:highlight w:val="none"/>
                <w:lang w:eastAsia="zh-CN"/>
              </w:rPr>
              <w:t>日</w:t>
            </w:r>
            <w:r>
              <w:rPr>
                <w:rFonts w:hint="eastAsia" w:ascii="宋体" w:hAnsi="宋体" w:cs="宋体"/>
                <w:bCs/>
                <w:color w:val="auto"/>
                <w:sz w:val="21"/>
                <w:szCs w:val="21"/>
                <w:highlight w:val="none"/>
                <w:lang w:val="en-US" w:eastAsia="zh-CN"/>
              </w:rPr>
              <w:t>09</w:t>
            </w:r>
            <w:r>
              <w:rPr>
                <w:rFonts w:hint="eastAsia" w:ascii="宋体" w:hAnsi="宋体" w:cs="宋体"/>
                <w:bCs/>
                <w:color w:val="auto"/>
                <w:sz w:val="21"/>
                <w:szCs w:val="21"/>
                <w:highlight w:val="none"/>
                <w:lang w:eastAsia="zh-CN"/>
              </w:rPr>
              <w:t>时</w:t>
            </w:r>
            <w:r>
              <w:rPr>
                <w:rFonts w:hint="eastAsia" w:ascii="宋体" w:hAnsi="宋体" w:cs="宋体"/>
                <w:bCs/>
                <w:color w:val="auto"/>
                <w:sz w:val="21"/>
                <w:szCs w:val="21"/>
                <w:highlight w:val="none"/>
                <w:lang w:val="en-US" w:eastAsia="zh-CN"/>
              </w:rPr>
              <w:t>00</w:t>
            </w:r>
            <w:r>
              <w:rPr>
                <w:rFonts w:hint="eastAsia" w:ascii="宋体" w:hAnsi="宋体" w:cs="宋体"/>
                <w:bCs/>
                <w:color w:val="auto"/>
                <w:sz w:val="21"/>
                <w:szCs w:val="21"/>
                <w:highlight w:val="none"/>
                <w:lang w:eastAsia="zh-CN"/>
              </w:rPr>
              <w:t>分（北京时间）</w:t>
            </w:r>
          </w:p>
        </w:tc>
      </w:tr>
      <w:tr w14:paraId="24258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995" w:type="dxa"/>
            <w:vAlign w:val="center"/>
          </w:tcPr>
          <w:p w14:paraId="11AD1C6D">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color w:val="auto"/>
                <w:sz w:val="21"/>
                <w:szCs w:val="21"/>
                <w:highlight w:val="none"/>
              </w:rPr>
            </w:pPr>
            <w:r>
              <w:rPr>
                <w:rFonts w:hint="eastAsia" w:ascii="宋体" w:hAnsi="宋体" w:eastAsia="宋体" w:cs="宋体"/>
                <w:bCs/>
                <w:color w:val="auto"/>
                <w:sz w:val="21"/>
                <w:szCs w:val="21"/>
                <w:highlight w:val="none"/>
                <w:lang w:val="zh-CN"/>
              </w:rPr>
              <w:t>4.</w:t>
            </w: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lang w:val="zh-CN"/>
              </w:rPr>
              <w:t>.2</w:t>
            </w:r>
          </w:p>
        </w:tc>
        <w:tc>
          <w:tcPr>
            <w:tcW w:w="2095" w:type="dxa"/>
            <w:vAlign w:val="center"/>
          </w:tcPr>
          <w:p w14:paraId="79387D12">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color w:val="auto"/>
                <w:sz w:val="21"/>
                <w:szCs w:val="21"/>
                <w:highlight w:val="none"/>
              </w:rPr>
            </w:pPr>
            <w:r>
              <w:rPr>
                <w:rFonts w:hint="eastAsia" w:ascii="宋体" w:hAnsi="宋体" w:eastAsia="宋体" w:cs="宋体"/>
                <w:bCs/>
                <w:color w:val="auto"/>
                <w:sz w:val="21"/>
                <w:szCs w:val="21"/>
                <w:highlight w:val="none"/>
                <w:lang w:val="zh-CN"/>
              </w:rPr>
              <w:t>供应商上传提交响应文件的平台</w:t>
            </w:r>
          </w:p>
        </w:tc>
        <w:tc>
          <w:tcPr>
            <w:tcW w:w="6675" w:type="dxa"/>
            <w:vAlign w:val="top"/>
          </w:tcPr>
          <w:p w14:paraId="364CF3A1">
            <w:pPr>
              <w:keepNext w:val="0"/>
              <w:keepLines w:val="0"/>
              <w:pageBreakBefore w:val="0"/>
              <w:widowControl w:val="0"/>
              <w:tabs>
                <w:tab w:val="center" w:pos="3086"/>
              </w:tabs>
              <w:kinsoku/>
              <w:wordWrap w:val="0"/>
              <w:overflowPunct/>
              <w:topLinePunct w:val="0"/>
              <w:autoSpaceDE/>
              <w:autoSpaceDN/>
              <w:bidi w:val="0"/>
              <w:adjustRightInd w:val="0"/>
              <w:snapToGrid/>
              <w:spacing w:line="0" w:lineRule="atLeast"/>
              <w:jc w:val="both"/>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本项目执行电子化招投标，供应商须通过政府采购云平台（网址：http://www.zcygov.cn）递交电子版</w:t>
            </w:r>
            <w:r>
              <w:rPr>
                <w:rFonts w:hint="eastAsia" w:ascii="宋体" w:hAnsi="宋体" w:eastAsia="宋体" w:cs="宋体"/>
                <w:bCs/>
                <w:color w:val="auto"/>
                <w:sz w:val="21"/>
                <w:szCs w:val="21"/>
                <w:highlight w:val="none"/>
                <w:lang w:val="en-US" w:eastAsia="zh-CN"/>
              </w:rPr>
              <w:t>响应文件</w:t>
            </w:r>
            <w:r>
              <w:rPr>
                <w:rFonts w:hint="eastAsia" w:ascii="宋体" w:hAnsi="宋体" w:eastAsia="宋体" w:cs="宋体"/>
                <w:bCs/>
                <w:color w:val="auto"/>
                <w:sz w:val="21"/>
                <w:szCs w:val="21"/>
                <w:highlight w:val="none"/>
                <w:lang w:val="zh-CN" w:eastAsia="zh-CN"/>
              </w:rPr>
              <w:t>。</w:t>
            </w:r>
          </w:p>
        </w:tc>
      </w:tr>
      <w:tr w14:paraId="4CF55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Align w:val="center"/>
          </w:tcPr>
          <w:p w14:paraId="114DCF4E">
            <w:pPr>
              <w:keepNext w:val="0"/>
              <w:keepLines w:val="0"/>
              <w:pageBreakBefore w:val="0"/>
              <w:widowControl w:val="0"/>
              <w:kinsoku/>
              <w:wordWrap w:val="0"/>
              <w:overflowPunct/>
              <w:topLinePunct w:val="0"/>
              <w:autoSpaceDE/>
              <w:autoSpaceDN/>
              <w:bidi w:val="0"/>
              <w:adjustRightInd w:val="0"/>
              <w:spacing w:line="360" w:lineRule="exact"/>
              <w:jc w:val="center"/>
              <w:textAlignment w:val="auto"/>
              <w:rPr>
                <w:color w:val="auto"/>
                <w:sz w:val="21"/>
                <w:szCs w:val="21"/>
                <w:highlight w:val="none"/>
              </w:rPr>
            </w:pPr>
            <w:r>
              <w:rPr>
                <w:rFonts w:hint="eastAsia" w:ascii="宋体" w:hAnsi="宋体" w:eastAsia="宋体" w:cs="宋体"/>
                <w:bCs/>
                <w:color w:val="auto"/>
                <w:sz w:val="21"/>
                <w:szCs w:val="21"/>
                <w:highlight w:val="none"/>
                <w:lang w:val="zh-CN"/>
              </w:rPr>
              <w:t>4.2.3</w:t>
            </w:r>
          </w:p>
        </w:tc>
        <w:tc>
          <w:tcPr>
            <w:tcW w:w="2095" w:type="dxa"/>
            <w:vAlign w:val="center"/>
          </w:tcPr>
          <w:p w14:paraId="1487C811">
            <w:pPr>
              <w:keepNext w:val="0"/>
              <w:keepLines w:val="0"/>
              <w:pageBreakBefore w:val="0"/>
              <w:widowControl w:val="0"/>
              <w:kinsoku/>
              <w:wordWrap w:val="0"/>
              <w:overflowPunct/>
              <w:topLinePunct w:val="0"/>
              <w:autoSpaceDE/>
              <w:autoSpaceDN/>
              <w:bidi w:val="0"/>
              <w:adjustRightInd w:val="0"/>
              <w:spacing w:line="360" w:lineRule="exact"/>
              <w:jc w:val="center"/>
              <w:textAlignment w:val="auto"/>
              <w:rPr>
                <w:color w:val="auto"/>
                <w:sz w:val="21"/>
                <w:szCs w:val="21"/>
                <w:highlight w:val="none"/>
              </w:rPr>
            </w:pPr>
            <w:r>
              <w:rPr>
                <w:rFonts w:hint="eastAsia" w:ascii="宋体" w:hAnsi="宋体" w:eastAsia="宋体" w:cs="宋体"/>
                <w:bCs/>
                <w:color w:val="auto"/>
                <w:sz w:val="21"/>
                <w:szCs w:val="21"/>
                <w:highlight w:val="none"/>
                <w:lang w:eastAsia="zh-CN"/>
              </w:rPr>
              <w:t>响应文件是否退还</w:t>
            </w:r>
          </w:p>
        </w:tc>
        <w:tc>
          <w:tcPr>
            <w:tcW w:w="6675" w:type="dxa"/>
            <w:vAlign w:val="center"/>
          </w:tcPr>
          <w:p w14:paraId="23082E81">
            <w:pPr>
              <w:keepNext w:val="0"/>
              <w:keepLines w:val="0"/>
              <w:pageBreakBefore w:val="0"/>
              <w:widowControl w:val="0"/>
              <w:tabs>
                <w:tab w:val="center" w:pos="3086"/>
              </w:tabs>
              <w:kinsoku/>
              <w:wordWrap w:val="0"/>
              <w:overflowPunct/>
              <w:topLinePunct w:val="0"/>
              <w:autoSpaceDE/>
              <w:autoSpaceDN/>
              <w:bidi w:val="0"/>
              <w:adjustRightInd w:val="0"/>
              <w:snapToGrid/>
              <w:spacing w:line="0" w:lineRule="atLeast"/>
              <w:jc w:val="both"/>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□是</w:t>
            </w:r>
          </w:p>
          <w:p w14:paraId="5A6A1C11">
            <w:pPr>
              <w:keepNext w:val="0"/>
              <w:keepLines w:val="0"/>
              <w:pageBreakBefore w:val="0"/>
              <w:widowControl w:val="0"/>
              <w:tabs>
                <w:tab w:val="center" w:pos="3086"/>
              </w:tabs>
              <w:kinsoku/>
              <w:wordWrap w:val="0"/>
              <w:overflowPunct/>
              <w:topLinePunct w:val="0"/>
              <w:autoSpaceDE/>
              <w:autoSpaceDN/>
              <w:bidi w:val="0"/>
              <w:adjustRightInd w:val="0"/>
              <w:snapToGrid/>
              <w:spacing w:line="0" w:lineRule="atLeast"/>
              <w:jc w:val="both"/>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fldChar w:fldCharType="begin"/>
            </w:r>
            <w:r>
              <w:rPr>
                <w:rFonts w:hint="eastAsia" w:ascii="宋体" w:hAnsi="宋体" w:eastAsia="宋体" w:cs="宋体"/>
                <w:bCs/>
                <w:color w:val="auto"/>
                <w:sz w:val="21"/>
                <w:szCs w:val="21"/>
                <w:highlight w:val="none"/>
                <w:lang w:val="zh-CN"/>
              </w:rPr>
              <w:instrText xml:space="preserve">eq \o\ac(□,√)</w:instrText>
            </w:r>
            <w:r>
              <w:rPr>
                <w:rFonts w:hint="eastAsia" w:ascii="宋体" w:hAnsi="宋体" w:eastAsia="宋体" w:cs="宋体"/>
                <w:bCs/>
                <w:color w:val="auto"/>
                <w:sz w:val="21"/>
                <w:szCs w:val="21"/>
                <w:highlight w:val="none"/>
                <w:lang w:val="zh-CN"/>
              </w:rPr>
              <w:fldChar w:fldCharType="end"/>
            </w:r>
            <w:r>
              <w:rPr>
                <w:rFonts w:hint="eastAsia" w:ascii="宋体" w:hAnsi="宋体" w:eastAsia="宋体" w:cs="宋体"/>
                <w:bCs/>
                <w:color w:val="auto"/>
                <w:sz w:val="21"/>
                <w:szCs w:val="21"/>
                <w:highlight w:val="none"/>
                <w:lang w:val="zh-CN"/>
              </w:rPr>
              <w:t>否，已递交的响应文件不予返还，请供应商自行做好备份工作。</w:t>
            </w:r>
          </w:p>
        </w:tc>
      </w:tr>
      <w:tr w14:paraId="1A5E6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95" w:type="dxa"/>
            <w:vAlign w:val="center"/>
          </w:tcPr>
          <w:p w14:paraId="28B02E56">
            <w:pPr>
              <w:spacing w:line="400" w:lineRule="exact"/>
              <w:jc w:val="center"/>
              <w:rPr>
                <w:color w:val="auto"/>
                <w:highlight w:val="none"/>
              </w:rPr>
            </w:pPr>
            <w:r>
              <w:rPr>
                <w:rFonts w:hint="eastAsia"/>
                <w:color w:val="auto"/>
                <w:highlight w:val="none"/>
              </w:rPr>
              <w:t>6.1.1</w:t>
            </w:r>
          </w:p>
        </w:tc>
        <w:tc>
          <w:tcPr>
            <w:tcW w:w="2095" w:type="dxa"/>
            <w:vAlign w:val="center"/>
          </w:tcPr>
          <w:p w14:paraId="66F93A0C">
            <w:pPr>
              <w:keepNext w:val="0"/>
              <w:keepLines w:val="0"/>
              <w:pageBreakBefore w:val="0"/>
              <w:widowControl w:val="0"/>
              <w:kinsoku/>
              <w:wordWrap w:val="0"/>
              <w:overflowPunct/>
              <w:topLinePunct w:val="0"/>
              <w:autoSpaceDE/>
              <w:autoSpaceDN/>
              <w:bidi w:val="0"/>
              <w:adjustRightInd w:val="0"/>
              <w:snapToGrid/>
              <w:spacing w:line="0" w:lineRule="atLeast"/>
              <w:jc w:val="center"/>
              <w:textAlignment w:val="auto"/>
              <w:rPr>
                <w:color w:val="auto"/>
                <w:sz w:val="21"/>
                <w:szCs w:val="21"/>
                <w:highlight w:val="none"/>
              </w:rPr>
            </w:pPr>
            <w:r>
              <w:rPr>
                <w:rFonts w:hint="eastAsia" w:ascii="宋体" w:hAnsi="宋体" w:eastAsia="宋体" w:cs="宋体"/>
                <w:bCs/>
                <w:color w:val="auto"/>
                <w:sz w:val="21"/>
                <w:szCs w:val="21"/>
                <w:highlight w:val="none"/>
                <w:lang w:val="en-US" w:eastAsia="zh-CN"/>
              </w:rPr>
              <w:t>磋商小组</w:t>
            </w:r>
            <w:r>
              <w:rPr>
                <w:rFonts w:hint="eastAsia" w:ascii="宋体" w:hAnsi="宋体" w:eastAsia="宋体" w:cs="宋体"/>
                <w:bCs/>
                <w:color w:val="auto"/>
                <w:sz w:val="21"/>
                <w:szCs w:val="21"/>
                <w:highlight w:val="none"/>
                <w:lang w:val="zh-CN" w:eastAsia="zh-CN"/>
              </w:rPr>
              <w:t>的组建</w:t>
            </w:r>
          </w:p>
        </w:tc>
        <w:tc>
          <w:tcPr>
            <w:tcW w:w="6675" w:type="dxa"/>
            <w:vAlign w:val="center"/>
          </w:tcPr>
          <w:p w14:paraId="027ED3BF">
            <w:pPr>
              <w:keepNext w:val="0"/>
              <w:keepLines w:val="0"/>
              <w:pageBreakBefore w:val="0"/>
              <w:widowControl w:val="0"/>
              <w:kinsoku/>
              <w:wordWrap w:val="0"/>
              <w:overflowPunct/>
              <w:topLinePunct w:val="0"/>
              <w:autoSpaceDE/>
              <w:autoSpaceDN/>
              <w:bidi w:val="0"/>
              <w:snapToGrid/>
              <w:spacing w:line="0" w:lineRule="atLeast"/>
              <w:jc w:val="both"/>
              <w:textAlignment w:val="auto"/>
              <w:rPr>
                <w:rFonts w:hint="eastAsia" w:ascii="宋体" w:hAnsi="宋体"/>
                <w:color w:val="auto"/>
                <w:sz w:val="21"/>
                <w:szCs w:val="21"/>
                <w:highlight w:val="none"/>
                <w:lang w:val="zh-CN"/>
              </w:rPr>
            </w:pPr>
            <w:r>
              <w:rPr>
                <w:rFonts w:hint="eastAsia" w:ascii="宋体" w:hAnsi="宋体"/>
                <w:color w:val="auto"/>
                <w:sz w:val="21"/>
                <w:szCs w:val="21"/>
                <w:highlight w:val="none"/>
                <w:lang w:val="en-US" w:eastAsia="zh-CN"/>
              </w:rPr>
              <w:t>磋商小组的</w:t>
            </w:r>
            <w:r>
              <w:rPr>
                <w:rFonts w:hint="eastAsia" w:ascii="宋体" w:hAnsi="宋体"/>
                <w:color w:val="auto"/>
                <w:sz w:val="21"/>
                <w:szCs w:val="21"/>
                <w:highlight w:val="none"/>
                <w:lang w:val="zh-CN"/>
              </w:rPr>
              <w:t>构成：</w:t>
            </w:r>
            <w:r>
              <w:rPr>
                <w:rFonts w:hint="eastAsia" w:ascii="宋体" w:hAnsi="宋体"/>
                <w:color w:val="auto"/>
                <w:sz w:val="21"/>
                <w:szCs w:val="21"/>
                <w:highlight w:val="none"/>
                <w:lang w:val="en-US" w:eastAsia="zh-CN"/>
              </w:rPr>
              <w:t>专家3</w:t>
            </w:r>
            <w:r>
              <w:rPr>
                <w:rFonts w:hint="eastAsia" w:ascii="宋体" w:hAnsi="宋体"/>
                <w:color w:val="auto"/>
                <w:sz w:val="21"/>
                <w:szCs w:val="21"/>
                <w:highlight w:val="none"/>
                <w:lang w:val="zh-CN"/>
              </w:rPr>
              <w:t>人</w:t>
            </w:r>
          </w:p>
          <w:p w14:paraId="6D9D109F">
            <w:pPr>
              <w:keepNext w:val="0"/>
              <w:keepLines w:val="0"/>
              <w:pageBreakBefore w:val="0"/>
              <w:widowControl w:val="0"/>
              <w:kinsoku/>
              <w:wordWrap w:val="0"/>
              <w:overflowPunct/>
              <w:topLinePunct w:val="0"/>
              <w:autoSpaceDE/>
              <w:autoSpaceDN/>
              <w:bidi w:val="0"/>
              <w:snapToGrid/>
              <w:spacing w:line="0" w:lineRule="atLeast"/>
              <w:jc w:val="both"/>
              <w:textAlignment w:val="auto"/>
              <w:rPr>
                <w:rFonts w:ascii="宋体" w:hAnsi="宋体"/>
                <w:color w:val="auto"/>
                <w:sz w:val="21"/>
                <w:szCs w:val="21"/>
                <w:highlight w:val="none"/>
              </w:rPr>
            </w:pPr>
            <w:r>
              <w:rPr>
                <w:rFonts w:hint="eastAsia" w:ascii="宋体" w:hAnsi="宋体"/>
                <w:color w:val="auto"/>
                <w:sz w:val="21"/>
                <w:szCs w:val="21"/>
                <w:highlight w:val="none"/>
                <w:lang w:val="zh-CN"/>
              </w:rPr>
              <w:t>评标专家确定方式：在</w:t>
            </w:r>
            <w:r>
              <w:rPr>
                <w:rFonts w:hint="eastAsia" w:ascii="宋体" w:hAnsi="宋体"/>
                <w:color w:val="auto"/>
                <w:sz w:val="21"/>
                <w:szCs w:val="21"/>
                <w:highlight w:val="none"/>
                <w:lang w:eastAsia="zh-CN"/>
              </w:rPr>
              <w:t>“政采云”平台(https://www.zcygov.cn)</w:t>
            </w:r>
            <w:r>
              <w:rPr>
                <w:rFonts w:hint="eastAsia" w:ascii="宋体" w:hAnsi="宋体"/>
                <w:color w:val="auto"/>
                <w:sz w:val="21"/>
                <w:szCs w:val="21"/>
                <w:highlight w:val="none"/>
                <w:lang w:val="zh-CN"/>
              </w:rPr>
              <w:t>的专家库中随机抽取。</w:t>
            </w:r>
          </w:p>
        </w:tc>
      </w:tr>
      <w:tr w14:paraId="1ACB3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95" w:type="dxa"/>
            <w:vAlign w:val="center"/>
          </w:tcPr>
          <w:p w14:paraId="11F2F6EA">
            <w:pPr>
              <w:keepNext w:val="0"/>
              <w:keepLines w:val="0"/>
              <w:pageBreakBefore w:val="0"/>
              <w:widowControl w:val="0"/>
              <w:kinsoku/>
              <w:wordWrap w:val="0"/>
              <w:overflowPunct/>
              <w:topLinePunct w:val="0"/>
              <w:autoSpaceDE/>
              <w:autoSpaceDN/>
              <w:bidi w:val="0"/>
              <w:adjustRightInd w:val="0"/>
              <w:snapToGrid/>
              <w:spacing w:line="0" w:lineRule="atLeast"/>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zh-CN"/>
              </w:rPr>
              <w:t>6.3.</w:t>
            </w:r>
            <w:r>
              <w:rPr>
                <w:rFonts w:hint="eastAsia" w:ascii="宋体" w:hAnsi="宋体" w:cs="宋体"/>
                <w:bCs/>
                <w:color w:val="auto"/>
                <w:sz w:val="21"/>
                <w:szCs w:val="21"/>
                <w:highlight w:val="none"/>
                <w:lang w:val="en-US" w:eastAsia="zh-CN"/>
              </w:rPr>
              <w:t>5</w:t>
            </w:r>
          </w:p>
        </w:tc>
        <w:tc>
          <w:tcPr>
            <w:tcW w:w="2095" w:type="dxa"/>
            <w:vAlign w:val="center"/>
          </w:tcPr>
          <w:p w14:paraId="0EABCA24">
            <w:pPr>
              <w:keepNext w:val="0"/>
              <w:keepLines w:val="0"/>
              <w:pageBreakBefore w:val="0"/>
              <w:widowControl w:val="0"/>
              <w:kinsoku/>
              <w:wordWrap w:val="0"/>
              <w:overflowPunct/>
              <w:topLinePunct w:val="0"/>
              <w:autoSpaceDE/>
              <w:autoSpaceDN/>
              <w:bidi w:val="0"/>
              <w:adjustRightInd w:val="0"/>
              <w:snapToGrid/>
              <w:spacing w:line="0" w:lineRule="atLeast"/>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eastAsia="zh-CN"/>
              </w:rPr>
              <w:t>磋商小组</w:t>
            </w:r>
            <w:r>
              <w:rPr>
                <w:rFonts w:hint="eastAsia" w:ascii="宋体" w:hAnsi="宋体" w:eastAsia="宋体" w:cs="宋体"/>
                <w:bCs/>
                <w:color w:val="auto"/>
                <w:sz w:val="21"/>
                <w:szCs w:val="21"/>
                <w:highlight w:val="none"/>
              </w:rPr>
              <w:t>推荐</w:t>
            </w:r>
            <w:r>
              <w:rPr>
                <w:rFonts w:hint="eastAsia" w:ascii="宋体" w:hAnsi="宋体" w:eastAsia="宋体" w:cs="宋体"/>
                <w:bCs/>
                <w:color w:val="auto"/>
                <w:sz w:val="21"/>
                <w:szCs w:val="21"/>
                <w:highlight w:val="none"/>
                <w:lang w:eastAsia="zh-CN"/>
              </w:rPr>
              <w:t>成交</w:t>
            </w:r>
            <w:r>
              <w:rPr>
                <w:rFonts w:hint="eastAsia" w:ascii="宋体" w:hAnsi="宋体" w:eastAsia="宋体" w:cs="宋体"/>
                <w:bCs/>
                <w:color w:val="auto"/>
                <w:sz w:val="21"/>
                <w:szCs w:val="21"/>
                <w:highlight w:val="none"/>
              </w:rPr>
              <w:t>候选人的人数</w:t>
            </w:r>
          </w:p>
        </w:tc>
        <w:tc>
          <w:tcPr>
            <w:tcW w:w="6675" w:type="dxa"/>
            <w:vAlign w:val="center"/>
          </w:tcPr>
          <w:p w14:paraId="173F0501">
            <w:pPr>
              <w:keepNext w:val="0"/>
              <w:keepLines w:val="0"/>
              <w:pageBreakBefore w:val="0"/>
              <w:widowControl w:val="0"/>
              <w:kinsoku/>
              <w:wordWrap w:val="0"/>
              <w:overflowPunct/>
              <w:topLinePunct w:val="0"/>
              <w:autoSpaceDE/>
              <w:autoSpaceDN/>
              <w:bidi w:val="0"/>
              <w:adjustRightInd w:val="0"/>
              <w:snapToGrid/>
              <w:spacing w:line="0" w:lineRule="atLeast"/>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推荐的成交候选人数：3人。磋商小组推荐初步评审合格，综合评审得分由高到低排名第一、第二、第三的供应商为成交候选人。</w:t>
            </w:r>
          </w:p>
        </w:tc>
      </w:tr>
      <w:tr w14:paraId="729A3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95" w:type="dxa"/>
            <w:vAlign w:val="center"/>
          </w:tcPr>
          <w:p w14:paraId="0D75ACB3">
            <w:pPr>
              <w:keepNext w:val="0"/>
              <w:keepLines w:val="0"/>
              <w:pageBreakBefore w:val="0"/>
              <w:widowControl w:val="0"/>
              <w:kinsoku/>
              <w:wordWrap w:val="0"/>
              <w:overflowPunct/>
              <w:topLinePunct w:val="0"/>
              <w:autoSpaceDE/>
              <w:autoSpaceDN/>
              <w:bidi w:val="0"/>
              <w:adjustRightInd w:val="0"/>
              <w:snapToGrid/>
              <w:spacing w:line="0" w:lineRule="atLeast"/>
              <w:jc w:val="center"/>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7.1</w:t>
            </w:r>
          </w:p>
        </w:tc>
        <w:tc>
          <w:tcPr>
            <w:tcW w:w="2095" w:type="dxa"/>
            <w:vAlign w:val="center"/>
          </w:tcPr>
          <w:p w14:paraId="3E7C2B70">
            <w:pPr>
              <w:keepNext w:val="0"/>
              <w:keepLines w:val="0"/>
              <w:pageBreakBefore w:val="0"/>
              <w:widowControl w:val="0"/>
              <w:kinsoku/>
              <w:wordWrap w:val="0"/>
              <w:overflowPunct/>
              <w:topLinePunct w:val="0"/>
              <w:autoSpaceDE/>
              <w:autoSpaceDN/>
              <w:bidi w:val="0"/>
              <w:snapToGrid/>
              <w:spacing w:line="0" w:lineRule="atLeast"/>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eastAsia="zh-CN"/>
              </w:rPr>
              <w:t>成交结果公告</w:t>
            </w:r>
            <w:r>
              <w:rPr>
                <w:rFonts w:hint="eastAsia" w:ascii="宋体" w:hAnsi="宋体" w:eastAsia="宋体" w:cs="宋体"/>
                <w:bCs/>
                <w:color w:val="auto"/>
                <w:sz w:val="21"/>
                <w:szCs w:val="21"/>
                <w:highlight w:val="none"/>
              </w:rPr>
              <w:t>媒介及期限</w:t>
            </w:r>
          </w:p>
        </w:tc>
        <w:tc>
          <w:tcPr>
            <w:tcW w:w="6675" w:type="dxa"/>
            <w:vAlign w:val="center"/>
          </w:tcPr>
          <w:p w14:paraId="2204E248">
            <w:pPr>
              <w:keepNext w:val="0"/>
              <w:keepLines w:val="0"/>
              <w:pageBreakBefore w:val="0"/>
              <w:widowControl w:val="0"/>
              <w:kinsoku/>
              <w:wordWrap w:val="0"/>
              <w:overflowPunct/>
              <w:topLinePunct w:val="0"/>
              <w:autoSpaceDE/>
              <w:autoSpaceDN/>
              <w:bidi w:val="0"/>
              <w:adjustRightInd w:val="0"/>
              <w:snapToGrid/>
              <w:spacing w:line="0" w:lineRule="atLeas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公告媒介：在“政采云”平台（http:// www.zcygov.cn），同步推送到吉林省政府采购网（http://www.ccgp-jilin.gov.cn/）、中国政府采购网上发布。</w:t>
            </w:r>
          </w:p>
          <w:p w14:paraId="176C1FEF">
            <w:pPr>
              <w:keepNext w:val="0"/>
              <w:keepLines w:val="0"/>
              <w:pageBreakBefore w:val="0"/>
              <w:widowControl w:val="0"/>
              <w:kinsoku/>
              <w:wordWrap w:val="0"/>
              <w:overflowPunct/>
              <w:topLinePunct w:val="0"/>
              <w:autoSpaceDE/>
              <w:autoSpaceDN/>
              <w:bidi w:val="0"/>
              <w:adjustRightInd w:val="0"/>
              <w:snapToGrid/>
              <w:spacing w:line="0" w:lineRule="atLeas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；公告期限：1个工作日。</w:t>
            </w:r>
          </w:p>
        </w:tc>
      </w:tr>
      <w:tr w14:paraId="750FF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995" w:type="dxa"/>
            <w:vAlign w:val="center"/>
          </w:tcPr>
          <w:p w14:paraId="14C6FE7A">
            <w:pPr>
              <w:spacing w:line="400" w:lineRule="exact"/>
              <w:jc w:val="center"/>
              <w:rPr>
                <w:color w:val="auto"/>
                <w:highlight w:val="none"/>
              </w:rPr>
            </w:pPr>
            <w:r>
              <w:rPr>
                <w:rFonts w:hint="eastAsia"/>
                <w:color w:val="auto"/>
                <w:highlight w:val="none"/>
              </w:rPr>
              <w:t>7.3.1</w:t>
            </w:r>
          </w:p>
        </w:tc>
        <w:tc>
          <w:tcPr>
            <w:tcW w:w="2095" w:type="dxa"/>
            <w:vAlign w:val="center"/>
          </w:tcPr>
          <w:p w14:paraId="34DFD981">
            <w:pPr>
              <w:keepNext w:val="0"/>
              <w:keepLines w:val="0"/>
              <w:pageBreakBefore w:val="0"/>
              <w:widowControl w:val="0"/>
              <w:kinsoku/>
              <w:wordWrap w:val="0"/>
              <w:overflowPunct/>
              <w:topLinePunct w:val="0"/>
              <w:autoSpaceDE/>
              <w:autoSpaceDN/>
              <w:bidi w:val="0"/>
              <w:adjustRightInd w:val="0"/>
              <w:spacing w:line="0" w:lineRule="atLeast"/>
              <w:jc w:val="center"/>
              <w:textAlignment w:val="auto"/>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履约担保</w:t>
            </w:r>
          </w:p>
        </w:tc>
        <w:tc>
          <w:tcPr>
            <w:tcW w:w="6675" w:type="dxa"/>
            <w:vAlign w:val="center"/>
          </w:tcPr>
          <w:p w14:paraId="3CFBE262">
            <w:pPr>
              <w:keepNext w:val="0"/>
              <w:keepLines w:val="0"/>
              <w:pageBreakBefore w:val="0"/>
              <w:widowControl w:val="0"/>
              <w:kinsoku/>
              <w:wordWrap w:val="0"/>
              <w:overflowPunct/>
              <w:topLinePunct w:val="0"/>
              <w:autoSpaceDE/>
              <w:autoSpaceDN/>
              <w:bidi w:val="0"/>
              <w:adjustRightInd w:val="0"/>
              <w:snapToGrid w:val="0"/>
              <w:spacing w:line="0" w:lineRule="atLeast"/>
              <w:textAlignment w:val="auto"/>
              <w:rPr>
                <w:rFonts w:hint="default" w:ascii="宋体" w:hAnsi="宋体" w:eastAsia="宋体" w:cs="宋体"/>
                <w:bCs/>
                <w:color w:val="000000" w:themeColor="text1"/>
                <w:sz w:val="21"/>
                <w:szCs w:val="21"/>
                <w:highlight w:val="none"/>
                <w:lang w:val="en-US" w:eastAsia="zh-CN"/>
                <w14:textFill>
                  <w14:solidFill>
                    <w14:schemeClr w14:val="tx1"/>
                  </w14:solidFill>
                </w14:textFill>
              </w:rPr>
            </w:pPr>
            <w:r>
              <w:rPr>
                <w:rFonts w:hint="default" w:ascii="宋体" w:hAnsi="宋体" w:eastAsia="宋体" w:cs="宋体"/>
                <w:bCs/>
                <w:color w:val="000000" w:themeColor="text1"/>
                <w:sz w:val="21"/>
                <w:szCs w:val="21"/>
                <w:highlight w:val="none"/>
                <w:lang w:val="en-US" w:eastAsia="zh-CN"/>
                <w14:textFill>
                  <w14:solidFill>
                    <w14:schemeClr w14:val="tx1"/>
                  </w14:solidFill>
                </w14:textFill>
              </w:rPr>
              <w:t>是否要求成交人提交履约保证金：</w:t>
            </w:r>
          </w:p>
          <w:p w14:paraId="203E4746">
            <w:pPr>
              <w:keepNext w:val="0"/>
              <w:keepLines w:val="0"/>
              <w:pageBreakBefore w:val="0"/>
              <w:widowControl w:val="0"/>
              <w:kinsoku/>
              <w:wordWrap w:val="0"/>
              <w:overflowPunct/>
              <w:topLinePunct w:val="0"/>
              <w:autoSpaceDE/>
              <w:autoSpaceDN/>
              <w:bidi w:val="0"/>
              <w:adjustRightInd w:val="0"/>
              <w:snapToGrid w:val="0"/>
              <w:spacing w:line="0" w:lineRule="atLeast"/>
              <w:textAlignment w:val="auto"/>
              <w:rPr>
                <w:rFonts w:hint="default" w:ascii="宋体" w:hAnsi="宋体" w:eastAsia="宋体" w:cs="宋体"/>
                <w:bCs/>
                <w:color w:val="000000" w:themeColor="text1"/>
                <w:sz w:val="21"/>
                <w:szCs w:val="21"/>
                <w:highlight w:val="none"/>
                <w:lang w:val="en-US" w:eastAsia="zh-CN"/>
                <w14:textFill>
                  <w14:solidFill>
                    <w14:schemeClr w14:val="tx1"/>
                  </w14:solidFill>
                </w14:textFill>
              </w:rPr>
            </w:pPr>
            <w:r>
              <w:rPr>
                <w:rFonts w:hint="default" w:ascii="宋体" w:hAnsi="宋体" w:eastAsia="宋体" w:cs="宋体"/>
                <w:bCs/>
                <w:color w:val="000000" w:themeColor="text1"/>
                <w:sz w:val="21"/>
                <w:szCs w:val="21"/>
                <w:highlight w:val="none"/>
                <w:lang w:val="en-US" w:eastAsia="zh-CN"/>
                <w14:textFill>
                  <w14:solidFill>
                    <w14:schemeClr w14:val="tx1"/>
                  </w14:solidFill>
                </w14:textFill>
              </w:rPr>
              <w:sym w:font="Wingdings 2" w:char="00A3"/>
            </w:r>
            <w:r>
              <w:rPr>
                <w:rFonts w:hint="default" w:ascii="宋体" w:hAnsi="宋体" w:eastAsia="宋体" w:cs="宋体"/>
                <w:bCs/>
                <w:color w:val="000000" w:themeColor="text1"/>
                <w:sz w:val="21"/>
                <w:szCs w:val="21"/>
                <w:highlight w:val="none"/>
                <w:lang w:val="en-US" w:eastAsia="zh-CN"/>
                <w14:textFill>
                  <w14:solidFill>
                    <w14:schemeClr w14:val="tx1"/>
                  </w14:solidFill>
                </w14:textFill>
              </w:rPr>
              <w:t>要求</w:t>
            </w:r>
          </w:p>
          <w:p w14:paraId="6400ACCF">
            <w:pPr>
              <w:keepNext w:val="0"/>
              <w:keepLines w:val="0"/>
              <w:pageBreakBefore w:val="0"/>
              <w:widowControl w:val="0"/>
              <w:kinsoku/>
              <w:wordWrap w:val="0"/>
              <w:overflowPunct/>
              <w:topLinePunct w:val="0"/>
              <w:autoSpaceDE/>
              <w:autoSpaceDN/>
              <w:bidi w:val="0"/>
              <w:adjustRightInd w:val="0"/>
              <w:snapToGrid w:val="0"/>
              <w:spacing w:line="0" w:lineRule="atLeast"/>
              <w:textAlignment w:val="auto"/>
              <w:rPr>
                <w:rFonts w:hint="default" w:ascii="宋体" w:hAnsi="宋体" w:eastAsia="宋体" w:cs="宋体"/>
                <w:bCs/>
                <w:color w:val="000000" w:themeColor="text1"/>
                <w:sz w:val="21"/>
                <w:szCs w:val="21"/>
                <w:highlight w:val="none"/>
                <w:lang w:val="en-US" w:eastAsia="zh-CN"/>
                <w14:textFill>
                  <w14:solidFill>
                    <w14:schemeClr w14:val="tx1"/>
                  </w14:solidFill>
                </w14:textFill>
              </w:rPr>
            </w:pPr>
            <w:r>
              <w:rPr>
                <w:rFonts w:hint="default" w:ascii="宋体" w:hAnsi="宋体" w:eastAsia="宋体" w:cs="宋体"/>
                <w:bCs/>
                <w:color w:val="000000" w:themeColor="text1"/>
                <w:sz w:val="21"/>
                <w:szCs w:val="21"/>
                <w:highlight w:val="none"/>
                <w:lang w:val="en-US" w:eastAsia="zh-CN"/>
                <w14:textFill>
                  <w14:solidFill>
                    <w14:schemeClr w14:val="tx1"/>
                  </w14:solidFill>
                </w14:textFill>
              </w:rPr>
              <w:fldChar w:fldCharType="begin"/>
            </w:r>
            <w:r>
              <w:rPr>
                <w:rFonts w:hint="default" w:ascii="宋体" w:hAnsi="宋体" w:eastAsia="宋体" w:cs="宋体"/>
                <w:bCs/>
                <w:color w:val="000000" w:themeColor="text1"/>
                <w:sz w:val="21"/>
                <w:szCs w:val="21"/>
                <w:highlight w:val="none"/>
                <w:lang w:val="en-US" w:eastAsia="zh-CN"/>
                <w14:textFill>
                  <w14:solidFill>
                    <w14:schemeClr w14:val="tx1"/>
                  </w14:solidFill>
                </w14:textFill>
              </w:rPr>
              <w:instrText xml:space="preserve">eq \o\ac(□,√)</w:instrText>
            </w:r>
            <w:r>
              <w:rPr>
                <w:rFonts w:hint="default" w:ascii="宋体" w:hAnsi="宋体" w:eastAsia="宋体" w:cs="宋体"/>
                <w:bCs/>
                <w:color w:val="000000" w:themeColor="text1"/>
                <w:sz w:val="21"/>
                <w:szCs w:val="21"/>
                <w:highlight w:val="none"/>
                <w:lang w:val="en-US" w:eastAsia="zh-CN"/>
                <w14:textFill>
                  <w14:solidFill>
                    <w14:schemeClr w14:val="tx1"/>
                  </w14:solidFill>
                </w14:textFill>
              </w:rPr>
              <w:fldChar w:fldCharType="end"/>
            </w:r>
            <w:r>
              <w:rPr>
                <w:rFonts w:hint="default" w:ascii="宋体" w:hAnsi="宋体" w:eastAsia="宋体" w:cs="宋体"/>
                <w:bCs/>
                <w:color w:val="000000" w:themeColor="text1"/>
                <w:sz w:val="21"/>
                <w:szCs w:val="21"/>
                <w:highlight w:val="none"/>
                <w:lang w:val="en-US" w:eastAsia="zh-CN"/>
                <w14:textFill>
                  <w14:solidFill>
                    <w14:schemeClr w14:val="tx1"/>
                  </w14:solidFill>
                </w14:textFill>
              </w:rPr>
              <w:t>不要求</w:t>
            </w:r>
          </w:p>
        </w:tc>
      </w:tr>
      <w:tr w14:paraId="741B0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995" w:type="dxa"/>
            <w:vAlign w:val="center"/>
          </w:tcPr>
          <w:p w14:paraId="215220FC">
            <w:pPr>
              <w:keepNext w:val="0"/>
              <w:keepLines w:val="0"/>
              <w:pageBreakBefore w:val="0"/>
              <w:widowControl w:val="0"/>
              <w:kinsoku/>
              <w:wordWrap w:val="0"/>
              <w:overflowPunct/>
              <w:topLinePunct w:val="0"/>
              <w:autoSpaceDE/>
              <w:autoSpaceDN/>
              <w:bidi w:val="0"/>
              <w:adjustRightInd w:val="0"/>
              <w:spacing w:line="0" w:lineRule="atLeast"/>
              <w:jc w:val="center"/>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7.4</w:t>
            </w:r>
          </w:p>
        </w:tc>
        <w:tc>
          <w:tcPr>
            <w:tcW w:w="2095" w:type="dxa"/>
            <w:vAlign w:val="center"/>
          </w:tcPr>
          <w:p w14:paraId="28899CCF">
            <w:pPr>
              <w:keepNext w:val="0"/>
              <w:keepLines w:val="0"/>
              <w:pageBreakBefore w:val="0"/>
              <w:widowControl w:val="0"/>
              <w:kinsoku/>
              <w:wordWrap w:val="0"/>
              <w:overflowPunct/>
              <w:topLinePunct w:val="0"/>
              <w:autoSpaceDE/>
              <w:autoSpaceDN/>
              <w:bidi w:val="0"/>
              <w:adjustRightInd w:val="0"/>
              <w:spacing w:line="0" w:lineRule="atLeas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zh-CN"/>
              </w:rPr>
              <w:t>是否授权磋商小组确定成交人</w:t>
            </w:r>
          </w:p>
        </w:tc>
        <w:tc>
          <w:tcPr>
            <w:tcW w:w="6675" w:type="dxa"/>
            <w:vAlign w:val="center"/>
          </w:tcPr>
          <w:p w14:paraId="37DAF470">
            <w:pPr>
              <w:keepNext w:val="0"/>
              <w:keepLines w:val="0"/>
              <w:pageBreakBefore w:val="0"/>
              <w:widowControl w:val="0"/>
              <w:kinsoku/>
              <w:wordWrap w:val="0"/>
              <w:overflowPunct/>
              <w:topLinePunct w:val="0"/>
              <w:autoSpaceDE/>
              <w:autoSpaceDN/>
              <w:bidi w:val="0"/>
              <w:adjustRightInd w:val="0"/>
              <w:snapToGrid w:val="0"/>
              <w:spacing w:line="0" w:lineRule="atLeas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□是</w:t>
            </w:r>
          </w:p>
          <w:p w14:paraId="47FDEEA4">
            <w:pPr>
              <w:keepNext w:val="0"/>
              <w:keepLines w:val="0"/>
              <w:pageBreakBefore w:val="0"/>
              <w:widowControl w:val="0"/>
              <w:kinsoku/>
              <w:wordWrap w:val="0"/>
              <w:overflowPunct/>
              <w:topLinePunct w:val="0"/>
              <w:autoSpaceDE/>
              <w:autoSpaceDN/>
              <w:bidi w:val="0"/>
              <w:adjustRightInd w:val="0"/>
              <w:snapToGrid w:val="0"/>
              <w:spacing w:line="0" w:lineRule="atLeas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eastAsia="zh-CN"/>
              </w:rPr>
              <w:fldChar w:fldCharType="begin"/>
            </w:r>
            <w:r>
              <w:rPr>
                <w:rFonts w:hint="eastAsia" w:ascii="宋体" w:hAnsi="宋体" w:eastAsia="宋体" w:cs="宋体"/>
                <w:bCs/>
                <w:color w:val="auto"/>
                <w:sz w:val="21"/>
                <w:szCs w:val="21"/>
                <w:highlight w:val="none"/>
                <w:lang w:eastAsia="zh-CN"/>
              </w:rPr>
              <w:instrText xml:space="preserve">eq \o\ac(□,√)</w:instrText>
            </w:r>
            <w:r>
              <w:rPr>
                <w:rFonts w:hint="eastAsia" w:ascii="宋体" w:hAnsi="宋体" w:eastAsia="宋体" w:cs="宋体"/>
                <w:bCs/>
                <w:color w:val="auto"/>
                <w:sz w:val="21"/>
                <w:szCs w:val="21"/>
                <w:highlight w:val="none"/>
                <w:lang w:eastAsia="zh-CN"/>
              </w:rPr>
              <w:fldChar w:fldCharType="end"/>
            </w:r>
            <w:r>
              <w:rPr>
                <w:rFonts w:hint="eastAsia" w:ascii="宋体" w:hAnsi="宋体" w:eastAsia="宋体" w:cs="宋体"/>
                <w:bCs/>
                <w:color w:val="auto"/>
                <w:sz w:val="21"/>
                <w:szCs w:val="21"/>
                <w:highlight w:val="none"/>
                <w:lang w:eastAsia="zh-CN"/>
              </w:rPr>
              <w:t>否</w:t>
            </w:r>
          </w:p>
        </w:tc>
      </w:tr>
      <w:tr w14:paraId="2B78C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995" w:type="dxa"/>
            <w:vAlign w:val="center"/>
          </w:tcPr>
          <w:p w14:paraId="0662391F">
            <w:pPr>
              <w:spacing w:line="400" w:lineRule="exact"/>
              <w:jc w:val="center"/>
              <w:rPr>
                <w:rFonts w:hint="eastAsia" w:ascii="宋体" w:hAnsi="宋体" w:eastAsia="宋体" w:cs="宋体"/>
                <w:bCs/>
                <w:color w:val="auto"/>
                <w:sz w:val="21"/>
                <w:szCs w:val="21"/>
                <w:highlight w:val="none"/>
                <w:lang w:val="zh-CN"/>
              </w:rPr>
            </w:pPr>
            <w:r>
              <w:rPr>
                <w:rFonts w:hint="eastAsia"/>
                <w:color w:val="auto"/>
                <w:highlight w:val="none"/>
              </w:rPr>
              <w:t>10.</w:t>
            </w:r>
            <w:r>
              <w:rPr>
                <w:rFonts w:hint="eastAsia"/>
                <w:color w:val="auto"/>
                <w:highlight w:val="none"/>
                <w:lang w:val="en-US" w:eastAsia="zh-CN"/>
              </w:rPr>
              <w:t>8</w:t>
            </w:r>
          </w:p>
        </w:tc>
        <w:tc>
          <w:tcPr>
            <w:tcW w:w="2095" w:type="dxa"/>
            <w:vAlign w:val="center"/>
          </w:tcPr>
          <w:p w14:paraId="77797924">
            <w:pPr>
              <w:spacing w:line="400" w:lineRule="exact"/>
              <w:jc w:val="center"/>
              <w:rPr>
                <w:rFonts w:hint="eastAsia" w:ascii="宋体" w:hAnsi="宋体" w:eastAsia="宋体" w:cs="宋体"/>
                <w:bCs/>
                <w:color w:val="auto"/>
                <w:sz w:val="21"/>
                <w:szCs w:val="21"/>
                <w:highlight w:val="none"/>
                <w:lang w:val="zh-CN"/>
              </w:rPr>
            </w:pPr>
            <w:r>
              <w:rPr>
                <w:rFonts w:hint="eastAsia"/>
                <w:color w:val="auto"/>
                <w:highlight w:val="none"/>
              </w:rPr>
              <w:t>重新招标的其他情形</w:t>
            </w:r>
          </w:p>
        </w:tc>
        <w:tc>
          <w:tcPr>
            <w:tcW w:w="6675" w:type="dxa"/>
            <w:vAlign w:val="center"/>
          </w:tcPr>
          <w:p w14:paraId="5529D295">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除申请人须知正文第8条规定的情形外，除非已经产生成交候选人，在响应有效期内同意延长响应有效期的申请人少于三个的，采购人应当依法重新招标。</w:t>
            </w:r>
          </w:p>
          <w:p w14:paraId="5291C392">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color w:val="000000"/>
                <w:sz w:val="21"/>
                <w:szCs w:val="21"/>
                <w:highlight w:val="none"/>
                <w:lang w:val="en-US" w:eastAsia="zh-CN"/>
              </w:rPr>
              <w:t>通过初步评审的有效投标不足三个使得投标明显缺乏竞争的，磋商小组可以否决全部投标。</w:t>
            </w:r>
          </w:p>
        </w:tc>
      </w:tr>
      <w:tr w14:paraId="20B88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995" w:type="dxa"/>
            <w:vAlign w:val="center"/>
          </w:tcPr>
          <w:p w14:paraId="75C8F648">
            <w:pPr>
              <w:keepNext w:val="0"/>
              <w:keepLines w:val="0"/>
              <w:pageBreakBefore w:val="0"/>
              <w:widowControl w:val="0"/>
              <w:kinsoku/>
              <w:wordWrap w:val="0"/>
              <w:overflowPunct/>
              <w:topLinePunct w:val="0"/>
              <w:autoSpaceDE/>
              <w:autoSpaceDN/>
              <w:bidi w:val="0"/>
              <w:adjustRightInd w:val="0"/>
              <w:spacing w:line="0" w:lineRule="atLeast"/>
              <w:jc w:val="center"/>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9</w:t>
            </w:r>
          </w:p>
        </w:tc>
        <w:tc>
          <w:tcPr>
            <w:tcW w:w="2095" w:type="dxa"/>
            <w:vAlign w:val="center"/>
          </w:tcPr>
          <w:p w14:paraId="2DCB0E22">
            <w:pPr>
              <w:keepNext w:val="0"/>
              <w:keepLines w:val="0"/>
              <w:pageBreakBefore w:val="0"/>
              <w:widowControl w:val="0"/>
              <w:kinsoku/>
              <w:wordWrap w:val="0"/>
              <w:overflowPunct/>
              <w:topLinePunct w:val="0"/>
              <w:autoSpaceDE/>
              <w:autoSpaceDN/>
              <w:bidi w:val="0"/>
              <w:adjustRightInd w:val="0"/>
              <w:spacing w:line="0" w:lineRule="atLeas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zh-CN"/>
              </w:rPr>
              <w:t>是否采用电子招标投标</w:t>
            </w:r>
          </w:p>
        </w:tc>
        <w:tc>
          <w:tcPr>
            <w:tcW w:w="6675" w:type="dxa"/>
            <w:vAlign w:val="center"/>
          </w:tcPr>
          <w:p w14:paraId="1A21B94B">
            <w:pPr>
              <w:keepNext w:val="0"/>
              <w:keepLines w:val="0"/>
              <w:pageBreakBefore w:val="0"/>
              <w:widowControl w:val="0"/>
              <w:kinsoku/>
              <w:wordWrap w:val="0"/>
              <w:overflowPunct/>
              <w:topLinePunct w:val="0"/>
              <w:autoSpaceDE/>
              <w:autoSpaceDN/>
              <w:bidi w:val="0"/>
              <w:adjustRightInd w:val="0"/>
              <w:snapToGrid w:val="0"/>
              <w:spacing w:line="0" w:lineRule="atLeas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fldChar w:fldCharType="begin"/>
            </w:r>
            <w:r>
              <w:rPr>
                <w:rFonts w:hint="eastAsia" w:ascii="宋体" w:hAnsi="宋体" w:eastAsia="宋体" w:cs="宋体"/>
                <w:bCs/>
                <w:color w:val="auto"/>
                <w:sz w:val="21"/>
                <w:szCs w:val="21"/>
                <w:highlight w:val="none"/>
                <w:lang w:eastAsia="zh-CN"/>
              </w:rPr>
              <w:instrText xml:space="preserve">eq \o\ac(□,√)</w:instrText>
            </w:r>
            <w:r>
              <w:rPr>
                <w:rFonts w:hint="eastAsia" w:ascii="宋体" w:hAnsi="宋体" w:eastAsia="宋体" w:cs="宋体"/>
                <w:bCs/>
                <w:color w:val="auto"/>
                <w:sz w:val="21"/>
                <w:szCs w:val="21"/>
                <w:highlight w:val="none"/>
                <w:lang w:eastAsia="zh-CN"/>
              </w:rPr>
              <w:fldChar w:fldCharType="end"/>
            </w:r>
            <w:r>
              <w:rPr>
                <w:rFonts w:hint="eastAsia" w:ascii="宋体" w:hAnsi="宋体" w:eastAsia="宋体" w:cs="宋体"/>
                <w:bCs/>
                <w:color w:val="auto"/>
                <w:sz w:val="21"/>
                <w:szCs w:val="21"/>
                <w:highlight w:val="none"/>
                <w:lang w:eastAsia="zh-CN"/>
              </w:rPr>
              <w:t>是，具体要求：详见申请人须知前附表第10.</w:t>
            </w:r>
            <w:r>
              <w:rPr>
                <w:rFonts w:hint="eastAsia" w:ascii="宋体" w:hAnsi="宋体" w:eastAsia="宋体" w:cs="宋体"/>
                <w:bCs/>
                <w:color w:val="auto"/>
                <w:sz w:val="21"/>
                <w:szCs w:val="21"/>
                <w:highlight w:val="none"/>
                <w:lang w:val="en-US" w:eastAsia="zh-CN"/>
              </w:rPr>
              <w:t>7</w:t>
            </w:r>
            <w:r>
              <w:rPr>
                <w:rFonts w:hint="eastAsia" w:ascii="宋体" w:hAnsi="宋体" w:eastAsia="宋体" w:cs="宋体"/>
                <w:bCs/>
                <w:color w:val="auto"/>
                <w:sz w:val="21"/>
                <w:szCs w:val="21"/>
                <w:highlight w:val="none"/>
                <w:lang w:eastAsia="zh-CN"/>
              </w:rPr>
              <w:t>项。</w:t>
            </w:r>
          </w:p>
          <w:p w14:paraId="3C4F2A83">
            <w:pPr>
              <w:keepNext w:val="0"/>
              <w:keepLines w:val="0"/>
              <w:pageBreakBefore w:val="0"/>
              <w:widowControl w:val="0"/>
              <w:kinsoku/>
              <w:wordWrap w:val="0"/>
              <w:overflowPunct/>
              <w:topLinePunct w:val="0"/>
              <w:autoSpaceDE/>
              <w:autoSpaceDN/>
              <w:bidi w:val="0"/>
              <w:adjustRightInd w:val="0"/>
              <w:snapToGrid w:val="0"/>
              <w:spacing w:line="0" w:lineRule="atLeas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eastAsia="zh-CN"/>
              </w:rPr>
              <w:sym w:font="Wingdings 2" w:char="00A3"/>
            </w:r>
            <w:r>
              <w:rPr>
                <w:rFonts w:hint="eastAsia" w:ascii="宋体" w:hAnsi="宋体" w:eastAsia="宋体" w:cs="宋体"/>
                <w:bCs/>
                <w:color w:val="auto"/>
                <w:sz w:val="21"/>
                <w:szCs w:val="21"/>
                <w:highlight w:val="none"/>
                <w:lang w:eastAsia="zh-CN"/>
              </w:rPr>
              <w:t>否</w:t>
            </w:r>
          </w:p>
        </w:tc>
      </w:tr>
      <w:tr w14:paraId="56C11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995" w:type="dxa"/>
            <w:vAlign w:val="center"/>
          </w:tcPr>
          <w:p w14:paraId="2795EC0F">
            <w:pPr>
              <w:spacing w:line="400" w:lineRule="exact"/>
              <w:jc w:val="center"/>
              <w:rPr>
                <w:color w:val="auto"/>
                <w:highlight w:val="none"/>
              </w:rPr>
            </w:pPr>
            <w:r>
              <w:rPr>
                <w:rFonts w:hint="eastAsia"/>
                <w:color w:val="auto"/>
                <w:highlight w:val="none"/>
              </w:rPr>
              <w:t>10.1</w:t>
            </w:r>
          </w:p>
        </w:tc>
        <w:tc>
          <w:tcPr>
            <w:tcW w:w="2095" w:type="dxa"/>
            <w:vAlign w:val="center"/>
          </w:tcPr>
          <w:p w14:paraId="3FDA2110">
            <w:pPr>
              <w:keepNext w:val="0"/>
              <w:keepLines w:val="0"/>
              <w:pageBreakBefore w:val="0"/>
              <w:widowControl w:val="0"/>
              <w:kinsoku/>
              <w:wordWrap w:val="0"/>
              <w:overflowPunct/>
              <w:topLinePunct w:val="0"/>
              <w:autoSpaceDE/>
              <w:autoSpaceDN/>
              <w:bidi w:val="0"/>
              <w:adjustRightInd w:val="0"/>
              <w:spacing w:line="0" w:lineRule="atLeast"/>
              <w:jc w:val="center"/>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zh-CN"/>
              </w:rPr>
              <w:t>评审办法</w:t>
            </w:r>
          </w:p>
        </w:tc>
        <w:tc>
          <w:tcPr>
            <w:tcW w:w="6675" w:type="dxa"/>
            <w:vAlign w:val="center"/>
          </w:tcPr>
          <w:p w14:paraId="6C1093E1">
            <w:pPr>
              <w:keepNext w:val="0"/>
              <w:keepLines w:val="0"/>
              <w:pageBreakBefore w:val="0"/>
              <w:widowControl w:val="0"/>
              <w:kinsoku/>
              <w:wordWrap w:val="0"/>
              <w:overflowPunct/>
              <w:topLinePunct w:val="0"/>
              <w:autoSpaceDE/>
              <w:autoSpaceDN/>
              <w:bidi w:val="0"/>
              <w:adjustRightInd w:val="0"/>
              <w:snapToGrid w:val="0"/>
              <w:spacing w:line="0" w:lineRule="atLeast"/>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eastAsia="zh-CN"/>
              </w:rPr>
              <w:t>综合评分法</w:t>
            </w:r>
          </w:p>
        </w:tc>
      </w:tr>
      <w:tr w14:paraId="12D12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95" w:type="dxa"/>
            <w:vAlign w:val="center"/>
          </w:tcPr>
          <w:p w14:paraId="33230D1C">
            <w:pPr>
              <w:spacing w:line="400" w:lineRule="exact"/>
              <w:jc w:val="center"/>
              <w:rPr>
                <w:rFonts w:hint="eastAsia" w:eastAsia="宋体"/>
                <w:color w:val="auto"/>
                <w:highlight w:val="none"/>
                <w:lang w:eastAsia="zh-CN"/>
              </w:rPr>
            </w:pPr>
            <w:r>
              <w:rPr>
                <w:rFonts w:hint="eastAsia"/>
                <w:color w:val="auto"/>
                <w:highlight w:val="none"/>
              </w:rPr>
              <w:t>10.</w:t>
            </w:r>
            <w:r>
              <w:rPr>
                <w:rFonts w:hint="eastAsia"/>
                <w:color w:val="auto"/>
                <w:highlight w:val="none"/>
                <w:lang w:val="en-US" w:eastAsia="zh-CN"/>
              </w:rPr>
              <w:t>2</w:t>
            </w:r>
          </w:p>
        </w:tc>
        <w:tc>
          <w:tcPr>
            <w:tcW w:w="2095" w:type="dxa"/>
            <w:vAlign w:val="center"/>
          </w:tcPr>
          <w:p w14:paraId="55A056B7">
            <w:pPr>
              <w:keepNext w:val="0"/>
              <w:keepLines w:val="0"/>
              <w:pageBreakBefore w:val="0"/>
              <w:widowControl w:val="0"/>
              <w:kinsoku/>
              <w:wordWrap w:val="0"/>
              <w:overflowPunct/>
              <w:topLinePunct w:val="0"/>
              <w:autoSpaceDE/>
              <w:autoSpaceDN/>
              <w:bidi w:val="0"/>
              <w:adjustRightInd w:val="0"/>
              <w:spacing w:line="0" w:lineRule="atLeast"/>
              <w:jc w:val="center"/>
              <w:textAlignment w:val="auto"/>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付款方式</w:t>
            </w:r>
          </w:p>
        </w:tc>
        <w:tc>
          <w:tcPr>
            <w:tcW w:w="6675" w:type="dxa"/>
            <w:vAlign w:val="center"/>
          </w:tcPr>
          <w:p w14:paraId="6950574C">
            <w:pPr>
              <w:keepNext w:val="0"/>
              <w:keepLines w:val="0"/>
              <w:pageBreakBefore w:val="0"/>
              <w:widowControl w:val="0"/>
              <w:kinsoku/>
              <w:wordWrap w:val="0"/>
              <w:overflowPunct/>
              <w:topLinePunct w:val="0"/>
              <w:autoSpaceDE/>
              <w:autoSpaceDN/>
              <w:bidi w:val="0"/>
              <w:adjustRightInd w:val="0"/>
              <w:snapToGrid w:val="0"/>
              <w:spacing w:line="0" w:lineRule="atLeast"/>
              <w:textAlignment w:val="auto"/>
              <w:rPr>
                <w:rFonts w:hint="default" w:ascii="宋体" w:hAnsi="宋体" w:eastAsia="宋体" w:cs="宋体"/>
                <w:bCs/>
                <w:color w:val="000000" w:themeColor="text1"/>
                <w:sz w:val="21"/>
                <w:szCs w:val="21"/>
                <w:highlight w:val="none"/>
                <w:lang w:val="en-US" w:eastAsia="zh-CN"/>
                <w14:textFill>
                  <w14:solidFill>
                    <w14:schemeClr w14:val="tx1"/>
                  </w14:solidFill>
                </w14:textFill>
              </w:rPr>
            </w:pPr>
            <w:r>
              <w:rPr>
                <w:rFonts w:hint="default" w:ascii="宋体" w:hAnsi="宋体" w:eastAsia="宋体" w:cs="宋体"/>
                <w:bCs/>
                <w:color w:val="000000" w:themeColor="text1"/>
                <w:sz w:val="21"/>
                <w:szCs w:val="21"/>
                <w:highlight w:val="none"/>
                <w:lang w:val="en-US" w:eastAsia="zh-CN"/>
                <w14:textFill>
                  <w14:solidFill>
                    <w14:schemeClr w14:val="tx1"/>
                  </w14:solidFill>
                </w14:textFill>
              </w:rPr>
              <w:t>按合同约定。</w:t>
            </w:r>
          </w:p>
        </w:tc>
      </w:tr>
      <w:tr w14:paraId="37C29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95" w:type="dxa"/>
            <w:vAlign w:val="center"/>
          </w:tcPr>
          <w:p w14:paraId="4C3B6040">
            <w:pPr>
              <w:spacing w:line="400" w:lineRule="exact"/>
              <w:jc w:val="center"/>
              <w:rPr>
                <w:rFonts w:hint="eastAsia" w:eastAsia="宋体"/>
                <w:color w:val="auto"/>
                <w:highlight w:val="none"/>
                <w:lang w:eastAsia="zh-CN"/>
              </w:rPr>
            </w:pPr>
            <w:r>
              <w:rPr>
                <w:rFonts w:hint="eastAsia"/>
                <w:color w:val="auto"/>
                <w:highlight w:val="none"/>
              </w:rPr>
              <w:t>10.</w:t>
            </w:r>
            <w:r>
              <w:rPr>
                <w:rFonts w:hint="eastAsia"/>
                <w:color w:val="auto"/>
                <w:highlight w:val="none"/>
                <w:lang w:val="en-US" w:eastAsia="zh-CN"/>
              </w:rPr>
              <w:t>3</w:t>
            </w:r>
          </w:p>
        </w:tc>
        <w:tc>
          <w:tcPr>
            <w:tcW w:w="2095" w:type="dxa"/>
            <w:vAlign w:val="center"/>
          </w:tcPr>
          <w:p w14:paraId="5B27775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采购</w:t>
            </w:r>
            <w:r>
              <w:rPr>
                <w:rFonts w:hint="eastAsia" w:ascii="Times New Roman" w:hAnsi="Times New Roman" w:eastAsia="宋体" w:cs="Times New Roman"/>
                <w:color w:val="auto"/>
                <w:highlight w:val="none"/>
              </w:rPr>
              <w:t>代理</w:t>
            </w:r>
            <w:r>
              <w:rPr>
                <w:rFonts w:hint="eastAsia" w:ascii="Times New Roman" w:hAnsi="Times New Roman" w:eastAsia="宋体" w:cs="Times New Roman"/>
                <w:color w:val="auto"/>
                <w:highlight w:val="none"/>
                <w:lang w:val="en-US" w:eastAsia="zh-CN"/>
              </w:rPr>
              <w:t>服务</w:t>
            </w:r>
            <w:r>
              <w:rPr>
                <w:rFonts w:hint="eastAsia" w:ascii="Times New Roman" w:hAnsi="Times New Roman" w:eastAsia="宋体" w:cs="Times New Roman"/>
                <w:color w:val="auto"/>
                <w:highlight w:val="none"/>
              </w:rPr>
              <w:t>费</w:t>
            </w:r>
          </w:p>
        </w:tc>
        <w:tc>
          <w:tcPr>
            <w:tcW w:w="6675" w:type="dxa"/>
            <w:vAlign w:val="top"/>
          </w:tcPr>
          <w:p w14:paraId="2BADD936">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按照国家发展计划委员会“发改价格【2015】299号”文要求，固定收取</w:t>
            </w:r>
            <w:r>
              <w:rPr>
                <w:rFonts w:hint="eastAsia" w:ascii="宋体" w:hAnsi="宋体" w:cs="宋体"/>
                <w:kern w:val="2"/>
                <w:sz w:val="21"/>
                <w:szCs w:val="21"/>
                <w:highlight w:val="none"/>
                <w:lang w:val="en-US" w:eastAsia="zh-CN" w:bidi="ar-SA"/>
              </w:rPr>
              <w:t>13000</w:t>
            </w:r>
            <w:r>
              <w:rPr>
                <w:rFonts w:hint="eastAsia" w:ascii="宋体" w:hAnsi="宋体" w:eastAsia="宋体" w:cs="宋体"/>
                <w:kern w:val="2"/>
                <w:sz w:val="21"/>
                <w:szCs w:val="21"/>
                <w:highlight w:val="none"/>
                <w:lang w:val="en-US" w:eastAsia="zh-CN" w:bidi="ar-SA"/>
              </w:rPr>
              <w:t>.00元，于成交通知书下发前向成交人收取。</w:t>
            </w:r>
          </w:p>
        </w:tc>
      </w:tr>
      <w:tr w14:paraId="401B9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95" w:type="dxa"/>
            <w:vAlign w:val="center"/>
          </w:tcPr>
          <w:p w14:paraId="76E6FDE2">
            <w:pPr>
              <w:spacing w:line="400" w:lineRule="exact"/>
              <w:jc w:val="center"/>
              <w:rPr>
                <w:rFonts w:hint="default" w:eastAsia="宋体"/>
                <w:color w:val="auto"/>
                <w:highlight w:val="none"/>
                <w:lang w:val="en-US" w:eastAsia="zh-CN"/>
              </w:rPr>
            </w:pPr>
            <w:r>
              <w:rPr>
                <w:rFonts w:hint="eastAsia"/>
                <w:color w:val="auto"/>
                <w:highlight w:val="none"/>
                <w:lang w:val="en-US" w:eastAsia="zh-CN"/>
              </w:rPr>
              <w:t>10.4</w:t>
            </w:r>
          </w:p>
        </w:tc>
        <w:tc>
          <w:tcPr>
            <w:tcW w:w="2095" w:type="dxa"/>
            <w:vAlign w:val="center"/>
          </w:tcPr>
          <w:p w14:paraId="6CFC3467">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本项目中小企业划分标准所属行业</w:t>
            </w:r>
          </w:p>
        </w:tc>
        <w:tc>
          <w:tcPr>
            <w:tcW w:w="6675" w:type="dxa"/>
            <w:vAlign w:val="center"/>
          </w:tcPr>
          <w:p w14:paraId="0764ABA6">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工业。</w:t>
            </w:r>
          </w:p>
        </w:tc>
      </w:tr>
      <w:tr w14:paraId="2994F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95" w:type="dxa"/>
            <w:vAlign w:val="center"/>
          </w:tcPr>
          <w:p w14:paraId="5BCDAA0D">
            <w:pPr>
              <w:spacing w:line="400" w:lineRule="exact"/>
              <w:jc w:val="center"/>
              <w:rPr>
                <w:rFonts w:hint="eastAsia" w:eastAsia="宋体"/>
                <w:color w:val="auto"/>
                <w:highlight w:val="none"/>
                <w:lang w:eastAsia="zh-CN"/>
              </w:rPr>
            </w:pPr>
            <w:r>
              <w:rPr>
                <w:rFonts w:hint="eastAsia"/>
                <w:color w:val="auto"/>
                <w:highlight w:val="none"/>
              </w:rPr>
              <w:t>10.</w:t>
            </w:r>
            <w:r>
              <w:rPr>
                <w:rFonts w:hint="eastAsia"/>
                <w:color w:val="auto"/>
                <w:highlight w:val="none"/>
                <w:lang w:val="en-US" w:eastAsia="zh-CN"/>
              </w:rPr>
              <w:t>5</w:t>
            </w:r>
          </w:p>
        </w:tc>
        <w:tc>
          <w:tcPr>
            <w:tcW w:w="2095" w:type="dxa"/>
            <w:vAlign w:val="center"/>
          </w:tcPr>
          <w:p w14:paraId="253A3262">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rPr>
              <w:t>供应商</w:t>
            </w:r>
            <w:r>
              <w:rPr>
                <w:rFonts w:hint="eastAsia" w:ascii="宋体" w:hAnsi="宋体" w:eastAsia="宋体" w:cs="宋体"/>
                <w:sz w:val="21"/>
                <w:szCs w:val="21"/>
                <w:highlight w:val="none"/>
                <w:lang w:val="en-US" w:eastAsia="zh-CN"/>
              </w:rPr>
              <w:t>投标无效</w:t>
            </w:r>
            <w:r>
              <w:rPr>
                <w:rFonts w:hint="eastAsia" w:ascii="宋体" w:hAnsi="宋体" w:eastAsia="宋体" w:cs="宋体"/>
                <w:sz w:val="21"/>
                <w:szCs w:val="21"/>
                <w:highlight w:val="none"/>
                <w:lang w:val="zh-CN"/>
              </w:rPr>
              <w:t>说明</w:t>
            </w:r>
          </w:p>
        </w:tc>
        <w:tc>
          <w:tcPr>
            <w:tcW w:w="6675" w:type="dxa"/>
            <w:vAlign w:val="center"/>
          </w:tcPr>
          <w:p w14:paraId="3C653440">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1、供应商需在开标前将</w:t>
            </w:r>
            <w:r>
              <w:rPr>
                <w:rFonts w:hint="eastAsia" w:ascii="宋体" w:hAnsi="宋体" w:eastAsia="宋体" w:cs="宋体"/>
                <w:sz w:val="21"/>
                <w:szCs w:val="21"/>
                <w:highlight w:val="none"/>
                <w:lang w:val="en-US" w:eastAsia="zh-CN"/>
              </w:rPr>
              <w:t>响应文件</w:t>
            </w:r>
            <w:r>
              <w:rPr>
                <w:rFonts w:hint="eastAsia" w:ascii="宋体" w:hAnsi="宋体" w:eastAsia="宋体" w:cs="宋体"/>
                <w:sz w:val="21"/>
                <w:szCs w:val="21"/>
                <w:highlight w:val="none"/>
                <w:lang w:val="zh-CN"/>
              </w:rPr>
              <w:t>制作工具生成的加密文件上传到政府采购云平台（网址：http://www.zcygov.cn）。</w:t>
            </w:r>
          </w:p>
          <w:p w14:paraId="72539A48">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2、开标时，供应商需用生成最终</w:t>
            </w:r>
            <w:r>
              <w:rPr>
                <w:rFonts w:hint="eastAsia" w:ascii="宋体" w:hAnsi="宋体" w:eastAsia="宋体" w:cs="宋体"/>
                <w:sz w:val="21"/>
                <w:szCs w:val="21"/>
                <w:highlight w:val="none"/>
                <w:lang w:val="en-US" w:eastAsia="zh-CN"/>
              </w:rPr>
              <w:t>响应文件</w:t>
            </w:r>
            <w:r>
              <w:rPr>
                <w:rFonts w:hint="eastAsia" w:ascii="宋体" w:hAnsi="宋体" w:eastAsia="宋体" w:cs="宋体"/>
                <w:sz w:val="21"/>
                <w:szCs w:val="21"/>
                <w:highlight w:val="none"/>
                <w:lang w:val="zh-CN"/>
              </w:rPr>
              <w:t>所使用的数字证书（CA锁），以防</w:t>
            </w:r>
            <w:r>
              <w:rPr>
                <w:rFonts w:hint="eastAsia" w:ascii="宋体" w:hAnsi="宋体" w:eastAsia="宋体" w:cs="宋体"/>
                <w:sz w:val="21"/>
                <w:szCs w:val="21"/>
                <w:highlight w:val="none"/>
              </w:rPr>
              <w:t>签到、</w:t>
            </w:r>
            <w:r>
              <w:rPr>
                <w:rFonts w:hint="eastAsia" w:ascii="宋体" w:hAnsi="宋体" w:eastAsia="宋体" w:cs="宋体"/>
                <w:sz w:val="21"/>
                <w:szCs w:val="21"/>
                <w:highlight w:val="none"/>
                <w:lang w:val="zh-CN"/>
              </w:rPr>
              <w:t>解密失败。</w:t>
            </w:r>
          </w:p>
          <w:p w14:paraId="2D62C68B">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rPr>
              <w:t>开评标过程中如因上述原因导致</w:t>
            </w:r>
            <w:r>
              <w:rPr>
                <w:rFonts w:hint="eastAsia" w:ascii="宋体" w:hAnsi="宋体" w:eastAsia="宋体" w:cs="宋体"/>
                <w:sz w:val="21"/>
                <w:szCs w:val="21"/>
                <w:highlight w:val="none"/>
                <w:lang w:val="en-US" w:eastAsia="zh-CN"/>
              </w:rPr>
              <w:t>投标无效</w:t>
            </w:r>
            <w:r>
              <w:rPr>
                <w:rFonts w:hint="eastAsia" w:ascii="宋体" w:hAnsi="宋体" w:eastAsia="宋体" w:cs="宋体"/>
                <w:sz w:val="21"/>
                <w:szCs w:val="21"/>
                <w:highlight w:val="none"/>
                <w:lang w:val="zh-CN"/>
              </w:rPr>
              <w:t>标，供应商自行承担后果。</w:t>
            </w:r>
          </w:p>
        </w:tc>
      </w:tr>
      <w:tr w14:paraId="4D52E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95" w:type="dxa"/>
            <w:vAlign w:val="center"/>
          </w:tcPr>
          <w:p w14:paraId="263399B6">
            <w:pPr>
              <w:spacing w:line="400" w:lineRule="exact"/>
              <w:jc w:val="center"/>
              <w:rPr>
                <w:rFonts w:hint="eastAsia" w:eastAsia="宋体"/>
                <w:color w:val="auto"/>
                <w:highlight w:val="none"/>
                <w:lang w:eastAsia="zh-CN"/>
              </w:rPr>
            </w:pPr>
            <w:r>
              <w:rPr>
                <w:rFonts w:hint="eastAsia"/>
                <w:color w:val="auto"/>
                <w:highlight w:val="none"/>
              </w:rPr>
              <w:t>10.</w:t>
            </w:r>
            <w:r>
              <w:rPr>
                <w:rFonts w:hint="eastAsia"/>
                <w:color w:val="auto"/>
                <w:highlight w:val="none"/>
                <w:lang w:val="en-US" w:eastAsia="zh-CN"/>
              </w:rPr>
              <w:t>6</w:t>
            </w:r>
          </w:p>
        </w:tc>
        <w:tc>
          <w:tcPr>
            <w:tcW w:w="2095" w:type="dxa"/>
            <w:vAlign w:val="center"/>
          </w:tcPr>
          <w:p w14:paraId="48AA23A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zh-CN"/>
              </w:rPr>
              <w:t>电子招投标相关说明</w:t>
            </w:r>
          </w:p>
        </w:tc>
        <w:tc>
          <w:tcPr>
            <w:tcW w:w="6675" w:type="dxa"/>
            <w:vAlign w:val="center"/>
          </w:tcPr>
          <w:p w14:paraId="05684752">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本次招标实行不见面开标，具体要求如下：</w:t>
            </w:r>
          </w:p>
          <w:p w14:paraId="7B836673">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一、业务要求</w:t>
            </w:r>
          </w:p>
          <w:p w14:paraId="6DBB4ECE">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1.开标项目的时间均以国家授时中心发布的时间为准。</w:t>
            </w:r>
          </w:p>
          <w:p w14:paraId="528C14B4">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2.政府采购云平台不见面开标系统适用进入政府采购云平台的政府采购项目。</w:t>
            </w:r>
          </w:p>
          <w:p w14:paraId="7CE5CC09">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3.通过该系统完成投标过程。依照</w:t>
            </w:r>
            <w:r>
              <w:rPr>
                <w:rFonts w:hint="eastAsia" w:ascii="宋体" w:hAnsi="宋体" w:eastAsia="宋体" w:cs="宋体"/>
                <w:sz w:val="21"/>
                <w:szCs w:val="21"/>
                <w:highlight w:val="none"/>
                <w:lang w:val="zh-CN" w:eastAsia="zh-CN"/>
              </w:rPr>
              <w:t>磋商文件</w:t>
            </w:r>
            <w:r>
              <w:rPr>
                <w:rFonts w:hint="eastAsia" w:ascii="宋体" w:hAnsi="宋体" w:eastAsia="宋体" w:cs="宋体"/>
                <w:sz w:val="21"/>
                <w:szCs w:val="21"/>
                <w:highlight w:val="none"/>
                <w:lang w:val="zh-CN"/>
              </w:rPr>
              <w:t>的规定完成电子</w:t>
            </w:r>
            <w:r>
              <w:rPr>
                <w:rFonts w:hint="eastAsia" w:ascii="宋体" w:hAnsi="宋体" w:eastAsia="宋体" w:cs="宋体"/>
                <w:sz w:val="21"/>
                <w:szCs w:val="21"/>
                <w:highlight w:val="none"/>
                <w:lang w:val="zh-CN" w:eastAsia="zh-CN"/>
              </w:rPr>
              <w:t>响应文件</w:t>
            </w:r>
            <w:r>
              <w:rPr>
                <w:rFonts w:hint="eastAsia" w:ascii="宋体" w:hAnsi="宋体" w:eastAsia="宋体" w:cs="宋体"/>
                <w:sz w:val="21"/>
                <w:szCs w:val="21"/>
                <w:highlight w:val="none"/>
                <w:lang w:val="zh-CN"/>
              </w:rPr>
              <w:t>的编制和提交。如未按</w:t>
            </w:r>
            <w:r>
              <w:rPr>
                <w:rFonts w:hint="eastAsia" w:ascii="宋体" w:hAnsi="宋体" w:eastAsia="宋体" w:cs="宋体"/>
                <w:sz w:val="21"/>
                <w:szCs w:val="21"/>
                <w:highlight w:val="none"/>
                <w:lang w:val="zh-CN" w:eastAsia="zh-CN"/>
              </w:rPr>
              <w:t>磋商文件</w:t>
            </w:r>
            <w:r>
              <w:rPr>
                <w:rFonts w:hint="eastAsia" w:ascii="宋体" w:hAnsi="宋体" w:eastAsia="宋体" w:cs="宋体"/>
                <w:sz w:val="21"/>
                <w:szCs w:val="21"/>
                <w:highlight w:val="none"/>
                <w:lang w:val="zh-CN"/>
              </w:rPr>
              <w:t>要求编制、提交电子</w:t>
            </w:r>
            <w:r>
              <w:rPr>
                <w:rFonts w:hint="eastAsia" w:ascii="宋体" w:hAnsi="宋体" w:eastAsia="宋体" w:cs="宋体"/>
                <w:sz w:val="21"/>
                <w:szCs w:val="21"/>
                <w:highlight w:val="none"/>
                <w:lang w:val="zh-CN" w:eastAsia="zh-CN"/>
              </w:rPr>
              <w:t>响应文件</w:t>
            </w:r>
            <w:r>
              <w:rPr>
                <w:rFonts w:hint="eastAsia" w:ascii="宋体" w:hAnsi="宋体" w:eastAsia="宋体" w:cs="宋体"/>
                <w:sz w:val="21"/>
                <w:szCs w:val="21"/>
                <w:highlight w:val="none"/>
                <w:lang w:val="zh-CN"/>
              </w:rPr>
              <w:t>，将可能导致否决投标，其后果由投标人自负。</w:t>
            </w:r>
          </w:p>
          <w:p w14:paraId="551EACF8">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4.投标人应充分考虑到网络及系统平台可能存在的突发状况，在</w:t>
            </w:r>
            <w:r>
              <w:rPr>
                <w:rFonts w:hint="eastAsia" w:ascii="宋体" w:hAnsi="宋体" w:eastAsia="宋体" w:cs="宋体"/>
                <w:sz w:val="21"/>
                <w:szCs w:val="21"/>
                <w:highlight w:val="none"/>
                <w:lang w:val="zh-CN" w:eastAsia="zh-CN"/>
              </w:rPr>
              <w:t>响应文件</w:t>
            </w:r>
            <w:r>
              <w:rPr>
                <w:rFonts w:hint="eastAsia" w:ascii="宋体" w:hAnsi="宋体" w:eastAsia="宋体" w:cs="宋体"/>
                <w:sz w:val="21"/>
                <w:szCs w:val="21"/>
                <w:highlight w:val="none"/>
                <w:lang w:val="zh-CN"/>
              </w:rPr>
              <w:t>编制完成后尽早完成上传。</w:t>
            </w:r>
          </w:p>
          <w:p w14:paraId="281A7415">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5.</w:t>
            </w:r>
            <w:r>
              <w:rPr>
                <w:rFonts w:hint="eastAsia" w:ascii="宋体" w:hAnsi="宋体" w:eastAsia="宋体" w:cs="宋体"/>
                <w:sz w:val="21"/>
                <w:szCs w:val="21"/>
                <w:highlight w:val="none"/>
                <w:lang w:val="zh-CN" w:eastAsia="zh-CN"/>
              </w:rPr>
              <w:t>响应文件</w:t>
            </w:r>
            <w:r>
              <w:rPr>
                <w:rFonts w:hint="eastAsia" w:ascii="宋体" w:hAnsi="宋体" w:eastAsia="宋体" w:cs="宋体"/>
                <w:sz w:val="21"/>
                <w:szCs w:val="21"/>
                <w:highlight w:val="none"/>
                <w:lang w:val="zh-CN"/>
              </w:rPr>
              <w:t xml:space="preserve">提交截止时间前，采购人或招标代理提前进入政府采购云平台（网址：http:// </w:t>
            </w:r>
            <w:r>
              <w:rPr>
                <w:rFonts w:hint="eastAsia" w:ascii="宋体" w:hAnsi="宋体" w:eastAsia="宋体" w:cs="宋体"/>
                <w:sz w:val="21"/>
                <w:szCs w:val="21"/>
                <w:highlight w:val="none"/>
                <w:lang w:val="zh-CN"/>
              </w:rPr>
              <w:fldChar w:fldCharType="begin"/>
            </w:r>
            <w:r>
              <w:rPr>
                <w:rFonts w:hint="eastAsia" w:ascii="宋体" w:hAnsi="宋体" w:eastAsia="宋体" w:cs="宋体"/>
                <w:sz w:val="21"/>
                <w:szCs w:val="21"/>
                <w:highlight w:val="none"/>
                <w:lang w:val="zh-CN"/>
              </w:rPr>
              <w:instrText xml:space="preserve"> HYPERLINK "http://www.zcygov.cn）不见面开标系统，播放测试音频，各投标人提前进入该系统(网址http:/www.zcygov.cn），实时观看音视频交互效果并及时在系统互动区反馈，未按时加入系统互动区并完成登录操作的或未能在开标会议区内全程参与交互的，视为放弃交互和放弃对开评标全过程质疑的权利，投标人将无法看到解密指令、否决投标及澄清、唱标等实时情况，并承担由此产生的一切后果。" </w:instrText>
            </w:r>
            <w:r>
              <w:rPr>
                <w:rFonts w:hint="eastAsia" w:ascii="宋体" w:hAnsi="宋体" w:eastAsia="宋体" w:cs="宋体"/>
                <w:sz w:val="21"/>
                <w:szCs w:val="21"/>
                <w:highlight w:val="none"/>
                <w:lang w:val="zh-CN"/>
              </w:rPr>
              <w:fldChar w:fldCharType="separate"/>
            </w:r>
            <w:r>
              <w:rPr>
                <w:rFonts w:hint="eastAsia" w:ascii="宋体" w:hAnsi="宋体" w:eastAsia="宋体" w:cs="宋体"/>
                <w:sz w:val="21"/>
                <w:szCs w:val="21"/>
                <w:highlight w:val="none"/>
                <w:lang w:val="zh-CN"/>
              </w:rPr>
              <w:t>www.zcygov.cn）不见面开标系统，播放测试音频，各投标人提前进入该系统(网址http://www.zcygov.cn），实时观看音视频交互效果并及时在系统互动区反馈，未按时加入系统互动区并完成登录操作的或未能在开标会议区内全程参与交互的，视为放弃交互和放弃对开评标全过程质疑的权利，投标人将无法看到解密指令、否决投标及澄清、唱标等实时情况，并承担由此产生的一切后果。</w:t>
            </w:r>
            <w:r>
              <w:rPr>
                <w:rFonts w:hint="eastAsia" w:ascii="宋体" w:hAnsi="宋体" w:eastAsia="宋体" w:cs="宋体"/>
                <w:sz w:val="21"/>
                <w:szCs w:val="21"/>
                <w:highlight w:val="none"/>
                <w:lang w:val="zh-CN"/>
              </w:rPr>
              <w:fldChar w:fldCharType="end"/>
            </w:r>
          </w:p>
          <w:p w14:paraId="0A829128">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6.</w:t>
            </w:r>
            <w:r>
              <w:rPr>
                <w:rFonts w:hint="eastAsia" w:ascii="宋体" w:hAnsi="宋体" w:eastAsia="宋体" w:cs="宋体"/>
                <w:sz w:val="21"/>
                <w:szCs w:val="21"/>
                <w:highlight w:val="none"/>
                <w:lang w:val="zh-CN" w:eastAsia="zh-CN"/>
              </w:rPr>
              <w:t>响应文件</w:t>
            </w:r>
            <w:r>
              <w:rPr>
                <w:rFonts w:hint="eastAsia" w:ascii="宋体" w:hAnsi="宋体" w:eastAsia="宋体" w:cs="宋体"/>
                <w:sz w:val="21"/>
                <w:szCs w:val="21"/>
                <w:highlight w:val="none"/>
                <w:lang w:val="zh-CN"/>
              </w:rPr>
              <w:t>提交截止时间后，通过系统互动区发出</w:t>
            </w:r>
            <w:r>
              <w:rPr>
                <w:rFonts w:hint="eastAsia" w:ascii="宋体" w:hAnsi="宋体" w:eastAsia="宋体" w:cs="宋体"/>
                <w:sz w:val="21"/>
                <w:szCs w:val="21"/>
                <w:highlight w:val="none"/>
                <w:lang w:val="zh-CN" w:eastAsia="zh-CN"/>
              </w:rPr>
              <w:t>响应文件</w:t>
            </w:r>
            <w:r>
              <w:rPr>
                <w:rFonts w:hint="eastAsia" w:ascii="宋体" w:hAnsi="宋体" w:eastAsia="宋体" w:cs="宋体"/>
                <w:sz w:val="21"/>
                <w:szCs w:val="21"/>
                <w:highlight w:val="none"/>
                <w:lang w:val="zh-CN"/>
              </w:rPr>
              <w:t xml:space="preserve">解密的指令，投标人在任意地点按规定时间自行实施远程解密，解密限定在规定时间内完成。 </w:t>
            </w:r>
          </w:p>
          <w:p w14:paraId="08690B2F">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7.投标人必须使用能正确解密</w:t>
            </w:r>
            <w:r>
              <w:rPr>
                <w:rFonts w:hint="eastAsia" w:ascii="宋体" w:hAnsi="宋体" w:eastAsia="宋体" w:cs="宋体"/>
                <w:sz w:val="21"/>
                <w:szCs w:val="21"/>
                <w:highlight w:val="none"/>
                <w:lang w:val="zh-CN" w:eastAsia="zh-CN"/>
              </w:rPr>
              <w:t>响应文件</w:t>
            </w:r>
            <w:r>
              <w:rPr>
                <w:rFonts w:hint="eastAsia" w:ascii="宋体" w:hAnsi="宋体" w:eastAsia="宋体" w:cs="宋体"/>
                <w:sz w:val="21"/>
                <w:szCs w:val="21"/>
                <w:highlight w:val="none"/>
                <w:lang w:val="zh-CN"/>
              </w:rPr>
              <w:t>的CA 证书，在</w:t>
            </w:r>
            <w:r>
              <w:rPr>
                <w:rFonts w:hint="eastAsia" w:ascii="宋体" w:hAnsi="宋体" w:eastAsia="宋体" w:cs="宋体"/>
                <w:sz w:val="21"/>
                <w:szCs w:val="21"/>
                <w:highlight w:val="none"/>
                <w:lang w:val="zh-CN" w:eastAsia="zh-CN"/>
              </w:rPr>
              <w:t>系统</w:t>
            </w:r>
            <w:r>
              <w:rPr>
                <w:rFonts w:hint="eastAsia" w:ascii="宋体" w:hAnsi="宋体" w:eastAsia="宋体" w:cs="宋体"/>
                <w:sz w:val="21"/>
                <w:szCs w:val="21"/>
                <w:highlight w:val="none"/>
                <w:lang w:val="zh-CN"/>
              </w:rPr>
              <w:t>规定的时间内完成远程解密，因投标人原因未能解密、解密失败或解密超时，视为投标人撤销其</w:t>
            </w:r>
            <w:r>
              <w:rPr>
                <w:rFonts w:hint="eastAsia" w:ascii="宋体" w:hAnsi="宋体" w:eastAsia="宋体" w:cs="宋体"/>
                <w:sz w:val="21"/>
                <w:szCs w:val="21"/>
                <w:highlight w:val="none"/>
                <w:lang w:val="zh-CN" w:eastAsia="zh-CN"/>
              </w:rPr>
              <w:t>响应文件</w:t>
            </w:r>
            <w:r>
              <w:rPr>
                <w:rFonts w:hint="eastAsia" w:ascii="宋体" w:hAnsi="宋体" w:eastAsia="宋体" w:cs="宋体"/>
                <w:sz w:val="21"/>
                <w:szCs w:val="21"/>
                <w:highlight w:val="none"/>
                <w:lang w:val="zh-CN"/>
              </w:rPr>
              <w:t>；因采购人或系统原因，导致无法按时完成</w:t>
            </w:r>
            <w:r>
              <w:rPr>
                <w:rFonts w:hint="eastAsia" w:ascii="宋体" w:hAnsi="宋体" w:eastAsia="宋体" w:cs="宋体"/>
                <w:sz w:val="21"/>
                <w:szCs w:val="21"/>
                <w:highlight w:val="none"/>
                <w:lang w:val="zh-CN" w:eastAsia="zh-CN"/>
              </w:rPr>
              <w:t>响应文件</w:t>
            </w:r>
            <w:r>
              <w:rPr>
                <w:rFonts w:hint="eastAsia" w:ascii="宋体" w:hAnsi="宋体" w:eastAsia="宋体" w:cs="宋体"/>
                <w:sz w:val="21"/>
                <w:szCs w:val="21"/>
                <w:highlight w:val="none"/>
                <w:lang w:val="zh-CN"/>
              </w:rPr>
              <w:t xml:space="preserve">解密或开标、评标工作无法进行的，可根据实际情况相应延迟解密时间或调整开标、评标时间。 </w:t>
            </w:r>
          </w:p>
          <w:p w14:paraId="02E3D2E8">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 xml:space="preserve">8.开标当日，投标人不必抵达开标现场，仅需在任意地点通过政府采购云平台（网址：http:// www.zcygov.cn）不见面开标系统参加开标会议，并根据需要使用开标系统与现场采购人进行互动交流、澄清、质疑等活动。 </w:t>
            </w:r>
          </w:p>
          <w:p w14:paraId="55387158">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9.开标、评标过程中，参与远程交互的各投标人应始终为同一个人，中途不得更换，在否决投标、澄清、质疑等特殊情况下需要交互时，投标人一端参与交互的人员只能是投标人的法定代表人或授权委托人（答辩等类似环节需要其他人员参与的除外），投标人不得以不承认交互人员的资格或身份等为借口推脱，投标人自行承担随意更换人员所导致的一切后果。</w:t>
            </w:r>
          </w:p>
          <w:p w14:paraId="0BB36648">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10.纸质</w:t>
            </w:r>
            <w:r>
              <w:rPr>
                <w:rFonts w:hint="eastAsia" w:ascii="宋体" w:hAnsi="宋体" w:eastAsia="宋体" w:cs="宋体"/>
                <w:sz w:val="21"/>
                <w:szCs w:val="21"/>
                <w:highlight w:val="none"/>
                <w:lang w:val="zh-CN" w:eastAsia="zh-CN"/>
              </w:rPr>
              <w:t>响应文件</w:t>
            </w:r>
            <w:r>
              <w:rPr>
                <w:rFonts w:hint="eastAsia" w:ascii="宋体" w:hAnsi="宋体" w:eastAsia="宋体" w:cs="宋体"/>
                <w:sz w:val="21"/>
                <w:szCs w:val="21"/>
                <w:highlight w:val="none"/>
                <w:lang w:val="zh-CN"/>
              </w:rPr>
              <w:t>的</w:t>
            </w:r>
            <w:r>
              <w:rPr>
                <w:rFonts w:hint="eastAsia" w:ascii="宋体" w:hAnsi="宋体" w:eastAsia="宋体" w:cs="宋体"/>
                <w:sz w:val="21"/>
                <w:szCs w:val="21"/>
                <w:highlight w:val="none"/>
                <w:lang w:val="zh-CN" w:eastAsia="zh-CN"/>
              </w:rPr>
              <w:t>存档</w:t>
            </w: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lang w:val="zh-CN" w:eastAsia="zh-CN"/>
              </w:rPr>
              <w:t>按照</w:t>
            </w:r>
            <w:r>
              <w:rPr>
                <w:rFonts w:hint="eastAsia" w:ascii="宋体" w:hAnsi="宋体" w:eastAsia="宋体" w:cs="宋体"/>
                <w:sz w:val="21"/>
                <w:szCs w:val="21"/>
                <w:highlight w:val="none"/>
                <w:lang w:val="zh-CN"/>
              </w:rPr>
              <w:t>代理机构</w:t>
            </w:r>
            <w:r>
              <w:rPr>
                <w:rFonts w:hint="eastAsia" w:ascii="宋体" w:hAnsi="宋体" w:eastAsia="宋体" w:cs="宋体"/>
                <w:sz w:val="21"/>
                <w:szCs w:val="21"/>
                <w:highlight w:val="none"/>
                <w:lang w:val="zh-CN" w:eastAsia="zh-CN"/>
              </w:rPr>
              <w:t>具体递交要求执行</w:t>
            </w:r>
            <w:r>
              <w:rPr>
                <w:rFonts w:hint="eastAsia" w:ascii="宋体" w:hAnsi="宋体" w:eastAsia="宋体" w:cs="宋体"/>
                <w:sz w:val="21"/>
                <w:szCs w:val="21"/>
                <w:highlight w:val="none"/>
                <w:lang w:val="zh-CN"/>
              </w:rPr>
              <w:t>。</w:t>
            </w:r>
          </w:p>
          <w:p w14:paraId="526CAD44">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二、系统操作注意事项</w:t>
            </w:r>
          </w:p>
          <w:p w14:paraId="07C7052B">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（一）软硬件及网络要求</w:t>
            </w:r>
          </w:p>
          <w:p w14:paraId="5381CCFA">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1.参与不见面开标电脑须安装有清晰可用的摄像头、音响和麦克风设备。</w:t>
            </w:r>
          </w:p>
          <w:p w14:paraId="1CE0B77F">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2.参与不见面开标电脑须安装正确驱动，可在不见面开标系统登录界面的驱动下载页面进行下载及后续安装。</w:t>
            </w:r>
          </w:p>
          <w:p w14:paraId="086874FD">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3.为更好实时查看不见面开标室现场，推荐使用20M 及以上网络宽带。</w:t>
            </w:r>
          </w:p>
          <w:p w14:paraId="4CDA49A3">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rPr>
              <w:t>4.操作系统为 win7 或 win10 系统，IE10 版本及以上，运存≥4G</w:t>
            </w:r>
            <w:r>
              <w:rPr>
                <w:rFonts w:hint="eastAsia" w:ascii="宋体" w:hAnsi="宋体" w:eastAsia="宋体" w:cs="宋体"/>
                <w:sz w:val="21"/>
                <w:szCs w:val="21"/>
                <w:highlight w:val="none"/>
                <w:lang w:val="zh-CN" w:eastAsia="zh-CN"/>
              </w:rPr>
              <w:t>。</w:t>
            </w:r>
          </w:p>
          <w:p w14:paraId="578B0936">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（二）</w:t>
            </w:r>
            <w:r>
              <w:rPr>
                <w:rFonts w:hint="eastAsia" w:ascii="宋体" w:hAnsi="宋体" w:eastAsia="宋体" w:cs="宋体"/>
                <w:sz w:val="21"/>
                <w:szCs w:val="21"/>
                <w:highlight w:val="none"/>
                <w:lang w:val="zh-CN" w:eastAsia="zh-CN"/>
              </w:rPr>
              <w:t>响应文件</w:t>
            </w:r>
            <w:r>
              <w:rPr>
                <w:rFonts w:hint="eastAsia" w:ascii="宋体" w:hAnsi="宋体" w:eastAsia="宋体" w:cs="宋体"/>
                <w:sz w:val="21"/>
                <w:szCs w:val="21"/>
                <w:highlight w:val="none"/>
                <w:lang w:val="zh-CN"/>
              </w:rPr>
              <w:t>制作及上传说明</w:t>
            </w:r>
          </w:p>
          <w:p w14:paraId="1CC73589">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1.供应商在政府采购云平台网注册入库成为正式供应商后，在平台上按《政府采购项目电子交易管理操作指南-供应商》进行投标操作。投标人须办理数字证书方可参加投标。</w:t>
            </w:r>
          </w:p>
          <w:p w14:paraId="444CAAF1">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2.收到 CA 锁以后在“政采云”登陆界面，点击CA 登录-CA驱动下载-下载并安装政采云投标客户端和CA 驱动，账号绑定CA后才能进行</w:t>
            </w:r>
            <w:r>
              <w:rPr>
                <w:rFonts w:hint="eastAsia" w:ascii="宋体" w:hAnsi="宋体" w:eastAsia="宋体" w:cs="宋体"/>
                <w:sz w:val="21"/>
                <w:szCs w:val="21"/>
                <w:highlight w:val="none"/>
                <w:lang w:val="zh-CN" w:eastAsia="zh-CN"/>
              </w:rPr>
              <w:t>响应文件</w:t>
            </w:r>
            <w:r>
              <w:rPr>
                <w:rFonts w:hint="eastAsia" w:ascii="宋体" w:hAnsi="宋体" w:eastAsia="宋体" w:cs="宋体"/>
                <w:sz w:val="21"/>
                <w:szCs w:val="21"/>
                <w:highlight w:val="none"/>
                <w:lang w:val="zh-CN"/>
              </w:rPr>
              <w:t>制作。</w:t>
            </w:r>
          </w:p>
          <w:p w14:paraId="0E9ED1B9">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3.若对项目采购电子交易系统操作有疑问，可登录“政采云”平台，点击右侧咨询小采，获取采小蜜智能服务管家帮助，或拨打政采云服务热线 95763 获取帮助。</w:t>
            </w:r>
          </w:p>
          <w:p w14:paraId="38423BA9">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4.根据</w:t>
            </w:r>
            <w:r>
              <w:rPr>
                <w:rFonts w:hint="eastAsia" w:ascii="宋体" w:hAnsi="宋体" w:eastAsia="宋体" w:cs="宋体"/>
                <w:sz w:val="21"/>
                <w:szCs w:val="21"/>
                <w:highlight w:val="none"/>
                <w:lang w:val="zh-CN" w:eastAsia="zh-CN"/>
              </w:rPr>
              <w:t>相关</w:t>
            </w:r>
            <w:r>
              <w:rPr>
                <w:rFonts w:hint="eastAsia" w:ascii="宋体" w:hAnsi="宋体" w:eastAsia="宋体" w:cs="宋体"/>
                <w:sz w:val="21"/>
                <w:szCs w:val="21"/>
                <w:highlight w:val="none"/>
                <w:lang w:val="zh-CN"/>
              </w:rPr>
              <w:t>要求使用对应版本的</w:t>
            </w:r>
            <w:r>
              <w:rPr>
                <w:rFonts w:hint="eastAsia" w:ascii="宋体" w:hAnsi="宋体" w:eastAsia="宋体" w:cs="宋体"/>
                <w:sz w:val="21"/>
                <w:szCs w:val="21"/>
                <w:highlight w:val="none"/>
                <w:lang w:val="zh-CN" w:eastAsia="zh-CN"/>
              </w:rPr>
              <w:t>响应文件</w:t>
            </w:r>
            <w:r>
              <w:rPr>
                <w:rFonts w:hint="eastAsia" w:ascii="宋体" w:hAnsi="宋体" w:eastAsia="宋体" w:cs="宋体"/>
                <w:sz w:val="21"/>
                <w:szCs w:val="21"/>
                <w:highlight w:val="none"/>
                <w:lang w:val="zh-CN"/>
              </w:rPr>
              <w:t>制作工具。</w:t>
            </w:r>
          </w:p>
          <w:p w14:paraId="1D5773A0">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（三）开标过程注意事项</w:t>
            </w:r>
          </w:p>
          <w:p w14:paraId="720A0CEC">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1.开标当天，投标人务必于开标前提前登录系统，进入所投标项目，在项目签到界面进行线上签到。</w:t>
            </w:r>
          </w:p>
          <w:p w14:paraId="67B23FFB">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2.开标过程中请重点关注不见面开标系统互动区消息，及时查阅，并根据消息提醒及时进行</w:t>
            </w:r>
            <w:r>
              <w:rPr>
                <w:rFonts w:hint="eastAsia" w:ascii="宋体" w:hAnsi="宋体" w:eastAsia="宋体" w:cs="宋体"/>
                <w:sz w:val="21"/>
                <w:szCs w:val="21"/>
                <w:highlight w:val="none"/>
                <w:lang w:val="zh-CN" w:eastAsia="zh-CN"/>
              </w:rPr>
              <w:t>响应文件</w:t>
            </w:r>
            <w:r>
              <w:rPr>
                <w:rFonts w:hint="eastAsia" w:ascii="宋体" w:hAnsi="宋体" w:eastAsia="宋体" w:cs="宋体"/>
                <w:sz w:val="21"/>
                <w:szCs w:val="21"/>
                <w:highlight w:val="none"/>
                <w:lang w:val="zh-CN"/>
              </w:rPr>
              <w:t>在线解密等操作。</w:t>
            </w:r>
          </w:p>
          <w:p w14:paraId="0577E5F3">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3.项目进入</w:t>
            </w:r>
            <w:r>
              <w:rPr>
                <w:rFonts w:hint="eastAsia" w:ascii="宋体" w:hAnsi="宋体" w:eastAsia="宋体" w:cs="宋体"/>
                <w:sz w:val="21"/>
                <w:szCs w:val="21"/>
                <w:highlight w:val="none"/>
                <w:lang w:val="zh-CN" w:eastAsia="zh-CN"/>
              </w:rPr>
              <w:t>响应文件</w:t>
            </w:r>
            <w:r>
              <w:rPr>
                <w:rFonts w:hint="eastAsia" w:ascii="宋体" w:hAnsi="宋体" w:eastAsia="宋体" w:cs="宋体"/>
                <w:sz w:val="21"/>
                <w:szCs w:val="21"/>
                <w:highlight w:val="none"/>
                <w:lang w:val="zh-CN"/>
              </w:rPr>
              <w:t>在线解密阶段后，须在</w:t>
            </w:r>
            <w:r>
              <w:rPr>
                <w:rFonts w:hint="eastAsia" w:ascii="宋体" w:hAnsi="宋体" w:eastAsia="宋体" w:cs="宋体"/>
                <w:sz w:val="21"/>
                <w:szCs w:val="21"/>
                <w:highlight w:val="none"/>
                <w:lang w:val="zh-CN" w:eastAsia="zh-CN"/>
              </w:rPr>
              <w:t>磋商文件</w:t>
            </w:r>
            <w:r>
              <w:rPr>
                <w:rFonts w:hint="eastAsia" w:ascii="宋体" w:hAnsi="宋体" w:eastAsia="宋体" w:cs="宋体"/>
                <w:sz w:val="21"/>
                <w:szCs w:val="21"/>
                <w:highlight w:val="none"/>
                <w:lang w:val="zh-CN"/>
              </w:rPr>
              <w:t>规定解密时间内使用相应的</w:t>
            </w:r>
            <w:r>
              <w:rPr>
                <w:rFonts w:hint="eastAsia" w:ascii="宋体" w:hAnsi="宋体" w:eastAsia="宋体" w:cs="宋体"/>
                <w:sz w:val="21"/>
                <w:szCs w:val="21"/>
                <w:highlight w:val="none"/>
                <w:lang w:val="zh-CN" w:eastAsia="zh-CN"/>
              </w:rPr>
              <w:t>响应文件</w:t>
            </w:r>
            <w:r>
              <w:rPr>
                <w:rFonts w:hint="eastAsia" w:ascii="宋体" w:hAnsi="宋体" w:eastAsia="宋体" w:cs="宋体"/>
                <w:sz w:val="21"/>
                <w:szCs w:val="21"/>
                <w:highlight w:val="none"/>
                <w:lang w:val="zh-CN"/>
              </w:rPr>
              <w:t xml:space="preserve"> CA 证书进行在线解密，否则将无法解密。</w:t>
            </w:r>
          </w:p>
          <w:p w14:paraId="226D036B">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四、技术支持</w:t>
            </w:r>
          </w:p>
          <w:p w14:paraId="739795AC">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1.若遇问题可联系工作人员，通过以下方式：可登录“政采云”平台，点击右侧咨询小采，获取采小蜜智能服务管家帮助，或拨打政采云服务热线95763 获取帮助。</w:t>
            </w:r>
          </w:p>
          <w:p w14:paraId="237EE249">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2.为更直观了解、掌握本系统使用方法，建议在具体项目开标前先行浏览本系统相关操作手册，可在本系统登录界面的操作手册页面进行下载、查看。</w:t>
            </w:r>
          </w:p>
          <w:p w14:paraId="0BA4E837">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rPr>
              <w:t>3.关于后续相关常见问题及注意事项，请及时关注政府采购云平台（网址：http:// www.zcygov.cn）。</w:t>
            </w:r>
          </w:p>
        </w:tc>
      </w:tr>
      <w:tr w14:paraId="09329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5" w:type="dxa"/>
            <w:tcBorders>
              <w:top w:val="single" w:color="auto" w:sz="4" w:space="0"/>
            </w:tcBorders>
            <w:vAlign w:val="center"/>
          </w:tcPr>
          <w:p w14:paraId="13459F9B">
            <w:pPr>
              <w:spacing w:line="400" w:lineRule="exact"/>
              <w:jc w:val="center"/>
              <w:rPr>
                <w:rFonts w:hint="default" w:ascii="宋体" w:hAnsi="宋体"/>
                <w:color w:val="auto"/>
                <w:szCs w:val="21"/>
                <w:highlight w:val="none"/>
                <w:lang w:val="en-US"/>
              </w:rPr>
            </w:pPr>
            <w:r>
              <w:rPr>
                <w:rFonts w:hint="eastAsia"/>
                <w:color w:val="auto"/>
                <w:highlight w:val="none"/>
              </w:rPr>
              <w:t>10.</w:t>
            </w:r>
            <w:r>
              <w:rPr>
                <w:rFonts w:hint="eastAsia"/>
                <w:color w:val="auto"/>
                <w:highlight w:val="none"/>
                <w:lang w:val="en-US" w:eastAsia="zh-CN"/>
              </w:rPr>
              <w:t>7</w:t>
            </w:r>
          </w:p>
        </w:tc>
        <w:tc>
          <w:tcPr>
            <w:tcW w:w="2095" w:type="dxa"/>
            <w:tcBorders>
              <w:top w:val="single" w:color="auto" w:sz="4" w:space="0"/>
            </w:tcBorders>
            <w:vAlign w:val="center"/>
          </w:tcPr>
          <w:p w14:paraId="75AE161C">
            <w:pPr>
              <w:spacing w:line="400" w:lineRule="exact"/>
              <w:jc w:val="center"/>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解释权</w:t>
            </w:r>
          </w:p>
        </w:tc>
        <w:tc>
          <w:tcPr>
            <w:tcW w:w="6675" w:type="dxa"/>
            <w:tcBorders>
              <w:top w:val="single" w:color="auto" w:sz="4" w:space="0"/>
            </w:tcBorders>
            <w:vAlign w:val="center"/>
          </w:tcPr>
          <w:p w14:paraId="49077698">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构成本磋商文件的各个组成文件应互为解释，互为说明；如有不明确或不一致，构成合同文件组成内容的，以合同文件约定内容为准，且以专用合同条款约定的合同文件优先顺序解释；除磋商文件中有特别规定外，仅适用于招标投标阶段的规定，按磋商公告（投标邀请书）、申请人须知、评审办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14:paraId="41938451">
      <w:pPr>
        <w:pStyle w:val="5"/>
        <w:rPr>
          <w:rFonts w:ascii="宋体" w:hAnsi="宋体"/>
          <w:color w:val="auto"/>
          <w:highlight w:val="none"/>
        </w:rPr>
      </w:pPr>
      <w:r>
        <w:rPr>
          <w:rFonts w:ascii="黑体"/>
          <w:color w:val="auto"/>
          <w:sz w:val="28"/>
          <w:szCs w:val="28"/>
          <w:highlight w:val="none"/>
        </w:rPr>
        <w:br w:type="page"/>
      </w:r>
      <w:bookmarkEnd w:id="2"/>
      <w:bookmarkEnd w:id="3"/>
      <w:r>
        <w:rPr>
          <w:rFonts w:hint="eastAsia" w:ascii="宋体" w:hAnsi="宋体"/>
          <w:color w:val="auto"/>
          <w:highlight w:val="none"/>
        </w:rPr>
        <w:t>1 ．总则</w:t>
      </w:r>
      <w:bookmarkEnd w:id="4"/>
    </w:p>
    <w:p w14:paraId="3123A570">
      <w:pPr>
        <w:pStyle w:val="6"/>
        <w:rPr>
          <w:rFonts w:ascii="宋体" w:hAnsi="宋体" w:eastAsia="宋体"/>
          <w:color w:val="auto"/>
          <w:highlight w:val="none"/>
        </w:rPr>
      </w:pPr>
      <w:r>
        <w:rPr>
          <w:rFonts w:hint="eastAsia" w:ascii="宋体" w:hAnsi="宋体" w:eastAsia="宋体"/>
          <w:color w:val="auto"/>
          <w:highlight w:val="none"/>
        </w:rPr>
        <w:t>1.1 项目概况</w:t>
      </w:r>
    </w:p>
    <w:p w14:paraId="7428EF2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1.1.1 </w:t>
      </w:r>
      <w:r>
        <w:rPr>
          <w:rFonts w:hint="eastAsia" w:ascii="宋体" w:hAnsi="宋体"/>
          <w:color w:val="auto"/>
          <w:szCs w:val="21"/>
          <w:highlight w:val="none"/>
          <w:lang w:eastAsia="zh-CN"/>
        </w:rPr>
        <w:t>根据</w:t>
      </w:r>
      <w:r>
        <w:rPr>
          <w:rFonts w:hint="eastAsia" w:ascii="宋体" w:hAnsi="宋体"/>
          <w:color w:val="auto"/>
          <w:szCs w:val="21"/>
          <w:highlight w:val="none"/>
          <w:lang w:val="zh-CN" w:eastAsia="zh-CN"/>
        </w:rPr>
        <w:t>《中华人民共和国政府采购法》、《中华人民共和国政府采购法实施条例》、《政府采购竞争性磋商采购方式管理暂行办法》</w:t>
      </w:r>
      <w:r>
        <w:rPr>
          <w:rFonts w:hint="eastAsia" w:ascii="宋体" w:hAnsi="宋体"/>
          <w:color w:val="auto"/>
          <w:szCs w:val="21"/>
          <w:highlight w:val="none"/>
          <w:lang w:eastAsia="zh-CN"/>
        </w:rPr>
        <w:t>等有关法律、法规和规章的规定，本采购项目已具备磋商条件</w:t>
      </w:r>
      <w:r>
        <w:rPr>
          <w:rFonts w:hint="eastAsia" w:ascii="宋体" w:hAnsi="宋体"/>
          <w:color w:val="auto"/>
          <w:szCs w:val="21"/>
          <w:highlight w:val="none"/>
        </w:rPr>
        <w:t>，现对本项目进行竞争性磋商。</w:t>
      </w:r>
    </w:p>
    <w:p w14:paraId="2BE50D5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1.1.2 本采购项目采购人：见申请人须知前附表。</w:t>
      </w:r>
    </w:p>
    <w:p w14:paraId="01279D8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1.1.3 本标段采购代理机构：见申请人须知前附表。</w:t>
      </w:r>
    </w:p>
    <w:p w14:paraId="5D71796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1.1.4 本采购项目名称：见申请人须知前附表。</w:t>
      </w:r>
    </w:p>
    <w:p w14:paraId="3B5BD18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1.1.5 本标段</w:t>
      </w:r>
      <w:r>
        <w:rPr>
          <w:rFonts w:hint="eastAsia" w:ascii="宋体" w:hAnsi="宋体"/>
          <w:color w:val="auto"/>
          <w:szCs w:val="21"/>
          <w:highlight w:val="none"/>
          <w:lang w:val="en-US" w:eastAsia="zh-CN"/>
        </w:rPr>
        <w:t>供货</w:t>
      </w:r>
      <w:r>
        <w:rPr>
          <w:rFonts w:hint="eastAsia" w:ascii="宋体" w:hAnsi="宋体"/>
          <w:color w:val="auto"/>
          <w:szCs w:val="21"/>
          <w:highlight w:val="none"/>
        </w:rPr>
        <w:t>地点：见申请人须知前附表。</w:t>
      </w:r>
    </w:p>
    <w:p w14:paraId="6380AD6C">
      <w:pPr>
        <w:pStyle w:val="6"/>
        <w:rPr>
          <w:rFonts w:ascii="宋体" w:hAnsi="宋体" w:eastAsia="宋体"/>
          <w:color w:val="auto"/>
          <w:highlight w:val="none"/>
        </w:rPr>
      </w:pPr>
      <w:r>
        <w:rPr>
          <w:rFonts w:hint="eastAsia" w:ascii="宋体" w:hAnsi="宋体" w:eastAsia="宋体"/>
          <w:color w:val="auto"/>
          <w:highlight w:val="none"/>
        </w:rPr>
        <w:t>1.2 资金来源和落实情况</w:t>
      </w:r>
    </w:p>
    <w:p w14:paraId="39C8EE6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1.2.1 本采购项目的资金来源：见申请人须知前附表。</w:t>
      </w:r>
    </w:p>
    <w:p w14:paraId="040817A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1.2.2 本采购项目的出资比例：见申请人须知前附表。</w:t>
      </w:r>
    </w:p>
    <w:p w14:paraId="1820266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1.2.3 本采购项目的资金落实情况：见申请人须知前附表。</w:t>
      </w:r>
    </w:p>
    <w:p w14:paraId="0155CC80">
      <w:pPr>
        <w:pStyle w:val="6"/>
        <w:rPr>
          <w:rFonts w:ascii="宋体" w:hAnsi="宋体" w:eastAsia="宋体"/>
          <w:color w:val="auto"/>
          <w:highlight w:val="none"/>
        </w:rPr>
      </w:pPr>
      <w:r>
        <w:rPr>
          <w:rFonts w:hint="eastAsia" w:ascii="宋体" w:hAnsi="宋体" w:eastAsia="宋体"/>
          <w:color w:val="auto"/>
          <w:highlight w:val="none"/>
        </w:rPr>
        <w:t xml:space="preserve">1.3 </w:t>
      </w:r>
      <w:r>
        <w:rPr>
          <w:rFonts w:hint="eastAsia" w:ascii="宋体" w:hAnsi="宋体" w:eastAsia="宋体"/>
          <w:color w:val="auto"/>
          <w:highlight w:val="none"/>
          <w:lang w:val="en-US" w:eastAsia="zh-CN"/>
        </w:rPr>
        <w:t>采购</w:t>
      </w:r>
      <w:r>
        <w:rPr>
          <w:rFonts w:hint="eastAsia" w:ascii="宋体" w:hAnsi="宋体" w:eastAsia="宋体"/>
          <w:color w:val="auto"/>
          <w:highlight w:val="none"/>
        </w:rPr>
        <w:t>范围、</w:t>
      </w:r>
      <w:r>
        <w:rPr>
          <w:rFonts w:hint="eastAsia" w:ascii="宋体" w:hAnsi="宋体" w:eastAsia="宋体"/>
          <w:color w:val="auto"/>
          <w:highlight w:val="none"/>
          <w:lang w:val="en-US" w:eastAsia="zh-CN"/>
        </w:rPr>
        <w:t>供货期限</w:t>
      </w:r>
      <w:r>
        <w:rPr>
          <w:rFonts w:hint="eastAsia" w:ascii="宋体" w:hAnsi="宋体" w:eastAsia="宋体"/>
          <w:color w:val="auto"/>
          <w:highlight w:val="none"/>
        </w:rPr>
        <w:t>和质量标准</w:t>
      </w:r>
    </w:p>
    <w:p w14:paraId="4ABB953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1.3.1 本次</w:t>
      </w:r>
      <w:r>
        <w:rPr>
          <w:rFonts w:hint="eastAsia" w:ascii="宋体" w:hAnsi="宋体"/>
          <w:color w:val="auto"/>
          <w:szCs w:val="21"/>
          <w:highlight w:val="none"/>
          <w:lang w:val="en-US" w:eastAsia="zh-CN"/>
        </w:rPr>
        <w:t>采购内容</w:t>
      </w:r>
      <w:r>
        <w:rPr>
          <w:rFonts w:hint="eastAsia" w:ascii="宋体" w:hAnsi="宋体"/>
          <w:color w:val="auto"/>
          <w:szCs w:val="21"/>
          <w:highlight w:val="none"/>
        </w:rPr>
        <w:t>：见申请人须知前附表。</w:t>
      </w:r>
    </w:p>
    <w:p w14:paraId="493A9C2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1.3.2 本标段</w:t>
      </w:r>
      <w:r>
        <w:rPr>
          <w:rFonts w:hint="eastAsia" w:ascii="宋体" w:hAnsi="宋体"/>
          <w:color w:val="auto"/>
          <w:szCs w:val="21"/>
          <w:highlight w:val="none"/>
          <w:lang w:val="en-US" w:eastAsia="zh-CN"/>
        </w:rPr>
        <w:t>供货期限</w:t>
      </w:r>
      <w:r>
        <w:rPr>
          <w:rFonts w:hint="eastAsia" w:ascii="宋体" w:hAnsi="宋体"/>
          <w:color w:val="auto"/>
          <w:szCs w:val="21"/>
          <w:highlight w:val="none"/>
        </w:rPr>
        <w:t>：见申请人须知前附表。</w:t>
      </w:r>
    </w:p>
    <w:p w14:paraId="1BDD6C5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1.3.3 本标段的质量标准：见申请人须知前附表。</w:t>
      </w:r>
    </w:p>
    <w:p w14:paraId="62B53F9F">
      <w:pPr>
        <w:pStyle w:val="6"/>
        <w:rPr>
          <w:rFonts w:ascii="宋体" w:hAnsi="宋体" w:eastAsia="宋体"/>
          <w:color w:val="auto"/>
          <w:highlight w:val="none"/>
        </w:rPr>
      </w:pPr>
      <w:r>
        <w:rPr>
          <w:rFonts w:hint="eastAsia" w:ascii="宋体" w:hAnsi="宋体" w:eastAsia="宋体"/>
          <w:color w:val="auto"/>
          <w:highlight w:val="none"/>
        </w:rPr>
        <w:t>1.4 申请人资格要求</w:t>
      </w:r>
    </w:p>
    <w:p w14:paraId="41DD9D2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1.4.1 申请人应具备承担本标段的资质条件、能力和信誉。</w:t>
      </w:r>
    </w:p>
    <w:p w14:paraId="15F6584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见申请人须知前附表。</w:t>
      </w:r>
    </w:p>
    <w:p w14:paraId="6355222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1.4.2 申请人须知前附表规定接受联合体投标的，除应符合本章第1.4.1项和申请人须知前附表的要求外，还应遵守以下规定：</w:t>
      </w:r>
    </w:p>
    <w:p w14:paraId="3BAA77A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(1）联合体各方应按磋商文件提供的格式签订联合体协议书，明确联合体牵头人和各方权利义务；</w:t>
      </w:r>
    </w:p>
    <w:p w14:paraId="36BAE4B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(2）由同一专业的单位组成的联合体，按照资质等级较低的单位确定资质等级；</w:t>
      </w:r>
    </w:p>
    <w:p w14:paraId="2A006E5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(3）联合体各方不得再以自己名义单独或参加其他联合体在同一标段中投标。</w:t>
      </w:r>
    </w:p>
    <w:p w14:paraId="3A1419E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1.4.3 申请人不得存在下列情形之一：</w:t>
      </w:r>
    </w:p>
    <w:p w14:paraId="4C0A8C0D">
      <w:pPr>
        <w:spacing w:line="360" w:lineRule="auto"/>
        <w:ind w:right="105" w:rightChars="50" w:firstLine="420" w:firstLineChars="200"/>
        <w:rPr>
          <w:rFonts w:ascii="宋体" w:hAnsi="宋体" w:cs="宋体"/>
          <w:szCs w:val="21"/>
        </w:rPr>
      </w:pPr>
      <w:r>
        <w:rPr>
          <w:rFonts w:ascii="宋体" w:hAnsi="宋体" w:cs="宋体"/>
          <w:szCs w:val="21"/>
        </w:rPr>
        <w:t>(1)为</w:t>
      </w:r>
      <w:r>
        <w:rPr>
          <w:rFonts w:hint="eastAsia" w:ascii="宋体" w:hAnsi="宋体" w:cs="宋体"/>
          <w:szCs w:val="21"/>
        </w:rPr>
        <w:t>采购人</w:t>
      </w:r>
      <w:r>
        <w:rPr>
          <w:rFonts w:ascii="宋体" w:hAnsi="宋体" w:cs="宋体"/>
          <w:szCs w:val="21"/>
        </w:rPr>
        <w:t>不具有独立法人资格的附属机构(单位)；</w:t>
      </w:r>
    </w:p>
    <w:p w14:paraId="0E4277BA">
      <w:pPr>
        <w:spacing w:line="360" w:lineRule="auto"/>
        <w:ind w:right="105" w:rightChars="50" w:firstLine="420" w:firstLineChars="200"/>
        <w:rPr>
          <w:rFonts w:hint="eastAsia" w:ascii="宋体" w:hAnsi="宋体" w:cs="宋体"/>
          <w:szCs w:val="21"/>
        </w:rPr>
      </w:pPr>
      <w:r>
        <w:rPr>
          <w:rFonts w:hint="eastAsia" w:ascii="宋体" w:hAnsi="宋体" w:cs="宋体"/>
          <w:szCs w:val="21"/>
        </w:rPr>
        <w:t xml:space="preserve"> </w:t>
      </w:r>
      <w:r>
        <w:rPr>
          <w:rFonts w:ascii="宋体" w:hAnsi="宋体" w:cs="宋体"/>
          <w:szCs w:val="21"/>
        </w:rPr>
        <w:t>(2)被责令停业的；</w:t>
      </w:r>
    </w:p>
    <w:p w14:paraId="222EFA01">
      <w:pPr>
        <w:spacing w:line="360" w:lineRule="auto"/>
        <w:ind w:right="105" w:rightChars="50" w:firstLine="420" w:firstLineChars="200"/>
        <w:rPr>
          <w:rFonts w:ascii="宋体" w:hAnsi="宋体" w:cs="宋体"/>
          <w:szCs w:val="21"/>
        </w:rPr>
      </w:pPr>
      <w:r>
        <w:rPr>
          <w:rFonts w:ascii="宋体" w:hAnsi="宋体" w:cs="宋体"/>
          <w:szCs w:val="21"/>
        </w:rPr>
        <w:t xml:space="preserve"> (3)被暂停或取消</w:t>
      </w:r>
      <w:r>
        <w:rPr>
          <w:rFonts w:hint="eastAsia" w:ascii="宋体" w:hAnsi="宋体" w:cs="宋体"/>
          <w:szCs w:val="21"/>
        </w:rPr>
        <w:t>磋商</w:t>
      </w:r>
      <w:r>
        <w:rPr>
          <w:rFonts w:ascii="宋体" w:hAnsi="宋体" w:cs="宋体"/>
          <w:szCs w:val="21"/>
        </w:rPr>
        <w:t>资格的；</w:t>
      </w:r>
    </w:p>
    <w:p w14:paraId="4741D0A4">
      <w:pPr>
        <w:spacing w:line="360" w:lineRule="auto"/>
        <w:ind w:right="105" w:rightChars="50" w:firstLine="420" w:firstLineChars="200"/>
        <w:rPr>
          <w:rFonts w:ascii="宋体" w:hAnsi="宋体" w:cs="宋体"/>
          <w:szCs w:val="21"/>
        </w:rPr>
      </w:pPr>
      <w:r>
        <w:rPr>
          <w:rFonts w:ascii="宋体" w:hAnsi="宋体" w:cs="宋体"/>
          <w:szCs w:val="21"/>
        </w:rPr>
        <w:t xml:space="preserve"> (4)财产被接管或冻结的；</w:t>
      </w:r>
    </w:p>
    <w:p w14:paraId="6EC2B60F">
      <w:pPr>
        <w:spacing w:line="360" w:lineRule="auto"/>
        <w:ind w:right="105" w:rightChars="50" w:firstLine="420" w:firstLineChars="200"/>
        <w:rPr>
          <w:rFonts w:ascii="宋体" w:hAnsi="宋体"/>
          <w:color w:val="auto"/>
          <w:szCs w:val="21"/>
          <w:highlight w:val="none"/>
        </w:rPr>
      </w:pPr>
      <w:r>
        <w:rPr>
          <w:rFonts w:hint="eastAsia" w:ascii="宋体" w:hAnsi="宋体" w:cs="宋体"/>
          <w:szCs w:val="21"/>
        </w:rPr>
        <w:t xml:space="preserve"> </w:t>
      </w:r>
      <w:r>
        <w:rPr>
          <w:rFonts w:ascii="宋体" w:hAnsi="宋体" w:cs="宋体"/>
          <w:szCs w:val="21"/>
        </w:rPr>
        <w:t>(5)在最近三年内有骗取</w:t>
      </w:r>
      <w:r>
        <w:rPr>
          <w:rFonts w:hint="eastAsia" w:ascii="宋体" w:hAnsi="宋体" w:cs="宋体"/>
          <w:szCs w:val="21"/>
        </w:rPr>
        <w:t>成交</w:t>
      </w:r>
      <w:r>
        <w:rPr>
          <w:rFonts w:ascii="宋体" w:hAnsi="宋体" w:cs="宋体"/>
          <w:szCs w:val="21"/>
        </w:rPr>
        <w:t>或严重违约或重大质量问题的。</w:t>
      </w:r>
    </w:p>
    <w:p w14:paraId="1EE7EBC0">
      <w:pPr>
        <w:pStyle w:val="6"/>
        <w:rPr>
          <w:rFonts w:ascii="宋体" w:hAnsi="宋体" w:eastAsia="宋体"/>
          <w:color w:val="auto"/>
          <w:highlight w:val="none"/>
        </w:rPr>
      </w:pPr>
      <w:r>
        <w:rPr>
          <w:rFonts w:hint="eastAsia" w:ascii="宋体" w:hAnsi="宋体" w:eastAsia="宋体"/>
          <w:color w:val="auto"/>
          <w:highlight w:val="none"/>
        </w:rPr>
        <w:t>1.5 费用承担</w:t>
      </w:r>
    </w:p>
    <w:p w14:paraId="1A43E6E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申请人准备和参加磋商活动发生的费用自理。</w:t>
      </w:r>
    </w:p>
    <w:p w14:paraId="1CCA5A08">
      <w:pPr>
        <w:pStyle w:val="6"/>
        <w:rPr>
          <w:rFonts w:ascii="宋体" w:hAnsi="宋体" w:eastAsia="宋体"/>
          <w:color w:val="auto"/>
          <w:highlight w:val="none"/>
        </w:rPr>
      </w:pPr>
      <w:r>
        <w:rPr>
          <w:rFonts w:hint="eastAsia" w:ascii="宋体" w:hAnsi="宋体" w:eastAsia="宋体"/>
          <w:color w:val="auto"/>
          <w:highlight w:val="none"/>
        </w:rPr>
        <w:t>1.6 保密</w:t>
      </w:r>
    </w:p>
    <w:p w14:paraId="62D6B51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参与磋商活动的各方应对磋商文件和响应文件中的商业和技术等秘密保密，违者应对由此造成的后果承担法律责任。</w:t>
      </w:r>
    </w:p>
    <w:p w14:paraId="40F94B5F">
      <w:pPr>
        <w:pStyle w:val="6"/>
        <w:rPr>
          <w:rFonts w:ascii="宋体" w:hAnsi="宋体" w:eastAsia="宋体"/>
          <w:color w:val="auto"/>
          <w:highlight w:val="none"/>
        </w:rPr>
      </w:pPr>
      <w:r>
        <w:rPr>
          <w:rFonts w:hint="eastAsia" w:ascii="宋体" w:hAnsi="宋体" w:eastAsia="宋体"/>
          <w:color w:val="auto"/>
          <w:highlight w:val="none"/>
        </w:rPr>
        <w:t>1.7 语言文字</w:t>
      </w:r>
    </w:p>
    <w:p w14:paraId="5F9014A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除专用术语外，与磋商活动有关的语言均使用中文。必要时专用术语应附有中文注释。</w:t>
      </w:r>
    </w:p>
    <w:p w14:paraId="3613D270">
      <w:pPr>
        <w:pStyle w:val="6"/>
        <w:rPr>
          <w:rFonts w:ascii="宋体" w:hAnsi="宋体" w:eastAsia="宋体"/>
          <w:color w:val="auto"/>
          <w:highlight w:val="none"/>
        </w:rPr>
      </w:pPr>
      <w:r>
        <w:rPr>
          <w:rFonts w:hint="eastAsia" w:ascii="宋体" w:hAnsi="宋体" w:eastAsia="宋体"/>
          <w:color w:val="auto"/>
          <w:highlight w:val="none"/>
        </w:rPr>
        <w:t>1.8 计量单位</w:t>
      </w:r>
    </w:p>
    <w:p w14:paraId="7DAE3D5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所有计量均采用中华人民共和国法定计量单位。</w:t>
      </w:r>
    </w:p>
    <w:p w14:paraId="6E91D995">
      <w:pPr>
        <w:pStyle w:val="6"/>
        <w:rPr>
          <w:rFonts w:ascii="宋体" w:hAnsi="宋体" w:eastAsia="宋体"/>
          <w:color w:val="auto"/>
          <w:highlight w:val="none"/>
        </w:rPr>
      </w:pPr>
      <w:r>
        <w:rPr>
          <w:rFonts w:hint="eastAsia" w:ascii="宋体" w:hAnsi="宋体" w:eastAsia="宋体"/>
          <w:color w:val="auto"/>
          <w:highlight w:val="none"/>
        </w:rPr>
        <w:t>1.9 踏勘现场</w:t>
      </w:r>
    </w:p>
    <w:p w14:paraId="4872FFD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1.9.1 申请人须知前附表规定组织踏勘现场的，采购人按申请人须知前附表规定的时间、地点组织申请人踏勘项目现场。</w:t>
      </w:r>
    </w:p>
    <w:p w14:paraId="22D7D82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1.9.2 申请人踏勘现场发生的费用自理。</w:t>
      </w:r>
    </w:p>
    <w:p w14:paraId="4BB3251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1.9 .3 除采购人的原因外，申请人自行负责在踏勘现场中所发生的人员伤亡和财产损失。</w:t>
      </w:r>
    </w:p>
    <w:p w14:paraId="08029E8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1.9.4 采购人在踏勘现场中介绍的工程场地和相关的周边环境情况，供申请人在编制响应文件时参考，采购人不对申请人据此作出的判断和决策负责。</w:t>
      </w:r>
    </w:p>
    <w:p w14:paraId="4EC0C72E">
      <w:pPr>
        <w:pStyle w:val="6"/>
        <w:rPr>
          <w:rFonts w:ascii="宋体" w:hAnsi="宋体" w:eastAsia="宋体"/>
          <w:color w:val="auto"/>
          <w:highlight w:val="none"/>
        </w:rPr>
      </w:pPr>
      <w:r>
        <w:rPr>
          <w:rFonts w:hint="eastAsia" w:ascii="宋体" w:hAnsi="宋体" w:eastAsia="宋体"/>
          <w:color w:val="auto"/>
          <w:highlight w:val="none"/>
        </w:rPr>
        <w:t>1.10 磋商预备会</w:t>
      </w:r>
    </w:p>
    <w:p w14:paraId="0B0E583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1.10.1 申请人须知前附表规定召开磋商预备会的，采购人按申请人须知前附表规定的时间和地点召开磋商预备会，澄清申请人提出的问题。</w:t>
      </w:r>
    </w:p>
    <w:p w14:paraId="71B38C6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1.10.2 申请人应在申请人须知前附表规定的时间前，以书面形式将提出的问题送达采购人，以便采购人在会议期间澄清。</w:t>
      </w:r>
    </w:p>
    <w:p w14:paraId="53E7935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1.10.3 磋商预备会后，采购人在申请人须知前附表规定的时间内，将对申请人所提问题的澄清，以书面方式通知所有购买磋商文件的申请人。该澄清内容为磋商文件的组成部分。</w:t>
      </w:r>
    </w:p>
    <w:p w14:paraId="5A2E335A">
      <w:pPr>
        <w:pStyle w:val="6"/>
        <w:rPr>
          <w:rFonts w:ascii="宋体" w:hAnsi="宋体" w:eastAsia="宋体"/>
          <w:color w:val="auto"/>
          <w:highlight w:val="none"/>
        </w:rPr>
      </w:pPr>
      <w:r>
        <w:rPr>
          <w:rFonts w:hint="eastAsia" w:ascii="宋体" w:hAnsi="宋体" w:eastAsia="宋体"/>
          <w:color w:val="auto"/>
          <w:highlight w:val="none"/>
        </w:rPr>
        <w:t>1.11 分包</w:t>
      </w:r>
    </w:p>
    <w:p w14:paraId="1BF5361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申请人拟在成交后将中标项目的部分非主体、非关键性工作进行分包的，应符合申请人须知前附表规定的分包内容、分包金额和接受分包的第三人资质要求等限制性条件。</w:t>
      </w:r>
    </w:p>
    <w:p w14:paraId="45974217">
      <w:pPr>
        <w:pStyle w:val="6"/>
        <w:rPr>
          <w:rFonts w:ascii="宋体" w:hAnsi="宋体" w:eastAsia="宋体"/>
          <w:color w:val="auto"/>
          <w:highlight w:val="none"/>
        </w:rPr>
      </w:pPr>
      <w:r>
        <w:rPr>
          <w:rFonts w:hint="eastAsia" w:ascii="宋体" w:hAnsi="宋体" w:eastAsia="宋体"/>
          <w:color w:val="auto"/>
          <w:highlight w:val="none"/>
        </w:rPr>
        <w:t>1.12 偏离</w:t>
      </w:r>
    </w:p>
    <w:p w14:paraId="2A805AF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申请人须知前附表允许响应文件偏离磋商文件某些要求的，偏离应当符合磋商文件规定的偏离范围和幅度。</w:t>
      </w:r>
    </w:p>
    <w:p w14:paraId="07D79020">
      <w:pPr>
        <w:pStyle w:val="5"/>
        <w:rPr>
          <w:rFonts w:ascii="宋体" w:hAnsi="宋体"/>
          <w:color w:val="auto"/>
          <w:highlight w:val="none"/>
        </w:rPr>
      </w:pPr>
      <w:bookmarkStart w:id="6" w:name="_Toc184635072"/>
      <w:r>
        <w:rPr>
          <w:rFonts w:hint="eastAsia" w:ascii="宋体" w:hAnsi="宋体"/>
          <w:color w:val="auto"/>
          <w:highlight w:val="none"/>
        </w:rPr>
        <w:t>2．磋商文件</w:t>
      </w:r>
      <w:bookmarkEnd w:id="6"/>
    </w:p>
    <w:p w14:paraId="107DA4CE">
      <w:pPr>
        <w:pStyle w:val="6"/>
        <w:rPr>
          <w:rFonts w:ascii="宋体" w:hAnsi="宋体" w:eastAsia="宋体"/>
          <w:color w:val="auto"/>
          <w:highlight w:val="none"/>
        </w:rPr>
      </w:pPr>
      <w:r>
        <w:rPr>
          <w:rFonts w:hint="eastAsia" w:ascii="宋体" w:hAnsi="宋体" w:eastAsia="宋体"/>
          <w:color w:val="auto"/>
          <w:highlight w:val="none"/>
        </w:rPr>
        <w:t>2.1 磋商文件的组成</w:t>
      </w:r>
    </w:p>
    <w:p w14:paraId="7B52359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本磋商文件包括：</w:t>
      </w:r>
    </w:p>
    <w:p w14:paraId="3BDBBCD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竞争性</w:t>
      </w:r>
      <w:r>
        <w:rPr>
          <w:rFonts w:hint="eastAsia" w:ascii="宋体" w:hAnsi="宋体"/>
          <w:color w:val="auto"/>
          <w:szCs w:val="21"/>
          <w:highlight w:val="none"/>
        </w:rPr>
        <w:t>磋商公告；</w:t>
      </w:r>
    </w:p>
    <w:p w14:paraId="25B095A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(2）申请人须知；</w:t>
      </w:r>
    </w:p>
    <w:p w14:paraId="27CF9BE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(3）评审办法；</w:t>
      </w:r>
    </w:p>
    <w:p w14:paraId="223D76E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(4）合同条款及格式；</w:t>
      </w:r>
    </w:p>
    <w:p w14:paraId="07D2817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w:t>
      </w:r>
      <w:r>
        <w:rPr>
          <w:rFonts w:hint="eastAsia" w:ascii="宋体" w:hAnsi="宋体"/>
          <w:color w:val="auto"/>
          <w:szCs w:val="21"/>
          <w:highlight w:val="none"/>
          <w:lang w:val="en-US" w:eastAsia="zh-CN"/>
        </w:rPr>
        <w:t>采购需求</w:t>
      </w:r>
      <w:r>
        <w:rPr>
          <w:rFonts w:hint="eastAsia" w:ascii="宋体" w:hAnsi="宋体"/>
          <w:color w:val="auto"/>
          <w:szCs w:val="21"/>
          <w:highlight w:val="none"/>
        </w:rPr>
        <w:t>；</w:t>
      </w:r>
    </w:p>
    <w:p w14:paraId="014E1F4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w:t>
      </w:r>
      <w:r>
        <w:rPr>
          <w:rFonts w:hint="eastAsia" w:ascii="宋体" w:hAnsi="宋体"/>
          <w:color w:val="auto"/>
          <w:szCs w:val="21"/>
          <w:highlight w:val="none"/>
          <w:lang w:val="en-US" w:eastAsia="zh-CN"/>
        </w:rPr>
        <w:t>响应文件格式</w:t>
      </w:r>
      <w:r>
        <w:rPr>
          <w:rFonts w:hint="eastAsia" w:ascii="宋体" w:hAnsi="宋体"/>
          <w:color w:val="auto"/>
          <w:szCs w:val="21"/>
          <w:highlight w:val="none"/>
        </w:rPr>
        <w:t>；</w:t>
      </w:r>
    </w:p>
    <w:p w14:paraId="3E3CE6E9">
      <w:pPr>
        <w:spacing w:line="360" w:lineRule="auto"/>
        <w:ind w:firstLine="420" w:firstLineChars="200"/>
        <w:rPr>
          <w:rFonts w:ascii="宋体" w:hAnsi="宋体"/>
          <w:color w:val="FF0000"/>
          <w:szCs w:val="21"/>
          <w:highlight w:val="none"/>
        </w:rPr>
      </w:pPr>
      <w:r>
        <w:rPr>
          <w:rFonts w:hint="eastAsia" w:ascii="宋体" w:hAnsi="宋体"/>
          <w:color w:val="000000" w:themeColor="text1"/>
          <w:szCs w:val="21"/>
          <w:highlight w:val="none"/>
          <w14:textFill>
            <w14:solidFill>
              <w14:schemeClr w14:val="tx1"/>
            </w14:solidFill>
          </w14:textFill>
        </w:rPr>
        <w:t>根据本章第1.10 款、第2.2 款和第2.3 款对磋商文件所作的澄清、修改，构成磋商文件的组成部分。</w:t>
      </w:r>
    </w:p>
    <w:p w14:paraId="5D1C154E">
      <w:pPr>
        <w:pStyle w:val="6"/>
        <w:rPr>
          <w:rFonts w:ascii="宋体" w:hAnsi="宋体" w:eastAsia="宋体"/>
          <w:color w:val="auto"/>
          <w:highlight w:val="none"/>
        </w:rPr>
      </w:pPr>
      <w:r>
        <w:rPr>
          <w:rFonts w:hint="eastAsia" w:ascii="宋体" w:hAnsi="宋体" w:eastAsia="宋体"/>
          <w:color w:val="auto"/>
          <w:highlight w:val="none"/>
        </w:rPr>
        <w:t>2.2 磋商文件的澄清</w:t>
      </w:r>
      <w:r>
        <w:rPr>
          <w:rFonts w:hint="eastAsia" w:ascii="宋体" w:hAnsi="宋体" w:eastAsia="宋体"/>
          <w:color w:val="auto"/>
          <w:highlight w:val="none"/>
          <w:lang w:val="en-US" w:eastAsia="zh-CN"/>
        </w:rPr>
        <w:t>和</w:t>
      </w:r>
      <w:r>
        <w:rPr>
          <w:rFonts w:hint="eastAsia" w:ascii="宋体" w:hAnsi="宋体" w:eastAsia="宋体"/>
          <w:color w:val="auto"/>
          <w:highlight w:val="none"/>
        </w:rPr>
        <w:t>修改</w:t>
      </w:r>
    </w:p>
    <w:p w14:paraId="2D7F952A">
      <w:pPr>
        <w:autoSpaceDE w:val="0"/>
        <w:autoSpaceDN w:val="0"/>
        <w:adjustRightInd w:val="0"/>
        <w:spacing w:line="400" w:lineRule="exact"/>
        <w:ind w:firstLine="420"/>
        <w:jc w:val="left"/>
        <w:rPr>
          <w:rFonts w:hint="eastAsia" w:ascii="宋体" w:hAnsi="宋体" w:eastAsia="宋体" w:cs="宋体"/>
          <w:bCs/>
          <w:color w:val="auto"/>
          <w:szCs w:val="18"/>
          <w:highlight w:val="none"/>
          <w:lang w:val="zh-CN"/>
        </w:rPr>
      </w:pPr>
      <w:bookmarkStart w:id="7" w:name="_Toc184635073"/>
      <w:r>
        <w:rPr>
          <w:rFonts w:hint="eastAsia" w:ascii="宋体" w:hAnsi="宋体" w:eastAsia="宋体" w:cs="宋体"/>
          <w:bCs/>
          <w:color w:val="auto"/>
          <w:szCs w:val="18"/>
          <w:highlight w:val="none"/>
          <w:lang w:val="en-US" w:eastAsia="zh-CN"/>
        </w:rPr>
        <w:t>2.2.1</w:t>
      </w:r>
      <w:r>
        <w:rPr>
          <w:rFonts w:hint="eastAsia" w:ascii="宋体" w:hAnsi="宋体" w:eastAsia="宋体" w:cs="宋体"/>
          <w:bCs/>
          <w:color w:val="auto"/>
          <w:szCs w:val="18"/>
          <w:highlight w:val="none"/>
          <w:lang w:val="zh-CN"/>
        </w:rPr>
        <w:t>任何要求对招标文件进行澄清的投标人，采购人可在投标截止时间5日前（含）对</w:t>
      </w:r>
      <w:r>
        <w:rPr>
          <w:rFonts w:hint="eastAsia" w:ascii="宋体" w:hAnsi="宋体" w:eastAsia="宋体" w:cs="宋体"/>
          <w:bCs/>
          <w:color w:val="auto"/>
          <w:szCs w:val="18"/>
          <w:highlight w:val="none"/>
          <w:lang w:val="en-US" w:eastAsia="zh-CN"/>
        </w:rPr>
        <w:t>磋商</w:t>
      </w:r>
      <w:r>
        <w:rPr>
          <w:rFonts w:hint="eastAsia" w:ascii="宋体" w:hAnsi="宋体" w:eastAsia="宋体" w:cs="宋体"/>
          <w:bCs/>
          <w:color w:val="auto"/>
          <w:szCs w:val="18"/>
          <w:highlight w:val="none"/>
          <w:lang w:val="zh-CN"/>
        </w:rPr>
        <w:t>文件进行澄清、修改、补充。</w:t>
      </w:r>
      <w:r>
        <w:rPr>
          <w:rFonts w:hint="eastAsia" w:ascii="宋体" w:hAnsi="宋体" w:eastAsia="宋体" w:cs="宋体"/>
          <w:bCs/>
          <w:color w:val="auto"/>
          <w:szCs w:val="18"/>
          <w:highlight w:val="none"/>
          <w:lang w:val="en-US" w:eastAsia="zh-CN"/>
        </w:rPr>
        <w:t>磋商</w:t>
      </w:r>
      <w:r>
        <w:rPr>
          <w:rFonts w:hint="eastAsia" w:ascii="宋体" w:hAnsi="宋体" w:eastAsia="宋体" w:cs="宋体"/>
          <w:bCs/>
          <w:color w:val="auto"/>
          <w:szCs w:val="18"/>
          <w:highlight w:val="none"/>
          <w:lang w:val="zh-CN"/>
        </w:rPr>
        <w:t>文件的澄清、修改、补充文件将在“政采云”平台(http：//www.zcygov.cn)向潜在投标人发出。</w:t>
      </w:r>
    </w:p>
    <w:p w14:paraId="66E5BAFF">
      <w:pPr>
        <w:autoSpaceDE w:val="0"/>
        <w:autoSpaceDN w:val="0"/>
        <w:adjustRightInd w:val="0"/>
        <w:spacing w:line="400" w:lineRule="exact"/>
        <w:ind w:firstLine="420"/>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en-US" w:eastAsia="zh-CN"/>
        </w:rPr>
        <w:t>2.2.2</w:t>
      </w:r>
      <w:r>
        <w:rPr>
          <w:rFonts w:hint="eastAsia" w:ascii="宋体" w:hAnsi="宋体" w:eastAsia="宋体" w:cs="宋体"/>
          <w:bCs/>
          <w:color w:val="auto"/>
          <w:szCs w:val="18"/>
          <w:highlight w:val="none"/>
          <w:lang w:val="zh-CN"/>
        </w:rPr>
        <w:t xml:space="preserve"> 对</w:t>
      </w:r>
      <w:r>
        <w:rPr>
          <w:rFonts w:hint="eastAsia" w:ascii="宋体" w:hAnsi="宋体" w:eastAsia="宋体" w:cs="宋体"/>
          <w:bCs/>
          <w:color w:val="auto"/>
          <w:szCs w:val="18"/>
          <w:highlight w:val="none"/>
          <w:lang w:val="en-US" w:eastAsia="zh-CN"/>
        </w:rPr>
        <w:t>磋商</w:t>
      </w:r>
      <w:r>
        <w:rPr>
          <w:rFonts w:hint="eastAsia" w:ascii="宋体" w:hAnsi="宋体" w:eastAsia="宋体" w:cs="宋体"/>
          <w:bCs/>
          <w:color w:val="auto"/>
          <w:szCs w:val="18"/>
          <w:highlight w:val="none"/>
          <w:lang w:val="zh-CN"/>
        </w:rPr>
        <w:t>文件内容进行质疑的投标人，均应在《中华人民共和国政府采购法》、《中华人民共和国政府采购法实施条例》规定时间内在“政采云”平台(http：//www.zcygov.cn)提交给采购代理机构，超过规定期限提出的招标文件质疑将不予受理。采购代理机构对收到的质疑要求视所提问题的具体情况在“政采云”平台(http：//www.zcygov.cn)予以答复、发出。答复中可以包括所提的问题，但不包括问题的来源。</w:t>
      </w:r>
    </w:p>
    <w:p w14:paraId="19C564EE">
      <w:pPr>
        <w:autoSpaceDE w:val="0"/>
        <w:autoSpaceDN w:val="0"/>
        <w:adjustRightInd w:val="0"/>
        <w:spacing w:line="400" w:lineRule="exact"/>
        <w:ind w:firstLine="420"/>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en-US" w:eastAsia="zh-CN"/>
        </w:rPr>
        <w:t>2.2.3</w:t>
      </w:r>
      <w:r>
        <w:rPr>
          <w:rFonts w:hint="eastAsia" w:ascii="宋体" w:hAnsi="宋体" w:eastAsia="宋体" w:cs="宋体"/>
          <w:bCs/>
          <w:color w:val="auto"/>
          <w:szCs w:val="18"/>
          <w:highlight w:val="none"/>
          <w:lang w:val="zh-CN"/>
        </w:rPr>
        <w:t xml:space="preserve"> </w:t>
      </w:r>
      <w:r>
        <w:rPr>
          <w:rFonts w:hint="eastAsia" w:ascii="宋体" w:hAnsi="宋体" w:eastAsia="宋体" w:cs="宋体"/>
          <w:bCs/>
          <w:color w:val="auto"/>
          <w:szCs w:val="18"/>
          <w:highlight w:val="none"/>
          <w:lang w:val="en-US" w:eastAsia="zh-CN"/>
        </w:rPr>
        <w:t>磋商</w:t>
      </w:r>
      <w:r>
        <w:rPr>
          <w:rFonts w:hint="eastAsia" w:ascii="宋体" w:hAnsi="宋体" w:eastAsia="宋体" w:cs="宋体"/>
          <w:bCs/>
          <w:color w:val="auto"/>
          <w:szCs w:val="18"/>
          <w:highlight w:val="none"/>
          <w:lang w:val="zh-CN"/>
        </w:rPr>
        <w:t>文件的澄清、修改、补充文件均构成招标文件的组成部分，对所有投标人具有约束力，而无论其是否已经实际收到该澄清、修改、补充文件（包括答疑会纪要）。</w:t>
      </w:r>
    </w:p>
    <w:p w14:paraId="51B1EEB4">
      <w:pPr>
        <w:autoSpaceDE w:val="0"/>
        <w:autoSpaceDN w:val="0"/>
        <w:adjustRightInd w:val="0"/>
        <w:spacing w:line="400" w:lineRule="exact"/>
        <w:ind w:firstLine="420"/>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en-US" w:eastAsia="zh-CN"/>
        </w:rPr>
        <w:t>2.2.4</w:t>
      </w:r>
      <w:r>
        <w:rPr>
          <w:rFonts w:hint="eastAsia" w:ascii="宋体" w:hAnsi="宋体" w:eastAsia="宋体" w:cs="宋体"/>
          <w:bCs/>
          <w:color w:val="auto"/>
          <w:szCs w:val="18"/>
          <w:highlight w:val="none"/>
          <w:lang w:val="zh-CN"/>
        </w:rPr>
        <w:t>为使投标人有充分的时间对</w:t>
      </w:r>
      <w:r>
        <w:rPr>
          <w:rFonts w:hint="eastAsia" w:ascii="宋体" w:hAnsi="宋体" w:eastAsia="宋体" w:cs="宋体"/>
          <w:bCs/>
          <w:color w:val="auto"/>
          <w:szCs w:val="18"/>
          <w:highlight w:val="none"/>
          <w:lang w:val="en-US" w:eastAsia="zh-CN"/>
        </w:rPr>
        <w:t>磋商</w:t>
      </w:r>
      <w:r>
        <w:rPr>
          <w:rFonts w:hint="eastAsia" w:ascii="宋体" w:hAnsi="宋体" w:eastAsia="宋体" w:cs="宋体"/>
          <w:bCs/>
          <w:color w:val="auto"/>
          <w:szCs w:val="18"/>
          <w:highlight w:val="none"/>
          <w:lang w:val="zh-CN"/>
        </w:rPr>
        <w:t>文件的澄清、修改、补充部分进行研究，采购人可在投标截止时间前 3日自行决定酌情延长投标截止时间，延长投标截止时间的公告将在“政采云”平台(http：//www.zcygov.cn)向所有潜在投标人发出。在这种情况下，采购代理机构和投标人受投标截止时间制约的所有权利和义务均相应延长至新的投标截止时间。</w:t>
      </w:r>
    </w:p>
    <w:p w14:paraId="67909EC4">
      <w:pPr>
        <w:pStyle w:val="5"/>
        <w:rPr>
          <w:rFonts w:ascii="宋体" w:hAnsi="宋体"/>
          <w:color w:val="auto"/>
          <w:highlight w:val="none"/>
        </w:rPr>
      </w:pPr>
      <w:r>
        <w:rPr>
          <w:rFonts w:hint="eastAsia" w:ascii="宋体" w:hAnsi="宋体"/>
          <w:color w:val="auto"/>
          <w:highlight w:val="none"/>
        </w:rPr>
        <w:t>3．响应文件</w:t>
      </w:r>
      <w:bookmarkEnd w:id="7"/>
    </w:p>
    <w:p w14:paraId="722DEEB1">
      <w:pPr>
        <w:pStyle w:val="6"/>
        <w:rPr>
          <w:rFonts w:ascii="宋体" w:hAnsi="宋体" w:eastAsia="宋体"/>
          <w:color w:val="auto"/>
          <w:highlight w:val="none"/>
        </w:rPr>
      </w:pPr>
      <w:r>
        <w:rPr>
          <w:rFonts w:hint="eastAsia" w:ascii="宋体" w:hAnsi="宋体" w:eastAsia="宋体"/>
          <w:color w:val="auto"/>
          <w:highlight w:val="none"/>
        </w:rPr>
        <w:t>3.1 响应文件的组成</w:t>
      </w:r>
    </w:p>
    <w:p w14:paraId="73E438C0">
      <w:pPr>
        <w:spacing w:line="360" w:lineRule="auto"/>
        <w:ind w:firstLine="420" w:firstLineChars="200"/>
        <w:rPr>
          <w:rFonts w:ascii="宋体" w:hAnsi="宋体"/>
          <w:color w:val="auto"/>
          <w:szCs w:val="21"/>
          <w:highlight w:val="none"/>
        </w:rPr>
      </w:pPr>
      <w:r>
        <w:rPr>
          <w:rFonts w:ascii="宋体" w:hAnsi="宋体"/>
          <w:color w:val="auto"/>
          <w:szCs w:val="21"/>
          <w:highlight w:val="none"/>
        </w:rPr>
        <w:t>3.1.1</w:t>
      </w:r>
      <w:r>
        <w:rPr>
          <w:rFonts w:hint="eastAsia" w:ascii="宋体" w:hAnsi="宋体"/>
          <w:color w:val="auto"/>
          <w:szCs w:val="21"/>
          <w:highlight w:val="none"/>
        </w:rPr>
        <w:t xml:space="preserve"> 响应文件应包括下列内容</w:t>
      </w:r>
      <w:r>
        <w:rPr>
          <w:rFonts w:ascii="宋体" w:hAnsi="宋体"/>
          <w:color w:val="auto"/>
          <w:szCs w:val="21"/>
          <w:highlight w:val="none"/>
        </w:rPr>
        <w:t>：</w:t>
      </w:r>
    </w:p>
    <w:p w14:paraId="40F2F60E">
      <w:pPr>
        <w:spacing w:line="360" w:lineRule="auto"/>
        <w:ind w:right="105" w:rightChars="50" w:firstLine="420" w:firstLineChars="200"/>
        <w:rPr>
          <w:rFonts w:ascii="宋体" w:hAnsi="宋体" w:cs="宋体"/>
          <w:szCs w:val="21"/>
        </w:rPr>
      </w:pPr>
      <w:r>
        <w:rPr>
          <w:rFonts w:ascii="宋体" w:hAnsi="宋体" w:cs="宋体"/>
          <w:szCs w:val="21"/>
        </w:rPr>
        <w:t>一、</w:t>
      </w:r>
      <w:r>
        <w:rPr>
          <w:rFonts w:hint="eastAsia" w:ascii="宋体" w:hAnsi="宋体" w:cs="宋体"/>
          <w:szCs w:val="21"/>
        </w:rPr>
        <w:t>磋商函</w:t>
      </w:r>
    </w:p>
    <w:p w14:paraId="597881FA">
      <w:pPr>
        <w:spacing w:line="360" w:lineRule="auto"/>
        <w:ind w:right="105" w:rightChars="50" w:firstLine="420" w:firstLineChars="200"/>
        <w:rPr>
          <w:rFonts w:hint="eastAsia" w:ascii="宋体" w:hAnsi="宋体" w:cs="宋体"/>
          <w:szCs w:val="21"/>
        </w:rPr>
      </w:pPr>
      <w:r>
        <w:rPr>
          <w:rFonts w:ascii="宋体" w:hAnsi="宋体" w:cs="宋体"/>
          <w:szCs w:val="21"/>
        </w:rPr>
        <w:t>二、</w:t>
      </w:r>
      <w:r>
        <w:rPr>
          <w:rFonts w:hint="eastAsia" w:ascii="宋体" w:hAnsi="宋体" w:cs="宋体"/>
          <w:szCs w:val="21"/>
        </w:rPr>
        <w:t>法定代表人资格证明</w:t>
      </w:r>
    </w:p>
    <w:p w14:paraId="7147F12B">
      <w:pPr>
        <w:spacing w:line="360" w:lineRule="auto"/>
        <w:ind w:right="105" w:rightChars="50" w:firstLine="420" w:firstLineChars="200"/>
        <w:rPr>
          <w:rFonts w:ascii="宋体" w:hAnsi="宋体" w:cs="宋体"/>
          <w:szCs w:val="21"/>
        </w:rPr>
      </w:pPr>
      <w:r>
        <w:rPr>
          <w:rFonts w:ascii="宋体" w:hAnsi="宋体" w:cs="宋体"/>
          <w:szCs w:val="21"/>
        </w:rPr>
        <w:t>三、授权委托书</w:t>
      </w:r>
    </w:p>
    <w:p w14:paraId="548B9215">
      <w:pPr>
        <w:spacing w:line="360" w:lineRule="auto"/>
        <w:ind w:right="105" w:rightChars="50" w:firstLine="420" w:firstLineChars="200"/>
        <w:rPr>
          <w:rFonts w:ascii="宋体" w:hAnsi="宋体" w:cs="宋体"/>
          <w:szCs w:val="21"/>
        </w:rPr>
      </w:pPr>
      <w:r>
        <w:rPr>
          <w:rFonts w:ascii="宋体" w:hAnsi="宋体" w:cs="宋体"/>
          <w:szCs w:val="21"/>
        </w:rPr>
        <w:t>四、</w:t>
      </w:r>
      <w:r>
        <w:rPr>
          <w:rFonts w:hint="eastAsia" w:ascii="宋体" w:hAnsi="宋体" w:cs="宋体"/>
          <w:szCs w:val="21"/>
        </w:rPr>
        <w:t>报价</w:t>
      </w:r>
      <w:r>
        <w:rPr>
          <w:rFonts w:ascii="宋体" w:hAnsi="宋体" w:cs="宋体"/>
          <w:szCs w:val="21"/>
        </w:rPr>
        <w:t>一览表</w:t>
      </w:r>
    </w:p>
    <w:p w14:paraId="488A4579">
      <w:pPr>
        <w:spacing w:line="360" w:lineRule="auto"/>
        <w:ind w:right="105" w:rightChars="50" w:firstLine="420" w:firstLineChars="200"/>
        <w:rPr>
          <w:rFonts w:ascii="宋体" w:hAnsi="宋体" w:cs="宋体"/>
          <w:szCs w:val="21"/>
        </w:rPr>
      </w:pPr>
      <w:r>
        <w:rPr>
          <w:rFonts w:ascii="宋体" w:hAnsi="宋体" w:cs="宋体"/>
          <w:szCs w:val="21"/>
        </w:rPr>
        <w:t>五、报价</w:t>
      </w:r>
      <w:r>
        <w:rPr>
          <w:rFonts w:hint="eastAsia" w:ascii="宋体" w:hAnsi="宋体" w:cs="宋体"/>
          <w:szCs w:val="21"/>
        </w:rPr>
        <w:t>明细</w:t>
      </w:r>
    </w:p>
    <w:p w14:paraId="47756F27">
      <w:pPr>
        <w:spacing w:line="360" w:lineRule="auto"/>
        <w:ind w:right="105" w:rightChars="50" w:firstLine="420" w:firstLineChars="200"/>
        <w:rPr>
          <w:rFonts w:ascii="宋体" w:hAnsi="宋体" w:cs="宋体"/>
          <w:szCs w:val="21"/>
        </w:rPr>
      </w:pPr>
      <w:r>
        <w:rPr>
          <w:rFonts w:ascii="宋体" w:hAnsi="宋体" w:cs="宋体"/>
          <w:szCs w:val="21"/>
        </w:rPr>
        <w:t>六、投标保证金</w:t>
      </w:r>
    </w:p>
    <w:p w14:paraId="3367D153">
      <w:pPr>
        <w:spacing w:line="360" w:lineRule="auto"/>
        <w:ind w:right="105" w:rightChars="50" w:firstLine="420" w:firstLineChars="200"/>
        <w:rPr>
          <w:rFonts w:ascii="宋体" w:hAnsi="宋体" w:cs="宋体"/>
          <w:szCs w:val="21"/>
        </w:rPr>
      </w:pPr>
      <w:r>
        <w:rPr>
          <w:rFonts w:ascii="宋体" w:hAnsi="宋体" w:cs="宋体"/>
          <w:szCs w:val="21"/>
        </w:rPr>
        <w:t>七、资格审查资料</w:t>
      </w:r>
    </w:p>
    <w:p w14:paraId="0CEE4D9E">
      <w:pPr>
        <w:spacing w:line="360" w:lineRule="auto"/>
        <w:ind w:right="105" w:rightChars="50" w:firstLine="420" w:firstLineChars="200"/>
        <w:rPr>
          <w:rFonts w:ascii="宋体" w:hAnsi="宋体" w:cs="宋体"/>
          <w:szCs w:val="21"/>
        </w:rPr>
      </w:pPr>
      <w:r>
        <w:rPr>
          <w:rFonts w:ascii="宋体" w:hAnsi="宋体" w:cs="宋体"/>
          <w:szCs w:val="21"/>
        </w:rPr>
        <w:t>八、其他资料</w:t>
      </w:r>
    </w:p>
    <w:p w14:paraId="03E990C0">
      <w:pPr>
        <w:autoSpaceDE w:val="0"/>
        <w:autoSpaceDN w:val="0"/>
        <w:adjustRightInd w:val="0"/>
        <w:spacing w:line="400" w:lineRule="exact"/>
        <w:jc w:val="left"/>
        <w:rPr>
          <w:rFonts w:ascii="宋体" w:hAnsi="宋体"/>
          <w:color w:val="auto"/>
          <w:szCs w:val="21"/>
          <w:highlight w:val="none"/>
        </w:rPr>
      </w:pPr>
      <w:r>
        <w:rPr>
          <w:rFonts w:hint="eastAsia" w:ascii="宋体" w:hAnsi="宋体"/>
          <w:color w:val="auto"/>
          <w:szCs w:val="21"/>
          <w:highlight w:val="none"/>
        </w:rPr>
        <w:t>3.1.2 申请人须知前附表规定不接受联合体投标的，或申请人没有组成联合体的，响应文件不包括本章第3.1.1 （3）所指的联合体协议书。</w:t>
      </w:r>
    </w:p>
    <w:p w14:paraId="72A4BD51">
      <w:pPr>
        <w:pStyle w:val="6"/>
        <w:rPr>
          <w:rFonts w:ascii="宋体" w:hAnsi="宋体" w:eastAsia="宋体"/>
          <w:color w:val="auto"/>
          <w:highlight w:val="none"/>
        </w:rPr>
      </w:pPr>
      <w:r>
        <w:rPr>
          <w:rFonts w:hint="eastAsia" w:ascii="宋体" w:hAnsi="宋体" w:eastAsia="宋体"/>
          <w:color w:val="auto"/>
          <w:highlight w:val="none"/>
        </w:rPr>
        <w:t>3.2 磋商报价</w:t>
      </w:r>
    </w:p>
    <w:p w14:paraId="6C2AD461">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2</w:t>
      </w:r>
      <w:r>
        <w:rPr>
          <w:rFonts w:hint="eastAsia" w:ascii="宋体" w:hAnsi="宋体"/>
          <w:color w:val="auto"/>
          <w:szCs w:val="21"/>
          <w:highlight w:val="none"/>
        </w:rPr>
        <w:t>.1申请人应按采购人提供的“采购需求”的要求填写</w:t>
      </w:r>
      <w:r>
        <w:rPr>
          <w:rFonts w:hint="eastAsia" w:ascii="宋体" w:hAnsi="宋体"/>
          <w:color w:val="auto"/>
          <w:szCs w:val="21"/>
          <w:highlight w:val="none"/>
          <w:lang w:val="en-US" w:eastAsia="zh-CN"/>
        </w:rPr>
        <w:t>报价</w:t>
      </w:r>
      <w:r>
        <w:rPr>
          <w:rFonts w:hint="eastAsia" w:ascii="宋体" w:hAnsi="宋体"/>
          <w:color w:val="auto"/>
          <w:szCs w:val="21"/>
          <w:highlight w:val="none"/>
        </w:rPr>
        <w:t>。</w:t>
      </w:r>
    </w:p>
    <w:p w14:paraId="389A5081">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2</w:t>
      </w:r>
      <w:r>
        <w:rPr>
          <w:rFonts w:hint="eastAsia" w:ascii="宋体" w:hAnsi="宋体"/>
          <w:color w:val="auto"/>
          <w:szCs w:val="21"/>
          <w:highlight w:val="none"/>
        </w:rPr>
        <w:t>.2 申请人磋商报价总额为各分项金额之和。</w:t>
      </w:r>
    </w:p>
    <w:p w14:paraId="3976A1E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2</w:t>
      </w:r>
      <w:r>
        <w:rPr>
          <w:rFonts w:hint="eastAsia" w:ascii="宋体" w:hAnsi="宋体"/>
          <w:color w:val="auto"/>
          <w:szCs w:val="21"/>
          <w:highlight w:val="none"/>
        </w:rPr>
        <w:t>.3 采购人设有采购预算的，申请人的磋商报价不得超过采购预算。</w:t>
      </w:r>
    </w:p>
    <w:p w14:paraId="6A7EA16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2</w:t>
      </w:r>
      <w:r>
        <w:rPr>
          <w:rFonts w:hint="eastAsia" w:ascii="宋体" w:hAnsi="宋体"/>
          <w:color w:val="auto"/>
          <w:szCs w:val="21"/>
          <w:highlight w:val="none"/>
        </w:rPr>
        <w:t>.4 磋商报价为申请人在响应文件中提出的各项报价的总和。</w:t>
      </w:r>
    </w:p>
    <w:p w14:paraId="73909CC7">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2</w:t>
      </w:r>
      <w:r>
        <w:rPr>
          <w:rFonts w:hint="eastAsia" w:ascii="宋体" w:hAnsi="宋体"/>
          <w:color w:val="auto"/>
          <w:szCs w:val="21"/>
          <w:highlight w:val="none"/>
        </w:rPr>
        <w:t>.5 申请人的磋商报价，应是完成本须知和竞争性磋商中所列采购需求的全部，作为申请人计算单价或总价的依据。</w:t>
      </w:r>
    </w:p>
    <w:p w14:paraId="0A1E058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2</w:t>
      </w:r>
      <w:r>
        <w:rPr>
          <w:rFonts w:hint="eastAsia" w:ascii="宋体" w:hAnsi="宋体"/>
          <w:color w:val="auto"/>
          <w:szCs w:val="21"/>
          <w:highlight w:val="none"/>
        </w:rPr>
        <w:t>.6</w:t>
      </w:r>
      <w:r>
        <w:rPr>
          <w:rFonts w:ascii="宋体" w:hAnsi="宋体"/>
          <w:color w:val="auto"/>
          <w:szCs w:val="21"/>
          <w:highlight w:val="none"/>
        </w:rPr>
        <w:t>最低报价不能作为</w:t>
      </w:r>
      <w:r>
        <w:rPr>
          <w:rFonts w:hint="eastAsia" w:ascii="宋体" w:hAnsi="宋体"/>
          <w:color w:val="auto"/>
          <w:szCs w:val="21"/>
          <w:highlight w:val="none"/>
        </w:rPr>
        <w:t>成交</w:t>
      </w:r>
      <w:r>
        <w:rPr>
          <w:rFonts w:ascii="宋体" w:hAnsi="宋体"/>
          <w:color w:val="auto"/>
          <w:szCs w:val="21"/>
          <w:highlight w:val="none"/>
        </w:rPr>
        <w:t>的唯一依据</w:t>
      </w:r>
      <w:r>
        <w:rPr>
          <w:rFonts w:hint="eastAsia" w:ascii="宋体" w:hAnsi="宋体"/>
          <w:color w:val="auto"/>
          <w:szCs w:val="21"/>
          <w:highlight w:val="none"/>
        </w:rPr>
        <w:t>。</w:t>
      </w:r>
    </w:p>
    <w:p w14:paraId="01615A9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2</w:t>
      </w:r>
      <w:r>
        <w:rPr>
          <w:rFonts w:hint="eastAsia" w:ascii="宋体" w:hAnsi="宋体"/>
          <w:color w:val="auto"/>
          <w:szCs w:val="21"/>
          <w:highlight w:val="none"/>
        </w:rPr>
        <w:t>.7本项目采用两轮报价（第二轮报价即最后报价）。</w:t>
      </w:r>
    </w:p>
    <w:p w14:paraId="14E7FD4E">
      <w:pPr>
        <w:pStyle w:val="6"/>
        <w:rPr>
          <w:rFonts w:ascii="宋体" w:hAnsi="宋体" w:eastAsia="宋体"/>
          <w:color w:val="auto"/>
          <w:highlight w:val="none"/>
        </w:rPr>
      </w:pPr>
      <w:r>
        <w:rPr>
          <w:rFonts w:hint="eastAsia" w:ascii="宋体" w:hAnsi="宋体" w:eastAsia="宋体"/>
          <w:color w:val="auto"/>
          <w:highlight w:val="none"/>
        </w:rPr>
        <w:t>3.3 响应有效期</w:t>
      </w:r>
    </w:p>
    <w:p w14:paraId="54E58A9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3.3.1 在申请人须知前附表规定的响应有效期内，申请人不得要求撤销或修改其响应文件。</w:t>
      </w:r>
    </w:p>
    <w:p w14:paraId="4E27A7F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3.3.2 出现特殊情况需要延长响应有效期的，采购人以书面形式通知所有申请人延长响应有效期。申请人同意延长的，应相应延长其磋商保证金的有效期，但不得要求或被允许修改或撤销其响应文件；申请人拒绝延长的，其投标失效，但申请人有权收回其磋商保证金。</w:t>
      </w:r>
    </w:p>
    <w:p w14:paraId="7CCCF876">
      <w:pPr>
        <w:pStyle w:val="6"/>
        <w:rPr>
          <w:rFonts w:ascii="宋体" w:hAnsi="宋体" w:eastAsia="宋体"/>
          <w:color w:val="auto"/>
          <w:highlight w:val="none"/>
        </w:rPr>
      </w:pPr>
      <w:r>
        <w:rPr>
          <w:rFonts w:hint="eastAsia" w:ascii="宋体" w:hAnsi="宋体" w:eastAsia="宋体"/>
          <w:color w:val="auto"/>
          <w:highlight w:val="none"/>
        </w:rPr>
        <w:t>3.4 磋商保证金</w:t>
      </w:r>
    </w:p>
    <w:p w14:paraId="407E2EC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3.4.1 申请人在递交响应文件的同时，应按申请人须知前附表规定的金额、担保形式和第八章“响应文件格式”规定的磋商保证金格式递交磋商保证金，并作为其响应文件的组成部分。联合体投标的，其磋商保证金由牵头人递交，并应符合申请人须知前附表的规定。</w:t>
      </w:r>
    </w:p>
    <w:p w14:paraId="50EDAE0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3.4.2 申请人不按本章第3.4.1 项要求提交磋商保证金的，其响应文件作废标处理</w:t>
      </w:r>
      <w:r>
        <w:rPr>
          <w:rFonts w:hint="eastAsia" w:ascii="宋体" w:hAnsi="宋体"/>
          <w:color w:val="auto"/>
          <w:szCs w:val="21"/>
          <w:highlight w:val="none"/>
          <w:lang w:val="zh-CN"/>
        </w:rPr>
        <w:t>（</w:t>
      </w:r>
      <w:r>
        <w:rPr>
          <w:rFonts w:hint="eastAsia" w:ascii="宋体" w:hAnsi="宋体"/>
          <w:color w:val="auto"/>
          <w:szCs w:val="21"/>
          <w:highlight w:val="none"/>
          <w:lang w:val="en-US" w:eastAsia="zh-CN"/>
        </w:rPr>
        <w:t>本项目不收取磋商保证金</w:t>
      </w:r>
      <w:r>
        <w:rPr>
          <w:rFonts w:hint="eastAsia" w:ascii="宋体" w:hAnsi="宋体"/>
          <w:color w:val="auto"/>
          <w:szCs w:val="21"/>
          <w:highlight w:val="none"/>
          <w:lang w:val="zh-CN"/>
        </w:rPr>
        <w:t>）</w:t>
      </w:r>
      <w:r>
        <w:rPr>
          <w:rFonts w:hint="eastAsia" w:ascii="宋体" w:hAnsi="宋体"/>
          <w:color w:val="auto"/>
          <w:szCs w:val="21"/>
          <w:highlight w:val="none"/>
        </w:rPr>
        <w:t>。</w:t>
      </w:r>
    </w:p>
    <w:p w14:paraId="19CF67E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3.4.3未</w:t>
      </w:r>
      <w:r>
        <w:rPr>
          <w:rFonts w:hint="eastAsia" w:ascii="宋体" w:hAnsi="宋体"/>
          <w:color w:val="auto"/>
          <w:szCs w:val="21"/>
          <w:highlight w:val="none"/>
          <w:lang w:eastAsia="zh-CN"/>
        </w:rPr>
        <w:t>成交人</w:t>
      </w:r>
      <w:r>
        <w:rPr>
          <w:rFonts w:hint="eastAsia" w:ascii="宋体" w:hAnsi="宋体"/>
          <w:color w:val="auto"/>
          <w:szCs w:val="21"/>
          <w:highlight w:val="none"/>
        </w:rPr>
        <w:t>的磋商保证金应当在成交通知书发出后5个工作日内退还，</w:t>
      </w:r>
      <w:r>
        <w:rPr>
          <w:rFonts w:hint="eastAsia" w:ascii="宋体" w:hAnsi="宋体"/>
          <w:color w:val="auto"/>
          <w:szCs w:val="21"/>
          <w:highlight w:val="none"/>
          <w:lang w:eastAsia="zh-CN"/>
        </w:rPr>
        <w:t>成交人</w:t>
      </w:r>
      <w:r>
        <w:rPr>
          <w:rFonts w:hint="eastAsia" w:ascii="宋体" w:hAnsi="宋体"/>
          <w:color w:val="auto"/>
          <w:szCs w:val="21"/>
          <w:highlight w:val="none"/>
        </w:rPr>
        <w:t>的磋商保证金应当在项目合同签订后5个工作日内退还</w:t>
      </w:r>
      <w:r>
        <w:rPr>
          <w:rFonts w:hint="eastAsia" w:ascii="宋体" w:hAnsi="宋体"/>
          <w:color w:val="auto"/>
          <w:szCs w:val="21"/>
          <w:highlight w:val="none"/>
          <w:lang w:val="zh-CN"/>
        </w:rPr>
        <w:t>（</w:t>
      </w:r>
      <w:r>
        <w:rPr>
          <w:rFonts w:hint="eastAsia" w:ascii="宋体" w:hAnsi="宋体"/>
          <w:color w:val="auto"/>
          <w:szCs w:val="21"/>
          <w:highlight w:val="none"/>
          <w:lang w:val="en-US" w:eastAsia="zh-CN"/>
        </w:rPr>
        <w:t>本项目不收取磋商保证金</w:t>
      </w:r>
      <w:r>
        <w:rPr>
          <w:rFonts w:hint="eastAsia" w:ascii="宋体" w:hAnsi="宋体"/>
          <w:color w:val="auto"/>
          <w:szCs w:val="21"/>
          <w:highlight w:val="none"/>
          <w:lang w:val="zh-CN"/>
        </w:rPr>
        <w:t>）</w:t>
      </w:r>
      <w:r>
        <w:rPr>
          <w:rFonts w:hint="eastAsia" w:ascii="宋体" w:hAnsi="宋体"/>
          <w:color w:val="auto"/>
          <w:szCs w:val="21"/>
          <w:highlight w:val="none"/>
        </w:rPr>
        <w:t>。</w:t>
      </w:r>
    </w:p>
    <w:p w14:paraId="7848FB0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3.4.4 有下列情形之一的，磋商保证金将不予退还：</w:t>
      </w:r>
    </w:p>
    <w:p w14:paraId="731C732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(1）申请人在规定的响应有效期内撤销或修改其响应文件；</w:t>
      </w:r>
    </w:p>
    <w:p w14:paraId="57D05C2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(2）成交单位在收到成交通知书后，无正当理由拒签合同协议书或未按磋商文件规定提交履约担保。</w:t>
      </w:r>
    </w:p>
    <w:p w14:paraId="712C669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申请人在编制响应文件时，应按新情况更新或补充其在申请资格预审时提供的资料，以证实其各项资格条件仍能继续满足资格预审文件的要求，具备承担本标段施工的资质条件、能力和信誉。</w:t>
      </w:r>
    </w:p>
    <w:p w14:paraId="1F19EB8F">
      <w:pPr>
        <w:pStyle w:val="6"/>
        <w:rPr>
          <w:rFonts w:ascii="宋体" w:hAnsi="宋体" w:eastAsia="宋体"/>
          <w:color w:val="auto"/>
          <w:highlight w:val="none"/>
        </w:rPr>
      </w:pPr>
      <w:r>
        <w:rPr>
          <w:rFonts w:hint="eastAsia" w:ascii="宋体" w:hAnsi="宋体" w:eastAsia="宋体"/>
          <w:color w:val="auto"/>
          <w:highlight w:val="none"/>
        </w:rPr>
        <w:t>3.</w:t>
      </w:r>
      <w:r>
        <w:rPr>
          <w:rFonts w:hint="eastAsia" w:ascii="宋体" w:hAnsi="宋体" w:eastAsia="宋体"/>
          <w:color w:val="auto"/>
          <w:highlight w:val="none"/>
          <w:lang w:val="en-US" w:eastAsia="zh-CN"/>
        </w:rPr>
        <w:t>5</w:t>
      </w:r>
      <w:r>
        <w:rPr>
          <w:rFonts w:hint="eastAsia" w:ascii="宋体" w:hAnsi="宋体" w:eastAsia="宋体"/>
          <w:color w:val="auto"/>
          <w:highlight w:val="none"/>
        </w:rPr>
        <w:t xml:space="preserve"> 备选投标方案</w:t>
      </w:r>
    </w:p>
    <w:p w14:paraId="035E70D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申请人须知前附表另有规定外，申请人不得递交备选投标方案。允许申请人递交备选投标方案的，只有成交单位所递交的备选投标方案方可予以考虑。磋商小组认为成交单位的备选投标方案优于其按照磋商文件要求编制的投标方案的，采购人可以接受该备选投标方案。</w:t>
      </w:r>
    </w:p>
    <w:p w14:paraId="3B24CE5D">
      <w:pPr>
        <w:pStyle w:val="6"/>
        <w:rPr>
          <w:rFonts w:ascii="宋体" w:hAnsi="宋体" w:eastAsia="宋体"/>
          <w:color w:val="auto"/>
          <w:highlight w:val="none"/>
        </w:rPr>
      </w:pPr>
      <w:r>
        <w:rPr>
          <w:rFonts w:hint="eastAsia" w:ascii="宋体" w:hAnsi="宋体" w:eastAsia="宋体"/>
          <w:color w:val="auto"/>
          <w:highlight w:val="none"/>
        </w:rPr>
        <w:t>3.</w:t>
      </w:r>
      <w:r>
        <w:rPr>
          <w:rFonts w:hint="eastAsia" w:ascii="宋体" w:hAnsi="宋体" w:eastAsia="宋体"/>
          <w:color w:val="auto"/>
          <w:highlight w:val="none"/>
          <w:lang w:val="en-US" w:eastAsia="zh-CN"/>
        </w:rPr>
        <w:t>6</w:t>
      </w:r>
      <w:r>
        <w:rPr>
          <w:rFonts w:hint="eastAsia" w:ascii="宋体" w:hAnsi="宋体" w:eastAsia="宋体"/>
          <w:color w:val="auto"/>
          <w:highlight w:val="none"/>
        </w:rPr>
        <w:t xml:space="preserve"> 响应文件的编制</w:t>
      </w:r>
    </w:p>
    <w:p w14:paraId="0F214947">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响应文件应按第</w:t>
      </w:r>
      <w:r>
        <w:rPr>
          <w:rFonts w:hint="eastAsia" w:ascii="宋体" w:hAnsi="宋体"/>
          <w:color w:val="000000" w:themeColor="text1"/>
          <w:szCs w:val="21"/>
          <w:highlight w:val="none"/>
          <w:lang w:val="en-US" w:eastAsia="zh-CN"/>
          <w14:textFill>
            <w14:solidFill>
              <w14:schemeClr w14:val="tx1"/>
            </w14:solidFill>
          </w14:textFill>
        </w:rPr>
        <w:t>六</w:t>
      </w:r>
      <w:r>
        <w:rPr>
          <w:rFonts w:hint="eastAsia" w:ascii="宋体" w:hAnsi="宋体"/>
          <w:color w:val="000000" w:themeColor="text1"/>
          <w:szCs w:val="21"/>
          <w:highlight w:val="none"/>
          <w14:textFill>
            <w14:solidFill>
              <w14:schemeClr w14:val="tx1"/>
            </w14:solidFill>
          </w14:textFill>
        </w:rPr>
        <w:t>章“响应文件格式”进行编写，如有必要，可以增加附页，作为响应文件的组成部分。其中，磋商函附录在满足磋商文件实质性要求的基础上，可以提出比磋商文件要求更有利于采购人的承诺。</w:t>
      </w:r>
    </w:p>
    <w:p w14:paraId="757AEF3B">
      <w:pPr>
        <w:spacing w:line="360" w:lineRule="auto"/>
        <w:ind w:firstLine="420" w:firstLineChars="200"/>
        <w:rPr>
          <w:rFonts w:ascii="宋体" w:hAnsi="宋体"/>
          <w:bCs/>
          <w:color w:val="auto"/>
          <w:szCs w:val="21"/>
          <w:highlight w:val="none"/>
          <w:lang w:val="zh-CN"/>
        </w:rPr>
      </w:pPr>
      <w:r>
        <w:rPr>
          <w:rFonts w:ascii="宋体" w:hAnsi="宋体"/>
          <w:bCs/>
          <w:color w:val="auto"/>
          <w:szCs w:val="21"/>
          <w:highlight w:val="none"/>
          <w:lang w:val="zh-CN"/>
        </w:rPr>
        <w:t>3</w:t>
      </w:r>
      <w:r>
        <w:rPr>
          <w:rFonts w:hint="eastAsia" w:ascii="宋体" w:hAnsi="宋体"/>
          <w:bCs/>
          <w:color w:val="auto"/>
          <w:szCs w:val="21"/>
          <w:highlight w:val="none"/>
          <w:lang w:val="zh-CN"/>
        </w:rPr>
        <w:t>.</w:t>
      </w:r>
      <w:r>
        <w:rPr>
          <w:rFonts w:hint="eastAsia" w:ascii="宋体" w:hAnsi="宋体"/>
          <w:bCs/>
          <w:color w:val="auto"/>
          <w:szCs w:val="21"/>
          <w:highlight w:val="none"/>
          <w:lang w:val="en-US" w:eastAsia="zh-CN"/>
        </w:rPr>
        <w:t>6</w:t>
      </w:r>
      <w:r>
        <w:rPr>
          <w:rFonts w:hint="eastAsia" w:ascii="宋体" w:hAnsi="宋体"/>
          <w:bCs/>
          <w:color w:val="auto"/>
          <w:szCs w:val="21"/>
          <w:highlight w:val="none"/>
          <w:lang w:val="zh-CN"/>
        </w:rPr>
        <w:t>.</w:t>
      </w:r>
      <w:r>
        <w:rPr>
          <w:rFonts w:ascii="宋体" w:hAnsi="宋体"/>
          <w:bCs/>
          <w:color w:val="auto"/>
          <w:szCs w:val="21"/>
          <w:highlight w:val="none"/>
          <w:lang w:val="zh-CN"/>
        </w:rPr>
        <w:t>2</w:t>
      </w:r>
      <w:r>
        <w:rPr>
          <w:rFonts w:hint="eastAsia" w:ascii="宋体" w:hAnsi="宋体"/>
          <w:bCs/>
          <w:color w:val="auto"/>
          <w:szCs w:val="21"/>
          <w:highlight w:val="none"/>
          <w:lang w:val="zh-CN"/>
        </w:rPr>
        <w:t xml:space="preserve"> 响应文件应当对磋商文件有关工期、响应有效期、质量标准、技术标准和要求、</w:t>
      </w:r>
      <w:r>
        <w:rPr>
          <w:rFonts w:hint="eastAsia" w:ascii="宋体" w:hAnsi="宋体"/>
          <w:bCs/>
          <w:color w:val="auto"/>
          <w:szCs w:val="21"/>
          <w:highlight w:val="none"/>
          <w:lang w:val="en-US" w:eastAsia="zh-CN"/>
        </w:rPr>
        <w:t>采购</w:t>
      </w:r>
      <w:r>
        <w:rPr>
          <w:rFonts w:hint="eastAsia" w:ascii="宋体" w:hAnsi="宋体"/>
          <w:bCs/>
          <w:color w:val="auto"/>
          <w:szCs w:val="21"/>
          <w:highlight w:val="none"/>
          <w:lang w:val="zh-CN"/>
        </w:rPr>
        <w:t>范围等实质性内容作出响应。</w:t>
      </w:r>
    </w:p>
    <w:p w14:paraId="29D896D8">
      <w:pPr>
        <w:spacing w:line="360" w:lineRule="auto"/>
        <w:ind w:firstLine="420" w:firstLineChars="200"/>
        <w:rPr>
          <w:rFonts w:ascii="宋体" w:hAnsi="宋体"/>
          <w:bCs/>
          <w:color w:val="auto"/>
          <w:szCs w:val="21"/>
          <w:highlight w:val="none"/>
          <w:lang w:val="zh-CN"/>
        </w:rPr>
      </w:pPr>
      <w:r>
        <w:rPr>
          <w:rFonts w:hint="eastAsia" w:ascii="宋体" w:hAnsi="宋体"/>
          <w:bCs/>
          <w:color w:val="auto"/>
          <w:szCs w:val="21"/>
          <w:highlight w:val="none"/>
          <w:lang w:val="zh-CN"/>
        </w:rPr>
        <w:t>3.</w:t>
      </w:r>
      <w:r>
        <w:rPr>
          <w:rFonts w:hint="eastAsia" w:ascii="宋体" w:hAnsi="宋体"/>
          <w:bCs/>
          <w:color w:val="auto"/>
          <w:szCs w:val="21"/>
          <w:highlight w:val="none"/>
          <w:lang w:val="en-US" w:eastAsia="zh-CN"/>
        </w:rPr>
        <w:t>6</w:t>
      </w:r>
      <w:r>
        <w:rPr>
          <w:rFonts w:hint="eastAsia" w:ascii="宋体" w:hAnsi="宋体"/>
          <w:bCs/>
          <w:color w:val="auto"/>
          <w:szCs w:val="21"/>
          <w:highlight w:val="none"/>
          <w:lang w:val="zh-CN"/>
        </w:rPr>
        <w:t>.3 响应文件应用不褪色的材料书写或打印，由申请人的法定代表人或其委托代理人签字或盖单位章。委托代理人签字的，响应文件应附法定代表人签署的授权委托书。响应文件应尽量避免涂改、行间插字或删除。如果出现上述情况，改动之处应加盖单位章或由申请人的法定代表人或其授权的代理人签字确认。签字或盖章的具体要求见申请人须知前附表。</w:t>
      </w:r>
    </w:p>
    <w:p w14:paraId="56C0912C">
      <w:pPr>
        <w:spacing w:line="360" w:lineRule="auto"/>
        <w:ind w:firstLine="420" w:firstLineChars="200"/>
        <w:rPr>
          <w:rFonts w:ascii="宋体" w:hAnsi="宋体"/>
          <w:bCs/>
          <w:color w:val="auto"/>
          <w:szCs w:val="21"/>
          <w:highlight w:val="none"/>
          <w:lang w:val="zh-CN"/>
        </w:rPr>
      </w:pPr>
      <w:r>
        <w:rPr>
          <w:rFonts w:ascii="宋体" w:hAnsi="宋体"/>
          <w:bCs/>
          <w:color w:val="auto"/>
          <w:szCs w:val="21"/>
          <w:highlight w:val="none"/>
          <w:lang w:val="zh-CN"/>
        </w:rPr>
        <w:t>3</w:t>
      </w:r>
      <w:r>
        <w:rPr>
          <w:rFonts w:hint="eastAsia" w:ascii="宋体" w:hAnsi="宋体"/>
          <w:bCs/>
          <w:color w:val="auto"/>
          <w:szCs w:val="21"/>
          <w:highlight w:val="none"/>
          <w:lang w:val="zh-CN"/>
        </w:rPr>
        <w:t>.</w:t>
      </w:r>
      <w:r>
        <w:rPr>
          <w:rFonts w:hint="eastAsia" w:ascii="宋体" w:hAnsi="宋体"/>
          <w:bCs/>
          <w:color w:val="auto"/>
          <w:szCs w:val="21"/>
          <w:highlight w:val="none"/>
          <w:lang w:val="en-US" w:eastAsia="zh-CN"/>
        </w:rPr>
        <w:t>6</w:t>
      </w:r>
      <w:r>
        <w:rPr>
          <w:rFonts w:hint="eastAsia" w:ascii="宋体" w:hAnsi="宋体"/>
          <w:bCs/>
          <w:color w:val="auto"/>
          <w:szCs w:val="21"/>
          <w:highlight w:val="none"/>
          <w:lang w:val="zh-CN"/>
        </w:rPr>
        <w:t>.4响应文件正本一份，副本份数见申请人须知前附表。正本和副本的封面上应清楚地标记</w:t>
      </w:r>
      <w:r>
        <w:rPr>
          <w:rFonts w:ascii="宋体" w:hAnsi="宋体"/>
          <w:bCs/>
          <w:color w:val="auto"/>
          <w:szCs w:val="21"/>
          <w:highlight w:val="none"/>
          <w:lang w:val="zh-CN"/>
        </w:rPr>
        <w:t>“</w:t>
      </w:r>
      <w:r>
        <w:rPr>
          <w:rFonts w:hint="eastAsia" w:ascii="宋体" w:hAnsi="宋体"/>
          <w:bCs/>
          <w:color w:val="auto"/>
          <w:szCs w:val="21"/>
          <w:highlight w:val="none"/>
          <w:lang w:val="zh-CN"/>
        </w:rPr>
        <w:t>正本</w:t>
      </w:r>
      <w:r>
        <w:rPr>
          <w:rFonts w:ascii="宋体" w:hAnsi="宋体"/>
          <w:bCs/>
          <w:color w:val="auto"/>
          <w:szCs w:val="21"/>
          <w:highlight w:val="none"/>
          <w:lang w:val="zh-CN"/>
        </w:rPr>
        <w:t>”</w:t>
      </w:r>
      <w:r>
        <w:rPr>
          <w:rFonts w:hint="eastAsia" w:ascii="宋体" w:hAnsi="宋体"/>
          <w:bCs/>
          <w:color w:val="auto"/>
          <w:szCs w:val="21"/>
          <w:highlight w:val="none"/>
          <w:lang w:val="zh-CN"/>
        </w:rPr>
        <w:t>或</w:t>
      </w:r>
      <w:r>
        <w:rPr>
          <w:rFonts w:ascii="宋体" w:hAnsi="宋体"/>
          <w:bCs/>
          <w:color w:val="auto"/>
          <w:szCs w:val="21"/>
          <w:highlight w:val="none"/>
          <w:lang w:val="zh-CN"/>
        </w:rPr>
        <w:t>“</w:t>
      </w:r>
      <w:r>
        <w:rPr>
          <w:rFonts w:hint="eastAsia" w:ascii="宋体" w:hAnsi="宋体"/>
          <w:bCs/>
          <w:color w:val="auto"/>
          <w:szCs w:val="21"/>
          <w:highlight w:val="none"/>
          <w:lang w:val="zh-CN"/>
        </w:rPr>
        <w:t>副本</w:t>
      </w:r>
      <w:r>
        <w:rPr>
          <w:rFonts w:ascii="宋体" w:hAnsi="宋体"/>
          <w:bCs/>
          <w:color w:val="auto"/>
          <w:szCs w:val="21"/>
          <w:highlight w:val="none"/>
          <w:lang w:val="zh-CN"/>
        </w:rPr>
        <w:t>”</w:t>
      </w:r>
      <w:r>
        <w:rPr>
          <w:rFonts w:hint="eastAsia" w:ascii="宋体" w:hAnsi="宋体"/>
          <w:bCs/>
          <w:color w:val="auto"/>
          <w:szCs w:val="21"/>
          <w:highlight w:val="none"/>
          <w:lang w:val="zh-CN"/>
        </w:rPr>
        <w:t>的字样。当副本和正本不一致时，以正本为准。</w:t>
      </w:r>
    </w:p>
    <w:p w14:paraId="065769CC">
      <w:pPr>
        <w:spacing w:line="360" w:lineRule="auto"/>
        <w:ind w:firstLine="420" w:firstLineChars="200"/>
        <w:rPr>
          <w:rFonts w:ascii="宋体" w:hAnsi="宋体"/>
          <w:bCs/>
          <w:color w:val="auto"/>
          <w:szCs w:val="21"/>
          <w:highlight w:val="none"/>
          <w:lang w:val="zh-CN"/>
        </w:rPr>
      </w:pPr>
      <w:r>
        <w:rPr>
          <w:rFonts w:ascii="宋体" w:hAnsi="宋体"/>
          <w:bCs/>
          <w:color w:val="auto"/>
          <w:szCs w:val="21"/>
          <w:highlight w:val="none"/>
          <w:lang w:val="zh-CN"/>
        </w:rPr>
        <w:t>3</w:t>
      </w:r>
      <w:r>
        <w:rPr>
          <w:rFonts w:hint="eastAsia" w:ascii="宋体" w:hAnsi="宋体"/>
          <w:bCs/>
          <w:color w:val="auto"/>
          <w:szCs w:val="21"/>
          <w:highlight w:val="none"/>
          <w:lang w:val="zh-CN"/>
        </w:rPr>
        <w:t>.</w:t>
      </w:r>
      <w:r>
        <w:rPr>
          <w:rFonts w:hint="eastAsia" w:ascii="宋体" w:hAnsi="宋体"/>
          <w:bCs/>
          <w:color w:val="auto"/>
          <w:szCs w:val="21"/>
          <w:highlight w:val="none"/>
          <w:lang w:val="en-US" w:eastAsia="zh-CN"/>
        </w:rPr>
        <w:t>6</w:t>
      </w:r>
      <w:r>
        <w:rPr>
          <w:rFonts w:hint="eastAsia" w:ascii="宋体" w:hAnsi="宋体"/>
          <w:bCs/>
          <w:color w:val="auto"/>
          <w:szCs w:val="21"/>
          <w:highlight w:val="none"/>
          <w:lang w:val="zh-CN"/>
        </w:rPr>
        <w:t>.5 响应文件的正本与副本应分别装订成册，并编制目录，具体装订要求见申请人须知前附表规定。</w:t>
      </w:r>
    </w:p>
    <w:p w14:paraId="4842B64F">
      <w:pPr>
        <w:pStyle w:val="5"/>
        <w:rPr>
          <w:rFonts w:ascii="宋体" w:hAnsi="宋体"/>
          <w:color w:val="auto"/>
          <w:highlight w:val="none"/>
        </w:rPr>
      </w:pPr>
      <w:bookmarkStart w:id="8" w:name="_Toc184635074"/>
      <w:r>
        <w:rPr>
          <w:rFonts w:hint="eastAsia" w:ascii="宋体" w:hAnsi="宋体"/>
          <w:color w:val="auto"/>
          <w:highlight w:val="none"/>
        </w:rPr>
        <w:t>4．投标</w:t>
      </w:r>
      <w:bookmarkEnd w:id="8"/>
    </w:p>
    <w:p w14:paraId="06C785F4">
      <w:pPr>
        <w:pStyle w:val="6"/>
        <w:rPr>
          <w:rFonts w:ascii="宋体" w:hAnsi="宋体" w:eastAsia="宋体"/>
          <w:color w:val="auto"/>
          <w:highlight w:val="none"/>
        </w:rPr>
      </w:pPr>
      <w:r>
        <w:rPr>
          <w:rFonts w:hint="eastAsia" w:ascii="宋体" w:hAnsi="宋体" w:eastAsia="宋体"/>
          <w:color w:val="auto"/>
          <w:highlight w:val="none"/>
        </w:rPr>
        <w:t>4.1 响应文件的密封和标记</w:t>
      </w:r>
    </w:p>
    <w:p w14:paraId="4B78DE23">
      <w:pPr>
        <w:autoSpaceDE w:val="0"/>
        <w:autoSpaceDN w:val="0"/>
        <w:adjustRightInd w:val="0"/>
        <w:spacing w:line="400" w:lineRule="exact"/>
        <w:ind w:firstLine="480"/>
        <w:jc w:val="left"/>
        <w:rPr>
          <w:rFonts w:ascii="宋体" w:hAnsi="宋体" w:cs="宋体"/>
          <w:bCs/>
          <w:color w:val="auto"/>
          <w:szCs w:val="21"/>
          <w:highlight w:val="none"/>
          <w:lang w:val="zh-CN"/>
        </w:rPr>
      </w:pPr>
      <w:r>
        <w:rPr>
          <w:rFonts w:ascii="宋体" w:hAnsi="宋体" w:cs="宋体"/>
          <w:bCs/>
          <w:color w:val="auto"/>
          <w:szCs w:val="21"/>
          <w:highlight w:val="none"/>
          <w:lang w:val="zh-CN"/>
        </w:rPr>
        <w:t>4.1</w:t>
      </w:r>
      <w:r>
        <w:rPr>
          <w:rFonts w:hint="eastAsia" w:ascii="宋体" w:hAnsi="宋体" w:cs="宋体"/>
          <w:bCs/>
          <w:color w:val="auto"/>
          <w:szCs w:val="21"/>
          <w:highlight w:val="none"/>
          <w:lang w:val="zh-CN"/>
        </w:rPr>
        <w:t>.1 响应文件正、副本应分开包装，封套上应清楚地标记</w:t>
      </w:r>
      <w:r>
        <w:rPr>
          <w:rFonts w:ascii="宋体" w:hAnsi="宋体" w:cs="宋体"/>
          <w:bCs/>
          <w:color w:val="auto"/>
          <w:szCs w:val="21"/>
          <w:highlight w:val="none"/>
          <w:lang w:val="zh-CN"/>
        </w:rPr>
        <w:t>“</w:t>
      </w:r>
      <w:r>
        <w:rPr>
          <w:rFonts w:hint="eastAsia" w:ascii="宋体" w:hAnsi="宋体" w:cs="宋体"/>
          <w:bCs/>
          <w:color w:val="auto"/>
          <w:szCs w:val="21"/>
          <w:highlight w:val="none"/>
          <w:lang w:val="zh-CN"/>
        </w:rPr>
        <w:t>正本</w:t>
      </w:r>
      <w:r>
        <w:rPr>
          <w:rFonts w:ascii="宋体" w:hAnsi="宋体" w:cs="宋体"/>
          <w:bCs/>
          <w:color w:val="auto"/>
          <w:szCs w:val="21"/>
          <w:highlight w:val="none"/>
          <w:lang w:val="zh-CN"/>
        </w:rPr>
        <w:t>”</w:t>
      </w:r>
      <w:r>
        <w:rPr>
          <w:rFonts w:hint="eastAsia" w:ascii="宋体" w:hAnsi="宋体" w:cs="宋体"/>
          <w:bCs/>
          <w:color w:val="auto"/>
          <w:szCs w:val="21"/>
          <w:highlight w:val="none"/>
          <w:lang w:val="zh-CN"/>
        </w:rPr>
        <w:t>或</w:t>
      </w:r>
      <w:r>
        <w:rPr>
          <w:rFonts w:ascii="宋体" w:hAnsi="宋体" w:cs="宋体"/>
          <w:bCs/>
          <w:color w:val="auto"/>
          <w:szCs w:val="21"/>
          <w:highlight w:val="none"/>
          <w:lang w:val="zh-CN"/>
        </w:rPr>
        <w:t>“</w:t>
      </w:r>
      <w:r>
        <w:rPr>
          <w:rFonts w:hint="eastAsia" w:ascii="宋体" w:hAnsi="宋体" w:cs="宋体"/>
          <w:bCs/>
          <w:color w:val="auto"/>
          <w:szCs w:val="21"/>
          <w:highlight w:val="none"/>
          <w:lang w:val="zh-CN"/>
        </w:rPr>
        <w:t>副本</w:t>
      </w:r>
      <w:r>
        <w:rPr>
          <w:rFonts w:ascii="宋体" w:hAnsi="宋体" w:cs="宋体"/>
          <w:bCs/>
          <w:color w:val="auto"/>
          <w:szCs w:val="21"/>
          <w:highlight w:val="none"/>
          <w:lang w:val="zh-CN"/>
        </w:rPr>
        <w:t>”</w:t>
      </w:r>
      <w:r>
        <w:rPr>
          <w:rFonts w:hint="eastAsia" w:ascii="宋体" w:hAnsi="宋体" w:cs="宋体"/>
          <w:bCs/>
          <w:color w:val="auto"/>
          <w:szCs w:val="21"/>
          <w:highlight w:val="none"/>
          <w:lang w:val="zh-CN"/>
        </w:rPr>
        <w:t>字样，并在封套的封口处加盖申请人单位章。封套上应写明的其他内容见申请人须知前附表。</w:t>
      </w:r>
    </w:p>
    <w:p w14:paraId="53D7FFB5">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4.1.2电子U盘、磋商报价函，单独放入一个密封袋中，加贴封条，并在封套封口处加盖申请人单位公章，在封套上分别标记“响应文件电子版”或“磋商报价函”字样。</w:t>
      </w:r>
    </w:p>
    <w:p w14:paraId="79474F32">
      <w:pPr>
        <w:autoSpaceDE w:val="0"/>
        <w:autoSpaceDN w:val="0"/>
        <w:adjustRightInd w:val="0"/>
        <w:spacing w:line="400" w:lineRule="exact"/>
        <w:ind w:firstLine="420" w:firstLineChars="200"/>
        <w:jc w:val="left"/>
        <w:rPr>
          <w:rFonts w:ascii="宋体" w:hAnsi="宋体" w:cs="宋体"/>
          <w:bCs/>
          <w:color w:val="auto"/>
          <w:szCs w:val="21"/>
          <w:highlight w:val="none"/>
          <w:lang w:val="zh-CN"/>
        </w:rPr>
      </w:pPr>
      <w:r>
        <w:rPr>
          <w:rFonts w:ascii="宋体" w:hAnsi="宋体" w:cs="宋体"/>
          <w:bCs/>
          <w:color w:val="auto"/>
          <w:szCs w:val="21"/>
          <w:highlight w:val="none"/>
          <w:lang w:val="zh-CN"/>
        </w:rPr>
        <w:t>4.1.</w:t>
      </w:r>
      <w:r>
        <w:rPr>
          <w:rFonts w:hint="eastAsia" w:ascii="宋体" w:hAnsi="宋体" w:cs="宋体"/>
          <w:bCs/>
          <w:color w:val="auto"/>
          <w:szCs w:val="21"/>
          <w:highlight w:val="none"/>
          <w:lang w:val="zh-CN"/>
        </w:rPr>
        <w:t>3未按本章第</w:t>
      </w:r>
      <w:r>
        <w:rPr>
          <w:rFonts w:ascii="宋体" w:hAnsi="宋体" w:cs="宋体"/>
          <w:bCs/>
          <w:color w:val="auto"/>
          <w:szCs w:val="21"/>
          <w:highlight w:val="none"/>
          <w:lang w:val="zh-CN"/>
        </w:rPr>
        <w:t>4.1</w:t>
      </w:r>
      <w:r>
        <w:rPr>
          <w:rFonts w:hint="eastAsia" w:ascii="宋体" w:hAnsi="宋体" w:cs="宋体"/>
          <w:bCs/>
          <w:color w:val="auto"/>
          <w:szCs w:val="21"/>
          <w:highlight w:val="none"/>
          <w:lang w:val="zh-CN"/>
        </w:rPr>
        <w:t>条要求密封和加写标记的响应文件，采购人不予受理。</w:t>
      </w:r>
    </w:p>
    <w:p w14:paraId="6CE78722">
      <w:pPr>
        <w:pStyle w:val="6"/>
        <w:rPr>
          <w:rFonts w:ascii="宋体" w:hAnsi="宋体" w:eastAsia="宋体"/>
          <w:color w:val="auto"/>
          <w:highlight w:val="none"/>
        </w:rPr>
      </w:pPr>
      <w:r>
        <w:rPr>
          <w:rFonts w:hint="eastAsia" w:ascii="宋体" w:hAnsi="宋体" w:eastAsia="宋体"/>
          <w:color w:val="auto"/>
          <w:highlight w:val="none"/>
        </w:rPr>
        <w:t>4.2 响应文件的递交</w:t>
      </w:r>
    </w:p>
    <w:p w14:paraId="14ACFDA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4.2.1 申请人应在本章第2.2.2 项规定的递交响应文件截止时间前</w:t>
      </w:r>
      <w:r>
        <w:rPr>
          <w:rFonts w:hint="eastAsia" w:ascii="宋体" w:hAnsi="宋体"/>
          <w:color w:val="auto"/>
          <w:szCs w:val="21"/>
          <w:highlight w:val="none"/>
          <w:lang w:val="en-US" w:eastAsia="zh-CN"/>
        </w:rPr>
        <w:t>上传</w:t>
      </w:r>
      <w:r>
        <w:rPr>
          <w:rFonts w:hint="eastAsia" w:ascii="宋体" w:hAnsi="宋体"/>
          <w:color w:val="auto"/>
          <w:szCs w:val="21"/>
          <w:highlight w:val="none"/>
        </w:rPr>
        <w:t>响应文件。</w:t>
      </w:r>
    </w:p>
    <w:p w14:paraId="7FE0EC9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4.2.2 申请人递交响应文件的地点：见申请人须知前附表。</w:t>
      </w:r>
    </w:p>
    <w:p w14:paraId="705B2BC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4.2.3 除申请人须知前附表另有规定外，申请人所递交的响应文件不予退还。</w:t>
      </w:r>
    </w:p>
    <w:p w14:paraId="1B60DB1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4.2.4 采购人收到响应文件后，向申请人出具签收凭证。</w:t>
      </w:r>
    </w:p>
    <w:p w14:paraId="75BA6FA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4.2.5 逾期送达的或者未送达指定地点的响应文件，采购人不予受理。</w:t>
      </w:r>
    </w:p>
    <w:p w14:paraId="0965DF8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4.3 响应文件的修改与撤回</w:t>
      </w:r>
    </w:p>
    <w:p w14:paraId="6EA3A5C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4.3.1 在本章第2.2.2 项规定的递交响应文件截止时间前，申请人可以修改或撤回已递交的响应文件，但应以书面形式通知采购人。</w:t>
      </w:r>
    </w:p>
    <w:p w14:paraId="41B992F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4.3.2 申请人修改或撤回已递交响应文件的书面通知应按照本章第3.7.3 项的要求签字或盖章。采购人收到书面通知后，向申请人出具签收凭证。</w:t>
      </w:r>
    </w:p>
    <w:p w14:paraId="73E88B8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4.3.3 修改的内容为响应文件的组成部分。修改的响应文件应按照本章第3 条、第4 条规定进行编制、密封、标记和递交，并标明“修改”字样。</w:t>
      </w:r>
    </w:p>
    <w:p w14:paraId="20CE0C8B">
      <w:pPr>
        <w:pStyle w:val="5"/>
        <w:rPr>
          <w:rFonts w:hint="eastAsia" w:ascii="宋体" w:hAnsi="宋体" w:eastAsia="宋体"/>
          <w:color w:val="auto"/>
          <w:highlight w:val="none"/>
          <w:lang w:eastAsia="zh-CN"/>
        </w:rPr>
      </w:pPr>
      <w:bookmarkStart w:id="9" w:name="_Toc184635075"/>
      <w:r>
        <w:rPr>
          <w:rFonts w:hint="eastAsia" w:ascii="宋体" w:hAnsi="宋体"/>
          <w:color w:val="auto"/>
          <w:highlight w:val="none"/>
        </w:rPr>
        <w:t>5．开</w:t>
      </w:r>
      <w:bookmarkEnd w:id="9"/>
      <w:r>
        <w:rPr>
          <w:rFonts w:hint="eastAsia" w:ascii="宋体" w:hAnsi="宋体"/>
          <w:color w:val="auto"/>
          <w:highlight w:val="none"/>
          <w:lang w:val="en-US" w:eastAsia="zh-CN"/>
        </w:rPr>
        <w:t>启</w:t>
      </w:r>
    </w:p>
    <w:p w14:paraId="79F38CCD">
      <w:pPr>
        <w:pStyle w:val="6"/>
        <w:rPr>
          <w:rFonts w:ascii="宋体" w:hAnsi="宋体" w:eastAsia="宋体"/>
          <w:color w:val="auto"/>
          <w:highlight w:val="none"/>
        </w:rPr>
      </w:pPr>
      <w:r>
        <w:rPr>
          <w:rFonts w:hint="eastAsia" w:ascii="宋体" w:hAnsi="宋体" w:eastAsia="宋体"/>
          <w:color w:val="auto"/>
          <w:highlight w:val="none"/>
        </w:rPr>
        <w:t>5.1 开启时间和地点</w:t>
      </w:r>
    </w:p>
    <w:p w14:paraId="27B9CFA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采购人在本章</w:t>
      </w:r>
      <w:r>
        <w:rPr>
          <w:rFonts w:hint="eastAsia" w:ascii="宋体" w:hAnsi="宋体"/>
          <w:color w:val="000000" w:themeColor="text1"/>
          <w:szCs w:val="21"/>
          <w:highlight w:val="none"/>
          <w14:textFill>
            <w14:solidFill>
              <w14:schemeClr w14:val="tx1"/>
            </w14:solidFill>
          </w14:textFill>
        </w:rPr>
        <w:t>第2.2.2 项规定</w:t>
      </w:r>
      <w:r>
        <w:rPr>
          <w:rFonts w:hint="eastAsia" w:ascii="宋体" w:hAnsi="宋体"/>
          <w:color w:val="auto"/>
          <w:szCs w:val="21"/>
          <w:highlight w:val="none"/>
        </w:rPr>
        <w:t>的递交响应文件截止时间（开启时间）</w:t>
      </w:r>
      <w:r>
        <w:rPr>
          <w:rFonts w:hint="eastAsia" w:ascii="宋体" w:hAnsi="宋体"/>
          <w:color w:val="auto"/>
          <w:szCs w:val="21"/>
          <w:highlight w:val="none"/>
          <w:lang w:val="zh-CN"/>
        </w:rPr>
        <w:t>和供应商须知前附表规定的网址、地点</w:t>
      </w:r>
      <w:r>
        <w:rPr>
          <w:rFonts w:hint="eastAsia" w:ascii="宋体" w:hAnsi="宋体"/>
          <w:color w:val="auto"/>
          <w:szCs w:val="21"/>
          <w:highlight w:val="none"/>
          <w:lang w:val="en-US" w:eastAsia="zh-CN"/>
        </w:rPr>
        <w:t>参加磋商会议</w:t>
      </w:r>
      <w:r>
        <w:rPr>
          <w:rFonts w:hint="eastAsia" w:ascii="宋体" w:hAnsi="宋体"/>
          <w:color w:val="auto"/>
          <w:szCs w:val="21"/>
          <w:highlight w:val="none"/>
        </w:rPr>
        <w:t>。</w:t>
      </w:r>
    </w:p>
    <w:p w14:paraId="5B26676F">
      <w:pPr>
        <w:pStyle w:val="6"/>
        <w:rPr>
          <w:rFonts w:ascii="宋体" w:hAnsi="宋体" w:eastAsia="宋体"/>
          <w:color w:val="auto"/>
          <w:highlight w:val="none"/>
        </w:rPr>
      </w:pPr>
      <w:r>
        <w:rPr>
          <w:rFonts w:hint="eastAsia" w:ascii="宋体" w:hAnsi="宋体" w:eastAsia="宋体"/>
          <w:color w:val="auto"/>
          <w:highlight w:val="none"/>
        </w:rPr>
        <w:t>5.2 磋商程序</w:t>
      </w:r>
    </w:p>
    <w:p w14:paraId="04D3F00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主持人按下列程序进行开标：</w:t>
      </w:r>
    </w:p>
    <w:p w14:paraId="19D57EBF">
      <w:pPr>
        <w:pStyle w:val="6"/>
        <w:rPr>
          <w:rFonts w:hint="eastAsia" w:ascii="宋体" w:hAnsi="宋体" w:eastAsia="宋体" w:cs="Times New Roman"/>
          <w:b w:val="0"/>
          <w:bCs w:val="0"/>
          <w:color w:val="auto"/>
          <w:kern w:val="2"/>
          <w:sz w:val="21"/>
          <w:szCs w:val="21"/>
          <w:highlight w:val="none"/>
          <w:lang w:val="zh-CN" w:eastAsia="zh-CN" w:bidi="ar-SA"/>
        </w:rPr>
      </w:pPr>
      <w:bookmarkStart w:id="10" w:name="_Toc184635076"/>
      <w:r>
        <w:rPr>
          <w:rFonts w:hint="eastAsia" w:ascii="宋体" w:hAnsi="宋体" w:eastAsia="宋体" w:cs="Times New Roman"/>
          <w:b w:val="0"/>
          <w:bCs w:val="0"/>
          <w:color w:val="auto"/>
          <w:kern w:val="2"/>
          <w:sz w:val="21"/>
          <w:szCs w:val="21"/>
          <w:highlight w:val="none"/>
          <w:lang w:val="zh-CN" w:eastAsia="zh-CN" w:bidi="ar-SA"/>
        </w:rPr>
        <w:t>（1）宣布开标纪律；</w:t>
      </w:r>
    </w:p>
    <w:p w14:paraId="3521AB79">
      <w:pPr>
        <w:pStyle w:val="6"/>
        <w:rPr>
          <w:rFonts w:hint="eastAsia" w:ascii="宋体" w:hAnsi="宋体" w:eastAsia="宋体" w:cs="Times New Roman"/>
          <w:b w:val="0"/>
          <w:bCs w:val="0"/>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highlight w:val="none"/>
          <w:lang w:val="zh-CN" w:eastAsia="zh-CN" w:bidi="ar-SA"/>
          <w14:textFill>
            <w14:solidFill>
              <w14:schemeClr w14:val="tx1"/>
            </w14:solidFill>
          </w14:textFill>
        </w:rPr>
        <w:t>（2）查看并公布投标报名名单；</w:t>
      </w:r>
    </w:p>
    <w:p w14:paraId="28882DCF">
      <w:pPr>
        <w:pStyle w:val="6"/>
        <w:rPr>
          <w:rFonts w:hint="eastAsia" w:ascii="宋体" w:hAnsi="宋体" w:eastAsia="宋体" w:cs="Times New Roman"/>
          <w:b w:val="0"/>
          <w:bCs w:val="0"/>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highlight w:val="none"/>
          <w:lang w:val="zh-CN" w:eastAsia="zh-CN" w:bidi="ar-SA"/>
          <w14:textFill>
            <w14:solidFill>
              <w14:schemeClr w14:val="tx1"/>
            </w14:solidFill>
          </w14:textFill>
        </w:rPr>
        <w:t>（3）宣布开标人、监标人等有关人员；</w:t>
      </w:r>
    </w:p>
    <w:p w14:paraId="2AFA565A">
      <w:pPr>
        <w:pStyle w:val="6"/>
        <w:rPr>
          <w:rFonts w:hint="eastAsia" w:ascii="宋体" w:hAnsi="宋体" w:eastAsia="宋体" w:cs="Times New Roman"/>
          <w:b w:val="0"/>
          <w:bCs w:val="0"/>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highlight w:val="none"/>
          <w:lang w:val="zh-CN" w:eastAsia="zh-CN" w:bidi="ar-SA"/>
          <w14:textFill>
            <w14:solidFill>
              <w14:schemeClr w14:val="tx1"/>
            </w14:solidFill>
          </w14:textFill>
        </w:rPr>
        <w:t>（4）采购代理机构</w:t>
      </w:r>
      <w:r>
        <w:rPr>
          <w:rFonts w:hint="eastAsia" w:ascii="宋体" w:hAnsi="宋体" w:eastAsia="宋体" w:cs="Times New Roman"/>
          <w:b w:val="0"/>
          <w:bCs w:val="0"/>
          <w:color w:val="000000" w:themeColor="text1"/>
          <w:kern w:val="2"/>
          <w:sz w:val="21"/>
          <w:szCs w:val="21"/>
          <w:highlight w:val="none"/>
          <w:lang w:val="en-US" w:eastAsia="zh-CN" w:bidi="ar-SA"/>
          <w14:textFill>
            <w14:solidFill>
              <w14:schemeClr w14:val="tx1"/>
            </w14:solidFill>
          </w14:textFill>
        </w:rPr>
        <w:t>对</w:t>
      </w:r>
      <w:r>
        <w:rPr>
          <w:rFonts w:hint="eastAsia" w:ascii="宋体" w:hAnsi="宋体" w:eastAsia="宋体" w:cs="Times New Roman"/>
          <w:b w:val="0"/>
          <w:bCs w:val="0"/>
          <w:color w:val="000000" w:themeColor="text1"/>
          <w:kern w:val="2"/>
          <w:sz w:val="21"/>
          <w:szCs w:val="21"/>
          <w:highlight w:val="none"/>
          <w:lang w:val="zh-CN" w:eastAsia="zh-CN" w:bidi="ar-SA"/>
          <w14:textFill>
            <w14:solidFill>
              <w14:schemeClr w14:val="tx1"/>
            </w14:solidFill>
          </w14:textFill>
        </w:rPr>
        <w:t>供应商电子投标文件解密。</w:t>
      </w:r>
    </w:p>
    <w:p w14:paraId="51D16B10">
      <w:pPr>
        <w:pStyle w:val="5"/>
        <w:rPr>
          <w:rFonts w:ascii="宋体" w:hAnsi="宋体"/>
          <w:color w:val="auto"/>
          <w:highlight w:val="none"/>
        </w:rPr>
      </w:pPr>
      <w:r>
        <w:rPr>
          <w:rFonts w:hint="eastAsia" w:ascii="宋体" w:hAnsi="宋体"/>
          <w:color w:val="auto"/>
          <w:highlight w:val="none"/>
        </w:rPr>
        <w:t>6．评审</w:t>
      </w:r>
      <w:bookmarkEnd w:id="10"/>
    </w:p>
    <w:p w14:paraId="30869151">
      <w:pPr>
        <w:pStyle w:val="6"/>
        <w:rPr>
          <w:rFonts w:ascii="宋体" w:hAnsi="宋体" w:eastAsia="宋体"/>
          <w:color w:val="auto"/>
          <w:highlight w:val="none"/>
        </w:rPr>
      </w:pPr>
      <w:r>
        <w:rPr>
          <w:rFonts w:hint="eastAsia" w:ascii="宋体" w:hAnsi="宋体" w:eastAsia="宋体"/>
          <w:color w:val="auto"/>
          <w:highlight w:val="none"/>
        </w:rPr>
        <w:t>6.1 磋商小组</w:t>
      </w:r>
    </w:p>
    <w:p w14:paraId="00D3282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6.1.1 评审工作由采购人依法组建的磋商小组负责。磋商小组由采购人代表和有关技术、经济等方面专家，共</w:t>
      </w:r>
      <w:r>
        <w:rPr>
          <w:rFonts w:hint="eastAsia" w:ascii="宋体" w:hAnsi="宋体"/>
          <w:color w:val="auto"/>
          <w:szCs w:val="21"/>
          <w:highlight w:val="none"/>
          <w:lang w:val="en-US" w:eastAsia="zh-CN"/>
        </w:rPr>
        <w:t xml:space="preserve">3 </w:t>
      </w:r>
      <w:r>
        <w:rPr>
          <w:rFonts w:hint="eastAsia" w:ascii="宋体" w:hAnsi="宋体"/>
          <w:color w:val="auto"/>
          <w:szCs w:val="21"/>
          <w:highlight w:val="none"/>
        </w:rPr>
        <w:t>人组成。磋商小组成员人数以及技术、经济等方面专家的确定方式见申请人须知前附表。</w:t>
      </w:r>
    </w:p>
    <w:p w14:paraId="4FFC710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6.1.2 磋商小组成员有下列情形之一的，应当回避：</w:t>
      </w:r>
    </w:p>
    <w:p w14:paraId="5C3D31B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(1）采购人或申请人的主要负责人的近亲属；</w:t>
      </w:r>
    </w:p>
    <w:p w14:paraId="12B6E98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(2）项目主管部门或者行政监督部门的人员；</w:t>
      </w:r>
    </w:p>
    <w:p w14:paraId="519CD99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(3）与申请人有经济利益关系，可能影响对投标公正评审的；</w:t>
      </w:r>
    </w:p>
    <w:p w14:paraId="5C20EF8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(4）曾因在招标、评审工作以及其他与招标投标有关活动中从事违法行为而受过行政处罚或刑事处罚的。</w:t>
      </w:r>
    </w:p>
    <w:p w14:paraId="772DF142">
      <w:pPr>
        <w:pStyle w:val="6"/>
        <w:rPr>
          <w:rFonts w:ascii="宋体" w:hAnsi="宋体" w:eastAsia="宋体"/>
          <w:color w:val="auto"/>
          <w:highlight w:val="none"/>
        </w:rPr>
      </w:pPr>
      <w:r>
        <w:rPr>
          <w:rFonts w:hint="eastAsia" w:ascii="宋体" w:hAnsi="宋体" w:eastAsia="宋体"/>
          <w:color w:val="auto"/>
          <w:highlight w:val="none"/>
        </w:rPr>
        <w:t>6.2 评审原则</w:t>
      </w:r>
    </w:p>
    <w:p w14:paraId="79A888D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评审工作活动遵循公平、公正、科学和择优的原则。</w:t>
      </w:r>
    </w:p>
    <w:p w14:paraId="29743F5C">
      <w:pPr>
        <w:pStyle w:val="6"/>
        <w:rPr>
          <w:rFonts w:ascii="宋体" w:hAnsi="宋体" w:eastAsia="宋体"/>
          <w:color w:val="auto"/>
          <w:highlight w:val="none"/>
        </w:rPr>
      </w:pPr>
      <w:r>
        <w:rPr>
          <w:rFonts w:hint="eastAsia" w:ascii="宋体" w:hAnsi="宋体" w:eastAsia="宋体"/>
          <w:color w:val="auto"/>
          <w:highlight w:val="none"/>
        </w:rPr>
        <w:t>6.3 评审工作</w:t>
      </w:r>
    </w:p>
    <w:p w14:paraId="6D3CF51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磋商小组按照第三章“评审办法”规定的方法、评审因素、标准和程序对响应文件进行评审。第三章“评审办法”没有规定的方法、评审因素和标准，不作为评审工作依据。</w:t>
      </w:r>
    </w:p>
    <w:p w14:paraId="0FAE2C06">
      <w:pPr>
        <w:spacing w:line="360" w:lineRule="auto"/>
        <w:ind w:firstLine="420" w:firstLineChars="200"/>
        <w:rPr>
          <w:rFonts w:ascii="宋体" w:hAnsi="宋体"/>
          <w:color w:val="auto"/>
          <w:szCs w:val="21"/>
          <w:highlight w:val="none"/>
          <w:lang w:val="zh-TW"/>
        </w:rPr>
      </w:pPr>
      <w:r>
        <w:rPr>
          <w:rFonts w:hint="eastAsia" w:ascii="宋体" w:hAnsi="宋体"/>
          <w:color w:val="auto"/>
          <w:szCs w:val="21"/>
          <w:highlight w:val="none"/>
        </w:rPr>
        <w:t>6.3.1</w:t>
      </w:r>
      <w:r>
        <w:rPr>
          <w:rFonts w:ascii="宋体" w:hAnsi="宋体"/>
          <w:color w:val="auto"/>
          <w:szCs w:val="21"/>
          <w:highlight w:val="none"/>
          <w:lang w:val="zh-TW"/>
        </w:rPr>
        <w:t>磋商小组对所有响应文件进行</w:t>
      </w:r>
      <w:r>
        <w:rPr>
          <w:rFonts w:hint="eastAsia" w:ascii="宋体" w:hAnsi="宋体"/>
          <w:color w:val="auto"/>
          <w:szCs w:val="21"/>
          <w:highlight w:val="none"/>
          <w:lang w:val="zh-TW"/>
        </w:rPr>
        <w:t>资格、</w:t>
      </w:r>
      <w:r>
        <w:rPr>
          <w:rFonts w:hint="eastAsia" w:ascii="宋体" w:hAnsi="宋体"/>
          <w:color w:val="auto"/>
          <w:szCs w:val="21"/>
          <w:highlight w:val="none"/>
          <w:lang w:val="en-US" w:eastAsia="zh-CN"/>
        </w:rPr>
        <w:t>符合</w:t>
      </w:r>
      <w:r>
        <w:rPr>
          <w:rFonts w:hint="eastAsia" w:ascii="宋体" w:hAnsi="宋体"/>
          <w:color w:val="auto"/>
          <w:szCs w:val="21"/>
          <w:highlight w:val="none"/>
          <w:lang w:val="zh-TW"/>
        </w:rPr>
        <w:t>性评审；</w:t>
      </w:r>
    </w:p>
    <w:p w14:paraId="7CA3FD5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6.3.2</w:t>
      </w:r>
      <w:r>
        <w:rPr>
          <w:rFonts w:ascii="宋体" w:hAnsi="宋体"/>
          <w:color w:val="auto"/>
          <w:szCs w:val="21"/>
          <w:highlight w:val="none"/>
          <w:lang w:val="zh-TW"/>
        </w:rPr>
        <w:t>磋商小组所有成员集中与通过</w:t>
      </w:r>
      <w:r>
        <w:rPr>
          <w:rFonts w:hint="eastAsia" w:ascii="宋体" w:hAnsi="宋体"/>
          <w:color w:val="auto"/>
          <w:szCs w:val="21"/>
          <w:highlight w:val="none"/>
          <w:lang w:val="zh-TW"/>
        </w:rPr>
        <w:t>资格、</w:t>
      </w:r>
      <w:r>
        <w:rPr>
          <w:rFonts w:hint="eastAsia" w:ascii="宋体" w:hAnsi="宋体"/>
          <w:color w:val="auto"/>
          <w:szCs w:val="21"/>
          <w:highlight w:val="none"/>
          <w:lang w:val="zh-TW" w:eastAsia="zh-CN"/>
        </w:rPr>
        <w:t>符合</w:t>
      </w:r>
      <w:r>
        <w:rPr>
          <w:rFonts w:hint="eastAsia" w:ascii="宋体" w:hAnsi="宋体"/>
          <w:color w:val="auto"/>
          <w:szCs w:val="21"/>
          <w:highlight w:val="none"/>
          <w:lang w:val="zh-TW"/>
        </w:rPr>
        <w:t>性评审</w:t>
      </w:r>
      <w:r>
        <w:rPr>
          <w:rFonts w:ascii="宋体" w:hAnsi="宋体"/>
          <w:color w:val="auto"/>
          <w:szCs w:val="21"/>
          <w:highlight w:val="none"/>
          <w:lang w:val="zh-TW"/>
        </w:rPr>
        <w:t>的单一</w:t>
      </w:r>
      <w:r>
        <w:rPr>
          <w:rFonts w:hint="eastAsia" w:ascii="宋体" w:hAnsi="宋体"/>
          <w:color w:val="auto"/>
          <w:szCs w:val="21"/>
          <w:highlight w:val="none"/>
          <w:lang w:val="zh-TW"/>
        </w:rPr>
        <w:t>申请人</w:t>
      </w:r>
      <w:r>
        <w:rPr>
          <w:rFonts w:ascii="宋体" w:hAnsi="宋体"/>
          <w:color w:val="auto"/>
          <w:szCs w:val="21"/>
          <w:highlight w:val="none"/>
          <w:lang w:val="zh-TW"/>
        </w:rPr>
        <w:t>分别进行磋商，并给予所有参加磋商的</w:t>
      </w:r>
      <w:r>
        <w:rPr>
          <w:rFonts w:hint="eastAsia" w:ascii="宋体" w:hAnsi="宋体"/>
          <w:color w:val="auto"/>
          <w:szCs w:val="21"/>
          <w:highlight w:val="none"/>
          <w:lang w:val="zh-TW"/>
        </w:rPr>
        <w:t>申请人</w:t>
      </w:r>
      <w:r>
        <w:rPr>
          <w:rFonts w:ascii="宋体" w:hAnsi="宋体"/>
          <w:color w:val="auto"/>
          <w:szCs w:val="21"/>
          <w:highlight w:val="none"/>
          <w:lang w:val="zh-TW"/>
        </w:rPr>
        <w:t>平等的磋商机会。</w:t>
      </w:r>
      <w:r>
        <w:rPr>
          <w:rFonts w:hint="eastAsia" w:ascii="宋体" w:hAnsi="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5A80412F">
      <w:pPr>
        <w:spacing w:line="360" w:lineRule="auto"/>
        <w:ind w:firstLine="420" w:firstLineChars="200"/>
        <w:rPr>
          <w:rFonts w:ascii="宋体" w:hAnsi="宋体"/>
          <w:color w:val="auto"/>
          <w:szCs w:val="21"/>
          <w:highlight w:val="none"/>
          <w:lang w:val="zh-TW"/>
        </w:rPr>
      </w:pPr>
      <w:r>
        <w:rPr>
          <w:rFonts w:hint="eastAsia" w:ascii="宋体" w:hAnsi="宋体" w:cs="宋体"/>
          <w:color w:val="auto"/>
          <w:highlight w:val="none"/>
        </w:rPr>
        <w:t>对磋商文件作出的实质性变动是磋商文件的有效组成部分，磋商小组应当及时以书面形式同时通知所有参加磋商的申请人。</w:t>
      </w:r>
    </w:p>
    <w:p w14:paraId="238C800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申请人应当按照磋商文件的变动情况和磋商小组的要求重新提交响应文件，并由其法定代表人或授权代表签字或者加盖公章。由授权代表签字的，应当附法定代表人授权书。申请人为自然人的，应当由本人签字并附身份证明。</w:t>
      </w:r>
    </w:p>
    <w:p w14:paraId="584B08FC">
      <w:pPr>
        <w:spacing w:line="360" w:lineRule="auto"/>
        <w:ind w:firstLine="420" w:firstLineChars="200"/>
        <w:rPr>
          <w:rFonts w:ascii="宋体" w:hAnsi="宋体" w:cs="宋体"/>
          <w:color w:val="auto"/>
          <w:highlight w:val="none"/>
        </w:rPr>
      </w:pPr>
      <w:r>
        <w:rPr>
          <w:rFonts w:hint="eastAsia" w:ascii="宋体" w:hAnsi="宋体"/>
          <w:color w:val="auto"/>
          <w:szCs w:val="21"/>
          <w:highlight w:val="none"/>
        </w:rPr>
        <w:t>6.3.3</w:t>
      </w:r>
      <w:r>
        <w:rPr>
          <w:rFonts w:hint="eastAsia" w:ascii="宋体" w:hAnsi="宋体" w:cs="宋体"/>
          <w:color w:val="auto"/>
          <w:highlight w:val="none"/>
        </w:rPr>
        <w:t>磋商文件能够详细列明采购标的的技术、服务要求的，磋商结束后，磋商小组应当要求所有实质性响应的申请人在规定时间内提交最后报价，提交最后报价的申请人不得少于3家。</w:t>
      </w:r>
    </w:p>
    <w:p w14:paraId="4687E66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磋商文件不能详细列明采购标的的技术、服务要求，需经磋商由申请人提供最终设计方案或解决方案的，磋商结束后，磋商小组应当按照少数服从多数的原则投票推荐3家以上申请人的设计方案或者解决方案，并要求其在规定时间内提交最后报价。最后报价是申请人响应文件的有效组成部分。</w:t>
      </w:r>
    </w:p>
    <w:p w14:paraId="76C82044">
      <w:pPr>
        <w:spacing w:line="360" w:lineRule="auto"/>
        <w:ind w:firstLine="420" w:firstLineChars="200"/>
        <w:rPr>
          <w:rFonts w:ascii="宋体" w:hAnsi="宋体"/>
          <w:color w:val="auto"/>
          <w:szCs w:val="21"/>
          <w:highlight w:val="none"/>
          <w:lang w:val="zh-TW"/>
        </w:rPr>
      </w:pPr>
      <w:r>
        <w:rPr>
          <w:rFonts w:hint="eastAsia" w:ascii="宋体" w:hAnsi="宋体" w:cs="宋体"/>
          <w:color w:val="auto"/>
          <w:highlight w:val="none"/>
        </w:rPr>
        <w:t>已提交响应文件的申请人，在提交最后报价之前，可以根据磋商情况退出磋商。采购人、采购代理机构应当退还退出磋商的申请人的磋商保证金。</w:t>
      </w:r>
    </w:p>
    <w:p w14:paraId="2F82FB9A">
      <w:pPr>
        <w:spacing w:line="360" w:lineRule="auto"/>
        <w:ind w:firstLine="420" w:firstLineChars="200"/>
        <w:rPr>
          <w:rFonts w:ascii="宋体" w:hAnsi="宋体"/>
          <w:color w:val="auto"/>
          <w:szCs w:val="21"/>
          <w:highlight w:val="none"/>
          <w:lang w:val="zh-TW"/>
        </w:rPr>
      </w:pPr>
      <w:r>
        <w:rPr>
          <w:rFonts w:hint="eastAsia" w:ascii="宋体" w:hAnsi="宋体"/>
          <w:color w:val="auto"/>
          <w:szCs w:val="21"/>
          <w:highlight w:val="none"/>
          <w:lang w:val="zh-TW"/>
        </w:rPr>
        <w:t>6.3.4</w:t>
      </w:r>
      <w:r>
        <w:rPr>
          <w:rFonts w:hint="eastAsia" w:ascii="宋体" w:hAnsi="宋体"/>
          <w:color w:val="auto"/>
          <w:szCs w:val="21"/>
          <w:highlight w:val="none"/>
        </w:rPr>
        <w:t>经磋商确定最终采购需求和提交最后报价的申请人后，由磋商小组采用综合评分法对提交最后报价的申请人的响应文件和最后报价进行综合评分</w:t>
      </w:r>
      <w:r>
        <w:rPr>
          <w:rFonts w:ascii="宋体" w:hAnsi="宋体"/>
          <w:color w:val="auto"/>
          <w:szCs w:val="21"/>
          <w:highlight w:val="none"/>
          <w:lang w:val="zh-TW"/>
        </w:rPr>
        <w:t>；</w:t>
      </w:r>
    </w:p>
    <w:p w14:paraId="33886428">
      <w:pPr>
        <w:spacing w:line="360" w:lineRule="auto"/>
        <w:ind w:firstLine="420" w:firstLineChars="200"/>
        <w:rPr>
          <w:color w:val="auto"/>
          <w:szCs w:val="21"/>
          <w:highlight w:val="none"/>
        </w:rPr>
      </w:pPr>
      <w:r>
        <w:rPr>
          <w:rFonts w:hint="eastAsia" w:ascii="宋体" w:hAnsi="宋体"/>
          <w:color w:val="auto"/>
          <w:szCs w:val="21"/>
          <w:highlight w:val="none"/>
          <w:lang w:val="zh-TW"/>
        </w:rPr>
        <w:t>6.3.5</w:t>
      </w:r>
      <w:r>
        <w:rPr>
          <w:rFonts w:hint="eastAsia"/>
          <w:color w:val="auto"/>
          <w:szCs w:val="21"/>
          <w:highlight w:val="none"/>
        </w:rPr>
        <w:t>磋商小组应当根据综合评分情况，按照评审得分由高到低顺序推荐3名成交候选人，并编写评审报告。评审得分相同的，按照最后报价由低到高的顺序推荐。评审得分且最后报价相同的，按照技术指标优劣顺序推荐。</w:t>
      </w:r>
    </w:p>
    <w:p w14:paraId="4324E6E2">
      <w:pPr>
        <w:pStyle w:val="5"/>
        <w:rPr>
          <w:rFonts w:ascii="宋体" w:hAnsi="宋体"/>
          <w:color w:val="auto"/>
          <w:highlight w:val="none"/>
        </w:rPr>
      </w:pPr>
      <w:bookmarkStart w:id="11" w:name="_Toc184635077"/>
      <w:r>
        <w:rPr>
          <w:rFonts w:hint="eastAsia" w:ascii="宋体" w:hAnsi="宋体"/>
          <w:color w:val="auto"/>
          <w:highlight w:val="none"/>
        </w:rPr>
        <w:t>7．合同授予</w:t>
      </w:r>
      <w:bookmarkEnd w:id="11"/>
    </w:p>
    <w:p w14:paraId="6FB84B40">
      <w:pPr>
        <w:pStyle w:val="6"/>
        <w:rPr>
          <w:rFonts w:ascii="宋体" w:hAnsi="宋体" w:eastAsia="宋体"/>
          <w:color w:val="auto"/>
          <w:highlight w:val="none"/>
        </w:rPr>
      </w:pPr>
      <w:r>
        <w:rPr>
          <w:rFonts w:hint="eastAsia" w:ascii="宋体" w:hAnsi="宋体" w:eastAsia="宋体"/>
          <w:color w:val="auto"/>
          <w:highlight w:val="none"/>
        </w:rPr>
        <w:t>7.1 定标方式</w:t>
      </w:r>
    </w:p>
    <w:p w14:paraId="14EA68E5">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除申请人须知前附表规定磋商小组直接确定成交单位外，采购人依据磋商小组推荐的成交候选人确定中标成交单位，磋商小组推荐成交候选人的人数见申请人须知前附表。</w:t>
      </w:r>
    </w:p>
    <w:p w14:paraId="5053E86D">
      <w:pPr>
        <w:spacing w:line="400" w:lineRule="exact"/>
        <w:ind w:firstLine="420" w:firstLineChars="200"/>
        <w:rPr>
          <w:color w:val="auto"/>
          <w:highlight w:val="none"/>
        </w:rPr>
      </w:pPr>
      <w:r>
        <w:rPr>
          <w:rFonts w:hint="eastAsia"/>
          <w:color w:val="auto"/>
          <w:highlight w:val="none"/>
        </w:rPr>
        <w:t>采购代理机构应当在评审结束后2个工作日内将评审报告送采购人确认。</w:t>
      </w:r>
    </w:p>
    <w:p w14:paraId="16BF1587">
      <w:pPr>
        <w:spacing w:line="400" w:lineRule="exact"/>
        <w:rPr>
          <w:color w:val="auto"/>
          <w:highlight w:val="none"/>
        </w:rPr>
      </w:pPr>
      <w:r>
        <w:rPr>
          <w:rFonts w:hint="eastAsia"/>
          <w:color w:val="auto"/>
          <w:highlight w:val="none"/>
        </w:rPr>
        <w:t>　　采购人应当在收到评审报告后5个工作日内，从评审报告</w:t>
      </w:r>
      <w:r>
        <w:rPr>
          <w:rFonts w:hint="eastAsia"/>
          <w:color w:val="auto"/>
          <w:highlight w:val="none"/>
          <w:lang w:val="en-US" w:eastAsia="zh-CN"/>
        </w:rPr>
        <w:t>推荐</w:t>
      </w:r>
      <w:r>
        <w:rPr>
          <w:rFonts w:hint="eastAsia"/>
          <w:color w:val="auto"/>
          <w:highlight w:val="none"/>
        </w:rPr>
        <w:t>的成交候选申请人中，按照排序由高到低的原则确定</w:t>
      </w:r>
      <w:r>
        <w:rPr>
          <w:rFonts w:hint="eastAsia"/>
          <w:color w:val="auto"/>
          <w:highlight w:val="none"/>
          <w:lang w:eastAsia="zh-CN"/>
        </w:rPr>
        <w:t>成交人</w:t>
      </w:r>
      <w:r>
        <w:rPr>
          <w:rFonts w:hint="eastAsia"/>
          <w:color w:val="auto"/>
          <w:highlight w:val="none"/>
        </w:rPr>
        <w:t>，也可以书面授权磋商小组直接确定</w:t>
      </w:r>
      <w:r>
        <w:rPr>
          <w:rFonts w:hint="eastAsia"/>
          <w:color w:val="auto"/>
          <w:highlight w:val="none"/>
          <w:lang w:eastAsia="zh-CN"/>
        </w:rPr>
        <w:t>成交人</w:t>
      </w:r>
      <w:r>
        <w:rPr>
          <w:rFonts w:hint="eastAsia"/>
          <w:color w:val="auto"/>
          <w:highlight w:val="none"/>
        </w:rPr>
        <w:t>。采购人逾期未确定</w:t>
      </w:r>
      <w:r>
        <w:rPr>
          <w:rFonts w:hint="eastAsia"/>
          <w:color w:val="auto"/>
          <w:highlight w:val="none"/>
          <w:lang w:eastAsia="zh-CN"/>
        </w:rPr>
        <w:t>成交人</w:t>
      </w:r>
      <w:r>
        <w:rPr>
          <w:rFonts w:hint="eastAsia"/>
          <w:color w:val="auto"/>
          <w:highlight w:val="none"/>
        </w:rPr>
        <w:t>且不提出异议的，视为确定评审报告提出的排序第一的申请人为</w:t>
      </w:r>
      <w:r>
        <w:rPr>
          <w:rFonts w:hint="eastAsia"/>
          <w:color w:val="auto"/>
          <w:highlight w:val="none"/>
          <w:lang w:eastAsia="zh-CN"/>
        </w:rPr>
        <w:t>成交人</w:t>
      </w:r>
      <w:r>
        <w:rPr>
          <w:rFonts w:hint="eastAsia"/>
          <w:color w:val="auto"/>
          <w:highlight w:val="none"/>
        </w:rPr>
        <w:t>。</w:t>
      </w:r>
    </w:p>
    <w:p w14:paraId="7F9F8FEE">
      <w:pPr>
        <w:pStyle w:val="6"/>
        <w:rPr>
          <w:rFonts w:ascii="宋体" w:hAnsi="宋体" w:eastAsia="宋体"/>
          <w:color w:val="auto"/>
          <w:highlight w:val="none"/>
        </w:rPr>
      </w:pPr>
      <w:r>
        <w:rPr>
          <w:rFonts w:hint="eastAsia" w:ascii="宋体" w:hAnsi="宋体" w:eastAsia="宋体"/>
          <w:color w:val="auto"/>
          <w:highlight w:val="none"/>
        </w:rPr>
        <w:t>7.2 成交通知</w:t>
      </w:r>
    </w:p>
    <w:p w14:paraId="2E5F29B5">
      <w:pPr>
        <w:spacing w:line="400" w:lineRule="exact"/>
        <w:rPr>
          <w:color w:val="auto"/>
          <w:highlight w:val="none"/>
        </w:rPr>
      </w:pPr>
      <w:r>
        <w:rPr>
          <w:rFonts w:hint="eastAsia"/>
          <w:color w:val="auto"/>
          <w:highlight w:val="none"/>
        </w:rPr>
        <w:t>　　采购人或者采购代理机构应当在</w:t>
      </w:r>
      <w:r>
        <w:rPr>
          <w:rFonts w:hint="eastAsia"/>
          <w:color w:val="auto"/>
          <w:highlight w:val="none"/>
          <w:lang w:eastAsia="zh-CN"/>
        </w:rPr>
        <w:t>成交人</w:t>
      </w:r>
      <w:r>
        <w:rPr>
          <w:rFonts w:hint="eastAsia"/>
          <w:color w:val="auto"/>
          <w:highlight w:val="none"/>
        </w:rPr>
        <w:t>确定后2个工作日内，在省级以上财政部门指定的政府采购信息发布媒体上公告成交结果，同时向</w:t>
      </w:r>
      <w:r>
        <w:rPr>
          <w:rFonts w:hint="eastAsia"/>
          <w:color w:val="auto"/>
          <w:highlight w:val="none"/>
          <w:lang w:eastAsia="zh-CN"/>
        </w:rPr>
        <w:t>成交人</w:t>
      </w:r>
      <w:r>
        <w:rPr>
          <w:rFonts w:hint="eastAsia"/>
          <w:color w:val="auto"/>
          <w:highlight w:val="none"/>
        </w:rPr>
        <w:t>发出成交通知书，并将磋商文件随成交结果同时公告。</w:t>
      </w:r>
    </w:p>
    <w:p w14:paraId="05A29995">
      <w:pPr>
        <w:pStyle w:val="6"/>
        <w:rPr>
          <w:rFonts w:ascii="宋体" w:hAnsi="宋体" w:eastAsia="宋体"/>
          <w:color w:val="auto"/>
          <w:highlight w:val="none"/>
        </w:rPr>
      </w:pPr>
      <w:r>
        <w:rPr>
          <w:rFonts w:hint="eastAsia" w:ascii="宋体" w:hAnsi="宋体" w:eastAsia="宋体"/>
          <w:color w:val="auto"/>
          <w:highlight w:val="none"/>
        </w:rPr>
        <w:t>7.3 履约担保</w:t>
      </w:r>
      <w:r>
        <w:rPr>
          <w:rFonts w:hint="eastAsia" w:ascii="宋体" w:hAnsi="宋体" w:eastAsia="宋体"/>
          <w:color w:val="auto"/>
          <w:highlight w:val="none"/>
          <w:lang w:val="zh-CN"/>
        </w:rPr>
        <w:t>（</w:t>
      </w:r>
      <w:r>
        <w:rPr>
          <w:rFonts w:hint="eastAsia" w:ascii="宋体" w:hAnsi="宋体" w:eastAsia="宋体"/>
          <w:color w:val="auto"/>
          <w:highlight w:val="none"/>
          <w:lang w:val="en-US" w:eastAsia="zh-CN"/>
        </w:rPr>
        <w:t>本项目不收取</w:t>
      </w:r>
      <w:r>
        <w:rPr>
          <w:rFonts w:hint="eastAsia" w:ascii="宋体" w:hAnsi="宋体" w:eastAsia="宋体"/>
          <w:color w:val="auto"/>
          <w:highlight w:val="none"/>
          <w:lang w:val="zh-CN"/>
        </w:rPr>
        <w:t>）</w:t>
      </w:r>
    </w:p>
    <w:p w14:paraId="17063F8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7.3.1 在签订合同前，中标人应按申请人须知前附表规定的金额、担保形式和磋商文件第四章“合同条款及格式”规定的履约担保格式向采购人提交履约担保。联合体中标的，其履约担保由牵头人递交，并应符合申请人须知前附表规定的金额、担保形式和磋商文件第四章“合同条款及格式”规定的履约担保格式要求。</w:t>
      </w:r>
    </w:p>
    <w:p w14:paraId="6C17BB0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7.3.2 中标人不能按本章第7.3.1 项要求提交履约担保的，视为放弃中标，其磋商保证金不予退还，给采购人造成的损失超过磋商保证金数额的，中标人还应当对超过部分予以赔偿。</w:t>
      </w:r>
    </w:p>
    <w:p w14:paraId="3FF4BC40">
      <w:pPr>
        <w:pStyle w:val="6"/>
        <w:rPr>
          <w:rFonts w:ascii="宋体" w:hAnsi="宋体" w:eastAsia="宋体"/>
          <w:color w:val="auto"/>
          <w:highlight w:val="none"/>
        </w:rPr>
      </w:pPr>
      <w:r>
        <w:rPr>
          <w:rFonts w:hint="eastAsia" w:ascii="宋体" w:hAnsi="宋体" w:eastAsia="宋体"/>
          <w:color w:val="auto"/>
          <w:highlight w:val="none"/>
        </w:rPr>
        <w:t>7.4 签订合同</w:t>
      </w:r>
    </w:p>
    <w:p w14:paraId="3F7DCE6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7.4.1 采购人和中标人应当自成交通知书发出之日起30 天内，根据磋商文件和中标人的响应文件订立书面合同。中标人无正当理由拒签合同的，采购人取消其中标资格，其磋商保证金不予退还；给采购人造成的损失超过磋商保证金数额的，中标人还应当对超过部分予以赔偿。</w:t>
      </w:r>
    </w:p>
    <w:p w14:paraId="3010D05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7.4.2 发出成交通知书后，采购人无正当理由拒签合同的，采购人向中标人退还磋商保证金；给中标人造成损失的，还应当赔偿损失。</w:t>
      </w:r>
    </w:p>
    <w:p w14:paraId="1EFA2366">
      <w:pPr>
        <w:spacing w:line="400" w:lineRule="exact"/>
        <w:ind w:firstLine="420" w:firstLineChars="200"/>
        <w:rPr>
          <w:color w:val="auto"/>
          <w:szCs w:val="21"/>
          <w:highlight w:val="none"/>
        </w:rPr>
      </w:pPr>
      <w:r>
        <w:rPr>
          <w:rFonts w:hint="eastAsia" w:ascii="宋体" w:hAnsi="宋体"/>
          <w:color w:val="auto"/>
          <w:szCs w:val="21"/>
          <w:highlight w:val="none"/>
        </w:rPr>
        <w:t>7.4.3</w:t>
      </w:r>
      <w:r>
        <w:rPr>
          <w:rFonts w:hint="eastAsia"/>
          <w:color w:val="auto"/>
          <w:szCs w:val="21"/>
          <w:highlight w:val="none"/>
        </w:rPr>
        <w:t>采购人应当确定排名第一的成交候选人为成标人。排名第一的成交候选人放弃中标、因不可抗力不能履行合同、不按照磋商文件要求提交履约保证金，或者被查实存在影响中标结果的违法行为等情形，不符合中标条件的，采购人可以按照磋商小组提出的成交候选人名单排序依次确定其他成交候选人为中标人，也可以重新招标。</w:t>
      </w:r>
    </w:p>
    <w:p w14:paraId="1A22694F">
      <w:pPr>
        <w:pStyle w:val="5"/>
        <w:rPr>
          <w:rFonts w:ascii="宋体" w:hAnsi="宋体"/>
          <w:color w:val="auto"/>
          <w:highlight w:val="none"/>
        </w:rPr>
      </w:pPr>
      <w:bookmarkStart w:id="12" w:name="_Toc184635078"/>
      <w:r>
        <w:rPr>
          <w:rFonts w:hint="eastAsia" w:ascii="宋体" w:hAnsi="宋体"/>
          <w:color w:val="auto"/>
          <w:highlight w:val="none"/>
        </w:rPr>
        <w:t>8．重新招标和不再招标</w:t>
      </w:r>
      <w:bookmarkEnd w:id="12"/>
    </w:p>
    <w:p w14:paraId="4515169D">
      <w:pPr>
        <w:pStyle w:val="6"/>
        <w:rPr>
          <w:rFonts w:ascii="宋体" w:hAnsi="宋体" w:eastAsia="宋体"/>
          <w:color w:val="auto"/>
          <w:highlight w:val="none"/>
        </w:rPr>
      </w:pPr>
      <w:r>
        <w:rPr>
          <w:rFonts w:hint="eastAsia" w:ascii="宋体" w:hAnsi="宋体" w:eastAsia="宋体"/>
          <w:color w:val="auto"/>
          <w:highlight w:val="none"/>
        </w:rPr>
        <w:t>8.1 重新招标</w:t>
      </w:r>
    </w:p>
    <w:p w14:paraId="3A683AF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有下列情形之一的，采购人将重新招标：</w:t>
      </w:r>
    </w:p>
    <w:p w14:paraId="5C6086E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(l）投标截止时间止，申请人少于3 个的；</w:t>
      </w:r>
    </w:p>
    <w:p w14:paraId="2C1E69A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(2）经磋商小组评审后否决所有投标的。</w:t>
      </w:r>
    </w:p>
    <w:p w14:paraId="58AB9A31">
      <w:pPr>
        <w:pStyle w:val="6"/>
        <w:rPr>
          <w:rFonts w:ascii="宋体" w:hAnsi="宋体" w:eastAsia="宋体"/>
          <w:color w:val="auto"/>
          <w:highlight w:val="none"/>
        </w:rPr>
      </w:pPr>
      <w:r>
        <w:rPr>
          <w:rFonts w:hint="eastAsia" w:ascii="宋体" w:hAnsi="宋体" w:eastAsia="宋体"/>
          <w:color w:val="auto"/>
          <w:highlight w:val="none"/>
        </w:rPr>
        <w:t>8.2 不再招标</w:t>
      </w:r>
    </w:p>
    <w:p w14:paraId="47A1D94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重新招标后申请人仍少于3 个或者所有投标被否决的，属于必须审批或核准的工程建设项目，经原审批或核准部门批准后不再进行招标。</w:t>
      </w:r>
    </w:p>
    <w:p w14:paraId="6CA25E04">
      <w:pPr>
        <w:pStyle w:val="5"/>
        <w:rPr>
          <w:rFonts w:ascii="宋体" w:hAnsi="宋体"/>
          <w:color w:val="auto"/>
          <w:highlight w:val="none"/>
        </w:rPr>
      </w:pPr>
      <w:bookmarkStart w:id="13" w:name="_Toc184635079"/>
      <w:r>
        <w:rPr>
          <w:rFonts w:hint="eastAsia" w:ascii="宋体" w:hAnsi="宋体"/>
          <w:color w:val="auto"/>
          <w:highlight w:val="none"/>
        </w:rPr>
        <w:t>9．纪律和监督</w:t>
      </w:r>
      <w:bookmarkEnd w:id="13"/>
    </w:p>
    <w:p w14:paraId="098E6442">
      <w:pPr>
        <w:pStyle w:val="6"/>
        <w:rPr>
          <w:rFonts w:ascii="宋体" w:hAnsi="宋体" w:eastAsia="宋体"/>
          <w:color w:val="auto"/>
          <w:highlight w:val="none"/>
        </w:rPr>
      </w:pPr>
      <w:r>
        <w:rPr>
          <w:rFonts w:hint="eastAsia" w:ascii="宋体" w:hAnsi="宋体" w:eastAsia="宋体"/>
          <w:color w:val="auto"/>
          <w:highlight w:val="none"/>
        </w:rPr>
        <w:t>9.1 对采购人的纪律要求</w:t>
      </w:r>
    </w:p>
    <w:p w14:paraId="4F57FCF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采购人不得泄漏磋商活动中应当保密的情况和资料，不得与申请人串通损害国家利益、社会公共利益或者他人合法权益。</w:t>
      </w:r>
    </w:p>
    <w:p w14:paraId="58319E33">
      <w:pPr>
        <w:pStyle w:val="6"/>
        <w:rPr>
          <w:rFonts w:ascii="宋体" w:hAnsi="宋体" w:eastAsia="宋体"/>
          <w:color w:val="auto"/>
          <w:highlight w:val="none"/>
        </w:rPr>
      </w:pPr>
      <w:r>
        <w:rPr>
          <w:rFonts w:hint="eastAsia" w:ascii="宋体" w:hAnsi="宋体" w:eastAsia="宋体"/>
          <w:color w:val="auto"/>
          <w:highlight w:val="none"/>
        </w:rPr>
        <w:t>9.2 对申请人的纪律要求</w:t>
      </w:r>
    </w:p>
    <w:p w14:paraId="3E81370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申请人不得相互串通投标或者与采购人串通投标，不得向采购人或者磋商小组成员行贿谋取中标，不得以他人名义投标或者以其他方式弄虚作假骗取中标；申请人不得以任何方式干扰、影响评审工作工作。</w:t>
      </w:r>
    </w:p>
    <w:p w14:paraId="69C7A0EA">
      <w:pPr>
        <w:pStyle w:val="6"/>
        <w:rPr>
          <w:rFonts w:ascii="宋体" w:hAnsi="宋体" w:eastAsia="宋体"/>
          <w:color w:val="auto"/>
          <w:highlight w:val="none"/>
        </w:rPr>
      </w:pPr>
      <w:r>
        <w:rPr>
          <w:rFonts w:hint="eastAsia" w:ascii="宋体" w:hAnsi="宋体" w:eastAsia="宋体"/>
          <w:color w:val="auto"/>
          <w:highlight w:val="none"/>
        </w:rPr>
        <w:t>9.3 对磋商小组成员的纪律要求</w:t>
      </w:r>
    </w:p>
    <w:p w14:paraId="7B3B542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磋商小组成员不得收受他人的财物或者其他好处，不得向他人透漏对响应文件的评审和比较、成交候选人的推荐情况以及评审工作有关的其他情况。在评审工作活动中，磋商小组成员不得擅离职守，影响评审工作程序正常进行，不得使用第三章“评审办法”没有规定的评审因素和标准进行评审工作。</w:t>
      </w:r>
    </w:p>
    <w:p w14:paraId="6388A51B">
      <w:pPr>
        <w:pStyle w:val="6"/>
        <w:rPr>
          <w:rFonts w:ascii="宋体" w:hAnsi="宋体" w:eastAsia="宋体"/>
          <w:color w:val="auto"/>
          <w:highlight w:val="none"/>
        </w:rPr>
      </w:pPr>
      <w:r>
        <w:rPr>
          <w:rFonts w:hint="eastAsia" w:ascii="宋体" w:hAnsi="宋体" w:eastAsia="宋体"/>
          <w:color w:val="auto"/>
          <w:highlight w:val="none"/>
        </w:rPr>
        <w:t>9.4 对与评审活动有关的工作人员的纪律要求</w:t>
      </w:r>
    </w:p>
    <w:p w14:paraId="243BC3B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与评审活动有关的工作人员不得收受他人的财物或者其他好处，不得向他人透漏对响应文件的评审和比较、成交候选人的推荐情况以及评审工作有关的其他情况。在评审活动中，与评审活动有关的工作人员不得擅离职守，影响评审工作程序正常进行。</w:t>
      </w:r>
    </w:p>
    <w:p w14:paraId="70F023E8">
      <w:pPr>
        <w:pStyle w:val="6"/>
        <w:rPr>
          <w:rFonts w:ascii="宋体" w:hAnsi="宋体" w:eastAsia="宋体"/>
          <w:color w:val="auto"/>
          <w:highlight w:val="none"/>
        </w:rPr>
      </w:pPr>
      <w:r>
        <w:rPr>
          <w:rFonts w:hint="eastAsia" w:ascii="宋体" w:hAnsi="宋体" w:eastAsia="宋体"/>
          <w:color w:val="auto"/>
          <w:highlight w:val="none"/>
        </w:rPr>
        <w:t>9.5 投诉</w:t>
      </w:r>
    </w:p>
    <w:p w14:paraId="476AE29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申请人和其他利害关系人认为本次</w:t>
      </w:r>
      <w:r>
        <w:rPr>
          <w:rFonts w:hint="eastAsia" w:ascii="宋体" w:hAnsi="宋体"/>
          <w:color w:val="auto"/>
          <w:szCs w:val="21"/>
          <w:highlight w:val="none"/>
          <w:lang w:val="en-US" w:eastAsia="zh-CN"/>
        </w:rPr>
        <w:t>采购</w:t>
      </w:r>
      <w:r>
        <w:rPr>
          <w:rFonts w:hint="eastAsia" w:ascii="宋体" w:hAnsi="宋体"/>
          <w:color w:val="auto"/>
          <w:szCs w:val="21"/>
          <w:highlight w:val="none"/>
        </w:rPr>
        <w:t>活动违反法律、法规和规章规定的，有权向有关行政监督部门投诉。</w:t>
      </w:r>
    </w:p>
    <w:p w14:paraId="6CE030CF">
      <w:pPr>
        <w:pStyle w:val="5"/>
        <w:rPr>
          <w:rFonts w:ascii="宋体" w:hAnsi="宋体"/>
          <w:color w:val="auto"/>
          <w:highlight w:val="none"/>
        </w:rPr>
      </w:pPr>
      <w:bookmarkStart w:id="14" w:name="_Toc184635080"/>
      <w:r>
        <w:rPr>
          <w:rFonts w:hint="eastAsia" w:ascii="宋体" w:hAnsi="宋体"/>
          <w:color w:val="auto"/>
          <w:highlight w:val="none"/>
        </w:rPr>
        <w:t>10</w:t>
      </w:r>
      <w:r>
        <w:rPr>
          <w:rFonts w:hint="eastAsia" w:ascii="宋体" w:hAnsi="宋体"/>
          <w:color w:val="auto"/>
          <w:highlight w:val="none"/>
          <w:lang w:eastAsia="zh-CN"/>
        </w:rPr>
        <w:t>.</w:t>
      </w:r>
      <w:r>
        <w:rPr>
          <w:rFonts w:hint="eastAsia" w:ascii="宋体" w:hAnsi="宋体"/>
          <w:color w:val="auto"/>
          <w:highlight w:val="none"/>
        </w:rPr>
        <w:t>需要补充的其他内容</w:t>
      </w:r>
      <w:bookmarkEnd w:id="14"/>
    </w:p>
    <w:p w14:paraId="3A6E6D67">
      <w:pPr>
        <w:spacing w:line="360" w:lineRule="auto"/>
        <w:ind w:firstLine="420" w:firstLineChars="200"/>
        <w:rPr>
          <w:rFonts w:ascii="宋体" w:hAnsi="宋体"/>
          <w:color w:val="auto"/>
          <w:highlight w:val="none"/>
        </w:rPr>
      </w:pPr>
      <w:r>
        <w:rPr>
          <w:rFonts w:hint="eastAsia" w:ascii="宋体" w:hAnsi="宋体"/>
          <w:color w:val="auto"/>
          <w:szCs w:val="21"/>
          <w:highlight w:val="none"/>
        </w:rPr>
        <w:t>需要补充的其他内容：见申请人须知前附表。</w:t>
      </w:r>
    </w:p>
    <w:p w14:paraId="0EA2DE4C">
      <w:pPr>
        <w:spacing w:line="420" w:lineRule="exact"/>
        <w:jc w:val="center"/>
        <w:rPr>
          <w:rFonts w:ascii="宋体" w:hAnsi="宋体"/>
          <w:b/>
          <w:color w:val="auto"/>
          <w:sz w:val="32"/>
          <w:szCs w:val="32"/>
          <w:highlight w:val="none"/>
        </w:rPr>
      </w:pPr>
      <w:r>
        <w:rPr>
          <w:rFonts w:ascii="宋体" w:hAnsi="宋体"/>
          <w:color w:val="auto"/>
          <w:sz w:val="24"/>
          <w:highlight w:val="none"/>
        </w:rPr>
        <w:br w:type="page"/>
      </w:r>
      <w:r>
        <w:rPr>
          <w:rFonts w:hint="eastAsia" w:ascii="宋体" w:hAnsi="宋体"/>
          <w:b/>
          <w:color w:val="auto"/>
          <w:sz w:val="32"/>
          <w:szCs w:val="32"/>
          <w:highlight w:val="none"/>
        </w:rPr>
        <w:t>第三章  评审办法（综合评分法）</w:t>
      </w:r>
    </w:p>
    <w:p w14:paraId="3978C675">
      <w:pPr>
        <w:spacing w:afterLines="50"/>
        <w:jc w:val="center"/>
        <w:rPr>
          <w:rFonts w:ascii="宋体" w:hAnsi="宋体"/>
          <w:b/>
          <w:color w:val="auto"/>
          <w:sz w:val="32"/>
          <w:szCs w:val="32"/>
          <w:highlight w:val="none"/>
        </w:rPr>
      </w:pPr>
      <w:bookmarkStart w:id="15" w:name="_Toc184635093"/>
      <w:r>
        <w:rPr>
          <w:rFonts w:hint="eastAsia" w:ascii="宋体" w:hAnsi="宋体"/>
          <w:b/>
          <w:color w:val="auto"/>
          <w:sz w:val="32"/>
          <w:szCs w:val="32"/>
          <w:highlight w:val="none"/>
        </w:rPr>
        <w:t>评审办法前附表</w:t>
      </w:r>
    </w:p>
    <w:p w14:paraId="28F28640">
      <w:pPr>
        <w:spacing w:afterLines="50"/>
        <w:jc w:val="center"/>
        <w:rPr>
          <w:rFonts w:hint="eastAsia" w:ascii="宋体" w:hAnsi="宋体" w:eastAsia="宋体"/>
          <w:b/>
          <w:color w:val="auto"/>
          <w:szCs w:val="21"/>
          <w:highlight w:val="none"/>
          <w:lang w:val="en-US" w:eastAsia="zh-CN"/>
        </w:rPr>
      </w:pPr>
      <w:r>
        <w:rPr>
          <w:rFonts w:hint="eastAsia" w:ascii="宋体" w:hAnsi="宋体"/>
          <w:b/>
          <w:color w:val="auto"/>
          <w:szCs w:val="21"/>
          <w:highlight w:val="none"/>
        </w:rPr>
        <w:t>初步评审</w:t>
      </w:r>
      <w:r>
        <w:rPr>
          <w:rFonts w:hint="eastAsia" w:ascii="宋体" w:hAnsi="宋体"/>
          <w:b/>
          <w:color w:val="auto"/>
          <w:szCs w:val="21"/>
          <w:highlight w:val="none"/>
          <w:lang w:val="en-US" w:eastAsia="zh-CN"/>
        </w:rPr>
        <w:t>标准</w:t>
      </w:r>
    </w:p>
    <w:tbl>
      <w:tblPr>
        <w:tblStyle w:val="40"/>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149"/>
        <w:gridCol w:w="1509"/>
        <w:gridCol w:w="6240"/>
      </w:tblGrid>
      <w:tr w14:paraId="58E9A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890" w:type="dxa"/>
            <w:gridSpan w:val="2"/>
            <w:vAlign w:val="center"/>
          </w:tcPr>
          <w:p w14:paraId="1B9B4719">
            <w:pPr>
              <w:jc w:val="center"/>
              <w:rPr>
                <w:rFonts w:ascii="宋体" w:hAnsi="宋体"/>
                <w:color w:val="auto"/>
                <w:szCs w:val="21"/>
                <w:highlight w:val="none"/>
              </w:rPr>
            </w:pPr>
            <w:r>
              <w:rPr>
                <w:rFonts w:hint="eastAsia" w:ascii="宋体" w:hAnsi="宋体"/>
                <w:color w:val="auto"/>
                <w:szCs w:val="21"/>
                <w:highlight w:val="none"/>
              </w:rPr>
              <w:t>条款号</w:t>
            </w:r>
          </w:p>
        </w:tc>
        <w:tc>
          <w:tcPr>
            <w:tcW w:w="1509" w:type="dxa"/>
            <w:vAlign w:val="center"/>
          </w:tcPr>
          <w:p w14:paraId="2D0DC9CF">
            <w:pPr>
              <w:jc w:val="center"/>
              <w:rPr>
                <w:rFonts w:ascii="宋体" w:hAnsi="宋体"/>
                <w:color w:val="auto"/>
                <w:szCs w:val="21"/>
                <w:highlight w:val="none"/>
              </w:rPr>
            </w:pPr>
            <w:r>
              <w:rPr>
                <w:rFonts w:hint="eastAsia" w:ascii="宋体" w:hAnsi="宋体"/>
                <w:color w:val="auto"/>
                <w:szCs w:val="21"/>
                <w:highlight w:val="none"/>
              </w:rPr>
              <w:t>评审因素</w:t>
            </w:r>
          </w:p>
        </w:tc>
        <w:tc>
          <w:tcPr>
            <w:tcW w:w="6240" w:type="dxa"/>
            <w:vAlign w:val="center"/>
          </w:tcPr>
          <w:p w14:paraId="487FED17">
            <w:pPr>
              <w:jc w:val="center"/>
              <w:rPr>
                <w:rFonts w:ascii="宋体" w:hAnsi="宋体"/>
                <w:color w:val="auto"/>
                <w:szCs w:val="21"/>
                <w:highlight w:val="none"/>
              </w:rPr>
            </w:pPr>
            <w:r>
              <w:rPr>
                <w:rFonts w:hint="eastAsia" w:ascii="宋体" w:hAnsi="宋体"/>
                <w:color w:val="auto"/>
                <w:szCs w:val="21"/>
                <w:highlight w:val="none"/>
              </w:rPr>
              <w:t>评审标准</w:t>
            </w:r>
          </w:p>
        </w:tc>
      </w:tr>
      <w:tr w14:paraId="1CA58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restart"/>
            <w:vAlign w:val="center"/>
          </w:tcPr>
          <w:p w14:paraId="5E748101">
            <w:pPr>
              <w:jc w:val="center"/>
              <w:rPr>
                <w:rFonts w:hint="eastAsia" w:ascii="宋体" w:hAnsi="宋体" w:eastAsia="宋体"/>
                <w:color w:val="auto"/>
                <w:szCs w:val="21"/>
                <w:highlight w:val="none"/>
                <w:lang w:val="en-US" w:eastAsia="zh-CN"/>
              </w:rPr>
            </w:pPr>
            <w:r>
              <w:rPr>
                <w:rFonts w:hint="eastAsia" w:ascii="宋体" w:hAnsi="宋体"/>
                <w:color w:val="auto"/>
                <w:szCs w:val="21"/>
                <w:highlight w:val="none"/>
              </w:rPr>
              <w:t>2.1.</w:t>
            </w:r>
            <w:r>
              <w:rPr>
                <w:rFonts w:hint="eastAsia" w:ascii="宋体" w:hAnsi="宋体"/>
                <w:color w:val="auto"/>
                <w:szCs w:val="21"/>
                <w:highlight w:val="none"/>
                <w:lang w:val="en-US" w:eastAsia="zh-CN"/>
              </w:rPr>
              <w:t>1</w:t>
            </w:r>
          </w:p>
        </w:tc>
        <w:tc>
          <w:tcPr>
            <w:tcW w:w="1149" w:type="dxa"/>
            <w:vMerge w:val="restart"/>
            <w:vAlign w:val="center"/>
          </w:tcPr>
          <w:p w14:paraId="574EEB7F">
            <w:pPr>
              <w:jc w:val="center"/>
              <w:rPr>
                <w:rFonts w:ascii="宋体" w:hAnsi="宋体"/>
                <w:color w:val="auto"/>
                <w:szCs w:val="21"/>
                <w:highlight w:val="none"/>
              </w:rPr>
            </w:pPr>
            <w:r>
              <w:rPr>
                <w:rFonts w:hint="eastAsia" w:ascii="宋体" w:hAnsi="宋体"/>
                <w:color w:val="auto"/>
                <w:szCs w:val="21"/>
                <w:highlight w:val="none"/>
              </w:rPr>
              <w:t>资格评审标  准</w:t>
            </w:r>
          </w:p>
        </w:tc>
        <w:tc>
          <w:tcPr>
            <w:tcW w:w="1509" w:type="dxa"/>
            <w:vAlign w:val="center"/>
          </w:tcPr>
          <w:p w14:paraId="7E5C4E6D">
            <w:pPr>
              <w:jc w:val="center"/>
              <w:rPr>
                <w:rFonts w:ascii="宋体" w:hAnsi="宋体"/>
                <w:color w:val="auto"/>
                <w:szCs w:val="21"/>
                <w:highlight w:val="none"/>
              </w:rPr>
            </w:pPr>
            <w:r>
              <w:rPr>
                <w:rFonts w:hint="eastAsia" w:ascii="宋体" w:hAnsi="宋体"/>
                <w:color w:val="auto"/>
                <w:szCs w:val="21"/>
                <w:highlight w:val="none"/>
              </w:rPr>
              <w:t>营业执照</w:t>
            </w:r>
          </w:p>
        </w:tc>
        <w:tc>
          <w:tcPr>
            <w:tcW w:w="6240" w:type="dxa"/>
            <w:vAlign w:val="center"/>
          </w:tcPr>
          <w:p w14:paraId="47048385">
            <w:pPr>
              <w:rPr>
                <w:rFonts w:ascii="宋体" w:hAnsi="宋体"/>
                <w:b w:val="0"/>
                <w:bCs w:val="0"/>
                <w:color w:val="auto"/>
                <w:szCs w:val="21"/>
                <w:highlight w:val="none"/>
              </w:rPr>
            </w:pPr>
            <w:r>
              <w:rPr>
                <w:rFonts w:hint="eastAsia" w:ascii="宋体" w:hAnsi="宋体"/>
                <w:b w:val="0"/>
                <w:bCs w:val="0"/>
                <w:color w:val="auto"/>
                <w:szCs w:val="21"/>
                <w:highlight w:val="none"/>
              </w:rPr>
              <w:t>具备有效的营业执照</w:t>
            </w:r>
          </w:p>
          <w:p w14:paraId="5286A15E">
            <w:pPr>
              <w:rPr>
                <w:rFonts w:ascii="宋体" w:hAnsi="宋体"/>
                <w:b w:val="0"/>
                <w:bCs w:val="0"/>
                <w:color w:val="auto"/>
                <w:szCs w:val="21"/>
                <w:highlight w:val="none"/>
              </w:rPr>
            </w:pPr>
            <w:r>
              <w:rPr>
                <w:rFonts w:hint="eastAsia" w:ascii="宋体" w:hAnsi="宋体"/>
                <w:b w:val="0"/>
                <w:bCs w:val="0"/>
                <w:color w:val="auto"/>
                <w:szCs w:val="21"/>
                <w:highlight w:val="none"/>
              </w:rPr>
              <w:t>（提供营业执照副本</w:t>
            </w:r>
            <w:r>
              <w:rPr>
                <w:rFonts w:hint="eastAsia" w:ascii="宋体" w:hAnsi="宋体"/>
                <w:b w:val="0"/>
                <w:bCs w:val="0"/>
                <w:color w:val="auto"/>
                <w:szCs w:val="21"/>
                <w:highlight w:val="none"/>
                <w:lang w:val="en-US" w:eastAsia="zh-CN"/>
              </w:rPr>
              <w:t>复印件</w:t>
            </w:r>
            <w:r>
              <w:rPr>
                <w:rFonts w:hint="eastAsia" w:ascii="宋体" w:hAnsi="宋体"/>
                <w:b w:val="0"/>
                <w:bCs w:val="0"/>
                <w:color w:val="auto"/>
                <w:szCs w:val="21"/>
                <w:highlight w:val="none"/>
              </w:rPr>
              <w:t>加盖公章）。</w:t>
            </w:r>
          </w:p>
        </w:tc>
      </w:tr>
      <w:tr w14:paraId="45F12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741" w:type="dxa"/>
            <w:vMerge w:val="continue"/>
            <w:vAlign w:val="center"/>
          </w:tcPr>
          <w:p w14:paraId="634010FF">
            <w:pPr>
              <w:jc w:val="center"/>
              <w:rPr>
                <w:rFonts w:ascii="宋体" w:hAnsi="宋体"/>
                <w:color w:val="auto"/>
                <w:szCs w:val="21"/>
                <w:highlight w:val="none"/>
              </w:rPr>
            </w:pPr>
          </w:p>
        </w:tc>
        <w:tc>
          <w:tcPr>
            <w:tcW w:w="1149" w:type="dxa"/>
            <w:vMerge w:val="continue"/>
            <w:vAlign w:val="center"/>
          </w:tcPr>
          <w:p w14:paraId="352B9D0C">
            <w:pPr>
              <w:jc w:val="center"/>
              <w:rPr>
                <w:rFonts w:ascii="宋体" w:hAnsi="宋体"/>
                <w:color w:val="auto"/>
                <w:szCs w:val="21"/>
                <w:highlight w:val="none"/>
              </w:rPr>
            </w:pPr>
          </w:p>
        </w:tc>
        <w:tc>
          <w:tcPr>
            <w:tcW w:w="1509" w:type="dxa"/>
            <w:vAlign w:val="center"/>
          </w:tcPr>
          <w:p w14:paraId="6F51D6E6">
            <w:pPr>
              <w:jc w:val="center"/>
              <w:rPr>
                <w:rFonts w:ascii="宋体" w:hAnsi="宋体"/>
                <w:color w:val="auto"/>
                <w:szCs w:val="21"/>
                <w:highlight w:val="none"/>
              </w:rPr>
            </w:pPr>
            <w:r>
              <w:rPr>
                <w:rFonts w:hint="eastAsia" w:ascii="宋体" w:hAnsi="宋体"/>
                <w:color w:val="auto"/>
                <w:szCs w:val="21"/>
                <w:highlight w:val="none"/>
              </w:rPr>
              <w:t>财务</w:t>
            </w:r>
            <w:r>
              <w:rPr>
                <w:rFonts w:hint="eastAsia" w:ascii="宋体" w:hAnsi="宋体"/>
                <w:color w:val="auto"/>
                <w:szCs w:val="21"/>
                <w:highlight w:val="none"/>
                <w:lang w:val="en-US" w:eastAsia="zh-CN"/>
              </w:rPr>
              <w:t>状况</w:t>
            </w:r>
          </w:p>
        </w:tc>
        <w:tc>
          <w:tcPr>
            <w:tcW w:w="6240" w:type="dxa"/>
            <w:vAlign w:val="center"/>
          </w:tcPr>
          <w:p w14:paraId="6E296FCF">
            <w:pPr>
              <w:rPr>
                <w:rFonts w:hint="eastAsia"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财务状况良好，提供近三年（2021～2023年）财务报表或经会计师事务所或审计机构审计的财务审计报告（新成立不足三年的企业需提供自成立之日起至2023年的财务报表或财务审计报告，2023年以后成立的企业应提供资金证明）；</w:t>
            </w:r>
          </w:p>
          <w:p w14:paraId="369AB693">
            <w:pPr>
              <w:rPr>
                <w:rFonts w:ascii="宋体" w:hAnsi="宋体"/>
                <w:b w:val="0"/>
                <w:bCs w:val="0"/>
                <w:color w:val="auto"/>
                <w:szCs w:val="21"/>
                <w:highlight w:val="none"/>
              </w:rPr>
            </w:pPr>
            <w:r>
              <w:rPr>
                <w:rFonts w:hint="eastAsia" w:ascii="宋体" w:hAnsi="宋体"/>
                <w:b w:val="0"/>
                <w:bCs w:val="0"/>
                <w:color w:val="auto"/>
                <w:szCs w:val="21"/>
                <w:highlight w:val="none"/>
                <w:lang w:val="en-US" w:eastAsia="zh-CN"/>
              </w:rPr>
              <w:t>响应文件内附财务报表或财务审计报告复印件加盖投标单位公章</w:t>
            </w:r>
          </w:p>
        </w:tc>
      </w:tr>
      <w:tr w14:paraId="1D4D5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741" w:type="dxa"/>
            <w:vMerge w:val="continue"/>
            <w:vAlign w:val="center"/>
          </w:tcPr>
          <w:p w14:paraId="32B89323">
            <w:pPr>
              <w:jc w:val="center"/>
              <w:rPr>
                <w:rFonts w:ascii="宋体" w:hAnsi="宋体"/>
                <w:color w:val="auto"/>
                <w:szCs w:val="21"/>
                <w:highlight w:val="none"/>
              </w:rPr>
            </w:pPr>
          </w:p>
        </w:tc>
        <w:tc>
          <w:tcPr>
            <w:tcW w:w="1149" w:type="dxa"/>
            <w:vMerge w:val="continue"/>
            <w:vAlign w:val="center"/>
          </w:tcPr>
          <w:p w14:paraId="1E35CA26">
            <w:pPr>
              <w:jc w:val="center"/>
              <w:rPr>
                <w:rFonts w:ascii="宋体" w:hAnsi="宋体"/>
                <w:color w:val="auto"/>
                <w:szCs w:val="21"/>
                <w:highlight w:val="none"/>
              </w:rPr>
            </w:pPr>
          </w:p>
        </w:tc>
        <w:tc>
          <w:tcPr>
            <w:tcW w:w="1509" w:type="dxa"/>
            <w:vAlign w:val="center"/>
          </w:tcPr>
          <w:p w14:paraId="202F48FD">
            <w:pPr>
              <w:jc w:val="center"/>
              <w:rPr>
                <w:rFonts w:hint="eastAsia" w:ascii="宋体" w:hAnsi="宋体"/>
                <w:color w:val="auto"/>
                <w:szCs w:val="21"/>
                <w:highlight w:val="none"/>
              </w:rPr>
            </w:pPr>
            <w:r>
              <w:rPr>
                <w:rFonts w:hint="eastAsia" w:ascii="宋体" w:hAnsi="宋体"/>
                <w:color w:val="auto"/>
                <w:szCs w:val="21"/>
                <w:highlight w:val="none"/>
                <w:lang w:val="en-US" w:eastAsia="zh-CN"/>
              </w:rPr>
              <w:t>依法纳税和社会保障资金的良好记录</w:t>
            </w:r>
          </w:p>
        </w:tc>
        <w:tc>
          <w:tcPr>
            <w:tcW w:w="6240" w:type="dxa"/>
            <w:vAlign w:val="center"/>
          </w:tcPr>
          <w:p w14:paraId="3607209F">
            <w:pPr>
              <w:rPr>
                <w:rFonts w:hint="eastAsia" w:ascii="宋体" w:hAnsi="宋体"/>
                <w:b w:val="0"/>
                <w:bCs w:val="0"/>
                <w:color w:val="auto"/>
                <w:highlight w:val="none"/>
              </w:rPr>
            </w:pPr>
            <w:r>
              <w:rPr>
                <w:rFonts w:hint="eastAsia" w:ascii="宋体" w:hAnsi="宋体"/>
                <w:b w:val="0"/>
                <w:bCs w:val="0"/>
                <w:color w:val="auto"/>
                <w:highlight w:val="none"/>
                <w:lang w:eastAsia="zh-CN"/>
              </w:rPr>
              <w:t>近</w:t>
            </w:r>
            <w:r>
              <w:rPr>
                <w:rFonts w:hint="eastAsia" w:ascii="宋体" w:hAnsi="宋体"/>
                <w:b w:val="0"/>
                <w:bCs w:val="0"/>
                <w:color w:val="auto"/>
                <w:highlight w:val="none"/>
                <w:lang w:val="en-US" w:eastAsia="zh-CN"/>
              </w:rPr>
              <w:t>6</w:t>
            </w:r>
            <w:r>
              <w:rPr>
                <w:rFonts w:hint="eastAsia" w:ascii="宋体" w:hAnsi="宋体"/>
                <w:b w:val="0"/>
                <w:bCs w:val="0"/>
                <w:color w:val="auto"/>
                <w:highlight w:val="none"/>
                <w:lang w:eastAsia="zh-CN"/>
              </w:rPr>
              <w:t>个月（任意一个月即可）的依法缴纳税收和社会保障资金的相关材料（</w:t>
            </w:r>
            <w:r>
              <w:rPr>
                <w:rFonts w:hint="eastAsia" w:ascii="宋体" w:hAnsi="宋体"/>
                <w:b w:val="0"/>
                <w:bCs w:val="0"/>
                <w:color w:val="auto"/>
                <w:highlight w:val="none"/>
                <w:lang w:val="en-US" w:eastAsia="zh-CN"/>
              </w:rPr>
              <w:t>无须缴纳的提供相关部门出具的证明材料</w:t>
            </w:r>
            <w:r>
              <w:rPr>
                <w:rFonts w:hint="eastAsia" w:ascii="宋体" w:hAnsi="宋体"/>
                <w:b w:val="0"/>
                <w:bCs w:val="0"/>
                <w:color w:val="auto"/>
                <w:highlight w:val="none"/>
                <w:lang w:eastAsia="zh-CN"/>
              </w:rPr>
              <w:t>）。</w:t>
            </w:r>
          </w:p>
        </w:tc>
      </w:tr>
      <w:tr w14:paraId="46051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741" w:type="dxa"/>
            <w:vMerge w:val="continue"/>
            <w:vAlign w:val="center"/>
          </w:tcPr>
          <w:p w14:paraId="1B52F992">
            <w:pPr>
              <w:jc w:val="center"/>
              <w:rPr>
                <w:rFonts w:ascii="宋体" w:hAnsi="宋体"/>
                <w:color w:val="auto"/>
                <w:szCs w:val="21"/>
                <w:highlight w:val="none"/>
              </w:rPr>
            </w:pPr>
          </w:p>
        </w:tc>
        <w:tc>
          <w:tcPr>
            <w:tcW w:w="1149" w:type="dxa"/>
            <w:vMerge w:val="continue"/>
            <w:vAlign w:val="center"/>
          </w:tcPr>
          <w:p w14:paraId="372C1103">
            <w:pPr>
              <w:jc w:val="center"/>
              <w:rPr>
                <w:rFonts w:ascii="宋体" w:hAnsi="宋体"/>
                <w:color w:val="auto"/>
                <w:szCs w:val="21"/>
                <w:highlight w:val="none"/>
              </w:rPr>
            </w:pPr>
          </w:p>
        </w:tc>
        <w:tc>
          <w:tcPr>
            <w:tcW w:w="1509" w:type="dxa"/>
            <w:vAlign w:val="center"/>
          </w:tcPr>
          <w:p w14:paraId="43276B5F">
            <w:pPr>
              <w:tabs>
                <w:tab w:val="left" w:pos="200"/>
              </w:tabs>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联合体要求</w:t>
            </w:r>
          </w:p>
        </w:tc>
        <w:tc>
          <w:tcPr>
            <w:tcW w:w="6240" w:type="dxa"/>
            <w:vAlign w:val="center"/>
          </w:tcPr>
          <w:p w14:paraId="270711EC">
            <w:pPr>
              <w:rPr>
                <w:rFonts w:hint="default" w:ascii="宋体" w:hAnsi="宋体" w:eastAsia="宋体"/>
                <w:b w:val="0"/>
                <w:bCs w:val="0"/>
                <w:color w:val="auto"/>
                <w:highlight w:val="none"/>
                <w:lang w:val="en-US" w:eastAsia="zh-CN"/>
              </w:rPr>
            </w:pPr>
            <w:r>
              <w:rPr>
                <w:rFonts w:hint="eastAsia" w:ascii="宋体" w:hAnsi="宋体"/>
                <w:b w:val="0"/>
                <w:bCs w:val="0"/>
                <w:color w:val="auto"/>
                <w:highlight w:val="none"/>
                <w:lang w:val="en-US" w:eastAsia="zh-CN"/>
              </w:rPr>
              <w:t>申请人不得为联合体</w:t>
            </w:r>
          </w:p>
        </w:tc>
      </w:tr>
      <w:tr w14:paraId="6BA17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741" w:type="dxa"/>
            <w:vMerge w:val="continue"/>
            <w:vAlign w:val="center"/>
          </w:tcPr>
          <w:p w14:paraId="39EA0813">
            <w:pPr>
              <w:jc w:val="center"/>
              <w:rPr>
                <w:rFonts w:ascii="宋体" w:hAnsi="宋体"/>
                <w:color w:val="auto"/>
                <w:szCs w:val="21"/>
                <w:highlight w:val="none"/>
              </w:rPr>
            </w:pPr>
          </w:p>
        </w:tc>
        <w:tc>
          <w:tcPr>
            <w:tcW w:w="1149" w:type="dxa"/>
            <w:vMerge w:val="continue"/>
            <w:vAlign w:val="center"/>
          </w:tcPr>
          <w:p w14:paraId="0DB6B15B">
            <w:pPr>
              <w:jc w:val="center"/>
              <w:rPr>
                <w:rFonts w:ascii="宋体" w:hAnsi="宋体"/>
                <w:color w:val="auto"/>
                <w:szCs w:val="21"/>
                <w:highlight w:val="none"/>
              </w:rPr>
            </w:pPr>
          </w:p>
        </w:tc>
        <w:tc>
          <w:tcPr>
            <w:tcW w:w="1509" w:type="dxa"/>
            <w:vAlign w:val="center"/>
          </w:tcPr>
          <w:p w14:paraId="4173772B">
            <w:pPr>
              <w:jc w:val="center"/>
              <w:rPr>
                <w:rFonts w:hint="eastAsia" w:ascii="宋体" w:hAnsi="宋体" w:eastAsia="宋体" w:cs="Times New Roman"/>
                <w:color w:val="auto"/>
                <w:szCs w:val="21"/>
                <w:highlight w:val="none"/>
                <w:lang w:val="en-US" w:eastAsia="zh-CN"/>
              </w:rPr>
            </w:pPr>
            <w:r>
              <w:rPr>
                <w:rFonts w:hint="eastAsia" w:ascii="宋体" w:hAnsi="宋体"/>
                <w:color w:val="auto"/>
                <w:szCs w:val="21"/>
                <w:highlight w:val="none"/>
              </w:rPr>
              <w:t>信誉要求</w:t>
            </w:r>
          </w:p>
        </w:tc>
        <w:tc>
          <w:tcPr>
            <w:tcW w:w="6240" w:type="dxa"/>
            <w:vAlign w:val="center"/>
          </w:tcPr>
          <w:p w14:paraId="6DE564E4">
            <w:pPr>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1.拒绝列入政府取消投标资格记录期间的企业或个人投标；</w:t>
            </w:r>
          </w:p>
          <w:p w14:paraId="351376A4">
            <w:pPr>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2.单位负责人为同一人或者存在直接控股、管理关系的不同供应商，不得参加同一合同项下的政府采购活动；</w:t>
            </w:r>
          </w:p>
          <w:p w14:paraId="0FFD5081">
            <w:pPr>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3.参加政府采购活动前三年内，在经营活动中没有重大违法记录；</w:t>
            </w:r>
          </w:p>
          <w:p w14:paraId="5822B85F">
            <w:pPr>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不得为“信用中国”网站（www.creditchina.gov.cn）中列入失信被执行人和重大税收违法失信主体供应商；不得为中国政府采购网（www.ccpg.gov.cn）政府采购严重违法失信行为记录名单中被财政部门禁止参加政府采购活动的供应商（在处罚决定规定的时间和地域范围内）（详见财库[2016]125号）；在2021年至今供应商和其法定代表人在“中国裁判文书网”(wenshu.court.gov.cn)上无行贿犯罪行为。</w:t>
            </w:r>
          </w:p>
          <w:p w14:paraId="058AC532">
            <w:pPr>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针对上述内容提供由法定代表人或委托代理人盖章或签字并加盖公章的承诺书。</w:t>
            </w:r>
          </w:p>
        </w:tc>
      </w:tr>
      <w:tr w14:paraId="28BC4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741" w:type="dxa"/>
            <w:vMerge w:val="continue"/>
            <w:vAlign w:val="center"/>
          </w:tcPr>
          <w:p w14:paraId="02A4DAE8">
            <w:pPr>
              <w:jc w:val="center"/>
              <w:rPr>
                <w:rFonts w:ascii="宋体" w:hAnsi="宋体"/>
                <w:color w:val="auto"/>
                <w:szCs w:val="21"/>
                <w:highlight w:val="none"/>
              </w:rPr>
            </w:pPr>
          </w:p>
        </w:tc>
        <w:tc>
          <w:tcPr>
            <w:tcW w:w="1149" w:type="dxa"/>
            <w:vMerge w:val="continue"/>
            <w:vAlign w:val="center"/>
          </w:tcPr>
          <w:p w14:paraId="70FD77A6">
            <w:pPr>
              <w:jc w:val="center"/>
              <w:rPr>
                <w:rFonts w:ascii="宋体" w:hAnsi="宋体"/>
                <w:color w:val="auto"/>
                <w:szCs w:val="21"/>
                <w:highlight w:val="none"/>
              </w:rPr>
            </w:pPr>
          </w:p>
        </w:tc>
        <w:tc>
          <w:tcPr>
            <w:tcW w:w="1509" w:type="dxa"/>
            <w:vAlign w:val="center"/>
          </w:tcPr>
          <w:p w14:paraId="63700900">
            <w:pPr>
              <w:jc w:val="center"/>
              <w:rPr>
                <w:rFonts w:hint="default"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企业类型</w:t>
            </w:r>
          </w:p>
        </w:tc>
        <w:tc>
          <w:tcPr>
            <w:tcW w:w="6240" w:type="dxa"/>
            <w:vAlign w:val="center"/>
          </w:tcPr>
          <w:p w14:paraId="7C8B592B">
            <w:pPr>
              <w:jc w:val="left"/>
              <w:rPr>
                <w:rFonts w:hint="default"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供应商所投标产品的制造商应为中小微企业、监狱企业、残疾人福利性单位。提供有效的声明函。</w:t>
            </w:r>
          </w:p>
        </w:tc>
      </w:tr>
      <w:tr w14:paraId="67A2A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41" w:type="dxa"/>
            <w:vMerge w:val="restart"/>
            <w:vAlign w:val="center"/>
          </w:tcPr>
          <w:p w14:paraId="1DA6C15B">
            <w:pPr>
              <w:jc w:val="center"/>
              <w:rPr>
                <w:rFonts w:hint="eastAsia" w:ascii="宋体" w:hAnsi="宋体" w:eastAsia="宋体"/>
                <w:color w:val="auto"/>
                <w:szCs w:val="21"/>
                <w:highlight w:val="none"/>
                <w:lang w:val="en-US" w:eastAsia="zh-CN"/>
              </w:rPr>
            </w:pPr>
            <w:r>
              <w:rPr>
                <w:rFonts w:hint="eastAsia" w:ascii="宋体" w:hAnsi="宋体"/>
                <w:color w:val="auto"/>
                <w:szCs w:val="21"/>
                <w:highlight w:val="none"/>
              </w:rPr>
              <w:t>2.1.</w:t>
            </w:r>
            <w:r>
              <w:rPr>
                <w:rFonts w:hint="eastAsia" w:ascii="宋体" w:hAnsi="宋体"/>
                <w:color w:val="auto"/>
                <w:szCs w:val="21"/>
                <w:highlight w:val="none"/>
                <w:lang w:val="en-US" w:eastAsia="zh-CN"/>
              </w:rPr>
              <w:t>2</w:t>
            </w:r>
          </w:p>
        </w:tc>
        <w:tc>
          <w:tcPr>
            <w:tcW w:w="1149" w:type="dxa"/>
            <w:vMerge w:val="restart"/>
            <w:vAlign w:val="center"/>
          </w:tcPr>
          <w:p w14:paraId="5749E3B8">
            <w:pPr>
              <w:jc w:val="center"/>
              <w:rPr>
                <w:rFonts w:ascii="宋体" w:hAnsi="宋体"/>
                <w:color w:val="auto"/>
                <w:szCs w:val="21"/>
                <w:highlight w:val="none"/>
              </w:rPr>
            </w:pPr>
            <w:r>
              <w:rPr>
                <w:rFonts w:hint="eastAsia" w:ascii="宋体" w:hAnsi="宋体"/>
                <w:color w:val="auto"/>
                <w:szCs w:val="21"/>
                <w:highlight w:val="none"/>
                <w:lang w:val="en-US" w:eastAsia="zh-CN"/>
              </w:rPr>
              <w:t>符合</w:t>
            </w:r>
            <w:r>
              <w:rPr>
                <w:rFonts w:hint="eastAsia" w:ascii="宋体" w:hAnsi="宋体"/>
                <w:color w:val="auto"/>
                <w:szCs w:val="21"/>
                <w:highlight w:val="none"/>
              </w:rPr>
              <w:t>性</w:t>
            </w:r>
          </w:p>
          <w:p w14:paraId="36183D85">
            <w:pPr>
              <w:jc w:val="center"/>
              <w:rPr>
                <w:rFonts w:ascii="宋体" w:hAnsi="宋体"/>
                <w:color w:val="auto"/>
                <w:szCs w:val="21"/>
                <w:highlight w:val="none"/>
              </w:rPr>
            </w:pPr>
            <w:r>
              <w:rPr>
                <w:rFonts w:hint="eastAsia" w:ascii="宋体" w:hAnsi="宋体"/>
                <w:color w:val="auto"/>
                <w:szCs w:val="21"/>
                <w:highlight w:val="none"/>
              </w:rPr>
              <w:t>评审标准</w:t>
            </w:r>
          </w:p>
        </w:tc>
        <w:tc>
          <w:tcPr>
            <w:tcW w:w="1509" w:type="dxa"/>
            <w:vAlign w:val="center"/>
          </w:tcPr>
          <w:p w14:paraId="658FCBA7">
            <w:pPr>
              <w:jc w:val="center"/>
              <w:rPr>
                <w:rFonts w:hint="eastAsia" w:ascii="宋体" w:hAnsi="宋体"/>
                <w:color w:val="auto"/>
                <w:szCs w:val="21"/>
                <w:highlight w:val="none"/>
                <w:lang w:val="en-US" w:eastAsia="zh-CN"/>
              </w:rPr>
            </w:pPr>
            <w:r>
              <w:rPr>
                <w:rFonts w:hint="eastAsia" w:ascii="宋体" w:hAnsi="宋体"/>
                <w:color w:val="auto"/>
                <w:szCs w:val="21"/>
                <w:highlight w:val="none"/>
              </w:rPr>
              <w:t>申请人名称</w:t>
            </w:r>
          </w:p>
        </w:tc>
        <w:tc>
          <w:tcPr>
            <w:tcW w:w="6240" w:type="dxa"/>
            <w:vAlign w:val="center"/>
          </w:tcPr>
          <w:p w14:paraId="1D5B0252">
            <w:pPr>
              <w:rPr>
                <w:rFonts w:hint="eastAsia" w:ascii="宋体" w:hAnsi="宋体"/>
                <w:b w:val="0"/>
                <w:bCs w:val="0"/>
                <w:color w:val="auto"/>
                <w:szCs w:val="21"/>
                <w:highlight w:val="none"/>
              </w:rPr>
            </w:pPr>
            <w:r>
              <w:rPr>
                <w:rFonts w:hint="eastAsia" w:ascii="宋体" w:hAnsi="宋体"/>
                <w:b w:val="0"/>
                <w:bCs w:val="0"/>
                <w:color w:val="auto"/>
                <w:szCs w:val="21"/>
                <w:highlight w:val="none"/>
                <w:lang w:val="zh-CN"/>
              </w:rPr>
              <w:t>与营业执照一致</w:t>
            </w:r>
          </w:p>
        </w:tc>
      </w:tr>
      <w:tr w14:paraId="62AE8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41" w:type="dxa"/>
            <w:vMerge w:val="continue"/>
            <w:vAlign w:val="center"/>
          </w:tcPr>
          <w:p w14:paraId="6886991C">
            <w:pPr>
              <w:jc w:val="center"/>
              <w:rPr>
                <w:rFonts w:hint="eastAsia" w:ascii="宋体" w:hAnsi="宋体"/>
                <w:color w:val="auto"/>
                <w:szCs w:val="21"/>
                <w:highlight w:val="none"/>
              </w:rPr>
            </w:pPr>
          </w:p>
        </w:tc>
        <w:tc>
          <w:tcPr>
            <w:tcW w:w="1149" w:type="dxa"/>
            <w:vMerge w:val="continue"/>
            <w:vAlign w:val="center"/>
          </w:tcPr>
          <w:p w14:paraId="6248FF59">
            <w:pPr>
              <w:jc w:val="center"/>
              <w:rPr>
                <w:rFonts w:hint="eastAsia" w:ascii="宋体" w:hAnsi="宋体"/>
                <w:color w:val="auto"/>
                <w:szCs w:val="21"/>
                <w:highlight w:val="none"/>
              </w:rPr>
            </w:pPr>
          </w:p>
        </w:tc>
        <w:tc>
          <w:tcPr>
            <w:tcW w:w="1509" w:type="dxa"/>
            <w:vAlign w:val="center"/>
          </w:tcPr>
          <w:p w14:paraId="626A56EF">
            <w:pPr>
              <w:jc w:val="center"/>
              <w:rPr>
                <w:rFonts w:hint="eastAsia" w:ascii="宋体" w:hAnsi="宋体"/>
                <w:color w:val="auto"/>
                <w:szCs w:val="21"/>
                <w:highlight w:val="none"/>
                <w:lang w:val="en-US" w:eastAsia="zh-CN"/>
              </w:rPr>
            </w:pPr>
            <w:r>
              <w:rPr>
                <w:rFonts w:hint="eastAsia" w:ascii="宋体" w:hAnsi="宋体"/>
                <w:color w:val="auto"/>
                <w:szCs w:val="21"/>
                <w:highlight w:val="none"/>
              </w:rPr>
              <w:t>磋商函签字盖章</w:t>
            </w:r>
          </w:p>
        </w:tc>
        <w:tc>
          <w:tcPr>
            <w:tcW w:w="6240" w:type="dxa"/>
            <w:vAlign w:val="center"/>
          </w:tcPr>
          <w:p w14:paraId="1C1389F2">
            <w:pPr>
              <w:rPr>
                <w:rFonts w:hint="eastAsia" w:ascii="宋体" w:hAnsi="宋体"/>
                <w:b w:val="0"/>
                <w:bCs w:val="0"/>
                <w:color w:val="auto"/>
                <w:szCs w:val="21"/>
                <w:highlight w:val="none"/>
              </w:rPr>
            </w:pPr>
            <w:r>
              <w:rPr>
                <w:rFonts w:hint="eastAsia" w:ascii="宋体" w:hAnsi="宋体"/>
                <w:b w:val="0"/>
                <w:bCs w:val="0"/>
                <w:color w:val="auto"/>
                <w:szCs w:val="21"/>
                <w:highlight w:val="none"/>
              </w:rPr>
              <w:t>报价函均应加盖投标供应商印章并经法定代表人或其委托代理人签字或盖章。</w:t>
            </w:r>
          </w:p>
        </w:tc>
      </w:tr>
      <w:tr w14:paraId="13C1D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41" w:type="dxa"/>
            <w:vMerge w:val="continue"/>
            <w:vAlign w:val="center"/>
          </w:tcPr>
          <w:p w14:paraId="753946E0">
            <w:pPr>
              <w:jc w:val="center"/>
              <w:rPr>
                <w:rFonts w:hint="eastAsia" w:ascii="宋体" w:hAnsi="宋体"/>
                <w:color w:val="auto"/>
                <w:szCs w:val="21"/>
                <w:highlight w:val="none"/>
              </w:rPr>
            </w:pPr>
          </w:p>
        </w:tc>
        <w:tc>
          <w:tcPr>
            <w:tcW w:w="1149" w:type="dxa"/>
            <w:vMerge w:val="continue"/>
            <w:vAlign w:val="center"/>
          </w:tcPr>
          <w:p w14:paraId="74733F33">
            <w:pPr>
              <w:jc w:val="center"/>
              <w:rPr>
                <w:rFonts w:hint="eastAsia" w:ascii="宋体" w:hAnsi="宋体"/>
                <w:color w:val="auto"/>
                <w:szCs w:val="21"/>
                <w:highlight w:val="none"/>
              </w:rPr>
            </w:pPr>
          </w:p>
        </w:tc>
        <w:tc>
          <w:tcPr>
            <w:tcW w:w="1509" w:type="dxa"/>
            <w:vAlign w:val="center"/>
          </w:tcPr>
          <w:p w14:paraId="2CF85C42">
            <w:pPr>
              <w:jc w:val="center"/>
              <w:rPr>
                <w:rFonts w:hint="eastAsia" w:ascii="宋体" w:hAnsi="宋体"/>
                <w:color w:val="auto"/>
                <w:szCs w:val="21"/>
                <w:highlight w:val="none"/>
                <w:lang w:val="en-US" w:eastAsia="zh-CN"/>
              </w:rPr>
            </w:pPr>
            <w:r>
              <w:rPr>
                <w:rFonts w:hint="eastAsia" w:ascii="宋体" w:hAnsi="宋体"/>
                <w:color w:val="auto"/>
                <w:szCs w:val="21"/>
                <w:highlight w:val="none"/>
              </w:rPr>
              <w:t>响应文件格式</w:t>
            </w:r>
          </w:p>
        </w:tc>
        <w:tc>
          <w:tcPr>
            <w:tcW w:w="6240" w:type="dxa"/>
            <w:vAlign w:val="center"/>
          </w:tcPr>
          <w:p w14:paraId="2CAE299F">
            <w:pPr>
              <w:rPr>
                <w:rFonts w:hint="eastAsia" w:ascii="宋体" w:hAnsi="宋体"/>
                <w:b w:val="0"/>
                <w:bCs w:val="0"/>
                <w:color w:val="auto"/>
                <w:szCs w:val="21"/>
                <w:highlight w:val="none"/>
              </w:rPr>
            </w:pPr>
            <w:r>
              <w:rPr>
                <w:rFonts w:hint="eastAsia" w:ascii="宋体" w:hAnsi="宋体"/>
                <w:b w:val="0"/>
                <w:bCs w:val="0"/>
                <w:color w:val="auto"/>
                <w:szCs w:val="21"/>
                <w:highlight w:val="none"/>
                <w:lang w:val="zh-CN"/>
              </w:rPr>
              <w:t>符合磋商文件中 “响应文件格式”的要求，按磋商文件的要求盖章、签署</w:t>
            </w:r>
          </w:p>
        </w:tc>
      </w:tr>
      <w:tr w14:paraId="3D24B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741" w:type="dxa"/>
            <w:vMerge w:val="continue"/>
            <w:vAlign w:val="center"/>
          </w:tcPr>
          <w:p w14:paraId="6FD4B293">
            <w:pPr>
              <w:jc w:val="center"/>
              <w:rPr>
                <w:rFonts w:hint="eastAsia" w:ascii="宋体" w:hAnsi="宋体"/>
                <w:color w:val="auto"/>
                <w:szCs w:val="21"/>
                <w:highlight w:val="none"/>
              </w:rPr>
            </w:pPr>
          </w:p>
        </w:tc>
        <w:tc>
          <w:tcPr>
            <w:tcW w:w="1149" w:type="dxa"/>
            <w:vMerge w:val="continue"/>
            <w:vAlign w:val="center"/>
          </w:tcPr>
          <w:p w14:paraId="50204D57">
            <w:pPr>
              <w:jc w:val="center"/>
              <w:rPr>
                <w:rFonts w:hint="eastAsia" w:ascii="宋体" w:hAnsi="宋体"/>
                <w:color w:val="auto"/>
                <w:szCs w:val="21"/>
                <w:highlight w:val="none"/>
              </w:rPr>
            </w:pPr>
          </w:p>
        </w:tc>
        <w:tc>
          <w:tcPr>
            <w:tcW w:w="1509" w:type="dxa"/>
            <w:vAlign w:val="center"/>
          </w:tcPr>
          <w:p w14:paraId="48DE216E">
            <w:pPr>
              <w:jc w:val="center"/>
              <w:rPr>
                <w:rFonts w:hint="eastAsia" w:ascii="宋体" w:hAnsi="宋体"/>
                <w:color w:val="auto"/>
                <w:szCs w:val="21"/>
                <w:highlight w:val="none"/>
                <w:lang w:val="en-US" w:eastAsia="zh-CN"/>
              </w:rPr>
            </w:pPr>
            <w:r>
              <w:rPr>
                <w:rFonts w:hint="eastAsia" w:ascii="宋体" w:hAnsi="宋体"/>
                <w:color w:val="auto"/>
                <w:szCs w:val="21"/>
                <w:highlight w:val="none"/>
              </w:rPr>
              <w:t>报价唯一</w:t>
            </w:r>
          </w:p>
        </w:tc>
        <w:tc>
          <w:tcPr>
            <w:tcW w:w="6240" w:type="dxa"/>
            <w:vAlign w:val="center"/>
          </w:tcPr>
          <w:p w14:paraId="33AF8FC5">
            <w:pPr>
              <w:rPr>
                <w:rFonts w:hint="eastAsia" w:ascii="宋体" w:hAnsi="宋体"/>
                <w:b w:val="0"/>
                <w:bCs w:val="0"/>
                <w:color w:val="auto"/>
                <w:szCs w:val="21"/>
                <w:highlight w:val="none"/>
              </w:rPr>
            </w:pPr>
            <w:r>
              <w:rPr>
                <w:rFonts w:hint="eastAsia" w:ascii="宋体" w:hAnsi="宋体"/>
                <w:b w:val="0"/>
                <w:bCs w:val="0"/>
                <w:szCs w:val="21"/>
                <w:highlight w:val="none"/>
              </w:rPr>
              <w:t>只能有一个有效报价</w:t>
            </w:r>
          </w:p>
        </w:tc>
      </w:tr>
      <w:tr w14:paraId="01D4C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41" w:type="dxa"/>
            <w:vMerge w:val="continue"/>
            <w:vAlign w:val="center"/>
          </w:tcPr>
          <w:p w14:paraId="68326195">
            <w:pPr>
              <w:jc w:val="center"/>
              <w:rPr>
                <w:rFonts w:ascii="宋体" w:hAnsi="宋体"/>
                <w:color w:val="auto"/>
                <w:szCs w:val="21"/>
                <w:highlight w:val="none"/>
              </w:rPr>
            </w:pPr>
          </w:p>
        </w:tc>
        <w:tc>
          <w:tcPr>
            <w:tcW w:w="1149" w:type="dxa"/>
            <w:vMerge w:val="continue"/>
            <w:vAlign w:val="center"/>
          </w:tcPr>
          <w:p w14:paraId="6CD1B3FF">
            <w:pPr>
              <w:jc w:val="center"/>
              <w:rPr>
                <w:rFonts w:ascii="宋体" w:hAnsi="宋体"/>
                <w:color w:val="auto"/>
                <w:szCs w:val="21"/>
                <w:highlight w:val="none"/>
              </w:rPr>
            </w:pPr>
          </w:p>
        </w:tc>
        <w:tc>
          <w:tcPr>
            <w:tcW w:w="1509" w:type="dxa"/>
            <w:vAlign w:val="center"/>
          </w:tcPr>
          <w:p w14:paraId="400E564A">
            <w:pPr>
              <w:jc w:val="center"/>
              <w:rPr>
                <w:rFonts w:ascii="宋体" w:hAnsi="宋体"/>
                <w:color w:val="auto"/>
                <w:szCs w:val="21"/>
                <w:highlight w:val="none"/>
              </w:rPr>
            </w:pPr>
            <w:r>
              <w:rPr>
                <w:rFonts w:hint="eastAsia" w:ascii="宋体" w:hAnsi="宋体"/>
                <w:color w:val="auto"/>
                <w:szCs w:val="21"/>
                <w:highlight w:val="none"/>
                <w:lang w:val="en-US" w:eastAsia="zh-CN"/>
              </w:rPr>
              <w:t>响应</w:t>
            </w:r>
            <w:r>
              <w:rPr>
                <w:rFonts w:hint="eastAsia" w:ascii="宋体" w:hAnsi="宋体"/>
                <w:color w:val="auto"/>
                <w:szCs w:val="21"/>
                <w:highlight w:val="none"/>
              </w:rPr>
              <w:t>内容</w:t>
            </w:r>
          </w:p>
        </w:tc>
        <w:tc>
          <w:tcPr>
            <w:tcW w:w="6240" w:type="dxa"/>
            <w:vAlign w:val="center"/>
          </w:tcPr>
          <w:p w14:paraId="2F8C4E56">
            <w:pPr>
              <w:spacing w:line="240" w:lineRule="exact"/>
              <w:rPr>
                <w:rFonts w:ascii="宋体" w:hAnsi="宋体"/>
                <w:b w:val="0"/>
                <w:bCs w:val="0"/>
                <w:color w:val="auto"/>
                <w:szCs w:val="21"/>
                <w:highlight w:val="none"/>
              </w:rPr>
            </w:pPr>
            <w:r>
              <w:rPr>
                <w:rFonts w:hint="eastAsia" w:ascii="宋体" w:hAnsi="宋体"/>
                <w:b w:val="0"/>
                <w:bCs w:val="0"/>
                <w:color w:val="auto"/>
                <w:szCs w:val="21"/>
                <w:highlight w:val="none"/>
              </w:rPr>
              <w:t>符合磋商文件规定</w:t>
            </w:r>
          </w:p>
        </w:tc>
      </w:tr>
      <w:tr w14:paraId="0B789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41" w:type="dxa"/>
            <w:vMerge w:val="continue"/>
            <w:vAlign w:val="center"/>
          </w:tcPr>
          <w:p w14:paraId="180FE6BF">
            <w:pPr>
              <w:jc w:val="center"/>
              <w:rPr>
                <w:rFonts w:ascii="宋体" w:hAnsi="宋体"/>
                <w:color w:val="auto"/>
                <w:szCs w:val="21"/>
                <w:highlight w:val="none"/>
              </w:rPr>
            </w:pPr>
          </w:p>
        </w:tc>
        <w:tc>
          <w:tcPr>
            <w:tcW w:w="1149" w:type="dxa"/>
            <w:vMerge w:val="continue"/>
            <w:vAlign w:val="center"/>
          </w:tcPr>
          <w:p w14:paraId="1A4F4CF8">
            <w:pPr>
              <w:jc w:val="center"/>
              <w:rPr>
                <w:rFonts w:ascii="宋体" w:hAnsi="宋体"/>
                <w:color w:val="auto"/>
                <w:szCs w:val="21"/>
                <w:highlight w:val="none"/>
              </w:rPr>
            </w:pPr>
          </w:p>
        </w:tc>
        <w:tc>
          <w:tcPr>
            <w:tcW w:w="1509" w:type="dxa"/>
            <w:vAlign w:val="center"/>
          </w:tcPr>
          <w:p w14:paraId="0F555482">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供货期限</w:t>
            </w:r>
          </w:p>
        </w:tc>
        <w:tc>
          <w:tcPr>
            <w:tcW w:w="6240" w:type="dxa"/>
            <w:vAlign w:val="center"/>
          </w:tcPr>
          <w:p w14:paraId="4C32F259">
            <w:pPr>
              <w:rPr>
                <w:rFonts w:ascii="宋体" w:hAnsi="宋体"/>
                <w:b w:val="0"/>
                <w:bCs w:val="0"/>
                <w:color w:val="auto"/>
                <w:szCs w:val="21"/>
                <w:highlight w:val="none"/>
              </w:rPr>
            </w:pPr>
            <w:r>
              <w:rPr>
                <w:rFonts w:hint="eastAsia" w:ascii="宋体" w:hAnsi="宋体"/>
                <w:b w:val="0"/>
                <w:bCs w:val="0"/>
                <w:color w:val="auto"/>
                <w:szCs w:val="21"/>
                <w:highlight w:val="none"/>
              </w:rPr>
              <w:t>符合磋商文件规定</w:t>
            </w:r>
          </w:p>
        </w:tc>
      </w:tr>
      <w:tr w14:paraId="754DD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741" w:type="dxa"/>
            <w:vMerge w:val="continue"/>
            <w:vAlign w:val="center"/>
          </w:tcPr>
          <w:p w14:paraId="570B6A24">
            <w:pPr>
              <w:jc w:val="center"/>
              <w:rPr>
                <w:rFonts w:ascii="宋体" w:hAnsi="宋体"/>
                <w:color w:val="auto"/>
                <w:szCs w:val="21"/>
                <w:highlight w:val="none"/>
              </w:rPr>
            </w:pPr>
          </w:p>
        </w:tc>
        <w:tc>
          <w:tcPr>
            <w:tcW w:w="1149" w:type="dxa"/>
            <w:vMerge w:val="continue"/>
            <w:vAlign w:val="center"/>
          </w:tcPr>
          <w:p w14:paraId="55EFB5EE">
            <w:pPr>
              <w:jc w:val="center"/>
              <w:rPr>
                <w:rFonts w:ascii="宋体" w:hAnsi="宋体"/>
                <w:color w:val="auto"/>
                <w:szCs w:val="21"/>
                <w:highlight w:val="none"/>
              </w:rPr>
            </w:pPr>
          </w:p>
        </w:tc>
        <w:tc>
          <w:tcPr>
            <w:tcW w:w="1509" w:type="dxa"/>
            <w:vAlign w:val="center"/>
          </w:tcPr>
          <w:p w14:paraId="755DBC60">
            <w:pPr>
              <w:jc w:val="center"/>
              <w:rPr>
                <w:rFonts w:ascii="宋体" w:hAnsi="宋体"/>
                <w:color w:val="auto"/>
                <w:szCs w:val="21"/>
                <w:highlight w:val="none"/>
              </w:rPr>
            </w:pPr>
            <w:r>
              <w:rPr>
                <w:rFonts w:hint="eastAsia" w:ascii="宋体" w:hAnsi="宋体"/>
                <w:color w:val="auto"/>
                <w:szCs w:val="21"/>
                <w:highlight w:val="none"/>
              </w:rPr>
              <w:t>质量标准</w:t>
            </w:r>
          </w:p>
        </w:tc>
        <w:tc>
          <w:tcPr>
            <w:tcW w:w="6240" w:type="dxa"/>
            <w:vAlign w:val="center"/>
          </w:tcPr>
          <w:p w14:paraId="7F949EF6">
            <w:pPr>
              <w:rPr>
                <w:rFonts w:ascii="宋体" w:hAnsi="宋体"/>
                <w:b w:val="0"/>
                <w:bCs w:val="0"/>
                <w:color w:val="auto"/>
                <w:szCs w:val="21"/>
                <w:highlight w:val="none"/>
              </w:rPr>
            </w:pPr>
            <w:r>
              <w:rPr>
                <w:rFonts w:hint="eastAsia" w:ascii="宋体" w:hAnsi="宋体"/>
                <w:b w:val="0"/>
                <w:bCs w:val="0"/>
                <w:color w:val="auto"/>
                <w:szCs w:val="21"/>
                <w:highlight w:val="none"/>
                <w:lang w:val="en-US" w:eastAsia="zh-CN"/>
              </w:rPr>
              <w:t>符合现行国家、行业、地方或者其他相关标准的合格要求</w:t>
            </w:r>
          </w:p>
        </w:tc>
      </w:tr>
      <w:tr w14:paraId="7D348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741" w:type="dxa"/>
            <w:vMerge w:val="continue"/>
            <w:vAlign w:val="center"/>
          </w:tcPr>
          <w:p w14:paraId="67AD0870">
            <w:pPr>
              <w:jc w:val="center"/>
              <w:rPr>
                <w:rFonts w:ascii="宋体" w:hAnsi="宋体"/>
                <w:color w:val="auto"/>
                <w:szCs w:val="21"/>
                <w:highlight w:val="none"/>
              </w:rPr>
            </w:pPr>
          </w:p>
        </w:tc>
        <w:tc>
          <w:tcPr>
            <w:tcW w:w="1149" w:type="dxa"/>
            <w:vMerge w:val="continue"/>
            <w:vAlign w:val="center"/>
          </w:tcPr>
          <w:p w14:paraId="7E685D3B">
            <w:pPr>
              <w:jc w:val="center"/>
              <w:rPr>
                <w:rFonts w:ascii="宋体" w:hAnsi="宋体"/>
                <w:color w:val="auto"/>
                <w:szCs w:val="21"/>
                <w:highlight w:val="none"/>
              </w:rPr>
            </w:pPr>
          </w:p>
        </w:tc>
        <w:tc>
          <w:tcPr>
            <w:tcW w:w="1509" w:type="dxa"/>
            <w:vAlign w:val="center"/>
          </w:tcPr>
          <w:p w14:paraId="3159942D">
            <w:pPr>
              <w:jc w:val="center"/>
              <w:rPr>
                <w:rFonts w:ascii="宋体" w:hAnsi="宋体"/>
                <w:color w:val="auto"/>
                <w:szCs w:val="21"/>
                <w:highlight w:val="none"/>
              </w:rPr>
            </w:pPr>
            <w:r>
              <w:rPr>
                <w:rFonts w:hint="eastAsia" w:ascii="宋体" w:hAnsi="宋体"/>
                <w:color w:val="auto"/>
                <w:szCs w:val="21"/>
                <w:highlight w:val="none"/>
              </w:rPr>
              <w:t>响应有效期</w:t>
            </w:r>
          </w:p>
        </w:tc>
        <w:tc>
          <w:tcPr>
            <w:tcW w:w="6240" w:type="dxa"/>
            <w:vAlign w:val="center"/>
          </w:tcPr>
          <w:p w14:paraId="1BFFDC0D">
            <w:pPr>
              <w:rPr>
                <w:rFonts w:ascii="宋体" w:hAnsi="宋体"/>
                <w:b w:val="0"/>
                <w:bCs w:val="0"/>
                <w:color w:val="auto"/>
                <w:szCs w:val="21"/>
                <w:highlight w:val="none"/>
              </w:rPr>
            </w:pPr>
            <w:r>
              <w:rPr>
                <w:rFonts w:hint="eastAsia" w:ascii="宋体" w:hAnsi="宋体"/>
                <w:b w:val="0"/>
                <w:bCs w:val="0"/>
                <w:color w:val="auto"/>
                <w:szCs w:val="21"/>
                <w:highlight w:val="none"/>
              </w:rPr>
              <w:t>投标截止之日后90天（日历天）</w:t>
            </w:r>
          </w:p>
        </w:tc>
      </w:tr>
      <w:tr w14:paraId="00FBB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41" w:type="dxa"/>
            <w:vMerge w:val="continue"/>
            <w:vAlign w:val="center"/>
          </w:tcPr>
          <w:p w14:paraId="5F8BA905">
            <w:pPr>
              <w:jc w:val="center"/>
              <w:rPr>
                <w:rFonts w:ascii="宋体" w:hAnsi="宋体"/>
                <w:color w:val="auto"/>
                <w:szCs w:val="21"/>
                <w:highlight w:val="none"/>
              </w:rPr>
            </w:pPr>
          </w:p>
        </w:tc>
        <w:tc>
          <w:tcPr>
            <w:tcW w:w="1149" w:type="dxa"/>
            <w:vMerge w:val="continue"/>
            <w:vAlign w:val="center"/>
          </w:tcPr>
          <w:p w14:paraId="5C4C247B">
            <w:pPr>
              <w:jc w:val="center"/>
              <w:rPr>
                <w:rFonts w:ascii="宋体" w:hAnsi="宋体"/>
                <w:color w:val="auto"/>
                <w:szCs w:val="21"/>
                <w:highlight w:val="none"/>
              </w:rPr>
            </w:pPr>
          </w:p>
        </w:tc>
        <w:tc>
          <w:tcPr>
            <w:tcW w:w="1509" w:type="dxa"/>
            <w:vAlign w:val="center"/>
          </w:tcPr>
          <w:p w14:paraId="21BA3983">
            <w:pPr>
              <w:jc w:val="center"/>
              <w:rPr>
                <w:rFonts w:ascii="宋体" w:hAnsi="宋体"/>
                <w:color w:val="auto"/>
                <w:szCs w:val="21"/>
                <w:highlight w:val="none"/>
              </w:rPr>
            </w:pPr>
            <w:r>
              <w:rPr>
                <w:rFonts w:hint="eastAsia" w:ascii="宋体" w:hAnsi="宋体"/>
                <w:color w:val="auto"/>
                <w:szCs w:val="21"/>
                <w:highlight w:val="none"/>
                <w:lang w:val="en-US" w:eastAsia="zh-CN"/>
              </w:rPr>
              <w:t>采购需</w:t>
            </w:r>
            <w:r>
              <w:rPr>
                <w:rFonts w:hint="eastAsia" w:ascii="宋体" w:hAnsi="宋体"/>
                <w:color w:val="auto"/>
                <w:szCs w:val="21"/>
                <w:highlight w:val="none"/>
              </w:rPr>
              <w:t>求</w:t>
            </w:r>
          </w:p>
        </w:tc>
        <w:tc>
          <w:tcPr>
            <w:tcW w:w="6240" w:type="dxa"/>
            <w:vAlign w:val="center"/>
          </w:tcPr>
          <w:p w14:paraId="6B44B1BF">
            <w:pPr>
              <w:rPr>
                <w:rFonts w:ascii="宋体" w:hAnsi="宋体"/>
                <w:color w:val="auto"/>
                <w:szCs w:val="21"/>
                <w:highlight w:val="none"/>
              </w:rPr>
            </w:pPr>
            <w:r>
              <w:rPr>
                <w:rFonts w:hint="eastAsia" w:ascii="宋体" w:hAnsi="宋体"/>
                <w:color w:val="auto"/>
                <w:szCs w:val="21"/>
                <w:highlight w:val="none"/>
              </w:rPr>
              <w:t>符合第</w:t>
            </w:r>
            <w:r>
              <w:rPr>
                <w:rFonts w:hint="eastAsia" w:ascii="宋体" w:hAnsi="宋体"/>
                <w:color w:val="auto"/>
                <w:szCs w:val="21"/>
                <w:highlight w:val="none"/>
                <w:lang w:val="en-US" w:eastAsia="zh-CN"/>
              </w:rPr>
              <w:t>五</w:t>
            </w:r>
            <w:r>
              <w:rPr>
                <w:rFonts w:hint="eastAsia" w:ascii="宋体" w:hAnsi="宋体"/>
                <w:color w:val="auto"/>
                <w:szCs w:val="21"/>
                <w:highlight w:val="none"/>
              </w:rPr>
              <w:t>章“技术标准和要求”规定</w:t>
            </w:r>
          </w:p>
        </w:tc>
      </w:tr>
      <w:tr w14:paraId="14407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41" w:type="dxa"/>
            <w:vMerge w:val="continue"/>
            <w:vAlign w:val="center"/>
          </w:tcPr>
          <w:p w14:paraId="59740DA1">
            <w:pPr>
              <w:jc w:val="center"/>
              <w:rPr>
                <w:rFonts w:ascii="宋体" w:hAnsi="宋体"/>
                <w:color w:val="auto"/>
                <w:szCs w:val="21"/>
                <w:highlight w:val="none"/>
              </w:rPr>
            </w:pPr>
          </w:p>
        </w:tc>
        <w:tc>
          <w:tcPr>
            <w:tcW w:w="1149" w:type="dxa"/>
            <w:vMerge w:val="continue"/>
            <w:vAlign w:val="center"/>
          </w:tcPr>
          <w:p w14:paraId="481D0CCC">
            <w:pPr>
              <w:jc w:val="center"/>
              <w:rPr>
                <w:rFonts w:ascii="宋体" w:hAnsi="宋体"/>
                <w:color w:val="auto"/>
                <w:szCs w:val="21"/>
                <w:highlight w:val="none"/>
              </w:rPr>
            </w:pPr>
          </w:p>
        </w:tc>
        <w:tc>
          <w:tcPr>
            <w:tcW w:w="1509" w:type="dxa"/>
            <w:vAlign w:val="center"/>
          </w:tcPr>
          <w:p w14:paraId="5EA1C6B8">
            <w:pPr>
              <w:jc w:val="center"/>
              <w:rPr>
                <w:rFonts w:hint="eastAsia" w:ascii="宋体" w:hAnsi="宋体" w:eastAsia="宋体"/>
                <w:color w:val="auto"/>
                <w:szCs w:val="21"/>
                <w:highlight w:val="none"/>
                <w:lang w:eastAsia="zh-CN"/>
              </w:rPr>
            </w:pPr>
            <w:r>
              <w:rPr>
                <w:rFonts w:hint="eastAsia" w:ascii="宋体" w:hAnsi="宋体"/>
                <w:color w:val="auto"/>
                <w:szCs w:val="21"/>
                <w:highlight w:val="none"/>
              </w:rPr>
              <w:t>磋商</w:t>
            </w:r>
            <w:r>
              <w:rPr>
                <w:rFonts w:hint="eastAsia" w:ascii="宋体" w:hAnsi="宋体"/>
                <w:color w:val="auto"/>
                <w:szCs w:val="21"/>
                <w:highlight w:val="none"/>
                <w:lang w:val="en-US" w:eastAsia="zh-CN"/>
              </w:rPr>
              <w:t>报价</w:t>
            </w:r>
          </w:p>
        </w:tc>
        <w:tc>
          <w:tcPr>
            <w:tcW w:w="6240" w:type="dxa"/>
            <w:vAlign w:val="center"/>
          </w:tcPr>
          <w:p w14:paraId="2787E378">
            <w:pPr>
              <w:rPr>
                <w:rFonts w:ascii="宋体" w:hAnsi="宋体"/>
                <w:color w:val="auto"/>
                <w:szCs w:val="21"/>
                <w:highlight w:val="none"/>
              </w:rPr>
            </w:pPr>
            <w:r>
              <w:rPr>
                <w:rFonts w:hint="eastAsia" w:ascii="宋体" w:hAnsi="宋体"/>
                <w:color w:val="auto"/>
                <w:szCs w:val="21"/>
                <w:highlight w:val="none"/>
              </w:rPr>
              <w:t>低于（含等于）第二章“申请人须知”前附表第10.1款载明的招标控制价。</w:t>
            </w:r>
          </w:p>
        </w:tc>
      </w:tr>
    </w:tbl>
    <w:p w14:paraId="64706281">
      <w:pPr>
        <w:spacing w:beforeLines="100"/>
        <w:ind w:right="-496" w:rightChars="-236"/>
        <w:rPr>
          <w:rFonts w:ascii="宋体" w:hAnsi="宋体" w:cs="宋体"/>
          <w:b/>
          <w:bCs/>
          <w:color w:val="auto"/>
          <w:sz w:val="18"/>
          <w:szCs w:val="18"/>
          <w:highlight w:val="none"/>
          <w:lang w:val="zh-CN"/>
        </w:rPr>
      </w:pPr>
      <w:r>
        <w:rPr>
          <w:rFonts w:hint="eastAsia" w:ascii="宋体" w:hAnsi="宋体" w:cs="宋体"/>
          <w:b/>
          <w:bCs/>
          <w:color w:val="auto"/>
          <w:sz w:val="18"/>
          <w:szCs w:val="18"/>
          <w:highlight w:val="none"/>
          <w:lang w:val="zh-CN"/>
        </w:rPr>
        <w:t>注：1</w:t>
      </w:r>
      <w:r>
        <w:rPr>
          <w:rFonts w:hint="eastAsia" w:ascii="宋体" w:hAnsi="宋体" w:cs="宋体"/>
          <w:b/>
          <w:bCs/>
          <w:color w:val="auto"/>
          <w:sz w:val="18"/>
          <w:szCs w:val="18"/>
          <w:highlight w:val="none"/>
          <w:lang w:val="en-US" w:eastAsia="zh-CN"/>
        </w:rPr>
        <w:t>.</w:t>
      </w:r>
      <w:r>
        <w:rPr>
          <w:rFonts w:hint="eastAsia" w:ascii="宋体" w:hAnsi="宋体" w:cs="宋体"/>
          <w:b/>
          <w:bCs/>
          <w:color w:val="auto"/>
          <w:sz w:val="18"/>
          <w:szCs w:val="18"/>
          <w:highlight w:val="none"/>
          <w:lang w:val="zh-CN"/>
        </w:rPr>
        <w:t>上述表中要求提供的证书、合同文件和相关证明文件等证件的复印件加盖公章装订在响应文件中。</w:t>
      </w:r>
    </w:p>
    <w:p w14:paraId="035CF559">
      <w:pPr>
        <w:ind w:right="-496" w:rightChars="-236" w:firstLine="361" w:firstLineChars="200"/>
        <w:rPr>
          <w:rFonts w:hint="eastAsia" w:ascii="宋体" w:hAnsi="宋体" w:cs="宋体"/>
          <w:b/>
          <w:bCs/>
          <w:color w:val="auto"/>
          <w:sz w:val="18"/>
          <w:szCs w:val="18"/>
          <w:highlight w:val="none"/>
          <w:lang w:val="zh-CN"/>
        </w:rPr>
      </w:pPr>
      <w:r>
        <w:rPr>
          <w:rFonts w:hint="eastAsia" w:ascii="宋体" w:hAnsi="宋体" w:cs="宋体"/>
          <w:b/>
          <w:bCs/>
          <w:color w:val="auto"/>
          <w:sz w:val="18"/>
          <w:szCs w:val="18"/>
          <w:highlight w:val="none"/>
          <w:lang w:val="zh-CN"/>
        </w:rPr>
        <w:t>2</w:t>
      </w:r>
      <w:r>
        <w:rPr>
          <w:rFonts w:hint="eastAsia" w:ascii="宋体" w:hAnsi="宋体" w:cs="宋体"/>
          <w:b/>
          <w:bCs/>
          <w:color w:val="auto"/>
          <w:sz w:val="18"/>
          <w:szCs w:val="18"/>
          <w:highlight w:val="none"/>
          <w:lang w:val="en-US" w:eastAsia="zh-CN"/>
        </w:rPr>
        <w:t>.</w:t>
      </w:r>
      <w:r>
        <w:rPr>
          <w:rFonts w:hint="eastAsia" w:ascii="宋体" w:hAnsi="宋体" w:cs="宋体"/>
          <w:b/>
          <w:bCs/>
          <w:color w:val="auto"/>
          <w:sz w:val="18"/>
          <w:szCs w:val="18"/>
          <w:highlight w:val="none"/>
          <w:lang w:val="zh-CN"/>
        </w:rPr>
        <w:t>上述内容中如某一证件正在年检或换证，需年检或换证部门出具有效证明方可确认。</w:t>
      </w:r>
    </w:p>
    <w:p w14:paraId="6D74671E">
      <w:pPr>
        <w:ind w:firstLine="361"/>
        <w:rPr>
          <w:rFonts w:hint="default" w:ascii="宋体" w:hAnsi="宋体" w:eastAsia="宋体" w:cs="宋体"/>
          <w:b/>
          <w:bCs/>
          <w:color w:val="auto"/>
          <w:sz w:val="18"/>
          <w:szCs w:val="18"/>
          <w:highlight w:val="none"/>
          <w:lang w:val="en-US" w:eastAsia="zh-CN"/>
        </w:rPr>
      </w:pPr>
      <w:r>
        <w:rPr>
          <w:rFonts w:hint="eastAsia" w:ascii="宋体" w:hAnsi="宋体" w:cs="宋体"/>
          <w:b/>
          <w:bCs/>
          <w:color w:val="auto"/>
          <w:sz w:val="18"/>
          <w:szCs w:val="18"/>
          <w:highlight w:val="none"/>
          <w:lang w:val="en-US" w:eastAsia="zh-CN"/>
        </w:rPr>
        <w:t>3.初步评审因素中有一项评审结果为不合格的，其响应作无效响应处理，不再进行下一步评审。</w:t>
      </w:r>
    </w:p>
    <w:p w14:paraId="67AD9BA8">
      <w:pPr>
        <w:rPr>
          <w:rFonts w:ascii="宋体" w:hAnsi="宋体"/>
          <w:color w:val="auto"/>
          <w:highlight w:val="none"/>
        </w:rPr>
      </w:pPr>
      <w:r>
        <w:rPr>
          <w:rFonts w:ascii="宋体" w:hAnsi="宋体"/>
          <w:color w:val="auto"/>
          <w:highlight w:val="none"/>
        </w:rPr>
        <w:br w:type="page"/>
      </w:r>
    </w:p>
    <w:p w14:paraId="7665CC53">
      <w:pPr>
        <w:spacing w:afterLines="50"/>
        <w:jc w:val="center"/>
        <w:rPr>
          <w:rFonts w:hint="eastAsia" w:ascii="宋体" w:hAnsi="宋体" w:eastAsia="宋体"/>
          <w:b/>
          <w:color w:val="auto"/>
          <w:szCs w:val="21"/>
          <w:highlight w:val="none"/>
          <w:lang w:val="en-US" w:eastAsia="zh-CN"/>
        </w:rPr>
      </w:pPr>
      <w:r>
        <w:rPr>
          <w:rFonts w:hint="eastAsia" w:ascii="宋体" w:hAnsi="宋体"/>
          <w:b/>
          <w:color w:val="auto"/>
          <w:szCs w:val="21"/>
          <w:highlight w:val="none"/>
        </w:rPr>
        <w:t>详细评审</w:t>
      </w:r>
      <w:r>
        <w:rPr>
          <w:rFonts w:hint="eastAsia" w:ascii="宋体" w:hAnsi="宋体"/>
          <w:b/>
          <w:color w:val="auto"/>
          <w:szCs w:val="21"/>
          <w:highlight w:val="none"/>
          <w:lang w:val="en-US" w:eastAsia="zh-CN"/>
        </w:rPr>
        <w:t>标准</w:t>
      </w:r>
    </w:p>
    <w:tbl>
      <w:tblPr>
        <w:tblStyle w:val="40"/>
        <w:tblW w:w="9639" w:type="dxa"/>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700"/>
        <w:gridCol w:w="939"/>
        <w:gridCol w:w="1737"/>
        <w:gridCol w:w="5606"/>
        <w:gridCol w:w="657"/>
      </w:tblGrid>
      <w:tr w14:paraId="4560970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00" w:hRule="atLeast"/>
        </w:trPr>
        <w:tc>
          <w:tcPr>
            <w:tcW w:w="1639" w:type="dxa"/>
            <w:gridSpan w:val="2"/>
            <w:tcBorders>
              <w:top w:val="outset" w:color="auto" w:sz="6" w:space="0"/>
              <w:left w:val="outset" w:color="auto" w:sz="6" w:space="0"/>
              <w:bottom w:val="outset" w:color="auto" w:sz="6" w:space="0"/>
              <w:right w:val="outset" w:color="auto" w:sz="6" w:space="0"/>
            </w:tcBorders>
            <w:vAlign w:val="center"/>
          </w:tcPr>
          <w:p w14:paraId="6C4C1734">
            <w:pPr>
              <w:keepNext w:val="0"/>
              <w:keepLines w:val="0"/>
              <w:pageBreakBefore w:val="0"/>
              <w:widowControl w:val="0"/>
              <w:kinsoku/>
              <w:wordWrap/>
              <w:overflowPunct/>
              <w:topLinePunct w:val="0"/>
              <w:bidi w:val="0"/>
              <w:snapToGrid/>
              <w:spacing w:line="0" w:lineRule="atLeast"/>
              <w:jc w:val="center"/>
              <w:rPr>
                <w:rFonts w:ascii="宋体" w:hAnsi="宋体" w:cs="微软雅黑"/>
                <w:color w:val="auto"/>
                <w:szCs w:val="21"/>
                <w:highlight w:val="none"/>
              </w:rPr>
            </w:pPr>
            <w:r>
              <w:rPr>
                <w:rFonts w:hint="eastAsia" w:ascii="宋体" w:hAnsi="宋体" w:cs="微软雅黑"/>
                <w:color w:val="auto"/>
                <w:szCs w:val="21"/>
                <w:highlight w:val="none"/>
              </w:rPr>
              <w:t>条款号</w:t>
            </w:r>
          </w:p>
        </w:tc>
        <w:tc>
          <w:tcPr>
            <w:tcW w:w="1737" w:type="dxa"/>
            <w:tcBorders>
              <w:top w:val="outset" w:color="auto" w:sz="6" w:space="0"/>
              <w:left w:val="outset" w:color="auto" w:sz="6" w:space="0"/>
              <w:bottom w:val="outset" w:color="auto" w:sz="6" w:space="0"/>
              <w:right w:val="outset" w:color="auto" w:sz="6" w:space="0"/>
            </w:tcBorders>
            <w:vAlign w:val="center"/>
          </w:tcPr>
          <w:p w14:paraId="03ED789C">
            <w:pPr>
              <w:keepNext w:val="0"/>
              <w:keepLines w:val="0"/>
              <w:pageBreakBefore w:val="0"/>
              <w:widowControl w:val="0"/>
              <w:kinsoku/>
              <w:wordWrap/>
              <w:overflowPunct/>
              <w:topLinePunct w:val="0"/>
              <w:bidi w:val="0"/>
              <w:snapToGrid/>
              <w:spacing w:line="0" w:lineRule="atLeast"/>
              <w:jc w:val="center"/>
              <w:rPr>
                <w:rFonts w:ascii="宋体" w:hAnsi="宋体" w:cs="微软雅黑"/>
                <w:color w:val="auto"/>
                <w:szCs w:val="21"/>
                <w:highlight w:val="none"/>
              </w:rPr>
            </w:pPr>
            <w:r>
              <w:rPr>
                <w:rFonts w:hint="eastAsia" w:ascii="宋体" w:hAnsi="宋体" w:cs="微软雅黑"/>
                <w:color w:val="auto"/>
                <w:szCs w:val="21"/>
                <w:highlight w:val="none"/>
              </w:rPr>
              <w:t>条款内容</w:t>
            </w:r>
          </w:p>
        </w:tc>
        <w:tc>
          <w:tcPr>
            <w:tcW w:w="6263" w:type="dxa"/>
            <w:gridSpan w:val="2"/>
            <w:tcBorders>
              <w:top w:val="outset" w:color="auto" w:sz="6" w:space="0"/>
              <w:left w:val="outset" w:color="auto" w:sz="6" w:space="0"/>
              <w:bottom w:val="outset" w:color="auto" w:sz="6" w:space="0"/>
              <w:right w:val="outset" w:color="auto" w:sz="6" w:space="0"/>
            </w:tcBorders>
            <w:vAlign w:val="center"/>
          </w:tcPr>
          <w:p w14:paraId="1ABEEB3F">
            <w:pPr>
              <w:keepNext w:val="0"/>
              <w:keepLines w:val="0"/>
              <w:pageBreakBefore w:val="0"/>
              <w:widowControl w:val="0"/>
              <w:kinsoku/>
              <w:wordWrap/>
              <w:overflowPunct/>
              <w:topLinePunct w:val="0"/>
              <w:bidi w:val="0"/>
              <w:snapToGrid/>
              <w:spacing w:line="0" w:lineRule="atLeast"/>
              <w:jc w:val="center"/>
              <w:rPr>
                <w:rFonts w:ascii="宋体" w:hAnsi="宋体" w:cs="微软雅黑"/>
                <w:color w:val="auto"/>
                <w:szCs w:val="21"/>
                <w:highlight w:val="none"/>
              </w:rPr>
            </w:pPr>
            <w:r>
              <w:rPr>
                <w:rFonts w:hint="eastAsia" w:ascii="宋体" w:hAnsi="宋体" w:cs="微软雅黑"/>
                <w:color w:val="auto"/>
                <w:szCs w:val="21"/>
                <w:highlight w:val="none"/>
              </w:rPr>
              <w:t>编列内容</w:t>
            </w:r>
          </w:p>
        </w:tc>
      </w:tr>
      <w:tr w14:paraId="4A4AF62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85" w:hRule="atLeast"/>
        </w:trPr>
        <w:tc>
          <w:tcPr>
            <w:tcW w:w="1639" w:type="dxa"/>
            <w:gridSpan w:val="2"/>
            <w:tcBorders>
              <w:top w:val="outset" w:color="auto" w:sz="6" w:space="0"/>
              <w:left w:val="outset" w:color="auto" w:sz="6" w:space="0"/>
              <w:bottom w:val="outset" w:color="auto" w:sz="6" w:space="0"/>
              <w:right w:val="outset" w:color="auto" w:sz="6" w:space="0"/>
            </w:tcBorders>
            <w:vAlign w:val="center"/>
          </w:tcPr>
          <w:p w14:paraId="3BB31DD7">
            <w:pPr>
              <w:keepNext w:val="0"/>
              <w:keepLines w:val="0"/>
              <w:pageBreakBefore w:val="0"/>
              <w:widowControl w:val="0"/>
              <w:kinsoku/>
              <w:wordWrap/>
              <w:overflowPunct/>
              <w:topLinePunct w:val="0"/>
              <w:bidi w:val="0"/>
              <w:snapToGrid/>
              <w:spacing w:line="0" w:lineRule="atLeast"/>
              <w:jc w:val="center"/>
              <w:rPr>
                <w:rFonts w:ascii="宋体" w:hAnsi="宋体" w:cs="微软雅黑"/>
                <w:color w:val="auto"/>
                <w:szCs w:val="21"/>
                <w:highlight w:val="none"/>
              </w:rPr>
            </w:pPr>
            <w:r>
              <w:rPr>
                <w:rFonts w:hint="eastAsia" w:ascii="宋体" w:hAnsi="宋体" w:cs="微软雅黑"/>
                <w:color w:val="auto"/>
                <w:szCs w:val="21"/>
                <w:highlight w:val="none"/>
              </w:rPr>
              <w:t>2.2.1</w:t>
            </w:r>
          </w:p>
        </w:tc>
        <w:tc>
          <w:tcPr>
            <w:tcW w:w="1737" w:type="dxa"/>
            <w:tcBorders>
              <w:top w:val="outset" w:color="auto" w:sz="6" w:space="0"/>
              <w:left w:val="outset" w:color="auto" w:sz="6" w:space="0"/>
              <w:bottom w:val="outset" w:color="auto" w:sz="6" w:space="0"/>
              <w:right w:val="outset" w:color="auto" w:sz="6" w:space="0"/>
            </w:tcBorders>
            <w:vAlign w:val="center"/>
          </w:tcPr>
          <w:p w14:paraId="2776CE65">
            <w:pPr>
              <w:keepNext w:val="0"/>
              <w:keepLines w:val="0"/>
              <w:pageBreakBefore w:val="0"/>
              <w:widowControl w:val="0"/>
              <w:kinsoku/>
              <w:wordWrap/>
              <w:overflowPunct/>
              <w:topLinePunct w:val="0"/>
              <w:bidi w:val="0"/>
              <w:snapToGrid/>
              <w:spacing w:line="0" w:lineRule="atLeast"/>
              <w:jc w:val="center"/>
              <w:rPr>
                <w:rFonts w:hint="eastAsia" w:ascii="宋体" w:hAnsi="宋体" w:eastAsia="宋体" w:cs="微软雅黑"/>
                <w:color w:val="auto"/>
                <w:szCs w:val="21"/>
                <w:highlight w:val="none"/>
                <w:lang w:eastAsia="zh-CN"/>
              </w:rPr>
            </w:pPr>
            <w:r>
              <w:rPr>
                <w:rFonts w:hint="eastAsia" w:ascii="宋体" w:hAnsi="宋体" w:cs="微软雅黑"/>
                <w:color w:val="auto"/>
                <w:szCs w:val="21"/>
                <w:highlight w:val="none"/>
              </w:rPr>
              <w:t>分值构成</w:t>
            </w:r>
          </w:p>
          <w:p w14:paraId="70316368">
            <w:pPr>
              <w:keepNext w:val="0"/>
              <w:keepLines w:val="0"/>
              <w:pageBreakBefore w:val="0"/>
              <w:widowControl w:val="0"/>
              <w:kinsoku/>
              <w:wordWrap/>
              <w:overflowPunct/>
              <w:topLinePunct w:val="0"/>
              <w:bidi w:val="0"/>
              <w:snapToGrid/>
              <w:spacing w:line="0" w:lineRule="atLeast"/>
              <w:jc w:val="center"/>
              <w:rPr>
                <w:rFonts w:ascii="宋体" w:hAnsi="宋体" w:cs="微软雅黑"/>
                <w:color w:val="auto"/>
                <w:szCs w:val="21"/>
                <w:highlight w:val="none"/>
              </w:rPr>
            </w:pPr>
            <w:r>
              <w:rPr>
                <w:rFonts w:hint="eastAsia" w:ascii="宋体" w:hAnsi="宋体" w:cs="微软雅黑"/>
                <w:color w:val="auto"/>
                <w:szCs w:val="21"/>
                <w:highlight w:val="none"/>
              </w:rPr>
              <w:t>（总分100分）</w:t>
            </w:r>
          </w:p>
        </w:tc>
        <w:tc>
          <w:tcPr>
            <w:tcW w:w="6263" w:type="dxa"/>
            <w:gridSpan w:val="2"/>
            <w:tcBorders>
              <w:top w:val="outset" w:color="auto" w:sz="6" w:space="0"/>
              <w:left w:val="outset" w:color="auto" w:sz="6" w:space="0"/>
              <w:bottom w:val="outset" w:color="auto" w:sz="6" w:space="0"/>
              <w:right w:val="outset" w:color="auto" w:sz="6" w:space="0"/>
            </w:tcBorders>
            <w:vAlign w:val="center"/>
          </w:tcPr>
          <w:p w14:paraId="1E6947DA">
            <w:pPr>
              <w:keepNext w:val="0"/>
              <w:keepLines w:val="0"/>
              <w:pageBreakBefore w:val="0"/>
              <w:widowControl w:val="0"/>
              <w:kinsoku/>
              <w:wordWrap/>
              <w:overflowPunct/>
              <w:topLinePunct w:val="0"/>
              <w:bidi w:val="0"/>
              <w:snapToGrid/>
              <w:spacing w:line="0" w:lineRule="atLeast"/>
              <w:jc w:val="left"/>
              <w:rPr>
                <w:rFonts w:ascii="宋体" w:hAnsi="宋体" w:cs="微软雅黑"/>
                <w:color w:val="auto"/>
                <w:szCs w:val="21"/>
                <w:highlight w:val="none"/>
              </w:rPr>
            </w:pPr>
            <w:r>
              <w:rPr>
                <w:rFonts w:hint="eastAsia" w:ascii="宋体" w:hAnsi="宋体" w:cs="微软雅黑"/>
                <w:color w:val="auto"/>
                <w:szCs w:val="21"/>
                <w:highlight w:val="none"/>
                <w:lang w:val="zh-CN"/>
              </w:rPr>
              <w:t>（</w:t>
            </w:r>
            <w:r>
              <w:rPr>
                <w:rFonts w:hint="eastAsia" w:ascii="宋体" w:hAnsi="宋体" w:cs="微软雅黑"/>
                <w:color w:val="auto"/>
                <w:szCs w:val="21"/>
                <w:highlight w:val="none"/>
                <w:lang w:val="en-US" w:eastAsia="zh-CN"/>
              </w:rPr>
              <w:t>1</w:t>
            </w:r>
            <w:r>
              <w:rPr>
                <w:rFonts w:hint="eastAsia" w:ascii="宋体" w:hAnsi="宋体" w:cs="微软雅黑"/>
                <w:color w:val="auto"/>
                <w:szCs w:val="21"/>
                <w:highlight w:val="none"/>
                <w:lang w:val="zh-CN"/>
              </w:rPr>
              <w:t>）</w:t>
            </w:r>
            <w:r>
              <w:rPr>
                <w:rFonts w:ascii="宋体" w:hAnsi="宋体" w:cs="微软雅黑"/>
                <w:color w:val="auto"/>
                <w:szCs w:val="21"/>
                <w:highlight w:val="none"/>
                <w:lang w:val="zh-CN"/>
              </w:rPr>
              <w:t>投标报价：</w:t>
            </w:r>
            <w:r>
              <w:rPr>
                <w:rFonts w:hint="eastAsia" w:ascii="宋体" w:hAnsi="宋体" w:cs="微软雅黑"/>
                <w:color w:val="auto"/>
                <w:szCs w:val="21"/>
                <w:highlight w:val="none"/>
              </w:rPr>
              <w:t>30</w:t>
            </w:r>
            <w:r>
              <w:rPr>
                <w:rFonts w:ascii="宋体" w:hAnsi="宋体" w:cs="微软雅黑"/>
                <w:color w:val="auto"/>
                <w:szCs w:val="21"/>
                <w:highlight w:val="none"/>
              </w:rPr>
              <w:t>分；</w:t>
            </w:r>
            <w:r>
              <w:rPr>
                <w:rFonts w:ascii="宋体" w:hAnsi="宋体" w:cs="微软雅黑"/>
                <w:color w:val="auto"/>
                <w:szCs w:val="21"/>
                <w:highlight w:val="none"/>
                <w:lang w:val="zh-CN"/>
              </w:rPr>
              <w:t>（</w:t>
            </w:r>
            <w:r>
              <w:rPr>
                <w:rFonts w:ascii="宋体" w:hAnsi="宋体" w:cs="微软雅黑"/>
                <w:color w:val="auto"/>
                <w:szCs w:val="21"/>
                <w:highlight w:val="none"/>
              </w:rPr>
              <w:t>2</w:t>
            </w:r>
            <w:r>
              <w:rPr>
                <w:rFonts w:ascii="宋体" w:hAnsi="宋体" w:cs="微软雅黑"/>
                <w:color w:val="auto"/>
                <w:szCs w:val="21"/>
                <w:highlight w:val="none"/>
                <w:lang w:val="zh-CN"/>
              </w:rPr>
              <w:t>）</w:t>
            </w:r>
            <w:r>
              <w:rPr>
                <w:rFonts w:hint="eastAsia" w:ascii="宋体" w:hAnsi="宋体" w:cs="微软雅黑"/>
                <w:color w:val="auto"/>
                <w:szCs w:val="21"/>
                <w:highlight w:val="none"/>
              </w:rPr>
              <w:t>商务因素</w:t>
            </w:r>
            <w:r>
              <w:rPr>
                <w:rFonts w:ascii="宋体" w:hAnsi="宋体" w:cs="微软雅黑"/>
                <w:color w:val="auto"/>
                <w:szCs w:val="21"/>
                <w:highlight w:val="none"/>
                <w:lang w:val="zh-CN"/>
              </w:rPr>
              <w:t>：</w:t>
            </w:r>
            <w:r>
              <w:rPr>
                <w:rFonts w:hint="eastAsia" w:ascii="宋体" w:hAnsi="宋体" w:cs="微软雅黑"/>
                <w:color w:val="auto"/>
                <w:szCs w:val="21"/>
                <w:highlight w:val="none"/>
                <w:lang w:val="en-US" w:eastAsia="zh-CN"/>
              </w:rPr>
              <w:t>15</w:t>
            </w:r>
            <w:r>
              <w:rPr>
                <w:rFonts w:ascii="宋体" w:hAnsi="宋体" w:cs="微软雅黑"/>
                <w:color w:val="auto"/>
                <w:szCs w:val="21"/>
                <w:highlight w:val="none"/>
                <w:lang w:val="zh-CN"/>
              </w:rPr>
              <w:t>分；（</w:t>
            </w:r>
            <w:r>
              <w:rPr>
                <w:rFonts w:ascii="宋体" w:hAnsi="宋体" w:cs="微软雅黑"/>
                <w:color w:val="auto"/>
                <w:szCs w:val="21"/>
                <w:highlight w:val="none"/>
              </w:rPr>
              <w:t>3</w:t>
            </w:r>
            <w:r>
              <w:rPr>
                <w:rFonts w:ascii="宋体" w:hAnsi="宋体" w:cs="微软雅黑"/>
                <w:color w:val="auto"/>
                <w:szCs w:val="21"/>
                <w:highlight w:val="none"/>
                <w:lang w:val="zh-CN"/>
              </w:rPr>
              <w:t>）</w:t>
            </w:r>
            <w:r>
              <w:rPr>
                <w:rFonts w:hint="eastAsia" w:ascii="宋体" w:hAnsi="宋体" w:cs="微软雅黑"/>
                <w:color w:val="auto"/>
                <w:szCs w:val="21"/>
                <w:highlight w:val="none"/>
              </w:rPr>
              <w:t>技术因素</w:t>
            </w:r>
            <w:r>
              <w:rPr>
                <w:rFonts w:ascii="宋体" w:hAnsi="宋体" w:cs="微软雅黑"/>
                <w:color w:val="auto"/>
                <w:szCs w:val="21"/>
                <w:highlight w:val="none"/>
                <w:lang w:val="zh-CN"/>
              </w:rPr>
              <w:t>：</w:t>
            </w:r>
            <w:r>
              <w:rPr>
                <w:rFonts w:hint="eastAsia" w:ascii="宋体" w:hAnsi="宋体" w:cs="微软雅黑"/>
                <w:color w:val="auto"/>
                <w:szCs w:val="21"/>
                <w:highlight w:val="none"/>
                <w:lang w:val="en-US" w:eastAsia="zh-CN"/>
              </w:rPr>
              <w:t>55</w:t>
            </w:r>
            <w:r>
              <w:rPr>
                <w:rFonts w:ascii="宋体" w:hAnsi="宋体" w:cs="微软雅黑"/>
                <w:color w:val="auto"/>
                <w:szCs w:val="21"/>
                <w:highlight w:val="none"/>
                <w:lang w:val="zh-CN"/>
              </w:rPr>
              <w:t>分；</w:t>
            </w:r>
          </w:p>
        </w:tc>
      </w:tr>
      <w:tr w14:paraId="7EBF257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813" w:hRule="atLeast"/>
        </w:trPr>
        <w:tc>
          <w:tcPr>
            <w:tcW w:w="1639" w:type="dxa"/>
            <w:gridSpan w:val="2"/>
            <w:tcBorders>
              <w:top w:val="outset" w:color="auto" w:sz="6" w:space="0"/>
              <w:left w:val="outset" w:color="auto" w:sz="6" w:space="0"/>
              <w:bottom w:val="outset" w:color="auto" w:sz="6" w:space="0"/>
              <w:right w:val="outset" w:color="auto" w:sz="6" w:space="0"/>
            </w:tcBorders>
            <w:vAlign w:val="center"/>
          </w:tcPr>
          <w:p w14:paraId="73D8FBE8">
            <w:pPr>
              <w:keepNext w:val="0"/>
              <w:keepLines w:val="0"/>
              <w:pageBreakBefore w:val="0"/>
              <w:widowControl w:val="0"/>
              <w:kinsoku/>
              <w:wordWrap/>
              <w:overflowPunct/>
              <w:topLinePunct w:val="0"/>
              <w:bidi w:val="0"/>
              <w:snapToGrid/>
              <w:spacing w:line="0" w:lineRule="atLeast"/>
              <w:jc w:val="center"/>
              <w:rPr>
                <w:rFonts w:ascii="宋体" w:hAnsi="宋体" w:cs="微软雅黑"/>
                <w:color w:val="auto"/>
                <w:szCs w:val="21"/>
                <w:highlight w:val="none"/>
              </w:rPr>
            </w:pPr>
            <w:r>
              <w:rPr>
                <w:rFonts w:hint="eastAsia" w:ascii="宋体" w:hAnsi="宋体" w:cs="微软雅黑"/>
                <w:color w:val="auto"/>
                <w:szCs w:val="21"/>
                <w:highlight w:val="none"/>
              </w:rPr>
              <w:t>2.2.2</w:t>
            </w:r>
          </w:p>
        </w:tc>
        <w:tc>
          <w:tcPr>
            <w:tcW w:w="1737" w:type="dxa"/>
            <w:tcBorders>
              <w:top w:val="outset" w:color="auto" w:sz="6" w:space="0"/>
              <w:left w:val="outset" w:color="auto" w:sz="6" w:space="0"/>
              <w:bottom w:val="outset" w:color="auto" w:sz="6" w:space="0"/>
              <w:right w:val="outset" w:color="auto" w:sz="6" w:space="0"/>
            </w:tcBorders>
            <w:vAlign w:val="center"/>
          </w:tcPr>
          <w:p w14:paraId="298430E1">
            <w:pPr>
              <w:keepNext w:val="0"/>
              <w:keepLines w:val="0"/>
              <w:pageBreakBefore w:val="0"/>
              <w:widowControl w:val="0"/>
              <w:kinsoku/>
              <w:wordWrap/>
              <w:overflowPunct/>
              <w:topLinePunct w:val="0"/>
              <w:bidi w:val="0"/>
              <w:snapToGrid/>
              <w:spacing w:line="0" w:lineRule="atLeast"/>
              <w:jc w:val="center"/>
              <w:rPr>
                <w:rFonts w:ascii="宋体" w:hAnsi="宋体" w:cs="微软雅黑"/>
                <w:color w:val="auto"/>
                <w:szCs w:val="21"/>
                <w:highlight w:val="none"/>
              </w:rPr>
            </w:pPr>
            <w:r>
              <w:rPr>
                <w:rFonts w:hint="eastAsia" w:ascii="宋体" w:hAnsi="宋体" w:cs="微软雅黑"/>
                <w:color w:val="auto"/>
                <w:szCs w:val="21"/>
                <w:highlight w:val="none"/>
              </w:rPr>
              <w:t>基准价计算方法</w:t>
            </w:r>
          </w:p>
        </w:tc>
        <w:tc>
          <w:tcPr>
            <w:tcW w:w="6263" w:type="dxa"/>
            <w:gridSpan w:val="2"/>
            <w:tcBorders>
              <w:top w:val="outset" w:color="auto" w:sz="6" w:space="0"/>
              <w:left w:val="outset" w:color="auto" w:sz="6" w:space="0"/>
              <w:bottom w:val="outset" w:color="auto" w:sz="6" w:space="0"/>
              <w:right w:val="outset" w:color="auto" w:sz="6" w:space="0"/>
            </w:tcBorders>
            <w:vAlign w:val="center"/>
          </w:tcPr>
          <w:p w14:paraId="606FAC7A">
            <w:pPr>
              <w:keepNext w:val="0"/>
              <w:keepLines w:val="0"/>
              <w:pageBreakBefore w:val="0"/>
              <w:widowControl w:val="0"/>
              <w:kinsoku/>
              <w:wordWrap/>
              <w:overflowPunct/>
              <w:topLinePunct w:val="0"/>
              <w:bidi w:val="0"/>
              <w:snapToGrid/>
              <w:spacing w:line="0" w:lineRule="atLeast"/>
              <w:jc w:val="left"/>
              <w:rPr>
                <w:rFonts w:ascii="宋体" w:hAnsi="宋体"/>
                <w:bCs/>
                <w:color w:val="auto"/>
                <w:szCs w:val="21"/>
                <w:highlight w:val="none"/>
              </w:rPr>
            </w:pPr>
            <w:r>
              <w:rPr>
                <w:rFonts w:hint="eastAsia" w:ascii="宋体" w:hAnsi="宋体" w:cs="微软雅黑"/>
                <w:color w:val="auto"/>
                <w:szCs w:val="21"/>
                <w:highlight w:val="none"/>
              </w:rPr>
              <w:t>价格分统一采用低价优先法计算，即满足磋商文件要求且最后报价最低的供应商的价格为磋商基准价，其价格分为满分。</w:t>
            </w:r>
          </w:p>
        </w:tc>
      </w:tr>
      <w:tr w14:paraId="32E4CE0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13" w:hRule="atLeast"/>
        </w:trPr>
        <w:tc>
          <w:tcPr>
            <w:tcW w:w="1639" w:type="dxa"/>
            <w:gridSpan w:val="2"/>
            <w:tcBorders>
              <w:top w:val="outset" w:color="auto" w:sz="6" w:space="0"/>
              <w:left w:val="outset" w:color="auto" w:sz="6" w:space="0"/>
              <w:bottom w:val="outset" w:color="auto" w:sz="6" w:space="0"/>
              <w:right w:val="outset" w:color="auto" w:sz="6" w:space="0"/>
            </w:tcBorders>
            <w:vAlign w:val="center"/>
          </w:tcPr>
          <w:p w14:paraId="2B6CF709">
            <w:pPr>
              <w:keepNext w:val="0"/>
              <w:keepLines w:val="0"/>
              <w:pageBreakBefore w:val="0"/>
              <w:widowControl w:val="0"/>
              <w:kinsoku/>
              <w:wordWrap/>
              <w:overflowPunct/>
              <w:topLinePunct w:val="0"/>
              <w:bidi w:val="0"/>
              <w:snapToGrid/>
              <w:spacing w:line="0" w:lineRule="atLeast"/>
              <w:jc w:val="center"/>
              <w:rPr>
                <w:rFonts w:ascii="宋体" w:hAnsi="宋体" w:cs="微软雅黑"/>
                <w:color w:val="auto"/>
                <w:szCs w:val="21"/>
                <w:highlight w:val="none"/>
              </w:rPr>
            </w:pPr>
            <w:r>
              <w:rPr>
                <w:rFonts w:hint="eastAsia" w:ascii="宋体" w:hAnsi="宋体" w:cs="微软雅黑"/>
                <w:color w:val="auto"/>
                <w:szCs w:val="21"/>
                <w:highlight w:val="none"/>
              </w:rPr>
              <w:t>条款号</w:t>
            </w:r>
          </w:p>
        </w:tc>
        <w:tc>
          <w:tcPr>
            <w:tcW w:w="1737" w:type="dxa"/>
            <w:tcBorders>
              <w:top w:val="outset" w:color="auto" w:sz="6" w:space="0"/>
              <w:left w:val="outset" w:color="auto" w:sz="6" w:space="0"/>
              <w:bottom w:val="outset" w:color="auto" w:sz="6" w:space="0"/>
              <w:right w:val="outset" w:color="auto" w:sz="6" w:space="0"/>
            </w:tcBorders>
            <w:vAlign w:val="center"/>
          </w:tcPr>
          <w:p w14:paraId="233BF754">
            <w:pPr>
              <w:keepNext w:val="0"/>
              <w:keepLines w:val="0"/>
              <w:pageBreakBefore w:val="0"/>
              <w:widowControl w:val="0"/>
              <w:kinsoku/>
              <w:wordWrap/>
              <w:overflowPunct/>
              <w:topLinePunct w:val="0"/>
              <w:bidi w:val="0"/>
              <w:snapToGrid/>
              <w:spacing w:line="0" w:lineRule="atLeast"/>
              <w:jc w:val="center"/>
              <w:rPr>
                <w:rFonts w:ascii="宋体" w:hAnsi="宋体" w:cs="微软雅黑"/>
                <w:color w:val="auto"/>
                <w:szCs w:val="21"/>
                <w:highlight w:val="none"/>
              </w:rPr>
            </w:pPr>
            <w:r>
              <w:rPr>
                <w:rFonts w:hint="eastAsia" w:ascii="宋体" w:hAnsi="宋体" w:cs="微软雅黑"/>
                <w:color w:val="auto"/>
                <w:szCs w:val="21"/>
                <w:highlight w:val="none"/>
              </w:rPr>
              <w:t>评分因素</w:t>
            </w:r>
          </w:p>
        </w:tc>
        <w:tc>
          <w:tcPr>
            <w:tcW w:w="5606" w:type="dxa"/>
            <w:tcBorders>
              <w:top w:val="outset" w:color="auto" w:sz="6" w:space="0"/>
              <w:left w:val="outset" w:color="auto" w:sz="6" w:space="0"/>
              <w:bottom w:val="outset" w:color="auto" w:sz="6" w:space="0"/>
              <w:right w:val="single" w:color="auto" w:sz="4" w:space="0"/>
            </w:tcBorders>
            <w:vAlign w:val="center"/>
          </w:tcPr>
          <w:p w14:paraId="05A4234A">
            <w:pPr>
              <w:keepNext w:val="0"/>
              <w:keepLines w:val="0"/>
              <w:pageBreakBefore w:val="0"/>
              <w:widowControl w:val="0"/>
              <w:kinsoku/>
              <w:wordWrap/>
              <w:overflowPunct/>
              <w:topLinePunct w:val="0"/>
              <w:bidi w:val="0"/>
              <w:snapToGrid/>
              <w:spacing w:line="0" w:lineRule="atLeast"/>
              <w:jc w:val="center"/>
              <w:rPr>
                <w:rFonts w:ascii="宋体" w:hAnsi="宋体" w:cs="微软雅黑"/>
                <w:color w:val="auto"/>
                <w:szCs w:val="21"/>
                <w:highlight w:val="none"/>
              </w:rPr>
            </w:pPr>
            <w:r>
              <w:rPr>
                <w:rFonts w:hint="eastAsia" w:ascii="宋体" w:hAnsi="宋体" w:cs="微软雅黑"/>
                <w:color w:val="auto"/>
                <w:szCs w:val="21"/>
                <w:highlight w:val="none"/>
              </w:rPr>
              <w:t>评分标准</w:t>
            </w:r>
          </w:p>
        </w:tc>
        <w:tc>
          <w:tcPr>
            <w:tcW w:w="657" w:type="dxa"/>
            <w:tcBorders>
              <w:top w:val="outset" w:color="auto" w:sz="6" w:space="0"/>
              <w:left w:val="single" w:color="auto" w:sz="4" w:space="0"/>
              <w:bottom w:val="outset" w:color="auto" w:sz="6" w:space="0"/>
              <w:right w:val="outset" w:color="auto" w:sz="6" w:space="0"/>
            </w:tcBorders>
            <w:vAlign w:val="center"/>
          </w:tcPr>
          <w:p w14:paraId="0B3519BB">
            <w:pPr>
              <w:keepNext w:val="0"/>
              <w:keepLines w:val="0"/>
              <w:pageBreakBefore w:val="0"/>
              <w:widowControl w:val="0"/>
              <w:kinsoku/>
              <w:wordWrap/>
              <w:overflowPunct/>
              <w:topLinePunct w:val="0"/>
              <w:bidi w:val="0"/>
              <w:snapToGrid/>
              <w:spacing w:line="0" w:lineRule="atLeast"/>
              <w:jc w:val="center"/>
              <w:rPr>
                <w:rFonts w:ascii="宋体" w:hAnsi="宋体" w:cs="微软雅黑"/>
                <w:color w:val="auto"/>
                <w:szCs w:val="21"/>
                <w:highlight w:val="none"/>
              </w:rPr>
            </w:pPr>
            <w:r>
              <w:rPr>
                <w:rFonts w:hint="eastAsia" w:ascii="宋体" w:hAnsi="宋体" w:cs="微软雅黑"/>
                <w:color w:val="auto"/>
                <w:szCs w:val="21"/>
                <w:highlight w:val="none"/>
              </w:rPr>
              <w:t>得分</w:t>
            </w:r>
          </w:p>
        </w:tc>
      </w:tr>
      <w:tr w14:paraId="20DE728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802" w:hRule="atLeast"/>
        </w:trPr>
        <w:tc>
          <w:tcPr>
            <w:tcW w:w="700" w:type="dxa"/>
            <w:tcBorders>
              <w:top w:val="outset" w:color="auto" w:sz="6" w:space="0"/>
              <w:left w:val="outset" w:color="auto" w:sz="6" w:space="0"/>
              <w:bottom w:val="outset" w:color="auto" w:sz="6" w:space="0"/>
              <w:right w:val="outset" w:color="auto" w:sz="6" w:space="0"/>
            </w:tcBorders>
            <w:vAlign w:val="center"/>
          </w:tcPr>
          <w:p w14:paraId="2DD1F7D2">
            <w:pPr>
              <w:keepNext w:val="0"/>
              <w:keepLines w:val="0"/>
              <w:pageBreakBefore w:val="0"/>
              <w:widowControl w:val="0"/>
              <w:kinsoku/>
              <w:wordWrap/>
              <w:overflowPunct/>
              <w:topLinePunct w:val="0"/>
              <w:bidi w:val="0"/>
              <w:snapToGrid/>
              <w:spacing w:line="0" w:lineRule="atLeast"/>
              <w:jc w:val="center"/>
              <w:rPr>
                <w:rFonts w:hint="eastAsia" w:ascii="宋体" w:hAnsi="宋体" w:cs="微软雅黑"/>
                <w:color w:val="auto"/>
                <w:szCs w:val="21"/>
                <w:highlight w:val="none"/>
              </w:rPr>
            </w:pPr>
            <w:r>
              <w:rPr>
                <w:rFonts w:hint="eastAsia" w:ascii="宋体" w:hAnsi="宋体" w:cs="微软雅黑"/>
                <w:color w:val="auto"/>
                <w:szCs w:val="21"/>
                <w:highlight w:val="none"/>
              </w:rPr>
              <w:t>2.2.3</w:t>
            </w:r>
          </w:p>
          <w:p w14:paraId="1DC3126B">
            <w:pPr>
              <w:keepNext w:val="0"/>
              <w:keepLines w:val="0"/>
              <w:pageBreakBefore w:val="0"/>
              <w:widowControl w:val="0"/>
              <w:kinsoku/>
              <w:wordWrap/>
              <w:overflowPunct/>
              <w:topLinePunct w:val="0"/>
              <w:bidi w:val="0"/>
              <w:snapToGrid/>
              <w:spacing w:line="0" w:lineRule="atLeast"/>
              <w:jc w:val="center"/>
              <w:rPr>
                <w:rFonts w:hint="eastAsia" w:ascii="宋体" w:hAnsi="宋体" w:cs="微软雅黑"/>
                <w:color w:val="auto"/>
                <w:szCs w:val="21"/>
                <w:highlight w:val="none"/>
              </w:rPr>
            </w:pPr>
            <w:r>
              <w:rPr>
                <w:rFonts w:hint="eastAsia" w:ascii="宋体" w:hAnsi="宋体" w:cs="微软雅黑"/>
                <w:color w:val="auto"/>
                <w:szCs w:val="21"/>
                <w:highlight w:val="none"/>
              </w:rPr>
              <w:t>(1)</w:t>
            </w:r>
          </w:p>
        </w:tc>
        <w:tc>
          <w:tcPr>
            <w:tcW w:w="939" w:type="dxa"/>
            <w:tcBorders>
              <w:top w:val="outset" w:color="auto" w:sz="6" w:space="0"/>
              <w:left w:val="outset" w:color="auto" w:sz="6" w:space="0"/>
              <w:bottom w:val="outset" w:color="auto" w:sz="6" w:space="0"/>
              <w:right w:val="outset" w:color="auto" w:sz="6" w:space="0"/>
            </w:tcBorders>
            <w:vAlign w:val="center"/>
          </w:tcPr>
          <w:p w14:paraId="56D63098">
            <w:pPr>
              <w:keepNext w:val="0"/>
              <w:keepLines w:val="0"/>
              <w:pageBreakBefore w:val="0"/>
              <w:widowControl w:val="0"/>
              <w:kinsoku/>
              <w:wordWrap/>
              <w:overflowPunct/>
              <w:topLinePunct w:val="0"/>
              <w:bidi w:val="0"/>
              <w:snapToGrid/>
              <w:spacing w:line="0" w:lineRule="atLeast"/>
              <w:jc w:val="left"/>
              <w:rPr>
                <w:rFonts w:ascii="宋体" w:hAnsi="宋体" w:cs="微软雅黑"/>
                <w:color w:val="auto"/>
                <w:szCs w:val="21"/>
                <w:highlight w:val="none"/>
              </w:rPr>
            </w:pPr>
            <w:r>
              <w:rPr>
                <w:rFonts w:hint="eastAsia" w:ascii="宋体" w:hAnsi="宋体" w:cs="微软雅黑"/>
                <w:color w:val="auto"/>
                <w:szCs w:val="21"/>
                <w:highlight w:val="none"/>
              </w:rPr>
              <w:t>磋商报价</w:t>
            </w:r>
          </w:p>
          <w:p w14:paraId="363439FD">
            <w:pPr>
              <w:keepNext w:val="0"/>
              <w:keepLines w:val="0"/>
              <w:pageBreakBefore w:val="0"/>
              <w:widowControl w:val="0"/>
              <w:kinsoku/>
              <w:wordWrap/>
              <w:overflowPunct/>
              <w:topLinePunct w:val="0"/>
              <w:bidi w:val="0"/>
              <w:snapToGrid/>
              <w:spacing w:line="0" w:lineRule="atLeast"/>
              <w:jc w:val="left"/>
              <w:rPr>
                <w:rFonts w:ascii="宋体" w:hAnsi="宋体" w:cs="微软雅黑"/>
                <w:color w:val="auto"/>
                <w:szCs w:val="21"/>
                <w:highlight w:val="none"/>
              </w:rPr>
            </w:pPr>
            <w:r>
              <w:rPr>
                <w:rFonts w:hint="eastAsia" w:ascii="宋体" w:hAnsi="宋体" w:cs="微软雅黑"/>
                <w:color w:val="auto"/>
                <w:szCs w:val="21"/>
                <w:highlight w:val="none"/>
              </w:rPr>
              <w:t>评分标准</w:t>
            </w:r>
          </w:p>
          <w:p w14:paraId="08071715">
            <w:pPr>
              <w:keepNext w:val="0"/>
              <w:keepLines w:val="0"/>
              <w:pageBreakBefore w:val="0"/>
              <w:widowControl w:val="0"/>
              <w:kinsoku/>
              <w:wordWrap/>
              <w:overflowPunct/>
              <w:topLinePunct w:val="0"/>
              <w:bidi w:val="0"/>
              <w:snapToGrid/>
              <w:spacing w:line="0" w:lineRule="atLeast"/>
              <w:jc w:val="center"/>
              <w:rPr>
                <w:rFonts w:hint="eastAsia" w:ascii="宋体" w:hAnsi="宋体" w:cs="微软雅黑"/>
                <w:color w:val="auto"/>
                <w:szCs w:val="21"/>
                <w:highlight w:val="none"/>
                <w:lang w:val="en-US" w:eastAsia="zh-CN"/>
              </w:rPr>
            </w:pPr>
            <w:r>
              <w:rPr>
                <w:rFonts w:hint="eastAsia" w:ascii="宋体" w:hAnsi="宋体" w:cs="微软雅黑"/>
                <w:color w:val="auto"/>
                <w:szCs w:val="21"/>
                <w:highlight w:val="none"/>
              </w:rPr>
              <w:t>30分</w:t>
            </w:r>
          </w:p>
        </w:tc>
        <w:tc>
          <w:tcPr>
            <w:tcW w:w="1737" w:type="dxa"/>
            <w:tcBorders>
              <w:top w:val="outset" w:color="auto" w:sz="6" w:space="0"/>
              <w:left w:val="outset" w:color="auto" w:sz="6" w:space="0"/>
              <w:bottom w:val="outset" w:color="auto" w:sz="6" w:space="0"/>
              <w:right w:val="outset" w:color="auto" w:sz="6" w:space="0"/>
            </w:tcBorders>
            <w:vAlign w:val="center"/>
          </w:tcPr>
          <w:p w14:paraId="2357E204">
            <w:pPr>
              <w:spacing w:line="0" w:lineRule="atLeast"/>
              <w:ind w:right="69" w:rightChars="33" w:firstLine="100" w:firstLineChars="48"/>
              <w:jc w:val="center"/>
              <w:rPr>
                <w:rFonts w:hint="eastAsia"/>
                <w:color w:val="auto"/>
                <w:sz w:val="21"/>
                <w:lang w:val="en-US"/>
              </w:rPr>
            </w:pPr>
            <w:r>
              <w:rPr>
                <w:rFonts w:hint="eastAsia" w:ascii="宋体" w:hAnsi="宋体" w:cs="微软雅黑"/>
                <w:color w:val="auto"/>
                <w:szCs w:val="21"/>
                <w:highlight w:val="none"/>
              </w:rPr>
              <w:t>磋商报价得分</w:t>
            </w:r>
          </w:p>
        </w:tc>
        <w:tc>
          <w:tcPr>
            <w:tcW w:w="5606" w:type="dxa"/>
            <w:tcBorders>
              <w:top w:val="outset" w:color="auto" w:sz="6" w:space="0"/>
              <w:left w:val="outset" w:color="auto" w:sz="6" w:space="0"/>
              <w:bottom w:val="outset" w:color="auto" w:sz="6" w:space="0"/>
              <w:right w:val="single" w:color="auto" w:sz="4" w:space="0"/>
            </w:tcBorders>
            <w:vAlign w:val="center"/>
          </w:tcPr>
          <w:p w14:paraId="13F173DD">
            <w:pPr>
              <w:spacing w:line="0" w:lineRule="atLeast"/>
              <w:rPr>
                <w:rFonts w:hint="eastAsia" w:ascii="宋体" w:hAnsi="宋体" w:cs="微软雅黑"/>
                <w:color w:val="auto"/>
                <w:szCs w:val="21"/>
                <w:highlight w:val="none"/>
              </w:rPr>
            </w:pPr>
            <w:r>
              <w:rPr>
                <w:rFonts w:hint="eastAsia" w:ascii="宋体" w:hAnsi="宋体" w:cs="微软雅黑"/>
                <w:color w:val="auto"/>
                <w:szCs w:val="21"/>
                <w:highlight w:val="none"/>
              </w:rPr>
              <w:t>以第二次磋商报价（最终报价）为依据进行计算，通过初步评审的有效磋商报价的最低报价为磋商基准价。</w:t>
            </w:r>
          </w:p>
          <w:p w14:paraId="158B0526">
            <w:pPr>
              <w:spacing w:line="0" w:lineRule="atLeast"/>
              <w:rPr>
                <w:rFonts w:ascii="Times New Roman" w:hAnsi="Times New Roman" w:cs="Times New Roman"/>
                <w:color w:val="auto"/>
                <w:sz w:val="21"/>
                <w:szCs w:val="21"/>
              </w:rPr>
            </w:pPr>
            <w:r>
              <w:rPr>
                <w:rFonts w:hint="eastAsia" w:ascii="宋体" w:hAnsi="宋体" w:cs="微软雅黑"/>
                <w:color w:val="auto"/>
                <w:szCs w:val="21"/>
                <w:highlight w:val="none"/>
              </w:rPr>
              <w:t>最终报价得分=（磋商基准价/最终磋商报价）×30%×100，四舍五入保留小数点后两位有效数字。</w:t>
            </w:r>
          </w:p>
        </w:tc>
        <w:tc>
          <w:tcPr>
            <w:tcW w:w="657" w:type="dxa"/>
            <w:tcBorders>
              <w:top w:val="outset" w:color="auto" w:sz="6" w:space="0"/>
              <w:left w:val="single" w:color="auto" w:sz="4" w:space="0"/>
              <w:bottom w:val="outset" w:color="auto" w:sz="6" w:space="0"/>
              <w:right w:val="outset" w:color="auto" w:sz="6" w:space="0"/>
            </w:tcBorders>
            <w:vAlign w:val="center"/>
          </w:tcPr>
          <w:p w14:paraId="788E5725">
            <w:pPr>
              <w:spacing w:line="0" w:lineRule="atLeast"/>
              <w:ind w:right="84" w:rightChars="40" w:firstLine="54" w:firstLineChars="26"/>
              <w:jc w:val="center"/>
              <w:rPr>
                <w:rFonts w:hint="eastAsia" w:ascii="宋体" w:hAnsi="宋体" w:cs="微软雅黑"/>
                <w:color w:val="auto"/>
                <w:szCs w:val="21"/>
                <w:highlight w:val="none"/>
              </w:rPr>
            </w:pPr>
            <w:r>
              <w:rPr>
                <w:rFonts w:hint="eastAsia" w:ascii="宋体" w:hAnsi="宋体" w:cs="微软雅黑"/>
                <w:color w:val="auto"/>
                <w:szCs w:val="21"/>
                <w:highlight w:val="none"/>
              </w:rPr>
              <w:t>0-30</w:t>
            </w:r>
          </w:p>
        </w:tc>
      </w:tr>
      <w:tr w14:paraId="16A5621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802" w:hRule="atLeast"/>
        </w:trPr>
        <w:tc>
          <w:tcPr>
            <w:tcW w:w="700" w:type="dxa"/>
            <w:vMerge w:val="restart"/>
            <w:tcBorders>
              <w:top w:val="outset" w:color="auto" w:sz="6" w:space="0"/>
              <w:left w:val="outset" w:color="auto" w:sz="6" w:space="0"/>
              <w:right w:val="outset" w:color="auto" w:sz="6" w:space="0"/>
            </w:tcBorders>
            <w:vAlign w:val="center"/>
          </w:tcPr>
          <w:p w14:paraId="186BED4A">
            <w:pPr>
              <w:keepNext w:val="0"/>
              <w:keepLines w:val="0"/>
              <w:pageBreakBefore w:val="0"/>
              <w:widowControl w:val="0"/>
              <w:kinsoku/>
              <w:wordWrap/>
              <w:overflowPunct/>
              <w:topLinePunct w:val="0"/>
              <w:bidi w:val="0"/>
              <w:snapToGrid/>
              <w:spacing w:line="0" w:lineRule="atLeast"/>
              <w:jc w:val="center"/>
              <w:rPr>
                <w:rFonts w:ascii="宋体" w:hAnsi="宋体" w:cs="微软雅黑"/>
                <w:color w:val="auto"/>
                <w:szCs w:val="21"/>
                <w:highlight w:val="none"/>
              </w:rPr>
            </w:pPr>
            <w:r>
              <w:rPr>
                <w:rFonts w:hint="eastAsia" w:ascii="宋体" w:hAnsi="宋体" w:cs="微软雅黑"/>
                <w:color w:val="auto"/>
                <w:szCs w:val="21"/>
                <w:highlight w:val="none"/>
              </w:rPr>
              <w:t>2.2.3</w:t>
            </w:r>
          </w:p>
          <w:p w14:paraId="3161BE67">
            <w:pPr>
              <w:keepNext w:val="0"/>
              <w:keepLines w:val="0"/>
              <w:pageBreakBefore w:val="0"/>
              <w:widowControl w:val="0"/>
              <w:kinsoku/>
              <w:wordWrap/>
              <w:overflowPunct/>
              <w:topLinePunct w:val="0"/>
              <w:bidi w:val="0"/>
              <w:snapToGrid/>
              <w:spacing w:line="0" w:lineRule="atLeast"/>
              <w:jc w:val="center"/>
              <w:rPr>
                <w:rFonts w:ascii="宋体" w:hAnsi="宋体" w:cs="微软雅黑"/>
                <w:color w:val="auto"/>
                <w:szCs w:val="21"/>
                <w:highlight w:val="none"/>
              </w:rPr>
            </w:pPr>
            <w:r>
              <w:rPr>
                <w:rFonts w:hint="eastAsia" w:ascii="宋体" w:hAnsi="宋体" w:cs="微软雅黑"/>
                <w:color w:val="auto"/>
                <w:szCs w:val="21"/>
                <w:highlight w:val="none"/>
              </w:rPr>
              <w:t>(</w:t>
            </w:r>
            <w:r>
              <w:rPr>
                <w:rFonts w:hint="eastAsia" w:ascii="宋体" w:hAnsi="宋体" w:cs="微软雅黑"/>
                <w:color w:val="auto"/>
                <w:szCs w:val="21"/>
                <w:highlight w:val="none"/>
                <w:lang w:val="en-US" w:eastAsia="zh-CN"/>
              </w:rPr>
              <w:t>2</w:t>
            </w:r>
            <w:r>
              <w:rPr>
                <w:rFonts w:hint="eastAsia" w:ascii="宋体" w:hAnsi="宋体" w:cs="微软雅黑"/>
                <w:color w:val="auto"/>
                <w:szCs w:val="21"/>
                <w:highlight w:val="none"/>
              </w:rPr>
              <w:t>)</w:t>
            </w:r>
          </w:p>
        </w:tc>
        <w:tc>
          <w:tcPr>
            <w:tcW w:w="939" w:type="dxa"/>
            <w:vMerge w:val="restart"/>
            <w:tcBorders>
              <w:top w:val="outset" w:color="auto" w:sz="6" w:space="0"/>
              <w:left w:val="outset" w:color="auto" w:sz="6" w:space="0"/>
              <w:right w:val="outset" w:color="auto" w:sz="6" w:space="0"/>
            </w:tcBorders>
            <w:vAlign w:val="center"/>
          </w:tcPr>
          <w:p w14:paraId="5DA1942D">
            <w:pPr>
              <w:keepNext w:val="0"/>
              <w:keepLines w:val="0"/>
              <w:pageBreakBefore w:val="0"/>
              <w:widowControl w:val="0"/>
              <w:kinsoku/>
              <w:wordWrap/>
              <w:overflowPunct/>
              <w:topLinePunct w:val="0"/>
              <w:bidi w:val="0"/>
              <w:snapToGrid/>
              <w:spacing w:line="0" w:lineRule="atLeast"/>
              <w:jc w:val="center"/>
              <w:rPr>
                <w:rFonts w:hint="default" w:ascii="宋体" w:hAnsi="宋体" w:eastAsia="宋体" w:cs="微软雅黑"/>
                <w:color w:val="auto"/>
                <w:szCs w:val="21"/>
                <w:highlight w:val="none"/>
                <w:lang w:val="en-US" w:eastAsia="zh-CN"/>
              </w:rPr>
            </w:pPr>
            <w:r>
              <w:rPr>
                <w:rFonts w:hint="eastAsia" w:ascii="宋体" w:hAnsi="宋体" w:cs="微软雅黑"/>
                <w:color w:val="auto"/>
                <w:szCs w:val="21"/>
                <w:highlight w:val="none"/>
                <w:lang w:val="en-US" w:eastAsia="zh-CN"/>
              </w:rPr>
              <w:t>商务因素15分</w:t>
            </w:r>
          </w:p>
        </w:tc>
        <w:tc>
          <w:tcPr>
            <w:tcW w:w="1737" w:type="dxa"/>
            <w:tcBorders>
              <w:top w:val="outset" w:color="auto" w:sz="6" w:space="0"/>
              <w:left w:val="outset" w:color="auto" w:sz="6" w:space="0"/>
              <w:bottom w:val="outset" w:color="auto" w:sz="6" w:space="0"/>
              <w:right w:val="outset" w:color="auto" w:sz="6" w:space="0"/>
            </w:tcBorders>
            <w:vAlign w:val="center"/>
          </w:tcPr>
          <w:p w14:paraId="5B9F5622">
            <w:pPr>
              <w:pStyle w:val="108"/>
              <w:spacing w:line="0" w:lineRule="atLeast"/>
              <w:jc w:val="center"/>
              <w:rPr>
                <w:rFonts w:ascii="宋体" w:hAnsi="宋体" w:eastAsia="宋体" w:cs="微软雅黑"/>
                <w:kern w:val="2"/>
                <w:sz w:val="21"/>
                <w:szCs w:val="21"/>
                <w:highlight w:val="none"/>
                <w:lang w:val="en-US" w:eastAsia="zh-CN" w:bidi="ar-SA"/>
              </w:rPr>
            </w:pPr>
            <w:r>
              <w:rPr>
                <w:rFonts w:hint="eastAsia"/>
                <w:color w:val="auto"/>
                <w:sz w:val="21"/>
                <w:lang w:val="en-US"/>
              </w:rPr>
              <w:t>企业业绩</w:t>
            </w:r>
          </w:p>
        </w:tc>
        <w:tc>
          <w:tcPr>
            <w:tcW w:w="5606" w:type="dxa"/>
            <w:tcBorders>
              <w:top w:val="outset" w:color="auto" w:sz="6" w:space="0"/>
              <w:left w:val="outset" w:color="auto" w:sz="6" w:space="0"/>
              <w:bottom w:val="outset" w:color="auto" w:sz="6" w:space="0"/>
              <w:right w:val="single" w:color="auto" w:sz="4" w:space="0"/>
            </w:tcBorders>
            <w:vAlign w:val="center"/>
          </w:tcPr>
          <w:p w14:paraId="36819841">
            <w:pPr>
              <w:pStyle w:val="108"/>
              <w:spacing w:line="0" w:lineRule="atLeast"/>
              <w:jc w:val="both"/>
              <w:rPr>
                <w:rFonts w:hint="eastAsia" w:ascii="Times New Roman" w:hAnsi="Times New Roman" w:cs="Times New Roman"/>
                <w:color w:val="auto"/>
                <w:sz w:val="21"/>
                <w:szCs w:val="21"/>
                <w:highlight w:val="yellow"/>
              </w:rPr>
            </w:pPr>
            <w:r>
              <w:rPr>
                <w:rFonts w:hint="eastAsia" w:ascii="Times New Roman" w:hAnsi="Times New Roman" w:cs="Times New Roman"/>
                <w:color w:val="auto"/>
                <w:sz w:val="21"/>
                <w:szCs w:val="21"/>
              </w:rPr>
              <w:t>每提供</w:t>
            </w:r>
            <w:r>
              <w:rPr>
                <w:rFonts w:hint="eastAsia" w:ascii="Times New Roman" w:hAnsi="Times New Roman" w:cs="Times New Roman"/>
                <w:color w:val="auto"/>
                <w:sz w:val="21"/>
                <w:szCs w:val="21"/>
                <w:lang w:val="en-US"/>
              </w:rPr>
              <w:t>一</w:t>
            </w:r>
            <w:r>
              <w:rPr>
                <w:rFonts w:hint="eastAsia" w:ascii="Times New Roman" w:hAnsi="Times New Roman" w:cs="Times New Roman"/>
                <w:color w:val="auto"/>
                <w:sz w:val="21"/>
                <w:szCs w:val="21"/>
              </w:rPr>
              <w:t>项</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rPr>
              <w:t>20</w:t>
            </w:r>
            <w:r>
              <w:rPr>
                <w:rFonts w:hint="eastAsia" w:ascii="Times New Roman" w:hAnsi="Times New Roman" w:cs="Times New Roman"/>
                <w:color w:val="auto"/>
                <w:sz w:val="21"/>
                <w:szCs w:val="21"/>
                <w:lang w:val="en-US" w:eastAsia="zh-CN"/>
              </w:rPr>
              <w:t>21</w:t>
            </w:r>
            <w:r>
              <w:rPr>
                <w:rFonts w:hint="eastAsia" w:ascii="Times New Roman" w:hAnsi="Times New Roman" w:cs="Times New Roman"/>
                <w:color w:val="auto"/>
                <w:sz w:val="21"/>
                <w:szCs w:val="21"/>
              </w:rPr>
              <w:t>年</w:t>
            </w:r>
            <w:r>
              <w:rPr>
                <w:rFonts w:hint="eastAsia" w:ascii="Times New Roman" w:hAnsi="Times New Roman" w:cs="Times New Roman"/>
                <w:color w:val="auto"/>
                <w:sz w:val="21"/>
                <w:szCs w:val="21"/>
                <w:lang w:val="en-US" w:eastAsia="zh-CN"/>
              </w:rPr>
              <w:t>至发布磋商公告之日起</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类似</w:t>
            </w:r>
            <w:r>
              <w:rPr>
                <w:rFonts w:hint="eastAsia" w:ascii="Times New Roman" w:hAnsi="Times New Roman" w:cs="Times New Roman"/>
                <w:color w:val="auto"/>
                <w:sz w:val="21"/>
                <w:szCs w:val="21"/>
              </w:rPr>
              <w:t>业绩得</w:t>
            </w:r>
            <w:r>
              <w:rPr>
                <w:rFonts w:hint="eastAsia" w:ascii="Times New Roman" w:hAnsi="Times New Roman" w:cs="Times New Roman"/>
                <w:color w:val="auto"/>
                <w:sz w:val="21"/>
                <w:szCs w:val="21"/>
                <w:lang w:val="en-US" w:eastAsia="zh-CN"/>
              </w:rPr>
              <w:t>2</w:t>
            </w:r>
            <w:r>
              <w:rPr>
                <w:rFonts w:hint="eastAsia" w:ascii="Times New Roman" w:hAnsi="Times New Roman" w:cs="Times New Roman"/>
                <w:color w:val="auto"/>
                <w:sz w:val="21"/>
                <w:szCs w:val="21"/>
              </w:rPr>
              <w:t>分，最高得</w:t>
            </w:r>
            <w:r>
              <w:rPr>
                <w:rFonts w:hint="eastAsia" w:ascii="Times New Roman" w:hAnsi="Times New Roman" w:cs="Times New Roman"/>
                <w:color w:val="auto"/>
                <w:sz w:val="21"/>
                <w:szCs w:val="21"/>
                <w:lang w:val="en-US" w:eastAsia="zh-CN"/>
              </w:rPr>
              <w:t>6</w:t>
            </w:r>
            <w:r>
              <w:rPr>
                <w:rFonts w:hint="eastAsia" w:ascii="Times New Roman" w:hAnsi="Times New Roman" w:cs="Times New Roman"/>
                <w:color w:val="auto"/>
                <w:sz w:val="21"/>
                <w:szCs w:val="21"/>
              </w:rPr>
              <w:t>分。</w:t>
            </w:r>
          </w:p>
          <w:p w14:paraId="43DEAC91">
            <w:pPr>
              <w:pStyle w:val="108"/>
              <w:spacing w:line="0" w:lineRule="atLeast"/>
              <w:jc w:val="both"/>
              <w:rPr>
                <w:rFonts w:ascii="宋体" w:hAnsi="宋体" w:eastAsia="宋体" w:cs="微软雅黑"/>
                <w:color w:val="auto"/>
                <w:kern w:val="2"/>
                <w:sz w:val="21"/>
                <w:szCs w:val="21"/>
                <w:highlight w:val="none"/>
                <w:lang w:val="en-US" w:eastAsia="zh-CN" w:bidi="ar-SA"/>
              </w:rPr>
            </w:pPr>
            <w:r>
              <w:rPr>
                <w:rFonts w:ascii="Times New Roman" w:hAnsi="Times New Roman" w:cs="Times New Roman"/>
                <w:color w:val="auto"/>
                <w:sz w:val="21"/>
                <w:szCs w:val="21"/>
              </w:rPr>
              <w:t>（提供中标</w:t>
            </w:r>
            <w:r>
              <w:rPr>
                <w:rFonts w:hint="eastAsia" w:ascii="Times New Roman" w:hAnsi="Times New Roman" w:cs="Times New Roman"/>
                <w:color w:val="auto"/>
                <w:sz w:val="21"/>
                <w:szCs w:val="21"/>
                <w:lang w:val="en-US"/>
              </w:rPr>
              <w:t>/成交</w:t>
            </w:r>
            <w:r>
              <w:rPr>
                <w:rFonts w:ascii="Times New Roman" w:hAnsi="Times New Roman" w:cs="Times New Roman"/>
                <w:color w:val="auto"/>
                <w:sz w:val="21"/>
                <w:szCs w:val="21"/>
              </w:rPr>
              <w:t>通知书或合同协议书</w:t>
            </w:r>
            <w:r>
              <w:rPr>
                <w:rFonts w:hint="eastAsia" w:ascii="Times New Roman" w:hAnsi="Times New Roman" w:cs="Times New Roman"/>
                <w:color w:val="auto"/>
                <w:sz w:val="21"/>
                <w:szCs w:val="21"/>
              </w:rPr>
              <w:t>复印件加盖投标单位公章</w:t>
            </w:r>
            <w:r>
              <w:rPr>
                <w:rFonts w:ascii="Times New Roman" w:hAnsi="Times New Roman" w:cs="Times New Roman"/>
                <w:color w:val="auto"/>
                <w:sz w:val="21"/>
                <w:szCs w:val="21"/>
              </w:rPr>
              <w:t>）</w:t>
            </w:r>
          </w:p>
        </w:tc>
        <w:tc>
          <w:tcPr>
            <w:tcW w:w="657" w:type="dxa"/>
            <w:tcBorders>
              <w:top w:val="outset" w:color="auto" w:sz="6" w:space="0"/>
              <w:left w:val="single" w:color="auto" w:sz="4" w:space="0"/>
              <w:bottom w:val="outset" w:color="auto" w:sz="6" w:space="0"/>
              <w:right w:val="outset" w:color="auto" w:sz="6" w:space="0"/>
            </w:tcBorders>
            <w:vAlign w:val="center"/>
          </w:tcPr>
          <w:p w14:paraId="0DC71E23">
            <w:pPr>
              <w:spacing w:line="0" w:lineRule="atLeast"/>
              <w:jc w:val="center"/>
              <w:rPr>
                <w:rFonts w:ascii="宋体" w:hAnsi="宋体" w:cs="微软雅黑"/>
                <w:color w:val="auto"/>
                <w:szCs w:val="21"/>
                <w:highlight w:val="none"/>
              </w:rPr>
            </w:pPr>
          </w:p>
          <w:p w14:paraId="3C119E20">
            <w:pPr>
              <w:spacing w:line="0" w:lineRule="atLeast"/>
              <w:jc w:val="center"/>
              <w:rPr>
                <w:rFonts w:hint="default" w:ascii="宋体" w:hAnsi="宋体" w:eastAsia="宋体" w:cs="微软雅黑"/>
                <w:color w:val="auto"/>
                <w:kern w:val="2"/>
                <w:sz w:val="21"/>
                <w:szCs w:val="21"/>
                <w:highlight w:val="none"/>
                <w:lang w:val="en-US" w:eastAsia="zh-CN" w:bidi="ar-SA"/>
              </w:rPr>
            </w:pPr>
            <w:r>
              <w:rPr>
                <w:rFonts w:hint="eastAsia" w:ascii="宋体" w:hAnsi="宋体" w:cs="微软雅黑"/>
                <w:color w:val="auto"/>
                <w:szCs w:val="21"/>
                <w:highlight w:val="none"/>
              </w:rPr>
              <w:t>0-</w:t>
            </w:r>
            <w:r>
              <w:rPr>
                <w:rFonts w:hint="eastAsia" w:ascii="宋体" w:hAnsi="宋体" w:cs="微软雅黑"/>
                <w:color w:val="auto"/>
                <w:szCs w:val="21"/>
                <w:highlight w:val="none"/>
                <w:lang w:val="en-US" w:eastAsia="zh-CN"/>
              </w:rPr>
              <w:t>6</w:t>
            </w:r>
          </w:p>
        </w:tc>
      </w:tr>
      <w:tr w14:paraId="2507EE8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802" w:hRule="atLeast"/>
        </w:trPr>
        <w:tc>
          <w:tcPr>
            <w:tcW w:w="700" w:type="dxa"/>
            <w:vMerge w:val="continue"/>
            <w:tcBorders>
              <w:left w:val="outset" w:color="auto" w:sz="6" w:space="0"/>
              <w:right w:val="outset" w:color="auto" w:sz="6" w:space="0"/>
            </w:tcBorders>
            <w:vAlign w:val="center"/>
          </w:tcPr>
          <w:p w14:paraId="0BDC4EA3">
            <w:pPr>
              <w:keepNext w:val="0"/>
              <w:keepLines w:val="0"/>
              <w:pageBreakBefore w:val="0"/>
              <w:widowControl w:val="0"/>
              <w:kinsoku/>
              <w:wordWrap/>
              <w:overflowPunct/>
              <w:topLinePunct w:val="0"/>
              <w:bidi w:val="0"/>
              <w:snapToGrid/>
              <w:spacing w:line="0" w:lineRule="atLeast"/>
              <w:jc w:val="center"/>
              <w:rPr>
                <w:rFonts w:hint="eastAsia" w:ascii="宋体" w:hAnsi="宋体" w:cs="微软雅黑"/>
                <w:color w:val="auto"/>
                <w:szCs w:val="21"/>
                <w:highlight w:val="none"/>
              </w:rPr>
            </w:pPr>
          </w:p>
        </w:tc>
        <w:tc>
          <w:tcPr>
            <w:tcW w:w="939" w:type="dxa"/>
            <w:vMerge w:val="continue"/>
            <w:tcBorders>
              <w:left w:val="outset" w:color="auto" w:sz="6" w:space="0"/>
              <w:right w:val="outset" w:color="auto" w:sz="6" w:space="0"/>
            </w:tcBorders>
            <w:vAlign w:val="center"/>
          </w:tcPr>
          <w:p w14:paraId="73E3E1B7">
            <w:pPr>
              <w:keepNext w:val="0"/>
              <w:keepLines w:val="0"/>
              <w:pageBreakBefore w:val="0"/>
              <w:widowControl w:val="0"/>
              <w:kinsoku/>
              <w:wordWrap/>
              <w:overflowPunct/>
              <w:topLinePunct w:val="0"/>
              <w:bidi w:val="0"/>
              <w:snapToGrid/>
              <w:spacing w:line="0" w:lineRule="atLeast"/>
              <w:jc w:val="center"/>
              <w:rPr>
                <w:rFonts w:hint="eastAsia" w:ascii="宋体" w:hAnsi="宋体" w:cs="微软雅黑"/>
                <w:color w:val="auto"/>
                <w:szCs w:val="21"/>
                <w:highlight w:val="none"/>
                <w:lang w:val="en-US" w:eastAsia="zh-CN"/>
              </w:rPr>
            </w:pPr>
          </w:p>
        </w:tc>
        <w:tc>
          <w:tcPr>
            <w:tcW w:w="1737" w:type="dxa"/>
            <w:tcBorders>
              <w:top w:val="outset" w:color="auto" w:sz="6" w:space="0"/>
              <w:left w:val="outset" w:color="auto" w:sz="6" w:space="0"/>
              <w:bottom w:val="outset" w:color="auto" w:sz="6" w:space="0"/>
              <w:right w:val="outset" w:color="auto" w:sz="6" w:space="0"/>
            </w:tcBorders>
            <w:vAlign w:val="center"/>
          </w:tcPr>
          <w:p w14:paraId="192D234F">
            <w:pPr>
              <w:pStyle w:val="108"/>
              <w:spacing w:line="0" w:lineRule="atLeast"/>
              <w:jc w:val="center"/>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优惠条件</w:t>
            </w:r>
          </w:p>
          <w:p w14:paraId="587C24DB">
            <w:pPr>
              <w:pStyle w:val="108"/>
              <w:spacing w:line="0" w:lineRule="atLeast"/>
              <w:jc w:val="center"/>
              <w:rPr>
                <w:rFonts w:hint="eastAsia" w:ascii="宋体" w:hAnsi="宋体" w:eastAsia="宋体" w:cs="宋体"/>
                <w:color w:val="auto"/>
                <w:sz w:val="21"/>
                <w:lang w:val="en-US"/>
              </w:rPr>
            </w:pPr>
            <w:r>
              <w:rPr>
                <w:rFonts w:hint="eastAsia" w:ascii="宋体" w:hAnsi="宋体" w:eastAsia="宋体" w:cs="宋体"/>
                <w:color w:val="auto"/>
                <w:sz w:val="21"/>
                <w:lang w:val="en-US" w:eastAsia="zh-CN"/>
              </w:rPr>
              <w:t>（</w:t>
            </w:r>
            <w:r>
              <w:rPr>
                <w:rFonts w:hint="eastAsia" w:cs="宋体"/>
                <w:color w:val="auto"/>
                <w:sz w:val="21"/>
                <w:lang w:val="en-US" w:eastAsia="zh-CN"/>
              </w:rPr>
              <w:t>5</w:t>
            </w:r>
            <w:r>
              <w:rPr>
                <w:rFonts w:hint="eastAsia" w:ascii="宋体" w:hAnsi="宋体" w:eastAsia="宋体" w:cs="宋体"/>
                <w:color w:val="auto"/>
                <w:sz w:val="21"/>
                <w:lang w:val="en-US" w:eastAsia="zh-CN"/>
              </w:rPr>
              <w:t>分）</w:t>
            </w:r>
          </w:p>
        </w:tc>
        <w:tc>
          <w:tcPr>
            <w:tcW w:w="5606" w:type="dxa"/>
            <w:tcBorders>
              <w:top w:val="outset" w:color="auto" w:sz="6" w:space="0"/>
              <w:left w:val="outset" w:color="auto" w:sz="6" w:space="0"/>
              <w:bottom w:val="outset" w:color="auto" w:sz="6" w:space="0"/>
              <w:right w:val="single" w:color="auto" w:sz="4" w:space="0"/>
            </w:tcBorders>
            <w:vAlign w:val="top"/>
          </w:tcPr>
          <w:p w14:paraId="79BB8FCD">
            <w:pPr>
              <w:pStyle w:val="108"/>
              <w:spacing w:line="0" w:lineRule="atLeast"/>
              <w:jc w:val="left"/>
              <w:rPr>
                <w:rFonts w:hint="eastAsia" w:ascii="宋体" w:hAnsi="宋体" w:eastAsia="宋体" w:cs="宋体"/>
                <w:color w:val="auto"/>
                <w:sz w:val="21"/>
                <w:lang w:val="en-US"/>
              </w:rPr>
            </w:pPr>
            <w:r>
              <w:rPr>
                <w:rFonts w:hint="eastAsia" w:ascii="宋体" w:hAnsi="宋体" w:eastAsia="宋体" w:cs="宋体"/>
                <w:color w:val="auto"/>
                <w:sz w:val="21"/>
                <w:lang w:val="zh-CN" w:eastAsia="zh-CN"/>
              </w:rPr>
              <w:t>每有一项</w:t>
            </w:r>
            <w:r>
              <w:rPr>
                <w:rFonts w:hint="eastAsia" w:ascii="宋体" w:hAnsi="宋体" w:eastAsia="宋体" w:cs="宋体"/>
                <w:color w:val="auto"/>
                <w:sz w:val="21"/>
                <w:lang w:val="en-US" w:eastAsia="zh-CN"/>
              </w:rPr>
              <w:t>采购人可接受的</w:t>
            </w:r>
            <w:r>
              <w:rPr>
                <w:rFonts w:hint="eastAsia" w:ascii="宋体" w:hAnsi="宋体" w:eastAsia="宋体" w:cs="宋体"/>
                <w:color w:val="auto"/>
                <w:sz w:val="21"/>
                <w:lang w:val="zh-CN" w:eastAsia="zh-CN"/>
              </w:rPr>
              <w:t>实质性优惠条件得</w:t>
            </w:r>
            <w:r>
              <w:rPr>
                <w:rFonts w:hint="eastAsia" w:ascii="宋体" w:hAnsi="宋体" w:eastAsia="宋体" w:cs="宋体"/>
                <w:color w:val="auto"/>
                <w:sz w:val="21"/>
                <w:lang w:val="en-US" w:eastAsia="zh-CN"/>
              </w:rPr>
              <w:t>1</w:t>
            </w:r>
            <w:r>
              <w:rPr>
                <w:rFonts w:hint="eastAsia" w:ascii="宋体" w:hAnsi="宋体" w:eastAsia="宋体" w:cs="宋体"/>
                <w:color w:val="auto"/>
                <w:sz w:val="21"/>
                <w:lang w:val="zh-CN" w:eastAsia="zh-CN"/>
              </w:rPr>
              <w:t>分，最高得</w:t>
            </w:r>
            <w:r>
              <w:rPr>
                <w:rFonts w:hint="eastAsia" w:cs="宋体"/>
                <w:color w:val="auto"/>
                <w:sz w:val="21"/>
                <w:lang w:val="en-US" w:eastAsia="zh-CN"/>
              </w:rPr>
              <w:t>5</w:t>
            </w:r>
            <w:r>
              <w:rPr>
                <w:rFonts w:hint="eastAsia" w:ascii="宋体" w:hAnsi="宋体" w:eastAsia="宋体" w:cs="宋体"/>
                <w:color w:val="auto"/>
                <w:sz w:val="21"/>
                <w:lang w:val="zh-CN" w:eastAsia="zh-CN"/>
              </w:rPr>
              <w:t>分，没有不得分。</w:t>
            </w:r>
          </w:p>
        </w:tc>
        <w:tc>
          <w:tcPr>
            <w:tcW w:w="657" w:type="dxa"/>
            <w:tcBorders>
              <w:top w:val="outset" w:color="auto" w:sz="6" w:space="0"/>
              <w:left w:val="single" w:color="auto" w:sz="4" w:space="0"/>
              <w:bottom w:val="outset" w:color="auto" w:sz="6" w:space="0"/>
              <w:right w:val="outset" w:color="auto" w:sz="6" w:space="0"/>
            </w:tcBorders>
            <w:vAlign w:val="center"/>
          </w:tcPr>
          <w:p w14:paraId="2F4BF475">
            <w:pPr>
              <w:pStyle w:val="108"/>
              <w:spacing w:line="0" w:lineRule="atLeast"/>
              <w:jc w:val="center"/>
              <w:rPr>
                <w:rFonts w:hint="eastAsia" w:ascii="宋体" w:hAnsi="宋体" w:eastAsia="宋体" w:cs="宋体"/>
                <w:color w:val="auto"/>
                <w:sz w:val="21"/>
                <w:lang w:val="en-US"/>
              </w:rPr>
            </w:pPr>
            <w:r>
              <w:rPr>
                <w:rFonts w:hint="eastAsia" w:ascii="宋体" w:hAnsi="宋体" w:eastAsia="宋体" w:cs="宋体"/>
                <w:color w:val="auto"/>
                <w:sz w:val="21"/>
                <w:lang w:val="en-US"/>
              </w:rPr>
              <w:t>0-</w:t>
            </w:r>
            <w:r>
              <w:rPr>
                <w:rFonts w:hint="eastAsia" w:cs="宋体"/>
                <w:color w:val="auto"/>
                <w:sz w:val="21"/>
                <w:lang w:val="en-US" w:eastAsia="zh-CN"/>
              </w:rPr>
              <w:t>5</w:t>
            </w:r>
          </w:p>
        </w:tc>
      </w:tr>
      <w:tr w14:paraId="24ABE17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802" w:hRule="atLeast"/>
        </w:trPr>
        <w:tc>
          <w:tcPr>
            <w:tcW w:w="700" w:type="dxa"/>
            <w:vMerge w:val="continue"/>
            <w:tcBorders>
              <w:left w:val="outset" w:color="auto" w:sz="6" w:space="0"/>
              <w:bottom w:val="outset" w:color="auto" w:sz="6" w:space="0"/>
              <w:right w:val="outset" w:color="auto" w:sz="6" w:space="0"/>
            </w:tcBorders>
            <w:vAlign w:val="center"/>
          </w:tcPr>
          <w:p w14:paraId="6208AD33">
            <w:pPr>
              <w:keepNext w:val="0"/>
              <w:keepLines w:val="0"/>
              <w:pageBreakBefore w:val="0"/>
              <w:widowControl w:val="0"/>
              <w:kinsoku/>
              <w:wordWrap/>
              <w:overflowPunct/>
              <w:topLinePunct w:val="0"/>
              <w:bidi w:val="0"/>
              <w:snapToGrid/>
              <w:spacing w:line="0" w:lineRule="atLeast"/>
              <w:jc w:val="center"/>
              <w:rPr>
                <w:rFonts w:hint="eastAsia" w:ascii="宋体" w:hAnsi="宋体" w:cs="微软雅黑"/>
                <w:color w:val="auto"/>
                <w:szCs w:val="21"/>
                <w:highlight w:val="none"/>
              </w:rPr>
            </w:pPr>
          </w:p>
        </w:tc>
        <w:tc>
          <w:tcPr>
            <w:tcW w:w="939" w:type="dxa"/>
            <w:vMerge w:val="continue"/>
            <w:tcBorders>
              <w:left w:val="outset" w:color="auto" w:sz="6" w:space="0"/>
              <w:bottom w:val="outset" w:color="auto" w:sz="6" w:space="0"/>
              <w:right w:val="outset" w:color="auto" w:sz="6" w:space="0"/>
            </w:tcBorders>
            <w:vAlign w:val="center"/>
          </w:tcPr>
          <w:p w14:paraId="07F2BEA1">
            <w:pPr>
              <w:keepNext w:val="0"/>
              <w:keepLines w:val="0"/>
              <w:pageBreakBefore w:val="0"/>
              <w:widowControl w:val="0"/>
              <w:kinsoku/>
              <w:wordWrap/>
              <w:overflowPunct/>
              <w:topLinePunct w:val="0"/>
              <w:bidi w:val="0"/>
              <w:snapToGrid/>
              <w:spacing w:line="0" w:lineRule="atLeast"/>
              <w:jc w:val="center"/>
              <w:rPr>
                <w:rFonts w:hint="eastAsia" w:ascii="宋体" w:hAnsi="宋体" w:cs="微软雅黑"/>
                <w:color w:val="auto"/>
                <w:szCs w:val="21"/>
                <w:highlight w:val="none"/>
                <w:lang w:val="en-US" w:eastAsia="zh-CN"/>
              </w:rPr>
            </w:pPr>
          </w:p>
        </w:tc>
        <w:tc>
          <w:tcPr>
            <w:tcW w:w="1737" w:type="dxa"/>
            <w:tcBorders>
              <w:top w:val="outset" w:color="auto" w:sz="6" w:space="0"/>
              <w:left w:val="outset" w:color="auto" w:sz="6" w:space="0"/>
              <w:bottom w:val="outset" w:color="auto" w:sz="6" w:space="0"/>
              <w:right w:val="outset" w:color="auto" w:sz="6" w:space="0"/>
            </w:tcBorders>
            <w:vAlign w:val="center"/>
          </w:tcPr>
          <w:p w14:paraId="143D9E2C">
            <w:pPr>
              <w:pStyle w:val="108"/>
              <w:spacing w:line="0" w:lineRule="atLeast"/>
              <w:jc w:val="center"/>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服务承诺</w:t>
            </w:r>
          </w:p>
          <w:p w14:paraId="54D66814">
            <w:pPr>
              <w:pStyle w:val="108"/>
              <w:spacing w:line="0" w:lineRule="atLeast"/>
              <w:jc w:val="center"/>
              <w:rPr>
                <w:rFonts w:hint="eastAsia" w:ascii="宋体" w:hAnsi="宋体" w:eastAsia="宋体" w:cs="宋体"/>
                <w:color w:val="auto"/>
                <w:sz w:val="21"/>
                <w:lang w:val="en-US"/>
              </w:rPr>
            </w:pPr>
            <w:r>
              <w:rPr>
                <w:rFonts w:hint="eastAsia" w:ascii="宋体" w:hAnsi="宋体" w:eastAsia="宋体" w:cs="宋体"/>
                <w:color w:val="auto"/>
                <w:sz w:val="21"/>
                <w:lang w:val="en-US" w:eastAsia="zh-CN"/>
              </w:rPr>
              <w:t>（</w:t>
            </w:r>
            <w:r>
              <w:rPr>
                <w:rFonts w:hint="eastAsia" w:cs="宋体"/>
                <w:color w:val="auto"/>
                <w:sz w:val="21"/>
                <w:lang w:val="en-US" w:eastAsia="zh-CN"/>
              </w:rPr>
              <w:t>4</w:t>
            </w:r>
            <w:r>
              <w:rPr>
                <w:rFonts w:hint="eastAsia" w:ascii="宋体" w:hAnsi="宋体" w:eastAsia="宋体" w:cs="宋体"/>
                <w:color w:val="auto"/>
                <w:sz w:val="21"/>
                <w:lang w:val="en-US" w:eastAsia="zh-CN"/>
              </w:rPr>
              <w:t>分）</w:t>
            </w:r>
          </w:p>
        </w:tc>
        <w:tc>
          <w:tcPr>
            <w:tcW w:w="5606" w:type="dxa"/>
            <w:tcBorders>
              <w:top w:val="outset" w:color="auto" w:sz="6" w:space="0"/>
              <w:left w:val="outset" w:color="auto" w:sz="6" w:space="0"/>
              <w:bottom w:val="outset" w:color="auto" w:sz="6" w:space="0"/>
              <w:right w:val="single" w:color="auto" w:sz="4" w:space="0"/>
            </w:tcBorders>
            <w:vAlign w:val="top"/>
          </w:tcPr>
          <w:p w14:paraId="055C85DE">
            <w:pPr>
              <w:pStyle w:val="108"/>
              <w:spacing w:line="0" w:lineRule="atLeast"/>
              <w:jc w:val="left"/>
              <w:rPr>
                <w:rFonts w:hint="eastAsia" w:ascii="宋体" w:hAnsi="宋体" w:eastAsia="宋体" w:cs="宋体"/>
                <w:color w:val="auto"/>
                <w:sz w:val="21"/>
                <w:lang w:val="en-US"/>
              </w:rPr>
            </w:pPr>
            <w:r>
              <w:rPr>
                <w:rFonts w:hint="eastAsia" w:ascii="宋体" w:hAnsi="宋体" w:eastAsia="宋体" w:cs="宋体"/>
                <w:color w:val="auto"/>
                <w:sz w:val="21"/>
                <w:lang w:val="zh-CN" w:eastAsia="zh-CN"/>
              </w:rPr>
              <w:t>每有一项</w:t>
            </w:r>
            <w:r>
              <w:rPr>
                <w:rFonts w:hint="eastAsia" w:ascii="宋体" w:hAnsi="宋体" w:eastAsia="宋体" w:cs="宋体"/>
                <w:color w:val="auto"/>
                <w:sz w:val="21"/>
                <w:lang w:val="en-US" w:eastAsia="zh-CN"/>
              </w:rPr>
              <w:t>采购人可接受的</w:t>
            </w:r>
            <w:r>
              <w:rPr>
                <w:rFonts w:hint="eastAsia" w:cs="宋体"/>
                <w:color w:val="auto"/>
                <w:sz w:val="21"/>
                <w:lang w:val="en-US" w:eastAsia="zh-CN"/>
              </w:rPr>
              <w:t>实质性</w:t>
            </w:r>
            <w:r>
              <w:rPr>
                <w:rFonts w:hint="eastAsia" w:ascii="宋体" w:hAnsi="宋体" w:eastAsia="宋体" w:cs="宋体"/>
                <w:color w:val="auto"/>
                <w:sz w:val="21"/>
                <w:lang w:val="en-US" w:eastAsia="zh-CN"/>
              </w:rPr>
              <w:t>服务承诺</w:t>
            </w:r>
            <w:r>
              <w:rPr>
                <w:rFonts w:hint="eastAsia" w:ascii="宋体" w:hAnsi="宋体" w:eastAsia="宋体" w:cs="宋体"/>
                <w:color w:val="auto"/>
                <w:sz w:val="21"/>
                <w:lang w:val="zh-CN" w:eastAsia="zh-CN"/>
              </w:rPr>
              <w:t>得</w:t>
            </w:r>
            <w:r>
              <w:rPr>
                <w:rFonts w:hint="eastAsia" w:ascii="宋体" w:hAnsi="宋体" w:eastAsia="宋体" w:cs="宋体"/>
                <w:color w:val="auto"/>
                <w:sz w:val="21"/>
                <w:lang w:val="en-US" w:eastAsia="zh-CN"/>
              </w:rPr>
              <w:t>1</w:t>
            </w:r>
            <w:r>
              <w:rPr>
                <w:rFonts w:hint="eastAsia" w:ascii="宋体" w:hAnsi="宋体" w:eastAsia="宋体" w:cs="宋体"/>
                <w:color w:val="auto"/>
                <w:sz w:val="21"/>
                <w:lang w:val="zh-CN" w:eastAsia="zh-CN"/>
              </w:rPr>
              <w:t>分，最高得</w:t>
            </w:r>
            <w:r>
              <w:rPr>
                <w:rFonts w:hint="eastAsia" w:cs="宋体"/>
                <w:color w:val="auto"/>
                <w:sz w:val="21"/>
                <w:lang w:val="en-US" w:eastAsia="zh-CN"/>
              </w:rPr>
              <w:t>4</w:t>
            </w:r>
            <w:r>
              <w:rPr>
                <w:rFonts w:hint="eastAsia" w:ascii="宋体" w:hAnsi="宋体" w:eastAsia="宋体" w:cs="宋体"/>
                <w:color w:val="auto"/>
                <w:sz w:val="21"/>
                <w:lang w:val="zh-CN" w:eastAsia="zh-CN"/>
              </w:rPr>
              <w:t>分，没有不得分。</w:t>
            </w:r>
          </w:p>
        </w:tc>
        <w:tc>
          <w:tcPr>
            <w:tcW w:w="657" w:type="dxa"/>
            <w:tcBorders>
              <w:top w:val="outset" w:color="auto" w:sz="6" w:space="0"/>
              <w:left w:val="single" w:color="auto" w:sz="4" w:space="0"/>
              <w:bottom w:val="outset" w:color="auto" w:sz="6" w:space="0"/>
              <w:right w:val="outset" w:color="auto" w:sz="6" w:space="0"/>
            </w:tcBorders>
            <w:vAlign w:val="center"/>
          </w:tcPr>
          <w:p w14:paraId="0A353FB8">
            <w:pPr>
              <w:pStyle w:val="108"/>
              <w:spacing w:line="0" w:lineRule="atLeast"/>
              <w:jc w:val="center"/>
              <w:rPr>
                <w:rFonts w:hint="eastAsia" w:ascii="宋体" w:hAnsi="宋体" w:eastAsia="宋体" w:cs="宋体"/>
                <w:color w:val="auto"/>
                <w:sz w:val="21"/>
                <w:lang w:val="en-US" w:eastAsia="zh-CN"/>
              </w:rPr>
            </w:pPr>
            <w:r>
              <w:rPr>
                <w:rFonts w:hint="eastAsia" w:ascii="宋体" w:hAnsi="宋体" w:eastAsia="宋体" w:cs="宋体"/>
                <w:color w:val="auto"/>
                <w:sz w:val="21"/>
                <w:lang w:val="en-US"/>
              </w:rPr>
              <w:t>0-</w:t>
            </w:r>
            <w:r>
              <w:rPr>
                <w:rFonts w:hint="eastAsia" w:cs="宋体"/>
                <w:color w:val="auto"/>
                <w:sz w:val="21"/>
                <w:lang w:val="en-US" w:eastAsia="zh-CN"/>
              </w:rPr>
              <w:t>4</w:t>
            </w:r>
          </w:p>
        </w:tc>
      </w:tr>
      <w:tr w14:paraId="336F858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40" w:hRule="atLeast"/>
        </w:trPr>
        <w:tc>
          <w:tcPr>
            <w:tcW w:w="700" w:type="dxa"/>
            <w:vMerge w:val="restart"/>
            <w:tcBorders>
              <w:left w:val="outset" w:color="auto" w:sz="6" w:space="0"/>
              <w:right w:val="outset" w:color="auto" w:sz="6" w:space="0"/>
            </w:tcBorders>
            <w:vAlign w:val="center"/>
          </w:tcPr>
          <w:p w14:paraId="106910F4">
            <w:pPr>
              <w:keepNext w:val="0"/>
              <w:keepLines w:val="0"/>
              <w:pageBreakBefore w:val="0"/>
              <w:widowControl w:val="0"/>
              <w:kinsoku/>
              <w:wordWrap/>
              <w:overflowPunct/>
              <w:topLinePunct w:val="0"/>
              <w:bidi w:val="0"/>
              <w:snapToGrid/>
              <w:spacing w:line="0" w:lineRule="atLeast"/>
              <w:jc w:val="both"/>
              <w:rPr>
                <w:rFonts w:ascii="宋体" w:hAnsi="宋体" w:cs="微软雅黑"/>
                <w:color w:val="auto"/>
                <w:szCs w:val="21"/>
                <w:highlight w:val="none"/>
              </w:rPr>
            </w:pPr>
          </w:p>
        </w:tc>
        <w:tc>
          <w:tcPr>
            <w:tcW w:w="939" w:type="dxa"/>
            <w:vMerge w:val="restart"/>
            <w:tcBorders>
              <w:left w:val="outset" w:color="auto" w:sz="6" w:space="0"/>
              <w:right w:val="outset" w:color="auto" w:sz="6" w:space="0"/>
            </w:tcBorders>
            <w:vAlign w:val="center"/>
          </w:tcPr>
          <w:p w14:paraId="79AF1926">
            <w:pPr>
              <w:keepNext w:val="0"/>
              <w:keepLines w:val="0"/>
              <w:pageBreakBefore w:val="0"/>
              <w:widowControl w:val="0"/>
              <w:kinsoku/>
              <w:wordWrap/>
              <w:overflowPunct/>
              <w:topLinePunct w:val="0"/>
              <w:bidi w:val="0"/>
              <w:snapToGrid/>
              <w:spacing w:line="0" w:lineRule="atLeast"/>
              <w:jc w:val="center"/>
              <w:rPr>
                <w:rFonts w:hint="default" w:ascii="宋体" w:hAnsi="宋体" w:cs="微软雅黑"/>
                <w:color w:val="0000FF"/>
                <w:szCs w:val="21"/>
                <w:highlight w:val="none"/>
                <w:lang w:val="en-US" w:eastAsia="zh-CN"/>
              </w:rPr>
            </w:pPr>
            <w:r>
              <w:rPr>
                <w:rFonts w:hint="eastAsia" w:ascii="宋体" w:hAnsi="宋体" w:cs="微软雅黑"/>
                <w:color w:val="000000" w:themeColor="text1"/>
                <w:szCs w:val="21"/>
                <w:highlight w:val="none"/>
                <w:lang w:val="en-US" w:eastAsia="zh-CN"/>
                <w14:textFill>
                  <w14:solidFill>
                    <w14:schemeClr w14:val="tx1"/>
                  </w14:solidFill>
                </w14:textFill>
              </w:rPr>
              <w:t>55分</w:t>
            </w:r>
          </w:p>
        </w:tc>
        <w:tc>
          <w:tcPr>
            <w:tcW w:w="1737" w:type="dxa"/>
            <w:tcBorders>
              <w:top w:val="outset" w:color="auto" w:sz="6" w:space="0"/>
              <w:left w:val="outset" w:color="auto" w:sz="6" w:space="0"/>
              <w:right w:val="outset" w:color="auto" w:sz="6" w:space="0"/>
            </w:tcBorders>
            <w:vAlign w:val="center"/>
          </w:tcPr>
          <w:p w14:paraId="3D6150D5">
            <w:pPr>
              <w:spacing w:line="0" w:lineRule="atLeast"/>
              <w:rPr>
                <w:rFonts w:hint="eastAsia" w:ascii="宋体" w:hAnsi="宋体" w:eastAsia="宋体" w:cs="微软雅黑"/>
                <w:color w:val="000000" w:themeColor="text1"/>
                <w:szCs w:val="21"/>
                <w:highlight w:val="none"/>
                <w:lang w:eastAsia="zh-CN"/>
                <w14:textFill>
                  <w14:solidFill>
                    <w14:schemeClr w14:val="tx1"/>
                  </w14:solidFill>
                </w14:textFill>
              </w:rPr>
            </w:pPr>
            <w:r>
              <w:rPr>
                <w:rFonts w:hint="eastAsia" w:ascii="宋体" w:hAnsi="宋体" w:eastAsia="宋体" w:cs="微软雅黑"/>
                <w:color w:val="000000" w:themeColor="text1"/>
                <w:szCs w:val="21"/>
                <w:highlight w:val="none"/>
                <w14:textFill>
                  <w14:solidFill>
                    <w14:schemeClr w14:val="tx1"/>
                  </w14:solidFill>
                </w14:textFill>
              </w:rPr>
              <w:t>质量保证措施</w:t>
            </w:r>
            <w:r>
              <w:rPr>
                <w:rFonts w:hint="eastAsia" w:ascii="宋体" w:hAnsi="宋体" w:eastAsia="宋体" w:cs="微软雅黑"/>
                <w:color w:val="000000" w:themeColor="text1"/>
                <w:szCs w:val="21"/>
                <w:highlight w:val="none"/>
                <w:lang w:eastAsia="zh-CN"/>
                <w14:textFill>
                  <w14:solidFill>
                    <w14:schemeClr w14:val="tx1"/>
                  </w14:solidFill>
                </w14:textFill>
              </w:rPr>
              <w:t>（</w:t>
            </w:r>
            <w:r>
              <w:rPr>
                <w:rFonts w:hint="eastAsia" w:ascii="宋体" w:hAnsi="宋体" w:cs="微软雅黑"/>
                <w:color w:val="000000" w:themeColor="text1"/>
                <w:szCs w:val="21"/>
                <w:highlight w:val="none"/>
                <w:lang w:val="en-US" w:eastAsia="zh-CN"/>
                <w14:textFill>
                  <w14:solidFill>
                    <w14:schemeClr w14:val="tx1"/>
                  </w14:solidFill>
                </w14:textFill>
              </w:rPr>
              <w:t>12</w:t>
            </w:r>
            <w:r>
              <w:rPr>
                <w:rFonts w:hint="eastAsia" w:ascii="宋体" w:hAnsi="宋体" w:eastAsia="宋体" w:cs="微软雅黑"/>
                <w:color w:val="000000" w:themeColor="text1"/>
                <w:szCs w:val="21"/>
                <w:highlight w:val="none"/>
                <w:lang w:val="en-US" w:eastAsia="zh-CN"/>
                <w14:textFill>
                  <w14:solidFill>
                    <w14:schemeClr w14:val="tx1"/>
                  </w14:solidFill>
                </w14:textFill>
              </w:rPr>
              <w:t>分</w:t>
            </w:r>
            <w:r>
              <w:rPr>
                <w:rFonts w:hint="eastAsia" w:ascii="宋体" w:hAnsi="宋体" w:eastAsia="宋体" w:cs="微软雅黑"/>
                <w:color w:val="000000" w:themeColor="text1"/>
                <w:szCs w:val="21"/>
                <w:highlight w:val="none"/>
                <w:lang w:eastAsia="zh-CN"/>
                <w14:textFill>
                  <w14:solidFill>
                    <w14:schemeClr w14:val="tx1"/>
                  </w14:solidFill>
                </w14:textFill>
              </w:rPr>
              <w:t>）</w:t>
            </w:r>
          </w:p>
        </w:tc>
        <w:tc>
          <w:tcPr>
            <w:tcW w:w="5606" w:type="dxa"/>
            <w:tcBorders>
              <w:top w:val="outset" w:color="auto" w:sz="6" w:space="0"/>
              <w:left w:val="outset" w:color="auto" w:sz="6" w:space="0"/>
              <w:bottom w:val="outset" w:color="auto" w:sz="6" w:space="0"/>
              <w:right w:val="single" w:color="auto" w:sz="4" w:space="0"/>
            </w:tcBorders>
            <w:vAlign w:val="center"/>
          </w:tcPr>
          <w:p w14:paraId="35C30019">
            <w:pPr>
              <w:spacing w:line="0" w:lineRule="atLeast"/>
              <w:rPr>
                <w:rFonts w:hint="eastAsia" w:ascii="宋体" w:hAnsi="宋体" w:eastAsia="宋体" w:cs="微软雅黑"/>
                <w:color w:val="000000" w:themeColor="text1"/>
                <w:szCs w:val="21"/>
                <w:highlight w:val="none"/>
                <w14:textFill>
                  <w14:solidFill>
                    <w14:schemeClr w14:val="tx1"/>
                  </w14:solidFill>
                </w14:textFill>
              </w:rPr>
            </w:pPr>
            <w:r>
              <w:rPr>
                <w:rFonts w:hint="eastAsia" w:ascii="宋体" w:hAnsi="宋体" w:eastAsia="宋体" w:cs="微软雅黑"/>
                <w:color w:val="000000" w:themeColor="text1"/>
                <w:szCs w:val="21"/>
                <w:highlight w:val="none"/>
                <w:lang w:eastAsia="zh-CN"/>
                <w14:textFill>
                  <w14:solidFill>
                    <w14:schemeClr w14:val="tx1"/>
                  </w14:solidFill>
                </w14:textFill>
              </w:rPr>
              <w:t>供应商</w:t>
            </w:r>
            <w:r>
              <w:rPr>
                <w:rFonts w:hint="eastAsia" w:ascii="宋体" w:hAnsi="宋体" w:eastAsia="宋体" w:cs="微软雅黑"/>
                <w:color w:val="000000" w:themeColor="text1"/>
                <w:szCs w:val="21"/>
                <w:highlight w:val="none"/>
                <w14:textFill>
                  <w14:solidFill>
                    <w14:schemeClr w14:val="tx1"/>
                  </w14:solidFill>
                </w14:textFill>
              </w:rPr>
              <w:t>针对于本项目制定相应的产品质量保证措施方案，从产品的生产、运输、交付、使用、验收等方面为制做方案依据，包含但不限于以下几个方面：</w:t>
            </w:r>
          </w:p>
          <w:p w14:paraId="1890AD74">
            <w:pPr>
              <w:spacing w:line="0" w:lineRule="atLeast"/>
              <w:rPr>
                <w:rFonts w:hint="eastAsia" w:ascii="宋体" w:hAnsi="宋体" w:eastAsia="宋体" w:cs="微软雅黑"/>
                <w:color w:val="000000" w:themeColor="text1"/>
                <w:szCs w:val="21"/>
                <w:highlight w:val="none"/>
                <w:lang w:eastAsia="zh-CN"/>
                <w14:textFill>
                  <w14:solidFill>
                    <w14:schemeClr w14:val="tx1"/>
                  </w14:solidFill>
                </w14:textFill>
              </w:rPr>
            </w:pPr>
            <w:r>
              <w:rPr>
                <w:rFonts w:hint="eastAsia" w:ascii="宋体" w:hAnsi="宋体" w:eastAsia="宋体" w:cs="微软雅黑"/>
                <w:color w:val="000000" w:themeColor="text1"/>
                <w:szCs w:val="21"/>
                <w:highlight w:val="none"/>
                <w:lang w:eastAsia="zh-CN"/>
                <w14:textFill>
                  <w14:solidFill>
                    <w14:schemeClr w14:val="tx1"/>
                  </w14:solidFill>
                </w14:textFill>
              </w:rPr>
              <w:t>产品质量保证方案</w:t>
            </w:r>
          </w:p>
          <w:p w14:paraId="6B298DDC">
            <w:pPr>
              <w:spacing w:line="0" w:lineRule="atLeast"/>
              <w:rPr>
                <w:rFonts w:hint="eastAsia" w:ascii="宋体" w:hAnsi="宋体" w:eastAsia="宋体" w:cs="微软雅黑"/>
                <w:color w:val="000000" w:themeColor="text1"/>
                <w:szCs w:val="21"/>
                <w:highlight w:val="none"/>
                <w:lang w:eastAsia="zh-CN"/>
                <w14:textFill>
                  <w14:solidFill>
                    <w14:schemeClr w14:val="tx1"/>
                  </w14:solidFill>
                </w14:textFill>
              </w:rPr>
            </w:pPr>
            <w:r>
              <w:rPr>
                <w:rFonts w:hint="eastAsia" w:ascii="宋体" w:hAnsi="宋体" w:eastAsia="宋体" w:cs="微软雅黑"/>
                <w:color w:val="000000" w:themeColor="text1"/>
                <w:szCs w:val="21"/>
                <w:highlight w:val="none"/>
                <w:lang w:eastAsia="zh-CN"/>
                <w14:textFill>
                  <w14:solidFill>
                    <w14:schemeClr w14:val="tx1"/>
                  </w14:solidFill>
                </w14:textFill>
              </w:rPr>
              <w:t>1. 质量保障措施</w:t>
            </w:r>
          </w:p>
          <w:p w14:paraId="6B392DC6">
            <w:pPr>
              <w:spacing w:line="0" w:lineRule="atLeast"/>
              <w:rPr>
                <w:rFonts w:hint="eastAsia" w:ascii="宋体" w:hAnsi="宋体" w:eastAsia="宋体" w:cs="微软雅黑"/>
                <w:color w:val="000000" w:themeColor="text1"/>
                <w:szCs w:val="21"/>
                <w:highlight w:val="none"/>
                <w:lang w:eastAsia="zh-CN"/>
                <w14:textFill>
                  <w14:solidFill>
                    <w14:schemeClr w14:val="tx1"/>
                  </w14:solidFill>
                </w14:textFill>
              </w:rPr>
            </w:pPr>
            <w:r>
              <w:rPr>
                <w:rFonts w:hint="eastAsia" w:ascii="宋体" w:hAnsi="宋体" w:eastAsia="宋体" w:cs="微软雅黑"/>
                <w:color w:val="000000" w:themeColor="text1"/>
                <w:szCs w:val="21"/>
                <w:highlight w:val="none"/>
                <w:lang w:eastAsia="zh-CN"/>
                <w14:textFill>
                  <w14:solidFill>
                    <w14:schemeClr w14:val="tx1"/>
                  </w14:solidFill>
                </w14:textFill>
              </w:rPr>
              <w:t>2. 质量方针</w:t>
            </w:r>
          </w:p>
          <w:p w14:paraId="29ACEA06">
            <w:pPr>
              <w:spacing w:line="0" w:lineRule="atLeast"/>
              <w:rPr>
                <w:rFonts w:hint="eastAsia" w:ascii="宋体" w:hAnsi="宋体" w:eastAsia="宋体" w:cs="微软雅黑"/>
                <w:color w:val="000000" w:themeColor="text1"/>
                <w:szCs w:val="21"/>
                <w:highlight w:val="none"/>
                <w:lang w:eastAsia="zh-CN"/>
                <w14:textFill>
                  <w14:solidFill>
                    <w14:schemeClr w14:val="tx1"/>
                  </w14:solidFill>
                </w14:textFill>
              </w:rPr>
            </w:pPr>
            <w:r>
              <w:rPr>
                <w:rFonts w:hint="eastAsia" w:ascii="宋体" w:hAnsi="宋体" w:eastAsia="宋体" w:cs="微软雅黑"/>
                <w:color w:val="000000" w:themeColor="text1"/>
                <w:szCs w:val="21"/>
                <w:highlight w:val="none"/>
                <w:lang w:eastAsia="zh-CN"/>
                <w14:textFill>
                  <w14:solidFill>
                    <w14:schemeClr w14:val="tx1"/>
                  </w14:solidFill>
                </w14:textFill>
              </w:rPr>
              <w:t>3. 质量目标</w:t>
            </w:r>
          </w:p>
          <w:p w14:paraId="54C5E931">
            <w:pPr>
              <w:spacing w:line="0" w:lineRule="atLeast"/>
              <w:rPr>
                <w:rFonts w:hint="eastAsia" w:ascii="宋体" w:hAnsi="宋体" w:eastAsia="宋体" w:cs="微软雅黑"/>
                <w:color w:val="000000" w:themeColor="text1"/>
                <w:szCs w:val="21"/>
                <w:highlight w:val="none"/>
                <w:lang w:eastAsia="zh-CN"/>
                <w14:textFill>
                  <w14:solidFill>
                    <w14:schemeClr w14:val="tx1"/>
                  </w14:solidFill>
                </w14:textFill>
              </w:rPr>
            </w:pPr>
            <w:r>
              <w:rPr>
                <w:rFonts w:hint="eastAsia" w:ascii="宋体" w:hAnsi="宋体" w:eastAsia="宋体" w:cs="微软雅黑"/>
                <w:color w:val="000000" w:themeColor="text1"/>
                <w:szCs w:val="21"/>
                <w:highlight w:val="none"/>
                <w:lang w:eastAsia="zh-CN"/>
                <w14:textFill>
                  <w14:solidFill>
                    <w14:schemeClr w14:val="tx1"/>
                  </w14:solidFill>
                </w14:textFill>
              </w:rPr>
              <w:t>4. 质量标准及技术响应</w:t>
            </w:r>
          </w:p>
          <w:p w14:paraId="3A5124E3">
            <w:pPr>
              <w:spacing w:line="0" w:lineRule="atLeast"/>
              <w:rPr>
                <w:rFonts w:hint="eastAsia" w:ascii="宋体" w:hAnsi="宋体" w:eastAsia="宋体" w:cs="微软雅黑"/>
                <w:color w:val="000000" w:themeColor="text1"/>
                <w:szCs w:val="21"/>
                <w:highlight w:val="none"/>
                <w:lang w:eastAsia="zh-CN"/>
                <w14:textFill>
                  <w14:solidFill>
                    <w14:schemeClr w14:val="tx1"/>
                  </w14:solidFill>
                </w14:textFill>
              </w:rPr>
            </w:pPr>
            <w:r>
              <w:rPr>
                <w:rFonts w:hint="eastAsia" w:ascii="宋体" w:hAnsi="宋体" w:eastAsia="宋体" w:cs="微软雅黑"/>
                <w:color w:val="000000" w:themeColor="text1"/>
                <w:szCs w:val="21"/>
                <w:highlight w:val="none"/>
                <w:lang w:eastAsia="zh-CN"/>
                <w14:textFill>
                  <w14:solidFill>
                    <w14:schemeClr w14:val="tx1"/>
                  </w14:solidFill>
                </w14:textFill>
              </w:rPr>
              <w:t>5. 质量保证依据</w:t>
            </w:r>
          </w:p>
          <w:p w14:paraId="1F150577">
            <w:pPr>
              <w:spacing w:line="0" w:lineRule="atLeast"/>
              <w:rPr>
                <w:rFonts w:hint="eastAsia" w:ascii="宋体" w:hAnsi="宋体" w:eastAsia="宋体" w:cs="微软雅黑"/>
                <w:color w:val="000000" w:themeColor="text1"/>
                <w:szCs w:val="21"/>
                <w:highlight w:val="none"/>
                <w:lang w:eastAsia="zh-CN"/>
                <w14:textFill>
                  <w14:solidFill>
                    <w14:schemeClr w14:val="tx1"/>
                  </w14:solidFill>
                </w14:textFill>
              </w:rPr>
            </w:pPr>
            <w:r>
              <w:rPr>
                <w:rFonts w:hint="eastAsia" w:ascii="宋体" w:hAnsi="宋体" w:eastAsia="宋体" w:cs="微软雅黑"/>
                <w:color w:val="000000" w:themeColor="text1"/>
                <w:szCs w:val="21"/>
                <w:highlight w:val="none"/>
                <w:lang w:eastAsia="zh-CN"/>
                <w14:textFill>
                  <w14:solidFill>
                    <w14:schemeClr w14:val="tx1"/>
                  </w14:solidFill>
                </w14:textFill>
              </w:rPr>
              <w:t>6. 质量保证原则</w:t>
            </w:r>
          </w:p>
          <w:p w14:paraId="772712D9">
            <w:pPr>
              <w:spacing w:line="0" w:lineRule="atLeast"/>
              <w:rPr>
                <w:rFonts w:hint="eastAsia" w:ascii="宋体" w:hAnsi="宋体" w:eastAsia="宋体" w:cs="微软雅黑"/>
                <w:color w:val="000000" w:themeColor="text1"/>
                <w:szCs w:val="21"/>
                <w:highlight w:val="none"/>
                <w14:textFill>
                  <w14:solidFill>
                    <w14:schemeClr w14:val="tx1"/>
                  </w14:solidFill>
                </w14:textFill>
              </w:rPr>
            </w:pPr>
            <w:r>
              <w:rPr>
                <w:rFonts w:hint="eastAsia" w:ascii="宋体" w:hAnsi="宋体" w:eastAsia="宋体" w:cs="微软雅黑"/>
                <w:color w:val="000000" w:themeColor="text1"/>
                <w:szCs w:val="21"/>
                <w:highlight w:val="none"/>
                <w14:textFill>
                  <w14:solidFill>
                    <w14:schemeClr w14:val="tx1"/>
                  </w14:solidFill>
                </w14:textFill>
              </w:rPr>
              <w:t>以上六项方案每提供一小项内容适用于项目且无缺失的方案得</w:t>
            </w:r>
            <w:r>
              <w:rPr>
                <w:rFonts w:hint="eastAsia" w:ascii="宋体" w:hAnsi="宋体" w:cs="微软雅黑"/>
                <w:color w:val="000000" w:themeColor="text1"/>
                <w:szCs w:val="21"/>
                <w:highlight w:val="none"/>
                <w:lang w:val="en-US" w:eastAsia="zh-CN"/>
                <w14:textFill>
                  <w14:solidFill>
                    <w14:schemeClr w14:val="tx1"/>
                  </w14:solidFill>
                </w14:textFill>
              </w:rPr>
              <w:t>2</w:t>
            </w:r>
            <w:r>
              <w:rPr>
                <w:rFonts w:hint="eastAsia" w:ascii="宋体" w:hAnsi="宋体" w:eastAsia="宋体" w:cs="微软雅黑"/>
                <w:color w:val="000000" w:themeColor="text1"/>
                <w:szCs w:val="21"/>
                <w:highlight w:val="none"/>
                <w14:textFill>
                  <w14:solidFill>
                    <w14:schemeClr w14:val="tx1"/>
                  </w14:solidFill>
                </w14:textFill>
              </w:rPr>
              <w:t>分，</w:t>
            </w:r>
            <w:r>
              <w:rPr>
                <w:rFonts w:hint="eastAsia" w:ascii="宋体" w:hAnsi="宋体" w:eastAsia="宋体" w:cs="微软雅黑"/>
                <w:color w:val="000000" w:themeColor="text1"/>
                <w:szCs w:val="21"/>
                <w:highlight w:val="none"/>
                <w:lang w:eastAsia="zh-CN"/>
                <w14:textFill>
                  <w14:solidFill>
                    <w14:schemeClr w14:val="tx1"/>
                  </w14:solidFill>
                </w14:textFill>
              </w:rPr>
              <w:t>有缺失的得</w:t>
            </w:r>
            <w:r>
              <w:rPr>
                <w:rFonts w:hint="eastAsia" w:ascii="宋体" w:hAnsi="宋体" w:eastAsia="宋体" w:cs="微软雅黑"/>
                <w:color w:val="000000" w:themeColor="text1"/>
                <w:szCs w:val="21"/>
                <w:highlight w:val="none"/>
                <w:lang w:val="en-US" w:eastAsia="zh-CN"/>
                <w14:textFill>
                  <w14:solidFill>
                    <w14:schemeClr w14:val="tx1"/>
                  </w14:solidFill>
                </w14:textFill>
              </w:rPr>
              <w:t>1分，本项</w:t>
            </w:r>
            <w:r>
              <w:rPr>
                <w:rFonts w:hint="eastAsia" w:ascii="宋体" w:hAnsi="宋体" w:eastAsia="宋体" w:cs="微软雅黑"/>
                <w:color w:val="000000" w:themeColor="text1"/>
                <w:szCs w:val="21"/>
                <w:highlight w:val="none"/>
                <w14:textFill>
                  <w14:solidFill>
                    <w14:schemeClr w14:val="tx1"/>
                  </w14:solidFill>
                </w14:textFill>
              </w:rPr>
              <w:t>满分</w:t>
            </w:r>
            <w:r>
              <w:rPr>
                <w:rFonts w:hint="eastAsia" w:ascii="宋体" w:hAnsi="宋体" w:cs="微软雅黑"/>
                <w:color w:val="000000" w:themeColor="text1"/>
                <w:szCs w:val="21"/>
                <w:highlight w:val="none"/>
                <w:lang w:val="en-US" w:eastAsia="zh-CN"/>
                <w14:textFill>
                  <w14:solidFill>
                    <w14:schemeClr w14:val="tx1"/>
                  </w14:solidFill>
                </w14:textFill>
              </w:rPr>
              <w:t>12</w:t>
            </w:r>
            <w:r>
              <w:rPr>
                <w:rFonts w:hint="eastAsia" w:ascii="宋体" w:hAnsi="宋体" w:eastAsia="宋体" w:cs="微软雅黑"/>
                <w:color w:val="000000" w:themeColor="text1"/>
                <w:szCs w:val="21"/>
                <w:highlight w:val="none"/>
                <w14:textFill>
                  <w14:solidFill>
                    <w14:schemeClr w14:val="tx1"/>
                  </w14:solidFill>
                </w14:textFill>
              </w:rPr>
              <w:t>分，未提供的得0分。</w:t>
            </w:r>
          </w:p>
          <w:p w14:paraId="5C94E405">
            <w:pPr>
              <w:spacing w:line="0" w:lineRule="atLeast"/>
              <w:rPr>
                <w:rFonts w:hint="eastAsia"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14:textFill>
                  <w14:solidFill>
                    <w14:schemeClr w14:val="tx1"/>
                  </w14:solidFill>
                </w14:textFill>
              </w:rPr>
              <w:t>（缺失是指：不符合实际，存在偏离内容、内容前后不一致、文不对题、前后逻辑错误、内容缺失有瑕疵、无具体流程细节描述之处）</w:t>
            </w:r>
            <w:r>
              <w:rPr>
                <w:rFonts w:hint="eastAsia" w:ascii="宋体" w:hAnsi="宋体" w:eastAsia="宋体" w:cs="微软雅黑"/>
                <w:color w:val="000000" w:themeColor="text1"/>
                <w:szCs w:val="21"/>
                <w:highlight w:val="none"/>
                <w:lang w:eastAsia="zh-CN"/>
                <w14:textFill>
                  <w14:solidFill>
                    <w14:schemeClr w14:val="tx1"/>
                  </w14:solidFill>
                </w14:textFill>
              </w:rPr>
              <w:t>。</w:t>
            </w:r>
          </w:p>
        </w:tc>
        <w:tc>
          <w:tcPr>
            <w:tcW w:w="657" w:type="dxa"/>
            <w:tcBorders>
              <w:top w:val="outset" w:color="auto" w:sz="6" w:space="0"/>
              <w:left w:val="single" w:color="auto" w:sz="4" w:space="0"/>
              <w:bottom w:val="outset" w:color="auto" w:sz="6" w:space="0"/>
              <w:right w:val="outset" w:color="auto" w:sz="6" w:space="0"/>
            </w:tcBorders>
            <w:vAlign w:val="center"/>
          </w:tcPr>
          <w:p w14:paraId="3105B459">
            <w:pPr>
              <w:spacing w:line="0" w:lineRule="atLeast"/>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lang w:val="en-US" w:eastAsia="zh-CN"/>
                <w14:textFill>
                  <w14:solidFill>
                    <w14:schemeClr w14:val="tx1"/>
                  </w14:solidFill>
                </w14:textFill>
              </w:rPr>
              <w:t>0-</w:t>
            </w:r>
            <w:r>
              <w:rPr>
                <w:rFonts w:hint="eastAsia" w:ascii="宋体" w:hAnsi="宋体" w:cs="微软雅黑"/>
                <w:color w:val="000000" w:themeColor="text1"/>
                <w:szCs w:val="21"/>
                <w:highlight w:val="none"/>
                <w:lang w:val="en-US" w:eastAsia="zh-CN"/>
                <w14:textFill>
                  <w14:solidFill>
                    <w14:schemeClr w14:val="tx1"/>
                  </w14:solidFill>
                </w14:textFill>
              </w:rPr>
              <w:t>12</w:t>
            </w:r>
          </w:p>
        </w:tc>
      </w:tr>
      <w:tr w14:paraId="0B41A16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40" w:hRule="atLeast"/>
        </w:trPr>
        <w:tc>
          <w:tcPr>
            <w:tcW w:w="700" w:type="dxa"/>
            <w:vMerge w:val="continue"/>
            <w:tcBorders>
              <w:left w:val="outset" w:color="auto" w:sz="6" w:space="0"/>
              <w:right w:val="outset" w:color="auto" w:sz="6" w:space="0"/>
            </w:tcBorders>
            <w:vAlign w:val="center"/>
          </w:tcPr>
          <w:p w14:paraId="1A8A9992">
            <w:pPr>
              <w:keepNext w:val="0"/>
              <w:keepLines w:val="0"/>
              <w:pageBreakBefore w:val="0"/>
              <w:widowControl w:val="0"/>
              <w:kinsoku/>
              <w:wordWrap/>
              <w:overflowPunct/>
              <w:topLinePunct w:val="0"/>
              <w:bidi w:val="0"/>
              <w:snapToGrid/>
              <w:spacing w:line="0" w:lineRule="atLeast"/>
              <w:jc w:val="both"/>
              <w:rPr>
                <w:rFonts w:ascii="宋体" w:hAnsi="宋体" w:cs="微软雅黑"/>
                <w:color w:val="auto"/>
                <w:szCs w:val="21"/>
                <w:highlight w:val="none"/>
              </w:rPr>
            </w:pPr>
          </w:p>
        </w:tc>
        <w:tc>
          <w:tcPr>
            <w:tcW w:w="939" w:type="dxa"/>
            <w:vMerge w:val="continue"/>
            <w:tcBorders>
              <w:left w:val="outset" w:color="auto" w:sz="6" w:space="0"/>
              <w:right w:val="outset" w:color="auto" w:sz="6" w:space="0"/>
            </w:tcBorders>
            <w:vAlign w:val="center"/>
          </w:tcPr>
          <w:p w14:paraId="5838A231">
            <w:pPr>
              <w:keepNext w:val="0"/>
              <w:keepLines w:val="0"/>
              <w:pageBreakBefore w:val="0"/>
              <w:widowControl w:val="0"/>
              <w:kinsoku/>
              <w:wordWrap/>
              <w:overflowPunct/>
              <w:topLinePunct w:val="0"/>
              <w:bidi w:val="0"/>
              <w:snapToGrid/>
              <w:spacing w:line="0" w:lineRule="atLeast"/>
              <w:jc w:val="center"/>
              <w:rPr>
                <w:rFonts w:hint="eastAsia" w:ascii="宋体" w:hAnsi="宋体" w:cs="微软雅黑"/>
                <w:color w:val="0000FF"/>
                <w:szCs w:val="21"/>
                <w:highlight w:val="none"/>
                <w:lang w:val="en-US" w:eastAsia="zh-CN"/>
              </w:rPr>
            </w:pPr>
          </w:p>
        </w:tc>
        <w:tc>
          <w:tcPr>
            <w:tcW w:w="1737" w:type="dxa"/>
            <w:tcBorders>
              <w:top w:val="outset" w:color="auto" w:sz="6" w:space="0"/>
              <w:left w:val="outset" w:color="auto" w:sz="6" w:space="0"/>
              <w:right w:val="outset" w:color="auto" w:sz="6" w:space="0"/>
            </w:tcBorders>
            <w:vAlign w:val="center"/>
          </w:tcPr>
          <w:p w14:paraId="6A4B4A73">
            <w:pPr>
              <w:spacing w:line="0" w:lineRule="atLeast"/>
              <w:rPr>
                <w:rFonts w:hint="eastAsia" w:ascii="宋体" w:hAnsi="宋体" w:eastAsia="宋体" w:cs="微软雅黑"/>
                <w:color w:val="000000" w:themeColor="text1"/>
                <w:szCs w:val="21"/>
                <w:highlight w:val="none"/>
                <w:lang w:val="zh-CN" w:eastAsia="zh-CN"/>
                <w14:textFill>
                  <w14:solidFill>
                    <w14:schemeClr w14:val="tx1"/>
                  </w14:solidFill>
                </w14:textFill>
              </w:rPr>
            </w:pPr>
            <w:r>
              <w:rPr>
                <w:rFonts w:hint="eastAsia" w:ascii="宋体" w:hAnsi="宋体" w:eastAsia="宋体" w:cs="微软雅黑"/>
                <w:color w:val="000000" w:themeColor="text1"/>
                <w:szCs w:val="21"/>
                <w:highlight w:val="none"/>
                <w:lang w:val="en-US" w:eastAsia="zh-CN"/>
                <w14:textFill>
                  <w14:solidFill>
                    <w14:schemeClr w14:val="tx1"/>
                  </w14:solidFill>
                </w14:textFill>
              </w:rPr>
              <w:t>供货计划</w:t>
            </w:r>
            <w:r>
              <w:rPr>
                <w:rFonts w:hint="eastAsia" w:ascii="宋体" w:hAnsi="宋体" w:eastAsia="宋体" w:cs="微软雅黑"/>
                <w:color w:val="000000" w:themeColor="text1"/>
                <w:szCs w:val="21"/>
                <w:highlight w:val="none"/>
                <w:lang w:val="zh-CN" w:eastAsia="zh-CN"/>
                <w14:textFill>
                  <w14:solidFill>
                    <w14:schemeClr w14:val="tx1"/>
                  </w14:solidFill>
                </w14:textFill>
              </w:rPr>
              <w:t>方案</w:t>
            </w:r>
          </w:p>
          <w:p w14:paraId="1C7765AF">
            <w:pPr>
              <w:spacing w:line="0" w:lineRule="atLeast"/>
              <w:rPr>
                <w:rFonts w:hint="eastAsia" w:ascii="宋体" w:hAnsi="宋体" w:eastAsia="宋体" w:cs="微软雅黑"/>
                <w:color w:val="000000" w:themeColor="text1"/>
                <w:szCs w:val="21"/>
                <w:highlight w:val="none"/>
                <w14:textFill>
                  <w14:solidFill>
                    <w14:schemeClr w14:val="tx1"/>
                  </w14:solidFill>
                </w14:textFill>
              </w:rPr>
            </w:pPr>
            <w:r>
              <w:rPr>
                <w:rFonts w:hint="eastAsia" w:ascii="宋体" w:hAnsi="宋体" w:eastAsia="宋体" w:cs="微软雅黑"/>
                <w:color w:val="000000" w:themeColor="text1"/>
                <w:szCs w:val="21"/>
                <w:highlight w:val="none"/>
                <w:lang w:val="zh-CN" w:eastAsia="zh-CN"/>
                <w14:textFill>
                  <w14:solidFill>
                    <w14:schemeClr w14:val="tx1"/>
                  </w14:solidFill>
                </w14:textFill>
              </w:rPr>
              <w:t>（</w:t>
            </w:r>
            <w:r>
              <w:rPr>
                <w:rFonts w:hint="eastAsia" w:ascii="宋体" w:hAnsi="宋体" w:cs="微软雅黑"/>
                <w:color w:val="000000" w:themeColor="text1"/>
                <w:szCs w:val="21"/>
                <w:highlight w:val="none"/>
                <w:lang w:val="en-US" w:eastAsia="zh-CN"/>
                <w14:textFill>
                  <w14:solidFill>
                    <w14:schemeClr w14:val="tx1"/>
                  </w14:solidFill>
                </w14:textFill>
              </w:rPr>
              <w:t>9</w:t>
            </w:r>
            <w:r>
              <w:rPr>
                <w:rFonts w:hint="eastAsia" w:ascii="宋体" w:hAnsi="宋体" w:eastAsia="宋体" w:cs="微软雅黑"/>
                <w:color w:val="000000" w:themeColor="text1"/>
                <w:szCs w:val="21"/>
                <w:highlight w:val="none"/>
                <w:lang w:val="zh-CN" w:eastAsia="zh-CN"/>
                <w14:textFill>
                  <w14:solidFill>
                    <w14:schemeClr w14:val="tx1"/>
                  </w14:solidFill>
                </w14:textFill>
              </w:rPr>
              <w:t>分）</w:t>
            </w:r>
          </w:p>
        </w:tc>
        <w:tc>
          <w:tcPr>
            <w:tcW w:w="5606" w:type="dxa"/>
            <w:tcBorders>
              <w:top w:val="outset" w:color="auto" w:sz="6" w:space="0"/>
              <w:left w:val="outset" w:color="auto" w:sz="6" w:space="0"/>
              <w:bottom w:val="outset" w:color="auto" w:sz="6" w:space="0"/>
              <w:right w:val="single" w:color="auto" w:sz="4" w:space="0"/>
            </w:tcBorders>
            <w:vAlign w:val="center"/>
          </w:tcPr>
          <w:p w14:paraId="29E52D15">
            <w:pPr>
              <w:spacing w:line="0" w:lineRule="atLeast"/>
              <w:rPr>
                <w:rFonts w:hint="eastAsia"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lang w:val="en-US" w:eastAsia="zh-CN"/>
                <w14:textFill>
                  <w14:solidFill>
                    <w14:schemeClr w14:val="tx1"/>
                  </w14:solidFill>
                </w14:textFill>
              </w:rPr>
              <w:t>针对本项目提供供货计划方案，货物运输安全保证方案、现场应变措施、技术人员配备、产品安装定位措施、保障安装及消耗品供应措施，每具备1条完整的得1</w:t>
            </w:r>
            <w:r>
              <w:rPr>
                <w:rFonts w:hint="eastAsia" w:ascii="宋体" w:hAnsi="宋体" w:cs="微软雅黑"/>
                <w:color w:val="000000" w:themeColor="text1"/>
                <w:szCs w:val="21"/>
                <w:highlight w:val="none"/>
                <w:lang w:val="en-US" w:eastAsia="zh-CN"/>
                <w14:textFill>
                  <w14:solidFill>
                    <w14:schemeClr w14:val="tx1"/>
                  </w14:solidFill>
                </w14:textFill>
              </w:rPr>
              <w:t>.5</w:t>
            </w:r>
            <w:r>
              <w:rPr>
                <w:rFonts w:hint="eastAsia" w:ascii="宋体" w:hAnsi="宋体" w:eastAsia="宋体" w:cs="微软雅黑"/>
                <w:color w:val="000000" w:themeColor="text1"/>
                <w:szCs w:val="21"/>
                <w:highlight w:val="none"/>
                <w:lang w:val="en-US" w:eastAsia="zh-CN"/>
                <w14:textFill>
                  <w14:solidFill>
                    <w14:schemeClr w14:val="tx1"/>
                  </w14:solidFill>
                </w14:textFill>
              </w:rPr>
              <w:t>分，有缺项漏项的得</w:t>
            </w:r>
            <w:r>
              <w:rPr>
                <w:rFonts w:hint="eastAsia" w:ascii="宋体" w:hAnsi="宋体" w:cs="微软雅黑"/>
                <w:color w:val="000000" w:themeColor="text1"/>
                <w:szCs w:val="21"/>
                <w:highlight w:val="none"/>
                <w:lang w:val="en-US" w:eastAsia="zh-CN"/>
                <w14:textFill>
                  <w14:solidFill>
                    <w14:schemeClr w14:val="tx1"/>
                  </w14:solidFill>
                </w14:textFill>
              </w:rPr>
              <w:t>1</w:t>
            </w:r>
            <w:r>
              <w:rPr>
                <w:rFonts w:hint="eastAsia" w:ascii="宋体" w:hAnsi="宋体" w:eastAsia="宋体" w:cs="微软雅黑"/>
                <w:color w:val="000000" w:themeColor="text1"/>
                <w:szCs w:val="21"/>
                <w:highlight w:val="none"/>
                <w:lang w:val="en-US" w:eastAsia="zh-CN"/>
                <w14:textFill>
                  <w14:solidFill>
                    <w14:schemeClr w14:val="tx1"/>
                  </w14:solidFill>
                </w14:textFill>
              </w:rPr>
              <w:t>分。最多得</w:t>
            </w:r>
            <w:r>
              <w:rPr>
                <w:rFonts w:hint="eastAsia" w:ascii="宋体" w:hAnsi="宋体" w:cs="微软雅黑"/>
                <w:color w:val="000000" w:themeColor="text1"/>
                <w:szCs w:val="21"/>
                <w:highlight w:val="none"/>
                <w:lang w:val="en-US" w:eastAsia="zh-CN"/>
                <w14:textFill>
                  <w14:solidFill>
                    <w14:schemeClr w14:val="tx1"/>
                  </w14:solidFill>
                </w14:textFill>
              </w:rPr>
              <w:t>9</w:t>
            </w:r>
            <w:r>
              <w:rPr>
                <w:rFonts w:hint="eastAsia" w:ascii="宋体" w:hAnsi="宋体" w:eastAsia="宋体" w:cs="微软雅黑"/>
                <w:color w:val="000000" w:themeColor="text1"/>
                <w:szCs w:val="21"/>
                <w:highlight w:val="none"/>
                <w:lang w:val="en-US" w:eastAsia="zh-CN"/>
                <w14:textFill>
                  <w14:solidFill>
                    <w14:schemeClr w14:val="tx1"/>
                  </w14:solidFill>
                </w14:textFill>
              </w:rPr>
              <w:t>分。</w:t>
            </w:r>
          </w:p>
          <w:p w14:paraId="48EB2E2C">
            <w:pPr>
              <w:spacing w:line="0" w:lineRule="atLeast"/>
              <w:rPr>
                <w:rFonts w:hint="eastAsia" w:ascii="宋体" w:hAnsi="宋体" w:eastAsia="宋体" w:cs="微软雅黑"/>
                <w:color w:val="000000" w:themeColor="text1"/>
                <w:szCs w:val="21"/>
                <w:highlight w:val="none"/>
                <w14:textFill>
                  <w14:solidFill>
                    <w14:schemeClr w14:val="tx1"/>
                  </w14:solidFill>
                </w14:textFill>
              </w:rPr>
            </w:pPr>
            <w:r>
              <w:rPr>
                <w:rFonts w:hint="eastAsia" w:ascii="宋体" w:hAnsi="宋体" w:eastAsia="宋体" w:cs="微软雅黑"/>
                <w:color w:val="000000" w:themeColor="text1"/>
                <w:szCs w:val="21"/>
                <w:highlight w:val="none"/>
                <w:lang w:val="en-US" w:eastAsia="zh-CN"/>
                <w14:textFill>
                  <w14:solidFill>
                    <w14:schemeClr w14:val="tx1"/>
                  </w14:solidFill>
                </w14:textFill>
              </w:rPr>
              <w:t>未提供相应内容不得分 。</w:t>
            </w:r>
          </w:p>
        </w:tc>
        <w:tc>
          <w:tcPr>
            <w:tcW w:w="657" w:type="dxa"/>
            <w:tcBorders>
              <w:top w:val="outset" w:color="auto" w:sz="6" w:space="0"/>
              <w:left w:val="single" w:color="auto" w:sz="4" w:space="0"/>
              <w:bottom w:val="outset" w:color="auto" w:sz="6" w:space="0"/>
              <w:right w:val="outset" w:color="auto" w:sz="6" w:space="0"/>
            </w:tcBorders>
            <w:vAlign w:val="center"/>
          </w:tcPr>
          <w:p w14:paraId="46866230">
            <w:pPr>
              <w:spacing w:line="0" w:lineRule="atLeast"/>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lang w:val="en-US" w:eastAsia="zh-CN"/>
                <w14:textFill>
                  <w14:solidFill>
                    <w14:schemeClr w14:val="tx1"/>
                  </w14:solidFill>
                </w14:textFill>
              </w:rPr>
              <w:t>0-</w:t>
            </w:r>
            <w:r>
              <w:rPr>
                <w:rFonts w:hint="eastAsia" w:ascii="宋体" w:hAnsi="宋体" w:cs="微软雅黑"/>
                <w:color w:val="000000" w:themeColor="text1"/>
                <w:szCs w:val="21"/>
                <w:highlight w:val="none"/>
                <w:lang w:val="en-US" w:eastAsia="zh-CN"/>
                <w14:textFill>
                  <w14:solidFill>
                    <w14:schemeClr w14:val="tx1"/>
                  </w14:solidFill>
                </w14:textFill>
              </w:rPr>
              <w:t>9</w:t>
            </w:r>
          </w:p>
        </w:tc>
      </w:tr>
      <w:tr w14:paraId="4F22F58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443" w:hRule="atLeast"/>
        </w:trPr>
        <w:tc>
          <w:tcPr>
            <w:tcW w:w="700" w:type="dxa"/>
            <w:vMerge w:val="continue"/>
            <w:tcBorders>
              <w:left w:val="outset" w:color="auto" w:sz="6" w:space="0"/>
              <w:right w:val="outset" w:color="auto" w:sz="6" w:space="0"/>
            </w:tcBorders>
            <w:vAlign w:val="center"/>
          </w:tcPr>
          <w:p w14:paraId="58DFA42A">
            <w:pPr>
              <w:keepNext w:val="0"/>
              <w:keepLines w:val="0"/>
              <w:pageBreakBefore w:val="0"/>
              <w:widowControl w:val="0"/>
              <w:kinsoku/>
              <w:wordWrap/>
              <w:overflowPunct/>
              <w:topLinePunct w:val="0"/>
              <w:bidi w:val="0"/>
              <w:snapToGrid/>
              <w:spacing w:line="0" w:lineRule="atLeast"/>
              <w:jc w:val="center"/>
              <w:rPr>
                <w:rFonts w:ascii="宋体" w:hAnsi="宋体" w:cs="微软雅黑"/>
                <w:color w:val="auto"/>
                <w:szCs w:val="21"/>
                <w:highlight w:val="none"/>
              </w:rPr>
            </w:pPr>
          </w:p>
        </w:tc>
        <w:tc>
          <w:tcPr>
            <w:tcW w:w="939" w:type="dxa"/>
            <w:vMerge w:val="continue"/>
            <w:tcBorders>
              <w:left w:val="outset" w:color="auto" w:sz="6" w:space="0"/>
              <w:right w:val="outset" w:color="auto" w:sz="6" w:space="0"/>
            </w:tcBorders>
            <w:vAlign w:val="center"/>
          </w:tcPr>
          <w:p w14:paraId="13267105">
            <w:pPr>
              <w:keepNext w:val="0"/>
              <w:keepLines w:val="0"/>
              <w:pageBreakBefore w:val="0"/>
              <w:widowControl w:val="0"/>
              <w:kinsoku/>
              <w:wordWrap/>
              <w:overflowPunct/>
              <w:topLinePunct w:val="0"/>
              <w:bidi w:val="0"/>
              <w:snapToGrid/>
              <w:spacing w:line="0" w:lineRule="atLeast"/>
              <w:jc w:val="center"/>
              <w:rPr>
                <w:rFonts w:ascii="宋体" w:hAnsi="宋体" w:cs="微软雅黑"/>
                <w:color w:val="0000FF"/>
                <w:szCs w:val="21"/>
                <w:highlight w:val="none"/>
              </w:rPr>
            </w:pPr>
          </w:p>
        </w:tc>
        <w:tc>
          <w:tcPr>
            <w:tcW w:w="1737" w:type="dxa"/>
            <w:tcBorders>
              <w:top w:val="outset" w:color="auto" w:sz="6" w:space="0"/>
              <w:left w:val="outset" w:color="auto" w:sz="6" w:space="0"/>
              <w:right w:val="outset" w:color="auto" w:sz="6" w:space="0"/>
            </w:tcBorders>
            <w:vAlign w:val="center"/>
          </w:tcPr>
          <w:p w14:paraId="4F43FD60">
            <w:pPr>
              <w:spacing w:line="0" w:lineRule="atLeast"/>
              <w:rPr>
                <w:rFonts w:hint="eastAsia" w:ascii="宋体" w:hAnsi="宋体" w:eastAsia="宋体" w:cs="微软雅黑"/>
                <w:color w:val="000000" w:themeColor="text1"/>
                <w:szCs w:val="21"/>
                <w:highlight w:val="none"/>
                <w14:textFill>
                  <w14:solidFill>
                    <w14:schemeClr w14:val="tx1"/>
                  </w14:solidFill>
                </w14:textFill>
              </w:rPr>
            </w:pPr>
            <w:r>
              <w:rPr>
                <w:rFonts w:hint="eastAsia" w:ascii="宋体" w:hAnsi="宋体" w:eastAsia="宋体" w:cs="微软雅黑"/>
                <w:color w:val="000000" w:themeColor="text1"/>
                <w:szCs w:val="21"/>
                <w:highlight w:val="none"/>
                <w14:textFill>
                  <w14:solidFill>
                    <w14:schemeClr w14:val="tx1"/>
                  </w14:solidFill>
                </w14:textFill>
              </w:rPr>
              <w:t>售后服务方案</w:t>
            </w:r>
          </w:p>
          <w:p w14:paraId="014C0DDC">
            <w:pPr>
              <w:spacing w:line="0" w:lineRule="atLeast"/>
              <w:rPr>
                <w:rFonts w:hint="eastAsia" w:ascii="宋体" w:hAnsi="宋体" w:eastAsia="宋体" w:cs="微软雅黑"/>
                <w:color w:val="000000" w:themeColor="text1"/>
                <w:szCs w:val="21"/>
                <w:highlight w:val="none"/>
                <w14:textFill>
                  <w14:solidFill>
                    <w14:schemeClr w14:val="tx1"/>
                  </w14:solidFill>
                </w14:textFill>
              </w:rPr>
            </w:pPr>
            <w:r>
              <w:rPr>
                <w:rFonts w:hint="eastAsia" w:ascii="宋体" w:hAnsi="宋体" w:eastAsia="宋体" w:cs="微软雅黑"/>
                <w:color w:val="000000" w:themeColor="text1"/>
                <w:szCs w:val="21"/>
                <w:highlight w:val="none"/>
                <w14:textFill>
                  <w14:solidFill>
                    <w14:schemeClr w14:val="tx1"/>
                  </w14:solidFill>
                </w14:textFill>
              </w:rPr>
              <w:t>（</w:t>
            </w:r>
            <w:r>
              <w:rPr>
                <w:rFonts w:hint="eastAsia" w:ascii="宋体" w:hAnsi="宋体" w:cs="微软雅黑"/>
                <w:color w:val="000000" w:themeColor="text1"/>
                <w:szCs w:val="21"/>
                <w:highlight w:val="none"/>
                <w:lang w:val="en-US" w:eastAsia="zh-CN"/>
                <w14:textFill>
                  <w14:solidFill>
                    <w14:schemeClr w14:val="tx1"/>
                  </w14:solidFill>
                </w14:textFill>
              </w:rPr>
              <w:t>12</w:t>
            </w:r>
            <w:r>
              <w:rPr>
                <w:rFonts w:hint="eastAsia" w:ascii="宋体" w:hAnsi="宋体" w:eastAsia="宋体" w:cs="微软雅黑"/>
                <w:color w:val="000000" w:themeColor="text1"/>
                <w:szCs w:val="21"/>
                <w:highlight w:val="none"/>
                <w14:textFill>
                  <w14:solidFill>
                    <w14:schemeClr w14:val="tx1"/>
                  </w14:solidFill>
                </w14:textFill>
              </w:rPr>
              <w:t>分）</w:t>
            </w:r>
          </w:p>
        </w:tc>
        <w:tc>
          <w:tcPr>
            <w:tcW w:w="5606" w:type="dxa"/>
            <w:tcBorders>
              <w:top w:val="outset" w:color="auto" w:sz="6" w:space="0"/>
              <w:left w:val="outset" w:color="auto" w:sz="6" w:space="0"/>
              <w:bottom w:val="outset" w:color="auto" w:sz="6" w:space="0"/>
              <w:right w:val="single" w:color="auto" w:sz="4" w:space="0"/>
            </w:tcBorders>
            <w:vAlign w:val="center"/>
          </w:tcPr>
          <w:p w14:paraId="74F1B785">
            <w:pPr>
              <w:spacing w:line="0" w:lineRule="atLeast"/>
              <w:rPr>
                <w:rFonts w:hint="eastAsia" w:ascii="宋体" w:hAnsi="宋体" w:eastAsia="宋体" w:cs="微软雅黑"/>
                <w:color w:val="000000" w:themeColor="text1"/>
                <w:szCs w:val="21"/>
                <w:highlight w:val="none"/>
                <w14:textFill>
                  <w14:solidFill>
                    <w14:schemeClr w14:val="tx1"/>
                  </w14:solidFill>
                </w14:textFill>
              </w:rPr>
            </w:pPr>
            <w:r>
              <w:rPr>
                <w:rFonts w:hint="eastAsia" w:ascii="宋体" w:hAnsi="宋体" w:eastAsia="宋体" w:cs="微软雅黑"/>
                <w:color w:val="000000" w:themeColor="text1"/>
                <w:szCs w:val="21"/>
                <w:highlight w:val="none"/>
                <w:lang w:val="zh-CN" w:eastAsia="zh-CN"/>
                <w14:textFill>
                  <w14:solidFill>
                    <w14:schemeClr w14:val="tx1"/>
                  </w14:solidFill>
                </w14:textFill>
              </w:rPr>
              <w:t>供应商提供并承诺专人负责项目售后服务事宜，能够实行“三包”服务（包保质量、包数量、包调换）、内部管理考核、及时解决处理问题、有畅通的沟通交流渠道</w:t>
            </w:r>
            <w:r>
              <w:rPr>
                <w:rFonts w:hint="eastAsia" w:ascii="宋体" w:hAnsi="宋体" w:cs="微软雅黑"/>
                <w:color w:val="000000" w:themeColor="text1"/>
                <w:szCs w:val="21"/>
                <w:highlight w:val="none"/>
                <w:lang w:val="zh-CN" w:eastAsia="zh-CN"/>
                <w14:textFill>
                  <w14:solidFill>
                    <w14:schemeClr w14:val="tx1"/>
                  </w14:solidFill>
                </w14:textFill>
              </w:rPr>
              <w:t>、</w:t>
            </w:r>
            <w:r>
              <w:rPr>
                <w:rFonts w:hint="default" w:ascii="宋体" w:hAnsi="宋体" w:eastAsia="宋体" w:cs="微软雅黑"/>
                <w:color w:val="000000" w:themeColor="text1"/>
                <w:szCs w:val="21"/>
                <w:highlight w:val="none"/>
                <w:lang w:val="en-US" w:eastAsia="zh-CN"/>
                <w14:textFill>
                  <w14:solidFill>
                    <w14:schemeClr w14:val="tx1"/>
                  </w14:solidFill>
                </w14:textFill>
              </w:rPr>
              <w:t>响应机制</w:t>
            </w:r>
            <w:r>
              <w:rPr>
                <w:rFonts w:hint="eastAsia" w:ascii="宋体" w:hAnsi="宋体" w:cs="微软雅黑"/>
                <w:color w:val="000000" w:themeColor="text1"/>
                <w:szCs w:val="21"/>
                <w:highlight w:val="none"/>
                <w:lang w:val="en-US" w:eastAsia="zh-CN"/>
                <w14:textFill>
                  <w14:solidFill>
                    <w14:schemeClr w14:val="tx1"/>
                  </w14:solidFill>
                </w14:textFill>
              </w:rPr>
              <w:t>、</w:t>
            </w:r>
            <w:r>
              <w:rPr>
                <w:rFonts w:hint="default" w:ascii="宋体" w:hAnsi="宋体" w:eastAsia="宋体" w:cs="微软雅黑"/>
                <w:color w:val="000000" w:themeColor="text1"/>
                <w:szCs w:val="21"/>
                <w:highlight w:val="none"/>
                <w:lang w:val="en-US" w:eastAsia="zh-CN"/>
                <w14:textFill>
                  <w14:solidFill>
                    <w14:schemeClr w14:val="tx1"/>
                  </w14:solidFill>
                </w14:textFill>
              </w:rPr>
              <w:t>售后服务流程</w:t>
            </w:r>
            <w:r>
              <w:rPr>
                <w:rFonts w:hint="eastAsia" w:ascii="宋体" w:hAnsi="宋体" w:eastAsia="宋体" w:cs="微软雅黑"/>
                <w:color w:val="000000" w:themeColor="text1"/>
                <w:szCs w:val="21"/>
                <w:highlight w:val="none"/>
                <w:lang w:val="zh-CN" w:eastAsia="zh-CN"/>
                <w14:textFill>
                  <w14:solidFill>
                    <w14:schemeClr w14:val="tx1"/>
                  </w14:solidFill>
                </w14:textFill>
              </w:rPr>
              <w:t>。每具备1条完整无缺失的</w:t>
            </w:r>
            <w:r>
              <w:rPr>
                <w:rFonts w:hint="eastAsia" w:ascii="宋体" w:hAnsi="宋体" w:cs="微软雅黑"/>
                <w:color w:val="000000" w:themeColor="text1"/>
                <w:szCs w:val="21"/>
                <w:highlight w:val="none"/>
                <w:lang w:val="en-US" w:eastAsia="zh-CN"/>
                <w14:textFill>
                  <w14:solidFill>
                    <w14:schemeClr w14:val="tx1"/>
                  </w14:solidFill>
                </w14:textFill>
              </w:rPr>
              <w:t>方案</w:t>
            </w:r>
            <w:r>
              <w:rPr>
                <w:rFonts w:hint="eastAsia" w:ascii="宋体" w:hAnsi="宋体" w:eastAsia="宋体" w:cs="微软雅黑"/>
                <w:color w:val="000000" w:themeColor="text1"/>
                <w:szCs w:val="21"/>
                <w:highlight w:val="none"/>
                <w:lang w:val="zh-CN" w:eastAsia="zh-CN"/>
                <w14:textFill>
                  <w14:solidFill>
                    <w14:schemeClr w14:val="tx1"/>
                  </w14:solidFill>
                </w14:textFill>
              </w:rPr>
              <w:t>案得2分，有缺项漏项的得</w:t>
            </w:r>
            <w:r>
              <w:rPr>
                <w:rFonts w:hint="eastAsia" w:ascii="宋体" w:hAnsi="宋体" w:cs="微软雅黑"/>
                <w:color w:val="000000" w:themeColor="text1"/>
                <w:szCs w:val="21"/>
                <w:highlight w:val="none"/>
                <w:lang w:val="en-US" w:eastAsia="zh-CN"/>
                <w14:textFill>
                  <w14:solidFill>
                    <w14:schemeClr w14:val="tx1"/>
                  </w14:solidFill>
                </w14:textFill>
              </w:rPr>
              <w:t>1</w:t>
            </w:r>
            <w:r>
              <w:rPr>
                <w:rFonts w:hint="eastAsia" w:ascii="宋体" w:hAnsi="宋体" w:eastAsia="宋体" w:cs="微软雅黑"/>
                <w:color w:val="000000" w:themeColor="text1"/>
                <w:szCs w:val="21"/>
                <w:highlight w:val="none"/>
                <w:lang w:val="zh-CN" w:eastAsia="zh-CN"/>
                <w14:textFill>
                  <w14:solidFill>
                    <w14:schemeClr w14:val="tx1"/>
                  </w14:solidFill>
                </w14:textFill>
              </w:rPr>
              <w:t>分。最多得</w:t>
            </w:r>
            <w:r>
              <w:rPr>
                <w:rFonts w:hint="eastAsia" w:ascii="宋体" w:hAnsi="宋体" w:cs="微软雅黑"/>
                <w:color w:val="000000" w:themeColor="text1"/>
                <w:szCs w:val="21"/>
                <w:highlight w:val="none"/>
                <w:lang w:val="en-US" w:eastAsia="zh-CN"/>
                <w14:textFill>
                  <w14:solidFill>
                    <w14:schemeClr w14:val="tx1"/>
                  </w14:solidFill>
                </w14:textFill>
              </w:rPr>
              <w:t>12</w:t>
            </w:r>
            <w:r>
              <w:rPr>
                <w:rFonts w:hint="eastAsia" w:ascii="宋体" w:hAnsi="宋体" w:eastAsia="宋体" w:cs="微软雅黑"/>
                <w:color w:val="000000" w:themeColor="text1"/>
                <w:szCs w:val="21"/>
                <w:highlight w:val="none"/>
                <w:lang w:val="zh-CN" w:eastAsia="zh-CN"/>
                <w14:textFill>
                  <w14:solidFill>
                    <w14:schemeClr w14:val="tx1"/>
                  </w14:solidFill>
                </w14:textFill>
              </w:rPr>
              <w:t>分，无不得分。（缺失是指：不符合实际，存在偏离内容、内容前后不一致、文不对题、前后逻辑错误、内容缺失有瑕疵、无具体流程细节描述之处）</w:t>
            </w:r>
          </w:p>
        </w:tc>
        <w:tc>
          <w:tcPr>
            <w:tcW w:w="657" w:type="dxa"/>
            <w:tcBorders>
              <w:top w:val="outset" w:color="auto" w:sz="6" w:space="0"/>
              <w:left w:val="single" w:color="auto" w:sz="4" w:space="0"/>
              <w:bottom w:val="outset" w:color="auto" w:sz="6" w:space="0"/>
              <w:right w:val="outset" w:color="auto" w:sz="6" w:space="0"/>
            </w:tcBorders>
            <w:vAlign w:val="center"/>
          </w:tcPr>
          <w:p w14:paraId="3CCC0508">
            <w:pPr>
              <w:spacing w:line="0" w:lineRule="atLeast"/>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14:textFill>
                  <w14:solidFill>
                    <w14:schemeClr w14:val="tx1"/>
                  </w14:solidFill>
                </w14:textFill>
              </w:rPr>
              <w:t>0-</w:t>
            </w:r>
            <w:r>
              <w:rPr>
                <w:rFonts w:hint="eastAsia" w:ascii="宋体" w:hAnsi="宋体" w:cs="微软雅黑"/>
                <w:color w:val="000000" w:themeColor="text1"/>
                <w:szCs w:val="21"/>
                <w:highlight w:val="none"/>
                <w:lang w:val="en-US" w:eastAsia="zh-CN"/>
                <w14:textFill>
                  <w14:solidFill>
                    <w14:schemeClr w14:val="tx1"/>
                  </w14:solidFill>
                </w14:textFill>
              </w:rPr>
              <w:t>12</w:t>
            </w:r>
          </w:p>
        </w:tc>
      </w:tr>
      <w:tr w14:paraId="3A08B75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443" w:hRule="atLeast"/>
        </w:trPr>
        <w:tc>
          <w:tcPr>
            <w:tcW w:w="700" w:type="dxa"/>
            <w:vMerge w:val="continue"/>
            <w:tcBorders>
              <w:left w:val="outset" w:color="auto" w:sz="6" w:space="0"/>
              <w:right w:val="outset" w:color="auto" w:sz="6" w:space="0"/>
            </w:tcBorders>
            <w:vAlign w:val="center"/>
          </w:tcPr>
          <w:p w14:paraId="3C37708E">
            <w:pPr>
              <w:keepNext w:val="0"/>
              <w:keepLines w:val="0"/>
              <w:pageBreakBefore w:val="0"/>
              <w:widowControl w:val="0"/>
              <w:kinsoku/>
              <w:wordWrap/>
              <w:overflowPunct/>
              <w:topLinePunct w:val="0"/>
              <w:bidi w:val="0"/>
              <w:snapToGrid/>
              <w:spacing w:line="0" w:lineRule="atLeast"/>
              <w:jc w:val="center"/>
              <w:rPr>
                <w:rFonts w:ascii="宋体" w:hAnsi="宋体" w:cs="微软雅黑"/>
                <w:color w:val="auto"/>
                <w:szCs w:val="21"/>
                <w:highlight w:val="none"/>
              </w:rPr>
            </w:pPr>
          </w:p>
        </w:tc>
        <w:tc>
          <w:tcPr>
            <w:tcW w:w="939" w:type="dxa"/>
            <w:vMerge w:val="continue"/>
            <w:tcBorders>
              <w:left w:val="outset" w:color="auto" w:sz="6" w:space="0"/>
              <w:right w:val="outset" w:color="auto" w:sz="6" w:space="0"/>
            </w:tcBorders>
            <w:vAlign w:val="center"/>
          </w:tcPr>
          <w:p w14:paraId="1ABB34B5">
            <w:pPr>
              <w:keepNext w:val="0"/>
              <w:keepLines w:val="0"/>
              <w:pageBreakBefore w:val="0"/>
              <w:widowControl w:val="0"/>
              <w:kinsoku/>
              <w:wordWrap/>
              <w:overflowPunct/>
              <w:topLinePunct w:val="0"/>
              <w:bidi w:val="0"/>
              <w:snapToGrid/>
              <w:spacing w:line="0" w:lineRule="atLeast"/>
              <w:jc w:val="center"/>
              <w:rPr>
                <w:rFonts w:ascii="宋体" w:hAnsi="宋体" w:cs="微软雅黑"/>
                <w:color w:val="auto"/>
                <w:szCs w:val="21"/>
                <w:highlight w:val="none"/>
              </w:rPr>
            </w:pPr>
          </w:p>
        </w:tc>
        <w:tc>
          <w:tcPr>
            <w:tcW w:w="1737" w:type="dxa"/>
            <w:tcBorders>
              <w:top w:val="outset" w:color="auto" w:sz="6" w:space="0"/>
              <w:left w:val="outset" w:color="auto" w:sz="6" w:space="0"/>
              <w:right w:val="outset" w:color="auto" w:sz="6" w:space="0"/>
            </w:tcBorders>
            <w:vAlign w:val="center"/>
          </w:tcPr>
          <w:p w14:paraId="051176CB">
            <w:pPr>
              <w:spacing w:line="0" w:lineRule="atLeast"/>
              <w:rPr>
                <w:rFonts w:hint="eastAsia" w:ascii="宋体" w:hAnsi="宋体" w:eastAsia="宋体" w:cs="微软雅黑"/>
                <w:color w:val="auto"/>
                <w:szCs w:val="21"/>
                <w:highlight w:val="none"/>
                <w:lang w:val="en-US" w:eastAsia="zh-CN"/>
              </w:rPr>
            </w:pPr>
            <w:r>
              <w:rPr>
                <w:rFonts w:hint="eastAsia" w:ascii="宋体" w:hAnsi="宋体" w:eastAsia="宋体" w:cs="微软雅黑"/>
                <w:color w:val="auto"/>
                <w:szCs w:val="21"/>
                <w:highlight w:val="none"/>
                <w:lang w:val="en-US" w:eastAsia="zh-CN"/>
              </w:rPr>
              <w:t>应急处置预案</w:t>
            </w:r>
          </w:p>
          <w:p w14:paraId="26A7B628">
            <w:pPr>
              <w:spacing w:line="0" w:lineRule="atLeast"/>
              <w:rPr>
                <w:rFonts w:hint="eastAsia" w:ascii="宋体" w:hAnsi="宋体" w:eastAsia="宋体" w:cs="微软雅黑"/>
                <w:color w:val="auto"/>
                <w:szCs w:val="21"/>
                <w:highlight w:val="none"/>
              </w:rPr>
            </w:pPr>
            <w:r>
              <w:rPr>
                <w:rFonts w:hint="eastAsia" w:ascii="宋体" w:hAnsi="宋体" w:eastAsia="宋体" w:cs="微软雅黑"/>
                <w:color w:val="auto"/>
                <w:szCs w:val="21"/>
                <w:highlight w:val="none"/>
                <w:lang w:eastAsia="zh-CN"/>
              </w:rPr>
              <w:t>（</w:t>
            </w:r>
            <w:r>
              <w:rPr>
                <w:rFonts w:hint="eastAsia" w:ascii="宋体" w:hAnsi="宋体" w:eastAsia="宋体" w:cs="微软雅黑"/>
                <w:color w:val="auto"/>
                <w:szCs w:val="21"/>
                <w:highlight w:val="none"/>
                <w:lang w:val="en-US" w:eastAsia="zh-CN"/>
              </w:rPr>
              <w:t>10</w:t>
            </w:r>
            <w:r>
              <w:rPr>
                <w:rFonts w:hint="eastAsia" w:ascii="宋体" w:hAnsi="宋体" w:eastAsia="宋体" w:cs="微软雅黑"/>
                <w:color w:val="auto"/>
                <w:szCs w:val="21"/>
                <w:highlight w:val="none"/>
                <w:lang w:eastAsia="zh-CN"/>
              </w:rPr>
              <w:t>分）</w:t>
            </w:r>
          </w:p>
        </w:tc>
        <w:tc>
          <w:tcPr>
            <w:tcW w:w="5606" w:type="dxa"/>
            <w:tcBorders>
              <w:top w:val="outset" w:color="auto" w:sz="6" w:space="0"/>
              <w:left w:val="outset" w:color="auto" w:sz="6" w:space="0"/>
              <w:bottom w:val="outset" w:color="auto" w:sz="6" w:space="0"/>
              <w:right w:val="single" w:color="auto" w:sz="4" w:space="0"/>
            </w:tcBorders>
            <w:vAlign w:val="center"/>
          </w:tcPr>
          <w:p w14:paraId="209300C1">
            <w:pPr>
              <w:spacing w:line="0" w:lineRule="atLeast"/>
              <w:rPr>
                <w:rFonts w:hint="eastAsia" w:ascii="宋体" w:hAnsi="宋体" w:eastAsia="宋体" w:cs="微软雅黑"/>
                <w:color w:val="auto"/>
                <w:szCs w:val="21"/>
                <w:highlight w:val="none"/>
                <w:lang w:val="zh-CN" w:eastAsia="zh-CN"/>
              </w:rPr>
            </w:pPr>
            <w:r>
              <w:rPr>
                <w:rFonts w:hint="eastAsia" w:ascii="宋体" w:hAnsi="宋体" w:eastAsia="宋体" w:cs="微软雅黑"/>
                <w:color w:val="auto"/>
                <w:szCs w:val="21"/>
                <w:highlight w:val="none"/>
                <w:lang w:val="zh-CN" w:eastAsia="zh-CN"/>
              </w:rPr>
              <w:t>供应商应针对5种以上可能发生的紧急情况制定应急处置预案（包含但不仅限于情况预想、紧急情况报告手段、应急响应时间、相应的应对措施），每具备1条完整且无缺失的</w:t>
            </w:r>
            <w:r>
              <w:rPr>
                <w:rFonts w:hint="eastAsia" w:ascii="宋体" w:hAnsi="宋体" w:eastAsia="宋体" w:cs="微软雅黑"/>
                <w:color w:val="auto"/>
                <w:szCs w:val="21"/>
                <w:highlight w:val="none"/>
                <w:lang w:val="en-US" w:eastAsia="zh-CN"/>
              </w:rPr>
              <w:t>预案</w:t>
            </w:r>
            <w:r>
              <w:rPr>
                <w:rFonts w:hint="eastAsia" w:ascii="宋体" w:hAnsi="宋体" w:eastAsia="宋体" w:cs="微软雅黑"/>
                <w:color w:val="auto"/>
                <w:szCs w:val="21"/>
                <w:highlight w:val="none"/>
                <w:lang w:val="zh-CN" w:eastAsia="zh-CN"/>
              </w:rPr>
              <w:t>得2分，有缺项漏项的得</w:t>
            </w:r>
            <w:r>
              <w:rPr>
                <w:rFonts w:hint="eastAsia" w:ascii="宋体" w:hAnsi="宋体" w:cs="微软雅黑"/>
                <w:color w:val="auto"/>
                <w:szCs w:val="21"/>
                <w:highlight w:val="none"/>
                <w:lang w:val="en-US" w:eastAsia="zh-CN"/>
              </w:rPr>
              <w:t>1</w:t>
            </w:r>
            <w:r>
              <w:rPr>
                <w:rFonts w:hint="eastAsia" w:ascii="宋体" w:hAnsi="宋体" w:eastAsia="宋体" w:cs="微软雅黑"/>
                <w:color w:val="auto"/>
                <w:szCs w:val="21"/>
                <w:highlight w:val="none"/>
                <w:lang w:val="zh-CN" w:eastAsia="zh-CN"/>
              </w:rPr>
              <w:t>分。最多得10分，无不得分。（缺失是指：不符合实际，存在偏离内容、内容前后不一致、文不对题、前后逻辑错误、内容缺失有瑕疵、无具体流程细节描述之处）</w:t>
            </w:r>
          </w:p>
        </w:tc>
        <w:tc>
          <w:tcPr>
            <w:tcW w:w="657" w:type="dxa"/>
            <w:tcBorders>
              <w:top w:val="outset" w:color="auto" w:sz="6" w:space="0"/>
              <w:left w:val="single" w:color="auto" w:sz="4" w:space="0"/>
              <w:bottom w:val="outset" w:color="auto" w:sz="6" w:space="0"/>
              <w:right w:val="outset" w:color="auto" w:sz="6" w:space="0"/>
            </w:tcBorders>
            <w:vAlign w:val="center"/>
          </w:tcPr>
          <w:p w14:paraId="5E657DD3">
            <w:pPr>
              <w:spacing w:line="0" w:lineRule="atLeast"/>
              <w:rPr>
                <w:rFonts w:hint="default" w:ascii="宋体" w:hAnsi="宋体" w:eastAsia="宋体" w:cs="微软雅黑"/>
                <w:color w:val="auto"/>
                <w:szCs w:val="21"/>
                <w:highlight w:val="none"/>
                <w:lang w:val="en-US" w:eastAsia="zh-CN"/>
              </w:rPr>
            </w:pPr>
            <w:r>
              <w:rPr>
                <w:rFonts w:hint="eastAsia" w:ascii="宋体" w:hAnsi="宋体" w:eastAsia="宋体" w:cs="微软雅黑"/>
                <w:color w:val="auto"/>
                <w:szCs w:val="21"/>
                <w:highlight w:val="none"/>
                <w:lang w:val="en-US" w:eastAsia="zh-CN"/>
              </w:rPr>
              <w:t>0-10</w:t>
            </w:r>
          </w:p>
        </w:tc>
      </w:tr>
      <w:tr w14:paraId="417630A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443" w:hRule="atLeast"/>
        </w:trPr>
        <w:tc>
          <w:tcPr>
            <w:tcW w:w="700" w:type="dxa"/>
            <w:vMerge w:val="continue"/>
            <w:tcBorders>
              <w:left w:val="outset" w:color="auto" w:sz="6" w:space="0"/>
              <w:right w:val="outset" w:color="auto" w:sz="6" w:space="0"/>
            </w:tcBorders>
            <w:vAlign w:val="center"/>
          </w:tcPr>
          <w:p w14:paraId="1D551F49">
            <w:pPr>
              <w:keepNext w:val="0"/>
              <w:keepLines w:val="0"/>
              <w:pageBreakBefore w:val="0"/>
              <w:widowControl w:val="0"/>
              <w:kinsoku/>
              <w:wordWrap/>
              <w:overflowPunct/>
              <w:topLinePunct w:val="0"/>
              <w:bidi w:val="0"/>
              <w:snapToGrid/>
              <w:spacing w:line="0" w:lineRule="atLeast"/>
              <w:jc w:val="center"/>
              <w:rPr>
                <w:rFonts w:ascii="宋体" w:hAnsi="宋体" w:cs="微软雅黑"/>
                <w:color w:val="auto"/>
                <w:szCs w:val="21"/>
                <w:highlight w:val="none"/>
              </w:rPr>
            </w:pPr>
          </w:p>
        </w:tc>
        <w:tc>
          <w:tcPr>
            <w:tcW w:w="939" w:type="dxa"/>
            <w:vMerge w:val="continue"/>
            <w:tcBorders>
              <w:left w:val="outset" w:color="auto" w:sz="6" w:space="0"/>
              <w:right w:val="outset" w:color="auto" w:sz="6" w:space="0"/>
            </w:tcBorders>
            <w:vAlign w:val="center"/>
          </w:tcPr>
          <w:p w14:paraId="75A9049D">
            <w:pPr>
              <w:keepNext w:val="0"/>
              <w:keepLines w:val="0"/>
              <w:pageBreakBefore w:val="0"/>
              <w:widowControl w:val="0"/>
              <w:kinsoku/>
              <w:wordWrap/>
              <w:overflowPunct/>
              <w:topLinePunct w:val="0"/>
              <w:bidi w:val="0"/>
              <w:snapToGrid/>
              <w:spacing w:line="0" w:lineRule="atLeast"/>
              <w:jc w:val="center"/>
              <w:rPr>
                <w:rFonts w:ascii="宋体" w:hAnsi="宋体" w:cs="微软雅黑"/>
                <w:color w:val="auto"/>
                <w:szCs w:val="21"/>
                <w:highlight w:val="none"/>
              </w:rPr>
            </w:pPr>
          </w:p>
        </w:tc>
        <w:tc>
          <w:tcPr>
            <w:tcW w:w="1737" w:type="dxa"/>
            <w:tcBorders>
              <w:top w:val="outset" w:color="auto" w:sz="6" w:space="0"/>
              <w:left w:val="outset" w:color="auto" w:sz="6" w:space="0"/>
              <w:right w:val="outset" w:color="auto" w:sz="6" w:space="0"/>
            </w:tcBorders>
            <w:vAlign w:val="center"/>
          </w:tcPr>
          <w:p w14:paraId="333E3D60">
            <w:pPr>
              <w:spacing w:line="0" w:lineRule="atLeast"/>
              <w:rPr>
                <w:rFonts w:hint="eastAsia" w:ascii="宋体" w:hAnsi="宋体" w:eastAsia="宋体" w:cs="微软雅黑"/>
                <w:color w:val="auto"/>
                <w:szCs w:val="21"/>
                <w:highlight w:val="none"/>
                <w:lang w:val="en-US" w:eastAsia="zh-CN"/>
              </w:rPr>
            </w:pPr>
            <w:r>
              <w:rPr>
                <w:rFonts w:hint="eastAsia" w:ascii="宋体" w:hAnsi="宋体" w:eastAsia="宋体" w:cs="微软雅黑"/>
                <w:color w:val="auto"/>
                <w:szCs w:val="21"/>
                <w:highlight w:val="none"/>
              </w:rPr>
              <w:t>调试使用方案</w:t>
            </w:r>
            <w:r>
              <w:rPr>
                <w:rFonts w:hint="eastAsia" w:ascii="宋体" w:hAnsi="宋体" w:eastAsia="宋体" w:cs="微软雅黑"/>
                <w:color w:val="auto"/>
                <w:szCs w:val="21"/>
                <w:highlight w:val="none"/>
                <w:lang w:eastAsia="zh-CN"/>
              </w:rPr>
              <w:t>（</w:t>
            </w:r>
            <w:r>
              <w:rPr>
                <w:rFonts w:hint="eastAsia" w:ascii="宋体" w:hAnsi="宋体" w:cs="微软雅黑"/>
                <w:color w:val="auto"/>
                <w:szCs w:val="21"/>
                <w:highlight w:val="none"/>
                <w:lang w:val="en-US" w:eastAsia="zh-CN"/>
              </w:rPr>
              <w:t>12</w:t>
            </w:r>
            <w:r>
              <w:rPr>
                <w:rFonts w:hint="eastAsia" w:ascii="宋体" w:hAnsi="宋体" w:eastAsia="宋体" w:cs="微软雅黑"/>
                <w:color w:val="auto"/>
                <w:szCs w:val="21"/>
                <w:highlight w:val="none"/>
                <w:lang w:val="en-US" w:eastAsia="zh-CN"/>
              </w:rPr>
              <w:t>分</w:t>
            </w:r>
            <w:r>
              <w:rPr>
                <w:rFonts w:hint="eastAsia" w:ascii="宋体" w:hAnsi="宋体" w:eastAsia="宋体" w:cs="微软雅黑"/>
                <w:color w:val="auto"/>
                <w:szCs w:val="21"/>
                <w:highlight w:val="none"/>
                <w:lang w:eastAsia="zh-CN"/>
              </w:rPr>
              <w:t>）</w:t>
            </w:r>
          </w:p>
        </w:tc>
        <w:tc>
          <w:tcPr>
            <w:tcW w:w="5606" w:type="dxa"/>
            <w:tcBorders>
              <w:top w:val="outset" w:color="auto" w:sz="6" w:space="0"/>
              <w:left w:val="outset" w:color="auto" w:sz="6" w:space="0"/>
              <w:bottom w:val="outset" w:color="auto" w:sz="6" w:space="0"/>
              <w:right w:val="single" w:color="auto" w:sz="4" w:space="0"/>
            </w:tcBorders>
            <w:vAlign w:val="center"/>
          </w:tcPr>
          <w:p w14:paraId="24577884">
            <w:pPr>
              <w:spacing w:line="0" w:lineRule="atLeast"/>
              <w:rPr>
                <w:rFonts w:hint="eastAsia" w:ascii="宋体" w:hAnsi="宋体" w:eastAsia="宋体" w:cs="微软雅黑"/>
                <w:color w:val="auto"/>
                <w:szCs w:val="21"/>
                <w:highlight w:val="none"/>
              </w:rPr>
            </w:pPr>
            <w:r>
              <w:rPr>
                <w:rFonts w:hint="eastAsia" w:ascii="宋体" w:hAnsi="宋体" w:eastAsia="宋体" w:cs="微软雅黑"/>
                <w:color w:val="auto"/>
                <w:szCs w:val="21"/>
                <w:highlight w:val="none"/>
              </w:rPr>
              <w:t>针对本项目提供调试使用方案包含：</w:t>
            </w:r>
          </w:p>
          <w:p w14:paraId="4AB15F75">
            <w:pPr>
              <w:spacing w:line="0" w:lineRule="atLeast"/>
              <w:rPr>
                <w:rFonts w:hint="eastAsia" w:ascii="宋体" w:hAnsi="宋体" w:eastAsia="宋体" w:cs="微软雅黑"/>
                <w:color w:val="auto"/>
                <w:szCs w:val="21"/>
                <w:highlight w:val="none"/>
                <w:lang w:val="en-US" w:eastAsia="zh-CN"/>
              </w:rPr>
            </w:pPr>
            <w:r>
              <w:rPr>
                <w:rFonts w:hint="eastAsia" w:ascii="宋体" w:hAnsi="宋体" w:eastAsia="宋体" w:cs="微软雅黑"/>
                <w:color w:val="auto"/>
                <w:szCs w:val="21"/>
                <w:highlight w:val="none"/>
                <w:lang w:val="en-US" w:eastAsia="zh-CN"/>
              </w:rPr>
              <w:t>1.</w:t>
            </w:r>
            <w:r>
              <w:rPr>
                <w:rFonts w:hint="eastAsia" w:ascii="宋体" w:hAnsi="宋体" w:eastAsia="宋体" w:cs="微软雅黑"/>
                <w:color w:val="auto"/>
                <w:szCs w:val="21"/>
                <w:highlight w:val="none"/>
              </w:rPr>
              <w:t>验收方案；</w:t>
            </w:r>
          </w:p>
          <w:p w14:paraId="0E90E40E">
            <w:pPr>
              <w:spacing w:line="0" w:lineRule="atLeast"/>
              <w:rPr>
                <w:rFonts w:hint="eastAsia" w:ascii="宋体" w:hAnsi="宋体" w:eastAsia="宋体" w:cs="微软雅黑"/>
                <w:color w:val="auto"/>
                <w:szCs w:val="21"/>
                <w:highlight w:val="none"/>
                <w:lang w:val="en-US" w:eastAsia="zh-CN"/>
              </w:rPr>
            </w:pPr>
            <w:r>
              <w:rPr>
                <w:rFonts w:hint="eastAsia" w:ascii="宋体" w:hAnsi="宋体" w:eastAsia="宋体" w:cs="微软雅黑"/>
                <w:color w:val="auto"/>
                <w:szCs w:val="21"/>
                <w:highlight w:val="none"/>
                <w:lang w:val="en-US" w:eastAsia="zh-CN"/>
              </w:rPr>
              <w:t>2.产品使用方案；</w:t>
            </w:r>
          </w:p>
          <w:p w14:paraId="19F2BFDA">
            <w:pPr>
              <w:spacing w:line="0" w:lineRule="atLeast"/>
              <w:rPr>
                <w:rFonts w:hint="eastAsia" w:ascii="宋体" w:hAnsi="宋体" w:eastAsia="宋体" w:cs="微软雅黑"/>
                <w:color w:val="auto"/>
                <w:szCs w:val="21"/>
                <w:highlight w:val="none"/>
                <w:lang w:val="en-US" w:eastAsia="zh-CN"/>
              </w:rPr>
            </w:pPr>
            <w:r>
              <w:rPr>
                <w:rFonts w:hint="eastAsia" w:ascii="宋体" w:hAnsi="宋体" w:eastAsia="宋体" w:cs="微软雅黑"/>
                <w:color w:val="auto"/>
                <w:szCs w:val="21"/>
                <w:highlight w:val="none"/>
                <w:lang w:val="en-US" w:eastAsia="zh-CN"/>
              </w:rPr>
              <w:t>3.设备试运转方案；</w:t>
            </w:r>
          </w:p>
          <w:p w14:paraId="2EBDE2B6">
            <w:pPr>
              <w:spacing w:line="0" w:lineRule="atLeast"/>
              <w:rPr>
                <w:rFonts w:hint="default" w:ascii="宋体" w:hAnsi="宋体" w:eastAsia="宋体" w:cs="微软雅黑"/>
                <w:color w:val="auto"/>
                <w:szCs w:val="21"/>
                <w:highlight w:val="none"/>
                <w:lang w:val="en-US" w:eastAsia="zh-CN"/>
              </w:rPr>
            </w:pPr>
            <w:r>
              <w:rPr>
                <w:rFonts w:hint="eastAsia" w:ascii="宋体" w:hAnsi="宋体" w:cs="微软雅黑"/>
                <w:color w:val="auto"/>
                <w:szCs w:val="21"/>
                <w:highlight w:val="none"/>
                <w:lang w:val="en-US" w:eastAsia="zh-CN"/>
              </w:rPr>
              <w:t>4.</w:t>
            </w:r>
            <w:r>
              <w:rPr>
                <w:rFonts w:hint="eastAsia" w:ascii="宋体" w:hAnsi="宋体" w:eastAsia="宋体" w:cs="微软雅黑"/>
                <w:color w:val="auto"/>
                <w:szCs w:val="21"/>
                <w:highlight w:val="none"/>
              </w:rPr>
              <w:t>调试</w:t>
            </w:r>
            <w:r>
              <w:rPr>
                <w:rFonts w:hint="eastAsia" w:ascii="宋体" w:hAnsi="宋体" w:cs="微软雅黑"/>
                <w:color w:val="auto"/>
                <w:szCs w:val="21"/>
                <w:highlight w:val="none"/>
                <w:lang w:val="en-US" w:eastAsia="zh-CN"/>
              </w:rPr>
              <w:t>人员的安排</w:t>
            </w:r>
          </w:p>
          <w:p w14:paraId="55C668AE">
            <w:pPr>
              <w:spacing w:line="0" w:lineRule="atLeast"/>
              <w:rPr>
                <w:rFonts w:hint="eastAsia" w:ascii="宋体" w:hAnsi="宋体" w:eastAsia="宋体" w:cs="微软雅黑"/>
                <w:color w:val="auto"/>
                <w:szCs w:val="21"/>
                <w:highlight w:val="none"/>
              </w:rPr>
            </w:pPr>
            <w:r>
              <w:rPr>
                <w:rFonts w:hint="eastAsia" w:ascii="宋体" w:hAnsi="宋体" w:eastAsia="宋体" w:cs="微软雅黑"/>
                <w:color w:val="auto"/>
                <w:szCs w:val="21"/>
                <w:highlight w:val="none"/>
              </w:rPr>
              <w:t>以上</w:t>
            </w:r>
            <w:r>
              <w:rPr>
                <w:rFonts w:hint="eastAsia" w:ascii="宋体" w:hAnsi="宋体" w:cs="微软雅黑"/>
                <w:color w:val="auto"/>
                <w:szCs w:val="21"/>
                <w:highlight w:val="none"/>
                <w:lang w:val="en-US" w:eastAsia="zh-CN"/>
              </w:rPr>
              <w:t>四</w:t>
            </w:r>
            <w:r>
              <w:rPr>
                <w:rFonts w:hint="eastAsia" w:ascii="宋体" w:hAnsi="宋体" w:eastAsia="宋体" w:cs="微软雅黑"/>
                <w:color w:val="auto"/>
                <w:szCs w:val="21"/>
                <w:highlight w:val="none"/>
              </w:rPr>
              <w:t>项内容每提供一小项内容适用于项目且无缺失的方案得</w:t>
            </w:r>
            <w:r>
              <w:rPr>
                <w:rFonts w:hint="eastAsia" w:ascii="宋体" w:hAnsi="宋体" w:cs="微软雅黑"/>
                <w:color w:val="auto"/>
                <w:szCs w:val="21"/>
                <w:highlight w:val="none"/>
                <w:lang w:val="en-US" w:eastAsia="zh-CN"/>
              </w:rPr>
              <w:t>3</w:t>
            </w:r>
            <w:r>
              <w:rPr>
                <w:rFonts w:hint="eastAsia" w:ascii="宋体" w:hAnsi="宋体" w:eastAsia="宋体" w:cs="微软雅黑"/>
                <w:color w:val="auto"/>
                <w:szCs w:val="21"/>
                <w:highlight w:val="none"/>
              </w:rPr>
              <w:t>分，方案有缺失的得1分，满分</w:t>
            </w:r>
            <w:r>
              <w:rPr>
                <w:rFonts w:hint="eastAsia" w:ascii="宋体" w:hAnsi="宋体" w:cs="微软雅黑"/>
                <w:color w:val="auto"/>
                <w:szCs w:val="21"/>
                <w:highlight w:val="none"/>
                <w:lang w:val="en-US" w:eastAsia="zh-CN"/>
              </w:rPr>
              <w:t>12</w:t>
            </w:r>
            <w:r>
              <w:rPr>
                <w:rFonts w:hint="eastAsia" w:ascii="宋体" w:hAnsi="宋体" w:eastAsia="宋体" w:cs="微软雅黑"/>
                <w:color w:val="auto"/>
                <w:szCs w:val="21"/>
                <w:highlight w:val="none"/>
              </w:rPr>
              <w:t>分，未提供的得0分。</w:t>
            </w:r>
          </w:p>
          <w:p w14:paraId="0C81AF58">
            <w:pPr>
              <w:spacing w:line="0" w:lineRule="atLeast"/>
              <w:rPr>
                <w:rFonts w:hint="eastAsia" w:ascii="宋体" w:hAnsi="宋体" w:eastAsia="宋体" w:cs="微软雅黑"/>
                <w:color w:val="auto"/>
                <w:szCs w:val="21"/>
                <w:highlight w:val="none"/>
                <w:lang w:val="en-US" w:eastAsia="zh-CN"/>
              </w:rPr>
            </w:pPr>
            <w:r>
              <w:rPr>
                <w:rFonts w:hint="eastAsia" w:ascii="宋体" w:hAnsi="宋体" w:eastAsia="宋体" w:cs="微软雅黑"/>
                <w:color w:val="auto"/>
                <w:szCs w:val="21"/>
                <w:highlight w:val="none"/>
              </w:rPr>
              <w:t>（缺失是指：不符合实际，存在偏离内容、内容前后不一致、文不对题、前后逻辑错误、内容缺失有瑕疵、无具体流程细节描述之处）</w:t>
            </w:r>
          </w:p>
        </w:tc>
        <w:tc>
          <w:tcPr>
            <w:tcW w:w="657" w:type="dxa"/>
            <w:tcBorders>
              <w:top w:val="outset" w:color="auto" w:sz="6" w:space="0"/>
              <w:left w:val="single" w:color="auto" w:sz="4" w:space="0"/>
              <w:bottom w:val="outset" w:color="auto" w:sz="6" w:space="0"/>
              <w:right w:val="outset" w:color="auto" w:sz="6" w:space="0"/>
            </w:tcBorders>
            <w:vAlign w:val="center"/>
          </w:tcPr>
          <w:p w14:paraId="73A3EF00">
            <w:pPr>
              <w:spacing w:line="0" w:lineRule="atLeast"/>
              <w:rPr>
                <w:rFonts w:hint="default" w:ascii="宋体" w:hAnsi="宋体" w:eastAsia="宋体" w:cs="微软雅黑"/>
                <w:color w:val="auto"/>
                <w:szCs w:val="21"/>
                <w:highlight w:val="none"/>
                <w:lang w:val="en-US" w:eastAsia="zh-CN"/>
              </w:rPr>
            </w:pPr>
            <w:r>
              <w:rPr>
                <w:rFonts w:hint="eastAsia" w:ascii="宋体" w:hAnsi="宋体" w:eastAsia="宋体" w:cs="微软雅黑"/>
                <w:color w:val="auto"/>
                <w:szCs w:val="21"/>
                <w:highlight w:val="none"/>
                <w:lang w:val="en-US" w:eastAsia="zh-CN"/>
              </w:rPr>
              <w:t>0-</w:t>
            </w:r>
            <w:r>
              <w:rPr>
                <w:rFonts w:hint="eastAsia" w:ascii="宋体" w:hAnsi="宋体" w:cs="微软雅黑"/>
                <w:color w:val="auto"/>
                <w:szCs w:val="21"/>
                <w:highlight w:val="none"/>
                <w:lang w:val="en-US" w:eastAsia="zh-CN"/>
              </w:rPr>
              <w:t>12</w:t>
            </w:r>
          </w:p>
        </w:tc>
      </w:tr>
    </w:tbl>
    <w:p w14:paraId="0CCC651A">
      <w:pPr>
        <w:spacing w:line="360" w:lineRule="auto"/>
        <w:ind w:firstLine="420" w:firstLineChars="200"/>
        <w:rPr>
          <w:rFonts w:hint="eastAsia" w:ascii="宋体" w:hAnsi="宋体"/>
          <w:color w:val="auto"/>
          <w:szCs w:val="21"/>
          <w:highlight w:val="none"/>
        </w:rPr>
      </w:pPr>
    </w:p>
    <w:p w14:paraId="4C2400F8">
      <w:pPr>
        <w:widowControl/>
        <w:jc w:val="left"/>
        <w:rPr>
          <w:rFonts w:ascii="宋体" w:hAnsi="宋体"/>
          <w:b/>
          <w:bCs/>
          <w:color w:val="auto"/>
          <w:sz w:val="32"/>
          <w:szCs w:val="32"/>
          <w:highlight w:val="none"/>
        </w:rPr>
      </w:pPr>
      <w:r>
        <w:rPr>
          <w:rFonts w:ascii="宋体" w:hAnsi="宋体"/>
          <w:b/>
          <w:bCs/>
          <w:color w:val="auto"/>
          <w:sz w:val="32"/>
          <w:szCs w:val="32"/>
          <w:highlight w:val="none"/>
        </w:rPr>
        <w:br w:type="page"/>
      </w:r>
    </w:p>
    <w:p w14:paraId="64C7E8D5">
      <w:pPr>
        <w:pStyle w:val="5"/>
        <w:rPr>
          <w:rFonts w:ascii="宋体" w:hAnsi="宋体"/>
          <w:color w:val="auto"/>
          <w:highlight w:val="none"/>
        </w:rPr>
      </w:pPr>
      <w:r>
        <w:rPr>
          <w:rFonts w:hint="eastAsia" w:ascii="宋体" w:hAnsi="宋体"/>
          <w:color w:val="auto"/>
          <w:highlight w:val="none"/>
        </w:rPr>
        <w:t>1</w:t>
      </w:r>
      <w:r>
        <w:rPr>
          <w:rFonts w:hint="eastAsia" w:ascii="宋体" w:hAnsi="宋体"/>
          <w:color w:val="auto"/>
          <w:highlight w:val="none"/>
          <w:lang w:eastAsia="zh-CN"/>
        </w:rPr>
        <w:t>.</w:t>
      </w:r>
      <w:r>
        <w:rPr>
          <w:rFonts w:hint="eastAsia" w:ascii="宋体" w:hAnsi="宋体"/>
          <w:color w:val="auto"/>
          <w:highlight w:val="none"/>
        </w:rPr>
        <w:t>评审方法</w:t>
      </w:r>
      <w:bookmarkEnd w:id="15"/>
    </w:p>
    <w:p w14:paraId="2810E26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本次评审办法采用综合评分法。磋商小组对满足磋商文件实质性要求的响应文件，按照本章第2.2 款规定的评分标准进行打分，并按得分由高到低顺序推荐成交候选人，或根据采购人授权直接确定中标成交单位，但磋商报价低于其成本的除外。评审得分相同的，按照最后报价由低到高的顺序推荐。评审得分且最后报价相同的，按照技术指标优劣顺序推荐。</w:t>
      </w:r>
    </w:p>
    <w:p w14:paraId="2BDE6A51">
      <w:pPr>
        <w:pStyle w:val="5"/>
        <w:rPr>
          <w:rFonts w:ascii="宋体" w:hAnsi="宋体"/>
          <w:color w:val="auto"/>
          <w:highlight w:val="none"/>
        </w:rPr>
      </w:pPr>
      <w:bookmarkStart w:id="16" w:name="_Toc184635094"/>
      <w:r>
        <w:rPr>
          <w:rFonts w:hint="eastAsia" w:ascii="宋体" w:hAnsi="宋体"/>
          <w:color w:val="auto"/>
          <w:highlight w:val="none"/>
        </w:rPr>
        <w:t>2</w:t>
      </w:r>
      <w:r>
        <w:rPr>
          <w:rFonts w:hint="eastAsia" w:ascii="宋体" w:hAnsi="宋体"/>
          <w:color w:val="auto"/>
          <w:highlight w:val="none"/>
          <w:lang w:eastAsia="zh-CN"/>
        </w:rPr>
        <w:t>.</w:t>
      </w:r>
      <w:r>
        <w:rPr>
          <w:rFonts w:hint="eastAsia" w:ascii="宋体" w:hAnsi="宋体"/>
          <w:color w:val="auto"/>
          <w:highlight w:val="none"/>
        </w:rPr>
        <w:t>评审标准</w:t>
      </w:r>
      <w:bookmarkEnd w:id="16"/>
    </w:p>
    <w:p w14:paraId="65F58989">
      <w:pPr>
        <w:pStyle w:val="6"/>
        <w:rPr>
          <w:rFonts w:ascii="宋体" w:hAnsi="宋体" w:eastAsia="宋体"/>
          <w:color w:val="auto"/>
          <w:highlight w:val="none"/>
        </w:rPr>
      </w:pPr>
      <w:r>
        <w:rPr>
          <w:rFonts w:hint="eastAsia" w:ascii="宋体" w:hAnsi="宋体" w:eastAsia="宋体"/>
          <w:color w:val="auto"/>
          <w:highlight w:val="none"/>
        </w:rPr>
        <w:t>2.1 初步评审标准</w:t>
      </w:r>
    </w:p>
    <w:p w14:paraId="0E60C4F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w:t>
      </w:r>
      <w:r>
        <w:rPr>
          <w:rFonts w:hint="eastAsia" w:ascii="宋体" w:hAnsi="宋体"/>
          <w:color w:val="auto"/>
          <w:szCs w:val="21"/>
          <w:highlight w:val="none"/>
          <w:lang w:val="en-US" w:eastAsia="zh-CN"/>
        </w:rPr>
        <w:t>1</w:t>
      </w:r>
      <w:r>
        <w:rPr>
          <w:rFonts w:hint="eastAsia" w:ascii="宋体" w:hAnsi="宋体"/>
          <w:color w:val="auto"/>
          <w:szCs w:val="21"/>
          <w:highlight w:val="none"/>
        </w:rPr>
        <w:t xml:space="preserve"> 资格评审标准：见评审办法前附表。</w:t>
      </w:r>
    </w:p>
    <w:p w14:paraId="43EE719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w:t>
      </w:r>
      <w:r>
        <w:rPr>
          <w:rFonts w:hint="eastAsia" w:ascii="宋体" w:hAnsi="宋体"/>
          <w:color w:val="auto"/>
          <w:szCs w:val="21"/>
          <w:highlight w:val="none"/>
          <w:lang w:val="en-US" w:eastAsia="zh-CN"/>
        </w:rPr>
        <w:t>2符合</w:t>
      </w:r>
      <w:r>
        <w:rPr>
          <w:rFonts w:hint="eastAsia" w:ascii="宋体" w:hAnsi="宋体"/>
          <w:color w:val="auto"/>
          <w:szCs w:val="21"/>
          <w:highlight w:val="none"/>
        </w:rPr>
        <w:t>性评审标准：见评审办法前附表。</w:t>
      </w:r>
    </w:p>
    <w:p w14:paraId="645D6DA9">
      <w:pPr>
        <w:pStyle w:val="6"/>
        <w:rPr>
          <w:rFonts w:ascii="宋体" w:hAnsi="宋体" w:eastAsia="宋体"/>
          <w:color w:val="auto"/>
          <w:highlight w:val="none"/>
        </w:rPr>
      </w:pPr>
      <w:r>
        <w:rPr>
          <w:rFonts w:hint="eastAsia" w:ascii="宋体" w:hAnsi="宋体" w:eastAsia="宋体"/>
          <w:color w:val="auto"/>
          <w:highlight w:val="none"/>
        </w:rPr>
        <w:t>2.2 分值构成与评分标准</w:t>
      </w:r>
    </w:p>
    <w:p w14:paraId="2B0A488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2.2.1 分值构成</w:t>
      </w:r>
    </w:p>
    <w:p w14:paraId="48F880D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(l）</w:t>
      </w:r>
      <w:r>
        <w:rPr>
          <w:rFonts w:hint="eastAsia" w:ascii="宋体" w:hAnsi="宋体"/>
          <w:color w:val="auto"/>
          <w:szCs w:val="21"/>
          <w:highlight w:val="none"/>
          <w:lang w:val="en-US" w:eastAsia="zh-CN"/>
        </w:rPr>
        <w:t>商务因素</w:t>
      </w:r>
      <w:r>
        <w:rPr>
          <w:rFonts w:hint="eastAsia" w:ascii="宋体" w:hAnsi="宋体"/>
          <w:color w:val="auto"/>
          <w:szCs w:val="21"/>
          <w:highlight w:val="none"/>
        </w:rPr>
        <w:t>：见评审办法前附表；</w:t>
      </w:r>
    </w:p>
    <w:p w14:paraId="19A1EDF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(2）磋商报价：见评审办法前附表；</w:t>
      </w:r>
    </w:p>
    <w:p w14:paraId="67D4FCC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技术因素</w:t>
      </w:r>
      <w:r>
        <w:rPr>
          <w:rFonts w:hint="eastAsia" w:ascii="宋体" w:hAnsi="宋体"/>
          <w:color w:val="auto"/>
          <w:szCs w:val="21"/>
          <w:highlight w:val="none"/>
        </w:rPr>
        <w:t>：见评审办法前附表；</w:t>
      </w:r>
    </w:p>
    <w:p w14:paraId="73723C1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(4）其他因素：见评审办法前附表。</w:t>
      </w:r>
    </w:p>
    <w:p w14:paraId="20739F6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2.2.2 评审基准价计算</w:t>
      </w:r>
    </w:p>
    <w:p w14:paraId="56FC123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评审基准价计算方法：见评审办法前附表。</w:t>
      </w:r>
    </w:p>
    <w:p w14:paraId="10446C4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2.2.3 磋商报价计算公式</w:t>
      </w:r>
    </w:p>
    <w:p w14:paraId="55429BC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磋商报价计算公式：见评审办法前附表。</w:t>
      </w:r>
    </w:p>
    <w:p w14:paraId="594EA99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2.2.4 评分标准</w:t>
      </w:r>
    </w:p>
    <w:p w14:paraId="20DC460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商务因素</w:t>
      </w:r>
      <w:r>
        <w:rPr>
          <w:rFonts w:hint="eastAsia" w:ascii="宋体" w:hAnsi="宋体"/>
          <w:color w:val="auto"/>
          <w:szCs w:val="21"/>
          <w:highlight w:val="none"/>
        </w:rPr>
        <w:t>评分标准：见评审办法前附表；</w:t>
      </w:r>
    </w:p>
    <w:p w14:paraId="6A83A2A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(2）磋商报价评分标准：见评审办法前附表；</w:t>
      </w:r>
    </w:p>
    <w:p w14:paraId="3B1FAC0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技术因素</w:t>
      </w:r>
      <w:r>
        <w:rPr>
          <w:rFonts w:hint="eastAsia" w:ascii="宋体" w:hAnsi="宋体"/>
          <w:color w:val="auto"/>
          <w:szCs w:val="21"/>
          <w:highlight w:val="none"/>
        </w:rPr>
        <w:t>评分标准：见评审办法前附表；</w:t>
      </w:r>
    </w:p>
    <w:p w14:paraId="15CE5906">
      <w:pPr>
        <w:pStyle w:val="5"/>
        <w:rPr>
          <w:rFonts w:ascii="宋体" w:hAnsi="宋体"/>
          <w:color w:val="auto"/>
          <w:highlight w:val="none"/>
        </w:rPr>
      </w:pPr>
      <w:bookmarkStart w:id="17" w:name="_Toc184635095"/>
      <w:r>
        <w:rPr>
          <w:rFonts w:hint="eastAsia" w:ascii="宋体" w:hAnsi="宋体"/>
          <w:color w:val="auto"/>
          <w:highlight w:val="none"/>
        </w:rPr>
        <w:t>3</w:t>
      </w:r>
      <w:r>
        <w:rPr>
          <w:rFonts w:hint="eastAsia" w:ascii="宋体" w:hAnsi="宋体"/>
          <w:color w:val="auto"/>
          <w:highlight w:val="none"/>
          <w:lang w:eastAsia="zh-CN"/>
        </w:rPr>
        <w:t>.</w:t>
      </w:r>
      <w:r>
        <w:rPr>
          <w:rFonts w:hint="eastAsia" w:ascii="宋体" w:hAnsi="宋体"/>
          <w:color w:val="auto"/>
          <w:highlight w:val="none"/>
        </w:rPr>
        <w:t>评审工作程序</w:t>
      </w:r>
      <w:bookmarkEnd w:id="17"/>
    </w:p>
    <w:p w14:paraId="4B131CD4">
      <w:pPr>
        <w:pStyle w:val="6"/>
        <w:rPr>
          <w:rFonts w:ascii="宋体" w:hAnsi="宋体" w:eastAsia="宋体"/>
          <w:color w:val="auto"/>
          <w:highlight w:val="none"/>
        </w:rPr>
      </w:pPr>
      <w:r>
        <w:rPr>
          <w:rFonts w:hint="eastAsia" w:ascii="宋体" w:hAnsi="宋体" w:eastAsia="宋体"/>
          <w:color w:val="auto"/>
          <w:highlight w:val="none"/>
        </w:rPr>
        <w:t>3.1 初步评审</w:t>
      </w:r>
    </w:p>
    <w:p w14:paraId="2147C703">
      <w:pPr>
        <w:spacing w:line="360" w:lineRule="auto"/>
        <w:ind w:firstLine="420" w:firstLineChars="200"/>
        <w:rPr>
          <w:rFonts w:ascii="宋体" w:hAnsi="宋体"/>
          <w:bCs/>
          <w:color w:val="auto"/>
          <w:szCs w:val="21"/>
          <w:highlight w:val="none"/>
          <w:lang w:val="zh-CN"/>
        </w:rPr>
      </w:pPr>
      <w:r>
        <w:rPr>
          <w:rFonts w:ascii="宋体" w:hAnsi="宋体"/>
          <w:bCs/>
          <w:color w:val="auto"/>
          <w:szCs w:val="21"/>
          <w:highlight w:val="none"/>
          <w:lang w:val="zh-CN"/>
        </w:rPr>
        <w:t>3.1.1</w:t>
      </w:r>
      <w:r>
        <w:rPr>
          <w:rFonts w:hint="eastAsia" w:ascii="宋体" w:hAnsi="宋体"/>
          <w:bCs/>
          <w:color w:val="auto"/>
          <w:szCs w:val="21"/>
          <w:highlight w:val="none"/>
          <w:lang w:val="zh-CN"/>
        </w:rPr>
        <w:t xml:space="preserve"> 磋商小组依据本章第</w:t>
      </w:r>
      <w:r>
        <w:rPr>
          <w:rFonts w:ascii="宋体" w:hAnsi="宋体"/>
          <w:bCs/>
          <w:color w:val="auto"/>
          <w:szCs w:val="21"/>
          <w:highlight w:val="none"/>
          <w:lang w:val="zh-CN"/>
        </w:rPr>
        <w:t>2.1</w:t>
      </w:r>
      <w:r>
        <w:rPr>
          <w:rFonts w:hint="eastAsia" w:ascii="宋体" w:hAnsi="宋体"/>
          <w:bCs/>
          <w:color w:val="auto"/>
          <w:szCs w:val="21"/>
          <w:highlight w:val="none"/>
          <w:lang w:val="zh-CN"/>
        </w:rPr>
        <w:t>款规定的标准对响应文件进行初步评审。有一项不符合评审标准的，磋商小组应当否决其投标，作废标处理。只有当通过初步评审的投标单位超过3家（包含3家）时，此次投标才能进入详细评审，否则视为具有竞争性投标单位不足3家，应当重新招标。</w:t>
      </w:r>
    </w:p>
    <w:p w14:paraId="3B65E6A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3.1.2 申请人有以下情形之一的，其投标作废标处理：</w:t>
      </w:r>
    </w:p>
    <w:p w14:paraId="2692374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(l）第二章“申请人须知”第1.4.3 项规定的任何一种情形的：</w:t>
      </w:r>
    </w:p>
    <w:p w14:paraId="3E8DC2D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(2）串通投标或弄虚作假或有其他违法行为的；</w:t>
      </w:r>
    </w:p>
    <w:p w14:paraId="1BC376D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(3）不按磋商小组要求澄清、说明或补正的。</w:t>
      </w:r>
    </w:p>
    <w:p w14:paraId="386FE55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3.1.3 磋商报价有算术错误的，磋商小组按以下原则对磋商报价进行修正，修正的价格经申请人书面确认后具有约束力。申请人不接受修正价格的，其投标作废标处理。</w:t>
      </w:r>
    </w:p>
    <w:p w14:paraId="5198126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(1）响应文件中的大写金额与小写金额不一致的，以大写金额为准；</w:t>
      </w:r>
    </w:p>
    <w:p w14:paraId="23020929">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(2）总价金额与依据单价计算出的结果不一致的，以单价金额为准修正总价，但单价金额小数点有明显错误的除外。</w:t>
      </w:r>
    </w:p>
    <w:p w14:paraId="26E330FD">
      <w:pPr>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rPr>
        <w:t>3.</w:t>
      </w:r>
      <w:r>
        <w:rPr>
          <w:rFonts w:hint="eastAsia" w:ascii="宋体" w:hAnsi="宋体"/>
          <w:color w:val="auto"/>
          <w:szCs w:val="21"/>
          <w:highlight w:val="none"/>
          <w:lang w:val="en-US" w:eastAsia="zh-CN"/>
        </w:rPr>
        <w:t>1</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报价算术修正规则</w:t>
      </w:r>
    </w:p>
    <w:p w14:paraId="3E656C6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非最终报价环节中，申请人的报价因明显的小数点位置错误或计价单位错误等原因超出了最高限价的，磋商小组可要求该申请人现场进行书面澄清，申请人拒绝澄清的，磋商小组应当将其作为无效报价处理。</w:t>
      </w:r>
    </w:p>
    <w:p w14:paraId="64CBED94">
      <w:pPr>
        <w:pStyle w:val="6"/>
        <w:rPr>
          <w:rFonts w:ascii="宋体" w:hAnsi="宋体" w:eastAsia="宋体"/>
          <w:color w:val="auto"/>
          <w:highlight w:val="none"/>
        </w:rPr>
      </w:pPr>
      <w:bookmarkStart w:id="18" w:name="_Toc447010080"/>
      <w:r>
        <w:rPr>
          <w:rFonts w:hint="eastAsia" w:ascii="宋体" w:hAnsi="宋体" w:eastAsia="宋体"/>
          <w:color w:val="auto"/>
          <w:highlight w:val="none"/>
        </w:rPr>
        <w:t>3.</w:t>
      </w:r>
      <w:r>
        <w:rPr>
          <w:rFonts w:ascii="宋体" w:hAnsi="宋体" w:eastAsia="宋体"/>
          <w:color w:val="auto"/>
          <w:highlight w:val="none"/>
        </w:rPr>
        <w:t>2</w:t>
      </w:r>
      <w:r>
        <w:rPr>
          <w:rFonts w:hint="eastAsia" w:ascii="宋体" w:hAnsi="宋体" w:eastAsia="宋体"/>
          <w:color w:val="auto"/>
          <w:highlight w:val="none"/>
        </w:rPr>
        <w:t>响应文件的澄清</w:t>
      </w:r>
      <w:bookmarkEnd w:id="18"/>
    </w:p>
    <w:p w14:paraId="18998E5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在评审过程中，磋商小组可以书面形式，要求申请人对所提交的响应文件中不明确的内容进行必要的澄清或说明。申请人的澄清或说明采用书面形式，并不得改变响应文件的实质性内容。申请人的澄清和说明内容属于响应文件的组成部分。采购人和磋商小组不接受申请人主动提出的澄清或说明。</w:t>
      </w:r>
    </w:p>
    <w:p w14:paraId="66D0745E">
      <w:pPr>
        <w:pStyle w:val="6"/>
        <w:rPr>
          <w:rFonts w:ascii="宋体" w:hAnsi="宋体" w:eastAsia="宋体"/>
          <w:color w:val="auto"/>
          <w:highlight w:val="none"/>
        </w:rPr>
      </w:pPr>
      <w:bookmarkStart w:id="19" w:name="_Toc447010081"/>
      <w:r>
        <w:rPr>
          <w:rFonts w:hint="eastAsia" w:ascii="宋体" w:hAnsi="宋体" w:eastAsia="宋体"/>
          <w:color w:val="auto"/>
          <w:highlight w:val="none"/>
        </w:rPr>
        <w:t>3.</w:t>
      </w:r>
      <w:r>
        <w:rPr>
          <w:rFonts w:ascii="宋体" w:hAnsi="宋体" w:eastAsia="宋体"/>
          <w:color w:val="auto"/>
          <w:highlight w:val="none"/>
        </w:rPr>
        <w:t>3</w:t>
      </w:r>
      <w:r>
        <w:rPr>
          <w:rFonts w:hint="eastAsia" w:ascii="宋体" w:hAnsi="宋体" w:eastAsia="宋体"/>
          <w:color w:val="auto"/>
          <w:highlight w:val="none"/>
        </w:rPr>
        <w:t>确定最终采购需求方案</w:t>
      </w:r>
      <w:bookmarkEnd w:id="19"/>
    </w:p>
    <w:p w14:paraId="0C6A266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磋商小组可以与申请人进行多轮磋商，磋商过程中可实质性修订磋商文件的技术、服务要求以及合同草案条款，</w:t>
      </w:r>
      <w:r>
        <w:rPr>
          <w:rFonts w:hint="eastAsia" w:ascii="宋体" w:hAnsi="宋体" w:cs="宋体"/>
          <w:color w:val="auto"/>
          <w:highlight w:val="none"/>
        </w:rPr>
        <w:t>但不得变动磋商文件中的其他内容。实质性变动的内容，须经采购人代表确认，</w:t>
      </w:r>
      <w:r>
        <w:rPr>
          <w:rFonts w:hint="eastAsia" w:ascii="宋体" w:hAnsi="宋体"/>
          <w:color w:val="auto"/>
          <w:szCs w:val="21"/>
          <w:highlight w:val="none"/>
        </w:rPr>
        <w:t>并及时以书面形式同时通知所有参与磋商的申请人。</w:t>
      </w:r>
    </w:p>
    <w:p w14:paraId="1AC7D72C">
      <w:pPr>
        <w:pStyle w:val="6"/>
        <w:rPr>
          <w:rFonts w:ascii="宋体" w:hAnsi="宋体" w:eastAsia="宋体"/>
          <w:color w:val="auto"/>
          <w:highlight w:val="none"/>
        </w:rPr>
      </w:pPr>
      <w:bookmarkStart w:id="20" w:name="_Toc447010082"/>
      <w:r>
        <w:rPr>
          <w:rFonts w:hint="eastAsia" w:ascii="宋体" w:hAnsi="宋体" w:eastAsia="宋体"/>
          <w:color w:val="auto"/>
          <w:highlight w:val="none"/>
        </w:rPr>
        <w:t>3.</w:t>
      </w:r>
      <w:r>
        <w:rPr>
          <w:rFonts w:ascii="宋体" w:hAnsi="宋体" w:eastAsia="宋体"/>
          <w:color w:val="auto"/>
          <w:highlight w:val="none"/>
        </w:rPr>
        <w:t>4</w:t>
      </w:r>
      <w:r>
        <w:rPr>
          <w:rFonts w:hint="eastAsia" w:ascii="宋体" w:hAnsi="宋体" w:eastAsia="宋体"/>
          <w:color w:val="auto"/>
          <w:highlight w:val="none"/>
        </w:rPr>
        <w:t>重新提交响应文件和最后报价</w:t>
      </w:r>
      <w:bookmarkEnd w:id="20"/>
    </w:p>
    <w:p w14:paraId="24D3129E">
      <w:pPr>
        <w:topLinePunct/>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4</w:t>
      </w: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申请人应当按照磋商文件的变动情况和磋商小组的要求重新提交响应文件，并由其法定代表人或授权代表签字或者加盖公章。由授权代表签字的，应当附法定代表人授权书。申请人为自然人的，应当由本人签字并附身份证明</w:t>
      </w:r>
      <w:r>
        <w:rPr>
          <w:rFonts w:hint="eastAsia" w:ascii="宋体" w:hAnsi="宋体"/>
          <w:color w:val="auto"/>
          <w:szCs w:val="21"/>
          <w:highlight w:val="none"/>
          <w:lang w:val="en-US" w:eastAsia="zh-CN"/>
        </w:rPr>
        <w:t>扫描件</w:t>
      </w:r>
      <w:r>
        <w:rPr>
          <w:rFonts w:hint="eastAsia" w:ascii="宋体" w:hAnsi="宋体"/>
          <w:color w:val="auto"/>
          <w:szCs w:val="21"/>
          <w:highlight w:val="none"/>
        </w:rPr>
        <w:t>。</w:t>
      </w:r>
    </w:p>
    <w:p w14:paraId="2AB2E1BC">
      <w:pPr>
        <w:topLinePunct/>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4</w:t>
      </w: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磋商结束后，磋商小组应当要求所有实质性响应的申请人在规定时间内提交最后报价。</w:t>
      </w:r>
    </w:p>
    <w:p w14:paraId="2271284A">
      <w:pPr>
        <w:pStyle w:val="6"/>
        <w:rPr>
          <w:rFonts w:ascii="宋体" w:hAnsi="宋体" w:eastAsia="宋体"/>
          <w:color w:val="auto"/>
          <w:highlight w:val="none"/>
        </w:rPr>
      </w:pPr>
      <w:r>
        <w:rPr>
          <w:rFonts w:hint="eastAsia" w:ascii="宋体" w:hAnsi="宋体" w:eastAsia="宋体"/>
          <w:color w:val="auto"/>
          <w:highlight w:val="none"/>
        </w:rPr>
        <w:t>3.5详细评审</w:t>
      </w:r>
    </w:p>
    <w:p w14:paraId="69AA10B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3.5.1最后报价结束后，磋商小组依据本章第2.2款规定的标准，对提交最后报价的申请人的响应文件和最后报价进行综合评分。</w:t>
      </w:r>
    </w:p>
    <w:p w14:paraId="0AF2FC1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(1）按本章第2.2.4(1）目规定的评审因素和分值对</w:t>
      </w:r>
      <w:r>
        <w:rPr>
          <w:rFonts w:hint="eastAsia" w:ascii="宋体" w:hAnsi="宋体"/>
          <w:color w:val="auto"/>
          <w:szCs w:val="21"/>
          <w:highlight w:val="none"/>
          <w:lang w:val="en-US" w:eastAsia="zh-CN"/>
        </w:rPr>
        <w:t>磋商报价</w:t>
      </w:r>
      <w:r>
        <w:rPr>
          <w:rFonts w:hint="eastAsia" w:ascii="宋体" w:hAnsi="宋体"/>
          <w:color w:val="auto"/>
          <w:szCs w:val="21"/>
          <w:highlight w:val="none"/>
        </w:rPr>
        <w:t>计算出得分A ；</w:t>
      </w:r>
    </w:p>
    <w:p w14:paraId="2EAA95F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(2）按本章第2.2.4(2）目规定的评审因素和分值对</w:t>
      </w:r>
      <w:r>
        <w:rPr>
          <w:rFonts w:hint="eastAsia" w:ascii="宋体" w:hAnsi="宋体"/>
          <w:color w:val="auto"/>
          <w:szCs w:val="21"/>
          <w:highlight w:val="none"/>
          <w:lang w:val="en-US" w:eastAsia="zh-CN"/>
        </w:rPr>
        <w:t>商务因素</w:t>
      </w:r>
      <w:r>
        <w:rPr>
          <w:rFonts w:hint="eastAsia" w:ascii="宋体" w:hAnsi="宋体"/>
          <w:color w:val="auto"/>
          <w:szCs w:val="21"/>
          <w:highlight w:val="none"/>
        </w:rPr>
        <w:t>计算出得分B；</w:t>
      </w:r>
    </w:p>
    <w:p w14:paraId="0F305C7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(3）按本章第2.2.4(3）目规定的评审因素和分值对</w:t>
      </w:r>
      <w:r>
        <w:rPr>
          <w:rFonts w:hint="eastAsia" w:ascii="宋体" w:hAnsi="宋体"/>
          <w:color w:val="auto"/>
          <w:szCs w:val="21"/>
          <w:highlight w:val="none"/>
          <w:lang w:val="en-US" w:eastAsia="zh-CN"/>
        </w:rPr>
        <w:t>技术因素</w:t>
      </w:r>
      <w:r>
        <w:rPr>
          <w:rFonts w:hint="eastAsia" w:ascii="宋体" w:hAnsi="宋体"/>
          <w:color w:val="auto"/>
          <w:szCs w:val="21"/>
          <w:highlight w:val="none"/>
        </w:rPr>
        <w:t>计算出得分C；</w:t>
      </w:r>
    </w:p>
    <w:p w14:paraId="7DB8302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3.5.2 评分分值计算保留小数点后两位，小数点后第三位“四舍五入”。</w:t>
      </w:r>
    </w:p>
    <w:p w14:paraId="721D6194">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3.5.3 申请人得分=A十B十C。</w:t>
      </w:r>
    </w:p>
    <w:p w14:paraId="4B674B6C">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3.5.4 依据财政部第87号令第60条：评标委员会发现供应商的报价明显低于其他通过符合性审查供应商的报价，有可能影响产品质量或者不能诚信履约的，应当要求该供应商在评标现场四十分钟内作出书面说明证明其报价的合理性并提供相应的证明材料。供应商不能合理说明其报价的合理性或者不能提供相应证明材料的，由评标委员会认定该供应商以恶意畸低报价竞标，其投标将被否决。</w:t>
      </w:r>
    </w:p>
    <w:p w14:paraId="4B12B2E9">
      <w:pPr>
        <w:pStyle w:val="6"/>
        <w:rPr>
          <w:rFonts w:ascii="宋体" w:hAnsi="宋体" w:eastAsia="宋体"/>
          <w:color w:val="auto"/>
          <w:highlight w:val="none"/>
        </w:rPr>
      </w:pPr>
      <w:r>
        <w:rPr>
          <w:rFonts w:hint="eastAsia" w:ascii="宋体" w:hAnsi="宋体" w:eastAsia="宋体"/>
          <w:color w:val="auto"/>
          <w:highlight w:val="none"/>
        </w:rPr>
        <w:t>3.4 评审结果</w:t>
      </w:r>
    </w:p>
    <w:p w14:paraId="562B095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3.4.1 除第二章“申请人须知”前附表授权直接确定中标成交单位外，磋商小组按照得分高到低的顺序推荐成交候选人。</w:t>
      </w:r>
    </w:p>
    <w:p w14:paraId="34FF12BE">
      <w:pPr>
        <w:spacing w:line="360" w:lineRule="auto"/>
        <w:ind w:firstLine="420" w:firstLineChars="200"/>
        <w:sectPr>
          <w:footerReference r:id="rId9" w:type="default"/>
          <w:pgSz w:w="11906" w:h="16838"/>
          <w:pgMar w:top="1134" w:right="1134" w:bottom="1134" w:left="1134" w:header="851" w:footer="851" w:gutter="0"/>
          <w:pgBorders>
            <w:top w:val="none" w:sz="0" w:space="0"/>
            <w:left w:val="none" w:sz="0" w:space="0"/>
            <w:bottom w:val="none" w:sz="0" w:space="0"/>
            <w:right w:val="none" w:sz="0" w:space="0"/>
          </w:pgBorders>
          <w:pgNumType w:fmt="decimal" w:start="1"/>
          <w:cols w:space="720" w:num="1"/>
          <w:docGrid w:linePitch="312" w:charSpace="0"/>
        </w:sectPr>
      </w:pPr>
      <w:r>
        <w:rPr>
          <w:rFonts w:hint="eastAsia" w:ascii="宋体" w:hAnsi="宋体"/>
          <w:color w:val="auto"/>
          <w:szCs w:val="21"/>
          <w:highlight w:val="none"/>
        </w:rPr>
        <w:t>3.4.2 磋商小组完成评审工作后，应当向采购人提交书面评审报告。</w:t>
      </w:r>
    </w:p>
    <w:p w14:paraId="39B8775E">
      <w:pPr>
        <w:spacing w:line="420" w:lineRule="exact"/>
        <w:jc w:val="center"/>
        <w:rPr>
          <w:rFonts w:ascii="宋体" w:hAnsi="宋体"/>
          <w:color w:val="auto"/>
          <w:highlight w:val="none"/>
        </w:rPr>
      </w:pPr>
    </w:p>
    <w:p w14:paraId="375A6D88">
      <w:pPr>
        <w:jc w:val="center"/>
        <w:rPr>
          <w:rFonts w:ascii="宋体" w:hAnsi="宋体"/>
          <w:b/>
          <w:color w:val="auto"/>
          <w:sz w:val="32"/>
          <w:szCs w:val="32"/>
          <w:highlight w:val="none"/>
        </w:rPr>
      </w:pPr>
      <w:r>
        <w:rPr>
          <w:rFonts w:hint="eastAsia" w:ascii="宋体" w:hAnsi="宋体"/>
          <w:b/>
          <w:color w:val="auto"/>
          <w:sz w:val="32"/>
          <w:szCs w:val="32"/>
          <w:highlight w:val="none"/>
        </w:rPr>
        <w:t>第四章  合同条款及格式</w:t>
      </w:r>
    </w:p>
    <w:p w14:paraId="2B8BD7EC">
      <w:pPr>
        <w:pStyle w:val="17"/>
        <w:spacing w:line="360" w:lineRule="auto"/>
        <w:ind w:left="0" w:leftChars="0" w:firstLine="0" w:firstLineChars="0"/>
        <w:jc w:val="both"/>
      </w:pPr>
    </w:p>
    <w:p w14:paraId="2E51D829">
      <w:pPr>
        <w:pStyle w:val="5"/>
        <w:keepNext/>
        <w:keepLines/>
        <w:pageBreakBefore w:val="0"/>
        <w:widowControl/>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rPr>
        <w:t>政府采购合同条款及格式</w:t>
      </w:r>
      <w:r>
        <w:rPr>
          <w:rFonts w:hint="eastAsia" w:ascii="宋体" w:hAnsi="宋体" w:eastAsia="宋体" w:cs="宋体"/>
          <w:color w:val="auto"/>
          <w:sz w:val="36"/>
          <w:szCs w:val="36"/>
          <w:highlight w:val="none"/>
          <w:lang w:eastAsia="zh-CN"/>
        </w:rPr>
        <w:t>（参考）</w:t>
      </w:r>
    </w:p>
    <w:p w14:paraId="35312B6A">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合同编号：</w:t>
      </w:r>
    </w:p>
    <w:p w14:paraId="47B8F696">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签订地点： </w:t>
      </w:r>
    </w:p>
    <w:p w14:paraId="25C31726">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签订日期：</w:t>
      </w:r>
    </w:p>
    <w:p w14:paraId="13BA4065">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采购任务编号：</w:t>
      </w:r>
    </w:p>
    <w:p w14:paraId="7529E28B">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（需方）需求的“             ”（货物名称）经        以编号为      的招标文件在国内公开招标，经评标委员会评定                        （供方）（包号）为中标单位。供需双方按照《中华人民共和国合同法》和有关法律法规，遵循平等、自愿、公平和诚实信用原则，同意按照下面的条款和条件订立本合同，共同信守。</w:t>
      </w:r>
    </w:p>
    <w:p w14:paraId="7A486EFA">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一、货物名称、品牌、规格、数量</w:t>
      </w:r>
    </w:p>
    <w:tbl>
      <w:tblPr>
        <w:tblStyle w:val="40"/>
        <w:tblW w:w="0" w:type="auto"/>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48"/>
        <w:gridCol w:w="1152"/>
        <w:gridCol w:w="2520"/>
        <w:gridCol w:w="900"/>
        <w:gridCol w:w="1260"/>
        <w:gridCol w:w="2004"/>
      </w:tblGrid>
      <w:tr w14:paraId="2E76926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5" w:hRule="atLeast"/>
        </w:trPr>
        <w:tc>
          <w:tcPr>
            <w:tcW w:w="1548" w:type="dxa"/>
            <w:vAlign w:val="center"/>
          </w:tcPr>
          <w:p w14:paraId="1A146AB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货物名称</w:t>
            </w:r>
          </w:p>
        </w:tc>
        <w:tc>
          <w:tcPr>
            <w:tcW w:w="1152" w:type="dxa"/>
            <w:vAlign w:val="center"/>
          </w:tcPr>
          <w:p w14:paraId="0D217E0C">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品牌</w:t>
            </w:r>
          </w:p>
        </w:tc>
        <w:tc>
          <w:tcPr>
            <w:tcW w:w="2520" w:type="dxa"/>
            <w:vAlign w:val="center"/>
          </w:tcPr>
          <w:p w14:paraId="65F9A4F3">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规格型号及配置</w:t>
            </w:r>
          </w:p>
        </w:tc>
        <w:tc>
          <w:tcPr>
            <w:tcW w:w="900" w:type="dxa"/>
            <w:vAlign w:val="center"/>
          </w:tcPr>
          <w:p w14:paraId="33329C6F">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数量</w:t>
            </w:r>
          </w:p>
        </w:tc>
        <w:tc>
          <w:tcPr>
            <w:tcW w:w="1260" w:type="dxa"/>
            <w:vAlign w:val="center"/>
          </w:tcPr>
          <w:p w14:paraId="29C18F9F">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单价(元)</w:t>
            </w:r>
          </w:p>
        </w:tc>
        <w:tc>
          <w:tcPr>
            <w:tcW w:w="2004" w:type="dxa"/>
            <w:vAlign w:val="center"/>
          </w:tcPr>
          <w:p w14:paraId="5B4B96E1">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小计金额(元)</w:t>
            </w:r>
          </w:p>
        </w:tc>
      </w:tr>
      <w:tr w14:paraId="513AC6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548" w:type="dxa"/>
            <w:vAlign w:val="center"/>
          </w:tcPr>
          <w:p w14:paraId="2160EFBD">
            <w:pPr>
              <w:spacing w:line="360" w:lineRule="auto"/>
              <w:ind w:firstLine="420" w:firstLineChars="200"/>
              <w:rPr>
                <w:rFonts w:hint="eastAsia" w:ascii="宋体" w:hAnsi="宋体" w:eastAsia="宋体" w:cs="Times New Roman"/>
                <w:color w:val="auto"/>
                <w:szCs w:val="21"/>
                <w:highlight w:val="none"/>
              </w:rPr>
            </w:pPr>
          </w:p>
        </w:tc>
        <w:tc>
          <w:tcPr>
            <w:tcW w:w="1152" w:type="dxa"/>
            <w:vAlign w:val="center"/>
          </w:tcPr>
          <w:p w14:paraId="6ECD9C58">
            <w:pPr>
              <w:spacing w:line="360" w:lineRule="auto"/>
              <w:ind w:firstLine="420" w:firstLineChars="200"/>
              <w:rPr>
                <w:rFonts w:hint="eastAsia" w:ascii="宋体" w:hAnsi="宋体" w:eastAsia="宋体" w:cs="Times New Roman"/>
                <w:color w:val="auto"/>
                <w:szCs w:val="21"/>
                <w:highlight w:val="none"/>
              </w:rPr>
            </w:pPr>
          </w:p>
        </w:tc>
        <w:tc>
          <w:tcPr>
            <w:tcW w:w="2520" w:type="dxa"/>
            <w:vAlign w:val="center"/>
          </w:tcPr>
          <w:p w14:paraId="13252104">
            <w:pPr>
              <w:spacing w:line="360" w:lineRule="auto"/>
              <w:ind w:firstLine="420" w:firstLineChars="200"/>
              <w:rPr>
                <w:rFonts w:hint="eastAsia" w:ascii="宋体" w:hAnsi="宋体" w:eastAsia="宋体" w:cs="Times New Roman"/>
                <w:color w:val="auto"/>
                <w:szCs w:val="21"/>
                <w:highlight w:val="none"/>
              </w:rPr>
            </w:pPr>
          </w:p>
        </w:tc>
        <w:tc>
          <w:tcPr>
            <w:tcW w:w="900" w:type="dxa"/>
            <w:vAlign w:val="center"/>
          </w:tcPr>
          <w:p w14:paraId="02559675">
            <w:pPr>
              <w:spacing w:line="360" w:lineRule="auto"/>
              <w:ind w:firstLine="420" w:firstLineChars="200"/>
              <w:rPr>
                <w:rFonts w:hint="eastAsia" w:ascii="宋体" w:hAnsi="宋体" w:eastAsia="宋体" w:cs="Times New Roman"/>
                <w:color w:val="auto"/>
                <w:szCs w:val="21"/>
                <w:highlight w:val="none"/>
              </w:rPr>
            </w:pPr>
          </w:p>
        </w:tc>
        <w:tc>
          <w:tcPr>
            <w:tcW w:w="1260" w:type="dxa"/>
            <w:vAlign w:val="center"/>
          </w:tcPr>
          <w:p w14:paraId="631A4D04">
            <w:pPr>
              <w:spacing w:line="360" w:lineRule="auto"/>
              <w:ind w:firstLine="420" w:firstLineChars="200"/>
              <w:rPr>
                <w:rFonts w:hint="eastAsia" w:ascii="宋体" w:hAnsi="宋体" w:eastAsia="宋体" w:cs="Times New Roman"/>
                <w:color w:val="auto"/>
                <w:szCs w:val="21"/>
                <w:highlight w:val="none"/>
              </w:rPr>
            </w:pPr>
          </w:p>
        </w:tc>
        <w:tc>
          <w:tcPr>
            <w:tcW w:w="2004" w:type="dxa"/>
            <w:vAlign w:val="center"/>
          </w:tcPr>
          <w:p w14:paraId="4023358F">
            <w:pPr>
              <w:spacing w:line="360" w:lineRule="auto"/>
              <w:ind w:firstLine="420" w:firstLineChars="200"/>
              <w:rPr>
                <w:rFonts w:hint="eastAsia" w:ascii="宋体" w:hAnsi="宋体" w:eastAsia="宋体" w:cs="Times New Roman"/>
                <w:color w:val="auto"/>
                <w:szCs w:val="21"/>
                <w:highlight w:val="none"/>
              </w:rPr>
            </w:pPr>
          </w:p>
        </w:tc>
      </w:tr>
      <w:tr w14:paraId="6B0A08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548" w:type="dxa"/>
            <w:vAlign w:val="center"/>
          </w:tcPr>
          <w:p w14:paraId="28779F0D">
            <w:pPr>
              <w:spacing w:line="360" w:lineRule="auto"/>
              <w:ind w:firstLine="420" w:firstLineChars="200"/>
              <w:rPr>
                <w:rFonts w:hint="eastAsia" w:ascii="宋体" w:hAnsi="宋体" w:eastAsia="宋体" w:cs="Times New Roman"/>
                <w:color w:val="auto"/>
                <w:szCs w:val="21"/>
                <w:highlight w:val="none"/>
              </w:rPr>
            </w:pPr>
          </w:p>
        </w:tc>
        <w:tc>
          <w:tcPr>
            <w:tcW w:w="1152" w:type="dxa"/>
            <w:vAlign w:val="center"/>
          </w:tcPr>
          <w:p w14:paraId="0BFB306B">
            <w:pPr>
              <w:spacing w:line="360" w:lineRule="auto"/>
              <w:ind w:firstLine="420" w:firstLineChars="200"/>
              <w:rPr>
                <w:rFonts w:hint="eastAsia" w:ascii="宋体" w:hAnsi="宋体" w:eastAsia="宋体" w:cs="Times New Roman"/>
                <w:color w:val="auto"/>
                <w:szCs w:val="21"/>
                <w:highlight w:val="none"/>
              </w:rPr>
            </w:pPr>
          </w:p>
        </w:tc>
        <w:tc>
          <w:tcPr>
            <w:tcW w:w="2520" w:type="dxa"/>
            <w:vAlign w:val="center"/>
          </w:tcPr>
          <w:p w14:paraId="6E0F7E5E">
            <w:pPr>
              <w:spacing w:line="360" w:lineRule="auto"/>
              <w:ind w:firstLine="420" w:firstLineChars="200"/>
              <w:rPr>
                <w:rFonts w:hint="eastAsia" w:ascii="宋体" w:hAnsi="宋体" w:eastAsia="宋体" w:cs="Times New Roman"/>
                <w:color w:val="auto"/>
                <w:szCs w:val="21"/>
                <w:highlight w:val="none"/>
              </w:rPr>
            </w:pPr>
          </w:p>
        </w:tc>
        <w:tc>
          <w:tcPr>
            <w:tcW w:w="900" w:type="dxa"/>
            <w:vAlign w:val="center"/>
          </w:tcPr>
          <w:p w14:paraId="4A70E2F7">
            <w:pPr>
              <w:spacing w:line="360" w:lineRule="auto"/>
              <w:ind w:firstLine="420" w:firstLineChars="200"/>
              <w:rPr>
                <w:rFonts w:hint="eastAsia" w:ascii="宋体" w:hAnsi="宋体" w:eastAsia="宋体" w:cs="Times New Roman"/>
                <w:color w:val="auto"/>
                <w:szCs w:val="21"/>
                <w:highlight w:val="none"/>
              </w:rPr>
            </w:pPr>
          </w:p>
        </w:tc>
        <w:tc>
          <w:tcPr>
            <w:tcW w:w="1260" w:type="dxa"/>
            <w:vAlign w:val="center"/>
          </w:tcPr>
          <w:p w14:paraId="371E269E">
            <w:pPr>
              <w:spacing w:line="360" w:lineRule="auto"/>
              <w:ind w:firstLine="420" w:firstLineChars="200"/>
              <w:rPr>
                <w:rFonts w:hint="eastAsia" w:ascii="宋体" w:hAnsi="宋体" w:eastAsia="宋体" w:cs="Times New Roman"/>
                <w:color w:val="auto"/>
                <w:szCs w:val="21"/>
                <w:highlight w:val="none"/>
              </w:rPr>
            </w:pPr>
          </w:p>
        </w:tc>
        <w:tc>
          <w:tcPr>
            <w:tcW w:w="2004" w:type="dxa"/>
            <w:vAlign w:val="center"/>
          </w:tcPr>
          <w:p w14:paraId="5D7CACA3">
            <w:pPr>
              <w:spacing w:line="360" w:lineRule="auto"/>
              <w:ind w:firstLine="420" w:firstLineChars="200"/>
              <w:rPr>
                <w:rFonts w:hint="eastAsia" w:ascii="宋体" w:hAnsi="宋体" w:eastAsia="宋体" w:cs="Times New Roman"/>
                <w:color w:val="auto"/>
                <w:szCs w:val="21"/>
                <w:highlight w:val="none"/>
              </w:rPr>
            </w:pPr>
          </w:p>
        </w:tc>
      </w:tr>
      <w:tr w14:paraId="689625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548" w:type="dxa"/>
            <w:vAlign w:val="center"/>
          </w:tcPr>
          <w:p w14:paraId="477BDE43">
            <w:pPr>
              <w:spacing w:line="360" w:lineRule="auto"/>
              <w:ind w:firstLine="420" w:firstLineChars="200"/>
              <w:rPr>
                <w:rFonts w:hint="eastAsia" w:ascii="宋体" w:hAnsi="宋体" w:eastAsia="宋体" w:cs="Times New Roman"/>
                <w:color w:val="auto"/>
                <w:szCs w:val="21"/>
                <w:highlight w:val="none"/>
              </w:rPr>
            </w:pPr>
          </w:p>
        </w:tc>
        <w:tc>
          <w:tcPr>
            <w:tcW w:w="1152" w:type="dxa"/>
            <w:vAlign w:val="center"/>
          </w:tcPr>
          <w:p w14:paraId="551A9ED2">
            <w:pPr>
              <w:spacing w:line="360" w:lineRule="auto"/>
              <w:ind w:firstLine="420" w:firstLineChars="200"/>
              <w:rPr>
                <w:rFonts w:hint="eastAsia" w:ascii="宋体" w:hAnsi="宋体" w:eastAsia="宋体" w:cs="Times New Roman"/>
                <w:color w:val="auto"/>
                <w:szCs w:val="21"/>
                <w:highlight w:val="none"/>
              </w:rPr>
            </w:pPr>
          </w:p>
        </w:tc>
        <w:tc>
          <w:tcPr>
            <w:tcW w:w="2520" w:type="dxa"/>
            <w:vAlign w:val="center"/>
          </w:tcPr>
          <w:p w14:paraId="784C7A09">
            <w:pPr>
              <w:spacing w:line="360" w:lineRule="auto"/>
              <w:ind w:firstLine="420" w:firstLineChars="200"/>
              <w:rPr>
                <w:rFonts w:hint="eastAsia" w:ascii="宋体" w:hAnsi="宋体" w:eastAsia="宋体" w:cs="Times New Roman"/>
                <w:color w:val="auto"/>
                <w:szCs w:val="21"/>
                <w:highlight w:val="none"/>
              </w:rPr>
            </w:pPr>
          </w:p>
        </w:tc>
        <w:tc>
          <w:tcPr>
            <w:tcW w:w="900" w:type="dxa"/>
            <w:vAlign w:val="center"/>
          </w:tcPr>
          <w:p w14:paraId="15A25E7C">
            <w:pPr>
              <w:spacing w:line="360" w:lineRule="auto"/>
              <w:ind w:firstLine="420" w:firstLineChars="200"/>
              <w:rPr>
                <w:rFonts w:hint="eastAsia" w:ascii="宋体" w:hAnsi="宋体" w:eastAsia="宋体" w:cs="Times New Roman"/>
                <w:color w:val="auto"/>
                <w:szCs w:val="21"/>
                <w:highlight w:val="none"/>
              </w:rPr>
            </w:pPr>
          </w:p>
        </w:tc>
        <w:tc>
          <w:tcPr>
            <w:tcW w:w="1260" w:type="dxa"/>
            <w:vAlign w:val="center"/>
          </w:tcPr>
          <w:p w14:paraId="3E6D7A00">
            <w:pPr>
              <w:spacing w:line="360" w:lineRule="auto"/>
              <w:ind w:firstLine="420" w:firstLineChars="200"/>
              <w:rPr>
                <w:rFonts w:hint="eastAsia" w:ascii="宋体" w:hAnsi="宋体" w:eastAsia="宋体" w:cs="Times New Roman"/>
                <w:color w:val="auto"/>
                <w:szCs w:val="21"/>
                <w:highlight w:val="none"/>
              </w:rPr>
            </w:pPr>
          </w:p>
        </w:tc>
        <w:tc>
          <w:tcPr>
            <w:tcW w:w="2004" w:type="dxa"/>
            <w:vAlign w:val="center"/>
          </w:tcPr>
          <w:p w14:paraId="31AD3682">
            <w:pPr>
              <w:spacing w:line="360" w:lineRule="auto"/>
              <w:ind w:firstLine="420" w:firstLineChars="200"/>
              <w:rPr>
                <w:rFonts w:hint="eastAsia" w:ascii="宋体" w:hAnsi="宋体" w:eastAsia="宋体" w:cs="Times New Roman"/>
                <w:color w:val="auto"/>
                <w:szCs w:val="21"/>
                <w:highlight w:val="none"/>
              </w:rPr>
            </w:pPr>
          </w:p>
        </w:tc>
      </w:tr>
    </w:tbl>
    <w:p w14:paraId="0D1FA9F3">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二、合同价款</w:t>
      </w:r>
    </w:p>
    <w:p w14:paraId="38521220">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2.1合同总价：人民币（大写）              元，（小写）            元。</w:t>
      </w:r>
    </w:p>
    <w:p w14:paraId="64719048">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三、交货地点及交货时间</w:t>
      </w:r>
    </w:p>
    <w:p w14:paraId="456CBC6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合同订立后   个工作日内，将相关设备送至需方指定位置，并负责相关要求安装调试。</w:t>
      </w:r>
      <w:r>
        <w:rPr>
          <w:rFonts w:hint="eastAsia" w:ascii="宋体" w:hAnsi="宋体" w:eastAsia="宋体" w:cs="Times New Roman"/>
          <w:color w:val="auto"/>
          <w:szCs w:val="21"/>
          <w:highlight w:val="none"/>
          <w:lang w:val="zh-CN"/>
        </w:rPr>
        <w:t>如果供方没有按照合同规定的时间交货和提供服务，供方应向需方支付误期赔偿费。误期赔偿费每天按迟交货物的交货价或延期服务的服务费用的百分之一（1%）计收，直至交货或提供服务为止。一天按24小时计算，不足一天按一天计算。但误期赔偿费的最高限额不超过合同价的百分之五（5%）。</w:t>
      </w:r>
    </w:p>
    <w:p w14:paraId="04C608ED">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付款 </w:t>
      </w:r>
    </w:p>
    <w:p w14:paraId="77469BBB">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zh-CN"/>
        </w:rPr>
        <w:t xml:space="preserve"> 4.1</w:t>
      </w: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zh-CN"/>
        </w:rPr>
        <w:t>货到验收合格后付</w:t>
      </w:r>
      <w:r>
        <w:rPr>
          <w:rFonts w:hint="eastAsia" w:ascii="宋体" w:hAnsi="宋体" w:eastAsia="宋体" w:cs="Times New Roman"/>
          <w:color w:val="auto"/>
          <w:szCs w:val="21"/>
          <w:highlight w:val="none"/>
        </w:rPr>
        <w:t xml:space="preserve">          货款</w:t>
      </w:r>
      <w:r>
        <w:rPr>
          <w:rFonts w:hint="eastAsia" w:ascii="宋体" w:hAnsi="宋体" w:eastAsia="宋体" w:cs="Times New Roman"/>
          <w:color w:val="auto"/>
          <w:szCs w:val="21"/>
          <w:highlight w:val="none"/>
          <w:lang w:val="zh-CN"/>
        </w:rPr>
        <w:t>。</w:t>
      </w:r>
    </w:p>
    <w:p w14:paraId="562D643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五、施工</w:t>
      </w:r>
    </w:p>
    <w:p w14:paraId="38381BF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六、验收（严格执行国家相关标准和招标文件要求）。</w:t>
      </w:r>
    </w:p>
    <w:p w14:paraId="3FAFA45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七、知识产权及有关规定</w:t>
      </w:r>
    </w:p>
    <w:p w14:paraId="280631EB">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7.1 供方应保证需方在使用本合同项下的货物或其任何一部分时免受第三方提出侵犯其知识产权、商标权或工业设计权的起诉。如果发生此类问题，供方应负责交涉并承担一切费用和责任。</w:t>
      </w:r>
    </w:p>
    <w:p w14:paraId="4C3F9752">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7.2 供方应保证所供货物符合国家的有关规定。</w:t>
      </w:r>
    </w:p>
    <w:p w14:paraId="2F8F8B3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八、伴随服务</w:t>
      </w:r>
    </w:p>
    <w:p w14:paraId="24BC0E75">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8.1供方应提供所交付货物的全套技术文件资料，包括产品目录、图纸、操作手册、使用说明、维护手册和服务指南等。</w:t>
      </w:r>
    </w:p>
    <w:p w14:paraId="0C42A9ED">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8.2供方还应提供下列服务：货物的运输、集成和试运行；提供货物组装和维修所需的工具；在质量保证期内对所交付货物提供运行监督、维修、保养等；在制造厂家和/或在项目现场就货物的安装调试、运行、维护等对需方人员进行培训。</w:t>
      </w:r>
    </w:p>
    <w:p w14:paraId="00AD641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8.3上述伴随服务的费用应包含在合同价中，不单独进行支付。</w:t>
      </w:r>
    </w:p>
    <w:p w14:paraId="40AF6DAA">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九、质量保证期及售后服务</w:t>
      </w:r>
    </w:p>
    <w:p w14:paraId="5D54CFBB">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9.1 质量保证期：  </w:t>
      </w:r>
    </w:p>
    <w:p w14:paraId="09D3D053">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9.2 售后服务要求：</w:t>
      </w:r>
    </w:p>
    <w:p w14:paraId="58E647BA">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十、质量保证</w:t>
      </w:r>
    </w:p>
    <w:p w14:paraId="47D06F81">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10.1 供方应保证所提供的货物是原制造厂商制造的、经过合法销售渠道取得的、全新的、未使用过的，并完全符合合同规定的品牌、规格型号、技术性能、配置、质量、数量等要求。供方应保证其所提供的货物在正常使用和保养条件下，在其使用寿命期内具有满意的性能。在货物最终验收合格交付后不少于本合同第八条约定的质量保证期内，供方应对其交付的货物由于设计、工艺或材料的缺陷而产生的故障负责。</w:t>
      </w:r>
    </w:p>
    <w:p w14:paraId="238A34D1">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10.2 在质量保证期内，如果货物的规格型号、技术性能、原产地及制造厂商以及其他质量技术指标与合同约定不符，或证实货物是有缺陷的，包括潜在的缺陷或使用不符合要求的材料等，需方应尽快以书面形式向供方提出本保证下的索赔。</w:t>
      </w:r>
    </w:p>
    <w:p w14:paraId="3A23DEA0">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10.3在质量保证期内，供方在接到需方的通知后，应在本合同第八条约定的响应时间内,免费维修和/或更换有缺陷的货物或部件。</w:t>
      </w:r>
    </w:p>
    <w:p w14:paraId="2214090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10.4 如果供方在接到需方通知后，在本合同第八条约定的响应时间内没有弥补缺陷，需方可采取必要的补救措施，但其风险和费用将由供方负担，并且需方根据合同规定对供方行使的其他权利不受影响。</w:t>
      </w:r>
    </w:p>
    <w:p w14:paraId="0EDAC26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十一、索赔</w:t>
      </w:r>
    </w:p>
    <w:p w14:paraId="7056E1DD">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11.1需方有权根据当地国家技术监督局、进出口商品检验局或其他具有法定资格的质检机构出具的检验证书向供方提出索赔。</w:t>
      </w:r>
    </w:p>
    <w:p w14:paraId="01D1E4CB">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11.2如果供方对缺陷负有责任而需方提出索赔，供方应按照需方同意的下列一种或多种方式解决索赔事宜：</w:t>
      </w:r>
    </w:p>
    <w:p w14:paraId="144FF48A">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（1）供方同意退货并用合同规定的货币将货款退还给需方，并承担由此发生的一切损失和费用，包括利息、银行手续费、运费、保险费、检验费、仓储费、装卸费以及为保护退回货物所需的其他必要费用。</w:t>
      </w:r>
    </w:p>
    <w:p w14:paraId="1F927D95">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（2）根据货物低劣、损坏程度以及需方所遭受损失的金额，经过供需双方商定降低货物的价格。</w:t>
      </w:r>
    </w:p>
    <w:p w14:paraId="61D8741A">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用符合合同规定的规格、质量和性能要求的新零件、部件和／或设备来更换有缺陷的部分和／或修补缺陷部分，供方应承担一切费用和风险，并负担需方蒙受的全部直接损失。供方应同时按合同第八条的规定，相应延长修补和／或更换件的质量保证期。</w:t>
      </w:r>
    </w:p>
    <w:p w14:paraId="32125865">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11.3如果在需方发出索赔通知后十天内，供方未作答复，上述索赔应视为已被供方接受。如供方未能在接到需方索赔通知后十天内或需方同意的延长期限内，按照本合同第10.2条规定的任何一种或多种方式解决索赔事宜并征得需方同意，需方有权通过采购方从应付货款或从供方提交的履约保证金中扣回索赔金额，并拥有对赔偿不足部分进一步索赔的权利。</w:t>
      </w:r>
    </w:p>
    <w:p w14:paraId="5A60FBFA">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十二、供方履约延误</w:t>
      </w:r>
    </w:p>
    <w:p w14:paraId="212F0F00">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12.1 供方应按照合同规定的时间、地点交货和提供服务。</w:t>
      </w:r>
    </w:p>
    <w:p w14:paraId="730979FD">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12.2 如供方无正当理由拖延交货或不按投标文件提供服务，将受到以下制裁：没收履约保证金、加收误期赔偿和／或违约终止合同。</w:t>
      </w:r>
    </w:p>
    <w:p w14:paraId="1DD50C98">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12.3 在履行合同过程中，如果供方遇到可能妨碍其按时交货和提供服务的情况，应及时以书面形式将拖延的事实，可能拖延的期限和理由通知需方。需方在收到供方通知后，应尽快对情况进行评价，并确定是否通过修改合同，酌情延长交货时间和/或延期提供服务，或者终止合同。</w:t>
      </w:r>
    </w:p>
    <w:p w14:paraId="0B7259F6">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十三、误期赔偿</w:t>
      </w:r>
    </w:p>
    <w:p w14:paraId="696187EA">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13.1除合同第14条规定外，如果供方没有按照合同规定的时间交货和提供服务，供方应向需方支付误期赔偿费。误期赔偿费每天按迟交货物的交货价或延期服务的服务费用的百分之一（1%）计收，直至交货或提供服务为止。一天按24小时计算，不足一天按一一天计算。但误期赔偿费的最高限额不超过合同价的百分之五（5%）。</w:t>
      </w:r>
    </w:p>
    <w:p w14:paraId="1D6CC942">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13.2误期赔偿费可从应付货款和/或履约保证金中扣除。</w:t>
      </w:r>
    </w:p>
    <w:p w14:paraId="3F72BE3C">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13.3收取误期赔偿费不影响需方采取合同规定的其他补救措施的权利。</w:t>
      </w:r>
    </w:p>
    <w:p w14:paraId="4480921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13.4供方如未能按本合同第九条规定进行售后服务，在收到需方县级远程办书面故障处理通知之日起一个月内仍未能解决故障，需方将按出现故障设备供货价格扣除质量保证金。</w:t>
      </w:r>
    </w:p>
    <w:p w14:paraId="10FD8173">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13.5在收取误期赔偿费期间，需方有权决定是否终止合同。</w:t>
      </w:r>
    </w:p>
    <w:p w14:paraId="1F21674C">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十四、履约保证金</w:t>
      </w:r>
    </w:p>
    <w:p w14:paraId="24343991">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14.1 中标供应商接到中标通知书后，合同签订前向采购人缴纳中标金额的5%做为履约保证金。</w:t>
      </w:r>
    </w:p>
    <w:p w14:paraId="65FE52AF">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14.2 履约金返还的时间和条件：</w:t>
      </w:r>
      <w:r>
        <w:rPr>
          <w:rFonts w:hint="eastAsia" w:ascii="宋体" w:hAnsi="宋体" w:eastAsia="宋体" w:cs="Times New Roman"/>
          <w:color w:val="auto"/>
          <w:szCs w:val="21"/>
          <w:highlight w:val="none"/>
          <w:lang w:val="en-US" w:eastAsia="zh-CN"/>
        </w:rPr>
        <w:t>按相关规定执行</w:t>
      </w:r>
      <w:r>
        <w:rPr>
          <w:rFonts w:hint="eastAsia" w:ascii="宋体" w:hAnsi="宋体" w:eastAsia="宋体" w:cs="Times New Roman"/>
          <w:color w:val="auto"/>
          <w:szCs w:val="21"/>
          <w:highlight w:val="none"/>
        </w:rPr>
        <w:t>。</w:t>
      </w:r>
    </w:p>
    <w:p w14:paraId="580C1F3C">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十五、不可抗力</w:t>
      </w:r>
    </w:p>
    <w:p w14:paraId="6F1DBD72">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15.1 如果供需双方因不可抗力而导致合同实施延误或不能履行合同义务，不应该承担误期赔偿或不能履行合同义务的责任。</w:t>
      </w:r>
    </w:p>
    <w:p w14:paraId="082A1490">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15.2 本条所述的“不可抗力”系指那些双方无法控制，不可预见的事件，但不包括供需双方的违约或疏忽。这些事件包括但不限于：战争、严重火灾、洪水、台风、地震以及其它供需双方商定的事件(供需双方认定国家政策重大变化属不可抗力)。</w:t>
      </w:r>
    </w:p>
    <w:p w14:paraId="55C6144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15.3 在不可抗力事件发生后，当事方应尽快以书面形式将不可抗力的情况和原因通知对方。供需双方应尽实际可能继续履行合同义务，并积极寻求采取合理的方案履行不受不可抗力影响的其他事项。供需双方应通过友好协商在合理的时间内达成进一步履行合同的协议。</w:t>
      </w:r>
    </w:p>
    <w:p w14:paraId="1BFE23AA">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十六、税费</w:t>
      </w:r>
    </w:p>
    <w:p w14:paraId="747F402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16.1 根据现行法律规定对需方征收的与本合同有关的一切税费均由需方负担。</w:t>
      </w:r>
    </w:p>
    <w:p w14:paraId="2B37FCFB">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16.2 根据现行法律规定对供方征收的与本合同有关的一切税费均由供方负担。</w:t>
      </w:r>
    </w:p>
    <w:p w14:paraId="124C5D93">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16.3 在中国境外发生的与执行本合同有关的一切税费均由供方负担。</w:t>
      </w:r>
    </w:p>
    <w:p w14:paraId="15FFD273">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十七、争端的解决</w:t>
      </w:r>
    </w:p>
    <w:p w14:paraId="09B3C54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17.1 供需双方应通过友好协商，解决在执行本合同过程中所发生的或与本合同有关的一切争端。如从协商开始十（10）天内仍不能解决，可以向有关合同管理部门提请调解。</w:t>
      </w:r>
    </w:p>
    <w:p w14:paraId="0225B570">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17.2 如果调解不成，供需双方的任何一方可以向人民法院提起诉讼。诉讼由合同签订地人民法院管辖。</w:t>
      </w:r>
    </w:p>
    <w:p w14:paraId="393E19AD">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17.3诉讼费除法院另有裁决外均由败诉方负担。</w:t>
      </w:r>
    </w:p>
    <w:p w14:paraId="0C1C0950">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17.4在诉讼期间，除正在进行诉讼的部分外，本合同的其它部分应继续执行。</w:t>
      </w:r>
    </w:p>
    <w:p w14:paraId="34AA23A0">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十八、违约终止合同</w:t>
      </w:r>
    </w:p>
    <w:p w14:paraId="157AAC7A">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18.1 在需方因供方违约而按合同约定采取的任何补救措施不受影响的情况下，需方可在下列情况下向供方发出书面通知，提出终止部分或全部合同。</w:t>
      </w:r>
    </w:p>
    <w:p w14:paraId="75B69979">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（1）如果供方未能在合同规定的限期或需方同意延长的限期内提供部分或全部货物和服务。</w:t>
      </w:r>
    </w:p>
    <w:p w14:paraId="55CEAB8A">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（2）如果供方未能履行合同规定的其它任何义务。</w:t>
      </w:r>
    </w:p>
    <w:p w14:paraId="39B5B670">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3）如果需方认为供方在本合同的竞争或实施中有腐败和欺诈行为。为此，定义如下：“腐败行为”是指提供、给予、接受或索取任何有价值的东西来影响采购人员在采购过程或合同实施过程中的行为；“欺诈行为”是指为了影响采购过程或合同实施过程而谎报事实，损害采购人的利益，包括供货单位之间串通，人为地使供货活动丧失竞争性，损害采购人所能获得的权益。</w:t>
      </w:r>
    </w:p>
    <w:p w14:paraId="1AF39323">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18.2 如果需方根据上述第18.1款的规定，终止了全部或部分合同，需方可以依其认为适当的条件和方法购买与未交货物类似的货物，供方应对购买类似货物所超出的那部分费用负责。供方提交的履约保证金将被作为需方采取上述补救措施的购买资金的一部分。并且，供方应继续履行合同中未终止的部分。</w:t>
      </w:r>
    </w:p>
    <w:p w14:paraId="3A0430F0">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十九、破产终止合同</w:t>
      </w:r>
    </w:p>
    <w:p w14:paraId="625D4F62">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19.1 如果供方破产或丧失清偿能力，需方可在任何时候以书面形式通知供方终止合同而不给供方补偿。该终止合同将不损害或影响需方已经采取或将要采取任何补救措施的权力。</w:t>
      </w:r>
    </w:p>
    <w:p w14:paraId="53E21BF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二十、合同转让和分包</w:t>
      </w:r>
    </w:p>
    <w:p w14:paraId="4659EEBC">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20.1 供方不得部分转让和分包或全部转让和分包其应履行的合同义务。</w:t>
      </w:r>
    </w:p>
    <w:p w14:paraId="465BBAB3">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二十一、需要补充的合同条款</w:t>
      </w:r>
    </w:p>
    <w:p w14:paraId="116F8EF9">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21.1 根据评标过程中或者商务谈判时商定的条款和条件在订立合同时标明。</w:t>
      </w:r>
    </w:p>
    <w:p w14:paraId="03C1C6B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二十二、适用法律</w:t>
      </w:r>
    </w:p>
    <w:p w14:paraId="06C607FF">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22.1 本合同按照中华人民共和国的现行法律进行解释。</w:t>
      </w:r>
    </w:p>
    <w:p w14:paraId="67271000">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二十三、合同生效</w:t>
      </w:r>
    </w:p>
    <w:p w14:paraId="292BF168">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23.1 本合同在供需双方法定代表人或其授权代理人签字并加盖公章并且采购方收到供方提交的履约保证金后生效。 </w:t>
      </w:r>
    </w:p>
    <w:p w14:paraId="6B822651">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二十四、合同附件</w:t>
      </w:r>
    </w:p>
    <w:p w14:paraId="39377C0C">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24.1下列文件构成本合同不可分割的组成部分，与本合同具有同等法律效力：</w:t>
      </w:r>
    </w:p>
    <w:p w14:paraId="2101BADF">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1、招标文件及澄清、补充文件；</w:t>
      </w:r>
    </w:p>
    <w:p w14:paraId="73278EA9">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2、供方的投标文件、在投标期间的书面承诺文件和售后服务承诺书；        </w:t>
      </w:r>
    </w:p>
    <w:p w14:paraId="151D7592">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3、产品样本、说明书、图纸（与合同配置不符之处，以合同为准）；</w:t>
      </w:r>
    </w:p>
    <w:p w14:paraId="30502ACC">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4、中标通知书；</w:t>
      </w:r>
    </w:p>
    <w:p w14:paraId="12F7C349">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5、政府采购验收报告单；</w:t>
      </w:r>
    </w:p>
    <w:p w14:paraId="31AD9619">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6、合同的其他附件：</w:t>
      </w:r>
    </w:p>
    <w:p w14:paraId="526D6316">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上述合同附件如果有不一致之处，以日期在后的和对需方有利的为准。</w:t>
      </w:r>
    </w:p>
    <w:p w14:paraId="0B40F912">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二十五、合同修改</w:t>
      </w:r>
    </w:p>
    <w:p w14:paraId="73815C0C">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25.1除供需双方和采购方签署书面修改、补充协议，并成为本合同不可分割的一部分之外，本合同条件不得有任何变化或修改。</w:t>
      </w:r>
    </w:p>
    <w:p w14:paraId="5EA42668">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二十六、合同备案</w:t>
      </w:r>
    </w:p>
    <w:p w14:paraId="48AF431A">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26.1自本合同订立之日起七个工作日内，向本级政府采购监督管理部门备案。</w:t>
      </w:r>
    </w:p>
    <w:p w14:paraId="2FCD466D">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二十七、政府采购法对政府采购合同变更终止的规定：“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在本合同中，双方当事人指供需双方。</w:t>
      </w:r>
    </w:p>
    <w:p w14:paraId="20D8A31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需方：                                  供方：</w:t>
      </w:r>
    </w:p>
    <w:p w14:paraId="52C21E33">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地址：                                  地址：</w:t>
      </w:r>
    </w:p>
    <w:p w14:paraId="3A54A7E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法定代表人 ：                           法定代表人 :              </w:t>
      </w:r>
    </w:p>
    <w:p w14:paraId="6D4C01C0">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或授权委托人：                          或授权代理人：</w:t>
      </w:r>
    </w:p>
    <w:p w14:paraId="7D3AFD35">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签字日期：                              签字日期：</w:t>
      </w:r>
    </w:p>
    <w:p w14:paraId="150315A1">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邮政编码：                              邮政编码：</w:t>
      </w:r>
    </w:p>
    <w:p w14:paraId="4D370BBC">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电话：                                  电话：</w:t>
      </w:r>
    </w:p>
    <w:p w14:paraId="6426CF72">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传真：                                  传真：</w:t>
      </w:r>
    </w:p>
    <w:p w14:paraId="43E7BDAB">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联系人：                                联系人：</w:t>
      </w:r>
    </w:p>
    <w:p w14:paraId="465147CB">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开户银行：                              开户银行：</w:t>
      </w:r>
    </w:p>
    <w:p w14:paraId="32694568">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帐户名称:                               帐户名称：</w:t>
      </w:r>
    </w:p>
    <w:p w14:paraId="7344D90A">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帐号：                                  帐号：</w:t>
      </w:r>
    </w:p>
    <w:p w14:paraId="6220158C">
      <w:pPr>
        <w:rPr>
          <w:rFonts w:hint="eastAsia" w:ascii="宋体" w:hAnsi="宋体" w:eastAsia="宋体" w:cs="宋体"/>
          <w:b/>
          <w:color w:val="auto"/>
          <w:kern w:val="44"/>
          <w:sz w:val="24"/>
          <w:szCs w:val="24"/>
          <w:highlight w:val="none"/>
          <w:lang w:eastAsia="zh-CN"/>
        </w:rPr>
      </w:pPr>
      <w:r>
        <w:rPr>
          <w:rFonts w:hint="eastAsia" w:ascii="宋体" w:hAnsi="宋体" w:eastAsia="宋体" w:cs="宋体"/>
          <w:b/>
          <w:color w:val="auto"/>
          <w:kern w:val="44"/>
          <w:sz w:val="24"/>
          <w:szCs w:val="24"/>
          <w:highlight w:val="none"/>
          <w:lang w:val="en-US" w:eastAsia="zh-CN"/>
        </w:rPr>
        <w:t>本合同为参考范本，</w:t>
      </w:r>
      <w:r>
        <w:rPr>
          <w:rFonts w:hint="eastAsia" w:ascii="宋体" w:hAnsi="宋体" w:eastAsia="宋体" w:cs="宋体"/>
          <w:b/>
          <w:color w:val="auto"/>
          <w:kern w:val="44"/>
          <w:sz w:val="24"/>
          <w:szCs w:val="24"/>
          <w:highlight w:val="none"/>
          <w:lang w:eastAsia="zh-CN"/>
        </w:rPr>
        <w:t>合同协议条款将由采购人（甲方）与成交人（乙方）结合磋商文件、响应文件和本项目具体情况协商后签订。具体以实际签订合同为准。</w:t>
      </w:r>
    </w:p>
    <w:p w14:paraId="696EAE3F">
      <w:pPr>
        <w:rPr>
          <w:rFonts w:hint="eastAsia" w:ascii="宋体" w:hAnsi="宋体" w:eastAsia="宋体" w:cs="宋体"/>
          <w:b/>
          <w:color w:val="auto"/>
          <w:kern w:val="44"/>
          <w:sz w:val="24"/>
          <w:szCs w:val="24"/>
          <w:highlight w:val="none"/>
          <w:lang w:eastAsia="zh-CN"/>
        </w:rPr>
      </w:pPr>
    </w:p>
    <w:p w14:paraId="3E1F8535">
      <w:pPr>
        <w:spacing w:line="420" w:lineRule="exact"/>
        <w:jc w:val="center"/>
        <w:rPr>
          <w:rFonts w:ascii="宋体" w:hAnsi="宋体"/>
          <w:color w:val="auto"/>
          <w:highlight w:val="none"/>
        </w:rPr>
      </w:pPr>
    </w:p>
    <w:p w14:paraId="3C1FA8F8">
      <w:pPr>
        <w:rPr>
          <w:rFonts w:hint="eastAsia" w:ascii="宋体" w:hAnsi="宋体"/>
          <w:b/>
          <w:color w:val="auto"/>
          <w:sz w:val="32"/>
          <w:szCs w:val="32"/>
          <w:highlight w:val="none"/>
        </w:rPr>
      </w:pPr>
      <w:r>
        <w:rPr>
          <w:rFonts w:hint="eastAsia" w:ascii="宋体" w:hAnsi="宋体"/>
          <w:b/>
          <w:color w:val="auto"/>
          <w:sz w:val="32"/>
          <w:szCs w:val="32"/>
          <w:highlight w:val="none"/>
        </w:rPr>
        <w:br w:type="page"/>
      </w:r>
    </w:p>
    <w:p w14:paraId="06C6B8CC">
      <w:pPr>
        <w:numPr>
          <w:ilvl w:val="0"/>
          <w:numId w:val="1"/>
        </w:numPr>
        <w:jc w:val="center"/>
        <w:rPr>
          <w:rFonts w:hint="eastAsia" w:ascii="宋体" w:hAnsi="宋体"/>
          <w:b/>
          <w:color w:val="auto"/>
          <w:sz w:val="32"/>
          <w:szCs w:val="32"/>
          <w:highlight w:val="none"/>
        </w:rPr>
      </w:pPr>
      <w:r>
        <w:rPr>
          <w:rFonts w:hint="eastAsia" w:ascii="宋体" w:hAnsi="宋体"/>
          <w:b/>
          <w:color w:val="auto"/>
          <w:sz w:val="32"/>
          <w:szCs w:val="32"/>
          <w:highlight w:val="none"/>
        </w:rPr>
        <w:t xml:space="preserve"> 采购需求</w:t>
      </w:r>
    </w:p>
    <w:p w14:paraId="44FBAB3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Times New Roman" w:hAnsi="Times New Roman" w:eastAsia="宋体" w:cs="宋体"/>
          <w:b w:val="0"/>
          <w:bCs w:val="0"/>
          <w:kern w:val="2"/>
          <w:sz w:val="24"/>
          <w:szCs w:val="24"/>
          <w:highlight w:val="none"/>
          <w:u w:val="none"/>
          <w:lang w:val="en-US" w:eastAsia="zh-CN"/>
        </w:rPr>
      </w:pPr>
    </w:p>
    <w:p w14:paraId="04364136">
      <w:pPr>
        <w:pStyle w:val="3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00" w:lineRule="exact"/>
        <w:ind w:right="0" w:firstLine="480" w:firstLineChars="200"/>
        <w:jc w:val="left"/>
        <w:textAlignment w:val="auto"/>
        <w:outlineLvl w:val="9"/>
        <w:rPr>
          <w:rFonts w:hint="eastAsia" w:ascii="宋体" w:hAnsi="宋体" w:eastAsia="宋体" w:cs="宋体"/>
          <w:b w:val="0"/>
          <w:bCs w:val="0"/>
          <w:color w:val="333333"/>
          <w:sz w:val="24"/>
          <w:szCs w:val="24"/>
          <w:shd w:val="clear" w:fill="FFFFFF"/>
          <w:lang w:val="en-US" w:eastAsia="zh-CN"/>
        </w:rPr>
      </w:pPr>
      <w:r>
        <w:rPr>
          <w:rFonts w:hint="eastAsia" w:ascii="宋体" w:hAnsi="宋体" w:eastAsia="宋体" w:cs="宋体"/>
          <w:b w:val="0"/>
          <w:bCs w:val="0"/>
          <w:color w:val="333333"/>
          <w:sz w:val="24"/>
          <w:szCs w:val="24"/>
          <w:shd w:val="clear" w:fill="FFFFFF"/>
          <w:lang w:val="en-US" w:eastAsia="zh-CN"/>
        </w:rPr>
        <w:t>1、项目名称：长春市宽城区医院异地建设项目柴油发电机采购与安装；</w:t>
      </w:r>
    </w:p>
    <w:p w14:paraId="14132485">
      <w:pPr>
        <w:pStyle w:val="3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00" w:lineRule="exact"/>
        <w:ind w:right="0" w:firstLine="480" w:firstLineChars="200"/>
        <w:jc w:val="left"/>
        <w:textAlignment w:val="auto"/>
        <w:outlineLvl w:val="9"/>
        <w:rPr>
          <w:rFonts w:hint="eastAsia" w:ascii="宋体" w:hAnsi="宋体" w:eastAsia="宋体" w:cs="宋体"/>
          <w:b w:val="0"/>
          <w:bCs w:val="0"/>
          <w:color w:val="333333"/>
          <w:sz w:val="24"/>
          <w:szCs w:val="24"/>
          <w:shd w:val="clear" w:fill="FFFFFF"/>
          <w:lang w:val="en-US" w:eastAsia="zh-CN"/>
        </w:rPr>
      </w:pPr>
      <w:r>
        <w:rPr>
          <w:rFonts w:hint="eastAsia" w:ascii="宋体" w:hAnsi="宋体" w:eastAsia="宋体" w:cs="宋体"/>
          <w:b w:val="0"/>
          <w:bCs w:val="0"/>
          <w:color w:val="333333"/>
          <w:sz w:val="24"/>
          <w:szCs w:val="24"/>
          <w:shd w:val="clear" w:fill="FFFFFF"/>
          <w:lang w:val="en-US" w:eastAsia="zh-CN"/>
        </w:rPr>
        <w:t>2、采购内容：柴油发电机组采购与安装，平时柴油发电机组630KW2台、人防柴油发电机组110KW1台并安装调试；</w:t>
      </w:r>
    </w:p>
    <w:p w14:paraId="70C9C80E">
      <w:pPr>
        <w:pStyle w:val="3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00" w:lineRule="exact"/>
        <w:ind w:right="0" w:firstLine="480" w:firstLineChars="200"/>
        <w:jc w:val="left"/>
        <w:textAlignment w:val="auto"/>
        <w:outlineLvl w:val="9"/>
        <w:rPr>
          <w:rFonts w:hint="eastAsia" w:ascii="宋体" w:hAnsi="宋体" w:eastAsia="宋体" w:cs="宋体"/>
          <w:b w:val="0"/>
          <w:bCs w:val="0"/>
          <w:color w:val="333333"/>
          <w:sz w:val="24"/>
          <w:szCs w:val="24"/>
          <w:shd w:val="clear" w:fill="FFFFFF"/>
          <w:lang w:val="en-US" w:eastAsia="zh-CN"/>
        </w:rPr>
      </w:pPr>
      <w:r>
        <w:rPr>
          <w:rFonts w:hint="eastAsia" w:ascii="宋体" w:hAnsi="宋体" w:eastAsia="宋体" w:cs="宋体"/>
          <w:b w:val="0"/>
          <w:bCs w:val="0"/>
          <w:color w:val="333333"/>
          <w:sz w:val="24"/>
          <w:szCs w:val="24"/>
          <w:shd w:val="clear" w:fill="FFFFFF"/>
          <w:lang w:val="en-US" w:eastAsia="zh-CN"/>
        </w:rPr>
        <w:t>3、采购预算（即最高投标限价）：687127.23元（最高投标限价中包含暂列金57000元。潜在投标人最终报价总价包含暂列金57000元）；</w:t>
      </w:r>
    </w:p>
    <w:p w14:paraId="58FA9977">
      <w:pPr>
        <w:pStyle w:val="3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00" w:lineRule="exact"/>
        <w:ind w:right="0" w:firstLine="480" w:firstLineChars="200"/>
        <w:jc w:val="left"/>
        <w:textAlignment w:val="auto"/>
        <w:outlineLvl w:val="9"/>
        <w:rPr>
          <w:rFonts w:hint="eastAsia" w:ascii="宋体" w:hAnsi="宋体" w:eastAsia="宋体" w:cs="宋体"/>
          <w:b w:val="0"/>
          <w:bCs w:val="0"/>
          <w:color w:val="333333"/>
          <w:sz w:val="24"/>
          <w:szCs w:val="24"/>
          <w:shd w:val="clear" w:fill="FFFFFF"/>
          <w:lang w:val="en-US" w:eastAsia="zh-CN"/>
        </w:rPr>
      </w:pPr>
      <w:r>
        <w:rPr>
          <w:rFonts w:hint="eastAsia" w:ascii="宋体" w:hAnsi="宋体" w:eastAsia="宋体" w:cs="宋体"/>
          <w:b w:val="0"/>
          <w:bCs w:val="0"/>
          <w:color w:val="333333"/>
          <w:sz w:val="24"/>
          <w:szCs w:val="24"/>
          <w:shd w:val="clear" w:fill="FFFFFF"/>
          <w:lang w:val="en-US" w:eastAsia="zh-CN"/>
        </w:rPr>
        <w:t>4、柴油发电机组给出的功率 630KW/110KW为主用功率。</w:t>
      </w:r>
    </w:p>
    <w:p w14:paraId="056E1512">
      <w:pPr>
        <w:pStyle w:val="3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00" w:lineRule="exact"/>
        <w:ind w:right="0" w:firstLine="480" w:firstLineChars="200"/>
        <w:jc w:val="left"/>
        <w:textAlignment w:val="auto"/>
        <w:outlineLvl w:val="9"/>
        <w:rPr>
          <w:rFonts w:hint="eastAsia" w:ascii="宋体" w:hAnsi="宋体" w:eastAsia="宋体" w:cs="宋体"/>
          <w:b w:val="0"/>
          <w:bCs w:val="0"/>
          <w:color w:val="333333"/>
          <w:sz w:val="24"/>
          <w:szCs w:val="24"/>
          <w:shd w:val="clear" w:fill="FFFFFF"/>
          <w:lang w:val="en-US" w:eastAsia="zh-CN"/>
        </w:rPr>
      </w:pPr>
      <w:r>
        <w:rPr>
          <w:rFonts w:hint="eastAsia" w:ascii="宋体" w:hAnsi="宋体" w:eastAsia="宋体" w:cs="宋体"/>
          <w:b w:val="0"/>
          <w:bCs w:val="0"/>
          <w:color w:val="333333"/>
          <w:sz w:val="24"/>
          <w:szCs w:val="24"/>
          <w:shd w:val="clear" w:fill="FFFFFF"/>
          <w:lang w:val="en-US" w:eastAsia="zh-CN"/>
        </w:rPr>
        <w:t>5、柴油发电机组使用方式：敞开式机组室内安装。</w:t>
      </w:r>
    </w:p>
    <w:p w14:paraId="2A6CDEE7">
      <w:pPr>
        <w:pStyle w:val="3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00" w:lineRule="exact"/>
        <w:ind w:right="0" w:firstLine="480" w:firstLineChars="200"/>
        <w:jc w:val="left"/>
        <w:textAlignment w:val="auto"/>
        <w:outlineLvl w:val="9"/>
        <w:rPr>
          <w:rFonts w:hint="eastAsia" w:ascii="宋体" w:hAnsi="宋体" w:eastAsia="宋体" w:cs="宋体"/>
          <w:b w:val="0"/>
          <w:bCs w:val="0"/>
          <w:color w:val="333333"/>
          <w:sz w:val="24"/>
          <w:szCs w:val="24"/>
          <w:shd w:val="clear" w:fill="FFFFFF"/>
          <w:lang w:val="en-US" w:eastAsia="zh-CN"/>
        </w:rPr>
      </w:pPr>
      <w:r>
        <w:rPr>
          <w:rFonts w:hint="eastAsia" w:ascii="宋体" w:hAnsi="宋体" w:eastAsia="宋体" w:cs="宋体"/>
          <w:b w:val="0"/>
          <w:bCs w:val="0"/>
          <w:color w:val="333333"/>
          <w:sz w:val="24"/>
          <w:szCs w:val="24"/>
          <w:shd w:val="clear" w:fill="FFFFFF"/>
          <w:lang w:val="en-US" w:eastAsia="zh-CN"/>
        </w:rPr>
        <w:t>6．不接受翻新设备或二手设备、代工贴牌产品；</w:t>
      </w:r>
    </w:p>
    <w:p w14:paraId="4A639A8C">
      <w:pPr>
        <w:pStyle w:val="3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00" w:lineRule="exact"/>
        <w:ind w:right="0" w:firstLine="480" w:firstLineChars="200"/>
        <w:jc w:val="left"/>
        <w:textAlignment w:val="auto"/>
        <w:outlineLvl w:val="9"/>
        <w:rPr>
          <w:rFonts w:hint="eastAsia" w:ascii="宋体" w:hAnsi="宋体" w:eastAsia="宋体" w:cs="宋体"/>
          <w:b w:val="0"/>
          <w:bCs w:val="0"/>
          <w:color w:val="333333"/>
          <w:sz w:val="24"/>
          <w:szCs w:val="24"/>
          <w:shd w:val="clear" w:fill="FFFFFF"/>
          <w:lang w:val="en-US" w:eastAsia="zh-CN"/>
        </w:rPr>
      </w:pPr>
      <w:r>
        <w:rPr>
          <w:rFonts w:hint="eastAsia" w:ascii="宋体" w:hAnsi="宋体" w:eastAsia="宋体" w:cs="宋体"/>
          <w:b w:val="0"/>
          <w:bCs w:val="0"/>
          <w:color w:val="333333"/>
          <w:sz w:val="24"/>
          <w:szCs w:val="24"/>
          <w:shd w:val="clear" w:fill="FFFFFF"/>
          <w:lang w:val="en-US" w:eastAsia="zh-CN"/>
        </w:rPr>
        <w:t>7．提供加盖原厂商公章的出厂合格证，出厂测试报告文件。</w:t>
      </w:r>
    </w:p>
    <w:p w14:paraId="3B3485AB">
      <w:pPr>
        <w:pStyle w:val="3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00" w:lineRule="exact"/>
        <w:ind w:right="0" w:firstLine="480" w:firstLineChars="200"/>
        <w:jc w:val="left"/>
        <w:textAlignment w:val="auto"/>
        <w:outlineLvl w:val="9"/>
        <w:rPr>
          <w:rFonts w:hint="eastAsia" w:ascii="宋体" w:hAnsi="宋体" w:eastAsia="宋体" w:cs="宋体"/>
          <w:b w:val="0"/>
          <w:bCs w:val="0"/>
          <w:color w:val="333333"/>
          <w:sz w:val="24"/>
          <w:szCs w:val="24"/>
          <w:shd w:val="clear" w:fill="FFFFFF"/>
          <w:lang w:val="en-US" w:eastAsia="zh-CN"/>
        </w:rPr>
      </w:pPr>
      <w:r>
        <w:rPr>
          <w:rFonts w:hint="eastAsia" w:ascii="宋体" w:hAnsi="宋体" w:eastAsia="宋体" w:cs="宋体"/>
          <w:b w:val="0"/>
          <w:bCs w:val="0"/>
          <w:color w:val="333333"/>
          <w:sz w:val="24"/>
          <w:szCs w:val="24"/>
          <w:shd w:val="clear" w:fill="FFFFFF"/>
          <w:lang w:val="en-US" w:eastAsia="zh-CN"/>
        </w:rPr>
        <w:t>8．提供提供柴油发电机组尺寸、重量、及铭牌</w:t>
      </w:r>
      <w:r>
        <w:rPr>
          <w:rFonts w:hint="eastAsia" w:cs="宋体"/>
          <w:b w:val="0"/>
          <w:bCs w:val="0"/>
          <w:color w:val="333333"/>
          <w:sz w:val="24"/>
          <w:szCs w:val="24"/>
          <w:shd w:val="clear" w:fill="FFFFFF"/>
          <w:lang w:val="en-US" w:eastAsia="zh-CN"/>
        </w:rPr>
        <w:t>。</w:t>
      </w:r>
    </w:p>
    <w:p w14:paraId="50F985B4">
      <w:pPr>
        <w:pStyle w:val="3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00" w:lineRule="exact"/>
        <w:ind w:right="0" w:firstLine="480" w:firstLineChars="200"/>
        <w:jc w:val="left"/>
        <w:textAlignment w:val="auto"/>
        <w:outlineLvl w:val="9"/>
        <w:rPr>
          <w:rFonts w:hint="eastAsia" w:ascii="宋体" w:hAnsi="宋体" w:eastAsia="宋体" w:cs="宋体"/>
          <w:b w:val="0"/>
          <w:bCs w:val="0"/>
          <w:color w:val="333333"/>
          <w:sz w:val="24"/>
          <w:szCs w:val="24"/>
          <w:shd w:val="clear" w:fill="FFFFFF"/>
          <w:lang w:val="en-US" w:eastAsia="zh-CN"/>
        </w:rPr>
      </w:pPr>
      <w:r>
        <w:rPr>
          <w:rFonts w:hint="eastAsia" w:ascii="宋体" w:hAnsi="宋体" w:eastAsia="宋体" w:cs="宋体"/>
          <w:b w:val="0"/>
          <w:bCs w:val="0"/>
          <w:color w:val="333333"/>
          <w:sz w:val="24"/>
          <w:szCs w:val="24"/>
          <w:shd w:val="clear" w:fill="FFFFFF"/>
          <w:lang w:val="en-US" w:eastAsia="zh-CN"/>
        </w:rPr>
        <w:t>9．发电机组标准安装后在使用地现场带载测试（不低于90%)。</w:t>
      </w:r>
    </w:p>
    <w:p w14:paraId="54BB6CE0">
      <w:pPr>
        <w:pStyle w:val="3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00" w:lineRule="exact"/>
        <w:ind w:right="0" w:firstLine="480" w:firstLineChars="200"/>
        <w:jc w:val="left"/>
        <w:textAlignment w:val="auto"/>
        <w:outlineLvl w:val="9"/>
        <w:rPr>
          <w:rFonts w:hint="eastAsia" w:ascii="宋体" w:hAnsi="宋体" w:eastAsia="宋体" w:cs="宋体"/>
          <w:b w:val="0"/>
          <w:bCs w:val="0"/>
          <w:color w:val="333333"/>
          <w:sz w:val="24"/>
          <w:szCs w:val="24"/>
          <w:shd w:val="clear" w:fill="FFFFFF"/>
          <w:lang w:val="en-US" w:eastAsia="zh-CN"/>
        </w:rPr>
      </w:pPr>
      <w:r>
        <w:rPr>
          <w:rFonts w:hint="eastAsia" w:ascii="宋体" w:hAnsi="宋体" w:eastAsia="宋体" w:cs="宋体"/>
          <w:b w:val="0"/>
          <w:bCs w:val="0"/>
          <w:color w:val="333333"/>
          <w:sz w:val="24"/>
          <w:szCs w:val="24"/>
          <w:shd w:val="clear" w:fill="FFFFFF"/>
          <w:lang w:val="en-US" w:eastAsia="zh-CN"/>
        </w:rPr>
        <w:t>10．备用630KW机组不是并机使用，2组发电机在一个屋。</w:t>
      </w:r>
    </w:p>
    <w:p w14:paraId="6E5BD922">
      <w:pPr>
        <w:pStyle w:val="3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00" w:lineRule="exact"/>
        <w:ind w:right="0" w:firstLine="480" w:firstLineChars="200"/>
        <w:jc w:val="left"/>
        <w:textAlignment w:val="auto"/>
        <w:outlineLvl w:val="9"/>
        <w:rPr>
          <w:rFonts w:hint="eastAsia" w:ascii="宋体" w:hAnsi="宋体" w:eastAsia="宋体" w:cs="宋体"/>
          <w:b w:val="0"/>
          <w:bCs w:val="0"/>
          <w:color w:val="333333"/>
          <w:sz w:val="24"/>
          <w:szCs w:val="24"/>
          <w:shd w:val="clear" w:fill="FFFFFF"/>
          <w:lang w:val="en-US" w:eastAsia="zh-CN"/>
        </w:rPr>
      </w:pPr>
      <w:r>
        <w:rPr>
          <w:rFonts w:hint="eastAsia" w:ascii="宋体" w:hAnsi="宋体" w:eastAsia="宋体" w:cs="宋体"/>
          <w:b w:val="0"/>
          <w:bCs w:val="0"/>
          <w:color w:val="333333"/>
          <w:sz w:val="24"/>
          <w:szCs w:val="24"/>
          <w:shd w:val="clear" w:fill="FFFFFF"/>
          <w:lang w:val="en-US" w:eastAsia="zh-CN"/>
        </w:rPr>
        <w:t>11．柴油发电机组安装调试工程界面：至低压双电源柜，满足柴发正常使用及相关部门验收要求。</w:t>
      </w:r>
    </w:p>
    <w:p w14:paraId="725B4038">
      <w:pPr>
        <w:pStyle w:val="3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00" w:lineRule="exact"/>
        <w:ind w:right="0" w:firstLine="480" w:firstLineChars="200"/>
        <w:jc w:val="left"/>
        <w:textAlignment w:val="auto"/>
        <w:outlineLvl w:val="9"/>
        <w:rPr>
          <w:rFonts w:hint="eastAsia" w:ascii="宋体" w:hAnsi="宋体" w:eastAsia="宋体" w:cs="宋体"/>
          <w:b w:val="0"/>
          <w:bCs w:val="0"/>
          <w:color w:val="333333"/>
          <w:sz w:val="24"/>
          <w:szCs w:val="24"/>
          <w:shd w:val="clear" w:fill="FFFFFF"/>
          <w:lang w:val="en-US" w:eastAsia="zh-CN"/>
        </w:rPr>
      </w:pPr>
      <w:r>
        <w:rPr>
          <w:rFonts w:hint="eastAsia" w:ascii="宋体" w:hAnsi="宋体" w:eastAsia="宋体" w:cs="宋体"/>
          <w:b w:val="0"/>
          <w:bCs w:val="0"/>
          <w:color w:val="333333"/>
          <w:sz w:val="24"/>
          <w:szCs w:val="24"/>
          <w:shd w:val="clear" w:fill="FFFFFF"/>
          <w:lang w:val="en-US" w:eastAsia="zh-CN"/>
        </w:rPr>
        <w:t>12、采购内容及技术要求：630kW敞开式应急柴油发电机组2套、110kW 敞开式应急柴油发电机组 1 套符合国标要求，并满足验收条件。</w:t>
      </w:r>
    </w:p>
    <w:p w14:paraId="1F4DCDF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560" w:firstLineChars="200"/>
        <w:jc w:val="both"/>
        <w:textAlignment w:val="auto"/>
        <w:rPr>
          <w:rFonts w:hint="eastAsia" w:ascii="Times New Roman" w:hAnsi="Times New Roman" w:eastAsia="宋体" w:cs="宋体"/>
          <w:b w:val="0"/>
          <w:bCs w:val="0"/>
          <w:kern w:val="2"/>
          <w:sz w:val="28"/>
          <w:szCs w:val="28"/>
          <w:highlight w:val="none"/>
          <w:u w:val="none"/>
          <w:lang w:val="en-US" w:eastAsia="zh-CN"/>
        </w:rPr>
      </w:pPr>
    </w:p>
    <w:p w14:paraId="5FADBDB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560" w:firstLineChars="200"/>
        <w:jc w:val="both"/>
        <w:textAlignment w:val="auto"/>
        <w:rPr>
          <w:rFonts w:hint="eastAsia" w:ascii="Times New Roman" w:hAnsi="Times New Roman" w:eastAsia="宋体" w:cs="宋体"/>
          <w:b w:val="0"/>
          <w:bCs w:val="0"/>
          <w:kern w:val="2"/>
          <w:sz w:val="28"/>
          <w:szCs w:val="28"/>
          <w:highlight w:val="none"/>
          <w:u w:val="none"/>
          <w:lang w:val="en-US" w:eastAsia="zh-CN"/>
        </w:rPr>
      </w:pPr>
    </w:p>
    <w:p w14:paraId="54C2272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Times New Roman" w:hAnsi="Times New Roman" w:eastAsia="宋体" w:cs="宋体"/>
          <w:b w:val="0"/>
          <w:bCs w:val="0"/>
          <w:kern w:val="2"/>
          <w:sz w:val="24"/>
          <w:szCs w:val="24"/>
          <w:highlight w:val="none"/>
          <w:u w:val="none"/>
          <w:lang w:val="en-US" w:eastAsia="zh-CN"/>
        </w:rPr>
      </w:pPr>
    </w:p>
    <w:p w14:paraId="3794FC88">
      <w:pPr>
        <w:pStyle w:val="17"/>
      </w:pPr>
    </w:p>
    <w:p w14:paraId="4E8C564A">
      <w:pPr>
        <w:rPr>
          <w:rFonts w:hint="eastAsia" w:ascii="宋体" w:hAnsi="宋体"/>
          <w:b/>
          <w:color w:val="auto"/>
          <w:sz w:val="32"/>
          <w:szCs w:val="32"/>
          <w:highlight w:val="none"/>
        </w:rPr>
      </w:pPr>
      <w:r>
        <w:rPr>
          <w:rFonts w:hint="eastAsia" w:ascii="宋体" w:hAnsi="宋体"/>
          <w:b/>
          <w:color w:val="auto"/>
          <w:sz w:val="32"/>
          <w:szCs w:val="32"/>
          <w:highlight w:val="none"/>
        </w:rPr>
        <w:br w:type="page"/>
      </w:r>
    </w:p>
    <w:p w14:paraId="67BC6550">
      <w:pPr>
        <w:jc w:val="center"/>
        <w:rPr>
          <w:rFonts w:ascii="宋体" w:hAnsi="宋体"/>
          <w:b/>
          <w:color w:val="auto"/>
          <w:sz w:val="32"/>
          <w:szCs w:val="32"/>
          <w:highlight w:val="none"/>
        </w:rPr>
      </w:pPr>
      <w:r>
        <w:rPr>
          <w:rFonts w:hint="eastAsia" w:ascii="宋体" w:hAnsi="宋体"/>
          <w:b/>
          <w:color w:val="auto"/>
          <w:sz w:val="32"/>
          <w:szCs w:val="32"/>
          <w:highlight w:val="none"/>
        </w:rPr>
        <w:t>第</w:t>
      </w:r>
      <w:r>
        <w:rPr>
          <w:rFonts w:hint="eastAsia" w:ascii="宋体" w:hAnsi="宋体"/>
          <w:b/>
          <w:color w:val="auto"/>
          <w:sz w:val="32"/>
          <w:szCs w:val="32"/>
          <w:highlight w:val="none"/>
          <w:lang w:val="en-US" w:eastAsia="zh-CN"/>
        </w:rPr>
        <w:t>六</w:t>
      </w:r>
      <w:r>
        <w:rPr>
          <w:rFonts w:hint="eastAsia" w:ascii="宋体" w:hAnsi="宋体"/>
          <w:b/>
          <w:color w:val="auto"/>
          <w:sz w:val="32"/>
          <w:szCs w:val="32"/>
          <w:highlight w:val="none"/>
        </w:rPr>
        <w:t>章  响应文件格式</w:t>
      </w:r>
    </w:p>
    <w:p w14:paraId="61874E00">
      <w:pPr>
        <w:jc w:val="center"/>
        <w:rPr>
          <w:rFonts w:ascii="黑体" w:eastAsia="黑体"/>
          <w:color w:val="auto"/>
          <w:sz w:val="32"/>
          <w:szCs w:val="32"/>
          <w:highlight w:val="none"/>
        </w:rPr>
      </w:pPr>
      <w:r>
        <w:rPr>
          <w:rFonts w:ascii="宋体" w:hAnsi="宋体"/>
          <w:color w:val="auto"/>
          <w:sz w:val="32"/>
          <w:szCs w:val="32"/>
          <w:highlight w:val="none"/>
        </w:rPr>
        <w:br w:type="page"/>
      </w:r>
    </w:p>
    <w:p w14:paraId="3FA9D445">
      <w:pPr>
        <w:jc w:val="center"/>
        <w:rPr>
          <w:rFonts w:ascii="黑体" w:eastAsia="黑体"/>
          <w:color w:val="auto"/>
          <w:sz w:val="32"/>
          <w:szCs w:val="32"/>
          <w:highlight w:val="none"/>
        </w:rPr>
      </w:pPr>
    </w:p>
    <w:p w14:paraId="121BE878">
      <w:pPr>
        <w:jc w:val="center"/>
        <w:rPr>
          <w:rFonts w:ascii="黑体" w:eastAsia="黑体"/>
          <w:color w:val="auto"/>
          <w:sz w:val="32"/>
          <w:szCs w:val="32"/>
          <w:highlight w:val="none"/>
        </w:rPr>
      </w:pPr>
    </w:p>
    <w:p w14:paraId="52DF82BB">
      <w:pPr>
        <w:jc w:val="center"/>
        <w:rPr>
          <w:rFonts w:ascii="黑体" w:eastAsia="黑体"/>
          <w:color w:val="auto"/>
          <w:sz w:val="32"/>
          <w:szCs w:val="32"/>
          <w:highlight w:val="none"/>
        </w:rPr>
      </w:pPr>
    </w:p>
    <w:p w14:paraId="6BB4F14E">
      <w:pPr>
        <w:jc w:val="center"/>
        <w:rPr>
          <w:rFonts w:ascii="黑体" w:eastAsia="黑体"/>
          <w:color w:val="auto"/>
          <w:sz w:val="28"/>
          <w:szCs w:val="28"/>
          <w:highlight w:val="none"/>
        </w:rPr>
      </w:pPr>
      <w:r>
        <w:rPr>
          <w:rFonts w:hint="eastAsia" w:ascii="宋体" w:hAnsi="宋体"/>
          <w:color w:val="auto"/>
          <w:sz w:val="28"/>
          <w:szCs w:val="28"/>
          <w:highlight w:val="none"/>
          <w:u w:val="single"/>
        </w:rPr>
        <w:t xml:space="preserve">                                 （项目名称） </w:t>
      </w:r>
    </w:p>
    <w:p w14:paraId="104D7816">
      <w:pPr>
        <w:spacing w:beforeLines="100"/>
        <w:jc w:val="center"/>
        <w:rPr>
          <w:rFonts w:hint="eastAsia" w:ascii="黑体" w:eastAsia="黑体"/>
          <w:color w:val="auto"/>
          <w:sz w:val="44"/>
          <w:szCs w:val="44"/>
          <w:highlight w:val="none"/>
        </w:rPr>
      </w:pPr>
    </w:p>
    <w:p w14:paraId="6AB67308">
      <w:pPr>
        <w:wordWrap w:val="0"/>
        <w:spacing w:beforeLines="100"/>
        <w:jc w:val="right"/>
        <w:rPr>
          <w:rFonts w:hint="default" w:ascii="黑体" w:eastAsia="黑体"/>
          <w:color w:val="auto"/>
          <w:sz w:val="44"/>
          <w:szCs w:val="44"/>
          <w:highlight w:val="none"/>
          <w:lang w:val="en-US" w:eastAsia="zh-CN"/>
        </w:rPr>
      </w:pPr>
      <w:r>
        <w:rPr>
          <w:rFonts w:hint="eastAsia" w:ascii="宋体" w:hAnsi="宋体"/>
          <w:color w:val="auto"/>
          <w:sz w:val="28"/>
          <w:szCs w:val="28"/>
          <w:highlight w:val="none"/>
          <w:u w:val="none"/>
          <w:lang w:val="en-US" w:eastAsia="zh-CN"/>
        </w:rPr>
        <w:t>正</w:t>
      </w:r>
      <w:r>
        <w:rPr>
          <w:rFonts w:hint="eastAsia" w:ascii="宋体" w:hAnsi="宋体"/>
          <w:color w:val="auto"/>
          <w:sz w:val="28"/>
          <w:szCs w:val="28"/>
          <w:highlight w:val="none"/>
          <w:u w:val="none"/>
          <w:lang w:eastAsia="zh-CN"/>
        </w:rPr>
        <w:t>（</w:t>
      </w:r>
      <w:r>
        <w:rPr>
          <w:rFonts w:hint="eastAsia" w:ascii="宋体" w:hAnsi="宋体"/>
          <w:color w:val="auto"/>
          <w:sz w:val="28"/>
          <w:szCs w:val="28"/>
          <w:highlight w:val="none"/>
          <w:u w:val="none"/>
          <w:lang w:val="en-US" w:eastAsia="zh-CN"/>
        </w:rPr>
        <w:t>副</w:t>
      </w:r>
      <w:r>
        <w:rPr>
          <w:rFonts w:hint="eastAsia" w:ascii="宋体" w:hAnsi="宋体"/>
          <w:color w:val="auto"/>
          <w:sz w:val="28"/>
          <w:szCs w:val="28"/>
          <w:highlight w:val="none"/>
          <w:u w:val="none"/>
          <w:lang w:eastAsia="zh-CN"/>
        </w:rPr>
        <w:t>）</w:t>
      </w:r>
      <w:r>
        <w:rPr>
          <w:rFonts w:hint="eastAsia" w:ascii="宋体" w:hAnsi="宋体"/>
          <w:color w:val="auto"/>
          <w:sz w:val="28"/>
          <w:szCs w:val="28"/>
          <w:highlight w:val="none"/>
          <w:u w:val="none"/>
          <w:lang w:val="en-US" w:eastAsia="zh-CN"/>
        </w:rPr>
        <w:t xml:space="preserve">本   </w:t>
      </w:r>
    </w:p>
    <w:p w14:paraId="1DDB8E17">
      <w:pPr>
        <w:spacing w:beforeLines="100"/>
        <w:jc w:val="center"/>
        <w:rPr>
          <w:rFonts w:hint="eastAsia" w:ascii="黑体" w:eastAsia="黑体"/>
          <w:color w:val="auto"/>
          <w:sz w:val="44"/>
          <w:szCs w:val="44"/>
          <w:highlight w:val="none"/>
        </w:rPr>
      </w:pPr>
    </w:p>
    <w:p w14:paraId="18E6EA7C">
      <w:pPr>
        <w:spacing w:beforeLines="100"/>
        <w:jc w:val="center"/>
        <w:rPr>
          <w:rFonts w:ascii="黑体" w:eastAsia="黑体"/>
          <w:color w:val="auto"/>
          <w:sz w:val="44"/>
          <w:szCs w:val="44"/>
          <w:highlight w:val="none"/>
        </w:rPr>
      </w:pPr>
      <w:r>
        <w:rPr>
          <w:rFonts w:hint="eastAsia" w:ascii="黑体" w:eastAsia="黑体"/>
          <w:color w:val="auto"/>
          <w:sz w:val="44"/>
          <w:szCs w:val="44"/>
          <w:highlight w:val="none"/>
        </w:rPr>
        <w:t>响  应  文  件</w:t>
      </w:r>
    </w:p>
    <w:p w14:paraId="459936B4">
      <w:pPr>
        <w:jc w:val="center"/>
        <w:rPr>
          <w:rFonts w:ascii="黑体" w:eastAsia="黑体"/>
          <w:color w:val="auto"/>
          <w:sz w:val="32"/>
          <w:szCs w:val="32"/>
          <w:highlight w:val="none"/>
        </w:rPr>
      </w:pPr>
    </w:p>
    <w:p w14:paraId="0CB86EA8">
      <w:pPr>
        <w:jc w:val="center"/>
        <w:rPr>
          <w:rFonts w:ascii="黑体" w:eastAsia="黑体"/>
          <w:color w:val="auto"/>
          <w:sz w:val="32"/>
          <w:szCs w:val="32"/>
          <w:highlight w:val="none"/>
        </w:rPr>
      </w:pPr>
    </w:p>
    <w:p w14:paraId="64FDA803">
      <w:pPr>
        <w:jc w:val="center"/>
        <w:rPr>
          <w:rFonts w:ascii="黑体" w:eastAsia="黑体"/>
          <w:color w:val="auto"/>
          <w:sz w:val="32"/>
          <w:szCs w:val="32"/>
          <w:highlight w:val="none"/>
        </w:rPr>
      </w:pPr>
      <w:r>
        <w:rPr>
          <w:rFonts w:hint="eastAsia" w:ascii="黑体" w:eastAsia="黑体"/>
          <w:color w:val="auto"/>
          <w:sz w:val="32"/>
          <w:szCs w:val="32"/>
          <w:highlight w:val="none"/>
        </w:rPr>
        <w:t>项目编号：</w:t>
      </w:r>
    </w:p>
    <w:p w14:paraId="3DC57D4C">
      <w:pPr>
        <w:jc w:val="center"/>
        <w:rPr>
          <w:rFonts w:ascii="黑体" w:eastAsia="黑体"/>
          <w:color w:val="auto"/>
          <w:sz w:val="32"/>
          <w:szCs w:val="32"/>
          <w:highlight w:val="none"/>
        </w:rPr>
      </w:pPr>
    </w:p>
    <w:p w14:paraId="734FC70C">
      <w:pPr>
        <w:jc w:val="center"/>
        <w:rPr>
          <w:rFonts w:ascii="黑体" w:eastAsia="黑体"/>
          <w:color w:val="auto"/>
          <w:sz w:val="32"/>
          <w:szCs w:val="32"/>
          <w:highlight w:val="none"/>
        </w:rPr>
      </w:pPr>
    </w:p>
    <w:p w14:paraId="1E6EE326">
      <w:pPr>
        <w:jc w:val="center"/>
        <w:rPr>
          <w:rFonts w:ascii="黑体" w:eastAsia="黑体"/>
          <w:color w:val="auto"/>
          <w:sz w:val="32"/>
          <w:szCs w:val="32"/>
          <w:highlight w:val="none"/>
        </w:rPr>
      </w:pPr>
    </w:p>
    <w:p w14:paraId="3F70CD13">
      <w:pPr>
        <w:jc w:val="center"/>
        <w:rPr>
          <w:rFonts w:ascii="黑体" w:eastAsia="黑体"/>
          <w:color w:val="auto"/>
          <w:sz w:val="32"/>
          <w:szCs w:val="32"/>
          <w:highlight w:val="none"/>
        </w:rPr>
      </w:pPr>
    </w:p>
    <w:p w14:paraId="38F677C5">
      <w:pPr>
        <w:jc w:val="center"/>
        <w:rPr>
          <w:rFonts w:ascii="黑体" w:eastAsia="黑体"/>
          <w:color w:val="auto"/>
          <w:sz w:val="32"/>
          <w:szCs w:val="32"/>
          <w:highlight w:val="none"/>
        </w:rPr>
      </w:pPr>
    </w:p>
    <w:p w14:paraId="7C58AC65">
      <w:pPr>
        <w:jc w:val="center"/>
        <w:rPr>
          <w:rFonts w:ascii="黑体" w:eastAsia="黑体"/>
          <w:color w:val="auto"/>
          <w:sz w:val="32"/>
          <w:szCs w:val="32"/>
          <w:highlight w:val="none"/>
        </w:rPr>
      </w:pPr>
    </w:p>
    <w:p w14:paraId="798C52BA">
      <w:pPr>
        <w:jc w:val="center"/>
        <w:rPr>
          <w:rFonts w:ascii="黑体" w:eastAsia="黑体"/>
          <w:color w:val="auto"/>
          <w:sz w:val="32"/>
          <w:szCs w:val="32"/>
          <w:highlight w:val="none"/>
        </w:rPr>
      </w:pPr>
    </w:p>
    <w:p w14:paraId="2866C8E5">
      <w:pPr>
        <w:jc w:val="center"/>
        <w:rPr>
          <w:rFonts w:ascii="黑体" w:eastAsia="黑体"/>
          <w:color w:val="auto"/>
          <w:sz w:val="32"/>
          <w:szCs w:val="32"/>
          <w:highlight w:val="none"/>
        </w:rPr>
      </w:pPr>
    </w:p>
    <w:p w14:paraId="426F5A26">
      <w:pPr>
        <w:jc w:val="center"/>
        <w:rPr>
          <w:rFonts w:ascii="黑体" w:eastAsia="黑体"/>
          <w:color w:val="auto"/>
          <w:sz w:val="32"/>
          <w:szCs w:val="32"/>
          <w:highlight w:val="none"/>
        </w:rPr>
      </w:pPr>
    </w:p>
    <w:p w14:paraId="5ED0D43C">
      <w:pPr>
        <w:jc w:val="center"/>
        <w:rPr>
          <w:rFonts w:ascii="黑体" w:eastAsia="黑体"/>
          <w:color w:val="auto"/>
          <w:sz w:val="32"/>
          <w:szCs w:val="32"/>
          <w:highlight w:val="none"/>
        </w:rPr>
      </w:pPr>
    </w:p>
    <w:p w14:paraId="1FCBFD07">
      <w:pPr>
        <w:jc w:val="center"/>
        <w:rPr>
          <w:rFonts w:ascii="黑体" w:eastAsia="黑体"/>
          <w:color w:val="auto"/>
          <w:sz w:val="32"/>
          <w:szCs w:val="32"/>
          <w:highlight w:val="none"/>
        </w:rPr>
      </w:pPr>
    </w:p>
    <w:p w14:paraId="766E5FB3">
      <w:pPr>
        <w:spacing w:line="480" w:lineRule="auto"/>
        <w:ind w:left="0" w:leftChars="0" w:firstLine="2100" w:firstLineChars="750"/>
        <w:rPr>
          <w:rFonts w:ascii="黑体" w:eastAsia="黑体"/>
          <w:color w:val="auto"/>
          <w:sz w:val="28"/>
          <w:szCs w:val="28"/>
          <w:highlight w:val="none"/>
        </w:rPr>
      </w:pPr>
      <w:r>
        <w:rPr>
          <w:rFonts w:hint="eastAsia" w:ascii="黑体" w:eastAsia="黑体"/>
          <w:color w:val="auto"/>
          <w:sz w:val="28"/>
          <w:szCs w:val="28"/>
          <w:highlight w:val="none"/>
        </w:rPr>
        <w:t>申请人：</w:t>
      </w:r>
      <w:r>
        <w:rPr>
          <w:rFonts w:hint="eastAsia" w:ascii="黑体" w:eastAsia="黑体"/>
          <w:color w:val="auto"/>
          <w:sz w:val="28"/>
          <w:szCs w:val="28"/>
          <w:highlight w:val="none"/>
          <w:lang w:val="en-US" w:eastAsia="zh-CN"/>
        </w:rPr>
        <w:t xml:space="preserve">                    </w:t>
      </w:r>
      <w:r>
        <w:rPr>
          <w:rFonts w:hint="eastAsia" w:ascii="黑体" w:eastAsia="黑体"/>
          <w:color w:val="auto"/>
          <w:sz w:val="28"/>
          <w:szCs w:val="28"/>
          <w:highlight w:val="none"/>
        </w:rPr>
        <w:t>（盖单位章）</w:t>
      </w:r>
    </w:p>
    <w:p w14:paraId="094414A2">
      <w:pPr>
        <w:spacing w:line="480" w:lineRule="auto"/>
        <w:jc w:val="center"/>
        <w:rPr>
          <w:rFonts w:ascii="黑体" w:eastAsia="黑体"/>
          <w:color w:val="auto"/>
          <w:sz w:val="28"/>
          <w:szCs w:val="28"/>
          <w:highlight w:val="none"/>
        </w:rPr>
      </w:pPr>
      <w:r>
        <w:rPr>
          <w:rFonts w:hint="eastAsia" w:ascii="黑体" w:eastAsia="黑体"/>
          <w:color w:val="auto"/>
          <w:sz w:val="28"/>
          <w:szCs w:val="28"/>
          <w:highlight w:val="none"/>
        </w:rPr>
        <w:t xml:space="preserve">  法定代表人或其委托代理人：</w:t>
      </w:r>
      <w:r>
        <w:rPr>
          <w:rFonts w:hint="eastAsia" w:ascii="黑体" w:eastAsia="黑体"/>
          <w:color w:val="auto"/>
          <w:sz w:val="28"/>
          <w:szCs w:val="28"/>
          <w:highlight w:val="none"/>
          <w:lang w:val="en-US" w:eastAsia="zh-CN"/>
        </w:rPr>
        <w:t xml:space="preserve">   </w:t>
      </w:r>
      <w:r>
        <w:rPr>
          <w:rFonts w:hint="eastAsia" w:ascii="黑体" w:eastAsia="黑体"/>
          <w:color w:val="auto"/>
          <w:sz w:val="28"/>
          <w:szCs w:val="28"/>
          <w:highlight w:val="none"/>
        </w:rPr>
        <w:t>（签字）</w:t>
      </w:r>
    </w:p>
    <w:p w14:paraId="203527F7">
      <w:pPr>
        <w:jc w:val="center"/>
        <w:rPr>
          <w:rFonts w:ascii="黑体" w:eastAsia="黑体"/>
          <w:color w:val="auto"/>
          <w:sz w:val="28"/>
          <w:szCs w:val="28"/>
          <w:highlight w:val="none"/>
        </w:rPr>
      </w:pPr>
    </w:p>
    <w:p w14:paraId="65BAF236">
      <w:pPr>
        <w:jc w:val="center"/>
        <w:rPr>
          <w:rFonts w:ascii="黑体" w:eastAsia="黑体"/>
          <w:color w:val="auto"/>
          <w:sz w:val="28"/>
          <w:szCs w:val="28"/>
          <w:highlight w:val="none"/>
        </w:rPr>
      </w:pPr>
    </w:p>
    <w:p w14:paraId="562FEBDF">
      <w:pPr>
        <w:jc w:val="center"/>
        <w:rPr>
          <w:rFonts w:ascii="黑体" w:eastAsia="黑体"/>
          <w:color w:val="auto"/>
          <w:sz w:val="28"/>
          <w:szCs w:val="28"/>
          <w:highlight w:val="none"/>
        </w:rPr>
      </w:pPr>
      <w:r>
        <w:rPr>
          <w:rFonts w:hint="eastAsia" w:ascii="黑体" w:eastAsia="黑体"/>
          <w:color w:val="auto"/>
          <w:sz w:val="28"/>
          <w:szCs w:val="28"/>
          <w:highlight w:val="none"/>
        </w:rPr>
        <w:t>年  月  日</w:t>
      </w:r>
    </w:p>
    <w:p w14:paraId="406ECAC6">
      <w:pPr>
        <w:jc w:val="center"/>
        <w:rPr>
          <w:rFonts w:ascii="宋体" w:hAnsi="宋体"/>
          <w:color w:val="auto"/>
          <w:sz w:val="28"/>
          <w:szCs w:val="28"/>
          <w:highlight w:val="none"/>
        </w:rPr>
      </w:pPr>
      <w:r>
        <w:rPr>
          <w:rFonts w:ascii="黑体" w:eastAsia="黑体"/>
          <w:color w:val="auto"/>
          <w:sz w:val="28"/>
          <w:szCs w:val="28"/>
          <w:highlight w:val="none"/>
        </w:rPr>
        <w:br w:type="page"/>
      </w:r>
      <w:r>
        <w:rPr>
          <w:rFonts w:hint="eastAsia" w:ascii="宋体" w:hAnsi="宋体"/>
          <w:color w:val="auto"/>
          <w:sz w:val="28"/>
          <w:szCs w:val="28"/>
          <w:highlight w:val="none"/>
        </w:rPr>
        <w:t>目    录</w:t>
      </w:r>
    </w:p>
    <w:p w14:paraId="3EA90591">
      <w:pPr>
        <w:tabs>
          <w:tab w:val="left" w:pos="420"/>
        </w:tabs>
        <w:spacing w:line="600" w:lineRule="exact"/>
        <w:ind w:left="420" w:leftChars="200"/>
        <w:rPr>
          <w:rFonts w:ascii="宋体" w:hAnsi="宋体"/>
          <w:color w:val="auto"/>
          <w:szCs w:val="21"/>
          <w:highlight w:val="none"/>
        </w:rPr>
      </w:pPr>
      <w:r>
        <w:rPr>
          <w:rFonts w:ascii="宋体" w:hAnsi="宋体"/>
          <w:color w:val="auto"/>
          <w:szCs w:val="21"/>
          <w:highlight w:val="none"/>
        </w:rPr>
        <w:t>一、</w:t>
      </w:r>
      <w:r>
        <w:rPr>
          <w:rFonts w:hint="eastAsia" w:ascii="宋体" w:hAnsi="宋体"/>
          <w:color w:val="auto"/>
          <w:szCs w:val="21"/>
          <w:highlight w:val="none"/>
        </w:rPr>
        <w:t>磋商函</w:t>
      </w:r>
    </w:p>
    <w:p w14:paraId="5CDEB51D">
      <w:pPr>
        <w:tabs>
          <w:tab w:val="left" w:pos="420"/>
        </w:tabs>
        <w:spacing w:line="600" w:lineRule="exact"/>
        <w:ind w:left="420" w:leftChars="200"/>
        <w:rPr>
          <w:rFonts w:hint="eastAsia" w:ascii="宋体" w:hAnsi="宋体"/>
          <w:color w:val="auto"/>
          <w:szCs w:val="21"/>
          <w:highlight w:val="none"/>
        </w:rPr>
      </w:pPr>
      <w:r>
        <w:rPr>
          <w:rFonts w:ascii="宋体" w:hAnsi="宋体"/>
          <w:color w:val="auto"/>
          <w:szCs w:val="21"/>
          <w:highlight w:val="none"/>
        </w:rPr>
        <w:t>二、</w:t>
      </w:r>
      <w:r>
        <w:rPr>
          <w:rFonts w:hint="eastAsia" w:ascii="宋体" w:hAnsi="宋体"/>
          <w:color w:val="auto"/>
          <w:szCs w:val="21"/>
          <w:highlight w:val="none"/>
        </w:rPr>
        <w:t>法定代表人资格证明</w:t>
      </w:r>
    </w:p>
    <w:p w14:paraId="2883AEFD">
      <w:pPr>
        <w:tabs>
          <w:tab w:val="left" w:pos="420"/>
        </w:tabs>
        <w:spacing w:line="600" w:lineRule="exact"/>
        <w:ind w:left="420" w:leftChars="200"/>
        <w:rPr>
          <w:rFonts w:ascii="宋体" w:hAnsi="宋体"/>
          <w:color w:val="auto"/>
          <w:szCs w:val="21"/>
          <w:highlight w:val="none"/>
        </w:rPr>
      </w:pPr>
      <w:r>
        <w:rPr>
          <w:rFonts w:ascii="宋体" w:hAnsi="宋体"/>
          <w:color w:val="auto"/>
          <w:szCs w:val="21"/>
          <w:highlight w:val="none"/>
        </w:rPr>
        <w:t>三、授权委托书</w:t>
      </w:r>
    </w:p>
    <w:p w14:paraId="30E1C870">
      <w:pPr>
        <w:tabs>
          <w:tab w:val="left" w:pos="420"/>
        </w:tabs>
        <w:spacing w:line="600" w:lineRule="exact"/>
        <w:ind w:left="420" w:leftChars="200"/>
        <w:rPr>
          <w:rFonts w:ascii="宋体" w:hAnsi="宋体"/>
          <w:color w:val="auto"/>
          <w:szCs w:val="21"/>
          <w:highlight w:val="none"/>
        </w:rPr>
      </w:pPr>
      <w:r>
        <w:rPr>
          <w:rFonts w:ascii="宋体" w:hAnsi="宋体"/>
          <w:color w:val="auto"/>
          <w:szCs w:val="21"/>
          <w:highlight w:val="none"/>
        </w:rPr>
        <w:t>四、</w:t>
      </w:r>
      <w:r>
        <w:rPr>
          <w:rFonts w:hint="eastAsia" w:ascii="宋体" w:hAnsi="宋体"/>
          <w:color w:val="auto"/>
          <w:szCs w:val="21"/>
          <w:highlight w:val="none"/>
        </w:rPr>
        <w:t>报价</w:t>
      </w:r>
      <w:r>
        <w:rPr>
          <w:rFonts w:ascii="宋体" w:hAnsi="宋体"/>
          <w:color w:val="auto"/>
          <w:szCs w:val="21"/>
          <w:highlight w:val="none"/>
        </w:rPr>
        <w:t>一览表</w:t>
      </w:r>
    </w:p>
    <w:p w14:paraId="4A3AFB0F">
      <w:pPr>
        <w:tabs>
          <w:tab w:val="left" w:pos="420"/>
        </w:tabs>
        <w:spacing w:line="600" w:lineRule="exact"/>
        <w:ind w:left="420" w:leftChars="200"/>
        <w:rPr>
          <w:rFonts w:hint="eastAsia" w:ascii="宋体" w:hAnsi="宋体"/>
          <w:color w:val="auto"/>
          <w:szCs w:val="21"/>
          <w:highlight w:val="none"/>
        </w:rPr>
      </w:pPr>
      <w:r>
        <w:rPr>
          <w:rFonts w:ascii="宋体" w:hAnsi="宋体"/>
          <w:color w:val="auto"/>
          <w:szCs w:val="21"/>
          <w:highlight w:val="none"/>
        </w:rPr>
        <w:t>五、报价</w:t>
      </w:r>
      <w:r>
        <w:rPr>
          <w:rFonts w:hint="eastAsia" w:ascii="宋体" w:hAnsi="宋体"/>
          <w:color w:val="auto"/>
          <w:szCs w:val="21"/>
          <w:highlight w:val="none"/>
        </w:rPr>
        <w:t>明细</w:t>
      </w:r>
    </w:p>
    <w:p w14:paraId="743F7B92">
      <w:pPr>
        <w:tabs>
          <w:tab w:val="left" w:pos="420"/>
        </w:tabs>
        <w:spacing w:line="600" w:lineRule="exact"/>
        <w:ind w:left="420" w:leftChars="200"/>
        <w:rPr>
          <w:rFonts w:ascii="宋体" w:hAnsi="宋体"/>
          <w:color w:val="auto"/>
          <w:szCs w:val="21"/>
          <w:highlight w:val="none"/>
        </w:rPr>
      </w:pPr>
      <w:r>
        <w:rPr>
          <w:rFonts w:ascii="宋体" w:hAnsi="宋体"/>
          <w:color w:val="auto"/>
          <w:szCs w:val="21"/>
          <w:highlight w:val="none"/>
        </w:rPr>
        <w:t>六、</w:t>
      </w:r>
      <w:r>
        <w:rPr>
          <w:rFonts w:hint="eastAsia" w:ascii="宋体" w:hAnsi="宋体"/>
          <w:color w:val="auto"/>
          <w:szCs w:val="21"/>
          <w:highlight w:val="none"/>
        </w:rPr>
        <w:t>磋商</w:t>
      </w:r>
      <w:r>
        <w:rPr>
          <w:rFonts w:ascii="宋体" w:hAnsi="宋体"/>
          <w:color w:val="auto"/>
          <w:szCs w:val="21"/>
          <w:highlight w:val="none"/>
        </w:rPr>
        <w:t>保证金</w:t>
      </w:r>
    </w:p>
    <w:p w14:paraId="51A5A461">
      <w:pPr>
        <w:tabs>
          <w:tab w:val="left" w:pos="420"/>
        </w:tabs>
        <w:spacing w:line="600" w:lineRule="exact"/>
        <w:ind w:left="420" w:leftChars="200"/>
        <w:rPr>
          <w:rFonts w:hint="eastAsia" w:ascii="宋体" w:hAnsi="宋体"/>
          <w:color w:val="auto"/>
          <w:szCs w:val="21"/>
          <w:highlight w:val="none"/>
        </w:rPr>
      </w:pPr>
      <w:r>
        <w:rPr>
          <w:rFonts w:ascii="宋体" w:hAnsi="宋体"/>
          <w:color w:val="auto"/>
          <w:szCs w:val="21"/>
          <w:highlight w:val="none"/>
        </w:rPr>
        <w:t>七、资格审查资料</w:t>
      </w:r>
    </w:p>
    <w:p w14:paraId="2AADD52C">
      <w:pPr>
        <w:tabs>
          <w:tab w:val="left" w:pos="420"/>
        </w:tabs>
        <w:spacing w:line="600" w:lineRule="exact"/>
        <w:ind w:left="420" w:leftChars="20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八、技术部分</w:t>
      </w:r>
    </w:p>
    <w:p w14:paraId="51D40746">
      <w:pPr>
        <w:tabs>
          <w:tab w:val="left" w:pos="420"/>
        </w:tabs>
        <w:spacing w:line="600" w:lineRule="exact"/>
        <w:ind w:left="420" w:leftChars="200"/>
        <w:rPr>
          <w:rFonts w:ascii="宋体" w:hAnsi="宋体"/>
          <w:color w:val="auto"/>
          <w:szCs w:val="21"/>
          <w:highlight w:val="none"/>
        </w:rPr>
      </w:pPr>
      <w:r>
        <w:rPr>
          <w:rFonts w:hint="eastAsia" w:ascii="宋体" w:hAnsi="宋体"/>
          <w:color w:val="auto"/>
          <w:szCs w:val="21"/>
          <w:highlight w:val="none"/>
          <w:lang w:val="en-US" w:eastAsia="zh-CN"/>
        </w:rPr>
        <w:t>九</w:t>
      </w:r>
      <w:r>
        <w:rPr>
          <w:rFonts w:ascii="宋体" w:hAnsi="宋体"/>
          <w:color w:val="auto"/>
          <w:szCs w:val="21"/>
          <w:highlight w:val="none"/>
        </w:rPr>
        <w:t>、其他资料</w:t>
      </w:r>
    </w:p>
    <w:p w14:paraId="48937245">
      <w:pPr>
        <w:tabs>
          <w:tab w:val="left" w:pos="420"/>
        </w:tabs>
        <w:spacing w:line="600" w:lineRule="exact"/>
        <w:ind w:left="420" w:leftChars="200"/>
        <w:rPr>
          <w:rFonts w:ascii="宋体" w:hAnsi="宋体"/>
          <w:color w:val="auto"/>
          <w:szCs w:val="21"/>
          <w:highlight w:val="none"/>
        </w:rPr>
      </w:pPr>
    </w:p>
    <w:p w14:paraId="123F2993">
      <w:pPr>
        <w:spacing w:line="480" w:lineRule="auto"/>
        <w:jc w:val="left"/>
        <w:rPr>
          <w:b/>
          <w:sz w:val="32"/>
          <w:szCs w:val="32"/>
        </w:rPr>
      </w:pPr>
      <w:r>
        <w:rPr>
          <w:rFonts w:ascii="宋体" w:hAnsi="宋体"/>
          <w:color w:val="auto"/>
          <w:szCs w:val="21"/>
          <w:highlight w:val="none"/>
        </w:rPr>
        <w:br w:type="page"/>
      </w:r>
      <w:r>
        <w:rPr>
          <w:rFonts w:hint="eastAsia" w:ascii="宋体" w:hAnsi="宋体"/>
          <w:b/>
          <w:color w:val="auto"/>
          <w:sz w:val="32"/>
          <w:szCs w:val="32"/>
          <w:highlight w:val="none"/>
        </w:rPr>
        <w:t>一、</w:t>
      </w:r>
      <w:r>
        <w:rPr>
          <w:rFonts w:hint="eastAsia"/>
          <w:b/>
          <w:sz w:val="32"/>
          <w:szCs w:val="32"/>
        </w:rPr>
        <w:t>磋商函</w:t>
      </w:r>
    </w:p>
    <w:p w14:paraId="46F47EA7">
      <w:pPr>
        <w:jc w:val="center"/>
        <w:rPr>
          <w:rFonts w:hint="eastAsia"/>
          <w:sz w:val="32"/>
          <w:szCs w:val="32"/>
        </w:rPr>
      </w:pPr>
      <w:r>
        <w:rPr>
          <w:sz w:val="32"/>
          <w:szCs w:val="32"/>
        </w:rPr>
        <w:t>（一）</w:t>
      </w:r>
      <w:r>
        <w:rPr>
          <w:rFonts w:hint="eastAsia"/>
          <w:sz w:val="32"/>
          <w:szCs w:val="32"/>
        </w:rPr>
        <w:t>磋商函</w:t>
      </w:r>
    </w:p>
    <w:p w14:paraId="0821EB97">
      <w:pPr>
        <w:spacing w:line="360" w:lineRule="auto"/>
      </w:pPr>
    </w:p>
    <w:p w14:paraId="6932A9F2">
      <w:pPr>
        <w:spacing w:line="360" w:lineRule="auto"/>
        <w:rPr>
          <w:szCs w:val="21"/>
        </w:rPr>
      </w:pPr>
      <w:r>
        <w:rPr>
          <w:szCs w:val="21"/>
        </w:rPr>
        <w:t>致：</w:t>
      </w:r>
      <w:r>
        <w:rPr>
          <w:szCs w:val="21"/>
          <w:u w:val="single"/>
        </w:rPr>
        <w:t xml:space="preserve">                   </w:t>
      </w:r>
      <w:r>
        <w:rPr>
          <w:szCs w:val="21"/>
        </w:rPr>
        <w:t>（</w:t>
      </w:r>
      <w:r>
        <w:rPr>
          <w:rFonts w:hint="eastAsia"/>
          <w:szCs w:val="21"/>
        </w:rPr>
        <w:t>采购</w:t>
      </w:r>
      <w:r>
        <w:rPr>
          <w:szCs w:val="21"/>
        </w:rPr>
        <w:t>人名称）</w:t>
      </w:r>
    </w:p>
    <w:p w14:paraId="59B4A303">
      <w:pPr>
        <w:spacing w:line="360" w:lineRule="auto"/>
        <w:ind w:firstLine="420" w:firstLineChars="200"/>
        <w:rPr>
          <w:szCs w:val="21"/>
        </w:rPr>
      </w:pPr>
      <w:r>
        <w:rPr>
          <w:szCs w:val="21"/>
        </w:rPr>
        <w:t>经研究贵单位</w:t>
      </w:r>
      <w:r>
        <w:rPr>
          <w:szCs w:val="21"/>
          <w:u w:val="single"/>
        </w:rPr>
        <w:t xml:space="preserve">         </w:t>
      </w:r>
      <w:r>
        <w:rPr>
          <w:szCs w:val="21"/>
        </w:rPr>
        <w:t>（项目名称）的</w:t>
      </w:r>
      <w:r>
        <w:rPr>
          <w:rFonts w:hint="eastAsia"/>
          <w:szCs w:val="21"/>
        </w:rPr>
        <w:t>磋商文件</w:t>
      </w:r>
      <w:r>
        <w:rPr>
          <w:szCs w:val="21"/>
        </w:rPr>
        <w:t>后，</w:t>
      </w:r>
      <w:r>
        <w:rPr>
          <w:rFonts w:hint="eastAsia"/>
          <w:szCs w:val="21"/>
          <w:lang w:val="en-US" w:eastAsia="zh-CN"/>
        </w:rPr>
        <w:t>合同履行期限（供货期）</w:t>
      </w:r>
      <w:r>
        <w:rPr>
          <w:szCs w:val="21"/>
        </w:rPr>
        <w:t>：</w:t>
      </w:r>
      <w:r>
        <w:rPr>
          <w:szCs w:val="21"/>
          <w:u w:val="single"/>
        </w:rPr>
        <w:t xml:space="preserve">             </w:t>
      </w:r>
      <w:r>
        <w:rPr>
          <w:szCs w:val="21"/>
        </w:rPr>
        <w:t>，</w:t>
      </w:r>
      <w:r>
        <w:rPr>
          <w:rFonts w:hint="eastAsia"/>
          <w:szCs w:val="21"/>
        </w:rPr>
        <w:t>磋商</w:t>
      </w:r>
      <w:r>
        <w:rPr>
          <w:szCs w:val="21"/>
        </w:rPr>
        <w:t>报价</w:t>
      </w:r>
      <w:r>
        <w:rPr>
          <w:szCs w:val="21"/>
          <w:u w:val="single"/>
        </w:rPr>
        <w:t xml:space="preserve">        </w:t>
      </w:r>
      <w:r>
        <w:rPr>
          <w:szCs w:val="21"/>
        </w:rPr>
        <w:t>，完成</w:t>
      </w:r>
      <w:r>
        <w:rPr>
          <w:rFonts w:hint="eastAsia"/>
          <w:szCs w:val="21"/>
        </w:rPr>
        <w:t>磋商文件</w:t>
      </w:r>
      <w:r>
        <w:rPr>
          <w:szCs w:val="21"/>
        </w:rPr>
        <w:t>中所规定的全部任务，不再要求</w:t>
      </w:r>
      <w:r>
        <w:rPr>
          <w:rFonts w:hint="eastAsia"/>
          <w:szCs w:val="21"/>
        </w:rPr>
        <w:t>采购人</w:t>
      </w:r>
      <w:r>
        <w:rPr>
          <w:szCs w:val="21"/>
        </w:rPr>
        <w:t>支付其他任何费用。</w:t>
      </w:r>
    </w:p>
    <w:p w14:paraId="4FF298AE">
      <w:pPr>
        <w:spacing w:line="360" w:lineRule="auto"/>
        <w:ind w:firstLine="420" w:firstLineChars="200"/>
        <w:rPr>
          <w:szCs w:val="21"/>
        </w:rPr>
      </w:pPr>
      <w:r>
        <w:rPr>
          <w:szCs w:val="21"/>
        </w:rPr>
        <w:t>一旦我方</w:t>
      </w:r>
      <w:r>
        <w:rPr>
          <w:rFonts w:hint="eastAsia"/>
          <w:szCs w:val="21"/>
        </w:rPr>
        <w:t>成交</w:t>
      </w:r>
      <w:r>
        <w:rPr>
          <w:szCs w:val="21"/>
        </w:rPr>
        <w:t xml:space="preserve">，我方承诺： </w:t>
      </w:r>
    </w:p>
    <w:p w14:paraId="7E8E7B0B">
      <w:pPr>
        <w:autoSpaceDE w:val="0"/>
        <w:autoSpaceDN w:val="0"/>
        <w:snapToGrid w:val="0"/>
        <w:spacing w:line="360" w:lineRule="auto"/>
        <w:ind w:firstLine="420" w:firstLineChars="200"/>
        <w:jc w:val="left"/>
        <w:rPr>
          <w:szCs w:val="21"/>
        </w:rPr>
      </w:pPr>
      <w:r>
        <w:rPr>
          <w:szCs w:val="21"/>
        </w:rPr>
        <w:t>（1）在收到</w:t>
      </w:r>
      <w:r>
        <w:rPr>
          <w:rFonts w:hint="eastAsia"/>
          <w:szCs w:val="21"/>
        </w:rPr>
        <w:t>成交</w:t>
      </w:r>
      <w:r>
        <w:rPr>
          <w:szCs w:val="21"/>
        </w:rPr>
        <w:t>通知书后，在</w:t>
      </w:r>
      <w:r>
        <w:rPr>
          <w:rFonts w:hint="eastAsia"/>
          <w:szCs w:val="21"/>
        </w:rPr>
        <w:t>成交通知书</w:t>
      </w:r>
      <w:r>
        <w:rPr>
          <w:szCs w:val="21"/>
        </w:rPr>
        <w:t>规定的期限内与你方签订合同，否则承担法律责任；</w:t>
      </w:r>
    </w:p>
    <w:p w14:paraId="01B8CC2B">
      <w:pPr>
        <w:autoSpaceDE w:val="0"/>
        <w:autoSpaceDN w:val="0"/>
        <w:snapToGrid w:val="0"/>
        <w:spacing w:line="360" w:lineRule="auto"/>
        <w:ind w:firstLine="420" w:firstLineChars="200"/>
        <w:jc w:val="left"/>
        <w:rPr>
          <w:szCs w:val="21"/>
        </w:rPr>
      </w:pPr>
      <w:r>
        <w:rPr>
          <w:szCs w:val="21"/>
        </w:rPr>
        <w:t xml:space="preserve">（2）在签订合同时不向你方提出附加条件； </w:t>
      </w:r>
    </w:p>
    <w:p w14:paraId="1E293121">
      <w:pPr>
        <w:autoSpaceDE w:val="0"/>
        <w:autoSpaceDN w:val="0"/>
        <w:snapToGrid w:val="0"/>
        <w:spacing w:line="360" w:lineRule="auto"/>
        <w:ind w:firstLine="420" w:firstLineChars="200"/>
        <w:jc w:val="left"/>
        <w:rPr>
          <w:szCs w:val="21"/>
        </w:rPr>
      </w:pPr>
      <w:r>
        <w:rPr>
          <w:szCs w:val="21"/>
        </w:rPr>
        <w:t>（3）按照</w:t>
      </w:r>
      <w:r>
        <w:rPr>
          <w:rFonts w:hint="eastAsia"/>
          <w:szCs w:val="21"/>
        </w:rPr>
        <w:t>磋商文件</w:t>
      </w:r>
      <w:r>
        <w:rPr>
          <w:szCs w:val="21"/>
        </w:rPr>
        <w:t xml:space="preserve">要求提交履约保证金； </w:t>
      </w:r>
    </w:p>
    <w:p w14:paraId="0F820548">
      <w:pPr>
        <w:autoSpaceDE w:val="0"/>
        <w:autoSpaceDN w:val="0"/>
        <w:snapToGrid w:val="0"/>
        <w:spacing w:line="360" w:lineRule="auto"/>
        <w:ind w:firstLine="420" w:firstLineChars="200"/>
        <w:jc w:val="left"/>
        <w:rPr>
          <w:szCs w:val="21"/>
        </w:rPr>
      </w:pPr>
      <w:r>
        <w:rPr>
          <w:szCs w:val="21"/>
        </w:rPr>
        <w:t>（4）在合同约定的期限内完成合同规定的全部义务</w:t>
      </w:r>
      <w:r>
        <w:rPr>
          <w:rFonts w:hint="eastAsia"/>
          <w:szCs w:val="21"/>
        </w:rPr>
        <w:t>；</w:t>
      </w:r>
      <w:r>
        <w:rPr>
          <w:szCs w:val="21"/>
        </w:rPr>
        <w:t xml:space="preserve"> </w:t>
      </w:r>
    </w:p>
    <w:p w14:paraId="25297FAC">
      <w:pPr>
        <w:autoSpaceDE w:val="0"/>
        <w:autoSpaceDN w:val="0"/>
        <w:snapToGrid w:val="0"/>
        <w:spacing w:line="360" w:lineRule="auto"/>
        <w:ind w:firstLine="420" w:firstLineChars="200"/>
        <w:jc w:val="left"/>
        <w:rPr>
          <w:rFonts w:hint="eastAsia"/>
          <w:szCs w:val="21"/>
        </w:rPr>
      </w:pPr>
      <w:r>
        <w:rPr>
          <w:szCs w:val="21"/>
        </w:rPr>
        <w:t>（5）无条件响应</w:t>
      </w:r>
      <w:r>
        <w:rPr>
          <w:rFonts w:hint="eastAsia"/>
          <w:szCs w:val="21"/>
        </w:rPr>
        <w:t>采购</w:t>
      </w:r>
      <w:r>
        <w:rPr>
          <w:szCs w:val="21"/>
        </w:rPr>
        <w:t>人须知前附表中所有要求</w:t>
      </w:r>
      <w:r>
        <w:rPr>
          <w:rFonts w:hint="eastAsia"/>
          <w:szCs w:val="21"/>
        </w:rPr>
        <w:t>；</w:t>
      </w:r>
    </w:p>
    <w:p w14:paraId="70AE7D2F">
      <w:pPr>
        <w:spacing w:line="360" w:lineRule="auto"/>
        <w:ind w:firstLine="420" w:firstLineChars="200"/>
        <w:rPr>
          <w:szCs w:val="21"/>
        </w:rPr>
      </w:pPr>
      <w:r>
        <w:rPr>
          <w:szCs w:val="21"/>
        </w:rPr>
        <w:t>我方同意本</w:t>
      </w:r>
      <w:r>
        <w:rPr>
          <w:rFonts w:hint="eastAsia"/>
          <w:szCs w:val="21"/>
        </w:rPr>
        <w:t>响应文件</w:t>
      </w:r>
      <w:r>
        <w:rPr>
          <w:szCs w:val="21"/>
        </w:rPr>
        <w:t>在</w:t>
      </w:r>
      <w:r>
        <w:rPr>
          <w:rFonts w:hint="eastAsia"/>
          <w:szCs w:val="21"/>
        </w:rPr>
        <w:t>申请人</w:t>
      </w:r>
      <w:r>
        <w:rPr>
          <w:szCs w:val="21"/>
        </w:rPr>
        <w:t>须知中规定的</w:t>
      </w:r>
      <w:r>
        <w:rPr>
          <w:rFonts w:hint="eastAsia"/>
          <w:szCs w:val="21"/>
        </w:rPr>
        <w:t>磋商有效期内</w:t>
      </w:r>
      <w:r>
        <w:rPr>
          <w:szCs w:val="21"/>
        </w:rPr>
        <w:t>对我方有约束力，且随时可能按此</w:t>
      </w:r>
      <w:r>
        <w:rPr>
          <w:rFonts w:hint="eastAsia"/>
          <w:szCs w:val="21"/>
        </w:rPr>
        <w:t>响应文件成交</w:t>
      </w:r>
      <w:r>
        <w:rPr>
          <w:szCs w:val="21"/>
        </w:rPr>
        <w:t>。</w:t>
      </w:r>
    </w:p>
    <w:p w14:paraId="31727B64">
      <w:pPr>
        <w:spacing w:line="360" w:lineRule="auto"/>
        <w:ind w:firstLine="420" w:firstLineChars="200"/>
        <w:rPr>
          <w:szCs w:val="21"/>
        </w:rPr>
      </w:pPr>
      <w:r>
        <w:rPr>
          <w:szCs w:val="21"/>
        </w:rPr>
        <w:t>在签署合同时，贵单位的</w:t>
      </w:r>
      <w:r>
        <w:rPr>
          <w:rFonts w:hint="eastAsia"/>
          <w:szCs w:val="21"/>
        </w:rPr>
        <w:t>成交通知书</w:t>
      </w:r>
      <w:r>
        <w:rPr>
          <w:szCs w:val="21"/>
        </w:rPr>
        <w:t>和本</w:t>
      </w:r>
      <w:r>
        <w:rPr>
          <w:rFonts w:hint="eastAsia"/>
          <w:szCs w:val="21"/>
        </w:rPr>
        <w:t>响应文件</w:t>
      </w:r>
      <w:r>
        <w:rPr>
          <w:szCs w:val="21"/>
        </w:rPr>
        <w:t>将构成约束我们双方的契约。</w:t>
      </w:r>
    </w:p>
    <w:p w14:paraId="73CA71EB">
      <w:pPr>
        <w:spacing w:line="360" w:lineRule="auto"/>
        <w:ind w:firstLine="420" w:firstLineChars="200"/>
        <w:rPr>
          <w:szCs w:val="21"/>
        </w:rPr>
      </w:pPr>
      <w:r>
        <w:rPr>
          <w:szCs w:val="21"/>
        </w:rPr>
        <w:t>我方理解你们将不受你们所受到的任何标价或其它任何</w:t>
      </w:r>
      <w:r>
        <w:rPr>
          <w:rFonts w:hint="eastAsia"/>
          <w:szCs w:val="21"/>
        </w:rPr>
        <w:t>响应文件</w:t>
      </w:r>
      <w:r>
        <w:rPr>
          <w:szCs w:val="21"/>
        </w:rPr>
        <w:t>的约束。</w:t>
      </w:r>
    </w:p>
    <w:p w14:paraId="0294A33B">
      <w:pPr>
        <w:spacing w:line="360" w:lineRule="auto"/>
        <w:ind w:firstLine="420" w:firstLineChars="200"/>
        <w:rPr>
          <w:szCs w:val="21"/>
        </w:rPr>
      </w:pPr>
      <w:r>
        <w:rPr>
          <w:szCs w:val="21"/>
        </w:rPr>
        <w:t>我方承诺完全按照</w:t>
      </w:r>
      <w:r>
        <w:rPr>
          <w:rFonts w:hint="eastAsia"/>
          <w:szCs w:val="21"/>
        </w:rPr>
        <w:t>磋商文件</w:t>
      </w:r>
      <w:r>
        <w:rPr>
          <w:szCs w:val="21"/>
        </w:rPr>
        <w:t>规定的时间提交完成的</w:t>
      </w:r>
      <w:r>
        <w:rPr>
          <w:rFonts w:hint="eastAsia"/>
          <w:szCs w:val="21"/>
        </w:rPr>
        <w:t>响应文件</w:t>
      </w:r>
      <w:r>
        <w:rPr>
          <w:szCs w:val="21"/>
        </w:rPr>
        <w:t>。</w:t>
      </w:r>
    </w:p>
    <w:p w14:paraId="1F157D7C">
      <w:pPr>
        <w:spacing w:line="480" w:lineRule="auto"/>
        <w:ind w:firstLine="2520" w:firstLineChars="1200"/>
        <w:rPr>
          <w:szCs w:val="21"/>
        </w:rPr>
      </w:pPr>
      <w:r>
        <w:rPr>
          <w:rFonts w:hint="eastAsia"/>
          <w:szCs w:val="21"/>
        </w:rPr>
        <w:t>申</w:t>
      </w:r>
      <w:r>
        <w:rPr>
          <w:szCs w:val="21"/>
        </w:rPr>
        <w:t xml:space="preserve">  </w:t>
      </w:r>
      <w:r>
        <w:rPr>
          <w:rFonts w:hint="eastAsia"/>
          <w:szCs w:val="21"/>
        </w:rPr>
        <w:t>请</w:t>
      </w:r>
      <w:r>
        <w:rPr>
          <w:szCs w:val="21"/>
        </w:rPr>
        <w:t xml:space="preserve">  人：</w:t>
      </w:r>
      <w:r>
        <w:rPr>
          <w:szCs w:val="21"/>
          <w:u w:val="single"/>
        </w:rPr>
        <w:t xml:space="preserve">                    </w:t>
      </w:r>
      <w:r>
        <w:rPr>
          <w:szCs w:val="21"/>
        </w:rPr>
        <w:t>（公章）</w:t>
      </w:r>
    </w:p>
    <w:p w14:paraId="4AE7C846">
      <w:pPr>
        <w:spacing w:line="480" w:lineRule="auto"/>
        <w:ind w:firstLine="2520" w:firstLineChars="1200"/>
        <w:jc w:val="left"/>
        <w:rPr>
          <w:szCs w:val="21"/>
        </w:rPr>
      </w:pPr>
      <w:r>
        <w:rPr>
          <w:szCs w:val="21"/>
        </w:rPr>
        <w:t>法定代表人</w:t>
      </w:r>
      <w:r>
        <w:rPr>
          <w:rFonts w:hint="eastAsia"/>
          <w:szCs w:val="21"/>
        </w:rPr>
        <w:t>或</w:t>
      </w:r>
      <w:r>
        <w:rPr>
          <w:szCs w:val="21"/>
        </w:rPr>
        <w:t>委托代理人：</w:t>
      </w:r>
      <w:r>
        <w:rPr>
          <w:szCs w:val="21"/>
          <w:u w:val="single"/>
        </w:rPr>
        <w:t xml:space="preserve">                   </w:t>
      </w:r>
      <w:r>
        <w:rPr>
          <w:szCs w:val="21"/>
        </w:rPr>
        <w:t>（签字</w:t>
      </w:r>
      <w:r>
        <w:rPr>
          <w:rFonts w:hint="eastAsia"/>
          <w:szCs w:val="21"/>
        </w:rPr>
        <w:t>或</w:t>
      </w:r>
      <w:r>
        <w:rPr>
          <w:szCs w:val="21"/>
        </w:rPr>
        <w:t>盖章）</w:t>
      </w:r>
    </w:p>
    <w:p w14:paraId="07C7104F">
      <w:pPr>
        <w:wordWrap w:val="0"/>
        <w:spacing w:line="600" w:lineRule="auto"/>
        <w:ind w:firstLine="2520" w:firstLineChars="1200"/>
        <w:rPr>
          <w:szCs w:val="21"/>
        </w:rPr>
      </w:pPr>
      <w:r>
        <w:rPr>
          <w:szCs w:val="21"/>
        </w:rPr>
        <w:t>日    期：    年    月    日</w:t>
      </w:r>
    </w:p>
    <w:p w14:paraId="61003319">
      <w:pPr>
        <w:wordWrap w:val="0"/>
        <w:spacing w:line="600" w:lineRule="auto"/>
        <w:ind w:firstLine="420" w:firstLineChars="200"/>
        <w:jc w:val="right"/>
        <w:rPr>
          <w:szCs w:val="21"/>
        </w:rPr>
      </w:pPr>
    </w:p>
    <w:p w14:paraId="33BE5EE7">
      <w:pPr>
        <w:wordWrap w:val="0"/>
        <w:spacing w:line="600" w:lineRule="auto"/>
        <w:ind w:firstLine="420" w:firstLineChars="200"/>
        <w:jc w:val="right"/>
        <w:rPr>
          <w:szCs w:val="21"/>
        </w:rPr>
      </w:pPr>
    </w:p>
    <w:p w14:paraId="75E005E2">
      <w:pPr>
        <w:pStyle w:val="17"/>
      </w:pPr>
    </w:p>
    <w:p w14:paraId="05AEA36B">
      <w:pPr>
        <w:wordWrap w:val="0"/>
        <w:spacing w:line="600" w:lineRule="auto"/>
        <w:ind w:firstLine="420" w:firstLineChars="200"/>
        <w:jc w:val="right"/>
        <w:rPr>
          <w:szCs w:val="21"/>
        </w:rPr>
      </w:pPr>
      <w:r>
        <w:rPr>
          <w:szCs w:val="21"/>
        </w:rPr>
        <w:t xml:space="preserve">        </w:t>
      </w:r>
    </w:p>
    <w:p w14:paraId="3ADBC918">
      <w:pPr>
        <w:snapToGrid w:val="0"/>
        <w:jc w:val="center"/>
        <w:rPr>
          <w:sz w:val="32"/>
          <w:szCs w:val="32"/>
        </w:rPr>
      </w:pPr>
    </w:p>
    <w:p w14:paraId="2FEC5E76">
      <w:pPr>
        <w:snapToGrid w:val="0"/>
        <w:jc w:val="center"/>
        <w:rPr>
          <w:b/>
          <w:sz w:val="32"/>
          <w:szCs w:val="32"/>
        </w:rPr>
      </w:pPr>
    </w:p>
    <w:p w14:paraId="0C590F44">
      <w:pPr>
        <w:snapToGrid w:val="0"/>
        <w:jc w:val="center"/>
        <w:rPr>
          <w:rFonts w:hint="eastAsia"/>
          <w:b/>
          <w:sz w:val="32"/>
          <w:szCs w:val="32"/>
        </w:rPr>
      </w:pPr>
      <w:r>
        <w:rPr>
          <w:b/>
          <w:sz w:val="32"/>
          <w:szCs w:val="32"/>
        </w:rPr>
        <w:br w:type="page"/>
      </w:r>
      <w:bookmarkStart w:id="21" w:name="_Toc65587250"/>
      <w:r>
        <w:rPr>
          <w:b/>
          <w:sz w:val="32"/>
          <w:szCs w:val="32"/>
        </w:rPr>
        <w:t>二、法定代表人</w:t>
      </w:r>
      <w:r>
        <w:rPr>
          <w:rFonts w:hint="eastAsia"/>
          <w:b/>
          <w:sz w:val="32"/>
          <w:szCs w:val="32"/>
        </w:rPr>
        <w:t>资格</w:t>
      </w:r>
      <w:r>
        <w:rPr>
          <w:b/>
          <w:sz w:val="32"/>
          <w:szCs w:val="32"/>
        </w:rPr>
        <w:t>证</w:t>
      </w:r>
      <w:r>
        <w:rPr>
          <w:rFonts w:hint="eastAsia"/>
          <w:b/>
          <w:sz w:val="32"/>
          <w:szCs w:val="32"/>
        </w:rPr>
        <w:t>明</w:t>
      </w:r>
    </w:p>
    <w:p w14:paraId="58D7B8D0">
      <w:pPr>
        <w:spacing w:line="276" w:lineRule="auto"/>
        <w:rPr>
          <w:szCs w:val="21"/>
        </w:rPr>
      </w:pPr>
    </w:p>
    <w:p w14:paraId="6188F9E0">
      <w:pPr>
        <w:spacing w:line="276" w:lineRule="auto"/>
        <w:rPr>
          <w:szCs w:val="21"/>
        </w:rPr>
      </w:pPr>
    </w:p>
    <w:p w14:paraId="37FE23AC">
      <w:pPr>
        <w:spacing w:line="276" w:lineRule="auto"/>
        <w:ind w:firstLine="420" w:firstLineChars="200"/>
        <w:rPr>
          <w:szCs w:val="21"/>
          <w:u w:val="single"/>
        </w:rPr>
      </w:pPr>
      <w:r>
        <w:rPr>
          <w:szCs w:val="21"/>
        </w:rPr>
        <w:t>单位名称：</w:t>
      </w:r>
      <w:r>
        <w:rPr>
          <w:szCs w:val="21"/>
          <w:u w:val="single"/>
        </w:rPr>
        <w:t xml:space="preserve">                                           </w:t>
      </w:r>
    </w:p>
    <w:p w14:paraId="37AED586">
      <w:pPr>
        <w:spacing w:line="276" w:lineRule="auto"/>
        <w:rPr>
          <w:szCs w:val="21"/>
        </w:rPr>
      </w:pPr>
    </w:p>
    <w:p w14:paraId="32B3162F">
      <w:pPr>
        <w:spacing w:line="276" w:lineRule="auto"/>
        <w:ind w:firstLine="420" w:firstLineChars="200"/>
        <w:rPr>
          <w:szCs w:val="21"/>
          <w:u w:val="single"/>
        </w:rPr>
      </w:pPr>
      <w:r>
        <w:rPr>
          <w:szCs w:val="21"/>
        </w:rPr>
        <w:t>单位性质：</w:t>
      </w:r>
      <w:r>
        <w:rPr>
          <w:szCs w:val="21"/>
          <w:u w:val="single"/>
        </w:rPr>
        <w:t xml:space="preserve">                                           </w:t>
      </w:r>
    </w:p>
    <w:p w14:paraId="43E61DD9">
      <w:pPr>
        <w:spacing w:line="276" w:lineRule="auto"/>
        <w:rPr>
          <w:szCs w:val="21"/>
        </w:rPr>
      </w:pPr>
    </w:p>
    <w:p w14:paraId="16897A4D">
      <w:pPr>
        <w:spacing w:line="276" w:lineRule="auto"/>
        <w:ind w:firstLine="420" w:firstLineChars="200"/>
        <w:rPr>
          <w:szCs w:val="21"/>
          <w:u w:val="single"/>
        </w:rPr>
      </w:pPr>
      <w:r>
        <w:rPr>
          <w:szCs w:val="21"/>
        </w:rPr>
        <w:t>地    址：</w:t>
      </w:r>
      <w:r>
        <w:rPr>
          <w:szCs w:val="21"/>
          <w:u w:val="single"/>
        </w:rPr>
        <w:t xml:space="preserve">                                           </w:t>
      </w:r>
    </w:p>
    <w:p w14:paraId="256E0E49">
      <w:pPr>
        <w:spacing w:line="276" w:lineRule="auto"/>
        <w:rPr>
          <w:szCs w:val="21"/>
        </w:rPr>
      </w:pPr>
    </w:p>
    <w:p w14:paraId="548ACCF3">
      <w:pPr>
        <w:spacing w:line="276" w:lineRule="auto"/>
        <w:ind w:firstLine="420" w:firstLineChars="200"/>
        <w:rPr>
          <w:szCs w:val="21"/>
        </w:rPr>
      </w:pPr>
      <w:r>
        <w:rPr>
          <w:szCs w:val="21"/>
        </w:rPr>
        <w:t>成立时间：</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6D6EE74C">
      <w:pPr>
        <w:spacing w:line="276" w:lineRule="auto"/>
        <w:rPr>
          <w:szCs w:val="21"/>
        </w:rPr>
      </w:pPr>
    </w:p>
    <w:p w14:paraId="04A15BB7">
      <w:pPr>
        <w:spacing w:line="276" w:lineRule="auto"/>
        <w:ind w:firstLine="420" w:firstLineChars="200"/>
        <w:rPr>
          <w:szCs w:val="21"/>
          <w:u w:val="single"/>
        </w:rPr>
      </w:pPr>
      <w:r>
        <w:rPr>
          <w:szCs w:val="21"/>
        </w:rPr>
        <w:t>经营期限：</w:t>
      </w:r>
      <w:r>
        <w:rPr>
          <w:szCs w:val="21"/>
          <w:u w:val="single"/>
        </w:rPr>
        <w:t xml:space="preserve">                                           </w:t>
      </w:r>
    </w:p>
    <w:p w14:paraId="42596934">
      <w:pPr>
        <w:spacing w:line="276" w:lineRule="auto"/>
        <w:rPr>
          <w:szCs w:val="21"/>
        </w:rPr>
      </w:pPr>
    </w:p>
    <w:p w14:paraId="5722446B">
      <w:pPr>
        <w:spacing w:line="276" w:lineRule="auto"/>
        <w:ind w:firstLine="420" w:firstLineChars="200"/>
        <w:rPr>
          <w:szCs w:val="21"/>
        </w:rPr>
      </w:pPr>
      <w:r>
        <w:rPr>
          <w:szCs w:val="21"/>
        </w:rPr>
        <w:t>姓    名：</w:t>
      </w:r>
      <w:r>
        <w:rPr>
          <w:szCs w:val="21"/>
          <w:u w:val="single"/>
        </w:rPr>
        <w:t xml:space="preserve">        </w:t>
      </w:r>
      <w:r>
        <w:rPr>
          <w:szCs w:val="21"/>
        </w:rPr>
        <w:t xml:space="preserve"> 性别：</w:t>
      </w:r>
      <w:r>
        <w:rPr>
          <w:szCs w:val="21"/>
          <w:u w:val="single"/>
        </w:rPr>
        <w:t xml:space="preserve">        </w:t>
      </w:r>
      <w:r>
        <w:rPr>
          <w:szCs w:val="21"/>
        </w:rPr>
        <w:t xml:space="preserve"> 年龄：</w:t>
      </w:r>
      <w:r>
        <w:rPr>
          <w:szCs w:val="21"/>
          <w:u w:val="single"/>
        </w:rPr>
        <w:t xml:space="preserve">        </w:t>
      </w:r>
      <w:r>
        <w:rPr>
          <w:szCs w:val="21"/>
        </w:rPr>
        <w:t>职务：</w:t>
      </w:r>
      <w:r>
        <w:rPr>
          <w:szCs w:val="21"/>
          <w:u w:val="single"/>
        </w:rPr>
        <w:t xml:space="preserve">        </w:t>
      </w:r>
    </w:p>
    <w:p w14:paraId="45546A5F">
      <w:pPr>
        <w:spacing w:line="276" w:lineRule="auto"/>
        <w:rPr>
          <w:szCs w:val="21"/>
        </w:rPr>
      </w:pPr>
    </w:p>
    <w:p w14:paraId="7BD790DE">
      <w:pPr>
        <w:spacing w:line="276" w:lineRule="auto"/>
        <w:ind w:firstLine="420" w:firstLineChars="200"/>
        <w:rPr>
          <w:szCs w:val="21"/>
        </w:rPr>
      </w:pPr>
      <w:r>
        <w:rPr>
          <w:szCs w:val="21"/>
        </w:rPr>
        <w:t>系</w:t>
      </w:r>
      <w:r>
        <w:rPr>
          <w:szCs w:val="21"/>
          <w:u w:val="single"/>
        </w:rPr>
        <w:t xml:space="preserve">        （</w:t>
      </w:r>
      <w:r>
        <w:rPr>
          <w:rFonts w:hint="eastAsia"/>
          <w:szCs w:val="21"/>
          <w:u w:val="single"/>
        </w:rPr>
        <w:t>申请</w:t>
      </w:r>
      <w:r>
        <w:rPr>
          <w:szCs w:val="21"/>
          <w:u w:val="single"/>
        </w:rPr>
        <w:t xml:space="preserve">人单位名称）        </w:t>
      </w:r>
      <w:r>
        <w:rPr>
          <w:szCs w:val="21"/>
        </w:rPr>
        <w:t>的法定代表人。</w:t>
      </w:r>
    </w:p>
    <w:p w14:paraId="24C91A3F">
      <w:pPr>
        <w:spacing w:line="276" w:lineRule="auto"/>
        <w:rPr>
          <w:szCs w:val="21"/>
        </w:rPr>
      </w:pPr>
    </w:p>
    <w:p w14:paraId="1C09862A">
      <w:pPr>
        <w:spacing w:line="276" w:lineRule="auto"/>
        <w:rPr>
          <w:szCs w:val="21"/>
        </w:rPr>
      </w:pPr>
    </w:p>
    <w:p w14:paraId="655237A5">
      <w:pPr>
        <w:spacing w:line="276" w:lineRule="auto"/>
        <w:ind w:firstLine="840" w:firstLineChars="400"/>
        <w:rPr>
          <w:szCs w:val="21"/>
        </w:rPr>
      </w:pPr>
      <w:r>
        <w:rPr>
          <w:szCs w:val="21"/>
        </w:rPr>
        <w:t>特此证明。</w:t>
      </w:r>
    </w:p>
    <w:tbl>
      <w:tblPr>
        <w:tblStyle w:val="40"/>
        <w:tblW w:w="88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20"/>
      </w:tblGrid>
      <w:tr w14:paraId="274FE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8" w:hRule="atLeast"/>
          <w:jc w:val="center"/>
        </w:trPr>
        <w:tc>
          <w:tcPr>
            <w:tcW w:w="8820" w:type="dxa"/>
            <w:noWrap w:val="0"/>
            <w:vAlign w:val="top"/>
          </w:tcPr>
          <w:p w14:paraId="45FDC0A1">
            <w:pPr>
              <w:spacing w:line="360" w:lineRule="auto"/>
              <w:rPr>
                <w:szCs w:val="21"/>
              </w:rPr>
            </w:pPr>
            <w:r>
              <w:rPr>
                <w:szCs w:val="21"/>
              </w:rPr>
              <w:t>附：法定代表人身份证复印件</w:t>
            </w:r>
          </w:p>
        </w:tc>
      </w:tr>
    </w:tbl>
    <w:p w14:paraId="29249712">
      <w:pPr>
        <w:spacing w:line="360" w:lineRule="auto"/>
        <w:rPr>
          <w:szCs w:val="21"/>
        </w:rPr>
      </w:pPr>
      <w:r>
        <w:rPr>
          <w:szCs w:val="21"/>
        </w:rPr>
        <w:t xml:space="preserve">                                              </w:t>
      </w:r>
    </w:p>
    <w:p w14:paraId="34B98412">
      <w:pPr>
        <w:spacing w:line="600" w:lineRule="auto"/>
        <w:ind w:firstLine="4830" w:firstLineChars="2300"/>
        <w:jc w:val="right"/>
        <w:rPr>
          <w:szCs w:val="21"/>
        </w:rPr>
      </w:pPr>
      <w:r>
        <w:rPr>
          <w:rFonts w:hint="eastAsia"/>
          <w:szCs w:val="21"/>
        </w:rPr>
        <w:t>申请人</w:t>
      </w:r>
      <w:r>
        <w:rPr>
          <w:szCs w:val="21"/>
        </w:rPr>
        <w:t>：</w:t>
      </w:r>
      <w:r>
        <w:rPr>
          <w:szCs w:val="21"/>
          <w:u w:val="single"/>
        </w:rPr>
        <w:t xml:space="preserve">                    </w:t>
      </w:r>
      <w:r>
        <w:rPr>
          <w:szCs w:val="21"/>
        </w:rPr>
        <w:t>（公章）</w:t>
      </w:r>
    </w:p>
    <w:p w14:paraId="5C580856">
      <w:pPr>
        <w:spacing w:line="600" w:lineRule="auto"/>
        <w:ind w:firstLine="4830" w:firstLineChars="2300"/>
        <w:jc w:val="right"/>
        <w:rPr>
          <w:szCs w:val="21"/>
        </w:rPr>
      </w:pPr>
      <w:r>
        <w:rPr>
          <w:szCs w:val="21"/>
        </w:rPr>
        <w:t>法定代表人：</w:t>
      </w:r>
      <w:r>
        <w:rPr>
          <w:szCs w:val="21"/>
          <w:u w:val="single"/>
        </w:rPr>
        <w:t xml:space="preserve">                </w:t>
      </w:r>
      <w:r>
        <w:rPr>
          <w:szCs w:val="21"/>
        </w:rPr>
        <w:t>（盖章）</w:t>
      </w:r>
    </w:p>
    <w:p w14:paraId="638C5EEC">
      <w:pPr>
        <w:wordWrap w:val="0"/>
        <w:spacing w:line="600" w:lineRule="auto"/>
        <w:jc w:val="right"/>
        <w:rPr>
          <w:szCs w:val="21"/>
        </w:rPr>
      </w:pPr>
      <w:r>
        <w:rPr>
          <w:szCs w:val="21"/>
        </w:rPr>
        <w:t xml:space="preserve">日   期：    年    月    日     </w:t>
      </w:r>
    </w:p>
    <w:p w14:paraId="6AABD029">
      <w:pPr>
        <w:jc w:val="center"/>
        <w:rPr>
          <w:rFonts w:hint="eastAsia"/>
          <w:b/>
          <w:sz w:val="32"/>
          <w:szCs w:val="32"/>
        </w:rPr>
      </w:pPr>
      <w:r>
        <w:rPr>
          <w:szCs w:val="21"/>
        </w:rPr>
        <w:br w:type="page"/>
      </w:r>
      <w:bookmarkStart w:id="22" w:name="_Toc402425837"/>
      <w:bookmarkStart w:id="23" w:name="_Toc449685252"/>
      <w:bookmarkStart w:id="24" w:name="_Toc511207283"/>
      <w:r>
        <w:rPr>
          <w:b/>
          <w:sz w:val="32"/>
          <w:szCs w:val="32"/>
        </w:rPr>
        <w:t>三、授权委托书</w:t>
      </w:r>
      <w:bookmarkEnd w:id="22"/>
      <w:bookmarkEnd w:id="23"/>
      <w:bookmarkEnd w:id="24"/>
    </w:p>
    <w:p w14:paraId="6E617301">
      <w:pPr>
        <w:spacing w:line="360" w:lineRule="auto"/>
        <w:rPr>
          <w:sz w:val="16"/>
          <w:szCs w:val="21"/>
        </w:rPr>
      </w:pPr>
    </w:p>
    <w:p w14:paraId="7CD1FE99">
      <w:pPr>
        <w:spacing w:line="480" w:lineRule="auto"/>
        <w:ind w:firstLine="420" w:firstLineChars="200"/>
        <w:rPr>
          <w:szCs w:val="21"/>
        </w:rPr>
      </w:pPr>
      <w:r>
        <w:rPr>
          <w:szCs w:val="21"/>
        </w:rPr>
        <w:t>本授权委托书声明：</w:t>
      </w:r>
    </w:p>
    <w:p w14:paraId="4198E421">
      <w:pPr>
        <w:spacing w:line="480" w:lineRule="auto"/>
        <w:ind w:firstLine="420" w:firstLineChars="200"/>
        <w:rPr>
          <w:szCs w:val="21"/>
        </w:rPr>
      </w:pPr>
      <w:r>
        <w:rPr>
          <w:szCs w:val="21"/>
        </w:rPr>
        <w:t>我</w:t>
      </w:r>
      <w:r>
        <w:rPr>
          <w:szCs w:val="21"/>
          <w:u w:val="single"/>
        </w:rPr>
        <w:t xml:space="preserve">        </w:t>
      </w:r>
      <w:r>
        <w:rPr>
          <w:szCs w:val="21"/>
        </w:rPr>
        <w:t>（姓名）系</w:t>
      </w:r>
      <w:r>
        <w:rPr>
          <w:szCs w:val="21"/>
          <w:u w:val="single"/>
        </w:rPr>
        <w:t xml:space="preserve">                    </w:t>
      </w:r>
      <w:r>
        <w:rPr>
          <w:szCs w:val="21"/>
        </w:rPr>
        <w:t>（投标人名称）的法定代表人，现授权委托</w:t>
      </w:r>
      <w:r>
        <w:rPr>
          <w:szCs w:val="21"/>
          <w:u w:val="single"/>
        </w:rPr>
        <w:t xml:space="preserve">        </w:t>
      </w:r>
      <w:r>
        <w:rPr>
          <w:szCs w:val="21"/>
        </w:rPr>
        <w:t>（姓名）为我公司代表，以</w:t>
      </w:r>
      <w:r>
        <w:rPr>
          <w:szCs w:val="21"/>
          <w:u w:val="single"/>
        </w:rPr>
        <w:t xml:space="preserve">         </w:t>
      </w:r>
      <w:r>
        <w:rPr>
          <w:szCs w:val="21"/>
        </w:rPr>
        <w:t>（</w:t>
      </w:r>
      <w:r>
        <w:rPr>
          <w:rFonts w:hint="eastAsia"/>
          <w:szCs w:val="21"/>
        </w:rPr>
        <w:t>申请人</w:t>
      </w:r>
      <w:r>
        <w:rPr>
          <w:szCs w:val="21"/>
        </w:rPr>
        <w:t>名称）的名义参加</w:t>
      </w:r>
      <w:r>
        <w:rPr>
          <w:szCs w:val="21"/>
          <w:u w:val="single"/>
        </w:rPr>
        <w:t xml:space="preserve">           </w:t>
      </w:r>
      <w:r>
        <w:rPr>
          <w:szCs w:val="21"/>
        </w:rPr>
        <w:t>（项目名称）投标活动。</w:t>
      </w:r>
    </w:p>
    <w:p w14:paraId="7D31FFCC">
      <w:pPr>
        <w:spacing w:line="480" w:lineRule="auto"/>
        <w:ind w:firstLine="420" w:firstLineChars="200"/>
        <w:rPr>
          <w:szCs w:val="21"/>
        </w:rPr>
      </w:pPr>
      <w:r>
        <w:rPr>
          <w:szCs w:val="21"/>
        </w:rPr>
        <w:t>委托代理人在</w:t>
      </w:r>
      <w:r>
        <w:rPr>
          <w:rFonts w:hint="eastAsia"/>
          <w:szCs w:val="21"/>
        </w:rPr>
        <w:t>磋商、评审</w:t>
      </w:r>
      <w:r>
        <w:rPr>
          <w:szCs w:val="21"/>
        </w:rPr>
        <w:t>、合同谈判过程中签署的一切文件和处理与之有关的一切事务，我均予以承认。</w:t>
      </w:r>
    </w:p>
    <w:p w14:paraId="67456877">
      <w:pPr>
        <w:spacing w:line="480" w:lineRule="auto"/>
        <w:ind w:firstLine="420" w:firstLineChars="200"/>
        <w:rPr>
          <w:szCs w:val="21"/>
        </w:rPr>
      </w:pPr>
      <w:r>
        <w:rPr>
          <w:szCs w:val="21"/>
        </w:rPr>
        <w:t>委托代理人无转委托权。</w:t>
      </w:r>
    </w:p>
    <w:p w14:paraId="1D33114B">
      <w:pPr>
        <w:spacing w:line="480" w:lineRule="auto"/>
        <w:ind w:firstLine="420" w:firstLineChars="200"/>
        <w:rPr>
          <w:szCs w:val="21"/>
        </w:rPr>
      </w:pPr>
      <w:r>
        <w:rPr>
          <w:szCs w:val="21"/>
        </w:rPr>
        <w:t>特此委托。</w:t>
      </w:r>
    </w:p>
    <w:tbl>
      <w:tblPr>
        <w:tblStyle w:val="40"/>
        <w:tblW w:w="86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40"/>
      </w:tblGrid>
      <w:tr w14:paraId="32F96D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4" w:hRule="atLeast"/>
        </w:trPr>
        <w:tc>
          <w:tcPr>
            <w:tcW w:w="8640" w:type="dxa"/>
            <w:noWrap w:val="0"/>
            <w:vAlign w:val="top"/>
          </w:tcPr>
          <w:p w14:paraId="7F1418BE">
            <w:pPr>
              <w:spacing w:line="360" w:lineRule="auto"/>
              <w:rPr>
                <w:szCs w:val="21"/>
              </w:rPr>
            </w:pPr>
            <w:r>
              <w:rPr>
                <w:szCs w:val="21"/>
              </w:rPr>
              <w:t>附：委托代理人身份证复印件</w:t>
            </w:r>
          </w:p>
        </w:tc>
      </w:tr>
    </w:tbl>
    <w:p w14:paraId="14DA4848">
      <w:pPr>
        <w:spacing w:line="360" w:lineRule="auto"/>
        <w:ind w:firstLine="420" w:firstLineChars="200"/>
        <w:jc w:val="right"/>
        <w:rPr>
          <w:szCs w:val="21"/>
        </w:rPr>
      </w:pPr>
    </w:p>
    <w:p w14:paraId="07BB4F69">
      <w:pPr>
        <w:wordWrap w:val="0"/>
        <w:spacing w:line="480" w:lineRule="auto"/>
        <w:ind w:firstLine="420" w:firstLineChars="200"/>
        <w:jc w:val="right"/>
        <w:rPr>
          <w:szCs w:val="21"/>
        </w:rPr>
      </w:pPr>
      <w:r>
        <w:rPr>
          <w:rFonts w:hint="eastAsia"/>
          <w:szCs w:val="21"/>
        </w:rPr>
        <w:t>申</w:t>
      </w:r>
      <w:r>
        <w:rPr>
          <w:szCs w:val="21"/>
        </w:rPr>
        <w:t xml:space="preserve">  </w:t>
      </w:r>
      <w:r>
        <w:rPr>
          <w:rFonts w:hint="eastAsia"/>
          <w:szCs w:val="21"/>
        </w:rPr>
        <w:t>请</w:t>
      </w:r>
      <w:r>
        <w:rPr>
          <w:szCs w:val="21"/>
        </w:rPr>
        <w:t xml:space="preserve">  人：</w:t>
      </w:r>
      <w:r>
        <w:rPr>
          <w:szCs w:val="21"/>
          <w:u w:val="single"/>
        </w:rPr>
        <w:t xml:space="preserve">                    </w:t>
      </w:r>
      <w:r>
        <w:rPr>
          <w:szCs w:val="21"/>
        </w:rPr>
        <w:t>（公章）</w:t>
      </w:r>
      <w:r>
        <w:rPr>
          <w:rFonts w:hint="eastAsia"/>
          <w:szCs w:val="21"/>
        </w:rPr>
        <w:t xml:space="preserve">      </w:t>
      </w:r>
    </w:p>
    <w:p w14:paraId="0B1C1BAB">
      <w:pPr>
        <w:spacing w:line="480" w:lineRule="auto"/>
        <w:ind w:firstLine="420" w:firstLineChars="200"/>
        <w:jc w:val="right"/>
        <w:rPr>
          <w:szCs w:val="21"/>
        </w:rPr>
      </w:pPr>
      <w:r>
        <w:rPr>
          <w:szCs w:val="21"/>
        </w:rPr>
        <w:t>法定代表人：</w:t>
      </w:r>
      <w:r>
        <w:rPr>
          <w:szCs w:val="21"/>
          <w:u w:val="single"/>
        </w:rPr>
        <w:t xml:space="preserve">                    </w:t>
      </w:r>
      <w:r>
        <w:rPr>
          <w:szCs w:val="21"/>
        </w:rPr>
        <w:t>（盖章</w:t>
      </w:r>
      <w:r>
        <w:rPr>
          <w:rFonts w:hint="eastAsia"/>
          <w:szCs w:val="21"/>
        </w:rPr>
        <w:t>或签字</w:t>
      </w:r>
      <w:r>
        <w:rPr>
          <w:szCs w:val="21"/>
        </w:rPr>
        <w:t>）</w:t>
      </w:r>
    </w:p>
    <w:p w14:paraId="6D1CE90A">
      <w:pPr>
        <w:wordWrap w:val="0"/>
        <w:spacing w:line="480" w:lineRule="auto"/>
        <w:ind w:firstLine="420" w:firstLineChars="200"/>
        <w:jc w:val="right"/>
        <w:rPr>
          <w:szCs w:val="21"/>
        </w:rPr>
      </w:pPr>
      <w:r>
        <w:rPr>
          <w:szCs w:val="21"/>
        </w:rPr>
        <w:t>委托代理人：</w:t>
      </w:r>
      <w:r>
        <w:rPr>
          <w:szCs w:val="21"/>
          <w:u w:val="single"/>
        </w:rPr>
        <w:t xml:space="preserve">                    </w:t>
      </w:r>
      <w:r>
        <w:rPr>
          <w:szCs w:val="21"/>
        </w:rPr>
        <w:t>（签字）</w:t>
      </w:r>
      <w:r>
        <w:rPr>
          <w:rFonts w:hint="eastAsia"/>
          <w:szCs w:val="21"/>
        </w:rPr>
        <w:t xml:space="preserve">      </w:t>
      </w:r>
    </w:p>
    <w:p w14:paraId="428EDA3A">
      <w:pPr>
        <w:wordWrap w:val="0"/>
        <w:spacing w:line="480" w:lineRule="auto"/>
        <w:ind w:firstLine="420" w:firstLineChars="200"/>
        <w:jc w:val="right"/>
        <w:rPr>
          <w:szCs w:val="21"/>
        </w:rPr>
      </w:pPr>
      <w:r>
        <w:rPr>
          <w:szCs w:val="21"/>
        </w:rPr>
        <w:t xml:space="preserve">日    期：    年    月    日     </w:t>
      </w:r>
      <w:bookmarkStart w:id="25" w:name="_Toc449685253"/>
      <w:bookmarkStart w:id="26" w:name="_Toc402425838"/>
      <w:bookmarkStart w:id="27" w:name="_Toc511207284"/>
    </w:p>
    <w:p w14:paraId="55DEE12D">
      <w:pPr>
        <w:ind w:firstLine="420" w:firstLineChars="200"/>
        <w:jc w:val="center"/>
        <w:rPr>
          <w:b/>
          <w:sz w:val="32"/>
          <w:szCs w:val="32"/>
        </w:rPr>
      </w:pPr>
      <w:r>
        <w:rPr>
          <w:szCs w:val="21"/>
        </w:rPr>
        <w:br w:type="page"/>
      </w:r>
      <w:r>
        <w:rPr>
          <w:b/>
          <w:sz w:val="32"/>
          <w:szCs w:val="32"/>
        </w:rPr>
        <w:t>四、</w:t>
      </w:r>
      <w:r>
        <w:rPr>
          <w:rFonts w:hint="eastAsia"/>
          <w:b/>
          <w:sz w:val="32"/>
          <w:szCs w:val="32"/>
        </w:rPr>
        <w:t>报价</w:t>
      </w:r>
      <w:r>
        <w:rPr>
          <w:b/>
          <w:sz w:val="32"/>
          <w:szCs w:val="32"/>
        </w:rPr>
        <w:t>一览表</w:t>
      </w:r>
      <w:bookmarkEnd w:id="25"/>
      <w:bookmarkEnd w:id="26"/>
      <w:bookmarkEnd w:id="27"/>
      <w:r>
        <w:rPr>
          <w:rFonts w:hint="eastAsia"/>
          <w:b/>
          <w:sz w:val="32"/>
          <w:szCs w:val="32"/>
        </w:rPr>
        <w:t>（首次）</w:t>
      </w:r>
    </w:p>
    <w:p w14:paraId="66853AE0">
      <w:pPr>
        <w:spacing w:line="480" w:lineRule="auto"/>
        <w:ind w:firstLine="643" w:firstLineChars="200"/>
        <w:jc w:val="center"/>
        <w:rPr>
          <w:b/>
          <w:sz w:val="32"/>
          <w:szCs w:val="32"/>
        </w:rPr>
      </w:pPr>
    </w:p>
    <w:p w14:paraId="12292C95">
      <w:pPr>
        <w:autoSpaceDE w:val="0"/>
        <w:autoSpaceDN w:val="0"/>
        <w:spacing w:line="480" w:lineRule="auto"/>
        <w:ind w:firstLine="210" w:firstLineChars="100"/>
        <w:rPr>
          <w:bCs/>
          <w:szCs w:val="21"/>
          <w:lang w:val="zh-CN"/>
        </w:rPr>
      </w:pPr>
      <w:r>
        <w:rPr>
          <w:bCs/>
          <w:szCs w:val="21"/>
          <w:lang w:val="zh-CN"/>
        </w:rPr>
        <w:t>项目名称：</w:t>
      </w:r>
    </w:p>
    <w:p w14:paraId="439B98D8">
      <w:pPr>
        <w:autoSpaceDE w:val="0"/>
        <w:autoSpaceDN w:val="0"/>
        <w:spacing w:line="480" w:lineRule="auto"/>
        <w:ind w:firstLine="210" w:firstLineChars="100"/>
        <w:rPr>
          <w:bCs/>
          <w:szCs w:val="21"/>
          <w:lang w:val="zh-CN"/>
        </w:rPr>
      </w:pPr>
      <w:r>
        <w:rPr>
          <w:rFonts w:hint="eastAsia"/>
          <w:bCs/>
          <w:szCs w:val="21"/>
        </w:rPr>
        <w:t>项目</w:t>
      </w:r>
      <w:r>
        <w:rPr>
          <w:bCs/>
          <w:szCs w:val="21"/>
          <w:lang w:val="zh-CN"/>
        </w:rPr>
        <w:t>编号：</w:t>
      </w:r>
    </w:p>
    <w:p w14:paraId="6F458D5E">
      <w:pPr>
        <w:spacing w:line="480" w:lineRule="auto"/>
        <w:ind w:firstLine="210" w:firstLineChars="100"/>
        <w:rPr>
          <w:bCs/>
          <w:szCs w:val="21"/>
          <w:lang w:val="zh-CN"/>
        </w:rPr>
      </w:pPr>
      <w:r>
        <w:rPr>
          <w:bCs/>
          <w:szCs w:val="21"/>
          <w:lang w:val="zh-CN"/>
        </w:rPr>
        <w:t>开</w:t>
      </w:r>
      <w:r>
        <w:rPr>
          <w:rFonts w:hint="eastAsia"/>
          <w:bCs/>
          <w:szCs w:val="21"/>
        </w:rPr>
        <w:t>启</w:t>
      </w:r>
      <w:r>
        <w:rPr>
          <w:bCs/>
          <w:szCs w:val="21"/>
          <w:lang w:val="zh-CN"/>
        </w:rPr>
        <w:t xml:space="preserve">时间：    年    月    日 </w:t>
      </w:r>
    </w:p>
    <w:tbl>
      <w:tblPr>
        <w:tblStyle w:val="40"/>
        <w:tblW w:w="8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1829"/>
        <w:gridCol w:w="1442"/>
        <w:gridCol w:w="1281"/>
        <w:gridCol w:w="1121"/>
      </w:tblGrid>
      <w:tr w14:paraId="0D5B7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2897" w:type="dxa"/>
            <w:noWrap w:val="0"/>
            <w:vAlign w:val="center"/>
          </w:tcPr>
          <w:p w14:paraId="43F9B540">
            <w:pPr>
              <w:autoSpaceDE w:val="0"/>
              <w:autoSpaceDN w:val="0"/>
              <w:spacing w:line="400" w:lineRule="exact"/>
              <w:jc w:val="center"/>
              <w:rPr>
                <w:bCs/>
                <w:szCs w:val="21"/>
                <w:lang w:val="zh-CN"/>
              </w:rPr>
            </w:pPr>
            <w:r>
              <w:rPr>
                <w:rFonts w:hint="eastAsia"/>
                <w:bCs/>
                <w:szCs w:val="21"/>
              </w:rPr>
              <w:t>申请</w:t>
            </w:r>
            <w:r>
              <w:rPr>
                <w:bCs/>
                <w:szCs w:val="21"/>
                <w:lang w:val="zh-CN"/>
              </w:rPr>
              <w:t>人名称</w:t>
            </w:r>
          </w:p>
        </w:tc>
        <w:tc>
          <w:tcPr>
            <w:tcW w:w="1829" w:type="dxa"/>
            <w:noWrap w:val="0"/>
            <w:vAlign w:val="center"/>
          </w:tcPr>
          <w:p w14:paraId="4BC2B9E5">
            <w:pPr>
              <w:autoSpaceDE w:val="0"/>
              <w:autoSpaceDN w:val="0"/>
              <w:spacing w:line="400" w:lineRule="exact"/>
              <w:jc w:val="center"/>
              <w:rPr>
                <w:bCs/>
                <w:szCs w:val="21"/>
                <w:lang w:val="zh-CN"/>
              </w:rPr>
            </w:pPr>
            <w:r>
              <w:rPr>
                <w:bCs/>
                <w:szCs w:val="21"/>
                <w:lang w:val="zh-CN"/>
              </w:rPr>
              <w:t>报价</w:t>
            </w:r>
          </w:p>
          <w:p w14:paraId="1C029F8D">
            <w:pPr>
              <w:autoSpaceDE w:val="0"/>
              <w:autoSpaceDN w:val="0"/>
              <w:spacing w:line="400" w:lineRule="exact"/>
              <w:jc w:val="center"/>
              <w:rPr>
                <w:bCs/>
                <w:szCs w:val="21"/>
                <w:lang w:val="zh-CN"/>
              </w:rPr>
            </w:pPr>
            <w:r>
              <w:rPr>
                <w:bCs/>
                <w:szCs w:val="21"/>
                <w:lang w:val="zh-CN"/>
              </w:rPr>
              <w:t>（</w:t>
            </w:r>
            <w:r>
              <w:rPr>
                <w:rFonts w:hint="eastAsia"/>
                <w:bCs/>
                <w:szCs w:val="21"/>
              </w:rPr>
              <w:t>元</w:t>
            </w:r>
            <w:r>
              <w:rPr>
                <w:bCs/>
                <w:szCs w:val="21"/>
                <w:lang w:val="zh-CN"/>
              </w:rPr>
              <w:t>）</w:t>
            </w:r>
          </w:p>
        </w:tc>
        <w:tc>
          <w:tcPr>
            <w:tcW w:w="1442" w:type="dxa"/>
            <w:noWrap w:val="0"/>
            <w:vAlign w:val="center"/>
          </w:tcPr>
          <w:p w14:paraId="511D85A9">
            <w:pPr>
              <w:autoSpaceDE w:val="0"/>
              <w:autoSpaceDN w:val="0"/>
              <w:spacing w:line="400" w:lineRule="exact"/>
              <w:jc w:val="center"/>
              <w:rPr>
                <w:bCs/>
                <w:szCs w:val="21"/>
                <w:lang w:val="zh-CN"/>
              </w:rPr>
            </w:pPr>
            <w:r>
              <w:rPr>
                <w:rFonts w:hint="eastAsia"/>
                <w:szCs w:val="21"/>
                <w:lang w:val="en-US" w:eastAsia="zh-CN"/>
              </w:rPr>
              <w:t>合同履行期限（供货期）</w:t>
            </w:r>
          </w:p>
        </w:tc>
        <w:tc>
          <w:tcPr>
            <w:tcW w:w="1281" w:type="dxa"/>
            <w:noWrap w:val="0"/>
            <w:vAlign w:val="center"/>
          </w:tcPr>
          <w:p w14:paraId="2FB1AEE5">
            <w:pPr>
              <w:autoSpaceDE w:val="0"/>
              <w:autoSpaceDN w:val="0"/>
              <w:spacing w:line="400" w:lineRule="exact"/>
              <w:jc w:val="center"/>
              <w:rPr>
                <w:bCs/>
                <w:szCs w:val="21"/>
                <w:lang w:val="zh-CN"/>
              </w:rPr>
            </w:pPr>
            <w:r>
              <w:rPr>
                <w:bCs/>
                <w:szCs w:val="21"/>
                <w:lang w:val="zh-CN"/>
              </w:rPr>
              <w:t>优惠</w:t>
            </w:r>
          </w:p>
          <w:p w14:paraId="1100E86C">
            <w:pPr>
              <w:autoSpaceDE w:val="0"/>
              <w:autoSpaceDN w:val="0"/>
              <w:spacing w:line="400" w:lineRule="exact"/>
              <w:jc w:val="center"/>
              <w:rPr>
                <w:rFonts w:hint="eastAsia"/>
                <w:szCs w:val="21"/>
              </w:rPr>
            </w:pPr>
            <w:r>
              <w:rPr>
                <w:bCs/>
                <w:szCs w:val="21"/>
                <w:lang w:val="zh-CN"/>
              </w:rPr>
              <w:t>条件</w:t>
            </w:r>
          </w:p>
        </w:tc>
        <w:tc>
          <w:tcPr>
            <w:tcW w:w="1121" w:type="dxa"/>
            <w:noWrap w:val="0"/>
            <w:vAlign w:val="center"/>
          </w:tcPr>
          <w:p w14:paraId="44EF2CF2">
            <w:pPr>
              <w:autoSpaceDE w:val="0"/>
              <w:autoSpaceDN w:val="0"/>
              <w:spacing w:line="400" w:lineRule="exact"/>
              <w:jc w:val="center"/>
              <w:rPr>
                <w:rFonts w:hint="eastAsia" w:eastAsia="宋体"/>
                <w:bCs/>
                <w:szCs w:val="21"/>
                <w:lang w:val="en-US" w:eastAsia="zh-CN"/>
              </w:rPr>
            </w:pPr>
            <w:r>
              <w:rPr>
                <w:rFonts w:hint="eastAsia"/>
                <w:bCs/>
                <w:szCs w:val="21"/>
                <w:lang w:val="en-US" w:eastAsia="zh-CN"/>
              </w:rPr>
              <w:t>服务承诺（有/无）</w:t>
            </w:r>
          </w:p>
        </w:tc>
      </w:tr>
      <w:tr w14:paraId="7A43C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9" w:hRule="atLeast"/>
          <w:jc w:val="center"/>
        </w:trPr>
        <w:tc>
          <w:tcPr>
            <w:tcW w:w="2897" w:type="dxa"/>
            <w:noWrap w:val="0"/>
            <w:vAlign w:val="center"/>
          </w:tcPr>
          <w:p w14:paraId="5540FA4F">
            <w:pPr>
              <w:autoSpaceDE w:val="0"/>
              <w:autoSpaceDN w:val="0"/>
              <w:spacing w:line="400" w:lineRule="exact"/>
              <w:jc w:val="center"/>
              <w:rPr>
                <w:bCs/>
                <w:szCs w:val="21"/>
                <w:lang w:val="zh-CN"/>
              </w:rPr>
            </w:pPr>
          </w:p>
        </w:tc>
        <w:tc>
          <w:tcPr>
            <w:tcW w:w="1829" w:type="dxa"/>
            <w:noWrap w:val="0"/>
            <w:vAlign w:val="center"/>
          </w:tcPr>
          <w:p w14:paraId="5726B9A1">
            <w:pPr>
              <w:autoSpaceDE w:val="0"/>
              <w:autoSpaceDN w:val="0"/>
              <w:spacing w:line="400" w:lineRule="exact"/>
              <w:jc w:val="center"/>
              <w:rPr>
                <w:rFonts w:hint="eastAsia"/>
                <w:bCs/>
                <w:szCs w:val="21"/>
              </w:rPr>
            </w:pPr>
          </w:p>
        </w:tc>
        <w:tc>
          <w:tcPr>
            <w:tcW w:w="1442" w:type="dxa"/>
            <w:noWrap w:val="0"/>
            <w:vAlign w:val="center"/>
          </w:tcPr>
          <w:p w14:paraId="7E8E910D">
            <w:pPr>
              <w:autoSpaceDE w:val="0"/>
              <w:autoSpaceDN w:val="0"/>
              <w:spacing w:line="400" w:lineRule="exact"/>
              <w:jc w:val="center"/>
              <w:rPr>
                <w:bCs/>
                <w:szCs w:val="21"/>
                <w:lang w:val="zh-CN"/>
              </w:rPr>
            </w:pPr>
          </w:p>
        </w:tc>
        <w:tc>
          <w:tcPr>
            <w:tcW w:w="1281" w:type="dxa"/>
            <w:noWrap w:val="0"/>
            <w:vAlign w:val="center"/>
          </w:tcPr>
          <w:p w14:paraId="57AF8C12">
            <w:pPr>
              <w:autoSpaceDE w:val="0"/>
              <w:autoSpaceDN w:val="0"/>
              <w:spacing w:line="400" w:lineRule="exact"/>
              <w:jc w:val="center"/>
              <w:rPr>
                <w:szCs w:val="21"/>
              </w:rPr>
            </w:pPr>
          </w:p>
        </w:tc>
        <w:tc>
          <w:tcPr>
            <w:tcW w:w="1121" w:type="dxa"/>
            <w:noWrap w:val="0"/>
            <w:vAlign w:val="center"/>
          </w:tcPr>
          <w:p w14:paraId="70F6FA39">
            <w:pPr>
              <w:autoSpaceDE w:val="0"/>
              <w:autoSpaceDN w:val="0"/>
              <w:spacing w:line="400" w:lineRule="exact"/>
              <w:jc w:val="center"/>
              <w:rPr>
                <w:bCs/>
                <w:szCs w:val="21"/>
              </w:rPr>
            </w:pPr>
          </w:p>
        </w:tc>
      </w:tr>
    </w:tbl>
    <w:p w14:paraId="34EC1AB4">
      <w:pPr>
        <w:autoSpaceDE w:val="0"/>
        <w:autoSpaceDN w:val="0"/>
        <w:spacing w:line="480" w:lineRule="auto"/>
        <w:rPr>
          <w:bCs/>
          <w:szCs w:val="21"/>
          <w:lang w:val="zh-CN"/>
        </w:rPr>
      </w:pPr>
      <w:r>
        <w:rPr>
          <w:bCs/>
          <w:szCs w:val="21"/>
          <w:lang w:val="zh-CN"/>
        </w:rPr>
        <w:t>注：</w:t>
      </w:r>
    </w:p>
    <w:p w14:paraId="5E617A73">
      <w:pPr>
        <w:autoSpaceDE w:val="0"/>
        <w:autoSpaceDN w:val="0"/>
        <w:adjustRightInd w:val="0"/>
        <w:spacing w:line="480" w:lineRule="auto"/>
        <w:ind w:firstLine="420" w:firstLineChars="200"/>
        <w:textAlignment w:val="baseline"/>
        <w:rPr>
          <w:rFonts w:ascii="宋体" w:hAnsi="宋体" w:cs="宋体"/>
          <w:snapToGrid w:val="0"/>
          <w:kern w:val="0"/>
          <w:szCs w:val="32"/>
          <w:lang w:val="zh-CN"/>
        </w:rPr>
      </w:pPr>
      <w:r>
        <w:rPr>
          <w:rFonts w:hint="eastAsia" w:ascii="宋体" w:hAnsi="宋体" w:cs="宋体"/>
          <w:snapToGrid w:val="0"/>
          <w:kern w:val="0"/>
          <w:szCs w:val="32"/>
        </w:rPr>
        <w:t>1、</w:t>
      </w:r>
      <w:r>
        <w:rPr>
          <w:rFonts w:ascii="宋体" w:hAnsi="宋体" w:cs="宋体"/>
          <w:snapToGrid w:val="0"/>
          <w:kern w:val="0"/>
          <w:szCs w:val="32"/>
          <w:lang w:val="zh-CN"/>
        </w:rPr>
        <w:t>本表的一切内容均具有法律效力，不得更改</w:t>
      </w:r>
      <w:r>
        <w:rPr>
          <w:rFonts w:hint="eastAsia" w:ascii="宋体" w:hAnsi="宋体" w:cs="宋体"/>
          <w:snapToGrid w:val="0"/>
          <w:kern w:val="0"/>
          <w:szCs w:val="32"/>
          <w:lang w:val="zh-CN"/>
        </w:rPr>
        <w:t>。</w:t>
      </w:r>
      <w:r>
        <w:rPr>
          <w:rFonts w:hint="eastAsia" w:ascii="宋体" w:hAnsi="宋体" w:cs="宋体"/>
          <w:snapToGrid w:val="0"/>
          <w:kern w:val="0"/>
          <w:szCs w:val="32"/>
        </w:rPr>
        <w:t>当报价一览表与响应标文件不一致时，以报价一览表为准</w:t>
      </w:r>
      <w:r>
        <w:rPr>
          <w:rFonts w:ascii="宋体" w:hAnsi="宋体" w:cs="宋体"/>
          <w:snapToGrid w:val="0"/>
          <w:kern w:val="0"/>
          <w:szCs w:val="32"/>
          <w:lang w:val="zh-CN"/>
        </w:rPr>
        <w:t>。</w:t>
      </w:r>
    </w:p>
    <w:p w14:paraId="4817F20C">
      <w:pPr>
        <w:autoSpaceDE w:val="0"/>
        <w:autoSpaceDN w:val="0"/>
        <w:adjustRightInd w:val="0"/>
        <w:spacing w:line="480" w:lineRule="auto"/>
        <w:ind w:firstLine="420" w:firstLineChars="200"/>
        <w:textAlignment w:val="baseline"/>
        <w:rPr>
          <w:rFonts w:ascii="宋体" w:hAnsi="宋体" w:cs="宋体"/>
          <w:snapToGrid w:val="0"/>
          <w:kern w:val="0"/>
          <w:szCs w:val="32"/>
        </w:rPr>
      </w:pPr>
      <w:r>
        <w:rPr>
          <w:rFonts w:hint="eastAsia" w:ascii="宋体" w:hAnsi="宋体" w:cs="宋体"/>
          <w:snapToGrid w:val="0"/>
          <w:kern w:val="0"/>
          <w:szCs w:val="32"/>
        </w:rPr>
        <w:t>2、报价为采购范围所列全部项目的含税报价总和。优惠条件</w:t>
      </w:r>
      <w:r>
        <w:rPr>
          <w:rFonts w:hint="eastAsia" w:ascii="宋体" w:hAnsi="宋体" w:cs="宋体"/>
          <w:snapToGrid w:val="0"/>
          <w:kern w:val="0"/>
          <w:szCs w:val="32"/>
          <w:lang w:val="en-US" w:eastAsia="zh-CN"/>
        </w:rPr>
        <w:t>和服务承诺</w:t>
      </w:r>
      <w:r>
        <w:rPr>
          <w:rFonts w:hint="eastAsia" w:ascii="宋体" w:hAnsi="宋体" w:cs="宋体"/>
          <w:snapToGrid w:val="0"/>
          <w:kern w:val="0"/>
          <w:szCs w:val="32"/>
        </w:rPr>
        <w:t>只填“有”或“无”，并在响应文件相应位置附具体内容。</w:t>
      </w:r>
    </w:p>
    <w:p w14:paraId="42A893F3">
      <w:pPr>
        <w:autoSpaceDE w:val="0"/>
        <w:autoSpaceDN w:val="0"/>
        <w:adjustRightInd w:val="0"/>
        <w:spacing w:line="480" w:lineRule="auto"/>
        <w:ind w:firstLine="420" w:firstLineChars="200"/>
        <w:textAlignment w:val="baseline"/>
        <w:rPr>
          <w:b/>
          <w:bCs/>
          <w:szCs w:val="21"/>
        </w:rPr>
      </w:pPr>
      <w:r>
        <w:rPr>
          <w:rFonts w:hint="eastAsia" w:ascii="宋体" w:hAnsi="宋体" w:cs="宋体"/>
          <w:snapToGrid w:val="0"/>
          <w:kern w:val="0"/>
          <w:szCs w:val="32"/>
        </w:rPr>
        <w:t>3</w:t>
      </w:r>
      <w:r>
        <w:rPr>
          <w:rFonts w:ascii="宋体" w:hAnsi="宋体" w:cs="宋体"/>
          <w:snapToGrid w:val="0"/>
          <w:kern w:val="0"/>
          <w:szCs w:val="32"/>
          <w:lang w:val="zh-CN"/>
        </w:rPr>
        <w:t>、本表格须装订在</w:t>
      </w:r>
      <w:r>
        <w:rPr>
          <w:rFonts w:hint="eastAsia" w:ascii="宋体" w:hAnsi="宋体" w:cs="宋体"/>
          <w:snapToGrid w:val="0"/>
          <w:kern w:val="0"/>
          <w:szCs w:val="32"/>
        </w:rPr>
        <w:t>响应</w:t>
      </w:r>
      <w:r>
        <w:rPr>
          <w:rFonts w:ascii="宋体" w:hAnsi="宋体" w:cs="宋体"/>
          <w:snapToGrid w:val="0"/>
          <w:kern w:val="0"/>
          <w:szCs w:val="32"/>
          <w:lang w:val="zh-CN"/>
        </w:rPr>
        <w:t>文件内。然后再将此</w:t>
      </w:r>
      <w:r>
        <w:rPr>
          <w:rFonts w:hint="eastAsia" w:ascii="宋体" w:hAnsi="宋体" w:cs="宋体"/>
          <w:snapToGrid w:val="0"/>
          <w:kern w:val="0"/>
          <w:szCs w:val="32"/>
        </w:rPr>
        <w:t>报价</w:t>
      </w:r>
      <w:r>
        <w:rPr>
          <w:rFonts w:ascii="宋体" w:hAnsi="宋体" w:cs="宋体"/>
          <w:snapToGrid w:val="0"/>
          <w:kern w:val="0"/>
          <w:szCs w:val="32"/>
          <w:lang w:val="zh-CN"/>
        </w:rPr>
        <w:t>一览表单独打印一份签字和加盖印章后，单独密封在一个小信封内，随</w:t>
      </w:r>
      <w:r>
        <w:rPr>
          <w:rFonts w:hint="eastAsia" w:ascii="宋体" w:hAnsi="宋体" w:cs="宋体"/>
          <w:snapToGrid w:val="0"/>
          <w:kern w:val="0"/>
          <w:szCs w:val="32"/>
        </w:rPr>
        <w:t>响应</w:t>
      </w:r>
      <w:r>
        <w:rPr>
          <w:bCs/>
          <w:szCs w:val="21"/>
          <w:lang w:val="zh-CN"/>
        </w:rPr>
        <w:t>文件一同递交用。</w:t>
      </w:r>
    </w:p>
    <w:p w14:paraId="4FC1D7B3">
      <w:pPr>
        <w:spacing w:line="480" w:lineRule="auto"/>
        <w:ind w:firstLine="420" w:firstLineChars="200"/>
        <w:jc w:val="center"/>
        <w:rPr>
          <w:szCs w:val="21"/>
        </w:rPr>
      </w:pPr>
      <w:r>
        <w:rPr>
          <w:rFonts w:hint="eastAsia"/>
          <w:szCs w:val="21"/>
        </w:rPr>
        <w:t xml:space="preserve">        申</w:t>
      </w:r>
      <w:r>
        <w:rPr>
          <w:szCs w:val="21"/>
        </w:rPr>
        <w:t xml:space="preserve">  </w:t>
      </w:r>
      <w:r>
        <w:rPr>
          <w:rFonts w:hint="eastAsia"/>
          <w:szCs w:val="21"/>
        </w:rPr>
        <w:t>请</w:t>
      </w:r>
      <w:r>
        <w:rPr>
          <w:szCs w:val="21"/>
        </w:rPr>
        <w:t xml:space="preserve">  人：</w:t>
      </w:r>
      <w:r>
        <w:rPr>
          <w:szCs w:val="21"/>
          <w:u w:val="single"/>
        </w:rPr>
        <w:t xml:space="preserve">                           </w:t>
      </w:r>
      <w:r>
        <w:rPr>
          <w:szCs w:val="21"/>
        </w:rPr>
        <w:t>（公章）</w:t>
      </w:r>
    </w:p>
    <w:p w14:paraId="61580B00">
      <w:pPr>
        <w:spacing w:line="480" w:lineRule="auto"/>
        <w:ind w:firstLine="2310" w:firstLineChars="1100"/>
        <w:jc w:val="left"/>
        <w:rPr>
          <w:szCs w:val="21"/>
        </w:rPr>
      </w:pPr>
      <w:r>
        <w:rPr>
          <w:szCs w:val="21"/>
        </w:rPr>
        <w:t>法定代表人</w:t>
      </w:r>
      <w:r>
        <w:rPr>
          <w:rFonts w:hint="eastAsia"/>
          <w:szCs w:val="21"/>
        </w:rPr>
        <w:t>或</w:t>
      </w:r>
      <w:r>
        <w:rPr>
          <w:szCs w:val="21"/>
        </w:rPr>
        <w:t>委托代理人：</w:t>
      </w:r>
      <w:r>
        <w:rPr>
          <w:szCs w:val="21"/>
          <w:u w:val="single"/>
        </w:rPr>
        <w:t xml:space="preserve">                 </w:t>
      </w:r>
      <w:r>
        <w:rPr>
          <w:szCs w:val="21"/>
        </w:rPr>
        <w:t>（签字</w:t>
      </w:r>
      <w:r>
        <w:rPr>
          <w:rFonts w:hint="eastAsia"/>
          <w:szCs w:val="21"/>
        </w:rPr>
        <w:t>或</w:t>
      </w:r>
      <w:r>
        <w:rPr>
          <w:szCs w:val="21"/>
        </w:rPr>
        <w:t>盖章）</w:t>
      </w:r>
    </w:p>
    <w:p w14:paraId="25D0DDEF">
      <w:pPr>
        <w:wordWrap w:val="0"/>
        <w:spacing w:line="480" w:lineRule="auto"/>
        <w:ind w:firstLine="2310" w:firstLineChars="1100"/>
        <w:rPr>
          <w:szCs w:val="21"/>
        </w:rPr>
      </w:pPr>
      <w:r>
        <w:rPr>
          <w:szCs w:val="21"/>
        </w:rPr>
        <w:t xml:space="preserve">日   期：    年    月    日        </w:t>
      </w:r>
    </w:p>
    <w:p w14:paraId="1F54E334">
      <w:pPr>
        <w:spacing w:line="300" w:lineRule="auto"/>
        <w:ind w:firstLine="420" w:firstLineChars="200"/>
      </w:pPr>
    </w:p>
    <w:p w14:paraId="489A3B9F">
      <w:pPr>
        <w:autoSpaceDE w:val="0"/>
        <w:autoSpaceDN w:val="0"/>
        <w:jc w:val="center"/>
        <w:rPr>
          <w:rFonts w:hint="eastAsia" w:eastAsia="宋体"/>
          <w:b/>
          <w:sz w:val="32"/>
          <w:szCs w:val="32"/>
          <w:lang w:val="en-US" w:eastAsia="zh-CN"/>
        </w:rPr>
      </w:pPr>
      <w:bookmarkStart w:id="28" w:name="_Toc402425839"/>
      <w:r>
        <w:rPr>
          <w:b/>
        </w:rPr>
        <w:br w:type="page"/>
      </w:r>
      <w:bookmarkEnd w:id="21"/>
      <w:bookmarkEnd w:id="28"/>
      <w:r>
        <w:rPr>
          <w:b/>
          <w:sz w:val="32"/>
          <w:szCs w:val="32"/>
        </w:rPr>
        <w:t>五、报价</w:t>
      </w:r>
      <w:r>
        <w:rPr>
          <w:rFonts w:hint="eastAsia"/>
          <w:b/>
          <w:sz w:val="32"/>
          <w:szCs w:val="32"/>
        </w:rPr>
        <w:t>明细</w:t>
      </w:r>
      <w:r>
        <w:rPr>
          <w:rFonts w:hint="eastAsia"/>
          <w:b/>
          <w:sz w:val="32"/>
          <w:szCs w:val="32"/>
          <w:lang w:val="en-US" w:eastAsia="zh-CN"/>
        </w:rPr>
        <w:t>表</w:t>
      </w:r>
    </w:p>
    <w:p w14:paraId="6C4DCD1A">
      <w:pPr>
        <w:autoSpaceDE w:val="0"/>
        <w:autoSpaceDN w:val="0"/>
        <w:snapToGrid w:val="0"/>
        <w:rPr>
          <w:spacing w:val="11"/>
          <w:szCs w:val="21"/>
        </w:rPr>
      </w:pPr>
    </w:p>
    <w:p w14:paraId="392DA8FB">
      <w:pPr>
        <w:autoSpaceDE w:val="0"/>
        <w:autoSpaceDN w:val="0"/>
        <w:snapToGrid w:val="0"/>
        <w:rPr>
          <w:spacing w:val="11"/>
          <w:szCs w:val="21"/>
        </w:rPr>
      </w:pPr>
    </w:p>
    <w:p w14:paraId="457AF09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32"/>
          <w:highlight w:val="none"/>
          <w:u w:val="single"/>
        </w:rPr>
      </w:pPr>
      <w:r>
        <w:rPr>
          <w:rFonts w:hint="eastAsia" w:ascii="宋体" w:hAnsi="宋体" w:eastAsia="宋体" w:cs="宋体"/>
          <w:sz w:val="21"/>
          <w:szCs w:val="32"/>
          <w:highlight w:val="none"/>
        </w:rPr>
        <w:t xml:space="preserve">项目名称： </w:t>
      </w:r>
      <w:r>
        <w:rPr>
          <w:rFonts w:hint="eastAsia" w:ascii="宋体" w:hAnsi="宋体" w:eastAsia="宋体" w:cs="宋体"/>
          <w:sz w:val="21"/>
          <w:szCs w:val="32"/>
          <w:highlight w:val="none"/>
          <w:u w:val="single"/>
        </w:rPr>
        <w:t xml:space="preserve">                         </w:t>
      </w:r>
    </w:p>
    <w:p w14:paraId="6BB4088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napToGrid w:val="0"/>
          <w:kern w:val="0"/>
          <w:sz w:val="18"/>
          <w:highlight w:val="none"/>
        </w:rPr>
      </w:pPr>
      <w:r>
        <w:rPr>
          <w:rFonts w:hint="eastAsia" w:ascii="宋体" w:hAnsi="宋体" w:eastAsia="宋体" w:cs="宋体"/>
          <w:sz w:val="21"/>
          <w:szCs w:val="32"/>
          <w:highlight w:val="none"/>
        </w:rPr>
        <w:t>项目编号：</w:t>
      </w:r>
      <w:r>
        <w:rPr>
          <w:rFonts w:hint="eastAsia" w:ascii="宋体" w:hAnsi="宋体" w:eastAsia="宋体" w:cs="宋体"/>
          <w:i/>
          <w:iCs/>
          <w:sz w:val="21"/>
          <w:szCs w:val="32"/>
          <w:highlight w:val="none"/>
        </w:rPr>
        <w:t xml:space="preserve"> </w:t>
      </w:r>
      <w:r>
        <w:rPr>
          <w:rFonts w:hint="eastAsia" w:ascii="宋体" w:hAnsi="宋体" w:eastAsia="宋体" w:cs="宋体"/>
          <w:sz w:val="21"/>
          <w:szCs w:val="32"/>
          <w:highlight w:val="none"/>
          <w:u w:val="single"/>
        </w:rPr>
        <w:t xml:space="preserve">                         </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1904"/>
        <w:gridCol w:w="1326"/>
        <w:gridCol w:w="1327"/>
        <w:gridCol w:w="1327"/>
        <w:gridCol w:w="1327"/>
        <w:gridCol w:w="1327"/>
      </w:tblGrid>
      <w:tr w14:paraId="1AAD2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tcPr>
          <w:p w14:paraId="5F3FF06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32"/>
                <w:highlight w:val="none"/>
                <w:vertAlign w:val="baseline"/>
                <w:lang w:val="en-US" w:eastAsia="zh-CN"/>
              </w:rPr>
            </w:pPr>
            <w:r>
              <w:rPr>
                <w:rFonts w:hint="eastAsia" w:ascii="宋体" w:hAnsi="宋体" w:eastAsia="宋体" w:cs="宋体"/>
                <w:sz w:val="21"/>
                <w:szCs w:val="32"/>
                <w:highlight w:val="none"/>
                <w:vertAlign w:val="baseline"/>
                <w:lang w:val="en-US" w:eastAsia="zh-CN"/>
              </w:rPr>
              <w:t>序号</w:t>
            </w:r>
          </w:p>
        </w:tc>
        <w:tc>
          <w:tcPr>
            <w:tcW w:w="1904" w:type="dxa"/>
          </w:tcPr>
          <w:p w14:paraId="0091DBB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r>
              <w:rPr>
                <w:rFonts w:hint="eastAsia" w:ascii="宋体" w:hAnsi="宋体" w:eastAsia="宋体" w:cs="宋体"/>
                <w:b w:val="0"/>
                <w:bCs w:val="0"/>
                <w:snapToGrid w:val="0"/>
                <w:kern w:val="0"/>
                <w:sz w:val="21"/>
                <w:szCs w:val="32"/>
                <w:highlight w:val="none"/>
                <w:lang w:val="en-US" w:eastAsia="zh-CN"/>
              </w:rPr>
              <w:t>货物名称</w:t>
            </w:r>
          </w:p>
        </w:tc>
        <w:tc>
          <w:tcPr>
            <w:tcW w:w="1326" w:type="dxa"/>
          </w:tcPr>
          <w:p w14:paraId="134AFBD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r>
              <w:rPr>
                <w:rFonts w:hint="eastAsia" w:ascii="宋体" w:hAnsi="宋体" w:eastAsia="宋体" w:cs="宋体"/>
                <w:b w:val="0"/>
                <w:bCs w:val="0"/>
                <w:snapToGrid w:val="0"/>
                <w:kern w:val="0"/>
                <w:sz w:val="21"/>
                <w:szCs w:val="32"/>
                <w:highlight w:val="none"/>
                <w:lang w:val="en-US" w:eastAsia="zh-CN"/>
              </w:rPr>
              <w:t>品牌</w:t>
            </w:r>
          </w:p>
        </w:tc>
        <w:tc>
          <w:tcPr>
            <w:tcW w:w="1327" w:type="dxa"/>
          </w:tcPr>
          <w:p w14:paraId="1C3FDF8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r>
              <w:rPr>
                <w:rFonts w:hint="eastAsia" w:ascii="宋体" w:hAnsi="宋体" w:eastAsia="宋体" w:cs="宋体"/>
                <w:b w:val="0"/>
                <w:bCs w:val="0"/>
                <w:snapToGrid w:val="0"/>
                <w:kern w:val="0"/>
                <w:sz w:val="21"/>
                <w:szCs w:val="32"/>
                <w:highlight w:val="none"/>
                <w:lang w:val="en-US" w:eastAsia="zh-CN"/>
              </w:rPr>
              <w:t>单价</w:t>
            </w:r>
          </w:p>
        </w:tc>
        <w:tc>
          <w:tcPr>
            <w:tcW w:w="1327" w:type="dxa"/>
          </w:tcPr>
          <w:p w14:paraId="300D266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r>
              <w:rPr>
                <w:rFonts w:hint="eastAsia" w:ascii="宋体" w:hAnsi="宋体" w:eastAsia="宋体" w:cs="宋体"/>
                <w:b w:val="0"/>
                <w:bCs w:val="0"/>
                <w:snapToGrid w:val="0"/>
                <w:kern w:val="0"/>
                <w:sz w:val="21"/>
                <w:szCs w:val="32"/>
                <w:highlight w:val="none"/>
                <w:lang w:val="en-US" w:eastAsia="zh-CN"/>
              </w:rPr>
              <w:t>型号</w:t>
            </w:r>
          </w:p>
        </w:tc>
        <w:tc>
          <w:tcPr>
            <w:tcW w:w="1327" w:type="dxa"/>
          </w:tcPr>
          <w:p w14:paraId="5C80C26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r>
              <w:rPr>
                <w:rFonts w:hint="eastAsia" w:ascii="宋体" w:hAnsi="宋体" w:eastAsia="宋体" w:cs="宋体"/>
                <w:b w:val="0"/>
                <w:bCs w:val="0"/>
                <w:snapToGrid w:val="0"/>
                <w:kern w:val="0"/>
                <w:sz w:val="21"/>
                <w:szCs w:val="32"/>
                <w:highlight w:val="none"/>
                <w:lang w:val="en-US" w:eastAsia="zh-CN"/>
              </w:rPr>
              <w:t>数量</w:t>
            </w:r>
          </w:p>
        </w:tc>
        <w:tc>
          <w:tcPr>
            <w:tcW w:w="1327" w:type="dxa"/>
          </w:tcPr>
          <w:p w14:paraId="49C29D0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r>
              <w:rPr>
                <w:rFonts w:hint="eastAsia" w:ascii="宋体" w:hAnsi="宋体" w:eastAsia="宋体" w:cs="宋体"/>
                <w:b w:val="0"/>
                <w:bCs w:val="0"/>
                <w:snapToGrid w:val="0"/>
                <w:kern w:val="0"/>
                <w:sz w:val="21"/>
                <w:szCs w:val="32"/>
                <w:highlight w:val="none"/>
                <w:lang w:val="en-US" w:eastAsia="zh-CN"/>
              </w:rPr>
              <w:t>规格及技术参数</w:t>
            </w:r>
          </w:p>
        </w:tc>
      </w:tr>
      <w:tr w14:paraId="5D17E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tcPr>
          <w:p w14:paraId="457BAB5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32"/>
                <w:highlight w:val="none"/>
                <w:vertAlign w:val="baseline"/>
                <w:lang w:val="en-US" w:eastAsia="zh-CN"/>
              </w:rPr>
            </w:pPr>
            <w:r>
              <w:rPr>
                <w:rFonts w:hint="eastAsia" w:ascii="宋体" w:hAnsi="宋体" w:eastAsia="宋体" w:cs="宋体"/>
                <w:sz w:val="21"/>
                <w:szCs w:val="32"/>
                <w:highlight w:val="none"/>
                <w:vertAlign w:val="baseline"/>
                <w:lang w:val="en-US" w:eastAsia="zh-CN"/>
              </w:rPr>
              <w:t>1</w:t>
            </w:r>
          </w:p>
        </w:tc>
        <w:tc>
          <w:tcPr>
            <w:tcW w:w="1904" w:type="dxa"/>
          </w:tcPr>
          <w:p w14:paraId="19F106D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c>
          <w:tcPr>
            <w:tcW w:w="1326" w:type="dxa"/>
          </w:tcPr>
          <w:p w14:paraId="6154D6D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c>
          <w:tcPr>
            <w:tcW w:w="1327" w:type="dxa"/>
          </w:tcPr>
          <w:p w14:paraId="1E8EC61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c>
          <w:tcPr>
            <w:tcW w:w="1327" w:type="dxa"/>
          </w:tcPr>
          <w:p w14:paraId="68AAB46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c>
          <w:tcPr>
            <w:tcW w:w="1327" w:type="dxa"/>
          </w:tcPr>
          <w:p w14:paraId="3AF217A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c>
          <w:tcPr>
            <w:tcW w:w="1327" w:type="dxa"/>
          </w:tcPr>
          <w:p w14:paraId="33ABB2E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r>
      <w:tr w14:paraId="2A8EF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tcPr>
          <w:p w14:paraId="314EF13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32"/>
                <w:highlight w:val="none"/>
                <w:vertAlign w:val="baseline"/>
                <w:lang w:val="en-US" w:eastAsia="zh-CN"/>
              </w:rPr>
            </w:pPr>
            <w:r>
              <w:rPr>
                <w:rFonts w:hint="eastAsia" w:ascii="宋体" w:hAnsi="宋体" w:eastAsia="宋体" w:cs="宋体"/>
                <w:sz w:val="21"/>
                <w:szCs w:val="32"/>
                <w:highlight w:val="none"/>
                <w:vertAlign w:val="baseline"/>
                <w:lang w:val="en-US" w:eastAsia="zh-CN"/>
              </w:rPr>
              <w:t>2</w:t>
            </w:r>
          </w:p>
        </w:tc>
        <w:tc>
          <w:tcPr>
            <w:tcW w:w="1904" w:type="dxa"/>
          </w:tcPr>
          <w:p w14:paraId="10EE990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c>
          <w:tcPr>
            <w:tcW w:w="1326" w:type="dxa"/>
          </w:tcPr>
          <w:p w14:paraId="4350C88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c>
          <w:tcPr>
            <w:tcW w:w="1327" w:type="dxa"/>
          </w:tcPr>
          <w:p w14:paraId="11E0088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c>
          <w:tcPr>
            <w:tcW w:w="1327" w:type="dxa"/>
          </w:tcPr>
          <w:p w14:paraId="336872E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c>
          <w:tcPr>
            <w:tcW w:w="1327" w:type="dxa"/>
          </w:tcPr>
          <w:p w14:paraId="68F57A6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c>
          <w:tcPr>
            <w:tcW w:w="1327" w:type="dxa"/>
          </w:tcPr>
          <w:p w14:paraId="57B0CAA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r>
      <w:tr w14:paraId="14550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tcPr>
          <w:p w14:paraId="2885614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32"/>
                <w:highlight w:val="none"/>
                <w:vertAlign w:val="baseline"/>
                <w:lang w:val="en-US" w:eastAsia="zh-CN"/>
              </w:rPr>
            </w:pPr>
            <w:r>
              <w:rPr>
                <w:rFonts w:hint="eastAsia" w:ascii="宋体" w:hAnsi="宋体" w:eastAsia="宋体" w:cs="宋体"/>
                <w:sz w:val="21"/>
                <w:szCs w:val="32"/>
                <w:highlight w:val="none"/>
                <w:vertAlign w:val="baseline"/>
                <w:lang w:val="en-US" w:eastAsia="zh-CN"/>
              </w:rPr>
              <w:t>3</w:t>
            </w:r>
          </w:p>
        </w:tc>
        <w:tc>
          <w:tcPr>
            <w:tcW w:w="1904" w:type="dxa"/>
          </w:tcPr>
          <w:p w14:paraId="6519939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c>
          <w:tcPr>
            <w:tcW w:w="1326" w:type="dxa"/>
          </w:tcPr>
          <w:p w14:paraId="2B3B0C9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c>
          <w:tcPr>
            <w:tcW w:w="1327" w:type="dxa"/>
          </w:tcPr>
          <w:p w14:paraId="493B64C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c>
          <w:tcPr>
            <w:tcW w:w="1327" w:type="dxa"/>
          </w:tcPr>
          <w:p w14:paraId="064C013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c>
          <w:tcPr>
            <w:tcW w:w="1327" w:type="dxa"/>
          </w:tcPr>
          <w:p w14:paraId="1712E29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c>
          <w:tcPr>
            <w:tcW w:w="1327" w:type="dxa"/>
          </w:tcPr>
          <w:p w14:paraId="2B70733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r>
      <w:tr w14:paraId="3B35B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tcPr>
          <w:p w14:paraId="3CB152F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32"/>
                <w:highlight w:val="none"/>
                <w:vertAlign w:val="baseline"/>
                <w:lang w:val="en-US" w:eastAsia="zh-CN"/>
              </w:rPr>
            </w:pPr>
            <w:r>
              <w:rPr>
                <w:rFonts w:hint="eastAsia" w:ascii="宋体" w:hAnsi="宋体" w:eastAsia="宋体" w:cs="宋体"/>
                <w:sz w:val="21"/>
                <w:szCs w:val="32"/>
                <w:highlight w:val="none"/>
                <w:vertAlign w:val="baseline"/>
                <w:lang w:val="en-US" w:eastAsia="zh-CN"/>
              </w:rPr>
              <w:t>4</w:t>
            </w:r>
          </w:p>
        </w:tc>
        <w:tc>
          <w:tcPr>
            <w:tcW w:w="1904" w:type="dxa"/>
          </w:tcPr>
          <w:p w14:paraId="0655A02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c>
          <w:tcPr>
            <w:tcW w:w="1326" w:type="dxa"/>
          </w:tcPr>
          <w:p w14:paraId="1217999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c>
          <w:tcPr>
            <w:tcW w:w="1327" w:type="dxa"/>
          </w:tcPr>
          <w:p w14:paraId="3A42431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c>
          <w:tcPr>
            <w:tcW w:w="1327" w:type="dxa"/>
          </w:tcPr>
          <w:p w14:paraId="7E66C2A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c>
          <w:tcPr>
            <w:tcW w:w="1327" w:type="dxa"/>
          </w:tcPr>
          <w:p w14:paraId="2E50245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c>
          <w:tcPr>
            <w:tcW w:w="1327" w:type="dxa"/>
          </w:tcPr>
          <w:p w14:paraId="75D40E5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r>
      <w:tr w14:paraId="682B9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tcPr>
          <w:p w14:paraId="44A3056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32"/>
                <w:highlight w:val="none"/>
                <w:vertAlign w:val="baseline"/>
                <w:lang w:val="en-US" w:eastAsia="zh-CN"/>
              </w:rPr>
            </w:pPr>
            <w:r>
              <w:rPr>
                <w:rFonts w:hint="eastAsia" w:ascii="宋体" w:hAnsi="宋体" w:eastAsia="宋体" w:cs="宋体"/>
                <w:sz w:val="21"/>
                <w:szCs w:val="32"/>
                <w:highlight w:val="none"/>
                <w:vertAlign w:val="baseline"/>
                <w:lang w:val="en-US" w:eastAsia="zh-CN"/>
              </w:rPr>
              <w:t>5</w:t>
            </w:r>
          </w:p>
        </w:tc>
        <w:tc>
          <w:tcPr>
            <w:tcW w:w="1904" w:type="dxa"/>
          </w:tcPr>
          <w:p w14:paraId="614450C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c>
          <w:tcPr>
            <w:tcW w:w="1326" w:type="dxa"/>
          </w:tcPr>
          <w:p w14:paraId="767E4FA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c>
          <w:tcPr>
            <w:tcW w:w="1327" w:type="dxa"/>
          </w:tcPr>
          <w:p w14:paraId="27E005E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c>
          <w:tcPr>
            <w:tcW w:w="1327" w:type="dxa"/>
          </w:tcPr>
          <w:p w14:paraId="5BA978E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c>
          <w:tcPr>
            <w:tcW w:w="1327" w:type="dxa"/>
          </w:tcPr>
          <w:p w14:paraId="1956586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c>
          <w:tcPr>
            <w:tcW w:w="1327" w:type="dxa"/>
          </w:tcPr>
          <w:p w14:paraId="3A39E77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r>
    </w:tbl>
    <w:p w14:paraId="61AB9C3C">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32"/>
          <w:highlight w:val="none"/>
          <w:lang w:val="en-US" w:eastAsia="zh-CN"/>
        </w:rPr>
      </w:pPr>
    </w:p>
    <w:p w14:paraId="618302E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32"/>
          <w:highlight w:val="none"/>
          <w:lang w:val="en-US" w:eastAsia="zh-CN"/>
        </w:rPr>
      </w:pPr>
    </w:p>
    <w:p w14:paraId="007C2E54">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宋体" w:hAnsi="宋体" w:eastAsia="宋体" w:cs="宋体"/>
          <w:sz w:val="21"/>
          <w:szCs w:val="32"/>
          <w:highlight w:val="none"/>
          <w:lang w:val="en-US" w:eastAsia="zh-CN"/>
        </w:rPr>
      </w:pPr>
      <w:r>
        <w:rPr>
          <w:rFonts w:hint="eastAsia" w:ascii="宋体" w:hAnsi="宋体" w:eastAsia="宋体" w:cs="宋体"/>
          <w:sz w:val="21"/>
          <w:szCs w:val="32"/>
          <w:highlight w:val="none"/>
          <w:lang w:val="en-US" w:eastAsia="zh-CN"/>
        </w:rPr>
        <w:t>本表格可根据需要自行增加行与列。</w:t>
      </w:r>
    </w:p>
    <w:p w14:paraId="1F0CADF7">
      <w:pPr>
        <w:pStyle w:val="17"/>
        <w:rPr>
          <w:rFonts w:hint="default"/>
          <w:lang w:val="en-US"/>
        </w:rPr>
      </w:pPr>
    </w:p>
    <w:p w14:paraId="3B47C846">
      <w:pPr>
        <w:pStyle w:val="17"/>
        <w:rPr>
          <w:rFonts w:hint="default"/>
          <w:lang w:val="en-US"/>
        </w:rPr>
      </w:pPr>
    </w:p>
    <w:p w14:paraId="424266B0">
      <w:pPr>
        <w:pStyle w:val="18"/>
        <w:adjustRightInd w:val="0"/>
        <w:snapToGrid w:val="0"/>
        <w:spacing w:line="300" w:lineRule="auto"/>
        <w:rPr>
          <w:rFonts w:hint="eastAsia" w:ascii="宋体" w:hAnsi="宋体" w:eastAsia="宋体" w:cs="宋体"/>
          <w:snapToGrid w:val="0"/>
          <w:kern w:val="0"/>
          <w:sz w:val="21"/>
          <w:szCs w:val="32"/>
          <w:highlight w:val="none"/>
        </w:rPr>
      </w:pPr>
      <w:r>
        <w:rPr>
          <w:rFonts w:hint="eastAsia" w:ascii="宋体" w:hAnsi="宋体" w:eastAsia="宋体" w:cs="宋体"/>
          <w:snapToGrid w:val="0"/>
          <w:kern w:val="0"/>
          <w:sz w:val="21"/>
          <w:szCs w:val="32"/>
          <w:highlight w:val="none"/>
          <w:lang w:eastAsia="zh-CN"/>
        </w:rPr>
        <w:t>申请人</w:t>
      </w:r>
      <w:r>
        <w:rPr>
          <w:rFonts w:hint="eastAsia" w:ascii="宋体" w:hAnsi="宋体" w:eastAsia="宋体" w:cs="宋体"/>
          <w:snapToGrid w:val="0"/>
          <w:kern w:val="0"/>
          <w:sz w:val="21"/>
          <w:szCs w:val="32"/>
          <w:highlight w:val="none"/>
        </w:rPr>
        <w:t xml:space="preserve">名称（盖章）：                                         </w:t>
      </w:r>
    </w:p>
    <w:p w14:paraId="21D47854">
      <w:pPr>
        <w:pStyle w:val="18"/>
        <w:adjustRightInd w:val="0"/>
        <w:snapToGrid w:val="0"/>
        <w:spacing w:line="300" w:lineRule="auto"/>
        <w:rPr>
          <w:rFonts w:hint="eastAsia" w:ascii="宋体" w:hAnsi="宋体" w:eastAsia="宋体" w:cs="宋体"/>
          <w:snapToGrid w:val="0"/>
          <w:kern w:val="0"/>
          <w:sz w:val="21"/>
          <w:szCs w:val="32"/>
          <w:highlight w:val="none"/>
        </w:rPr>
      </w:pPr>
      <w:r>
        <w:rPr>
          <w:rFonts w:hint="eastAsia" w:ascii="宋体" w:hAnsi="宋体" w:eastAsia="宋体" w:cs="宋体"/>
          <w:snapToGrid w:val="0"/>
          <w:kern w:val="0"/>
          <w:sz w:val="21"/>
          <w:szCs w:val="32"/>
          <w:highlight w:val="none"/>
        </w:rPr>
        <w:t>法定代表人</w:t>
      </w:r>
      <w:r>
        <w:rPr>
          <w:rFonts w:hint="eastAsia" w:ascii="宋体" w:hAnsi="宋体" w:eastAsia="宋体" w:cs="宋体"/>
          <w:snapToGrid w:val="0"/>
          <w:kern w:val="0"/>
          <w:sz w:val="21"/>
          <w:szCs w:val="32"/>
          <w:highlight w:val="none"/>
          <w:lang w:val="en-US" w:eastAsia="zh-CN"/>
        </w:rPr>
        <w:t>或</w:t>
      </w:r>
      <w:r>
        <w:rPr>
          <w:rFonts w:hint="eastAsia" w:ascii="宋体" w:hAnsi="宋体" w:eastAsia="宋体" w:cs="宋体"/>
          <w:snapToGrid w:val="0"/>
          <w:kern w:val="0"/>
          <w:sz w:val="21"/>
          <w:szCs w:val="32"/>
          <w:highlight w:val="none"/>
        </w:rPr>
        <w:t>委托代理人（签字</w:t>
      </w:r>
      <w:r>
        <w:rPr>
          <w:rFonts w:hint="eastAsia" w:ascii="宋体" w:hAnsi="宋体" w:eastAsia="宋体" w:cs="宋体"/>
          <w:snapToGrid w:val="0"/>
          <w:kern w:val="0"/>
          <w:sz w:val="21"/>
          <w:szCs w:val="32"/>
          <w:highlight w:val="none"/>
          <w:lang w:val="en-US" w:eastAsia="zh-CN"/>
        </w:rPr>
        <w:t>或盖章</w:t>
      </w:r>
      <w:r>
        <w:rPr>
          <w:rFonts w:hint="eastAsia" w:ascii="宋体" w:hAnsi="宋体" w:eastAsia="宋体" w:cs="宋体"/>
          <w:snapToGrid w:val="0"/>
          <w:kern w:val="0"/>
          <w:sz w:val="21"/>
          <w:szCs w:val="32"/>
          <w:highlight w:val="none"/>
        </w:rPr>
        <w:t>）：</w:t>
      </w:r>
      <w:r>
        <w:rPr>
          <w:rFonts w:hint="eastAsia" w:ascii="宋体" w:hAnsi="宋体" w:eastAsia="宋体" w:cs="宋体"/>
          <w:snapToGrid w:val="0"/>
          <w:kern w:val="0"/>
          <w:sz w:val="21"/>
          <w:szCs w:val="32"/>
          <w:highlight w:val="none"/>
          <w:u w:val="single"/>
        </w:rPr>
        <w:t xml:space="preserve">                          </w:t>
      </w:r>
    </w:p>
    <w:p w14:paraId="1399C350">
      <w:pPr>
        <w:pStyle w:val="18"/>
        <w:adjustRightInd w:val="0"/>
        <w:snapToGrid w:val="0"/>
        <w:spacing w:line="300" w:lineRule="auto"/>
        <w:rPr>
          <w:rFonts w:hint="eastAsia" w:ascii="宋体" w:hAnsi="宋体" w:eastAsia="宋体" w:cs="宋体"/>
          <w:snapToGrid w:val="0"/>
          <w:kern w:val="0"/>
          <w:sz w:val="18"/>
          <w:highlight w:val="none"/>
        </w:rPr>
      </w:pPr>
      <w:r>
        <w:rPr>
          <w:rFonts w:hint="eastAsia" w:ascii="宋体" w:hAnsi="宋体" w:eastAsia="宋体" w:cs="宋体"/>
          <w:snapToGrid w:val="0"/>
          <w:kern w:val="0"/>
          <w:sz w:val="21"/>
          <w:szCs w:val="32"/>
          <w:highlight w:val="none"/>
        </w:rPr>
        <w:t>日期:</w:t>
      </w:r>
      <w:r>
        <w:rPr>
          <w:rFonts w:hint="eastAsia" w:ascii="宋体" w:hAnsi="宋体" w:eastAsia="宋体" w:cs="宋体"/>
          <w:snapToGrid w:val="0"/>
          <w:kern w:val="0"/>
          <w:sz w:val="21"/>
          <w:szCs w:val="32"/>
          <w:highlight w:val="none"/>
          <w:u w:val="single"/>
        </w:rPr>
        <w:t xml:space="preserve">         </w:t>
      </w:r>
      <w:r>
        <w:rPr>
          <w:rFonts w:hint="eastAsia" w:ascii="宋体" w:hAnsi="宋体" w:eastAsia="宋体" w:cs="宋体"/>
          <w:snapToGrid w:val="0"/>
          <w:kern w:val="0"/>
          <w:sz w:val="21"/>
          <w:szCs w:val="32"/>
          <w:highlight w:val="none"/>
        </w:rPr>
        <w:t>年</w:t>
      </w:r>
      <w:r>
        <w:rPr>
          <w:rFonts w:hint="eastAsia" w:ascii="宋体" w:hAnsi="宋体" w:eastAsia="宋体" w:cs="宋体"/>
          <w:snapToGrid w:val="0"/>
          <w:kern w:val="0"/>
          <w:sz w:val="21"/>
          <w:szCs w:val="32"/>
          <w:highlight w:val="none"/>
          <w:u w:val="single"/>
        </w:rPr>
        <w:t xml:space="preserve">   </w:t>
      </w:r>
      <w:r>
        <w:rPr>
          <w:rFonts w:hint="eastAsia" w:ascii="宋体" w:hAnsi="宋体" w:eastAsia="宋体" w:cs="宋体"/>
          <w:snapToGrid w:val="0"/>
          <w:kern w:val="0"/>
          <w:sz w:val="21"/>
          <w:szCs w:val="32"/>
          <w:highlight w:val="none"/>
        </w:rPr>
        <w:t>月</w:t>
      </w:r>
      <w:r>
        <w:rPr>
          <w:rFonts w:hint="eastAsia" w:ascii="宋体" w:hAnsi="宋体" w:eastAsia="宋体" w:cs="宋体"/>
          <w:snapToGrid w:val="0"/>
          <w:kern w:val="0"/>
          <w:sz w:val="21"/>
          <w:szCs w:val="32"/>
          <w:highlight w:val="none"/>
          <w:u w:val="single"/>
        </w:rPr>
        <w:t xml:space="preserve">   </w:t>
      </w:r>
      <w:r>
        <w:rPr>
          <w:rFonts w:hint="eastAsia" w:ascii="宋体" w:hAnsi="宋体" w:eastAsia="宋体" w:cs="宋体"/>
          <w:snapToGrid w:val="0"/>
          <w:kern w:val="0"/>
          <w:sz w:val="21"/>
          <w:szCs w:val="32"/>
          <w:highlight w:val="none"/>
        </w:rPr>
        <w:t>日</w:t>
      </w:r>
    </w:p>
    <w:p w14:paraId="0ADC38CE">
      <w:pPr>
        <w:pStyle w:val="17"/>
        <w:rPr>
          <w:rFonts w:hint="default"/>
          <w:lang w:val="en-US"/>
        </w:rPr>
      </w:pPr>
    </w:p>
    <w:p w14:paraId="30D7646E">
      <w:pPr>
        <w:pStyle w:val="17"/>
        <w:rPr>
          <w:rFonts w:hint="default"/>
          <w:lang w:val="en-US"/>
        </w:rPr>
      </w:pPr>
    </w:p>
    <w:p w14:paraId="3A9AE8A3"/>
    <w:p w14:paraId="357BCF4A">
      <w:pPr>
        <w:pStyle w:val="17"/>
      </w:pPr>
    </w:p>
    <w:p w14:paraId="2561F4E3"/>
    <w:p w14:paraId="55EADC61">
      <w:pPr>
        <w:pStyle w:val="17"/>
      </w:pPr>
    </w:p>
    <w:p w14:paraId="7563F2B9"/>
    <w:p w14:paraId="28343AFF">
      <w:pPr>
        <w:pStyle w:val="17"/>
      </w:pPr>
    </w:p>
    <w:p w14:paraId="6695072F"/>
    <w:p w14:paraId="6CF0B3A6">
      <w:pPr>
        <w:pStyle w:val="17"/>
      </w:pPr>
    </w:p>
    <w:p w14:paraId="72511C1E"/>
    <w:p w14:paraId="0C54A2DD">
      <w:pPr>
        <w:pStyle w:val="17"/>
      </w:pPr>
    </w:p>
    <w:p w14:paraId="1D79F0F8"/>
    <w:p w14:paraId="10B64D35">
      <w:pPr>
        <w:pStyle w:val="17"/>
      </w:pPr>
    </w:p>
    <w:p w14:paraId="05B84EEC">
      <w:pPr>
        <w:rPr>
          <w:b/>
          <w:sz w:val="32"/>
          <w:szCs w:val="32"/>
        </w:rPr>
      </w:pPr>
      <w:bookmarkStart w:id="29" w:name="_Toc361508760"/>
      <w:bookmarkStart w:id="30" w:name="_Toc65587252"/>
      <w:r>
        <w:rPr>
          <w:b/>
          <w:sz w:val="32"/>
          <w:szCs w:val="32"/>
        </w:rPr>
        <w:br w:type="page"/>
      </w:r>
    </w:p>
    <w:p w14:paraId="1690CD3F">
      <w:pPr>
        <w:autoSpaceDE w:val="0"/>
        <w:autoSpaceDN w:val="0"/>
        <w:jc w:val="center"/>
        <w:rPr>
          <w:b/>
          <w:sz w:val="32"/>
          <w:szCs w:val="32"/>
        </w:rPr>
      </w:pPr>
      <w:r>
        <w:rPr>
          <w:b/>
          <w:sz w:val="32"/>
          <w:szCs w:val="32"/>
        </w:rPr>
        <w:t>六、</w:t>
      </w:r>
      <w:r>
        <w:rPr>
          <w:rFonts w:hint="eastAsia"/>
          <w:b/>
          <w:sz w:val="32"/>
          <w:szCs w:val="32"/>
        </w:rPr>
        <w:t>磋商</w:t>
      </w:r>
      <w:r>
        <w:rPr>
          <w:b/>
          <w:sz w:val="32"/>
          <w:szCs w:val="32"/>
        </w:rPr>
        <w:t>保证金</w:t>
      </w:r>
    </w:p>
    <w:p w14:paraId="046F47F8">
      <w:pPr>
        <w:autoSpaceDE w:val="0"/>
        <w:autoSpaceDN w:val="0"/>
        <w:spacing w:line="360" w:lineRule="auto"/>
        <w:jc w:val="left"/>
        <w:rPr>
          <w:szCs w:val="18"/>
          <w:u w:val="single"/>
          <w:lang w:val="zh-CN"/>
        </w:rPr>
      </w:pPr>
    </w:p>
    <w:p w14:paraId="08E7B6EF">
      <w:pPr>
        <w:ind w:right="108"/>
        <w:jc w:val="center"/>
        <w:rPr>
          <w:sz w:val="32"/>
          <w:szCs w:val="32"/>
        </w:rPr>
      </w:pPr>
      <w:r>
        <w:rPr>
          <w:rFonts w:hint="eastAsia"/>
          <w:b/>
          <w:sz w:val="32"/>
          <w:szCs w:val="32"/>
          <w:lang w:val="en-US" w:eastAsia="zh-CN"/>
        </w:rPr>
        <w:t>不收取</w:t>
      </w:r>
      <w:r>
        <w:rPr>
          <w:b/>
          <w:sz w:val="32"/>
          <w:szCs w:val="32"/>
        </w:rPr>
        <w:br w:type="page"/>
      </w:r>
      <w:bookmarkEnd w:id="29"/>
      <w:bookmarkEnd w:id="30"/>
      <w:r>
        <w:rPr>
          <w:rFonts w:hint="eastAsia"/>
          <w:b/>
          <w:bCs/>
          <w:sz w:val="32"/>
          <w:szCs w:val="32"/>
        </w:rPr>
        <w:t>七</w:t>
      </w:r>
      <w:r>
        <w:rPr>
          <w:b/>
          <w:bCs/>
          <w:sz w:val="32"/>
          <w:szCs w:val="32"/>
        </w:rPr>
        <w:t>、</w:t>
      </w:r>
      <w:bookmarkStart w:id="31" w:name="_Toc404237750"/>
      <w:bookmarkStart w:id="32" w:name="_Toc493241658"/>
      <w:bookmarkStart w:id="33" w:name="_Toc246997115"/>
      <w:bookmarkStart w:id="34" w:name="_Toc397416082"/>
      <w:bookmarkStart w:id="35" w:name="_Toc179632827"/>
      <w:bookmarkStart w:id="36" w:name="_Toc152045807"/>
      <w:bookmarkStart w:id="37" w:name="_Toc246996372"/>
      <w:bookmarkStart w:id="38" w:name="_Toc404237840"/>
      <w:bookmarkStart w:id="39" w:name="_Toc152042596"/>
      <w:bookmarkStart w:id="40" w:name="_Toc144974875"/>
      <w:bookmarkStart w:id="41" w:name="_Toc247085890"/>
      <w:r>
        <w:rPr>
          <w:b/>
          <w:bCs/>
          <w:sz w:val="32"/>
          <w:szCs w:val="32"/>
        </w:rPr>
        <w:t>资格审查资料</w:t>
      </w:r>
      <w:bookmarkEnd w:id="31"/>
      <w:bookmarkEnd w:id="32"/>
      <w:bookmarkEnd w:id="33"/>
      <w:bookmarkEnd w:id="34"/>
      <w:bookmarkEnd w:id="35"/>
      <w:bookmarkEnd w:id="36"/>
      <w:bookmarkEnd w:id="37"/>
      <w:bookmarkEnd w:id="38"/>
      <w:bookmarkEnd w:id="39"/>
      <w:bookmarkEnd w:id="40"/>
      <w:bookmarkEnd w:id="41"/>
    </w:p>
    <w:p w14:paraId="3C99018B">
      <w:pPr>
        <w:rPr>
          <w:rFonts w:hint="eastAsia" w:ascii="宋体" w:hAnsi="宋体" w:cs="宋体"/>
        </w:rPr>
      </w:pPr>
      <w:bookmarkStart w:id="42" w:name="_Toc266605566"/>
      <w:bookmarkStart w:id="43" w:name="_Toc201719206"/>
    </w:p>
    <w:p w14:paraId="6420A999">
      <w:pPr>
        <w:jc w:val="center"/>
        <w:rPr>
          <w:rFonts w:hint="eastAsia" w:ascii="宋体" w:hAnsi="宋体" w:cs="宋体"/>
          <w:b/>
          <w:sz w:val="28"/>
          <w:szCs w:val="28"/>
        </w:rPr>
      </w:pPr>
      <w:r>
        <w:rPr>
          <w:rFonts w:hint="eastAsia" w:ascii="宋体" w:hAnsi="宋体" w:cs="宋体"/>
          <w:b/>
          <w:sz w:val="28"/>
          <w:szCs w:val="28"/>
        </w:rPr>
        <w:t>营业执照</w:t>
      </w:r>
    </w:p>
    <w:p w14:paraId="1B03A9D5">
      <w:pPr>
        <w:adjustRightInd w:val="0"/>
        <w:snapToGrid w:val="0"/>
        <w:spacing w:line="300" w:lineRule="auto"/>
        <w:jc w:val="center"/>
        <w:rPr>
          <w:rFonts w:hint="eastAsia" w:ascii="宋体" w:hAnsi="宋体" w:cs="宋体"/>
          <w:bCs/>
          <w:sz w:val="20"/>
        </w:rPr>
      </w:pPr>
      <w:r>
        <w:rPr>
          <w:rFonts w:hint="eastAsia" w:ascii="宋体" w:hAnsi="宋体" w:cs="宋体"/>
          <w:bCs/>
          <w:sz w:val="20"/>
        </w:rPr>
        <w:t>（副本复印件加盖本单位公章）</w:t>
      </w:r>
    </w:p>
    <w:p w14:paraId="41EB90E9">
      <w:pPr>
        <w:adjustRightInd w:val="0"/>
        <w:snapToGrid w:val="0"/>
        <w:spacing w:line="300" w:lineRule="auto"/>
        <w:jc w:val="center"/>
        <w:rPr>
          <w:rFonts w:hint="eastAsia" w:ascii="宋体" w:hAnsi="宋体" w:cs="宋体"/>
          <w:bCs/>
          <w:sz w:val="20"/>
        </w:rPr>
      </w:pPr>
    </w:p>
    <w:p w14:paraId="5FDE8E6F">
      <w:pPr>
        <w:adjustRightInd w:val="0"/>
        <w:snapToGrid w:val="0"/>
        <w:spacing w:line="300" w:lineRule="auto"/>
        <w:jc w:val="center"/>
        <w:rPr>
          <w:rFonts w:hint="eastAsia" w:ascii="宋体" w:hAnsi="宋体" w:cs="宋体"/>
          <w:bCs/>
          <w:sz w:val="20"/>
        </w:rPr>
      </w:pPr>
    </w:p>
    <w:p w14:paraId="033E6A41">
      <w:pPr>
        <w:adjustRightInd w:val="0"/>
        <w:snapToGrid w:val="0"/>
        <w:spacing w:line="300" w:lineRule="auto"/>
        <w:jc w:val="center"/>
        <w:rPr>
          <w:rFonts w:hint="eastAsia" w:ascii="宋体" w:hAnsi="宋体" w:cs="宋体"/>
          <w:bCs/>
          <w:sz w:val="20"/>
        </w:rPr>
      </w:pPr>
    </w:p>
    <w:p w14:paraId="6F2F40FD">
      <w:pPr>
        <w:adjustRightInd w:val="0"/>
        <w:snapToGrid w:val="0"/>
        <w:spacing w:line="300" w:lineRule="auto"/>
        <w:jc w:val="center"/>
        <w:rPr>
          <w:rFonts w:hint="eastAsia" w:ascii="宋体" w:hAnsi="宋体" w:cs="宋体"/>
          <w:bCs/>
          <w:sz w:val="20"/>
        </w:rPr>
      </w:pPr>
    </w:p>
    <w:p w14:paraId="2C5D7C90">
      <w:pPr>
        <w:adjustRightInd w:val="0"/>
        <w:snapToGrid w:val="0"/>
        <w:spacing w:line="300" w:lineRule="auto"/>
        <w:jc w:val="center"/>
        <w:rPr>
          <w:rFonts w:hint="eastAsia" w:ascii="宋体" w:hAnsi="宋体" w:cs="宋体"/>
          <w:bCs/>
          <w:sz w:val="20"/>
        </w:rPr>
      </w:pPr>
    </w:p>
    <w:p w14:paraId="600AFDD8">
      <w:pPr>
        <w:adjustRightInd w:val="0"/>
        <w:snapToGrid w:val="0"/>
        <w:spacing w:line="300" w:lineRule="auto"/>
        <w:jc w:val="center"/>
        <w:rPr>
          <w:rFonts w:hint="eastAsia" w:ascii="宋体" w:hAnsi="宋体" w:cs="宋体"/>
          <w:bCs/>
          <w:sz w:val="20"/>
        </w:rPr>
      </w:pPr>
    </w:p>
    <w:p w14:paraId="3740D0BD">
      <w:pPr>
        <w:adjustRightInd w:val="0"/>
        <w:snapToGrid w:val="0"/>
        <w:spacing w:line="300" w:lineRule="auto"/>
        <w:jc w:val="center"/>
        <w:rPr>
          <w:rFonts w:hint="eastAsia" w:ascii="宋体" w:hAnsi="宋体" w:eastAsia="宋体" w:cs="宋体"/>
          <w:b/>
          <w:sz w:val="28"/>
          <w:szCs w:val="28"/>
          <w:lang w:val="en-US" w:eastAsia="zh-CN"/>
        </w:rPr>
      </w:pPr>
      <w:r>
        <w:rPr>
          <w:rFonts w:hint="eastAsia" w:ascii="宋体" w:hAnsi="宋体" w:cs="宋体"/>
          <w:b/>
          <w:sz w:val="28"/>
          <w:szCs w:val="28"/>
        </w:rPr>
        <w:t>开户许可证或开户证明</w:t>
      </w:r>
      <w:r>
        <w:rPr>
          <w:rFonts w:hint="eastAsia" w:ascii="宋体" w:hAnsi="宋体" w:cs="宋体"/>
          <w:b/>
          <w:sz w:val="28"/>
          <w:szCs w:val="28"/>
          <w:lang w:val="en-US" w:eastAsia="zh-CN"/>
        </w:rPr>
        <w:t>材料</w:t>
      </w:r>
    </w:p>
    <w:p w14:paraId="4B3CF5A6">
      <w:pPr>
        <w:adjustRightInd w:val="0"/>
        <w:snapToGrid w:val="0"/>
        <w:spacing w:line="300" w:lineRule="auto"/>
        <w:jc w:val="center"/>
        <w:rPr>
          <w:rFonts w:hint="eastAsia" w:ascii="宋体" w:hAnsi="宋体" w:cs="宋体"/>
          <w:bCs/>
          <w:sz w:val="20"/>
        </w:rPr>
      </w:pPr>
      <w:r>
        <w:rPr>
          <w:rFonts w:hint="eastAsia" w:ascii="宋体" w:hAnsi="宋体" w:cs="宋体"/>
          <w:bCs/>
          <w:sz w:val="20"/>
        </w:rPr>
        <w:t>（复印件加盖本单位公章）</w:t>
      </w:r>
    </w:p>
    <w:p w14:paraId="71B37686">
      <w:pPr>
        <w:adjustRightInd w:val="0"/>
        <w:snapToGrid w:val="0"/>
        <w:spacing w:line="300" w:lineRule="auto"/>
        <w:jc w:val="center"/>
        <w:rPr>
          <w:rFonts w:hint="eastAsia" w:ascii="宋体" w:hAnsi="宋体" w:cs="宋体"/>
          <w:bCs/>
          <w:sz w:val="20"/>
        </w:rPr>
      </w:pPr>
    </w:p>
    <w:p w14:paraId="3CBE23C7">
      <w:pPr>
        <w:adjustRightInd w:val="0"/>
        <w:snapToGrid w:val="0"/>
        <w:spacing w:line="300" w:lineRule="auto"/>
        <w:jc w:val="center"/>
        <w:rPr>
          <w:rFonts w:hint="eastAsia" w:ascii="宋体" w:hAnsi="宋体" w:cs="宋体"/>
          <w:bCs/>
          <w:sz w:val="20"/>
        </w:rPr>
      </w:pPr>
    </w:p>
    <w:p w14:paraId="3E915616">
      <w:pPr>
        <w:adjustRightInd w:val="0"/>
        <w:snapToGrid w:val="0"/>
        <w:spacing w:line="300" w:lineRule="auto"/>
        <w:jc w:val="center"/>
        <w:rPr>
          <w:rFonts w:hint="eastAsia" w:ascii="宋体" w:hAnsi="宋体" w:cs="宋体"/>
          <w:bCs/>
          <w:sz w:val="20"/>
        </w:rPr>
      </w:pPr>
    </w:p>
    <w:p w14:paraId="08F20920">
      <w:pPr>
        <w:adjustRightInd w:val="0"/>
        <w:snapToGrid w:val="0"/>
        <w:spacing w:line="300" w:lineRule="auto"/>
        <w:jc w:val="center"/>
        <w:rPr>
          <w:rFonts w:hint="eastAsia" w:ascii="宋体" w:hAnsi="宋体" w:cs="宋体"/>
          <w:bCs/>
          <w:sz w:val="20"/>
        </w:rPr>
      </w:pPr>
    </w:p>
    <w:p w14:paraId="6B117340">
      <w:pPr>
        <w:adjustRightInd w:val="0"/>
        <w:snapToGrid w:val="0"/>
        <w:spacing w:line="300" w:lineRule="auto"/>
        <w:jc w:val="center"/>
        <w:rPr>
          <w:rFonts w:hint="eastAsia" w:ascii="宋体" w:hAnsi="宋体" w:cs="宋体"/>
          <w:bCs/>
          <w:sz w:val="20"/>
        </w:rPr>
      </w:pPr>
    </w:p>
    <w:p w14:paraId="0A316C06">
      <w:pPr>
        <w:adjustRightInd w:val="0"/>
        <w:snapToGrid w:val="0"/>
        <w:spacing w:line="300" w:lineRule="auto"/>
        <w:jc w:val="center"/>
        <w:rPr>
          <w:rFonts w:hint="eastAsia" w:ascii="宋体" w:hAnsi="宋体" w:cs="宋体"/>
          <w:b/>
          <w:sz w:val="28"/>
          <w:szCs w:val="28"/>
        </w:rPr>
      </w:pPr>
    </w:p>
    <w:p w14:paraId="4AC94410">
      <w:pPr>
        <w:adjustRightInd w:val="0"/>
        <w:snapToGrid w:val="0"/>
        <w:spacing w:line="300" w:lineRule="auto"/>
        <w:jc w:val="center"/>
        <w:rPr>
          <w:rFonts w:hint="eastAsia" w:ascii="宋体" w:hAnsi="宋体" w:cs="宋体"/>
          <w:b/>
          <w:sz w:val="28"/>
          <w:szCs w:val="28"/>
        </w:rPr>
      </w:pPr>
      <w:r>
        <w:rPr>
          <w:rFonts w:hint="eastAsia" w:ascii="宋体" w:hAnsi="宋体" w:cs="宋体"/>
          <w:b/>
          <w:sz w:val="28"/>
          <w:szCs w:val="28"/>
        </w:rPr>
        <w:t>企业依法缴纳税收及社会保障资金证明</w:t>
      </w:r>
    </w:p>
    <w:p w14:paraId="185026DD">
      <w:pPr>
        <w:adjustRightInd w:val="0"/>
        <w:snapToGrid w:val="0"/>
        <w:spacing w:line="300" w:lineRule="auto"/>
        <w:jc w:val="center"/>
        <w:rPr>
          <w:rFonts w:hint="eastAsia" w:ascii="宋体" w:hAnsi="宋体" w:cs="宋体"/>
          <w:b/>
          <w:sz w:val="28"/>
          <w:szCs w:val="28"/>
        </w:rPr>
      </w:pPr>
      <w:r>
        <w:rPr>
          <w:rFonts w:hint="eastAsia" w:ascii="宋体" w:hAnsi="宋体" w:cs="宋体"/>
          <w:bCs/>
          <w:sz w:val="20"/>
          <w:lang w:eastAsia="zh-CN"/>
        </w:rPr>
        <w:t>近</w:t>
      </w:r>
      <w:r>
        <w:rPr>
          <w:rFonts w:hint="eastAsia" w:ascii="宋体" w:hAnsi="宋体" w:cs="宋体"/>
          <w:bCs/>
          <w:sz w:val="20"/>
          <w:lang w:val="en-US" w:eastAsia="zh-CN"/>
        </w:rPr>
        <w:t>6</w:t>
      </w:r>
      <w:r>
        <w:rPr>
          <w:rFonts w:hint="eastAsia" w:ascii="宋体" w:hAnsi="宋体" w:cs="宋体"/>
          <w:bCs/>
          <w:sz w:val="20"/>
          <w:lang w:eastAsia="zh-CN"/>
        </w:rPr>
        <w:t>个月（任意一个月即可）的依法缴纳税收和社会保障资金的相关材料（</w:t>
      </w:r>
      <w:r>
        <w:rPr>
          <w:rFonts w:hint="eastAsia" w:ascii="宋体" w:hAnsi="宋体" w:cs="宋体"/>
          <w:bCs/>
          <w:sz w:val="20"/>
          <w:lang w:val="en-US" w:eastAsia="zh-CN"/>
        </w:rPr>
        <w:t>无须缴纳的提供相关部门出具的证明材料</w:t>
      </w:r>
      <w:r>
        <w:rPr>
          <w:rFonts w:hint="eastAsia" w:ascii="宋体" w:hAnsi="宋体" w:cs="宋体"/>
          <w:bCs/>
          <w:sz w:val="20"/>
          <w:lang w:eastAsia="zh-CN"/>
        </w:rPr>
        <w:t>）。</w:t>
      </w:r>
      <w:r>
        <w:rPr>
          <w:rFonts w:hint="eastAsia" w:ascii="宋体" w:hAnsi="宋体" w:cs="宋体"/>
          <w:bCs/>
          <w:sz w:val="20"/>
        </w:rPr>
        <w:t>复印件加盖本单位公章</w:t>
      </w:r>
    </w:p>
    <w:p w14:paraId="5D202795">
      <w:pPr>
        <w:pStyle w:val="37"/>
        <w:rPr>
          <w:rFonts w:hint="eastAsia"/>
        </w:rPr>
      </w:pPr>
    </w:p>
    <w:p w14:paraId="40A71FC8">
      <w:pPr>
        <w:adjustRightInd w:val="0"/>
        <w:snapToGrid w:val="0"/>
        <w:spacing w:line="300" w:lineRule="auto"/>
        <w:jc w:val="center"/>
        <w:rPr>
          <w:rFonts w:hint="eastAsia" w:ascii="宋体" w:hAnsi="宋体" w:cs="宋体"/>
          <w:b/>
          <w:sz w:val="28"/>
          <w:szCs w:val="28"/>
        </w:rPr>
      </w:pPr>
    </w:p>
    <w:p w14:paraId="3C3DCF29">
      <w:pPr>
        <w:adjustRightInd w:val="0"/>
        <w:snapToGrid w:val="0"/>
        <w:spacing w:line="300" w:lineRule="auto"/>
        <w:jc w:val="center"/>
        <w:rPr>
          <w:rFonts w:hint="eastAsia" w:ascii="宋体" w:hAnsi="宋体" w:cs="宋体"/>
          <w:b/>
          <w:sz w:val="28"/>
          <w:szCs w:val="28"/>
        </w:rPr>
      </w:pPr>
    </w:p>
    <w:p w14:paraId="59A77789">
      <w:pPr>
        <w:adjustRightInd w:val="0"/>
        <w:snapToGrid w:val="0"/>
        <w:spacing w:line="300" w:lineRule="auto"/>
        <w:jc w:val="center"/>
        <w:rPr>
          <w:rFonts w:hint="eastAsia" w:ascii="宋体" w:hAnsi="宋体" w:cs="宋体"/>
          <w:b/>
          <w:sz w:val="28"/>
          <w:szCs w:val="28"/>
        </w:rPr>
      </w:pPr>
      <w:r>
        <w:rPr>
          <w:rFonts w:hint="eastAsia" w:ascii="宋体" w:hAnsi="宋体" w:cs="宋体"/>
          <w:b/>
          <w:sz w:val="28"/>
          <w:szCs w:val="28"/>
        </w:rPr>
        <w:t>财务状况证明</w:t>
      </w:r>
    </w:p>
    <w:p w14:paraId="4CC52A09">
      <w:pPr>
        <w:adjustRightInd w:val="0"/>
        <w:snapToGrid w:val="0"/>
        <w:spacing w:line="300" w:lineRule="auto"/>
        <w:jc w:val="center"/>
        <w:rPr>
          <w:rFonts w:hint="eastAsia" w:ascii="宋体" w:hAnsi="宋体" w:cs="宋体"/>
          <w:bCs/>
          <w:sz w:val="20"/>
        </w:rPr>
      </w:pPr>
      <w:r>
        <w:rPr>
          <w:rFonts w:hint="eastAsia" w:ascii="宋体" w:hAnsi="宋体" w:cs="宋体"/>
          <w:bCs/>
          <w:sz w:val="20"/>
          <w:lang w:val="en-US" w:eastAsia="zh-CN"/>
        </w:rPr>
        <w:t>财务状况良好，提供近三年（2021～2023年）财务报表或经会计师事务所或审计机构审计的财务审计报告（新成立不足三年的企业需提供自成立之日起至2023年的财务报表或财务审计报告，2023年以后成立的企业应提供资金证明）；响应文件内附财务报表或财务审计报告复印件加盖投标单位公章</w:t>
      </w:r>
    </w:p>
    <w:p w14:paraId="28ABE615">
      <w:pPr>
        <w:adjustRightInd w:val="0"/>
        <w:snapToGrid w:val="0"/>
        <w:spacing w:line="300" w:lineRule="auto"/>
        <w:jc w:val="center"/>
        <w:rPr>
          <w:rFonts w:hint="eastAsia" w:ascii="宋体" w:hAnsi="宋体" w:cs="宋体"/>
          <w:bCs/>
          <w:sz w:val="20"/>
        </w:rPr>
      </w:pPr>
    </w:p>
    <w:p w14:paraId="34C2A435">
      <w:pPr>
        <w:adjustRightInd w:val="0"/>
        <w:snapToGrid w:val="0"/>
        <w:spacing w:line="300" w:lineRule="auto"/>
        <w:jc w:val="center"/>
        <w:rPr>
          <w:rFonts w:hint="eastAsia" w:ascii="宋体" w:hAnsi="宋体" w:cs="宋体"/>
          <w:bCs/>
          <w:sz w:val="20"/>
        </w:rPr>
      </w:pPr>
    </w:p>
    <w:p w14:paraId="238F97C4">
      <w:pPr>
        <w:adjustRightInd w:val="0"/>
        <w:snapToGrid w:val="0"/>
        <w:spacing w:line="300" w:lineRule="auto"/>
        <w:jc w:val="center"/>
        <w:rPr>
          <w:rStyle w:val="109"/>
          <w:rFonts w:hint="eastAsia" w:ascii="宋体" w:hAnsi="宋体" w:eastAsia="宋体" w:cs="宋体"/>
        </w:rPr>
      </w:pPr>
    </w:p>
    <w:p w14:paraId="03DF9E6D">
      <w:pPr>
        <w:spacing w:line="480" w:lineRule="auto"/>
        <w:ind w:firstLine="420" w:firstLineChars="200"/>
        <w:rPr>
          <w:szCs w:val="21"/>
        </w:rPr>
      </w:pPr>
    </w:p>
    <w:p w14:paraId="768D9781">
      <w:pPr>
        <w:rPr>
          <w:b/>
          <w:sz w:val="24"/>
          <w:szCs w:val="24"/>
        </w:rPr>
      </w:pPr>
      <w:r>
        <w:rPr>
          <w:lang w:val="zh-CN"/>
        </w:rPr>
        <w:br w:type="page"/>
      </w:r>
    </w:p>
    <w:bookmarkEnd w:id="42"/>
    <w:bookmarkEnd w:id="43"/>
    <w:p w14:paraId="39F7E0B1">
      <w:pPr>
        <w:pStyle w:val="13"/>
        <w:ind w:firstLine="480"/>
        <w:jc w:val="center"/>
        <w:rPr>
          <w:sz w:val="24"/>
          <w:lang w:val="zh-CN"/>
        </w:rPr>
      </w:pPr>
      <w:bookmarkStart w:id="44" w:name="_Toc247514302"/>
      <w:bookmarkStart w:id="45" w:name="_Toc265953296"/>
      <w:bookmarkStart w:id="46" w:name="_Toc247527850"/>
      <w:bookmarkStart w:id="47" w:name="_Toc404237755"/>
      <w:bookmarkStart w:id="48" w:name="_Toc152045810"/>
      <w:bookmarkStart w:id="49" w:name="_Toc152042599"/>
      <w:bookmarkStart w:id="50" w:name="_Toc144974878"/>
      <w:bookmarkStart w:id="51" w:name="_Toc404237845"/>
      <w:bookmarkStart w:id="52" w:name="_Toc397416087"/>
    </w:p>
    <w:p w14:paraId="06948283">
      <w:pPr>
        <w:adjustRightInd w:val="0"/>
        <w:snapToGrid w:val="0"/>
        <w:spacing w:line="300" w:lineRule="auto"/>
        <w:jc w:val="center"/>
        <w:rPr>
          <w:rFonts w:ascii="宋体" w:hAnsi="宋体" w:cs="宋体"/>
          <w:b/>
          <w:sz w:val="28"/>
          <w:szCs w:val="28"/>
        </w:rPr>
      </w:pPr>
      <w:r>
        <w:rPr>
          <w:rFonts w:ascii="宋体" w:hAnsi="宋体" w:cs="宋体"/>
          <w:b/>
          <w:sz w:val="28"/>
          <w:szCs w:val="28"/>
        </w:rPr>
        <w:t>近年完成的类似项目情况表</w:t>
      </w:r>
      <w:bookmarkEnd w:id="44"/>
      <w:bookmarkEnd w:id="45"/>
      <w:bookmarkEnd w:id="46"/>
      <w:bookmarkEnd w:id="47"/>
      <w:bookmarkEnd w:id="48"/>
      <w:bookmarkEnd w:id="49"/>
      <w:bookmarkEnd w:id="50"/>
      <w:bookmarkEnd w:id="51"/>
      <w:bookmarkEnd w:id="52"/>
    </w:p>
    <w:p w14:paraId="0DF1F4CC">
      <w:pPr>
        <w:pStyle w:val="13"/>
        <w:ind w:firstLine="640"/>
        <w:jc w:val="center"/>
        <w:rPr>
          <w:kern w:val="0"/>
          <w:sz w:val="32"/>
          <w:szCs w:val="32"/>
        </w:rPr>
      </w:pP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5"/>
        <w:gridCol w:w="6959"/>
      </w:tblGrid>
      <w:tr w14:paraId="759CC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405C39BD">
            <w:pPr>
              <w:topLinePunct/>
              <w:jc w:val="center"/>
              <w:rPr>
                <w:szCs w:val="21"/>
              </w:rPr>
            </w:pPr>
            <w:r>
              <w:rPr>
                <w:szCs w:val="21"/>
              </w:rPr>
              <w:t>项目名称</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642BB81B">
            <w:pPr>
              <w:topLinePunct/>
              <w:jc w:val="center"/>
              <w:rPr>
                <w:szCs w:val="21"/>
              </w:rPr>
            </w:pPr>
          </w:p>
        </w:tc>
      </w:tr>
      <w:tr w14:paraId="729C5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2103773E">
            <w:pPr>
              <w:topLinePunct/>
              <w:jc w:val="center"/>
              <w:rPr>
                <w:szCs w:val="21"/>
              </w:rPr>
            </w:pPr>
            <w:r>
              <w:rPr>
                <w:szCs w:val="21"/>
              </w:rPr>
              <w:t>项目所在地</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648055A6">
            <w:pPr>
              <w:topLinePunct/>
              <w:jc w:val="center"/>
              <w:rPr>
                <w:szCs w:val="21"/>
              </w:rPr>
            </w:pPr>
          </w:p>
        </w:tc>
      </w:tr>
      <w:tr w14:paraId="628A8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7717675C">
            <w:pPr>
              <w:topLinePunct/>
              <w:jc w:val="center"/>
              <w:rPr>
                <w:szCs w:val="21"/>
              </w:rPr>
            </w:pPr>
            <w:r>
              <w:rPr>
                <w:szCs w:val="21"/>
              </w:rPr>
              <w:t>发包人名称</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2FA0BB3C">
            <w:pPr>
              <w:topLinePunct/>
              <w:jc w:val="center"/>
              <w:rPr>
                <w:szCs w:val="21"/>
              </w:rPr>
            </w:pPr>
          </w:p>
        </w:tc>
      </w:tr>
      <w:tr w14:paraId="4555A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79C63DF1">
            <w:pPr>
              <w:topLinePunct/>
              <w:jc w:val="center"/>
              <w:rPr>
                <w:szCs w:val="21"/>
              </w:rPr>
            </w:pPr>
            <w:r>
              <w:rPr>
                <w:szCs w:val="21"/>
              </w:rPr>
              <w:t>发包人地址</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2378EC15">
            <w:pPr>
              <w:topLinePunct/>
              <w:jc w:val="center"/>
              <w:rPr>
                <w:szCs w:val="21"/>
              </w:rPr>
            </w:pPr>
          </w:p>
        </w:tc>
      </w:tr>
      <w:tr w14:paraId="6220D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4A9D86A2">
            <w:pPr>
              <w:topLinePunct/>
              <w:jc w:val="center"/>
              <w:rPr>
                <w:szCs w:val="21"/>
              </w:rPr>
            </w:pPr>
            <w:r>
              <w:rPr>
                <w:szCs w:val="21"/>
              </w:rPr>
              <w:t>发包人电话</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483AF927">
            <w:pPr>
              <w:topLinePunct/>
              <w:jc w:val="center"/>
              <w:rPr>
                <w:szCs w:val="21"/>
              </w:rPr>
            </w:pPr>
          </w:p>
        </w:tc>
      </w:tr>
      <w:tr w14:paraId="7C135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4DF4CE6C">
            <w:pPr>
              <w:topLinePunct/>
              <w:jc w:val="center"/>
              <w:rPr>
                <w:szCs w:val="21"/>
              </w:rPr>
            </w:pPr>
            <w:r>
              <w:rPr>
                <w:szCs w:val="21"/>
              </w:rPr>
              <w:t>合同价格</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466413CA">
            <w:pPr>
              <w:topLinePunct/>
              <w:jc w:val="center"/>
              <w:rPr>
                <w:szCs w:val="21"/>
              </w:rPr>
            </w:pPr>
          </w:p>
        </w:tc>
      </w:tr>
      <w:tr w14:paraId="5192E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5232CA90">
            <w:pPr>
              <w:topLinePunct/>
              <w:jc w:val="center"/>
              <w:rPr>
                <w:rFonts w:hint="eastAsia"/>
                <w:szCs w:val="21"/>
              </w:rPr>
            </w:pPr>
            <w:r>
              <w:rPr>
                <w:rFonts w:hint="eastAsia"/>
                <w:szCs w:val="21"/>
              </w:rPr>
              <w:t>供货期限</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20E8FB45">
            <w:pPr>
              <w:topLinePunct/>
              <w:jc w:val="center"/>
              <w:rPr>
                <w:szCs w:val="21"/>
              </w:rPr>
            </w:pPr>
          </w:p>
        </w:tc>
      </w:tr>
      <w:tr w14:paraId="5F5F4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53263E31">
            <w:pPr>
              <w:topLinePunct/>
              <w:jc w:val="center"/>
              <w:rPr>
                <w:szCs w:val="21"/>
              </w:rPr>
            </w:pPr>
            <w:r>
              <w:rPr>
                <w:szCs w:val="21"/>
              </w:rPr>
              <w:t>服务内容</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360E9855">
            <w:pPr>
              <w:topLinePunct/>
              <w:jc w:val="center"/>
              <w:rPr>
                <w:szCs w:val="21"/>
              </w:rPr>
            </w:pPr>
          </w:p>
        </w:tc>
      </w:tr>
      <w:tr w14:paraId="77FB1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143B2AF3">
            <w:pPr>
              <w:topLinePunct/>
              <w:jc w:val="center"/>
              <w:rPr>
                <w:szCs w:val="21"/>
              </w:rPr>
            </w:pPr>
            <w:r>
              <w:rPr>
                <w:szCs w:val="21"/>
              </w:rPr>
              <w:t>项目负责人</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583AA8EF">
            <w:pPr>
              <w:topLinePunct/>
              <w:jc w:val="center"/>
              <w:rPr>
                <w:szCs w:val="21"/>
              </w:rPr>
            </w:pPr>
          </w:p>
        </w:tc>
      </w:tr>
      <w:tr w14:paraId="507C3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598D750A">
            <w:pPr>
              <w:topLinePunct/>
              <w:jc w:val="center"/>
              <w:rPr>
                <w:szCs w:val="21"/>
              </w:rPr>
            </w:pPr>
            <w:r>
              <w:rPr>
                <w:szCs w:val="21"/>
              </w:rPr>
              <w:t>项目描述</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2D2D4313">
            <w:pPr>
              <w:topLinePunct/>
              <w:jc w:val="center"/>
              <w:rPr>
                <w:szCs w:val="21"/>
              </w:rPr>
            </w:pPr>
          </w:p>
        </w:tc>
      </w:tr>
      <w:tr w14:paraId="5598C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9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62212D93">
            <w:pPr>
              <w:topLinePunct/>
              <w:jc w:val="center"/>
              <w:rPr>
                <w:szCs w:val="21"/>
              </w:rPr>
            </w:pPr>
            <w:r>
              <w:rPr>
                <w:szCs w:val="21"/>
              </w:rPr>
              <w:t>备注</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1A3A42CC">
            <w:pPr>
              <w:topLinePunct/>
              <w:jc w:val="center"/>
              <w:rPr>
                <w:szCs w:val="21"/>
              </w:rPr>
            </w:pPr>
          </w:p>
        </w:tc>
      </w:tr>
    </w:tbl>
    <w:p w14:paraId="5F1D0783">
      <w:pPr>
        <w:pStyle w:val="49"/>
        <w:spacing w:line="360" w:lineRule="auto"/>
        <w:ind w:right="-313" w:rightChars="-149" w:firstLine="420" w:firstLineChars="200"/>
        <w:jc w:val="both"/>
        <w:rPr>
          <w:rFonts w:ascii="Times New Roman" w:hAnsi="Times New Roman" w:cs="Times New Roman"/>
          <w:color w:val="auto"/>
          <w:sz w:val="23"/>
          <w:szCs w:val="23"/>
        </w:rPr>
      </w:pPr>
      <w:r>
        <w:rPr>
          <w:rFonts w:ascii="Times New Roman" w:hAnsi="Times New Roman" w:cs="Times New Roman"/>
          <w:color w:val="auto"/>
          <w:sz w:val="21"/>
          <w:szCs w:val="21"/>
        </w:rPr>
        <w:t>注：</w:t>
      </w:r>
      <w:r>
        <w:rPr>
          <w:rFonts w:hint="eastAsia" w:ascii="Times New Roman" w:hAnsi="Times New Roman" w:cs="Times New Roman"/>
          <w:color w:val="auto"/>
          <w:sz w:val="21"/>
          <w:szCs w:val="21"/>
        </w:rPr>
        <w:t>申请</w:t>
      </w:r>
      <w:r>
        <w:rPr>
          <w:rFonts w:ascii="Times New Roman" w:hAnsi="Times New Roman" w:cs="Times New Roman"/>
          <w:color w:val="auto"/>
          <w:sz w:val="21"/>
          <w:szCs w:val="21"/>
        </w:rPr>
        <w:t>人</w:t>
      </w:r>
      <w:r>
        <w:rPr>
          <w:rFonts w:hint="eastAsia" w:ascii="Times New Roman" w:hAnsi="Times New Roman" w:cs="Times New Roman"/>
          <w:color w:val="auto"/>
          <w:sz w:val="21"/>
          <w:szCs w:val="21"/>
          <w:lang w:val="en-US" w:eastAsia="zh-CN"/>
        </w:rPr>
        <w:t>如有</w:t>
      </w:r>
      <w:r>
        <w:rPr>
          <w:rFonts w:ascii="Times New Roman" w:hAnsi="Times New Roman" w:cs="Times New Roman"/>
          <w:color w:val="auto"/>
          <w:sz w:val="21"/>
          <w:szCs w:val="21"/>
        </w:rPr>
        <w:t>类似业绩，提供中标</w:t>
      </w:r>
      <w:r>
        <w:rPr>
          <w:rFonts w:hint="eastAsia" w:ascii="Times New Roman" w:hAnsi="Times New Roman" w:cs="Times New Roman"/>
          <w:color w:val="auto"/>
          <w:sz w:val="21"/>
          <w:szCs w:val="21"/>
        </w:rPr>
        <w:t>/成交</w:t>
      </w:r>
      <w:r>
        <w:rPr>
          <w:rFonts w:ascii="Times New Roman" w:hAnsi="Times New Roman" w:cs="Times New Roman"/>
          <w:color w:val="auto"/>
          <w:sz w:val="21"/>
          <w:szCs w:val="21"/>
        </w:rPr>
        <w:t>通知书或合同协议书</w:t>
      </w:r>
      <w:r>
        <w:rPr>
          <w:rFonts w:hint="eastAsia" w:ascii="Times New Roman" w:hAnsi="Times New Roman" w:cs="Times New Roman"/>
          <w:color w:val="auto"/>
          <w:sz w:val="21"/>
          <w:szCs w:val="21"/>
          <w:lang w:val="en-US" w:eastAsia="zh-CN"/>
        </w:rPr>
        <w:t>复印件加盖公章</w:t>
      </w:r>
      <w:r>
        <w:rPr>
          <w:rFonts w:ascii="Times New Roman" w:hAnsi="Times New Roman" w:cs="Times New Roman"/>
          <w:color w:val="auto"/>
          <w:sz w:val="21"/>
          <w:szCs w:val="21"/>
        </w:rPr>
        <w:t>，所有复印件必须要清晰、字迹清楚，否则不得分。</w:t>
      </w:r>
    </w:p>
    <w:p w14:paraId="06DDAC5E">
      <w:pPr>
        <w:pStyle w:val="4"/>
        <w:spacing w:line="240" w:lineRule="auto"/>
        <w:rPr>
          <w:rFonts w:ascii="宋体" w:hAnsi="宋体" w:eastAsia="宋体"/>
          <w:b w:val="0"/>
        </w:rPr>
      </w:pPr>
      <w:r>
        <w:rPr>
          <w:rFonts w:ascii="Times New Roman" w:hAnsi="Times New Roman" w:eastAsia="宋体"/>
        </w:rPr>
        <w:br w:type="page"/>
      </w:r>
      <w:r>
        <w:rPr>
          <w:rFonts w:hint="eastAsia" w:eastAsia="宋体"/>
          <w:b w:val="0"/>
          <w:bCs w:val="0"/>
          <w:sz w:val="32"/>
        </w:rPr>
        <w:t xml:space="preserve"> </w:t>
      </w:r>
      <w:r>
        <w:rPr>
          <w:rFonts w:hint="eastAsia" w:ascii="宋体" w:hAnsi="宋体" w:eastAsia="宋体"/>
        </w:rPr>
        <w:t>商务条款偏离表(格式)</w:t>
      </w:r>
    </w:p>
    <w:p w14:paraId="2EA0D87D">
      <w:pPr>
        <w:ind w:hanging="119"/>
        <w:rPr>
          <w:rFonts w:ascii="宋体" w:hAnsi="宋体"/>
          <w:sz w:val="24"/>
        </w:rPr>
      </w:pPr>
    </w:p>
    <w:p w14:paraId="5B183C28">
      <w:pPr>
        <w:spacing w:after="240"/>
        <w:ind w:hanging="119"/>
        <w:rPr>
          <w:rFonts w:ascii="宋体" w:hAnsi="宋体"/>
          <w:sz w:val="24"/>
          <w:u w:val="single"/>
        </w:rPr>
      </w:pPr>
      <w:r>
        <w:rPr>
          <w:rFonts w:hint="eastAsia" w:ascii="宋体" w:hAnsi="宋体"/>
          <w:sz w:val="24"/>
        </w:rPr>
        <w:t>申请人名称：</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项目编号：</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tbl>
      <w:tblPr>
        <w:tblStyle w:val="40"/>
        <w:tblW w:w="855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80"/>
        <w:gridCol w:w="1791"/>
        <w:gridCol w:w="2145"/>
        <w:gridCol w:w="1815"/>
      </w:tblGrid>
      <w:tr w14:paraId="671006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0931167B">
            <w:pPr>
              <w:spacing w:before="240" w:after="240"/>
              <w:jc w:val="center"/>
              <w:rPr>
                <w:rFonts w:ascii="宋体" w:hAnsi="宋体"/>
                <w:sz w:val="24"/>
              </w:rPr>
            </w:pPr>
            <w:r>
              <w:rPr>
                <w:rFonts w:hint="eastAsia" w:ascii="宋体" w:hAnsi="宋体"/>
                <w:sz w:val="24"/>
              </w:rPr>
              <w:t>序号</w:t>
            </w:r>
          </w:p>
        </w:tc>
        <w:tc>
          <w:tcPr>
            <w:tcW w:w="1980" w:type="dxa"/>
            <w:noWrap w:val="0"/>
            <w:vAlign w:val="top"/>
          </w:tcPr>
          <w:p w14:paraId="2BFDC88A">
            <w:pPr>
              <w:spacing w:before="240" w:after="240"/>
              <w:jc w:val="center"/>
              <w:rPr>
                <w:rFonts w:ascii="宋体" w:hAnsi="宋体"/>
                <w:sz w:val="24"/>
              </w:rPr>
            </w:pPr>
            <w:r>
              <w:rPr>
                <w:rFonts w:hint="eastAsia" w:ascii="宋体" w:hAnsi="宋体"/>
                <w:sz w:val="24"/>
              </w:rPr>
              <w:t>磋商文件条目号</w:t>
            </w:r>
          </w:p>
        </w:tc>
        <w:tc>
          <w:tcPr>
            <w:tcW w:w="1791" w:type="dxa"/>
            <w:noWrap w:val="0"/>
            <w:vAlign w:val="top"/>
          </w:tcPr>
          <w:p w14:paraId="06A860BF">
            <w:pPr>
              <w:spacing w:before="240" w:after="240"/>
              <w:jc w:val="center"/>
              <w:rPr>
                <w:rFonts w:ascii="宋体" w:hAnsi="宋体"/>
                <w:sz w:val="24"/>
              </w:rPr>
            </w:pPr>
            <w:r>
              <w:rPr>
                <w:rFonts w:hint="eastAsia" w:ascii="宋体" w:hAnsi="宋体"/>
                <w:sz w:val="24"/>
              </w:rPr>
              <w:t>磋商文件的商务条款</w:t>
            </w:r>
          </w:p>
        </w:tc>
        <w:tc>
          <w:tcPr>
            <w:tcW w:w="2145" w:type="dxa"/>
            <w:noWrap w:val="0"/>
            <w:vAlign w:val="top"/>
          </w:tcPr>
          <w:p w14:paraId="762BF5CF">
            <w:pPr>
              <w:spacing w:before="240" w:after="240"/>
              <w:jc w:val="center"/>
              <w:rPr>
                <w:rFonts w:ascii="宋体" w:hAnsi="宋体"/>
                <w:sz w:val="24"/>
              </w:rPr>
            </w:pPr>
            <w:r>
              <w:rPr>
                <w:rFonts w:hint="eastAsia" w:ascii="宋体" w:hAnsi="宋体"/>
                <w:sz w:val="24"/>
              </w:rPr>
              <w:t>响应文件的商务条款</w:t>
            </w:r>
          </w:p>
        </w:tc>
        <w:tc>
          <w:tcPr>
            <w:tcW w:w="1815" w:type="dxa"/>
            <w:noWrap w:val="0"/>
            <w:vAlign w:val="top"/>
          </w:tcPr>
          <w:p w14:paraId="65378924">
            <w:pPr>
              <w:spacing w:before="240" w:after="240"/>
              <w:jc w:val="center"/>
              <w:rPr>
                <w:rFonts w:ascii="宋体" w:hAnsi="宋体"/>
                <w:sz w:val="24"/>
              </w:rPr>
            </w:pPr>
            <w:r>
              <w:rPr>
                <w:rFonts w:hint="eastAsia" w:ascii="宋体" w:hAnsi="宋体"/>
                <w:sz w:val="24"/>
              </w:rPr>
              <w:t>是否偏离</w:t>
            </w:r>
          </w:p>
        </w:tc>
      </w:tr>
      <w:tr w14:paraId="0E4BF6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1CA75137">
            <w:pPr>
              <w:spacing w:before="240" w:after="240"/>
              <w:rPr>
                <w:rFonts w:ascii="宋体" w:hAnsi="宋体"/>
                <w:sz w:val="24"/>
              </w:rPr>
            </w:pPr>
          </w:p>
        </w:tc>
        <w:tc>
          <w:tcPr>
            <w:tcW w:w="1980" w:type="dxa"/>
            <w:noWrap w:val="0"/>
            <w:vAlign w:val="top"/>
          </w:tcPr>
          <w:p w14:paraId="220F70EA">
            <w:pPr>
              <w:spacing w:before="240" w:after="240"/>
              <w:rPr>
                <w:rFonts w:ascii="宋体" w:hAnsi="宋体"/>
                <w:sz w:val="24"/>
              </w:rPr>
            </w:pPr>
          </w:p>
        </w:tc>
        <w:tc>
          <w:tcPr>
            <w:tcW w:w="1791" w:type="dxa"/>
            <w:noWrap w:val="0"/>
            <w:vAlign w:val="top"/>
          </w:tcPr>
          <w:p w14:paraId="2C201A24">
            <w:pPr>
              <w:spacing w:before="240" w:after="240"/>
              <w:rPr>
                <w:rFonts w:ascii="宋体" w:hAnsi="宋体"/>
                <w:sz w:val="24"/>
              </w:rPr>
            </w:pPr>
          </w:p>
        </w:tc>
        <w:tc>
          <w:tcPr>
            <w:tcW w:w="2145" w:type="dxa"/>
            <w:noWrap w:val="0"/>
            <w:vAlign w:val="top"/>
          </w:tcPr>
          <w:p w14:paraId="26DCEB43">
            <w:pPr>
              <w:spacing w:before="240" w:after="240"/>
              <w:rPr>
                <w:rFonts w:ascii="宋体" w:hAnsi="宋体"/>
                <w:sz w:val="24"/>
              </w:rPr>
            </w:pPr>
          </w:p>
        </w:tc>
        <w:tc>
          <w:tcPr>
            <w:tcW w:w="1815" w:type="dxa"/>
            <w:noWrap w:val="0"/>
            <w:vAlign w:val="top"/>
          </w:tcPr>
          <w:p w14:paraId="0A258DDD">
            <w:pPr>
              <w:spacing w:before="240" w:after="240"/>
              <w:rPr>
                <w:rFonts w:ascii="宋体" w:hAnsi="宋体"/>
                <w:sz w:val="24"/>
              </w:rPr>
            </w:pPr>
          </w:p>
        </w:tc>
      </w:tr>
      <w:tr w14:paraId="47D2A7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0E50F911">
            <w:pPr>
              <w:spacing w:before="240" w:after="240"/>
              <w:rPr>
                <w:rFonts w:ascii="宋体" w:hAnsi="宋体"/>
                <w:sz w:val="24"/>
              </w:rPr>
            </w:pPr>
          </w:p>
        </w:tc>
        <w:tc>
          <w:tcPr>
            <w:tcW w:w="1980" w:type="dxa"/>
            <w:noWrap w:val="0"/>
            <w:vAlign w:val="top"/>
          </w:tcPr>
          <w:p w14:paraId="41684732">
            <w:pPr>
              <w:spacing w:before="240" w:after="240"/>
              <w:rPr>
                <w:rFonts w:ascii="宋体" w:hAnsi="宋体"/>
                <w:sz w:val="24"/>
              </w:rPr>
            </w:pPr>
          </w:p>
        </w:tc>
        <w:tc>
          <w:tcPr>
            <w:tcW w:w="1791" w:type="dxa"/>
            <w:noWrap w:val="0"/>
            <w:vAlign w:val="top"/>
          </w:tcPr>
          <w:p w14:paraId="4E175A79">
            <w:pPr>
              <w:spacing w:before="240" w:after="240"/>
              <w:rPr>
                <w:rFonts w:ascii="宋体" w:hAnsi="宋体"/>
                <w:sz w:val="24"/>
              </w:rPr>
            </w:pPr>
          </w:p>
        </w:tc>
        <w:tc>
          <w:tcPr>
            <w:tcW w:w="2145" w:type="dxa"/>
            <w:noWrap w:val="0"/>
            <w:vAlign w:val="top"/>
          </w:tcPr>
          <w:p w14:paraId="4282260A">
            <w:pPr>
              <w:spacing w:before="240" w:after="240"/>
              <w:rPr>
                <w:rFonts w:ascii="宋体" w:hAnsi="宋体"/>
                <w:sz w:val="24"/>
              </w:rPr>
            </w:pPr>
          </w:p>
        </w:tc>
        <w:tc>
          <w:tcPr>
            <w:tcW w:w="1815" w:type="dxa"/>
            <w:noWrap w:val="0"/>
            <w:vAlign w:val="top"/>
          </w:tcPr>
          <w:p w14:paraId="4FEA0B6C">
            <w:pPr>
              <w:spacing w:before="240" w:after="240"/>
              <w:rPr>
                <w:rFonts w:ascii="宋体" w:hAnsi="宋体"/>
                <w:sz w:val="24"/>
              </w:rPr>
            </w:pPr>
          </w:p>
        </w:tc>
      </w:tr>
      <w:tr w14:paraId="383706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737D311E">
            <w:pPr>
              <w:spacing w:before="240" w:after="240"/>
              <w:rPr>
                <w:rFonts w:ascii="宋体" w:hAnsi="宋体"/>
                <w:sz w:val="24"/>
              </w:rPr>
            </w:pPr>
          </w:p>
        </w:tc>
        <w:tc>
          <w:tcPr>
            <w:tcW w:w="1980" w:type="dxa"/>
            <w:noWrap w:val="0"/>
            <w:vAlign w:val="top"/>
          </w:tcPr>
          <w:p w14:paraId="645415C4">
            <w:pPr>
              <w:spacing w:before="240" w:after="240"/>
              <w:rPr>
                <w:rFonts w:ascii="宋体" w:hAnsi="宋体"/>
                <w:sz w:val="24"/>
              </w:rPr>
            </w:pPr>
          </w:p>
        </w:tc>
        <w:tc>
          <w:tcPr>
            <w:tcW w:w="1791" w:type="dxa"/>
            <w:noWrap w:val="0"/>
            <w:vAlign w:val="top"/>
          </w:tcPr>
          <w:p w14:paraId="505DE259">
            <w:pPr>
              <w:spacing w:before="240" w:after="240"/>
              <w:rPr>
                <w:rFonts w:ascii="宋体" w:hAnsi="宋体"/>
                <w:sz w:val="24"/>
              </w:rPr>
            </w:pPr>
          </w:p>
        </w:tc>
        <w:tc>
          <w:tcPr>
            <w:tcW w:w="2145" w:type="dxa"/>
            <w:noWrap w:val="0"/>
            <w:vAlign w:val="top"/>
          </w:tcPr>
          <w:p w14:paraId="681CED17">
            <w:pPr>
              <w:spacing w:before="240" w:after="240"/>
              <w:rPr>
                <w:rFonts w:ascii="宋体" w:hAnsi="宋体"/>
                <w:sz w:val="24"/>
              </w:rPr>
            </w:pPr>
          </w:p>
        </w:tc>
        <w:tc>
          <w:tcPr>
            <w:tcW w:w="1815" w:type="dxa"/>
            <w:noWrap w:val="0"/>
            <w:vAlign w:val="top"/>
          </w:tcPr>
          <w:p w14:paraId="2367E908">
            <w:pPr>
              <w:spacing w:before="240" w:after="240"/>
              <w:rPr>
                <w:rFonts w:ascii="宋体" w:hAnsi="宋体"/>
                <w:sz w:val="24"/>
              </w:rPr>
            </w:pPr>
          </w:p>
        </w:tc>
      </w:tr>
      <w:tr w14:paraId="54012E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78CE84E1">
            <w:pPr>
              <w:spacing w:before="240" w:after="240"/>
              <w:rPr>
                <w:rFonts w:ascii="宋体" w:hAnsi="宋体"/>
                <w:sz w:val="24"/>
              </w:rPr>
            </w:pPr>
          </w:p>
        </w:tc>
        <w:tc>
          <w:tcPr>
            <w:tcW w:w="1980" w:type="dxa"/>
            <w:noWrap w:val="0"/>
            <w:vAlign w:val="top"/>
          </w:tcPr>
          <w:p w14:paraId="17CCB851">
            <w:pPr>
              <w:spacing w:before="240" w:after="240"/>
              <w:rPr>
                <w:rFonts w:ascii="宋体" w:hAnsi="宋体"/>
                <w:sz w:val="24"/>
              </w:rPr>
            </w:pPr>
          </w:p>
        </w:tc>
        <w:tc>
          <w:tcPr>
            <w:tcW w:w="1791" w:type="dxa"/>
            <w:noWrap w:val="0"/>
            <w:vAlign w:val="top"/>
          </w:tcPr>
          <w:p w14:paraId="7AA53CF7">
            <w:pPr>
              <w:spacing w:before="240" w:after="240"/>
              <w:rPr>
                <w:rFonts w:ascii="宋体" w:hAnsi="宋体"/>
                <w:sz w:val="24"/>
              </w:rPr>
            </w:pPr>
          </w:p>
        </w:tc>
        <w:tc>
          <w:tcPr>
            <w:tcW w:w="2145" w:type="dxa"/>
            <w:noWrap w:val="0"/>
            <w:vAlign w:val="top"/>
          </w:tcPr>
          <w:p w14:paraId="5AE6A736">
            <w:pPr>
              <w:spacing w:before="240" w:after="240"/>
              <w:rPr>
                <w:rFonts w:ascii="宋体" w:hAnsi="宋体"/>
                <w:sz w:val="24"/>
              </w:rPr>
            </w:pPr>
          </w:p>
        </w:tc>
        <w:tc>
          <w:tcPr>
            <w:tcW w:w="1815" w:type="dxa"/>
            <w:noWrap w:val="0"/>
            <w:vAlign w:val="top"/>
          </w:tcPr>
          <w:p w14:paraId="79A20D03">
            <w:pPr>
              <w:spacing w:before="240" w:after="240"/>
              <w:rPr>
                <w:rFonts w:ascii="宋体" w:hAnsi="宋体"/>
                <w:sz w:val="24"/>
              </w:rPr>
            </w:pPr>
          </w:p>
        </w:tc>
      </w:tr>
      <w:tr w14:paraId="6F61CC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68228489">
            <w:pPr>
              <w:spacing w:before="240" w:after="240"/>
              <w:rPr>
                <w:rFonts w:ascii="宋体" w:hAnsi="宋体"/>
                <w:sz w:val="24"/>
              </w:rPr>
            </w:pPr>
          </w:p>
        </w:tc>
        <w:tc>
          <w:tcPr>
            <w:tcW w:w="1980" w:type="dxa"/>
            <w:noWrap w:val="0"/>
            <w:vAlign w:val="top"/>
          </w:tcPr>
          <w:p w14:paraId="2267289D">
            <w:pPr>
              <w:spacing w:before="240" w:after="240"/>
              <w:rPr>
                <w:rFonts w:ascii="宋体" w:hAnsi="宋体"/>
                <w:sz w:val="24"/>
              </w:rPr>
            </w:pPr>
          </w:p>
        </w:tc>
        <w:tc>
          <w:tcPr>
            <w:tcW w:w="1791" w:type="dxa"/>
            <w:noWrap w:val="0"/>
            <w:vAlign w:val="top"/>
          </w:tcPr>
          <w:p w14:paraId="1F6EA147">
            <w:pPr>
              <w:spacing w:before="240" w:after="240"/>
              <w:rPr>
                <w:rFonts w:ascii="宋体" w:hAnsi="宋体"/>
                <w:sz w:val="24"/>
              </w:rPr>
            </w:pPr>
          </w:p>
        </w:tc>
        <w:tc>
          <w:tcPr>
            <w:tcW w:w="2145" w:type="dxa"/>
            <w:noWrap w:val="0"/>
            <w:vAlign w:val="top"/>
          </w:tcPr>
          <w:p w14:paraId="301051A7">
            <w:pPr>
              <w:spacing w:before="240" w:after="240"/>
              <w:rPr>
                <w:rFonts w:ascii="宋体" w:hAnsi="宋体"/>
                <w:sz w:val="24"/>
              </w:rPr>
            </w:pPr>
          </w:p>
        </w:tc>
        <w:tc>
          <w:tcPr>
            <w:tcW w:w="1815" w:type="dxa"/>
            <w:noWrap w:val="0"/>
            <w:vAlign w:val="top"/>
          </w:tcPr>
          <w:p w14:paraId="4E85A76D">
            <w:pPr>
              <w:spacing w:before="240" w:after="240"/>
              <w:rPr>
                <w:rFonts w:ascii="宋体" w:hAnsi="宋体"/>
                <w:sz w:val="24"/>
              </w:rPr>
            </w:pPr>
          </w:p>
        </w:tc>
      </w:tr>
      <w:tr w14:paraId="572288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53DBBA3C">
            <w:pPr>
              <w:spacing w:before="240" w:after="240"/>
              <w:rPr>
                <w:rFonts w:ascii="宋体" w:hAnsi="宋体"/>
                <w:sz w:val="24"/>
              </w:rPr>
            </w:pPr>
          </w:p>
        </w:tc>
        <w:tc>
          <w:tcPr>
            <w:tcW w:w="1980" w:type="dxa"/>
            <w:noWrap w:val="0"/>
            <w:vAlign w:val="top"/>
          </w:tcPr>
          <w:p w14:paraId="3B7DBEBD">
            <w:pPr>
              <w:spacing w:before="240" w:after="240"/>
              <w:rPr>
                <w:rFonts w:ascii="宋体" w:hAnsi="宋体"/>
                <w:sz w:val="24"/>
              </w:rPr>
            </w:pPr>
          </w:p>
        </w:tc>
        <w:tc>
          <w:tcPr>
            <w:tcW w:w="1791" w:type="dxa"/>
            <w:noWrap w:val="0"/>
            <w:vAlign w:val="top"/>
          </w:tcPr>
          <w:p w14:paraId="3F2EA7A3">
            <w:pPr>
              <w:spacing w:before="240" w:after="240"/>
              <w:rPr>
                <w:rFonts w:ascii="宋体" w:hAnsi="宋体"/>
                <w:sz w:val="24"/>
              </w:rPr>
            </w:pPr>
          </w:p>
        </w:tc>
        <w:tc>
          <w:tcPr>
            <w:tcW w:w="2145" w:type="dxa"/>
            <w:noWrap w:val="0"/>
            <w:vAlign w:val="top"/>
          </w:tcPr>
          <w:p w14:paraId="09AC37CB">
            <w:pPr>
              <w:spacing w:before="240" w:after="240"/>
              <w:rPr>
                <w:rFonts w:ascii="宋体" w:hAnsi="宋体"/>
                <w:sz w:val="24"/>
              </w:rPr>
            </w:pPr>
          </w:p>
        </w:tc>
        <w:tc>
          <w:tcPr>
            <w:tcW w:w="1815" w:type="dxa"/>
            <w:noWrap w:val="0"/>
            <w:vAlign w:val="top"/>
          </w:tcPr>
          <w:p w14:paraId="7F90567A">
            <w:pPr>
              <w:spacing w:before="240" w:after="240"/>
              <w:rPr>
                <w:rFonts w:ascii="宋体" w:hAnsi="宋体"/>
                <w:sz w:val="24"/>
              </w:rPr>
            </w:pPr>
          </w:p>
        </w:tc>
      </w:tr>
      <w:tr w14:paraId="4451BB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3EB2F176">
            <w:pPr>
              <w:spacing w:before="240" w:after="240"/>
              <w:rPr>
                <w:rFonts w:ascii="宋体" w:hAnsi="宋体"/>
                <w:sz w:val="24"/>
              </w:rPr>
            </w:pPr>
          </w:p>
        </w:tc>
        <w:tc>
          <w:tcPr>
            <w:tcW w:w="1980" w:type="dxa"/>
            <w:noWrap w:val="0"/>
            <w:vAlign w:val="top"/>
          </w:tcPr>
          <w:p w14:paraId="039EFAFE">
            <w:pPr>
              <w:spacing w:before="240" w:after="240"/>
              <w:rPr>
                <w:rFonts w:ascii="宋体" w:hAnsi="宋体"/>
                <w:sz w:val="24"/>
              </w:rPr>
            </w:pPr>
          </w:p>
        </w:tc>
        <w:tc>
          <w:tcPr>
            <w:tcW w:w="1791" w:type="dxa"/>
            <w:noWrap w:val="0"/>
            <w:vAlign w:val="top"/>
          </w:tcPr>
          <w:p w14:paraId="3422547B">
            <w:pPr>
              <w:spacing w:before="240" w:after="240"/>
              <w:rPr>
                <w:rFonts w:ascii="宋体" w:hAnsi="宋体"/>
                <w:sz w:val="24"/>
              </w:rPr>
            </w:pPr>
          </w:p>
        </w:tc>
        <w:tc>
          <w:tcPr>
            <w:tcW w:w="2145" w:type="dxa"/>
            <w:noWrap w:val="0"/>
            <w:vAlign w:val="top"/>
          </w:tcPr>
          <w:p w14:paraId="3EBBB1F1">
            <w:pPr>
              <w:spacing w:before="240" w:after="240"/>
              <w:rPr>
                <w:rFonts w:ascii="宋体" w:hAnsi="宋体"/>
                <w:sz w:val="24"/>
              </w:rPr>
            </w:pPr>
          </w:p>
        </w:tc>
        <w:tc>
          <w:tcPr>
            <w:tcW w:w="1815" w:type="dxa"/>
            <w:noWrap w:val="0"/>
            <w:vAlign w:val="top"/>
          </w:tcPr>
          <w:p w14:paraId="128D6115">
            <w:pPr>
              <w:spacing w:before="240" w:after="240"/>
              <w:rPr>
                <w:rFonts w:ascii="宋体" w:hAnsi="宋体"/>
                <w:sz w:val="24"/>
              </w:rPr>
            </w:pPr>
          </w:p>
        </w:tc>
      </w:tr>
      <w:tr w14:paraId="3E9436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6AA22C0A">
            <w:pPr>
              <w:spacing w:before="240" w:after="240"/>
              <w:rPr>
                <w:rFonts w:ascii="宋体" w:hAnsi="宋体"/>
                <w:sz w:val="24"/>
              </w:rPr>
            </w:pPr>
          </w:p>
        </w:tc>
        <w:tc>
          <w:tcPr>
            <w:tcW w:w="1980" w:type="dxa"/>
            <w:noWrap w:val="0"/>
            <w:vAlign w:val="top"/>
          </w:tcPr>
          <w:p w14:paraId="598B94C9">
            <w:pPr>
              <w:spacing w:before="240" w:after="240"/>
              <w:rPr>
                <w:rFonts w:ascii="宋体" w:hAnsi="宋体"/>
                <w:sz w:val="24"/>
              </w:rPr>
            </w:pPr>
          </w:p>
        </w:tc>
        <w:tc>
          <w:tcPr>
            <w:tcW w:w="1791" w:type="dxa"/>
            <w:noWrap w:val="0"/>
            <w:vAlign w:val="top"/>
          </w:tcPr>
          <w:p w14:paraId="5A66F8C5">
            <w:pPr>
              <w:spacing w:before="240" w:after="240"/>
              <w:rPr>
                <w:rFonts w:ascii="宋体" w:hAnsi="宋体"/>
                <w:sz w:val="24"/>
              </w:rPr>
            </w:pPr>
          </w:p>
        </w:tc>
        <w:tc>
          <w:tcPr>
            <w:tcW w:w="2145" w:type="dxa"/>
            <w:noWrap w:val="0"/>
            <w:vAlign w:val="top"/>
          </w:tcPr>
          <w:p w14:paraId="61FE8D57">
            <w:pPr>
              <w:spacing w:before="240" w:after="240"/>
              <w:rPr>
                <w:rFonts w:ascii="宋体" w:hAnsi="宋体"/>
                <w:sz w:val="24"/>
              </w:rPr>
            </w:pPr>
          </w:p>
        </w:tc>
        <w:tc>
          <w:tcPr>
            <w:tcW w:w="1815" w:type="dxa"/>
            <w:noWrap w:val="0"/>
            <w:vAlign w:val="top"/>
          </w:tcPr>
          <w:p w14:paraId="44862E5C">
            <w:pPr>
              <w:spacing w:before="240" w:after="240"/>
              <w:rPr>
                <w:rFonts w:ascii="宋体" w:hAnsi="宋体"/>
                <w:sz w:val="24"/>
              </w:rPr>
            </w:pPr>
          </w:p>
        </w:tc>
      </w:tr>
    </w:tbl>
    <w:p w14:paraId="357873B4">
      <w:pPr>
        <w:rPr>
          <w:rFonts w:ascii="宋体" w:hAnsi="宋体"/>
          <w:sz w:val="24"/>
        </w:rPr>
      </w:pPr>
      <w:r>
        <w:rPr>
          <w:rFonts w:hint="eastAsia" w:ascii="宋体" w:hAnsi="宋体"/>
          <w:sz w:val="24"/>
        </w:rPr>
        <w:t>注：申请人所提供的文件与磋商文件中的要求如有任何偏差，都应在“偏离表”中列出。若未在“偏离表”中列出，即使在响应文件其他地方写明与磋商文件要求有所不同，采购人也认同符合磋商文件最佳值的要求。申请人成交后如据此提出疑义，不履行签订合同等下一步工作，采购人有权没收其磋商保证金。</w:t>
      </w:r>
    </w:p>
    <w:p w14:paraId="413E9CBF">
      <w:pPr>
        <w:autoSpaceDE w:val="0"/>
        <w:autoSpaceDN w:val="0"/>
        <w:adjustRightInd w:val="0"/>
        <w:rPr>
          <w:rFonts w:ascii="宋体" w:hAnsi="宋体"/>
          <w:sz w:val="24"/>
        </w:rPr>
      </w:pPr>
    </w:p>
    <w:p w14:paraId="28A91BF9">
      <w:pPr>
        <w:spacing w:before="120" w:line="360" w:lineRule="auto"/>
        <w:rPr>
          <w:rFonts w:ascii="宋体" w:hAnsi="宋体"/>
          <w:sz w:val="24"/>
          <w:u w:val="single"/>
        </w:rPr>
      </w:pPr>
      <w:r>
        <w:rPr>
          <w:rFonts w:hint="eastAsia" w:ascii="宋体" w:hAnsi="宋体"/>
          <w:sz w:val="24"/>
        </w:rPr>
        <w:t>授权代表（签字或盖章）</w:t>
      </w:r>
      <w:r>
        <w:rPr>
          <w:rFonts w:hint="eastAsia" w:ascii="宋体" w:hAnsi="宋体"/>
          <w:sz w:val="24"/>
          <w:u w:val="single"/>
        </w:rPr>
        <w:t xml:space="preserve">             </w:t>
      </w:r>
    </w:p>
    <w:p w14:paraId="41509522">
      <w:pPr>
        <w:spacing w:before="120" w:line="360" w:lineRule="auto"/>
        <w:rPr>
          <w:rFonts w:ascii="宋体" w:hAnsi="宋体"/>
          <w:sz w:val="24"/>
          <w:u w:val="single"/>
        </w:rPr>
      </w:pPr>
    </w:p>
    <w:p w14:paraId="5DECE63F">
      <w:pPr>
        <w:spacing w:line="360" w:lineRule="auto"/>
        <w:rPr>
          <w:rFonts w:ascii="宋体" w:hAnsi="宋体"/>
          <w:sz w:val="24"/>
        </w:rPr>
      </w:pPr>
      <w:r>
        <w:rPr>
          <w:rFonts w:hint="eastAsia" w:ascii="宋体" w:hAnsi="宋体"/>
          <w:sz w:val="24"/>
        </w:rPr>
        <w:t>申请人（公章）</w:t>
      </w:r>
      <w:r>
        <w:rPr>
          <w:rFonts w:hint="eastAsia" w:ascii="宋体" w:hAnsi="宋体"/>
          <w:sz w:val="24"/>
          <w:u w:val="single"/>
        </w:rPr>
        <w:t xml:space="preserve">                      </w:t>
      </w:r>
      <w:r>
        <w:rPr>
          <w:rFonts w:hint="eastAsia" w:ascii="宋体" w:hAnsi="宋体"/>
          <w:sz w:val="24"/>
        </w:rPr>
        <w:t xml:space="preserve">       </w:t>
      </w:r>
    </w:p>
    <w:p w14:paraId="477E39A6">
      <w:pPr>
        <w:pStyle w:val="39"/>
        <w:ind w:firstLine="640"/>
        <w:rPr>
          <w:rFonts w:hint="eastAsia" w:ascii="宋体" w:hAnsi="宋体" w:eastAsia="宋体" w:cs="Times New Roman"/>
          <w:sz w:val="24"/>
        </w:rPr>
      </w:pPr>
      <w:r>
        <w:rPr>
          <w:rFonts w:hint="eastAsia" w:ascii="宋体" w:hAnsi="宋体"/>
          <w:sz w:val="32"/>
        </w:rPr>
        <w:t xml:space="preserve">                              </w:t>
      </w:r>
      <w:r>
        <w:rPr>
          <w:rFonts w:hint="eastAsia" w:ascii="宋体" w:hAnsi="宋体" w:eastAsia="宋体" w:cs="Times New Roman"/>
          <w:sz w:val="24"/>
        </w:rPr>
        <w:t xml:space="preserve"> 年  月   日</w:t>
      </w:r>
    </w:p>
    <w:p w14:paraId="67524865">
      <w:pPr>
        <w:pStyle w:val="39"/>
        <w:rPr>
          <w:rFonts w:hint="eastAsia"/>
        </w:rPr>
      </w:pPr>
    </w:p>
    <w:p w14:paraId="20976E04">
      <w:pPr>
        <w:pStyle w:val="39"/>
        <w:ind w:left="0" w:leftChars="0" w:firstLine="0" w:firstLineChars="0"/>
        <w:rPr>
          <w:rFonts w:hint="eastAsia"/>
        </w:rPr>
      </w:pPr>
    </w:p>
    <w:p w14:paraId="3285C0AD">
      <w:pPr>
        <w:pStyle w:val="4"/>
        <w:widowControl/>
        <w:spacing w:before="400" w:after="120" w:line="360" w:lineRule="auto"/>
        <w:rPr>
          <w:rFonts w:hint="eastAsia" w:ascii="宋体" w:hAnsi="宋体" w:eastAsia="宋体"/>
        </w:rPr>
      </w:pPr>
      <w:r>
        <w:rPr>
          <w:rFonts w:hint="eastAsia" w:ascii="宋体" w:hAnsi="宋体" w:eastAsia="宋体"/>
        </w:rPr>
        <w:t>技术偏离表(格式)</w:t>
      </w:r>
    </w:p>
    <w:p w14:paraId="6FECBD27">
      <w:pPr>
        <w:spacing w:line="360" w:lineRule="auto"/>
        <w:rPr>
          <w:rFonts w:ascii="宋体" w:hAnsi="宋体"/>
          <w:b/>
          <w:sz w:val="28"/>
        </w:rPr>
      </w:pPr>
      <w:r>
        <w:rPr>
          <w:rFonts w:hint="eastAsia" w:ascii="宋体" w:hAnsi="宋体"/>
          <w:sz w:val="24"/>
        </w:rPr>
        <w:t>申请人名称：</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项目编号：</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tbl>
      <w:tblPr>
        <w:tblStyle w:val="40"/>
        <w:tblW w:w="8390"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181"/>
        <w:gridCol w:w="1281"/>
        <w:gridCol w:w="1350"/>
        <w:gridCol w:w="2370"/>
        <w:gridCol w:w="1485"/>
      </w:tblGrid>
      <w:tr w14:paraId="13C44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3" w:type="dxa"/>
            <w:vMerge w:val="restart"/>
            <w:noWrap w:val="0"/>
            <w:vAlign w:val="top"/>
          </w:tcPr>
          <w:p w14:paraId="10AA49F1">
            <w:pPr>
              <w:spacing w:before="120" w:line="360" w:lineRule="auto"/>
              <w:jc w:val="center"/>
              <w:rPr>
                <w:rFonts w:ascii="宋体" w:hAnsi="宋体"/>
                <w:sz w:val="24"/>
              </w:rPr>
            </w:pPr>
            <w:r>
              <w:rPr>
                <w:rFonts w:hint="eastAsia" w:ascii="宋体" w:hAnsi="宋体"/>
                <w:sz w:val="24"/>
              </w:rPr>
              <w:t>序号</w:t>
            </w:r>
          </w:p>
        </w:tc>
        <w:tc>
          <w:tcPr>
            <w:tcW w:w="2462" w:type="dxa"/>
            <w:gridSpan w:val="2"/>
            <w:noWrap w:val="0"/>
            <w:vAlign w:val="top"/>
          </w:tcPr>
          <w:p w14:paraId="6508A996">
            <w:pPr>
              <w:spacing w:before="120" w:after="120" w:line="360" w:lineRule="auto"/>
              <w:jc w:val="center"/>
              <w:rPr>
                <w:rFonts w:ascii="宋体" w:hAnsi="宋体"/>
                <w:sz w:val="24"/>
              </w:rPr>
            </w:pPr>
            <w:r>
              <w:rPr>
                <w:rFonts w:hint="eastAsia" w:ascii="宋体" w:hAnsi="宋体"/>
                <w:sz w:val="24"/>
              </w:rPr>
              <w:t>磋商文件要求</w:t>
            </w:r>
          </w:p>
        </w:tc>
        <w:tc>
          <w:tcPr>
            <w:tcW w:w="3720" w:type="dxa"/>
            <w:gridSpan w:val="2"/>
            <w:noWrap w:val="0"/>
            <w:vAlign w:val="top"/>
          </w:tcPr>
          <w:p w14:paraId="6E91D9C1">
            <w:pPr>
              <w:spacing w:before="120" w:after="120" w:line="360" w:lineRule="auto"/>
              <w:jc w:val="center"/>
              <w:rPr>
                <w:rFonts w:ascii="宋体" w:hAnsi="宋体"/>
                <w:sz w:val="24"/>
              </w:rPr>
            </w:pPr>
            <w:r>
              <w:rPr>
                <w:rFonts w:hint="eastAsia" w:ascii="宋体" w:hAnsi="宋体"/>
                <w:sz w:val="24"/>
              </w:rPr>
              <w:t>响应文件内容达到</w:t>
            </w:r>
          </w:p>
        </w:tc>
        <w:tc>
          <w:tcPr>
            <w:tcW w:w="1485" w:type="dxa"/>
            <w:vMerge w:val="restart"/>
            <w:noWrap w:val="0"/>
            <w:vAlign w:val="center"/>
          </w:tcPr>
          <w:p w14:paraId="061D8CCF">
            <w:pPr>
              <w:spacing w:before="120" w:line="360" w:lineRule="auto"/>
              <w:jc w:val="center"/>
              <w:rPr>
                <w:rFonts w:hint="eastAsia" w:ascii="宋体" w:hAnsi="宋体"/>
                <w:sz w:val="24"/>
              </w:rPr>
            </w:pPr>
            <w:r>
              <w:rPr>
                <w:rFonts w:hint="eastAsia" w:ascii="宋体" w:hAnsi="宋体"/>
                <w:sz w:val="24"/>
              </w:rPr>
              <w:t>是否偏离</w:t>
            </w:r>
          </w:p>
        </w:tc>
      </w:tr>
      <w:tr w14:paraId="38DB0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3" w:type="dxa"/>
            <w:vMerge w:val="continue"/>
            <w:noWrap w:val="0"/>
            <w:vAlign w:val="top"/>
          </w:tcPr>
          <w:p w14:paraId="5229B40B">
            <w:pPr>
              <w:spacing w:line="360" w:lineRule="auto"/>
              <w:jc w:val="center"/>
              <w:rPr>
                <w:rFonts w:ascii="宋体" w:hAnsi="宋体"/>
                <w:sz w:val="24"/>
              </w:rPr>
            </w:pPr>
          </w:p>
        </w:tc>
        <w:tc>
          <w:tcPr>
            <w:tcW w:w="1181" w:type="dxa"/>
            <w:noWrap w:val="0"/>
            <w:vAlign w:val="top"/>
          </w:tcPr>
          <w:p w14:paraId="707FB745">
            <w:pPr>
              <w:spacing w:before="120" w:after="120" w:line="360" w:lineRule="auto"/>
              <w:jc w:val="center"/>
              <w:rPr>
                <w:rFonts w:ascii="宋体" w:hAnsi="宋体"/>
                <w:sz w:val="24"/>
              </w:rPr>
            </w:pPr>
            <w:r>
              <w:rPr>
                <w:rFonts w:hint="eastAsia" w:ascii="宋体" w:hAnsi="宋体"/>
                <w:sz w:val="24"/>
              </w:rPr>
              <w:t>名称</w:t>
            </w:r>
          </w:p>
        </w:tc>
        <w:tc>
          <w:tcPr>
            <w:tcW w:w="1281" w:type="dxa"/>
            <w:noWrap w:val="0"/>
            <w:vAlign w:val="top"/>
          </w:tcPr>
          <w:p w14:paraId="44B22FA8">
            <w:pPr>
              <w:spacing w:before="120" w:after="120" w:line="360" w:lineRule="auto"/>
              <w:jc w:val="center"/>
              <w:rPr>
                <w:rFonts w:ascii="宋体" w:hAnsi="宋体"/>
                <w:sz w:val="24"/>
              </w:rPr>
            </w:pPr>
            <w:r>
              <w:rPr>
                <w:rFonts w:hint="eastAsia" w:ascii="宋体" w:hAnsi="宋体"/>
                <w:sz w:val="24"/>
              </w:rPr>
              <w:t>指标</w:t>
            </w:r>
          </w:p>
        </w:tc>
        <w:tc>
          <w:tcPr>
            <w:tcW w:w="1350" w:type="dxa"/>
            <w:noWrap w:val="0"/>
            <w:vAlign w:val="top"/>
          </w:tcPr>
          <w:p w14:paraId="32B91341">
            <w:pPr>
              <w:spacing w:before="120" w:after="120" w:line="360" w:lineRule="auto"/>
              <w:jc w:val="center"/>
              <w:rPr>
                <w:rFonts w:ascii="宋体" w:hAnsi="宋体"/>
                <w:sz w:val="24"/>
              </w:rPr>
            </w:pPr>
            <w:r>
              <w:rPr>
                <w:rFonts w:hint="eastAsia" w:ascii="宋体" w:hAnsi="宋体"/>
                <w:sz w:val="24"/>
              </w:rPr>
              <w:t>名称</w:t>
            </w:r>
          </w:p>
        </w:tc>
        <w:tc>
          <w:tcPr>
            <w:tcW w:w="2370" w:type="dxa"/>
            <w:noWrap w:val="0"/>
            <w:vAlign w:val="top"/>
          </w:tcPr>
          <w:p w14:paraId="79155185">
            <w:pPr>
              <w:spacing w:before="120" w:after="120" w:line="360" w:lineRule="auto"/>
              <w:jc w:val="center"/>
              <w:rPr>
                <w:rFonts w:ascii="宋体" w:hAnsi="宋体"/>
                <w:sz w:val="24"/>
              </w:rPr>
            </w:pPr>
            <w:r>
              <w:rPr>
                <w:rFonts w:hint="eastAsia" w:ascii="宋体" w:hAnsi="宋体"/>
                <w:sz w:val="24"/>
              </w:rPr>
              <w:t>指标</w:t>
            </w:r>
          </w:p>
        </w:tc>
        <w:tc>
          <w:tcPr>
            <w:tcW w:w="1485" w:type="dxa"/>
            <w:vMerge w:val="continue"/>
            <w:noWrap w:val="0"/>
            <w:vAlign w:val="top"/>
          </w:tcPr>
          <w:p w14:paraId="3E53C200">
            <w:pPr>
              <w:spacing w:line="360" w:lineRule="auto"/>
              <w:jc w:val="center"/>
              <w:rPr>
                <w:rFonts w:ascii="宋体" w:hAnsi="宋体"/>
                <w:sz w:val="24"/>
              </w:rPr>
            </w:pPr>
          </w:p>
        </w:tc>
      </w:tr>
      <w:tr w14:paraId="1361C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noWrap w:val="0"/>
            <w:vAlign w:val="center"/>
          </w:tcPr>
          <w:p w14:paraId="55F83CF2">
            <w:pPr>
              <w:jc w:val="center"/>
              <w:rPr>
                <w:rFonts w:ascii="宋体" w:hAnsi="宋体" w:cs="宋体"/>
              </w:rPr>
            </w:pPr>
            <w:r>
              <w:rPr>
                <w:rFonts w:hint="eastAsia" w:ascii="宋体" w:hAnsi="宋体" w:cs="宋体"/>
              </w:rPr>
              <w:t>1</w:t>
            </w:r>
          </w:p>
        </w:tc>
        <w:tc>
          <w:tcPr>
            <w:tcW w:w="1181" w:type="dxa"/>
            <w:noWrap w:val="0"/>
            <w:vAlign w:val="center"/>
          </w:tcPr>
          <w:p w14:paraId="7B54F67E">
            <w:pPr>
              <w:jc w:val="center"/>
              <w:rPr>
                <w:rFonts w:ascii="宋体" w:hAnsi="宋体" w:cs="宋体"/>
              </w:rPr>
            </w:pPr>
          </w:p>
        </w:tc>
        <w:tc>
          <w:tcPr>
            <w:tcW w:w="1281" w:type="dxa"/>
            <w:noWrap w:val="0"/>
            <w:vAlign w:val="top"/>
          </w:tcPr>
          <w:p w14:paraId="6AC8C269">
            <w:pPr>
              <w:spacing w:before="120" w:after="120" w:line="360" w:lineRule="auto"/>
              <w:jc w:val="center"/>
              <w:rPr>
                <w:rFonts w:ascii="宋体" w:hAnsi="宋体"/>
                <w:sz w:val="32"/>
              </w:rPr>
            </w:pPr>
          </w:p>
        </w:tc>
        <w:tc>
          <w:tcPr>
            <w:tcW w:w="1350" w:type="dxa"/>
            <w:noWrap w:val="0"/>
            <w:vAlign w:val="top"/>
          </w:tcPr>
          <w:p w14:paraId="57DD7AEB">
            <w:pPr>
              <w:spacing w:before="120" w:after="120" w:line="360" w:lineRule="auto"/>
              <w:jc w:val="center"/>
              <w:rPr>
                <w:rFonts w:ascii="宋体" w:hAnsi="宋体"/>
                <w:sz w:val="32"/>
              </w:rPr>
            </w:pPr>
          </w:p>
        </w:tc>
        <w:tc>
          <w:tcPr>
            <w:tcW w:w="2370" w:type="dxa"/>
            <w:noWrap w:val="0"/>
            <w:vAlign w:val="top"/>
          </w:tcPr>
          <w:p w14:paraId="55F6AB89">
            <w:pPr>
              <w:spacing w:before="120" w:after="120" w:line="360" w:lineRule="auto"/>
              <w:jc w:val="center"/>
              <w:rPr>
                <w:rFonts w:ascii="宋体" w:hAnsi="宋体"/>
                <w:sz w:val="32"/>
              </w:rPr>
            </w:pPr>
          </w:p>
        </w:tc>
        <w:tc>
          <w:tcPr>
            <w:tcW w:w="1485" w:type="dxa"/>
            <w:noWrap w:val="0"/>
            <w:vAlign w:val="top"/>
          </w:tcPr>
          <w:p w14:paraId="0E4E24A8">
            <w:pPr>
              <w:spacing w:before="120" w:after="120" w:line="360" w:lineRule="auto"/>
              <w:jc w:val="center"/>
              <w:rPr>
                <w:rFonts w:ascii="宋体" w:hAnsi="宋体"/>
                <w:sz w:val="32"/>
              </w:rPr>
            </w:pPr>
          </w:p>
        </w:tc>
      </w:tr>
      <w:tr w14:paraId="0B6E7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noWrap w:val="0"/>
            <w:vAlign w:val="center"/>
          </w:tcPr>
          <w:p w14:paraId="4D98CAC8">
            <w:pPr>
              <w:jc w:val="center"/>
              <w:rPr>
                <w:rFonts w:ascii="宋体" w:hAnsi="宋体" w:cs="宋体"/>
              </w:rPr>
            </w:pPr>
            <w:r>
              <w:rPr>
                <w:rFonts w:hint="eastAsia" w:ascii="宋体" w:hAnsi="宋体" w:cs="宋体"/>
              </w:rPr>
              <w:t>2</w:t>
            </w:r>
          </w:p>
        </w:tc>
        <w:tc>
          <w:tcPr>
            <w:tcW w:w="1181" w:type="dxa"/>
            <w:noWrap w:val="0"/>
            <w:vAlign w:val="center"/>
          </w:tcPr>
          <w:p w14:paraId="27ECC319">
            <w:pPr>
              <w:jc w:val="center"/>
              <w:rPr>
                <w:rFonts w:ascii="宋体" w:hAnsi="宋体" w:cs="宋体"/>
              </w:rPr>
            </w:pPr>
          </w:p>
        </w:tc>
        <w:tc>
          <w:tcPr>
            <w:tcW w:w="1281" w:type="dxa"/>
            <w:noWrap w:val="0"/>
            <w:vAlign w:val="top"/>
          </w:tcPr>
          <w:p w14:paraId="7FDC5DFE">
            <w:pPr>
              <w:spacing w:before="120" w:after="120" w:line="360" w:lineRule="auto"/>
              <w:jc w:val="center"/>
              <w:rPr>
                <w:rFonts w:ascii="宋体" w:hAnsi="宋体"/>
                <w:sz w:val="32"/>
              </w:rPr>
            </w:pPr>
          </w:p>
        </w:tc>
        <w:tc>
          <w:tcPr>
            <w:tcW w:w="1350" w:type="dxa"/>
            <w:noWrap w:val="0"/>
            <w:vAlign w:val="top"/>
          </w:tcPr>
          <w:p w14:paraId="5B87DEA1">
            <w:pPr>
              <w:spacing w:before="120" w:after="120" w:line="360" w:lineRule="auto"/>
              <w:jc w:val="center"/>
              <w:rPr>
                <w:rFonts w:ascii="宋体" w:hAnsi="宋体"/>
                <w:sz w:val="32"/>
              </w:rPr>
            </w:pPr>
          </w:p>
        </w:tc>
        <w:tc>
          <w:tcPr>
            <w:tcW w:w="2370" w:type="dxa"/>
            <w:noWrap w:val="0"/>
            <w:vAlign w:val="top"/>
          </w:tcPr>
          <w:p w14:paraId="2A599B2D">
            <w:pPr>
              <w:spacing w:before="120" w:after="120" w:line="360" w:lineRule="auto"/>
              <w:jc w:val="center"/>
              <w:rPr>
                <w:rFonts w:ascii="宋体" w:hAnsi="宋体"/>
                <w:sz w:val="32"/>
              </w:rPr>
            </w:pPr>
          </w:p>
        </w:tc>
        <w:tc>
          <w:tcPr>
            <w:tcW w:w="1485" w:type="dxa"/>
            <w:noWrap w:val="0"/>
            <w:vAlign w:val="top"/>
          </w:tcPr>
          <w:p w14:paraId="6AD92F7E">
            <w:pPr>
              <w:spacing w:before="120" w:after="120" w:line="360" w:lineRule="auto"/>
              <w:jc w:val="center"/>
              <w:rPr>
                <w:rFonts w:ascii="宋体" w:hAnsi="宋体"/>
                <w:sz w:val="32"/>
              </w:rPr>
            </w:pPr>
          </w:p>
        </w:tc>
      </w:tr>
      <w:tr w14:paraId="3C3A4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noWrap w:val="0"/>
            <w:vAlign w:val="center"/>
          </w:tcPr>
          <w:p w14:paraId="75D30860">
            <w:pPr>
              <w:jc w:val="center"/>
              <w:rPr>
                <w:rFonts w:ascii="宋体" w:hAnsi="宋体" w:cs="宋体"/>
              </w:rPr>
            </w:pPr>
            <w:r>
              <w:rPr>
                <w:rFonts w:hint="eastAsia" w:ascii="宋体" w:hAnsi="宋体" w:cs="宋体"/>
              </w:rPr>
              <w:t>3</w:t>
            </w:r>
          </w:p>
        </w:tc>
        <w:tc>
          <w:tcPr>
            <w:tcW w:w="1181" w:type="dxa"/>
            <w:noWrap w:val="0"/>
            <w:vAlign w:val="center"/>
          </w:tcPr>
          <w:p w14:paraId="5BBCF8D9">
            <w:pPr>
              <w:jc w:val="center"/>
              <w:rPr>
                <w:rFonts w:ascii="宋体" w:hAnsi="宋体" w:cs="宋体"/>
              </w:rPr>
            </w:pPr>
          </w:p>
        </w:tc>
        <w:tc>
          <w:tcPr>
            <w:tcW w:w="1281" w:type="dxa"/>
            <w:noWrap w:val="0"/>
            <w:vAlign w:val="top"/>
          </w:tcPr>
          <w:p w14:paraId="0B9BD8DE">
            <w:pPr>
              <w:spacing w:before="120" w:after="120" w:line="360" w:lineRule="auto"/>
              <w:jc w:val="center"/>
              <w:rPr>
                <w:rFonts w:ascii="宋体" w:hAnsi="宋体"/>
                <w:sz w:val="32"/>
              </w:rPr>
            </w:pPr>
          </w:p>
        </w:tc>
        <w:tc>
          <w:tcPr>
            <w:tcW w:w="1350" w:type="dxa"/>
            <w:noWrap w:val="0"/>
            <w:vAlign w:val="top"/>
          </w:tcPr>
          <w:p w14:paraId="3399C97A">
            <w:pPr>
              <w:spacing w:before="120" w:after="120" w:line="360" w:lineRule="auto"/>
              <w:jc w:val="center"/>
              <w:rPr>
                <w:rFonts w:ascii="宋体" w:hAnsi="宋体"/>
                <w:sz w:val="32"/>
              </w:rPr>
            </w:pPr>
          </w:p>
        </w:tc>
        <w:tc>
          <w:tcPr>
            <w:tcW w:w="2370" w:type="dxa"/>
            <w:noWrap w:val="0"/>
            <w:vAlign w:val="top"/>
          </w:tcPr>
          <w:p w14:paraId="0C3761D9">
            <w:pPr>
              <w:spacing w:before="120" w:after="120" w:line="360" w:lineRule="auto"/>
              <w:jc w:val="center"/>
              <w:rPr>
                <w:rFonts w:ascii="宋体" w:hAnsi="宋体"/>
                <w:sz w:val="32"/>
              </w:rPr>
            </w:pPr>
          </w:p>
        </w:tc>
        <w:tc>
          <w:tcPr>
            <w:tcW w:w="1485" w:type="dxa"/>
            <w:noWrap w:val="0"/>
            <w:vAlign w:val="top"/>
          </w:tcPr>
          <w:p w14:paraId="662B0E44">
            <w:pPr>
              <w:spacing w:before="120" w:after="120" w:line="360" w:lineRule="auto"/>
              <w:jc w:val="center"/>
              <w:rPr>
                <w:rFonts w:ascii="宋体" w:hAnsi="宋体"/>
                <w:sz w:val="32"/>
              </w:rPr>
            </w:pPr>
          </w:p>
        </w:tc>
      </w:tr>
      <w:tr w14:paraId="06A5A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noWrap w:val="0"/>
            <w:vAlign w:val="center"/>
          </w:tcPr>
          <w:p w14:paraId="227A1415">
            <w:pPr>
              <w:jc w:val="center"/>
              <w:rPr>
                <w:rFonts w:ascii="宋体" w:hAnsi="宋体" w:cs="宋体"/>
              </w:rPr>
            </w:pPr>
            <w:r>
              <w:rPr>
                <w:rFonts w:hint="eastAsia" w:ascii="宋体" w:hAnsi="宋体" w:cs="宋体"/>
              </w:rPr>
              <w:t>4</w:t>
            </w:r>
          </w:p>
        </w:tc>
        <w:tc>
          <w:tcPr>
            <w:tcW w:w="1181" w:type="dxa"/>
            <w:noWrap w:val="0"/>
            <w:vAlign w:val="center"/>
          </w:tcPr>
          <w:p w14:paraId="0BDE8A85">
            <w:pPr>
              <w:jc w:val="center"/>
              <w:rPr>
                <w:rFonts w:ascii="宋体" w:hAnsi="宋体" w:cs="宋体"/>
              </w:rPr>
            </w:pPr>
          </w:p>
        </w:tc>
        <w:tc>
          <w:tcPr>
            <w:tcW w:w="1281" w:type="dxa"/>
            <w:noWrap w:val="0"/>
            <w:vAlign w:val="top"/>
          </w:tcPr>
          <w:p w14:paraId="682935A3">
            <w:pPr>
              <w:spacing w:before="120" w:after="120" w:line="360" w:lineRule="auto"/>
              <w:jc w:val="center"/>
              <w:rPr>
                <w:rFonts w:ascii="宋体" w:hAnsi="宋体"/>
                <w:sz w:val="32"/>
              </w:rPr>
            </w:pPr>
          </w:p>
        </w:tc>
        <w:tc>
          <w:tcPr>
            <w:tcW w:w="1350" w:type="dxa"/>
            <w:noWrap w:val="0"/>
            <w:vAlign w:val="top"/>
          </w:tcPr>
          <w:p w14:paraId="14469B3B">
            <w:pPr>
              <w:spacing w:before="120" w:after="120" w:line="360" w:lineRule="auto"/>
              <w:jc w:val="center"/>
              <w:rPr>
                <w:rFonts w:ascii="宋体" w:hAnsi="宋体"/>
                <w:sz w:val="32"/>
              </w:rPr>
            </w:pPr>
          </w:p>
        </w:tc>
        <w:tc>
          <w:tcPr>
            <w:tcW w:w="2370" w:type="dxa"/>
            <w:noWrap w:val="0"/>
            <w:vAlign w:val="top"/>
          </w:tcPr>
          <w:p w14:paraId="19E44EEF">
            <w:pPr>
              <w:spacing w:before="120" w:after="120" w:line="360" w:lineRule="auto"/>
              <w:jc w:val="center"/>
              <w:rPr>
                <w:rFonts w:ascii="宋体" w:hAnsi="宋体"/>
                <w:sz w:val="32"/>
              </w:rPr>
            </w:pPr>
          </w:p>
        </w:tc>
        <w:tc>
          <w:tcPr>
            <w:tcW w:w="1485" w:type="dxa"/>
            <w:noWrap w:val="0"/>
            <w:vAlign w:val="top"/>
          </w:tcPr>
          <w:p w14:paraId="33775074">
            <w:pPr>
              <w:spacing w:before="120" w:after="120" w:line="360" w:lineRule="auto"/>
              <w:jc w:val="center"/>
              <w:rPr>
                <w:rFonts w:ascii="宋体" w:hAnsi="宋体"/>
                <w:sz w:val="32"/>
              </w:rPr>
            </w:pPr>
          </w:p>
        </w:tc>
      </w:tr>
      <w:tr w14:paraId="23489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noWrap w:val="0"/>
            <w:vAlign w:val="center"/>
          </w:tcPr>
          <w:p w14:paraId="462BF49A">
            <w:pPr>
              <w:jc w:val="center"/>
              <w:rPr>
                <w:rFonts w:ascii="宋体" w:hAnsi="宋体" w:cs="宋体"/>
              </w:rPr>
            </w:pPr>
            <w:r>
              <w:rPr>
                <w:rFonts w:hint="eastAsia" w:ascii="宋体" w:hAnsi="宋体" w:cs="宋体"/>
              </w:rPr>
              <w:t>5</w:t>
            </w:r>
          </w:p>
        </w:tc>
        <w:tc>
          <w:tcPr>
            <w:tcW w:w="1181" w:type="dxa"/>
            <w:noWrap w:val="0"/>
            <w:vAlign w:val="center"/>
          </w:tcPr>
          <w:p w14:paraId="6B047D7A">
            <w:pPr>
              <w:jc w:val="center"/>
              <w:rPr>
                <w:rFonts w:ascii="宋体" w:hAnsi="宋体" w:cs="宋体"/>
              </w:rPr>
            </w:pPr>
          </w:p>
        </w:tc>
        <w:tc>
          <w:tcPr>
            <w:tcW w:w="1281" w:type="dxa"/>
            <w:noWrap w:val="0"/>
            <w:vAlign w:val="top"/>
          </w:tcPr>
          <w:p w14:paraId="629B6EA8">
            <w:pPr>
              <w:spacing w:before="120" w:after="120" w:line="360" w:lineRule="auto"/>
              <w:jc w:val="center"/>
              <w:rPr>
                <w:rFonts w:ascii="宋体" w:hAnsi="宋体"/>
                <w:sz w:val="32"/>
              </w:rPr>
            </w:pPr>
          </w:p>
        </w:tc>
        <w:tc>
          <w:tcPr>
            <w:tcW w:w="1350" w:type="dxa"/>
            <w:noWrap w:val="0"/>
            <w:vAlign w:val="top"/>
          </w:tcPr>
          <w:p w14:paraId="381200A0">
            <w:pPr>
              <w:spacing w:before="120" w:after="120" w:line="360" w:lineRule="auto"/>
              <w:jc w:val="center"/>
              <w:rPr>
                <w:rFonts w:ascii="宋体" w:hAnsi="宋体"/>
                <w:sz w:val="32"/>
              </w:rPr>
            </w:pPr>
          </w:p>
        </w:tc>
        <w:tc>
          <w:tcPr>
            <w:tcW w:w="2370" w:type="dxa"/>
            <w:noWrap w:val="0"/>
            <w:vAlign w:val="top"/>
          </w:tcPr>
          <w:p w14:paraId="0A95860B">
            <w:pPr>
              <w:spacing w:before="120" w:after="120" w:line="360" w:lineRule="auto"/>
              <w:jc w:val="center"/>
              <w:rPr>
                <w:rFonts w:ascii="宋体" w:hAnsi="宋体"/>
                <w:sz w:val="32"/>
              </w:rPr>
            </w:pPr>
          </w:p>
        </w:tc>
        <w:tc>
          <w:tcPr>
            <w:tcW w:w="1485" w:type="dxa"/>
            <w:noWrap w:val="0"/>
            <w:vAlign w:val="top"/>
          </w:tcPr>
          <w:p w14:paraId="114A03FD">
            <w:pPr>
              <w:spacing w:before="120" w:after="120" w:line="360" w:lineRule="auto"/>
              <w:jc w:val="center"/>
              <w:rPr>
                <w:rFonts w:ascii="宋体" w:hAnsi="宋体"/>
                <w:sz w:val="32"/>
              </w:rPr>
            </w:pPr>
          </w:p>
        </w:tc>
      </w:tr>
    </w:tbl>
    <w:p w14:paraId="7BE551B4">
      <w:pPr>
        <w:rPr>
          <w:rFonts w:ascii="宋体" w:hAnsi="宋体"/>
          <w:sz w:val="24"/>
        </w:rPr>
      </w:pPr>
      <w:r>
        <w:rPr>
          <w:rFonts w:hint="eastAsia" w:ascii="宋体" w:hAnsi="宋体"/>
          <w:sz w:val="24"/>
        </w:rPr>
        <w:t>注：申请人所提供的文件与磋商文件中的要求如有任何偏差，都应在“偏离表”中列出。若未在“偏离表”中列出，即使在响应文件其他地方写明与磋商文件要求有所不同，采购人也认同符合磋商文件最佳值的要求。申请人成交后如据此提出疑义，不履行签订合同等下一步工作，采购人有权没收其磋商保证金。</w:t>
      </w:r>
    </w:p>
    <w:p w14:paraId="44723DDE">
      <w:pPr>
        <w:spacing w:before="120" w:line="360" w:lineRule="auto"/>
        <w:rPr>
          <w:rFonts w:ascii="宋体" w:hAnsi="宋体"/>
          <w:sz w:val="24"/>
        </w:rPr>
      </w:pPr>
    </w:p>
    <w:p w14:paraId="2835904C">
      <w:pPr>
        <w:spacing w:before="120" w:line="360" w:lineRule="auto"/>
        <w:rPr>
          <w:rFonts w:ascii="宋体" w:hAnsi="宋体"/>
          <w:sz w:val="24"/>
          <w:u w:val="single"/>
        </w:rPr>
      </w:pPr>
      <w:r>
        <w:rPr>
          <w:rFonts w:hint="eastAsia" w:ascii="宋体" w:hAnsi="宋体"/>
          <w:sz w:val="24"/>
        </w:rPr>
        <w:t>授权代表（签字或盖章）</w:t>
      </w:r>
      <w:r>
        <w:rPr>
          <w:rFonts w:hint="eastAsia" w:ascii="宋体" w:hAnsi="宋体"/>
          <w:sz w:val="24"/>
          <w:u w:val="single"/>
        </w:rPr>
        <w:t xml:space="preserve">             </w:t>
      </w:r>
    </w:p>
    <w:p w14:paraId="0138354C">
      <w:pPr>
        <w:spacing w:before="120" w:line="360" w:lineRule="auto"/>
        <w:rPr>
          <w:rFonts w:ascii="宋体" w:hAnsi="宋体"/>
          <w:sz w:val="24"/>
          <w:u w:val="single"/>
        </w:rPr>
      </w:pPr>
    </w:p>
    <w:p w14:paraId="2A749FA9">
      <w:pPr>
        <w:spacing w:line="360" w:lineRule="auto"/>
        <w:rPr>
          <w:rFonts w:ascii="宋体" w:hAnsi="宋体"/>
          <w:sz w:val="24"/>
        </w:rPr>
      </w:pPr>
      <w:r>
        <w:rPr>
          <w:rFonts w:hint="eastAsia" w:ascii="宋体" w:hAnsi="宋体"/>
          <w:sz w:val="24"/>
        </w:rPr>
        <w:t>申请人（公章）</w:t>
      </w:r>
      <w:r>
        <w:rPr>
          <w:rFonts w:hint="eastAsia" w:ascii="宋体" w:hAnsi="宋体"/>
          <w:sz w:val="24"/>
          <w:u w:val="single"/>
        </w:rPr>
        <w:t xml:space="preserve">                      </w:t>
      </w:r>
      <w:r>
        <w:rPr>
          <w:rFonts w:hint="eastAsia" w:ascii="宋体" w:hAnsi="宋体"/>
          <w:sz w:val="24"/>
        </w:rPr>
        <w:t xml:space="preserve">       </w:t>
      </w:r>
    </w:p>
    <w:p w14:paraId="22BFB958">
      <w:pPr>
        <w:spacing w:line="360" w:lineRule="auto"/>
        <w:rPr>
          <w:rFonts w:ascii="宋体" w:hAnsi="宋体"/>
          <w:sz w:val="32"/>
        </w:rPr>
      </w:pPr>
    </w:p>
    <w:p w14:paraId="268DC2E3">
      <w:pPr>
        <w:pStyle w:val="97"/>
        <w:rPr>
          <w:rFonts w:hint="eastAsia" w:ascii="宋体" w:hAnsi="宋体"/>
          <w:sz w:val="24"/>
          <w:szCs w:val="24"/>
        </w:rPr>
      </w:pPr>
      <w:r>
        <w:rPr>
          <w:rFonts w:hint="eastAsia" w:ascii="宋体" w:hAnsi="宋体"/>
          <w:sz w:val="32"/>
        </w:rPr>
        <w:t xml:space="preserve">                                      </w:t>
      </w:r>
      <w:r>
        <w:rPr>
          <w:rFonts w:hint="eastAsia" w:ascii="宋体" w:hAnsi="宋体" w:eastAsia="宋体" w:cs="Times New Roman"/>
          <w:sz w:val="24"/>
          <w:szCs w:val="24"/>
        </w:rPr>
        <w:t xml:space="preserve">   年  月   日</w:t>
      </w:r>
    </w:p>
    <w:p w14:paraId="09A58C75">
      <w:pPr>
        <w:spacing w:beforeLines="100" w:afterLines="50"/>
        <w:jc w:val="center"/>
        <w:rPr>
          <w:rFonts w:ascii="宋体" w:hAnsi="宋体"/>
          <w:b/>
          <w:color w:val="auto"/>
          <w:sz w:val="28"/>
          <w:szCs w:val="28"/>
          <w:highlight w:val="none"/>
        </w:rPr>
      </w:pPr>
    </w:p>
    <w:p w14:paraId="4BCB4792">
      <w:pPr>
        <w:spacing w:beforeLines="100" w:afterLines="50"/>
        <w:jc w:val="center"/>
        <w:rPr>
          <w:rFonts w:hint="eastAsia" w:ascii="宋体" w:hAnsi="宋体"/>
          <w:b/>
          <w:color w:val="auto"/>
          <w:sz w:val="28"/>
          <w:szCs w:val="28"/>
          <w:highlight w:val="none"/>
        </w:rPr>
      </w:pPr>
    </w:p>
    <w:p w14:paraId="05AC119E">
      <w:pPr>
        <w:spacing w:beforeLines="100" w:afterLines="50"/>
        <w:jc w:val="center"/>
        <w:rPr>
          <w:rFonts w:hint="eastAsia" w:ascii="宋体" w:hAnsi="宋体"/>
          <w:b/>
          <w:color w:val="auto"/>
          <w:sz w:val="28"/>
          <w:szCs w:val="28"/>
          <w:highlight w:val="none"/>
        </w:rPr>
      </w:pPr>
    </w:p>
    <w:p w14:paraId="33B3F7E9">
      <w:pPr>
        <w:spacing w:beforeLines="100" w:afterLines="50"/>
        <w:jc w:val="center"/>
        <w:rPr>
          <w:rFonts w:hint="eastAsia" w:ascii="宋体" w:hAnsi="宋体"/>
          <w:b/>
          <w:color w:val="auto"/>
          <w:sz w:val="28"/>
          <w:szCs w:val="28"/>
          <w:highlight w:val="none"/>
        </w:rPr>
      </w:pPr>
    </w:p>
    <w:p w14:paraId="6B69CAFC">
      <w:pPr>
        <w:spacing w:beforeLines="100" w:afterLines="50"/>
        <w:jc w:val="center"/>
        <w:rPr>
          <w:rFonts w:ascii="宋体" w:hAnsi="宋体"/>
          <w:b/>
          <w:color w:val="auto"/>
          <w:sz w:val="32"/>
          <w:szCs w:val="32"/>
          <w:highlight w:val="none"/>
        </w:rPr>
      </w:pPr>
      <w:r>
        <w:rPr>
          <w:rFonts w:hint="eastAsia" w:ascii="宋体" w:hAnsi="宋体"/>
          <w:b/>
          <w:color w:val="auto"/>
          <w:sz w:val="32"/>
          <w:szCs w:val="32"/>
          <w:highlight w:val="none"/>
          <w:lang w:val="en-US" w:eastAsia="zh-CN"/>
        </w:rPr>
        <w:t>八</w:t>
      </w:r>
      <w:r>
        <w:rPr>
          <w:rFonts w:hint="eastAsia" w:ascii="宋体" w:hAnsi="宋体"/>
          <w:b/>
          <w:color w:val="auto"/>
          <w:sz w:val="32"/>
          <w:szCs w:val="32"/>
          <w:highlight w:val="none"/>
        </w:rPr>
        <w:t>、技术部分</w:t>
      </w:r>
    </w:p>
    <w:p w14:paraId="74F7DED5">
      <w:pPr>
        <w:widowControl/>
        <w:jc w:val="both"/>
        <w:rPr>
          <w:rFonts w:hint="eastAsia" w:ascii="宋体" w:hAnsi="宋体"/>
          <w:color w:val="auto"/>
          <w:sz w:val="21"/>
          <w:szCs w:val="21"/>
          <w:highlight w:val="none"/>
          <w:lang w:val="en-US" w:eastAsia="zh-CN"/>
        </w:rPr>
      </w:pPr>
      <w:r>
        <w:rPr>
          <w:rFonts w:hint="eastAsia" w:ascii="宋体" w:hAnsi="宋体"/>
          <w:color w:val="auto"/>
          <w:sz w:val="21"/>
          <w:szCs w:val="21"/>
          <w:highlight w:val="none"/>
        </w:rPr>
        <w:t>供应商根据“评标办法”自行编写</w:t>
      </w:r>
      <w:r>
        <w:rPr>
          <w:rFonts w:ascii="宋体" w:hAnsi="宋体"/>
          <w:color w:val="auto"/>
          <w:sz w:val="21"/>
          <w:szCs w:val="21"/>
          <w:highlight w:val="none"/>
        </w:rPr>
        <w:br w:type="page"/>
      </w:r>
      <w:r>
        <w:rPr>
          <w:rFonts w:hint="eastAsia" w:ascii="宋体" w:hAnsi="宋体"/>
          <w:color w:val="auto"/>
          <w:sz w:val="32"/>
          <w:szCs w:val="32"/>
          <w:highlight w:val="none"/>
          <w:lang w:val="en-US" w:eastAsia="zh-CN"/>
        </w:rPr>
        <w:t xml:space="preserve">附件 </w:t>
      </w:r>
      <w:r>
        <w:rPr>
          <w:rFonts w:hint="eastAsia" w:ascii="宋体" w:hAnsi="宋体"/>
          <w:color w:val="auto"/>
          <w:sz w:val="21"/>
          <w:szCs w:val="21"/>
          <w:highlight w:val="none"/>
          <w:lang w:val="en-US" w:eastAsia="zh-CN"/>
        </w:rPr>
        <w:t xml:space="preserve">                    </w:t>
      </w:r>
    </w:p>
    <w:p w14:paraId="0DBC28E6">
      <w:pPr>
        <w:spacing w:line="360" w:lineRule="auto"/>
        <w:ind w:firstLine="562" w:firstLineChars="200"/>
        <w:jc w:val="center"/>
        <w:rPr>
          <w:rFonts w:ascii="宋体" w:hAnsi="宋体" w:cs="宋体"/>
          <w:b/>
          <w:bCs/>
          <w:kern w:val="0"/>
          <w:sz w:val="28"/>
          <w:szCs w:val="28"/>
          <w:highlight w:val="none"/>
        </w:rPr>
      </w:pPr>
      <w:r>
        <w:rPr>
          <w:rFonts w:ascii="宋体" w:hAnsi="宋体" w:cs="宋体"/>
          <w:b/>
          <w:bCs/>
          <w:kern w:val="0"/>
          <w:sz w:val="28"/>
          <w:szCs w:val="28"/>
          <w:highlight w:val="none"/>
        </w:rPr>
        <w:t>中小企业声明函（货物）</w:t>
      </w:r>
    </w:p>
    <w:p w14:paraId="1EBF4DFF">
      <w:pPr>
        <w:bidi w:val="0"/>
        <w:rPr>
          <w:highlight w:val="none"/>
        </w:rPr>
      </w:pPr>
    </w:p>
    <w:p w14:paraId="69E83875">
      <w:pPr>
        <w:spacing w:line="360" w:lineRule="auto"/>
        <w:ind w:firstLine="480" w:firstLineChars="200"/>
        <w:rPr>
          <w:rFonts w:ascii="宋体" w:hAnsi="宋体" w:cs="宋体"/>
          <w:bCs/>
          <w:kern w:val="0"/>
          <w:sz w:val="24"/>
          <w:szCs w:val="24"/>
          <w:highlight w:val="none"/>
        </w:rPr>
      </w:pPr>
      <w:r>
        <w:rPr>
          <w:rFonts w:ascii="宋体" w:hAnsi="宋体" w:cs="宋体"/>
          <w:bCs/>
          <w:kern w:val="0"/>
          <w:sz w:val="24"/>
          <w:szCs w:val="24"/>
          <w:highlight w:val="none"/>
        </w:rPr>
        <w:t>本公司（联合体） 郑重声明，根据《政府采购促进中小企业发展管理办法》（财库﹝2020﹞46 号）的规定，本公司（联合体）参加</w:t>
      </w:r>
      <w:r>
        <w:rPr>
          <w:rFonts w:ascii="宋体" w:hAnsi="宋体" w:cs="宋体"/>
          <w:bCs/>
          <w:kern w:val="0"/>
          <w:sz w:val="24"/>
          <w:szCs w:val="24"/>
          <w:highlight w:val="none"/>
          <w:u w:val="single"/>
        </w:rPr>
        <w:t>（单位名称）</w:t>
      </w:r>
      <w:r>
        <w:rPr>
          <w:rFonts w:ascii="宋体" w:hAnsi="宋体" w:cs="宋体"/>
          <w:bCs/>
          <w:kern w:val="0"/>
          <w:sz w:val="24"/>
          <w:szCs w:val="24"/>
          <w:highlight w:val="none"/>
        </w:rPr>
        <w:t>的</w:t>
      </w:r>
      <w:r>
        <w:rPr>
          <w:rFonts w:ascii="宋体" w:hAnsi="宋体" w:cs="宋体"/>
          <w:bCs/>
          <w:kern w:val="0"/>
          <w:sz w:val="24"/>
          <w:szCs w:val="24"/>
          <w:highlight w:val="none"/>
          <w:u w:val="single"/>
        </w:rPr>
        <w:t>（项目名称）</w:t>
      </w:r>
      <w:r>
        <w:rPr>
          <w:rFonts w:ascii="宋体" w:hAnsi="宋体" w:cs="宋体"/>
          <w:bCs/>
          <w:kern w:val="0"/>
          <w:sz w:val="24"/>
          <w:szCs w:val="24"/>
          <w:highlight w:val="none"/>
        </w:rPr>
        <w:t>采购活动，提供的货物全部由符合政策要求的中小企业制造。相关企业（含联合体中的中小企业、签订分包意向协议的中小企业）的具体情况如下：</w:t>
      </w:r>
    </w:p>
    <w:p w14:paraId="58389A54">
      <w:pPr>
        <w:spacing w:line="360" w:lineRule="auto"/>
        <w:ind w:firstLine="480" w:firstLineChars="200"/>
        <w:rPr>
          <w:rFonts w:ascii="宋体" w:hAnsi="宋体" w:cs="宋体"/>
          <w:bCs/>
          <w:kern w:val="0"/>
          <w:sz w:val="24"/>
          <w:szCs w:val="24"/>
          <w:highlight w:val="none"/>
        </w:rPr>
      </w:pPr>
      <w:r>
        <w:rPr>
          <w:rFonts w:ascii="宋体" w:hAnsi="宋体" w:cs="宋体"/>
          <w:bCs/>
          <w:kern w:val="0"/>
          <w:sz w:val="24"/>
          <w:szCs w:val="24"/>
          <w:highlight w:val="none"/>
        </w:rPr>
        <w:t xml:space="preserve">1. </w:t>
      </w:r>
      <w:r>
        <w:rPr>
          <w:rFonts w:hint="eastAsia" w:ascii="宋体" w:hAnsi="宋体" w:cs="宋体"/>
          <w:bCs/>
          <w:kern w:val="0"/>
          <w:sz w:val="24"/>
          <w:szCs w:val="24"/>
          <w:highlight w:val="none"/>
          <w:u w:val="single"/>
        </w:rPr>
        <w:t xml:space="preserve">  </w:t>
      </w:r>
      <w:r>
        <w:rPr>
          <w:rFonts w:ascii="宋体" w:hAnsi="宋体" w:cs="宋体"/>
          <w:bCs/>
          <w:kern w:val="0"/>
          <w:sz w:val="24"/>
          <w:szCs w:val="24"/>
          <w:highlight w:val="none"/>
          <w:u w:val="single"/>
        </w:rPr>
        <w:t xml:space="preserve">（标的名称） </w:t>
      </w:r>
      <w:r>
        <w:rPr>
          <w:rFonts w:ascii="宋体" w:hAnsi="宋体" w:cs="宋体"/>
          <w:bCs/>
          <w:kern w:val="0"/>
          <w:sz w:val="24"/>
          <w:szCs w:val="24"/>
          <w:highlight w:val="none"/>
        </w:rPr>
        <w:t>，属于</w:t>
      </w:r>
      <w:r>
        <w:rPr>
          <w:rFonts w:ascii="宋体" w:hAnsi="宋体" w:cs="宋体"/>
          <w:bCs/>
          <w:kern w:val="0"/>
          <w:sz w:val="24"/>
          <w:szCs w:val="24"/>
          <w:highlight w:val="none"/>
          <w:u w:val="single"/>
        </w:rPr>
        <w:t>（采购文件中明确的所属行业）</w:t>
      </w:r>
      <w:r>
        <w:rPr>
          <w:rFonts w:ascii="宋体" w:hAnsi="宋体" w:cs="宋体"/>
          <w:bCs/>
          <w:kern w:val="0"/>
          <w:sz w:val="24"/>
          <w:szCs w:val="24"/>
          <w:highlight w:val="none"/>
        </w:rPr>
        <w:t>行业；制造商为</w:t>
      </w:r>
      <w:r>
        <w:rPr>
          <w:rFonts w:ascii="宋体" w:hAnsi="宋体" w:cs="宋体"/>
          <w:bCs/>
          <w:kern w:val="0"/>
          <w:sz w:val="24"/>
          <w:szCs w:val="24"/>
          <w:highlight w:val="none"/>
          <w:u w:val="single"/>
        </w:rPr>
        <w:t>（企业名称）</w:t>
      </w:r>
      <w:r>
        <w:rPr>
          <w:rFonts w:ascii="宋体" w:hAnsi="宋体" w:cs="宋体"/>
          <w:bCs/>
          <w:kern w:val="0"/>
          <w:sz w:val="24"/>
          <w:szCs w:val="24"/>
          <w:highlight w:val="none"/>
        </w:rPr>
        <w:t>从业人员</w:t>
      </w:r>
      <w:r>
        <w:rPr>
          <w:rFonts w:hint="eastAsia" w:ascii="宋体" w:hAnsi="宋体" w:cs="宋体"/>
          <w:bCs/>
          <w:kern w:val="0"/>
          <w:sz w:val="24"/>
          <w:szCs w:val="24"/>
          <w:highlight w:val="none"/>
          <w:u w:val="single"/>
        </w:rPr>
        <w:t xml:space="preserve">    </w:t>
      </w:r>
      <w:r>
        <w:rPr>
          <w:rFonts w:ascii="宋体" w:hAnsi="宋体" w:cs="宋体"/>
          <w:bCs/>
          <w:kern w:val="0"/>
          <w:sz w:val="24"/>
          <w:szCs w:val="24"/>
          <w:highlight w:val="none"/>
        </w:rPr>
        <w:t>人，营业收入为</w:t>
      </w:r>
      <w:r>
        <w:rPr>
          <w:rFonts w:hint="eastAsia" w:ascii="宋体" w:hAnsi="宋体" w:cs="宋体"/>
          <w:bCs/>
          <w:kern w:val="0"/>
          <w:sz w:val="24"/>
          <w:szCs w:val="24"/>
          <w:highlight w:val="none"/>
          <w:u w:val="single"/>
        </w:rPr>
        <w:t xml:space="preserve">    </w:t>
      </w:r>
      <w:r>
        <w:rPr>
          <w:rFonts w:ascii="宋体" w:hAnsi="宋体" w:cs="宋体"/>
          <w:bCs/>
          <w:kern w:val="0"/>
          <w:sz w:val="24"/>
          <w:szCs w:val="24"/>
          <w:highlight w:val="none"/>
        </w:rPr>
        <w:t>万元，资产总额为</w:t>
      </w:r>
      <w:r>
        <w:rPr>
          <w:rFonts w:hint="eastAsia" w:ascii="宋体" w:hAnsi="宋体" w:cs="宋体"/>
          <w:bCs/>
          <w:kern w:val="0"/>
          <w:sz w:val="24"/>
          <w:szCs w:val="24"/>
          <w:highlight w:val="none"/>
          <w:u w:val="single"/>
        </w:rPr>
        <w:t xml:space="preserve">    </w:t>
      </w:r>
      <w:r>
        <w:rPr>
          <w:rFonts w:ascii="宋体" w:hAnsi="宋体" w:cs="宋体"/>
          <w:bCs/>
          <w:kern w:val="0"/>
          <w:sz w:val="24"/>
          <w:szCs w:val="24"/>
          <w:highlight w:val="none"/>
        </w:rPr>
        <w:t>万元，属于</w:t>
      </w:r>
      <w:r>
        <w:rPr>
          <w:rFonts w:ascii="宋体" w:hAnsi="宋体" w:cs="宋体"/>
          <w:bCs/>
          <w:kern w:val="0"/>
          <w:sz w:val="24"/>
          <w:szCs w:val="24"/>
          <w:highlight w:val="none"/>
          <w:u w:val="single"/>
        </w:rPr>
        <w:t>（中型企业、小型企业、微型企业）</w:t>
      </w:r>
      <w:r>
        <w:rPr>
          <w:rFonts w:ascii="宋体" w:hAnsi="宋体" w:cs="宋体"/>
          <w:bCs/>
          <w:kern w:val="0"/>
          <w:sz w:val="24"/>
          <w:szCs w:val="24"/>
          <w:highlight w:val="none"/>
        </w:rPr>
        <w:t>；</w:t>
      </w:r>
    </w:p>
    <w:p w14:paraId="277A98CF">
      <w:pPr>
        <w:spacing w:line="360" w:lineRule="auto"/>
        <w:ind w:firstLine="480" w:firstLineChars="200"/>
        <w:rPr>
          <w:rFonts w:hint="eastAsia" w:ascii="宋体" w:hAnsi="宋体" w:eastAsia="宋体" w:cs="宋体"/>
          <w:bCs/>
          <w:kern w:val="0"/>
          <w:sz w:val="24"/>
          <w:szCs w:val="24"/>
          <w:highlight w:val="none"/>
          <w:lang w:eastAsia="zh-CN"/>
        </w:rPr>
      </w:pPr>
      <w:r>
        <w:rPr>
          <w:rFonts w:ascii="宋体" w:hAnsi="宋体" w:cs="宋体"/>
          <w:bCs/>
          <w:kern w:val="0"/>
          <w:sz w:val="24"/>
          <w:szCs w:val="24"/>
          <w:highlight w:val="none"/>
        </w:rPr>
        <w:t xml:space="preserve">2. </w:t>
      </w:r>
      <w:r>
        <w:rPr>
          <w:rFonts w:hint="eastAsia" w:ascii="宋体" w:hAnsi="宋体" w:cs="宋体"/>
          <w:bCs/>
          <w:kern w:val="0"/>
          <w:sz w:val="24"/>
          <w:szCs w:val="24"/>
          <w:highlight w:val="none"/>
          <w:u w:val="single"/>
        </w:rPr>
        <w:t xml:space="preserve">  </w:t>
      </w:r>
      <w:r>
        <w:rPr>
          <w:rFonts w:ascii="宋体" w:hAnsi="宋体" w:cs="宋体"/>
          <w:bCs/>
          <w:kern w:val="0"/>
          <w:sz w:val="24"/>
          <w:szCs w:val="24"/>
          <w:highlight w:val="none"/>
          <w:u w:val="single"/>
        </w:rPr>
        <w:t xml:space="preserve">（标的名称） </w:t>
      </w:r>
      <w:r>
        <w:rPr>
          <w:rFonts w:ascii="宋体" w:hAnsi="宋体" w:cs="宋体"/>
          <w:bCs/>
          <w:kern w:val="0"/>
          <w:sz w:val="24"/>
          <w:szCs w:val="24"/>
          <w:highlight w:val="none"/>
        </w:rPr>
        <w:t>，属于</w:t>
      </w:r>
      <w:r>
        <w:rPr>
          <w:rFonts w:ascii="宋体" w:hAnsi="宋体" w:cs="宋体"/>
          <w:bCs/>
          <w:kern w:val="0"/>
          <w:sz w:val="24"/>
          <w:szCs w:val="24"/>
          <w:highlight w:val="none"/>
          <w:u w:val="single"/>
        </w:rPr>
        <w:t>（采购文件中明确的所属行业）</w:t>
      </w:r>
      <w:r>
        <w:rPr>
          <w:rFonts w:ascii="宋体" w:hAnsi="宋体" w:cs="宋体"/>
          <w:bCs/>
          <w:kern w:val="0"/>
          <w:sz w:val="24"/>
          <w:szCs w:val="24"/>
          <w:highlight w:val="none"/>
        </w:rPr>
        <w:t>行业；制造商为</w:t>
      </w:r>
      <w:r>
        <w:rPr>
          <w:rFonts w:ascii="宋体" w:hAnsi="宋体" w:cs="宋体"/>
          <w:bCs/>
          <w:kern w:val="0"/>
          <w:sz w:val="24"/>
          <w:szCs w:val="24"/>
          <w:highlight w:val="none"/>
          <w:u w:val="single"/>
        </w:rPr>
        <w:t>（企业名称）</w:t>
      </w:r>
      <w:r>
        <w:rPr>
          <w:rFonts w:ascii="宋体" w:hAnsi="宋体" w:cs="宋体"/>
          <w:bCs/>
          <w:kern w:val="0"/>
          <w:sz w:val="24"/>
          <w:szCs w:val="24"/>
          <w:highlight w:val="none"/>
        </w:rPr>
        <w:t>从业人员</w:t>
      </w:r>
      <w:r>
        <w:rPr>
          <w:rFonts w:hint="eastAsia" w:ascii="宋体" w:hAnsi="宋体" w:cs="宋体"/>
          <w:bCs/>
          <w:kern w:val="0"/>
          <w:sz w:val="24"/>
          <w:szCs w:val="24"/>
          <w:highlight w:val="none"/>
          <w:u w:val="single"/>
        </w:rPr>
        <w:t xml:space="preserve">    </w:t>
      </w:r>
      <w:r>
        <w:rPr>
          <w:rFonts w:ascii="宋体" w:hAnsi="宋体" w:cs="宋体"/>
          <w:bCs/>
          <w:kern w:val="0"/>
          <w:sz w:val="24"/>
          <w:szCs w:val="24"/>
          <w:highlight w:val="none"/>
        </w:rPr>
        <w:t>人，营业收入为</w:t>
      </w:r>
      <w:r>
        <w:rPr>
          <w:rFonts w:hint="eastAsia" w:ascii="宋体" w:hAnsi="宋体" w:cs="宋体"/>
          <w:bCs/>
          <w:kern w:val="0"/>
          <w:sz w:val="24"/>
          <w:szCs w:val="24"/>
          <w:highlight w:val="none"/>
          <w:u w:val="single"/>
        </w:rPr>
        <w:t xml:space="preserve">    </w:t>
      </w:r>
      <w:r>
        <w:rPr>
          <w:rFonts w:ascii="宋体" w:hAnsi="宋体" w:cs="宋体"/>
          <w:bCs/>
          <w:kern w:val="0"/>
          <w:sz w:val="24"/>
          <w:szCs w:val="24"/>
          <w:highlight w:val="none"/>
        </w:rPr>
        <w:t>万元，资产总额为</w:t>
      </w:r>
      <w:r>
        <w:rPr>
          <w:rFonts w:hint="eastAsia" w:ascii="宋体" w:hAnsi="宋体" w:cs="宋体"/>
          <w:bCs/>
          <w:kern w:val="0"/>
          <w:sz w:val="24"/>
          <w:szCs w:val="24"/>
          <w:highlight w:val="none"/>
          <w:u w:val="single"/>
        </w:rPr>
        <w:t xml:space="preserve">    </w:t>
      </w:r>
      <w:r>
        <w:rPr>
          <w:rFonts w:ascii="宋体" w:hAnsi="宋体" w:cs="宋体"/>
          <w:bCs/>
          <w:kern w:val="0"/>
          <w:sz w:val="24"/>
          <w:szCs w:val="24"/>
          <w:highlight w:val="none"/>
        </w:rPr>
        <w:t>万元，属于</w:t>
      </w:r>
      <w:r>
        <w:rPr>
          <w:rFonts w:ascii="宋体" w:hAnsi="宋体" w:cs="宋体"/>
          <w:bCs/>
          <w:kern w:val="0"/>
          <w:sz w:val="24"/>
          <w:szCs w:val="24"/>
          <w:highlight w:val="none"/>
          <w:u w:val="single"/>
        </w:rPr>
        <w:t>（中型企业、小型企业、微型企业）</w:t>
      </w:r>
      <w:r>
        <w:rPr>
          <w:rFonts w:ascii="宋体" w:hAnsi="宋体" w:cs="宋体"/>
          <w:bCs/>
          <w:kern w:val="0"/>
          <w:sz w:val="24"/>
          <w:szCs w:val="24"/>
          <w:highlight w:val="none"/>
        </w:rPr>
        <w:t>；</w:t>
      </w:r>
    </w:p>
    <w:p w14:paraId="7EEE26E1">
      <w:pPr>
        <w:spacing w:line="360" w:lineRule="auto"/>
        <w:ind w:firstLine="480" w:firstLineChars="200"/>
        <w:rPr>
          <w:rFonts w:ascii="宋体" w:hAnsi="宋体" w:cs="宋体"/>
          <w:bCs/>
          <w:kern w:val="0"/>
          <w:sz w:val="24"/>
          <w:szCs w:val="24"/>
          <w:highlight w:val="none"/>
        </w:rPr>
      </w:pPr>
      <w:r>
        <w:rPr>
          <w:rFonts w:ascii="宋体" w:hAnsi="宋体" w:cs="宋体"/>
          <w:bCs/>
          <w:kern w:val="0"/>
          <w:sz w:val="24"/>
          <w:szCs w:val="24"/>
          <w:highlight w:val="none"/>
        </w:rPr>
        <w:t>……</w:t>
      </w:r>
    </w:p>
    <w:p w14:paraId="1235E01C">
      <w:pPr>
        <w:spacing w:line="360" w:lineRule="auto"/>
        <w:ind w:firstLine="480" w:firstLineChars="200"/>
        <w:rPr>
          <w:rFonts w:ascii="宋体" w:hAnsi="宋体" w:cs="宋体"/>
          <w:bCs/>
          <w:kern w:val="0"/>
          <w:sz w:val="24"/>
          <w:szCs w:val="24"/>
          <w:highlight w:val="none"/>
        </w:rPr>
      </w:pPr>
      <w:r>
        <w:rPr>
          <w:rFonts w:ascii="宋体" w:hAnsi="宋体" w:cs="宋体"/>
          <w:bCs/>
          <w:kern w:val="0"/>
          <w:sz w:val="24"/>
          <w:szCs w:val="24"/>
          <w:highlight w:val="none"/>
        </w:rPr>
        <w:t>以上企业，不属于大企业的分支机构，不存在控股股东为大企业的情形，也不存在与大企业的负责人为同一人的情形。</w:t>
      </w:r>
    </w:p>
    <w:p w14:paraId="24EE4759">
      <w:pPr>
        <w:spacing w:line="360" w:lineRule="auto"/>
        <w:ind w:firstLine="480" w:firstLineChars="200"/>
        <w:rPr>
          <w:rFonts w:ascii="宋体" w:hAnsi="宋体" w:cs="宋体"/>
          <w:bCs/>
          <w:kern w:val="0"/>
          <w:sz w:val="24"/>
          <w:szCs w:val="24"/>
          <w:highlight w:val="none"/>
        </w:rPr>
      </w:pPr>
      <w:r>
        <w:rPr>
          <w:rFonts w:ascii="宋体" w:hAnsi="宋体" w:cs="宋体"/>
          <w:bCs/>
          <w:kern w:val="0"/>
          <w:sz w:val="24"/>
          <w:szCs w:val="24"/>
          <w:highlight w:val="none"/>
        </w:rPr>
        <w:t>本企业对上述声明内容的真实性负责。如有虚假，将依法承担相应责任。</w:t>
      </w:r>
    </w:p>
    <w:p w14:paraId="28D93897">
      <w:pPr>
        <w:spacing w:line="360" w:lineRule="auto"/>
        <w:ind w:firstLine="480" w:firstLineChars="200"/>
        <w:rPr>
          <w:rFonts w:ascii="宋体" w:hAnsi="宋体" w:cs="宋体"/>
          <w:bCs/>
          <w:kern w:val="0"/>
          <w:sz w:val="24"/>
          <w:szCs w:val="24"/>
          <w:highlight w:val="none"/>
        </w:rPr>
      </w:pPr>
      <w:r>
        <w:rPr>
          <w:rFonts w:ascii="宋体" w:hAnsi="宋体" w:cs="宋体"/>
          <w:bCs/>
          <w:kern w:val="0"/>
          <w:sz w:val="24"/>
          <w:szCs w:val="24"/>
          <w:highlight w:val="none"/>
        </w:rPr>
        <w:t>企业名称（盖章）：</w:t>
      </w:r>
    </w:p>
    <w:p w14:paraId="2CFB4C4A">
      <w:pPr>
        <w:spacing w:line="360" w:lineRule="auto"/>
        <w:ind w:firstLine="480" w:firstLineChars="200"/>
        <w:rPr>
          <w:rFonts w:hint="eastAsia" w:ascii="宋体" w:hAnsi="宋体" w:cs="宋体"/>
          <w:bCs/>
          <w:kern w:val="0"/>
          <w:sz w:val="24"/>
          <w:szCs w:val="24"/>
          <w:highlight w:val="none"/>
        </w:rPr>
      </w:pPr>
      <w:r>
        <w:rPr>
          <w:rFonts w:ascii="宋体" w:hAnsi="宋体" w:cs="宋体"/>
          <w:bCs/>
          <w:kern w:val="0"/>
          <w:sz w:val="24"/>
          <w:szCs w:val="24"/>
          <w:highlight w:val="none"/>
        </w:rPr>
        <w:t>日 期：</w:t>
      </w:r>
    </w:p>
    <w:p w14:paraId="7BED8DAF">
      <w:pPr>
        <w:spacing w:beforeLines="50" w:afterLines="100" w:line="440" w:lineRule="exact"/>
        <w:ind w:left="422" w:hanging="422" w:hangingChars="200"/>
        <w:jc w:val="left"/>
        <w:rPr>
          <w:rFonts w:hint="eastAsia" w:ascii="宋体" w:hAnsi="宋体" w:cs="Times New Roman"/>
          <w:b/>
          <w:color w:val="auto"/>
          <w:szCs w:val="21"/>
          <w:highlight w:val="none"/>
          <w:lang w:val="en-US" w:eastAsia="zh-CN"/>
        </w:rPr>
      </w:pPr>
      <w:r>
        <w:rPr>
          <w:rFonts w:hint="eastAsia" w:ascii="宋体" w:hAnsi="宋体"/>
          <w:b/>
          <w:color w:val="auto"/>
          <w:szCs w:val="21"/>
          <w:highlight w:val="none"/>
        </w:rPr>
        <w:t>注：</w:t>
      </w:r>
      <w:r>
        <w:rPr>
          <w:rFonts w:hint="eastAsia" w:ascii="宋体" w:hAnsi="宋体"/>
          <w:b/>
          <w:color w:val="auto"/>
          <w:szCs w:val="21"/>
          <w:highlight w:val="none"/>
          <w:lang w:val="en-US" w:eastAsia="zh-CN"/>
        </w:rPr>
        <w:t>1.从业人员、营业收入、资产总额填报上一年度数据，无上一年度数据的新成立企业可不填报。</w:t>
      </w:r>
    </w:p>
    <w:p w14:paraId="483270AF">
      <w:pPr>
        <w:keepNext w:val="0"/>
        <w:keepLines w:val="0"/>
        <w:widowControl/>
        <w:suppressLineNumbers w:val="0"/>
        <w:jc w:val="left"/>
        <w:rPr>
          <w:rFonts w:hint="eastAsia" w:ascii="宋体" w:hAnsi="宋体" w:eastAsia="宋体" w:cs="宋体"/>
          <w:color w:val="000000"/>
          <w:kern w:val="0"/>
          <w:sz w:val="28"/>
          <w:szCs w:val="28"/>
          <w:highlight w:val="none"/>
          <w:lang w:val="en-US" w:eastAsia="zh-CN" w:bidi="ar"/>
        </w:rPr>
      </w:pPr>
    </w:p>
    <w:p w14:paraId="310372BD">
      <w:pPr>
        <w:keepNext w:val="0"/>
        <w:keepLines w:val="0"/>
        <w:widowControl/>
        <w:suppressLineNumbers w:val="0"/>
        <w:jc w:val="left"/>
        <w:rPr>
          <w:rFonts w:hint="eastAsia" w:ascii="宋体" w:hAnsi="宋体" w:eastAsia="宋体" w:cs="宋体"/>
          <w:color w:val="000000"/>
          <w:kern w:val="0"/>
          <w:sz w:val="28"/>
          <w:szCs w:val="28"/>
          <w:highlight w:val="none"/>
          <w:lang w:val="en-US" w:eastAsia="zh-CN" w:bidi="ar"/>
        </w:rPr>
      </w:pPr>
    </w:p>
    <w:p w14:paraId="144120B4">
      <w:pPr>
        <w:keepNext w:val="0"/>
        <w:keepLines w:val="0"/>
        <w:widowControl/>
        <w:suppressLineNumbers w:val="0"/>
        <w:jc w:val="left"/>
        <w:rPr>
          <w:rFonts w:hint="eastAsia" w:ascii="宋体" w:hAnsi="宋体" w:eastAsia="宋体" w:cs="宋体"/>
          <w:color w:val="000000"/>
          <w:kern w:val="0"/>
          <w:sz w:val="28"/>
          <w:szCs w:val="28"/>
          <w:highlight w:val="none"/>
          <w:lang w:val="en-US" w:eastAsia="zh-CN" w:bidi="ar"/>
        </w:rPr>
      </w:pPr>
    </w:p>
    <w:p w14:paraId="6C85EDAA">
      <w:pPr>
        <w:keepNext w:val="0"/>
        <w:keepLines w:val="0"/>
        <w:widowControl/>
        <w:suppressLineNumbers w:val="0"/>
        <w:jc w:val="left"/>
        <w:rPr>
          <w:rFonts w:hint="eastAsia" w:ascii="宋体" w:hAnsi="宋体" w:eastAsia="宋体" w:cs="宋体"/>
          <w:color w:val="000000"/>
          <w:kern w:val="0"/>
          <w:sz w:val="28"/>
          <w:szCs w:val="28"/>
          <w:highlight w:val="none"/>
          <w:lang w:val="en-US" w:eastAsia="zh-CN" w:bidi="ar"/>
        </w:rPr>
      </w:pPr>
    </w:p>
    <w:p w14:paraId="1A7C1D9E">
      <w:pPr>
        <w:keepNext w:val="0"/>
        <w:keepLines w:val="0"/>
        <w:widowControl/>
        <w:suppressLineNumbers w:val="0"/>
        <w:jc w:val="left"/>
        <w:rPr>
          <w:rFonts w:hint="eastAsia" w:ascii="宋体" w:hAnsi="宋体" w:eastAsia="宋体" w:cs="宋体"/>
          <w:color w:val="000000"/>
          <w:kern w:val="0"/>
          <w:sz w:val="28"/>
          <w:szCs w:val="28"/>
          <w:highlight w:val="none"/>
          <w:lang w:val="en-US" w:eastAsia="zh-CN" w:bidi="ar"/>
        </w:rPr>
      </w:pPr>
    </w:p>
    <w:p w14:paraId="77113718">
      <w:pPr>
        <w:keepNext w:val="0"/>
        <w:keepLines w:val="0"/>
        <w:widowControl/>
        <w:suppressLineNumbers w:val="0"/>
        <w:jc w:val="left"/>
        <w:rPr>
          <w:rFonts w:hint="eastAsia" w:ascii="宋体" w:hAnsi="宋体" w:eastAsia="宋体" w:cs="宋体"/>
          <w:color w:val="000000"/>
          <w:kern w:val="0"/>
          <w:sz w:val="28"/>
          <w:szCs w:val="28"/>
          <w:highlight w:val="none"/>
          <w:lang w:val="en-US" w:eastAsia="zh-CN" w:bidi="ar"/>
        </w:rPr>
      </w:pPr>
    </w:p>
    <w:p w14:paraId="13FDB941">
      <w:pPr>
        <w:keepNext w:val="0"/>
        <w:keepLines w:val="0"/>
        <w:widowControl/>
        <w:suppressLineNumbers w:val="0"/>
        <w:jc w:val="left"/>
        <w:rPr>
          <w:rFonts w:hint="eastAsia" w:ascii="宋体" w:hAnsi="宋体" w:eastAsia="宋体" w:cs="宋体"/>
          <w:color w:val="000000"/>
          <w:kern w:val="0"/>
          <w:sz w:val="28"/>
          <w:szCs w:val="28"/>
          <w:highlight w:val="none"/>
          <w:lang w:val="en-US" w:eastAsia="zh-CN" w:bidi="ar"/>
        </w:rPr>
      </w:pPr>
    </w:p>
    <w:p w14:paraId="31B2DB9E">
      <w:pPr>
        <w:keepNext w:val="0"/>
        <w:keepLines w:val="0"/>
        <w:widowControl/>
        <w:suppressLineNumbers w:val="0"/>
        <w:jc w:val="left"/>
        <w:rPr>
          <w:rFonts w:hint="eastAsia" w:ascii="宋体" w:hAnsi="宋体" w:eastAsia="宋体" w:cs="宋体"/>
          <w:color w:val="000000"/>
          <w:kern w:val="0"/>
          <w:sz w:val="28"/>
          <w:szCs w:val="28"/>
          <w:highlight w:val="none"/>
          <w:lang w:val="en-US" w:eastAsia="zh-CN" w:bidi="ar"/>
        </w:rPr>
      </w:pPr>
    </w:p>
    <w:p w14:paraId="232C3FD5">
      <w:pPr>
        <w:keepNext w:val="0"/>
        <w:keepLines w:val="0"/>
        <w:widowControl/>
        <w:suppressLineNumbers w:val="0"/>
        <w:jc w:val="left"/>
        <w:rPr>
          <w:rFonts w:hint="eastAsia" w:ascii="宋体" w:hAnsi="宋体" w:eastAsia="宋体" w:cs="宋体"/>
          <w:color w:val="000000"/>
          <w:kern w:val="0"/>
          <w:sz w:val="28"/>
          <w:szCs w:val="28"/>
          <w:highlight w:val="none"/>
          <w:lang w:val="en-US" w:eastAsia="zh-CN" w:bidi="ar"/>
        </w:rPr>
      </w:pPr>
    </w:p>
    <w:p w14:paraId="634FA22C">
      <w:pPr>
        <w:keepNext w:val="0"/>
        <w:keepLines w:val="0"/>
        <w:widowControl/>
        <w:suppressLineNumbers w:val="0"/>
        <w:jc w:val="left"/>
        <w:rPr>
          <w:rFonts w:hint="eastAsia" w:ascii="宋体" w:hAnsi="宋体" w:eastAsia="宋体" w:cs="宋体"/>
          <w:color w:val="000000"/>
          <w:kern w:val="0"/>
          <w:sz w:val="28"/>
          <w:szCs w:val="28"/>
          <w:highlight w:val="none"/>
          <w:lang w:val="en-US" w:eastAsia="zh-CN" w:bidi="ar"/>
        </w:rPr>
      </w:pPr>
    </w:p>
    <w:p w14:paraId="7A9C4268">
      <w:pPr>
        <w:keepNext w:val="0"/>
        <w:keepLines w:val="0"/>
        <w:widowControl/>
        <w:suppressLineNumbers w:val="0"/>
        <w:jc w:val="left"/>
        <w:rPr>
          <w:rFonts w:hint="eastAsia" w:ascii="宋体" w:hAnsi="宋体" w:eastAsia="宋体" w:cs="宋体"/>
          <w:color w:val="000000"/>
          <w:kern w:val="0"/>
          <w:sz w:val="28"/>
          <w:szCs w:val="28"/>
          <w:highlight w:val="none"/>
          <w:lang w:val="en-US" w:eastAsia="zh-CN" w:bidi="ar"/>
        </w:rPr>
      </w:pPr>
    </w:p>
    <w:p w14:paraId="16DE7802">
      <w:pPr>
        <w:keepNext w:val="0"/>
        <w:keepLines w:val="0"/>
        <w:widowControl/>
        <w:suppressLineNumbers w:val="0"/>
        <w:jc w:val="left"/>
        <w:rPr>
          <w:rFonts w:hint="eastAsia" w:ascii="宋体" w:hAnsi="宋体" w:eastAsia="宋体" w:cs="宋体"/>
          <w:color w:val="000000"/>
          <w:kern w:val="0"/>
          <w:sz w:val="28"/>
          <w:szCs w:val="28"/>
          <w:highlight w:val="none"/>
          <w:lang w:val="en-US" w:eastAsia="zh-CN" w:bidi="ar"/>
        </w:rPr>
      </w:pPr>
    </w:p>
    <w:p w14:paraId="1F305590">
      <w:pPr>
        <w:keepNext w:val="0"/>
        <w:keepLines w:val="0"/>
        <w:widowControl/>
        <w:suppressLineNumbers w:val="0"/>
        <w:jc w:val="left"/>
        <w:rPr>
          <w:rFonts w:hint="eastAsia" w:ascii="宋体" w:hAnsi="宋体" w:eastAsia="宋体" w:cs="宋体"/>
          <w:color w:val="000000"/>
          <w:kern w:val="0"/>
          <w:sz w:val="28"/>
          <w:szCs w:val="28"/>
          <w:highlight w:val="none"/>
          <w:lang w:val="en-US" w:eastAsia="zh-CN" w:bidi="ar"/>
        </w:rPr>
      </w:pPr>
    </w:p>
    <w:p w14:paraId="34D1BFDA">
      <w:pPr>
        <w:widowControl/>
        <w:jc w:val="center"/>
        <w:rPr>
          <w:rFonts w:hint="eastAsia" w:ascii="宋体" w:hAnsi="宋体" w:cs="Times New Roman"/>
          <w:b/>
          <w:bCs/>
          <w:color w:val="auto"/>
          <w:sz w:val="24"/>
          <w:highlight w:val="none"/>
          <w:lang w:val="en-US" w:eastAsia="zh-CN"/>
        </w:rPr>
      </w:pPr>
    </w:p>
    <w:p w14:paraId="0B41A09A">
      <w:pPr>
        <w:widowControl/>
        <w:jc w:val="center"/>
        <w:rPr>
          <w:rFonts w:ascii="宋体" w:hAnsi="宋体" w:cs="Times New Roman"/>
          <w:b/>
          <w:bCs/>
          <w:color w:val="auto"/>
          <w:sz w:val="24"/>
          <w:highlight w:val="none"/>
        </w:rPr>
      </w:pPr>
      <w:r>
        <w:rPr>
          <w:rFonts w:hint="eastAsia" w:ascii="宋体" w:hAnsi="宋体" w:cs="Times New Roman"/>
          <w:b/>
          <w:bCs/>
          <w:color w:val="auto"/>
          <w:sz w:val="24"/>
          <w:highlight w:val="none"/>
          <w:lang w:val="en-US" w:eastAsia="zh-CN"/>
        </w:rPr>
        <w:t>（二）残疾人福利性单位声明函</w:t>
      </w:r>
    </w:p>
    <w:p w14:paraId="79D61EFA">
      <w:pPr>
        <w:keepNext w:val="0"/>
        <w:keepLines w:val="0"/>
        <w:widowControl/>
        <w:suppressLineNumbers w:val="0"/>
        <w:jc w:val="center"/>
        <w:rPr>
          <w:rFonts w:hint="eastAsia" w:ascii="宋体" w:hAnsi="宋体" w:eastAsia="宋体" w:cs="宋体"/>
          <w:color w:val="000000"/>
          <w:kern w:val="0"/>
          <w:sz w:val="20"/>
          <w:szCs w:val="20"/>
          <w:highlight w:val="none"/>
          <w:lang w:val="en-US" w:eastAsia="zh-CN" w:bidi="ar"/>
        </w:rPr>
      </w:pPr>
    </w:p>
    <w:p w14:paraId="5FE00091">
      <w:pPr>
        <w:keepNext w:val="0"/>
        <w:keepLines w:val="0"/>
        <w:widowControl/>
        <w:suppressLineNumbers w:val="0"/>
        <w:jc w:val="center"/>
        <w:rPr>
          <w:highlight w:val="none"/>
        </w:rPr>
      </w:pPr>
      <w:r>
        <w:rPr>
          <w:rFonts w:hint="eastAsia" w:ascii="宋体" w:hAnsi="宋体" w:eastAsia="宋体" w:cs="宋体"/>
          <w:color w:val="000000"/>
          <w:kern w:val="0"/>
          <w:sz w:val="20"/>
          <w:szCs w:val="20"/>
          <w:highlight w:val="none"/>
          <w:lang w:val="en-US" w:eastAsia="zh-CN" w:bidi="ar"/>
        </w:rPr>
        <w:t>【不属于残疾人福利性单位的无需填写】</w:t>
      </w:r>
    </w:p>
    <w:p w14:paraId="3C3DBC1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本单位郑重声明，根据《财政部 民政部 中国残疾人联合会关于促进残疾人就业政府采购政策 </w:t>
      </w:r>
    </w:p>
    <w:p w14:paraId="135DDFB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的通知》（财库〔2017〕141 号）的规定，本单位为符合条件的残疾人福利性单位，且本单位参加 </w:t>
      </w:r>
    </w:p>
    <w:p w14:paraId="193E1D4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______单位的______项目采购活动提供本单位制造的货物（由本单位承担工程/提供货物），或者提 </w:t>
      </w:r>
    </w:p>
    <w:p w14:paraId="6F127F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供其他残疾人福利性单位制造的货物（不包括使用非残疾人福利性单位注册商标的货物）。 </w:t>
      </w:r>
    </w:p>
    <w:p w14:paraId="10B641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本单位对上述声明的真实性负责。如有虚假，将依法承担相应责任。 </w:t>
      </w:r>
    </w:p>
    <w:p w14:paraId="7D04885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lang w:val="en-US" w:eastAsia="zh-CN"/>
        </w:rPr>
      </w:pPr>
    </w:p>
    <w:p w14:paraId="7530BAD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lang w:val="en-US" w:eastAsia="zh-CN"/>
        </w:rPr>
      </w:pPr>
    </w:p>
    <w:p w14:paraId="25F3659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lang w:val="en-US" w:eastAsia="zh-CN"/>
        </w:rPr>
      </w:pPr>
    </w:p>
    <w:p w14:paraId="055869A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供应商名称（盖章）： </w:t>
      </w:r>
    </w:p>
    <w:p w14:paraId="3CC995D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cs="宋体"/>
          <w:color w:val="auto"/>
          <w:szCs w:val="21"/>
          <w:highlight w:val="none"/>
          <w:lang w:val="en-US" w:eastAsia="zh-CN"/>
        </w:rPr>
      </w:pPr>
    </w:p>
    <w:p w14:paraId="2A906E7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法定代表人（单位负责人） </w:t>
      </w:r>
    </w:p>
    <w:p w14:paraId="35A0850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cs="宋体"/>
          <w:color w:val="auto"/>
          <w:szCs w:val="21"/>
          <w:highlight w:val="none"/>
          <w:lang w:val="en-US" w:eastAsia="zh-CN"/>
        </w:rPr>
      </w:pPr>
    </w:p>
    <w:p w14:paraId="3486598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或授权代表（签字）： </w:t>
      </w:r>
    </w:p>
    <w:p w14:paraId="7C9698D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cs="宋体"/>
          <w:color w:val="auto"/>
          <w:szCs w:val="21"/>
          <w:highlight w:val="none"/>
          <w:lang w:val="en-US" w:eastAsia="zh-CN"/>
        </w:rPr>
      </w:pPr>
    </w:p>
    <w:p w14:paraId="3D397E1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eastAsia="宋体" w:cs="宋体"/>
          <w:color w:val="000000"/>
          <w:kern w:val="0"/>
          <w:sz w:val="20"/>
          <w:szCs w:val="20"/>
          <w:highlight w:val="none"/>
          <w:lang w:val="en-US" w:eastAsia="zh-CN" w:bidi="ar"/>
        </w:rPr>
      </w:pPr>
      <w:r>
        <w:rPr>
          <w:rFonts w:hint="eastAsia" w:ascii="宋体" w:hAnsi="宋体" w:cs="宋体"/>
          <w:color w:val="auto"/>
          <w:szCs w:val="21"/>
          <w:highlight w:val="none"/>
          <w:lang w:val="en-US" w:eastAsia="zh-CN"/>
        </w:rPr>
        <w:t xml:space="preserve">日期: 年 月 </w:t>
      </w:r>
      <w:r>
        <w:rPr>
          <w:rFonts w:hint="eastAsia" w:ascii="宋体" w:hAnsi="宋体" w:eastAsia="宋体" w:cs="宋体"/>
          <w:color w:val="000000"/>
          <w:kern w:val="0"/>
          <w:sz w:val="20"/>
          <w:szCs w:val="20"/>
          <w:highlight w:val="none"/>
          <w:lang w:val="en-US" w:eastAsia="zh-CN" w:bidi="ar"/>
        </w:rPr>
        <w:t>日</w:t>
      </w:r>
    </w:p>
    <w:p w14:paraId="2C2984CF">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宋体" w:hAnsi="宋体" w:eastAsia="宋体" w:cs="宋体"/>
          <w:color w:val="000000"/>
          <w:kern w:val="0"/>
          <w:sz w:val="20"/>
          <w:szCs w:val="20"/>
          <w:highlight w:val="none"/>
          <w:lang w:val="en-US" w:eastAsia="zh-CN" w:bidi="ar"/>
        </w:rPr>
      </w:pPr>
    </w:p>
    <w:p w14:paraId="1C96C1DE">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宋体" w:hAnsi="宋体" w:eastAsia="宋体" w:cs="宋体"/>
          <w:color w:val="000000"/>
          <w:kern w:val="0"/>
          <w:sz w:val="20"/>
          <w:szCs w:val="20"/>
          <w:highlight w:val="none"/>
          <w:lang w:val="en-US" w:eastAsia="zh-CN" w:bidi="ar"/>
        </w:rPr>
      </w:pPr>
    </w:p>
    <w:p w14:paraId="6AC32A76">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宋体" w:hAnsi="宋体" w:eastAsia="宋体" w:cs="宋体"/>
          <w:color w:val="000000"/>
          <w:kern w:val="0"/>
          <w:sz w:val="20"/>
          <w:szCs w:val="20"/>
          <w:highlight w:val="none"/>
          <w:lang w:val="en-US" w:eastAsia="zh-CN" w:bidi="ar"/>
        </w:rPr>
      </w:pPr>
    </w:p>
    <w:p w14:paraId="29CFA839">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宋体" w:hAnsi="宋体" w:eastAsia="宋体" w:cs="宋体"/>
          <w:color w:val="000000"/>
          <w:kern w:val="0"/>
          <w:sz w:val="20"/>
          <w:szCs w:val="20"/>
          <w:highlight w:val="none"/>
          <w:lang w:val="en-US" w:eastAsia="zh-CN" w:bidi="ar"/>
        </w:rPr>
      </w:pPr>
    </w:p>
    <w:p w14:paraId="74AC9778">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宋体" w:hAnsi="宋体" w:eastAsia="宋体" w:cs="宋体"/>
          <w:color w:val="000000"/>
          <w:kern w:val="0"/>
          <w:sz w:val="20"/>
          <w:szCs w:val="20"/>
          <w:highlight w:val="none"/>
          <w:lang w:val="en-US" w:eastAsia="zh-CN" w:bidi="ar"/>
        </w:rPr>
      </w:pPr>
    </w:p>
    <w:p w14:paraId="5E101105">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宋体" w:hAnsi="宋体" w:eastAsia="宋体" w:cs="宋体"/>
          <w:color w:val="000000"/>
          <w:kern w:val="0"/>
          <w:sz w:val="20"/>
          <w:szCs w:val="20"/>
          <w:highlight w:val="none"/>
          <w:lang w:val="en-US" w:eastAsia="zh-CN" w:bidi="ar"/>
        </w:rPr>
      </w:pPr>
    </w:p>
    <w:p w14:paraId="1B2F5146">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宋体" w:hAnsi="宋体" w:eastAsia="宋体" w:cs="宋体"/>
          <w:color w:val="000000"/>
          <w:kern w:val="0"/>
          <w:sz w:val="20"/>
          <w:szCs w:val="20"/>
          <w:highlight w:val="none"/>
          <w:lang w:val="en-US" w:eastAsia="zh-CN" w:bidi="ar"/>
        </w:rPr>
      </w:pPr>
    </w:p>
    <w:p w14:paraId="034FFF14">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宋体" w:hAnsi="宋体" w:eastAsia="宋体" w:cs="宋体"/>
          <w:color w:val="000000"/>
          <w:kern w:val="0"/>
          <w:sz w:val="20"/>
          <w:szCs w:val="20"/>
          <w:highlight w:val="none"/>
          <w:lang w:val="en-US" w:eastAsia="zh-CN" w:bidi="ar"/>
        </w:rPr>
      </w:pPr>
    </w:p>
    <w:p w14:paraId="2BF4E75F">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宋体" w:hAnsi="宋体" w:eastAsia="宋体" w:cs="宋体"/>
          <w:color w:val="000000"/>
          <w:kern w:val="0"/>
          <w:sz w:val="20"/>
          <w:szCs w:val="20"/>
          <w:highlight w:val="none"/>
          <w:lang w:val="en-US" w:eastAsia="zh-CN" w:bidi="ar"/>
        </w:rPr>
      </w:pPr>
    </w:p>
    <w:p w14:paraId="5DBBE1CC">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宋体" w:hAnsi="宋体" w:eastAsia="宋体" w:cs="宋体"/>
          <w:color w:val="000000"/>
          <w:kern w:val="0"/>
          <w:sz w:val="20"/>
          <w:szCs w:val="20"/>
          <w:highlight w:val="none"/>
          <w:lang w:val="en-US" w:eastAsia="zh-CN" w:bidi="ar"/>
        </w:rPr>
      </w:pPr>
    </w:p>
    <w:p w14:paraId="7BF0675A">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宋体" w:hAnsi="宋体" w:eastAsia="宋体" w:cs="宋体"/>
          <w:color w:val="000000"/>
          <w:kern w:val="0"/>
          <w:sz w:val="20"/>
          <w:szCs w:val="20"/>
          <w:highlight w:val="none"/>
          <w:lang w:val="en-US" w:eastAsia="zh-CN" w:bidi="ar"/>
        </w:rPr>
      </w:pPr>
    </w:p>
    <w:p w14:paraId="551DA879">
      <w:pPr>
        <w:pStyle w:val="4"/>
        <w:rPr>
          <w:rFonts w:hint="eastAsia" w:ascii="宋体" w:hAnsi="宋体" w:eastAsia="宋体" w:cs="宋体"/>
          <w:color w:val="000000"/>
          <w:kern w:val="0"/>
          <w:sz w:val="20"/>
          <w:szCs w:val="20"/>
          <w:highlight w:val="none"/>
          <w:lang w:val="en-US" w:eastAsia="zh-CN" w:bidi="ar"/>
        </w:rPr>
      </w:pPr>
    </w:p>
    <w:p w14:paraId="75BD4AFD">
      <w:pPr>
        <w:rPr>
          <w:rFonts w:hint="eastAsia" w:ascii="宋体" w:hAnsi="宋体" w:eastAsia="宋体" w:cs="宋体"/>
          <w:color w:val="000000"/>
          <w:kern w:val="0"/>
          <w:sz w:val="20"/>
          <w:szCs w:val="20"/>
          <w:highlight w:val="none"/>
          <w:lang w:val="en-US" w:eastAsia="zh-CN" w:bidi="ar"/>
        </w:rPr>
      </w:pPr>
    </w:p>
    <w:p w14:paraId="49BAD636">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宋体" w:hAnsi="宋体" w:eastAsia="宋体" w:cs="宋体"/>
          <w:color w:val="000000"/>
          <w:kern w:val="0"/>
          <w:sz w:val="20"/>
          <w:szCs w:val="20"/>
          <w:highlight w:val="none"/>
          <w:lang w:val="en-US" w:eastAsia="zh-CN" w:bidi="ar"/>
        </w:rPr>
      </w:pPr>
    </w:p>
    <w:p w14:paraId="2ADC7BDD">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宋体" w:hAnsi="宋体" w:eastAsia="宋体" w:cs="宋体"/>
          <w:color w:val="000000"/>
          <w:kern w:val="0"/>
          <w:sz w:val="20"/>
          <w:szCs w:val="20"/>
          <w:highlight w:val="none"/>
          <w:lang w:val="en-US" w:eastAsia="zh-CN" w:bidi="ar"/>
        </w:rPr>
      </w:pPr>
    </w:p>
    <w:p w14:paraId="2FF2EA69">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宋体" w:hAnsi="宋体" w:eastAsia="宋体" w:cs="宋体"/>
          <w:color w:val="000000"/>
          <w:kern w:val="0"/>
          <w:sz w:val="20"/>
          <w:szCs w:val="20"/>
          <w:highlight w:val="none"/>
          <w:lang w:val="en-US" w:eastAsia="zh-CN" w:bidi="ar"/>
        </w:rPr>
      </w:pPr>
    </w:p>
    <w:p w14:paraId="6C4EBD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lang w:val="en-US" w:eastAsia="zh-CN"/>
        </w:rPr>
      </w:pPr>
    </w:p>
    <w:p w14:paraId="3F3ABDD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lang w:val="en-US" w:eastAsia="zh-CN"/>
        </w:rPr>
      </w:pPr>
    </w:p>
    <w:p w14:paraId="065445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lang w:val="en-US" w:eastAsia="zh-CN"/>
        </w:rPr>
      </w:pPr>
    </w:p>
    <w:p w14:paraId="6924737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监狱企业和戒毒企业参加政府采购活动时，须提供由省级以上监狱管理局、戒毒管理局（含新疆生产建设兵团）出具的属于监狱企业的证明文件。</w:t>
      </w:r>
    </w:p>
    <w:p w14:paraId="594DAE22">
      <w:pPr>
        <w:keepNext w:val="0"/>
        <w:keepLines w:val="0"/>
        <w:widowControl/>
        <w:suppressLineNumbers w:val="0"/>
        <w:jc w:val="left"/>
        <w:rPr>
          <w:highlight w:val="none"/>
        </w:rPr>
      </w:pPr>
      <w:r>
        <w:rPr>
          <w:rFonts w:hint="eastAsia" w:ascii="宋体" w:hAnsi="宋体" w:eastAsia="宋体" w:cs="宋体"/>
          <w:color w:val="000000"/>
          <w:kern w:val="0"/>
          <w:sz w:val="20"/>
          <w:szCs w:val="20"/>
          <w:highlight w:val="none"/>
          <w:lang w:val="en-US" w:eastAsia="zh-CN" w:bidi="ar"/>
        </w:rPr>
        <w:t xml:space="preserve">【不属于监狱企业的无需提供】 </w:t>
      </w:r>
    </w:p>
    <w:p w14:paraId="0863A543">
      <w:pPr>
        <w:spacing w:beforeLines="50" w:afterLines="100" w:line="440" w:lineRule="exact"/>
        <w:jc w:val="left"/>
        <w:rPr>
          <w:b/>
          <w:color w:val="auto"/>
          <w:szCs w:val="21"/>
          <w:highlight w:val="none"/>
        </w:rPr>
      </w:pPr>
      <w:r>
        <w:rPr>
          <w:b/>
          <w:color w:val="auto"/>
          <w:szCs w:val="21"/>
          <w:highlight w:val="none"/>
        </w:rPr>
        <w:br w:type="page"/>
      </w:r>
      <w:r>
        <w:rPr>
          <w:b/>
          <w:color w:val="auto"/>
          <w:szCs w:val="21"/>
          <w:highlight w:val="none"/>
        </w:rPr>
        <w:t xml:space="preserve"> </w:t>
      </w:r>
    </w:p>
    <w:p w14:paraId="02FD0C38">
      <w:pPr>
        <w:spacing w:beforeLines="50" w:afterLines="50" w:line="440" w:lineRule="exact"/>
        <w:ind w:left="843" w:hanging="843" w:hangingChars="300"/>
        <w:jc w:val="center"/>
        <w:rPr>
          <w:rFonts w:ascii="宋体" w:hAnsi="宋体"/>
          <w:b/>
          <w:color w:val="auto"/>
          <w:sz w:val="28"/>
          <w:szCs w:val="28"/>
          <w:highlight w:val="none"/>
        </w:rPr>
      </w:pPr>
      <w:r>
        <w:rPr>
          <w:rFonts w:hint="eastAsia" w:ascii="宋体" w:hAnsi="宋体"/>
          <w:b/>
          <w:color w:val="auto"/>
          <w:sz w:val="28"/>
          <w:szCs w:val="28"/>
          <w:highlight w:val="none"/>
        </w:rPr>
        <w:t>九、其他材料</w:t>
      </w:r>
    </w:p>
    <w:p w14:paraId="0DF67DE7">
      <w:pPr>
        <w:spacing w:beforeLines="100" w:line="440" w:lineRule="exact"/>
        <w:rPr>
          <w:rFonts w:ascii="宋体" w:hAnsi="宋体"/>
          <w:b/>
          <w:color w:val="auto"/>
          <w:sz w:val="28"/>
          <w:szCs w:val="28"/>
          <w:highlight w:val="none"/>
        </w:rPr>
      </w:pPr>
    </w:p>
    <w:p w14:paraId="7B0DA7D8">
      <w:pPr>
        <w:spacing w:beforeLines="100"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一</w:t>
      </w:r>
      <w:r>
        <w:rPr>
          <w:rFonts w:hint="eastAsia" w:ascii="宋体" w:hAnsi="宋体"/>
          <w:color w:val="auto"/>
          <w:szCs w:val="21"/>
          <w:highlight w:val="none"/>
        </w:rPr>
        <w:t>）申请人须知中要求应提供的优惠条件、各类承诺等相关材料，格式自拟</w:t>
      </w:r>
    </w:p>
    <w:p w14:paraId="5EF2CE41">
      <w:pPr>
        <w:spacing w:beforeLines="100" w:line="44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二</w:t>
      </w:r>
      <w:r>
        <w:rPr>
          <w:rFonts w:hint="eastAsia" w:ascii="宋体" w:hAnsi="宋体"/>
          <w:color w:val="auto"/>
          <w:szCs w:val="21"/>
          <w:highlight w:val="none"/>
          <w:lang w:eastAsia="zh-CN"/>
        </w:rPr>
        <w:t>）</w:t>
      </w:r>
      <w:r>
        <w:rPr>
          <w:rFonts w:hint="eastAsia" w:ascii="宋体" w:hAnsi="宋体"/>
          <w:color w:val="auto"/>
          <w:szCs w:val="21"/>
          <w:highlight w:val="none"/>
        </w:rPr>
        <w:t>申请人认为需要提供的其他资料</w:t>
      </w:r>
    </w:p>
    <w:p w14:paraId="7EC8F0A5">
      <w:pPr>
        <w:widowControl/>
        <w:jc w:val="left"/>
        <w:rPr>
          <w:rFonts w:ascii="宋体" w:hAnsi="宋体"/>
          <w:color w:val="auto"/>
          <w:szCs w:val="21"/>
          <w:highlight w:val="none"/>
        </w:rPr>
      </w:pPr>
      <w:r>
        <w:rPr>
          <w:rFonts w:ascii="宋体" w:hAnsi="宋体"/>
          <w:color w:val="auto"/>
          <w:szCs w:val="21"/>
          <w:highlight w:val="none"/>
        </w:rPr>
        <w:br w:type="page"/>
      </w:r>
    </w:p>
    <w:p w14:paraId="0FC34F3D">
      <w:pPr>
        <w:widowControl/>
        <w:spacing w:line="376" w:lineRule="atLeast"/>
        <w:jc w:val="left"/>
        <w:outlineLvl w:val="2"/>
        <w:rPr>
          <w:rFonts w:ascii="宋体" w:hAnsi="宋体"/>
          <w:color w:val="auto"/>
          <w:szCs w:val="21"/>
          <w:highlight w:val="none"/>
        </w:rPr>
      </w:pPr>
      <w:r>
        <w:rPr>
          <w:rFonts w:hint="eastAsia" w:ascii="宋体" w:hAnsi="宋体"/>
          <w:color w:val="auto"/>
          <w:szCs w:val="21"/>
          <w:highlight w:val="none"/>
        </w:rPr>
        <w:t>附件1：</w:t>
      </w:r>
    </w:p>
    <w:p w14:paraId="4311862E">
      <w:pPr>
        <w:widowControl/>
        <w:spacing w:line="376" w:lineRule="atLeast"/>
        <w:jc w:val="center"/>
        <w:outlineLvl w:val="2"/>
        <w:rPr>
          <w:rFonts w:ascii="宋体" w:hAnsi="宋体" w:cs="宋体"/>
          <w:b/>
          <w:bCs/>
          <w:color w:val="auto"/>
          <w:kern w:val="0"/>
          <w:sz w:val="30"/>
          <w:szCs w:val="30"/>
          <w:highlight w:val="none"/>
        </w:rPr>
      </w:pPr>
    </w:p>
    <w:p w14:paraId="68E507CD">
      <w:pPr>
        <w:pStyle w:val="36"/>
        <w:spacing w:line="432" w:lineRule="auto"/>
        <w:ind w:firstLine="1807" w:firstLineChars="600"/>
        <w:rPr>
          <w:b/>
          <w:kern w:val="2"/>
          <w:sz w:val="30"/>
          <w:szCs w:val="30"/>
          <w:highlight w:val="none"/>
        </w:rPr>
      </w:pPr>
      <w:r>
        <w:rPr>
          <w:rFonts w:hint="eastAsia"/>
          <w:b/>
          <w:kern w:val="2"/>
          <w:sz w:val="30"/>
          <w:szCs w:val="30"/>
          <w:highlight w:val="none"/>
        </w:rPr>
        <w:t>政府采购促进中小企业发展管理办法</w:t>
      </w:r>
    </w:p>
    <w:p w14:paraId="1386BB1A">
      <w:pPr>
        <w:pStyle w:val="36"/>
        <w:spacing w:line="432" w:lineRule="auto"/>
        <w:ind w:firstLine="3150" w:firstLineChars="1500"/>
        <w:rPr>
          <w:kern w:val="2"/>
          <w:sz w:val="21"/>
          <w:szCs w:val="21"/>
          <w:highlight w:val="none"/>
        </w:rPr>
      </w:pPr>
      <w:r>
        <w:rPr>
          <w:rFonts w:hint="eastAsia"/>
          <w:kern w:val="2"/>
          <w:sz w:val="21"/>
          <w:szCs w:val="21"/>
          <w:highlight w:val="none"/>
        </w:rPr>
        <w:t>财库〔2020〕46号</w:t>
      </w:r>
    </w:p>
    <w:p w14:paraId="09875E84">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第一条 为了发挥政府采购的政策功能，促进中小企业健康发展，根据《中华人民共和国政府采购法》、《中华人民共和国中小企业促进法》等有关法律法规，制定本办法。</w:t>
      </w:r>
    </w:p>
    <w:p w14:paraId="5CFFE28B">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CCBE6B4">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第三条 采购人在政府采购活动中应当通过加强采购需求管理，落实预留采购份额、价格评审优惠、优先采购等 措施，提高中小企业在政府采购中的份额，支持中小企业发展。</w:t>
      </w:r>
    </w:p>
    <w:p w14:paraId="7AD284C4">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第四条 在政府采购活动中，供应商提供的货物、工程或者服务符合下列情形的，享受本办法规定的中小企业扶持政策：</w:t>
      </w:r>
    </w:p>
    <w:p w14:paraId="0B51B287">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（一）在货物采购项目中，货物由中小企业制造，即货 物由中小企业生产且使用该中小企业商号或者注册商标；</w:t>
      </w:r>
    </w:p>
    <w:p w14:paraId="74E23EA1">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（二）在工程采购项目中，工程由中小企业承建，即工程施工单位为中小企业；</w:t>
      </w:r>
    </w:p>
    <w:p w14:paraId="1D905FA0">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（三）在服务采购项目中，服务由中小企业承接，即提供服务的人员为中小企业依照《中华人民共和国劳动合同法》订立劳动合同的从业人员。</w:t>
      </w:r>
    </w:p>
    <w:p w14:paraId="3F4994F8">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在货物采购项目中，供应商提供的货物既有中小企业制造货物，也有大型企业制造货物的，不享受本办法规定的中小企业扶持政策。</w:t>
      </w:r>
    </w:p>
    <w:p w14:paraId="3FCBBEC1">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以联合体形式参加政府采购活动，联合体各方均为中小企业的，联合体视同中小企业。其中，联合体各方均为小微企业的，联合体视同小微企业。</w:t>
      </w:r>
    </w:p>
    <w:p w14:paraId="4AFEF395">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14:paraId="3880F5ED">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52E7367A">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符合下列情形之一的，可不专门面向中小企业预留采购份额：</w:t>
      </w:r>
    </w:p>
    <w:p w14:paraId="37F8A4AD">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（一）法律法规和国家有关政策明确规定优先或者应当面向事业单位、社会组织等非企业主体采购的；</w:t>
      </w:r>
    </w:p>
    <w:p w14:paraId="06A8B1A0">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（二）因确需使用不可替代的专利、专有技术，基础设施限制，或者提供特定公共服务等原因，只能从中小企业之外的供应商处采购的；</w:t>
      </w:r>
    </w:p>
    <w:p w14:paraId="6C1C53EA">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（三）按照本办法规定预留采购份额无法确保充分供应、充分竞争，或者存在可能影响政府采购目标实现的情形；</w:t>
      </w:r>
    </w:p>
    <w:p w14:paraId="00854726">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（四）框架协议采购项目；</w:t>
      </w:r>
    </w:p>
    <w:p w14:paraId="151FC352">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（五）省级以上人民政府财政部门规定的其他情形。 除上述情形外，其他均为适宜由中小企业提供的情形。第七条</w:t>
      </w:r>
      <w:r>
        <w:rPr>
          <w:rFonts w:hint="eastAsia"/>
          <w:kern w:val="2"/>
          <w:sz w:val="21"/>
          <w:szCs w:val="21"/>
          <w:highlight w:val="none"/>
        </w:rPr>
        <w:tab/>
      </w:r>
      <w:r>
        <w:rPr>
          <w:rFonts w:hint="eastAsia"/>
          <w:kern w:val="2"/>
          <w:sz w:val="21"/>
          <w:szCs w:val="21"/>
          <w:highlight w:val="none"/>
        </w:rPr>
        <w:t>采购限额标准以上，200 万元以下的货物和服务采购项目、400 万元以下的工程采购项目，适宜由中小企业提供的，采购人应当专门面向中小企业采购。</w:t>
      </w:r>
    </w:p>
    <w:p w14:paraId="1D109130">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14:paraId="03F64356">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（一）将采购项目整体或者设置采购包专门面向中小企业采购；</w:t>
      </w:r>
    </w:p>
    <w:p w14:paraId="3E55C7F6">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（二）要求供应商以联合体形式参加采购活动，且联合体中中小企业承担的部分达到一定比例；</w:t>
      </w:r>
    </w:p>
    <w:p w14:paraId="06CEBDC6">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（三）要求获得采购合同的供应商将采购项目中的一定比例分包给一家或者多家中小企业。</w:t>
      </w:r>
    </w:p>
    <w:p w14:paraId="1B2D5CE0">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组成联合体或者接受分包合同的中小企业与联合体内 其他企业、分包企业之间不得存在直接控股、管理关系。</w:t>
      </w:r>
    </w:p>
    <w:p w14:paraId="59388F12">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 工程建设项目，采用综合评估法但未采用低价优先法计算价格分的，评标时应当在采用原报价进行评分的基础上增加其价格得分的 3%—5%作为其价格分。</w:t>
      </w:r>
    </w:p>
    <w:p w14:paraId="48C660FF">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14:paraId="53EE110F">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1E2784A3">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14:paraId="41535594">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第十一条 中小企业参加政府采购活动，应当出具本办法规定的《中小企业声明函》（附 1），否则不得享受相关中小企业扶持政策。任何单位和个人不得要求供应商提供《中小企业声明函》之外的中小企业身份证明文件。</w:t>
      </w:r>
    </w:p>
    <w:p w14:paraId="4397A13E">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第十二条 采购项目涉及中小企业采购的，采购文件应当明确以下内容：</w:t>
      </w:r>
    </w:p>
    <w:p w14:paraId="2B126B5B">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（一）预留份额的采购项目或者采购包，明确该项目或相关采购包专门面向中小企业采购，以及相关标的及预算金额；</w:t>
      </w:r>
    </w:p>
    <w:p w14:paraId="1CDCE1C8">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（二）要求以联合体形式参加或者合同分包的，明确联</w:t>
      </w:r>
    </w:p>
    <w:p w14:paraId="7E7CE7BC">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合协议或者分包意向协议中中小企业合同金额应当达到的 比例，并作为供应商资格条件；</w:t>
      </w:r>
    </w:p>
    <w:p w14:paraId="0E7F1C97">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（三）非预留份额的采购项目或者采购包，明确有关价格扣除比例或者价格分加分比例；</w:t>
      </w:r>
    </w:p>
    <w:p w14:paraId="2F902974">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（四）规定依据本办法规定享受扶持政策获得政府采购合同的，小微企业不得将合同分包给大中型企业，中型企业不得将合同分包给大型企业；</w:t>
      </w:r>
    </w:p>
    <w:p w14:paraId="706F032F">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（五）采购人认为具备相关条件的，明确对中小企业在资金支付期限、预付款比例等方面的优惠措施；</w:t>
      </w:r>
    </w:p>
    <w:p w14:paraId="0B85148B">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（六）明确采购标的对应的中小企业划分标准所属行业；</w:t>
      </w:r>
    </w:p>
    <w:p w14:paraId="246B030E">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（七）法律法规和省级以上人民政府财政部门规定的其他事项。</w:t>
      </w:r>
    </w:p>
    <w:p w14:paraId="26BDD2EE">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第十三条  中标、成交供应商享受本办法规定的中小企业扶持政策的，采购人、采购代理机构应当随中标、成交结果公开中标、成交供应商的《中小企业声明函》。</w:t>
      </w:r>
    </w:p>
    <w:p w14:paraId="4497D2B3">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适用招标投标法的政府采购工程建设项目，应当在公示中标候选人时公开中标候选人的《中小企业声明函》。</w:t>
      </w:r>
    </w:p>
    <w:p w14:paraId="1B0CF050">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5D58B00F">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第十五条 鼓励各地区、各部门在采购活动中允许中小企业引入信用担保手段，为中小企业在投标（响应）保证、履约保证等方面提供专业化服务。鼓励中小企业依法合规通过政府采购合同融资。</w:t>
      </w:r>
    </w:p>
    <w:p w14:paraId="7BECCA7D">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第十六条 政府采购监督检查、投诉处理及政府采购行政处罚中对中小企业的认定，由货物制造商或者工程、服务供应商注册登记所在地的县级以上人民政府中小企业主管 部门负责。</w:t>
      </w:r>
    </w:p>
    <w:p w14:paraId="76AEB57A">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中小企业主管部门应当在收到财政部门或者有关招标 投标行政监督部门关于协助开展中小企业认定函后 10 个工作日内做出书面答复。</w:t>
      </w:r>
    </w:p>
    <w:p w14:paraId="4E7D11ED">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第十七条 各地区、各部门应当对涉及中小企业采购的 预算项目实施全过程绩效管理，合理设置绩效目标和指标， 落实扶持中小企业有关政策要求，定期开展绩效监控和评价， 强化绩效评价结果应用。</w:t>
      </w:r>
    </w:p>
    <w:p w14:paraId="0FE10B49">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 xml:space="preserve">第十八条 主管预算单位应当自 2022 年起向同级财政部门报告本部门上一年度面向中小企业预留份额和采购的 具体情况，并在中国政府采购网公开预留项目执行情况(附 2)。未达到本办法规定的预留份额比例的，应当作出说明。 </w:t>
      </w:r>
    </w:p>
    <w:p w14:paraId="343B83FC">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3E0D2246">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第二十条 供应商按照本办法规定提供声明函内容不实的，属于提供虚假材料谋取中标、成交，依照《中华人民 共和国政府采购法》等国家有关规定追究相应责任。</w:t>
      </w:r>
    </w:p>
    <w:p w14:paraId="6E593612">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适用招标投标法的政府采购工程建设项目，投标人按照 本办法规定提供声明函内容不实的，属于弄虚作假骗取中标， 依照《中华人民共和国招标投标法》等国家有关规定追究相 应责任。</w:t>
      </w:r>
    </w:p>
    <w:p w14:paraId="0A273007">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14:paraId="6C90D04E">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第二十二条 对外援助项目、国家相关资格或者资质管理制度另有规定的项目，不适用本办法。</w:t>
      </w:r>
    </w:p>
    <w:p w14:paraId="79B9E534">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第二十三条 关于视同中小企业的其他主体的政府采购扶持政策，由财政部会同有关部门另行规定。</w:t>
      </w:r>
    </w:p>
    <w:p w14:paraId="2A7D38AA">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第二十四条 省级财政部门可以会同中小企业主管部门根据本办法的规定制定具体实施办法。</w:t>
      </w:r>
    </w:p>
    <w:p w14:paraId="76253904">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第二十五条 本办法自 2021 年 1 月 1 日起施行。《财政部 工业和信息化部关于印发〈政府采购促进中小企业发展暂行办法〉的通知》（财库﹝2011﹞181 号）同时废止。</w:t>
      </w:r>
    </w:p>
    <w:p w14:paraId="68D369C3">
      <w:pPr>
        <w:pStyle w:val="36"/>
        <w:spacing w:line="432" w:lineRule="auto"/>
        <w:jc w:val="center"/>
        <w:rPr>
          <w:b/>
          <w:bCs/>
          <w:kern w:val="2"/>
          <w:sz w:val="21"/>
          <w:szCs w:val="21"/>
          <w:highlight w:val="none"/>
        </w:rPr>
      </w:pPr>
      <w:r>
        <w:rPr>
          <w:rFonts w:hint="eastAsia"/>
          <w:kern w:val="2"/>
          <w:sz w:val="21"/>
          <w:szCs w:val="21"/>
          <w:highlight w:val="none"/>
        </w:rPr>
        <w:br w:type="page"/>
      </w:r>
      <w:r>
        <w:rPr>
          <w:rFonts w:hint="eastAsia"/>
          <w:b/>
          <w:bCs/>
          <w:kern w:val="2"/>
          <w:sz w:val="21"/>
          <w:szCs w:val="21"/>
          <w:highlight w:val="none"/>
        </w:rPr>
        <w:t>财政部 司法部关于政府采购支持监狱企业发展有关问题的通知</w:t>
      </w:r>
    </w:p>
    <w:p w14:paraId="316EF9D6">
      <w:pPr>
        <w:pStyle w:val="36"/>
        <w:spacing w:line="432" w:lineRule="auto"/>
        <w:jc w:val="center"/>
        <w:rPr>
          <w:kern w:val="2"/>
          <w:sz w:val="21"/>
          <w:szCs w:val="21"/>
          <w:highlight w:val="none"/>
        </w:rPr>
      </w:pPr>
      <w:r>
        <w:rPr>
          <w:rFonts w:hint="eastAsia"/>
          <w:kern w:val="2"/>
          <w:sz w:val="21"/>
          <w:szCs w:val="21"/>
          <w:highlight w:val="none"/>
        </w:rPr>
        <w:t>财库〔2014〕68号</w:t>
      </w:r>
    </w:p>
    <w:p w14:paraId="12B38A6A">
      <w:pPr>
        <w:pStyle w:val="36"/>
        <w:spacing w:line="432" w:lineRule="auto"/>
        <w:rPr>
          <w:rFonts w:hint="eastAsia" w:eastAsia="宋体"/>
          <w:kern w:val="2"/>
          <w:sz w:val="21"/>
          <w:szCs w:val="21"/>
          <w:highlight w:val="none"/>
          <w:lang w:eastAsia="zh-CN"/>
        </w:rPr>
      </w:pPr>
      <w:r>
        <w:rPr>
          <w:rFonts w:hint="eastAsia"/>
          <w:kern w:val="2"/>
          <w:sz w:val="21"/>
          <w:szCs w:val="21"/>
          <w:highlight w:val="none"/>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43AB61CF">
      <w:pPr>
        <w:pStyle w:val="36"/>
        <w:spacing w:line="432" w:lineRule="auto"/>
        <w:rPr>
          <w:rFonts w:hint="eastAsia" w:eastAsia="宋体"/>
          <w:kern w:val="2"/>
          <w:sz w:val="21"/>
          <w:szCs w:val="21"/>
          <w:highlight w:val="none"/>
          <w:lang w:eastAsia="zh-CN"/>
        </w:rPr>
      </w:pPr>
      <w:r>
        <w:rPr>
          <w:rFonts w:hint="eastAsia"/>
          <w:kern w:val="2"/>
          <w:sz w:val="21"/>
          <w:szCs w:val="21"/>
          <w:highlight w:val="none"/>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6AD9426A">
      <w:pPr>
        <w:pStyle w:val="36"/>
        <w:spacing w:line="432" w:lineRule="auto"/>
        <w:rPr>
          <w:rFonts w:hint="eastAsia" w:eastAsia="宋体"/>
          <w:kern w:val="2"/>
          <w:sz w:val="21"/>
          <w:szCs w:val="21"/>
          <w:highlight w:val="none"/>
          <w:lang w:eastAsia="zh-CN"/>
        </w:rPr>
      </w:pPr>
      <w:r>
        <w:rPr>
          <w:rFonts w:hint="eastAsia"/>
          <w:kern w:val="2"/>
          <w:sz w:val="21"/>
          <w:szCs w:val="21"/>
          <w:highlight w:val="none"/>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6FEF18AB">
      <w:pPr>
        <w:pStyle w:val="36"/>
        <w:spacing w:line="432" w:lineRule="auto"/>
        <w:rPr>
          <w:rFonts w:hint="eastAsia" w:eastAsia="宋体"/>
          <w:kern w:val="2"/>
          <w:sz w:val="21"/>
          <w:szCs w:val="21"/>
          <w:highlight w:val="none"/>
          <w:lang w:eastAsia="zh-CN"/>
        </w:rPr>
      </w:pPr>
      <w:r>
        <w:rPr>
          <w:rFonts w:hint="eastAsia"/>
          <w:kern w:val="2"/>
          <w:sz w:val="21"/>
          <w:szCs w:val="21"/>
          <w:highlight w:val="none"/>
        </w:rPr>
        <w:t>　　二、在政府采购活动中，监狱企业视同小型、微型企业，享受预留份额、评审中价格扣除等政府采购促进中小企业发展的政府采购政策。向监狱企业采购的金额，计入面向中小企业采购的统计数据。</w:t>
      </w:r>
    </w:p>
    <w:p w14:paraId="6C72C8BA">
      <w:pPr>
        <w:pStyle w:val="36"/>
        <w:spacing w:line="432" w:lineRule="auto"/>
        <w:rPr>
          <w:rFonts w:hint="eastAsia" w:eastAsia="宋体"/>
          <w:kern w:val="2"/>
          <w:sz w:val="21"/>
          <w:szCs w:val="21"/>
          <w:highlight w:val="none"/>
          <w:lang w:eastAsia="zh-CN"/>
        </w:rPr>
      </w:pPr>
      <w:r>
        <w:rPr>
          <w:rFonts w:hint="eastAsia"/>
          <w:kern w:val="2"/>
          <w:sz w:val="21"/>
          <w:szCs w:val="21"/>
          <w:highlight w:val="none"/>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660556D9">
      <w:pPr>
        <w:pStyle w:val="36"/>
        <w:spacing w:line="432" w:lineRule="auto"/>
        <w:rPr>
          <w:rFonts w:hint="eastAsia" w:eastAsia="宋体"/>
          <w:kern w:val="2"/>
          <w:sz w:val="21"/>
          <w:szCs w:val="21"/>
          <w:highlight w:val="none"/>
          <w:lang w:eastAsia="zh-CN"/>
        </w:rPr>
      </w:pPr>
      <w:r>
        <w:rPr>
          <w:rFonts w:hint="eastAsia"/>
          <w:kern w:val="2"/>
          <w:sz w:val="21"/>
          <w:szCs w:val="21"/>
          <w:highlight w:val="none"/>
        </w:rPr>
        <w:t>　　四、各地区可以结合本地区实际，对监狱企业生产的办公用品、家具用具、车辆维修和提供的保养服务、消防设备等，提出预留份额等政府采购支持措施，加大对监狱企业产品的采购力度。</w:t>
      </w:r>
    </w:p>
    <w:p w14:paraId="16520826">
      <w:pPr>
        <w:pStyle w:val="36"/>
        <w:spacing w:line="432" w:lineRule="auto"/>
        <w:rPr>
          <w:kern w:val="2"/>
          <w:sz w:val="21"/>
          <w:szCs w:val="21"/>
          <w:highlight w:val="none"/>
        </w:rPr>
      </w:pPr>
      <w:r>
        <w:rPr>
          <w:rFonts w:hint="eastAsia"/>
          <w:kern w:val="2"/>
          <w:sz w:val="21"/>
          <w:szCs w:val="21"/>
          <w:highlight w:val="none"/>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63D9E6C5">
      <w:pPr>
        <w:pStyle w:val="36"/>
        <w:spacing w:line="432" w:lineRule="auto"/>
        <w:jc w:val="right"/>
        <w:rPr>
          <w:rFonts w:hint="eastAsia" w:eastAsia="宋体"/>
          <w:kern w:val="2"/>
          <w:sz w:val="21"/>
          <w:szCs w:val="21"/>
          <w:highlight w:val="none"/>
          <w:lang w:eastAsia="zh-CN"/>
        </w:rPr>
      </w:pPr>
      <w:r>
        <w:rPr>
          <w:rFonts w:hint="eastAsia"/>
          <w:kern w:val="2"/>
          <w:sz w:val="21"/>
          <w:szCs w:val="21"/>
          <w:highlight w:val="none"/>
        </w:rPr>
        <w:t>中华人民共和国财政部</w:t>
      </w:r>
    </w:p>
    <w:p w14:paraId="13B7EBD6">
      <w:pPr>
        <w:pStyle w:val="36"/>
        <w:spacing w:line="432" w:lineRule="auto"/>
        <w:jc w:val="right"/>
        <w:rPr>
          <w:rFonts w:hint="eastAsia" w:eastAsia="宋体"/>
          <w:kern w:val="2"/>
          <w:sz w:val="21"/>
          <w:szCs w:val="21"/>
          <w:highlight w:val="none"/>
          <w:lang w:eastAsia="zh-CN"/>
        </w:rPr>
      </w:pPr>
      <w:r>
        <w:rPr>
          <w:rFonts w:hint="eastAsia"/>
          <w:kern w:val="2"/>
          <w:sz w:val="21"/>
          <w:szCs w:val="21"/>
          <w:highlight w:val="none"/>
        </w:rPr>
        <w:t>中华人民共和国司法部</w:t>
      </w:r>
    </w:p>
    <w:p w14:paraId="3EC15D1C">
      <w:pPr>
        <w:pStyle w:val="36"/>
        <w:spacing w:line="432" w:lineRule="auto"/>
        <w:jc w:val="right"/>
        <w:rPr>
          <w:kern w:val="2"/>
          <w:sz w:val="21"/>
          <w:szCs w:val="21"/>
          <w:highlight w:val="none"/>
        </w:rPr>
      </w:pPr>
      <w:r>
        <w:rPr>
          <w:rFonts w:hint="eastAsia"/>
          <w:kern w:val="2"/>
          <w:sz w:val="21"/>
          <w:szCs w:val="21"/>
          <w:highlight w:val="none"/>
        </w:rPr>
        <w:t>2014年6月10日</w:t>
      </w:r>
    </w:p>
    <w:p w14:paraId="70BE13FC">
      <w:pPr>
        <w:pStyle w:val="36"/>
        <w:spacing w:line="432" w:lineRule="auto"/>
        <w:jc w:val="center"/>
        <w:rPr>
          <w:b/>
          <w:kern w:val="2"/>
          <w:sz w:val="21"/>
          <w:szCs w:val="21"/>
          <w:highlight w:val="none"/>
        </w:rPr>
      </w:pPr>
      <w:r>
        <w:rPr>
          <w:rFonts w:hint="eastAsia"/>
          <w:kern w:val="2"/>
          <w:sz w:val="21"/>
          <w:szCs w:val="21"/>
          <w:highlight w:val="none"/>
        </w:rPr>
        <w:br w:type="page"/>
      </w:r>
      <w:r>
        <w:rPr>
          <w:rFonts w:hint="eastAsia"/>
          <w:b/>
          <w:kern w:val="2"/>
          <w:sz w:val="21"/>
          <w:szCs w:val="21"/>
          <w:highlight w:val="none"/>
        </w:rPr>
        <w:t>关于促进残疾人就业政府采购政策的通知</w:t>
      </w:r>
    </w:p>
    <w:p w14:paraId="1E309901">
      <w:pPr>
        <w:pStyle w:val="36"/>
        <w:spacing w:line="432" w:lineRule="auto"/>
        <w:jc w:val="center"/>
        <w:rPr>
          <w:kern w:val="2"/>
          <w:sz w:val="21"/>
          <w:szCs w:val="21"/>
          <w:highlight w:val="none"/>
        </w:rPr>
      </w:pPr>
      <w:r>
        <w:rPr>
          <w:rFonts w:hint="eastAsia"/>
          <w:kern w:val="2"/>
          <w:sz w:val="21"/>
          <w:szCs w:val="21"/>
          <w:highlight w:val="none"/>
        </w:rPr>
        <w:t>财库〔2017〕141号</w:t>
      </w:r>
    </w:p>
    <w:p w14:paraId="78B7F432">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kern w:val="2"/>
          <w:sz w:val="21"/>
          <w:szCs w:val="21"/>
          <w:highlight w:val="none"/>
        </w:rPr>
      </w:pPr>
      <w:bookmarkStart w:id="53" w:name="toDeptId"/>
      <w:r>
        <w:rPr>
          <w:rFonts w:hint="eastAsia"/>
          <w:kern w:val="2"/>
          <w:sz w:val="21"/>
          <w:szCs w:val="21"/>
          <w:highlight w:val="none"/>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53"/>
      <w:r>
        <w:rPr>
          <w:rFonts w:hint="eastAsia"/>
          <w:kern w:val="2"/>
          <w:sz w:val="21"/>
          <w:szCs w:val="21"/>
          <w:highlight w:val="none"/>
        </w:rPr>
        <w:t>：</w:t>
      </w:r>
    </w:p>
    <w:p w14:paraId="73ED43E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rPr>
      </w:pPr>
      <w:r>
        <w:rPr>
          <w:rFonts w:hint="eastAsia"/>
          <w:color w:val="auto"/>
          <w:szCs w:val="21"/>
          <w:highlight w:val="none"/>
        </w:rPr>
        <w:t>　　为了发挥政府采购促进残疾人就业的作用，进一步保障残疾人权益，依照《政府采购法》、《残疾人保障法》等法律法规及相关规定，现就促进残疾人就业政府采购政策通知如下：</w:t>
      </w:r>
    </w:p>
    <w:p w14:paraId="25CB7E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rPr>
      </w:pPr>
      <w:r>
        <w:rPr>
          <w:rFonts w:hint="eastAsia"/>
          <w:color w:val="auto"/>
          <w:szCs w:val="21"/>
          <w:highlight w:val="none"/>
        </w:rPr>
        <w:t>　　一、享受政府采购支持政策的残疾人福利性单位应当同时满足以下条件：</w:t>
      </w:r>
    </w:p>
    <w:p w14:paraId="16106C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rPr>
      </w:pPr>
      <w:r>
        <w:rPr>
          <w:rFonts w:hint="eastAsia"/>
          <w:color w:val="auto"/>
          <w:szCs w:val="21"/>
          <w:highlight w:val="none"/>
        </w:rPr>
        <w:t>　　（一）安置的残疾人占本单位在职职工人数的比例不低于25%（含25%），并且安置的残疾人人数不少于10人（含10人）；</w:t>
      </w:r>
    </w:p>
    <w:p w14:paraId="770B5FE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rPr>
      </w:pPr>
      <w:r>
        <w:rPr>
          <w:rFonts w:hint="eastAsia"/>
          <w:color w:val="auto"/>
          <w:szCs w:val="21"/>
          <w:highlight w:val="none"/>
        </w:rPr>
        <w:t>　　（二）依法与安置的每位残疾人签订了一年以上（含一年）的劳动合同或服务协议；</w:t>
      </w:r>
    </w:p>
    <w:p w14:paraId="2444BE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rPr>
      </w:pPr>
      <w:r>
        <w:rPr>
          <w:rFonts w:hint="eastAsia"/>
          <w:color w:val="auto"/>
          <w:szCs w:val="21"/>
          <w:highlight w:val="none"/>
        </w:rPr>
        <w:t>　　（三）为安置的每位残疾人按月足额缴纳了基本养老保险、基本医疗保险、失业保险、工伤保险和生育保险等社会保险费；</w:t>
      </w:r>
    </w:p>
    <w:p w14:paraId="610C2E2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rPr>
      </w:pPr>
      <w:r>
        <w:rPr>
          <w:rFonts w:hint="eastAsia"/>
          <w:color w:val="auto"/>
          <w:szCs w:val="21"/>
          <w:highlight w:val="none"/>
        </w:rPr>
        <w:t>　　（四）通过银行等金融机构向安置的每位残疾人，按月支付了不低于单位所在区县适用的经省级人民政府批准的月最低工资标准的工资；</w:t>
      </w:r>
    </w:p>
    <w:p w14:paraId="3BCDE91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rPr>
      </w:pPr>
      <w:r>
        <w:rPr>
          <w:rFonts w:hint="eastAsia"/>
          <w:color w:val="auto"/>
          <w:szCs w:val="21"/>
          <w:highlight w:val="none"/>
        </w:rPr>
        <w:t>　　（五）提供本单位制造的货物、承担的工程或者服务（以下简称产品），或者提供其他残疾人福利性单位制造的货物（不包括使用非残疾人福利性单位注册商标的货物）。</w:t>
      </w:r>
    </w:p>
    <w:p w14:paraId="4B719AB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rPr>
      </w:pPr>
      <w:r>
        <w:rPr>
          <w:rFonts w:hint="eastAsia"/>
          <w:color w:val="auto"/>
          <w:szCs w:val="21"/>
          <w:highlight w:val="none"/>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86AE76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rPr>
      </w:pPr>
      <w:r>
        <w:rPr>
          <w:rFonts w:hint="eastAsia"/>
          <w:color w:val="auto"/>
          <w:szCs w:val="21"/>
          <w:highlight w:val="none"/>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307AAD6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rPr>
      </w:pPr>
      <w:r>
        <w:rPr>
          <w:rFonts w:hint="eastAsia"/>
          <w:color w:val="auto"/>
          <w:szCs w:val="21"/>
          <w:highlight w:val="none"/>
        </w:rPr>
        <w:t>　　中标、成交供应商为残疾人福利性单位的，采购人或者其委托的采购代理机构应当随中标、成交结果同时公告其《残疾人福利性单位声明函》，接受社会监督。</w:t>
      </w:r>
    </w:p>
    <w:p w14:paraId="5987763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rPr>
      </w:pPr>
      <w:r>
        <w:rPr>
          <w:rFonts w:hint="eastAsia"/>
          <w:color w:val="auto"/>
          <w:szCs w:val="21"/>
          <w:highlight w:val="none"/>
        </w:rPr>
        <w:t>　　供应商提供的《残疾人福利性单位声明函》与事实不符的，依照《政府采购法》第七十七条第一款的规定追究法律责任。</w:t>
      </w:r>
    </w:p>
    <w:p w14:paraId="3EAB188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rPr>
      </w:pPr>
      <w:r>
        <w:rPr>
          <w:rFonts w:hint="eastAsia"/>
          <w:color w:val="auto"/>
          <w:szCs w:val="21"/>
          <w:highlight w:val="none"/>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78D8C4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rPr>
      </w:pPr>
      <w:r>
        <w:rPr>
          <w:rFonts w:hint="eastAsia"/>
          <w:color w:val="auto"/>
          <w:szCs w:val="21"/>
          <w:highlight w:val="none"/>
        </w:rPr>
        <w:t>　　四、采购人采购公开招标数额标准以上的货物或者服务，因落实促进残疾人就业政策的需要，依法履行有关报批程序后，可采用公开招标以外的采购方式。</w:t>
      </w:r>
    </w:p>
    <w:p w14:paraId="13CDA92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rPr>
      </w:pPr>
      <w:r>
        <w:rPr>
          <w:rFonts w:hint="eastAsia"/>
          <w:color w:val="auto"/>
          <w:szCs w:val="21"/>
          <w:highlight w:val="none"/>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44A241C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rPr>
      </w:pPr>
      <w:r>
        <w:rPr>
          <w:rFonts w:hint="eastAsia"/>
          <w:color w:val="auto"/>
          <w:szCs w:val="21"/>
          <w:highlight w:val="none"/>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2C4888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rPr>
      </w:pPr>
      <w:r>
        <w:rPr>
          <w:rFonts w:hint="eastAsia"/>
          <w:color w:val="auto"/>
          <w:szCs w:val="21"/>
          <w:highlight w:val="none"/>
        </w:rPr>
        <w:t>　　七、本通知自2017年10月1日起执行。</w:t>
      </w:r>
    </w:p>
    <w:p w14:paraId="664331E8">
      <w:pPr>
        <w:spacing w:beforeLines="100" w:line="440" w:lineRule="exact"/>
        <w:ind w:firstLine="420" w:firstLineChars="200"/>
        <w:jc w:val="right"/>
        <w:rPr>
          <w:rFonts w:hint="eastAsia"/>
          <w:color w:val="auto"/>
          <w:szCs w:val="21"/>
          <w:highlight w:val="none"/>
        </w:rPr>
      </w:pPr>
      <w:r>
        <w:rPr>
          <w:rFonts w:hint="eastAsia"/>
          <w:color w:val="auto"/>
          <w:szCs w:val="21"/>
          <w:highlight w:val="none"/>
        </w:rPr>
        <w:t>　　财政部 民政部 中国残疾人联合会</w:t>
      </w:r>
    </w:p>
    <w:p w14:paraId="60B747E3">
      <w:pPr>
        <w:wordWrap w:val="0"/>
        <w:spacing w:beforeLines="100" w:line="440" w:lineRule="exact"/>
        <w:ind w:firstLine="420" w:firstLineChars="200"/>
        <w:jc w:val="right"/>
        <w:rPr>
          <w:rFonts w:hint="default" w:eastAsia="宋体"/>
          <w:color w:val="auto"/>
          <w:szCs w:val="21"/>
          <w:highlight w:val="none"/>
          <w:lang w:val="en-US" w:eastAsia="zh-CN"/>
        </w:rPr>
      </w:pPr>
      <w:r>
        <w:rPr>
          <w:rFonts w:hint="eastAsia"/>
          <w:color w:val="auto"/>
          <w:szCs w:val="21"/>
          <w:highlight w:val="none"/>
        </w:rPr>
        <w:t>　　2017年8月22日</w:t>
      </w:r>
      <w:r>
        <w:rPr>
          <w:rFonts w:hint="eastAsia"/>
          <w:color w:val="auto"/>
          <w:szCs w:val="21"/>
          <w:highlight w:val="none"/>
          <w:lang w:val="en-US" w:eastAsia="zh-CN"/>
        </w:rPr>
        <w:t xml:space="preserve">     </w:t>
      </w:r>
    </w:p>
    <w:p w14:paraId="0724C7C3">
      <w:pPr>
        <w:pageBreakBefore w:val="0"/>
        <w:widowControl/>
        <w:kinsoku/>
        <w:wordWrap/>
        <w:overflowPunct/>
        <w:topLinePunct w:val="0"/>
        <w:autoSpaceDE/>
        <w:autoSpaceDN/>
        <w:bidi w:val="0"/>
        <w:adjustRightInd/>
        <w:snapToGrid/>
        <w:spacing w:line="0" w:lineRule="atLeast"/>
        <w:jc w:val="right"/>
        <w:textAlignment w:val="auto"/>
        <w:rPr>
          <w:rStyle w:val="43"/>
          <w:rFonts w:ascii="宋体" w:hAnsi="宋体"/>
          <w:color w:val="auto"/>
          <w:kern w:val="0"/>
          <w:sz w:val="28"/>
          <w:szCs w:val="28"/>
          <w:highlight w:val="none"/>
        </w:rPr>
      </w:pPr>
    </w:p>
    <w:p w14:paraId="04CA679D">
      <w:pPr>
        <w:pStyle w:val="4"/>
        <w:pageBreakBefore w:val="0"/>
        <w:widowControl w:val="0"/>
        <w:kinsoku/>
        <w:wordWrap/>
        <w:overflowPunct/>
        <w:topLinePunct w:val="0"/>
        <w:autoSpaceDE/>
        <w:autoSpaceDN/>
        <w:bidi w:val="0"/>
        <w:adjustRightInd/>
        <w:snapToGrid/>
        <w:spacing w:before="0" w:after="0" w:line="0" w:lineRule="atLeast"/>
        <w:textAlignment w:val="auto"/>
        <w:rPr>
          <w:rStyle w:val="43"/>
          <w:rFonts w:ascii="宋体" w:hAnsi="宋体"/>
          <w:b/>
          <w:bCs/>
          <w:color w:val="auto"/>
          <w:kern w:val="0"/>
          <w:sz w:val="28"/>
          <w:szCs w:val="28"/>
          <w:highlight w:val="none"/>
        </w:rPr>
      </w:pPr>
    </w:p>
    <w:p w14:paraId="753D2A65">
      <w:pPr>
        <w:pageBreakBefore w:val="0"/>
        <w:widowControl w:val="0"/>
        <w:kinsoku/>
        <w:wordWrap/>
        <w:overflowPunct/>
        <w:topLinePunct w:val="0"/>
        <w:autoSpaceDE/>
        <w:autoSpaceDN/>
        <w:bidi w:val="0"/>
        <w:adjustRightInd/>
        <w:snapToGrid/>
        <w:spacing w:line="0" w:lineRule="atLeast"/>
        <w:textAlignment w:val="auto"/>
        <w:rPr>
          <w:rStyle w:val="43"/>
          <w:rFonts w:ascii="宋体" w:hAnsi="宋体"/>
          <w:color w:val="auto"/>
          <w:kern w:val="0"/>
          <w:sz w:val="28"/>
          <w:szCs w:val="28"/>
          <w:highlight w:val="none"/>
        </w:rPr>
      </w:pPr>
    </w:p>
    <w:p w14:paraId="4AA235D9">
      <w:pPr>
        <w:pStyle w:val="4"/>
        <w:pageBreakBefore w:val="0"/>
        <w:widowControl w:val="0"/>
        <w:kinsoku/>
        <w:wordWrap/>
        <w:overflowPunct/>
        <w:topLinePunct w:val="0"/>
        <w:autoSpaceDE/>
        <w:autoSpaceDN/>
        <w:bidi w:val="0"/>
        <w:adjustRightInd/>
        <w:snapToGrid/>
        <w:spacing w:before="0" w:after="0" w:line="0" w:lineRule="atLeast"/>
        <w:textAlignment w:val="auto"/>
        <w:rPr>
          <w:rStyle w:val="43"/>
          <w:rFonts w:ascii="宋体" w:hAnsi="宋体"/>
          <w:b/>
          <w:bCs/>
          <w:color w:val="auto"/>
          <w:kern w:val="0"/>
          <w:sz w:val="28"/>
          <w:szCs w:val="28"/>
          <w:highlight w:val="none"/>
        </w:rPr>
      </w:pPr>
    </w:p>
    <w:p w14:paraId="47F955C9">
      <w:pPr>
        <w:pageBreakBefore w:val="0"/>
        <w:widowControl w:val="0"/>
        <w:kinsoku/>
        <w:wordWrap/>
        <w:overflowPunct/>
        <w:topLinePunct w:val="0"/>
        <w:autoSpaceDE/>
        <w:autoSpaceDN/>
        <w:bidi w:val="0"/>
        <w:adjustRightInd/>
        <w:snapToGrid/>
        <w:spacing w:line="0" w:lineRule="atLeast"/>
        <w:textAlignment w:val="auto"/>
        <w:rPr>
          <w:rStyle w:val="43"/>
          <w:rFonts w:ascii="宋体" w:hAnsi="宋体"/>
          <w:color w:val="auto"/>
          <w:kern w:val="0"/>
          <w:sz w:val="28"/>
          <w:szCs w:val="28"/>
          <w:highlight w:val="none"/>
        </w:rPr>
      </w:pPr>
    </w:p>
    <w:p w14:paraId="35057BE6">
      <w:pPr>
        <w:pStyle w:val="4"/>
        <w:pageBreakBefore w:val="0"/>
        <w:widowControl w:val="0"/>
        <w:kinsoku/>
        <w:wordWrap/>
        <w:overflowPunct/>
        <w:topLinePunct w:val="0"/>
        <w:autoSpaceDE/>
        <w:autoSpaceDN/>
        <w:bidi w:val="0"/>
        <w:adjustRightInd/>
        <w:snapToGrid/>
        <w:spacing w:before="0" w:after="0" w:line="0" w:lineRule="atLeast"/>
        <w:textAlignment w:val="auto"/>
        <w:rPr>
          <w:highlight w:val="none"/>
        </w:rPr>
      </w:pPr>
    </w:p>
    <w:p w14:paraId="77E78AC8">
      <w:pPr>
        <w:pageBreakBefore w:val="0"/>
        <w:widowControl w:val="0"/>
        <w:kinsoku/>
        <w:wordWrap/>
        <w:overflowPunct/>
        <w:topLinePunct w:val="0"/>
        <w:autoSpaceDE/>
        <w:autoSpaceDN/>
        <w:bidi w:val="0"/>
        <w:adjustRightInd/>
        <w:snapToGrid/>
        <w:spacing w:line="0" w:lineRule="atLeast"/>
        <w:textAlignment w:val="auto"/>
        <w:rPr>
          <w:rStyle w:val="43"/>
          <w:rFonts w:ascii="宋体" w:hAnsi="宋体"/>
          <w:color w:val="auto"/>
          <w:kern w:val="0"/>
          <w:sz w:val="28"/>
          <w:szCs w:val="28"/>
          <w:highlight w:val="none"/>
        </w:rPr>
      </w:pPr>
    </w:p>
    <w:p w14:paraId="1DDFA54D">
      <w:pPr>
        <w:pStyle w:val="4"/>
        <w:pageBreakBefore w:val="0"/>
        <w:widowControl w:val="0"/>
        <w:kinsoku/>
        <w:wordWrap/>
        <w:overflowPunct/>
        <w:topLinePunct w:val="0"/>
        <w:autoSpaceDE/>
        <w:autoSpaceDN/>
        <w:bidi w:val="0"/>
        <w:adjustRightInd/>
        <w:snapToGrid/>
        <w:spacing w:before="0" w:after="0" w:line="0" w:lineRule="atLeast"/>
        <w:textAlignment w:val="auto"/>
        <w:rPr>
          <w:rStyle w:val="43"/>
          <w:rFonts w:ascii="宋体" w:hAnsi="宋体"/>
          <w:b/>
          <w:bCs/>
          <w:color w:val="auto"/>
          <w:kern w:val="0"/>
          <w:sz w:val="28"/>
          <w:szCs w:val="28"/>
          <w:highlight w:val="none"/>
        </w:rPr>
      </w:pPr>
    </w:p>
    <w:p w14:paraId="68FC4ED6">
      <w:pPr>
        <w:pageBreakBefore w:val="0"/>
        <w:widowControl w:val="0"/>
        <w:kinsoku/>
        <w:wordWrap/>
        <w:overflowPunct/>
        <w:topLinePunct w:val="0"/>
        <w:autoSpaceDE/>
        <w:autoSpaceDN/>
        <w:bidi w:val="0"/>
        <w:adjustRightInd/>
        <w:snapToGrid/>
        <w:spacing w:line="0" w:lineRule="atLeast"/>
        <w:textAlignment w:val="auto"/>
        <w:rPr>
          <w:rStyle w:val="43"/>
          <w:rFonts w:ascii="宋体" w:hAnsi="宋体"/>
          <w:color w:val="auto"/>
          <w:kern w:val="0"/>
          <w:sz w:val="28"/>
          <w:szCs w:val="28"/>
          <w:highlight w:val="none"/>
        </w:rPr>
      </w:pPr>
    </w:p>
    <w:p w14:paraId="2EC6A4B2">
      <w:pPr>
        <w:pStyle w:val="4"/>
        <w:pageBreakBefore w:val="0"/>
        <w:widowControl w:val="0"/>
        <w:kinsoku/>
        <w:wordWrap/>
        <w:overflowPunct/>
        <w:topLinePunct w:val="0"/>
        <w:autoSpaceDE/>
        <w:autoSpaceDN/>
        <w:bidi w:val="0"/>
        <w:adjustRightInd/>
        <w:snapToGrid/>
        <w:spacing w:before="0" w:after="0" w:line="0" w:lineRule="atLeast"/>
        <w:textAlignment w:val="auto"/>
        <w:rPr>
          <w:rStyle w:val="43"/>
          <w:rFonts w:ascii="宋体" w:hAnsi="宋体"/>
          <w:b/>
          <w:bCs/>
          <w:color w:val="auto"/>
          <w:kern w:val="0"/>
          <w:sz w:val="28"/>
          <w:szCs w:val="28"/>
          <w:highlight w:val="none"/>
        </w:rPr>
      </w:pPr>
    </w:p>
    <w:p w14:paraId="0D902DFB">
      <w:pPr>
        <w:pageBreakBefore w:val="0"/>
        <w:widowControl w:val="0"/>
        <w:kinsoku/>
        <w:wordWrap/>
        <w:overflowPunct/>
        <w:topLinePunct w:val="0"/>
        <w:autoSpaceDE/>
        <w:autoSpaceDN/>
        <w:bidi w:val="0"/>
        <w:adjustRightInd/>
        <w:snapToGrid/>
        <w:spacing w:line="0" w:lineRule="atLeast"/>
        <w:textAlignment w:val="auto"/>
        <w:rPr>
          <w:rStyle w:val="43"/>
          <w:rFonts w:ascii="宋体" w:hAnsi="宋体"/>
          <w:color w:val="auto"/>
          <w:kern w:val="0"/>
          <w:sz w:val="28"/>
          <w:szCs w:val="28"/>
          <w:highlight w:val="none"/>
        </w:rPr>
      </w:pPr>
    </w:p>
    <w:p w14:paraId="3473B55B">
      <w:pPr>
        <w:pStyle w:val="4"/>
        <w:pageBreakBefore w:val="0"/>
        <w:widowControl w:val="0"/>
        <w:kinsoku/>
        <w:wordWrap/>
        <w:overflowPunct/>
        <w:topLinePunct w:val="0"/>
        <w:autoSpaceDE/>
        <w:autoSpaceDN/>
        <w:bidi w:val="0"/>
        <w:adjustRightInd/>
        <w:snapToGrid/>
        <w:spacing w:before="0" w:after="0" w:line="0" w:lineRule="atLeast"/>
        <w:textAlignment w:val="auto"/>
        <w:rPr>
          <w:rStyle w:val="43"/>
          <w:rFonts w:ascii="宋体" w:hAnsi="宋体"/>
          <w:b/>
          <w:bCs/>
          <w:color w:val="auto"/>
          <w:kern w:val="0"/>
          <w:sz w:val="28"/>
          <w:szCs w:val="28"/>
          <w:highlight w:val="none"/>
        </w:rPr>
      </w:pPr>
    </w:p>
    <w:p w14:paraId="7249D684">
      <w:pPr>
        <w:pageBreakBefore w:val="0"/>
        <w:widowControl w:val="0"/>
        <w:kinsoku/>
        <w:wordWrap/>
        <w:overflowPunct/>
        <w:topLinePunct w:val="0"/>
        <w:autoSpaceDE/>
        <w:autoSpaceDN/>
        <w:bidi w:val="0"/>
        <w:adjustRightInd/>
        <w:snapToGrid/>
        <w:spacing w:line="0" w:lineRule="atLeast"/>
        <w:textAlignment w:val="auto"/>
        <w:rPr>
          <w:rStyle w:val="43"/>
          <w:rFonts w:ascii="宋体" w:hAnsi="宋体"/>
          <w:color w:val="auto"/>
          <w:kern w:val="0"/>
          <w:sz w:val="28"/>
          <w:szCs w:val="28"/>
          <w:highlight w:val="none"/>
        </w:rPr>
      </w:pPr>
    </w:p>
    <w:p w14:paraId="35869BE1">
      <w:pPr>
        <w:pStyle w:val="4"/>
        <w:pageBreakBefore w:val="0"/>
        <w:widowControl w:val="0"/>
        <w:kinsoku/>
        <w:wordWrap/>
        <w:overflowPunct/>
        <w:topLinePunct w:val="0"/>
        <w:autoSpaceDE/>
        <w:autoSpaceDN/>
        <w:bidi w:val="0"/>
        <w:adjustRightInd/>
        <w:snapToGrid/>
        <w:spacing w:before="0" w:after="0" w:line="0" w:lineRule="atLeast"/>
        <w:textAlignment w:val="auto"/>
        <w:rPr>
          <w:highlight w:val="none"/>
        </w:rPr>
      </w:pPr>
    </w:p>
    <w:p w14:paraId="140DE211">
      <w:pPr>
        <w:pageBreakBefore w:val="0"/>
        <w:widowControl w:val="0"/>
        <w:kinsoku/>
        <w:wordWrap/>
        <w:overflowPunct/>
        <w:topLinePunct w:val="0"/>
        <w:autoSpaceDE/>
        <w:autoSpaceDN/>
        <w:bidi w:val="0"/>
        <w:adjustRightInd/>
        <w:snapToGrid/>
        <w:spacing w:line="0" w:lineRule="atLeast"/>
        <w:textAlignment w:val="auto"/>
        <w:rPr>
          <w:rStyle w:val="43"/>
          <w:rFonts w:ascii="宋体" w:hAnsi="宋体"/>
          <w:color w:val="auto"/>
          <w:kern w:val="0"/>
          <w:sz w:val="28"/>
          <w:szCs w:val="28"/>
          <w:highlight w:val="none"/>
        </w:rPr>
      </w:pPr>
    </w:p>
    <w:p w14:paraId="47176CF1">
      <w:pPr>
        <w:pStyle w:val="4"/>
        <w:pageBreakBefore w:val="0"/>
        <w:widowControl w:val="0"/>
        <w:kinsoku/>
        <w:wordWrap/>
        <w:overflowPunct/>
        <w:topLinePunct w:val="0"/>
        <w:autoSpaceDE/>
        <w:autoSpaceDN/>
        <w:bidi w:val="0"/>
        <w:adjustRightInd/>
        <w:snapToGrid/>
        <w:spacing w:before="0" w:after="0" w:line="0" w:lineRule="atLeast"/>
        <w:textAlignment w:val="auto"/>
        <w:rPr>
          <w:highlight w:val="none"/>
        </w:rPr>
      </w:pPr>
    </w:p>
    <w:p w14:paraId="10FA5DC3">
      <w:pPr>
        <w:pageBreakBefore w:val="0"/>
        <w:widowControl w:val="0"/>
        <w:kinsoku/>
        <w:wordWrap/>
        <w:overflowPunct/>
        <w:topLinePunct w:val="0"/>
        <w:autoSpaceDE/>
        <w:autoSpaceDN/>
        <w:bidi w:val="0"/>
        <w:adjustRightInd/>
        <w:snapToGrid/>
        <w:spacing w:line="0" w:lineRule="atLeast"/>
        <w:textAlignment w:val="auto"/>
        <w:rPr>
          <w:rStyle w:val="43"/>
          <w:rFonts w:ascii="宋体" w:hAnsi="宋体"/>
          <w:color w:val="auto"/>
          <w:kern w:val="0"/>
          <w:sz w:val="28"/>
          <w:szCs w:val="28"/>
          <w:highlight w:val="none"/>
        </w:rPr>
      </w:pPr>
    </w:p>
    <w:p w14:paraId="07539EBA">
      <w:pPr>
        <w:pStyle w:val="4"/>
        <w:pageBreakBefore w:val="0"/>
        <w:kinsoku/>
        <w:wordWrap/>
        <w:overflowPunct/>
        <w:topLinePunct w:val="0"/>
        <w:autoSpaceDE/>
        <w:autoSpaceDN/>
        <w:bidi w:val="0"/>
        <w:adjustRightInd/>
        <w:snapToGrid/>
        <w:spacing w:before="0" w:after="0" w:line="0" w:lineRule="atLeast"/>
        <w:textAlignment w:val="auto"/>
        <w:rPr>
          <w:rStyle w:val="43"/>
          <w:rFonts w:ascii="宋体" w:hAnsi="宋体"/>
          <w:b/>
          <w:bCs/>
          <w:color w:val="auto"/>
          <w:kern w:val="0"/>
          <w:sz w:val="28"/>
          <w:szCs w:val="28"/>
          <w:highlight w:val="none"/>
        </w:rPr>
      </w:pPr>
    </w:p>
    <w:p w14:paraId="34E511DD">
      <w:pPr>
        <w:pageBreakBefore w:val="0"/>
        <w:kinsoku/>
        <w:wordWrap/>
        <w:overflowPunct/>
        <w:topLinePunct w:val="0"/>
        <w:autoSpaceDE/>
        <w:autoSpaceDN/>
        <w:bidi w:val="0"/>
        <w:adjustRightInd/>
        <w:snapToGrid/>
        <w:spacing w:line="0" w:lineRule="atLeast"/>
        <w:textAlignment w:val="auto"/>
        <w:rPr>
          <w:rStyle w:val="43"/>
          <w:rFonts w:ascii="宋体" w:hAnsi="宋体"/>
          <w:color w:val="auto"/>
          <w:kern w:val="0"/>
          <w:sz w:val="28"/>
          <w:szCs w:val="28"/>
          <w:highlight w:val="none"/>
        </w:rPr>
      </w:pPr>
    </w:p>
    <w:p w14:paraId="77B48BC3">
      <w:pPr>
        <w:pStyle w:val="4"/>
        <w:rPr>
          <w:rStyle w:val="43"/>
          <w:rFonts w:ascii="宋体" w:hAnsi="宋体"/>
          <w:b/>
          <w:bCs/>
          <w:color w:val="auto"/>
          <w:kern w:val="0"/>
          <w:sz w:val="28"/>
          <w:szCs w:val="28"/>
          <w:highlight w:val="none"/>
        </w:rPr>
      </w:pPr>
    </w:p>
    <w:p w14:paraId="2C984792">
      <w:pPr>
        <w:rPr>
          <w:rStyle w:val="43"/>
          <w:rFonts w:ascii="宋体" w:hAnsi="宋体"/>
          <w:color w:val="auto"/>
          <w:kern w:val="0"/>
          <w:sz w:val="28"/>
          <w:szCs w:val="28"/>
          <w:highlight w:val="none"/>
        </w:rPr>
      </w:pPr>
    </w:p>
    <w:p w14:paraId="1303067F">
      <w:pPr>
        <w:pStyle w:val="4"/>
        <w:rPr>
          <w:highlight w:val="none"/>
        </w:rPr>
      </w:pPr>
    </w:p>
    <w:p w14:paraId="2DA3005F">
      <w:pPr>
        <w:pStyle w:val="4"/>
        <w:pageBreakBefore w:val="0"/>
        <w:kinsoku/>
        <w:wordWrap/>
        <w:overflowPunct/>
        <w:topLinePunct w:val="0"/>
        <w:autoSpaceDE/>
        <w:autoSpaceDN/>
        <w:bidi w:val="0"/>
        <w:adjustRightInd/>
        <w:snapToGrid/>
        <w:spacing w:before="0" w:after="0" w:line="0" w:lineRule="atLeast"/>
        <w:textAlignment w:val="auto"/>
        <w:rPr>
          <w:highlight w:val="none"/>
        </w:rPr>
      </w:pPr>
    </w:p>
    <w:p w14:paraId="09110939">
      <w:pPr>
        <w:pStyle w:val="4"/>
        <w:pageBreakBefore w:val="0"/>
        <w:widowControl w:val="0"/>
        <w:kinsoku/>
        <w:wordWrap/>
        <w:overflowPunct/>
        <w:topLinePunct w:val="0"/>
        <w:autoSpaceDE/>
        <w:autoSpaceDN/>
        <w:bidi w:val="0"/>
        <w:adjustRightInd/>
        <w:snapToGrid/>
        <w:spacing w:before="0" w:after="0" w:line="0" w:lineRule="atLeast"/>
        <w:textAlignment w:val="auto"/>
        <w:rPr>
          <w:highlight w:val="none"/>
        </w:rPr>
      </w:pPr>
    </w:p>
    <w:p w14:paraId="6ADC9C0F">
      <w:pPr>
        <w:pStyle w:val="4"/>
        <w:pageBreakBefore w:val="0"/>
        <w:widowControl w:val="0"/>
        <w:kinsoku/>
        <w:wordWrap/>
        <w:overflowPunct/>
        <w:topLinePunct w:val="0"/>
        <w:autoSpaceDE/>
        <w:autoSpaceDN/>
        <w:bidi w:val="0"/>
        <w:adjustRightInd/>
        <w:snapToGrid/>
        <w:spacing w:before="0" w:after="0" w:line="0" w:lineRule="atLeast"/>
        <w:textAlignment w:val="auto"/>
        <w:rPr>
          <w:rStyle w:val="43"/>
          <w:rFonts w:ascii="宋体" w:hAnsi="宋体"/>
          <w:b/>
          <w:bCs/>
          <w:color w:val="auto"/>
          <w:kern w:val="0"/>
          <w:sz w:val="28"/>
          <w:szCs w:val="28"/>
          <w:highlight w:val="none"/>
        </w:rPr>
      </w:pPr>
    </w:p>
    <w:p w14:paraId="222E8206">
      <w:pPr>
        <w:pageBreakBefore w:val="0"/>
        <w:widowControl w:val="0"/>
        <w:kinsoku/>
        <w:wordWrap/>
        <w:overflowPunct/>
        <w:topLinePunct w:val="0"/>
        <w:autoSpaceDE/>
        <w:autoSpaceDN/>
        <w:bidi w:val="0"/>
        <w:adjustRightInd/>
        <w:snapToGrid/>
        <w:spacing w:line="0" w:lineRule="atLeast"/>
        <w:textAlignment w:val="auto"/>
        <w:rPr>
          <w:rStyle w:val="43"/>
          <w:rFonts w:ascii="宋体" w:hAnsi="宋体"/>
          <w:color w:val="auto"/>
          <w:kern w:val="0"/>
          <w:sz w:val="28"/>
          <w:szCs w:val="28"/>
          <w:highlight w:val="none"/>
        </w:rPr>
      </w:pPr>
    </w:p>
    <w:p w14:paraId="0C45CCB5">
      <w:pPr>
        <w:pStyle w:val="36"/>
        <w:spacing w:line="432" w:lineRule="auto"/>
        <w:rPr>
          <w:rStyle w:val="43"/>
          <w:b w:val="0"/>
          <w:color w:val="auto"/>
          <w:sz w:val="21"/>
          <w:szCs w:val="21"/>
          <w:highlight w:val="none"/>
        </w:rPr>
      </w:pPr>
      <w:r>
        <w:rPr>
          <w:rStyle w:val="43"/>
          <w:rFonts w:hint="eastAsia"/>
          <w:b w:val="0"/>
          <w:color w:val="auto"/>
          <w:sz w:val="21"/>
          <w:szCs w:val="21"/>
          <w:highlight w:val="none"/>
        </w:rPr>
        <w:t>附件2：</w:t>
      </w:r>
    </w:p>
    <w:p w14:paraId="34BF0CE2">
      <w:pPr>
        <w:pStyle w:val="36"/>
        <w:spacing w:line="432" w:lineRule="auto"/>
        <w:jc w:val="center"/>
        <w:rPr>
          <w:rStyle w:val="43"/>
          <w:rFonts w:hint="eastAsia" w:eastAsia="宋体"/>
          <w:color w:val="auto"/>
          <w:sz w:val="28"/>
          <w:szCs w:val="28"/>
          <w:highlight w:val="none"/>
          <w:lang w:eastAsia="zh-CN"/>
        </w:rPr>
      </w:pPr>
      <w:r>
        <w:rPr>
          <w:rStyle w:val="43"/>
          <w:rFonts w:hint="eastAsia"/>
          <w:color w:val="auto"/>
          <w:sz w:val="28"/>
          <w:szCs w:val="28"/>
          <w:highlight w:val="none"/>
        </w:rPr>
        <w:t>关于印发中小企业划型标准规定的通知</w:t>
      </w:r>
    </w:p>
    <w:p w14:paraId="4B8488E0">
      <w:pPr>
        <w:pStyle w:val="36"/>
        <w:spacing w:line="432" w:lineRule="auto"/>
        <w:jc w:val="center"/>
        <w:rPr>
          <w:color w:val="auto"/>
          <w:sz w:val="21"/>
          <w:szCs w:val="21"/>
          <w:highlight w:val="none"/>
        </w:rPr>
      </w:pPr>
      <w:r>
        <w:rPr>
          <w:rFonts w:hint="eastAsia"/>
          <w:color w:val="auto"/>
          <w:sz w:val="21"/>
          <w:szCs w:val="21"/>
          <w:highlight w:val="none"/>
        </w:rPr>
        <w:t>工信部联企业〔2011〕300号</w:t>
      </w:r>
    </w:p>
    <w:p w14:paraId="5F9D146C">
      <w:pPr>
        <w:pStyle w:val="36"/>
        <w:spacing w:line="432" w:lineRule="auto"/>
        <w:rPr>
          <w:rFonts w:hint="eastAsia" w:eastAsia="宋体"/>
          <w:color w:val="auto"/>
          <w:sz w:val="21"/>
          <w:szCs w:val="21"/>
          <w:highlight w:val="none"/>
          <w:lang w:eastAsia="zh-CN"/>
        </w:rPr>
      </w:pPr>
      <w:r>
        <w:rPr>
          <w:rFonts w:hint="eastAsia"/>
          <w:color w:val="auto"/>
          <w:sz w:val="21"/>
          <w:szCs w:val="21"/>
          <w:highlight w:val="none"/>
        </w:rPr>
        <w:t>各省、自治区、直辖市人民政府，国务院各部委、各直属机构及有关单位：</w:t>
      </w:r>
    </w:p>
    <w:p w14:paraId="35DE97CF">
      <w:pPr>
        <w:pStyle w:val="36"/>
        <w:spacing w:line="432" w:lineRule="auto"/>
        <w:rPr>
          <w:color w:val="auto"/>
          <w:sz w:val="21"/>
          <w:szCs w:val="21"/>
          <w:highlight w:val="none"/>
        </w:rPr>
      </w:pPr>
      <w:r>
        <w:rPr>
          <w:rFonts w:hint="eastAsia"/>
          <w:color w:val="auto"/>
          <w:sz w:val="21"/>
          <w:szCs w:val="21"/>
          <w:highlight w:val="none"/>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　　</w:t>
      </w:r>
    </w:p>
    <w:p w14:paraId="223AFE62">
      <w:pPr>
        <w:wordWrap w:val="0"/>
        <w:snapToGrid w:val="0"/>
        <w:spacing w:before="100" w:beforeAutospacing="1" w:after="100" w:afterAutospacing="1"/>
        <w:jc w:val="right"/>
        <w:rPr>
          <w:rFonts w:hint="default" w:ascii="宋体" w:hAnsi="宋体" w:eastAsia="宋体" w:cs="宋体"/>
          <w:color w:val="auto"/>
          <w:kern w:val="0"/>
          <w:szCs w:val="21"/>
          <w:highlight w:val="none"/>
          <w:lang w:val="en-US" w:eastAsia="zh-CN"/>
        </w:rPr>
      </w:pPr>
      <w:r>
        <w:rPr>
          <w:rFonts w:hint="eastAsia" w:ascii="宋体" w:hAnsi="宋体"/>
          <w:color w:val="auto"/>
          <w:szCs w:val="21"/>
          <w:highlight w:val="none"/>
        </w:rPr>
        <w:t>　　　　　　　</w:t>
      </w:r>
      <w:r>
        <w:rPr>
          <w:rFonts w:ascii="宋体" w:hAnsi="宋体" w:cs="宋体"/>
          <w:color w:val="auto"/>
          <w:kern w:val="0"/>
          <w:szCs w:val="21"/>
          <w:highlight w:val="none"/>
        </w:rPr>
        <w:t> </w:t>
      </w:r>
      <w:r>
        <w:rPr>
          <w:rFonts w:hint="eastAsia" w:ascii="宋体" w:hAnsi="宋体" w:cs="宋体"/>
          <w:color w:val="auto"/>
          <w:kern w:val="0"/>
          <w:szCs w:val="21"/>
          <w:highlight w:val="none"/>
        </w:rPr>
        <w:t xml:space="preserve">        工业和信息化部</w:t>
      </w:r>
      <w:r>
        <w:rPr>
          <w:rFonts w:hint="eastAsia" w:ascii="宋体" w:hAnsi="宋体" w:cs="宋体"/>
          <w:color w:val="auto"/>
          <w:kern w:val="0"/>
          <w:szCs w:val="21"/>
          <w:highlight w:val="none"/>
          <w:lang w:val="en-US" w:eastAsia="zh-CN"/>
        </w:rPr>
        <w:t xml:space="preserve">   </w:t>
      </w:r>
    </w:p>
    <w:p w14:paraId="465D843A">
      <w:pPr>
        <w:wordWrap w:val="0"/>
        <w:snapToGrid w:val="0"/>
        <w:spacing w:before="100" w:beforeAutospacing="1" w:after="100" w:afterAutospacing="1"/>
        <w:jc w:val="righ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国家统计局</w:t>
      </w:r>
      <w:r>
        <w:rPr>
          <w:rFonts w:hint="eastAsia" w:ascii="宋体" w:hAnsi="宋体" w:cs="宋体"/>
          <w:color w:val="auto"/>
          <w:kern w:val="0"/>
          <w:szCs w:val="21"/>
          <w:highlight w:val="none"/>
          <w:lang w:val="en-US" w:eastAsia="zh-CN"/>
        </w:rPr>
        <w:t xml:space="preserve">     </w:t>
      </w:r>
    </w:p>
    <w:p w14:paraId="40A9F77E">
      <w:pPr>
        <w:widowControl/>
        <w:snapToGrid w:val="0"/>
        <w:spacing w:before="100" w:beforeAutospacing="1" w:after="100" w:afterAutospacing="1"/>
        <w:jc w:val="right"/>
        <w:rPr>
          <w:rFonts w:ascii="宋体" w:hAnsi="宋体" w:cs="宋体"/>
          <w:color w:val="auto"/>
          <w:kern w:val="0"/>
          <w:szCs w:val="21"/>
          <w:highlight w:val="none"/>
        </w:rPr>
      </w:pPr>
      <w:r>
        <w:rPr>
          <w:rFonts w:hint="eastAsia" w:ascii="宋体" w:hAnsi="宋体" w:cs="宋体"/>
          <w:color w:val="auto"/>
          <w:kern w:val="0"/>
          <w:szCs w:val="21"/>
          <w:highlight w:val="none"/>
        </w:rPr>
        <w:t>　　</w:t>
      </w:r>
      <w:r>
        <w:rPr>
          <w:rFonts w:ascii="宋体" w:hAnsi="宋体" w:cs="宋体"/>
          <w:color w:val="auto"/>
          <w:kern w:val="0"/>
          <w:szCs w:val="21"/>
          <w:highlight w:val="none"/>
        </w:rPr>
        <w:t>      </w:t>
      </w:r>
      <w:r>
        <w:rPr>
          <w:rFonts w:hint="eastAsia" w:ascii="宋体" w:hAnsi="宋体" w:cs="宋体"/>
          <w:color w:val="auto"/>
          <w:kern w:val="0"/>
          <w:szCs w:val="21"/>
          <w:highlight w:val="none"/>
        </w:rPr>
        <w:t>国家发展和改革委员会</w:t>
      </w:r>
    </w:p>
    <w:p w14:paraId="6EE511EA">
      <w:pPr>
        <w:widowControl/>
        <w:wordWrap w:val="0"/>
        <w:snapToGrid w:val="0"/>
        <w:spacing w:before="100" w:beforeAutospacing="1" w:after="100" w:afterAutospacing="1"/>
        <w:jc w:val="righ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财政部</w:t>
      </w:r>
      <w:r>
        <w:rPr>
          <w:rFonts w:hint="eastAsia" w:ascii="宋体" w:hAnsi="宋体" w:cs="宋体"/>
          <w:color w:val="auto"/>
          <w:kern w:val="0"/>
          <w:szCs w:val="21"/>
          <w:highlight w:val="none"/>
          <w:lang w:val="en-US" w:eastAsia="zh-CN"/>
        </w:rPr>
        <w:t xml:space="preserve">      </w:t>
      </w:r>
    </w:p>
    <w:p w14:paraId="03220173">
      <w:pPr>
        <w:widowControl/>
        <w:wordWrap w:val="0"/>
        <w:snapToGrid w:val="0"/>
        <w:spacing w:before="100" w:beforeAutospacing="1" w:after="100" w:afterAutospacing="1"/>
        <w:jc w:val="right"/>
        <w:rPr>
          <w:rFonts w:ascii="宋体" w:hAnsi="宋体" w:cs="宋体"/>
          <w:color w:val="auto"/>
          <w:kern w:val="0"/>
          <w:szCs w:val="21"/>
          <w:highlight w:val="none"/>
        </w:rPr>
      </w:pPr>
      <w:r>
        <w:rPr>
          <w:rFonts w:hint="eastAsia" w:ascii="宋体" w:hAnsi="宋体" w:cs="宋体"/>
          <w:color w:val="auto"/>
          <w:kern w:val="0"/>
          <w:szCs w:val="21"/>
          <w:highlight w:val="none"/>
        </w:rPr>
        <w:t>　　</w:t>
      </w:r>
      <w:r>
        <w:rPr>
          <w:rFonts w:ascii="宋体" w:hAnsi="宋体" w:cs="宋体"/>
          <w:color w:val="auto"/>
          <w:kern w:val="0"/>
          <w:szCs w:val="21"/>
          <w:highlight w:val="none"/>
        </w:rPr>
        <w:t>                                                                     </w:t>
      </w:r>
      <w:r>
        <w:rPr>
          <w:rFonts w:hint="eastAsia" w:ascii="宋体" w:hAnsi="宋体" w:cs="宋体"/>
          <w:color w:val="auto"/>
          <w:kern w:val="0"/>
          <w:szCs w:val="21"/>
          <w:highlight w:val="none"/>
        </w:rPr>
        <w:t>二○一一年六月十八日</w:t>
      </w:r>
    </w:p>
    <w:p w14:paraId="313B2BF0">
      <w:pPr>
        <w:pStyle w:val="36"/>
        <w:spacing w:line="432" w:lineRule="auto"/>
        <w:rPr>
          <w:color w:val="auto"/>
          <w:sz w:val="21"/>
          <w:szCs w:val="21"/>
          <w:highlight w:val="none"/>
        </w:rPr>
      </w:pPr>
      <w:r>
        <w:rPr>
          <w:rFonts w:hint="eastAsia"/>
          <w:color w:val="auto"/>
          <w:sz w:val="21"/>
          <w:szCs w:val="21"/>
          <w:highlight w:val="none"/>
        </w:rPr>
        <w:t>　　　　</w:t>
      </w:r>
    </w:p>
    <w:p w14:paraId="0276C984">
      <w:pPr>
        <w:pStyle w:val="36"/>
        <w:spacing w:line="432" w:lineRule="auto"/>
        <w:jc w:val="center"/>
        <w:rPr>
          <w:color w:val="auto"/>
          <w:sz w:val="28"/>
          <w:szCs w:val="28"/>
          <w:highlight w:val="none"/>
        </w:rPr>
      </w:pPr>
      <w:r>
        <w:rPr>
          <w:rStyle w:val="43"/>
          <w:color w:val="auto"/>
          <w:sz w:val="21"/>
          <w:szCs w:val="21"/>
          <w:highlight w:val="none"/>
        </w:rPr>
        <w:br w:type="page"/>
      </w:r>
      <w:r>
        <w:rPr>
          <w:rStyle w:val="43"/>
          <w:rFonts w:hint="eastAsia"/>
          <w:color w:val="auto"/>
          <w:sz w:val="28"/>
          <w:szCs w:val="28"/>
          <w:highlight w:val="none"/>
        </w:rPr>
        <w:t>中小企业划型标准规定</w:t>
      </w:r>
    </w:p>
    <w:p w14:paraId="4FF5F74D">
      <w:pPr>
        <w:spacing w:beforeLines="100" w:line="440" w:lineRule="exact"/>
        <w:ind w:firstLine="420" w:firstLineChars="200"/>
        <w:rPr>
          <w:rFonts w:hint="eastAsia" w:eastAsia="宋体"/>
          <w:color w:val="auto"/>
          <w:szCs w:val="21"/>
          <w:highlight w:val="none"/>
          <w:lang w:eastAsia="zh-CN"/>
        </w:rPr>
      </w:pPr>
      <w:r>
        <w:rPr>
          <w:rFonts w:hint="eastAsia"/>
          <w:color w:val="auto"/>
          <w:szCs w:val="21"/>
          <w:highlight w:val="none"/>
        </w:rPr>
        <w:t>　　一、根据《中华人民共和国中小企业促进法》和《国务院关于进一步促进中小企业发展的若干意见》(国发〔2009〕36号)，制定本规定。</w:t>
      </w:r>
    </w:p>
    <w:p w14:paraId="14747038">
      <w:pPr>
        <w:spacing w:beforeLines="100" w:line="440" w:lineRule="exact"/>
        <w:ind w:firstLine="420" w:firstLineChars="200"/>
        <w:rPr>
          <w:rFonts w:hint="eastAsia" w:eastAsia="宋体"/>
          <w:color w:val="auto"/>
          <w:szCs w:val="21"/>
          <w:highlight w:val="none"/>
          <w:lang w:eastAsia="zh-CN"/>
        </w:rPr>
      </w:pPr>
      <w:r>
        <w:rPr>
          <w:rFonts w:hint="eastAsia"/>
          <w:color w:val="auto"/>
          <w:szCs w:val="21"/>
          <w:highlight w:val="none"/>
        </w:rPr>
        <w:t>　　二、中小企业划分为中型、小型、微型三种类型，具体标准根据企业从业人员、营业收入、资产总额等指标，结合行业特点制定。</w:t>
      </w:r>
    </w:p>
    <w:p w14:paraId="56A302CC">
      <w:pPr>
        <w:spacing w:beforeLines="100" w:line="440" w:lineRule="exact"/>
        <w:ind w:firstLine="420" w:firstLineChars="200"/>
        <w:rPr>
          <w:rFonts w:hint="eastAsia" w:eastAsia="宋体"/>
          <w:color w:val="auto"/>
          <w:szCs w:val="21"/>
          <w:highlight w:val="none"/>
          <w:lang w:eastAsia="zh-CN"/>
        </w:rPr>
      </w:pPr>
      <w:r>
        <w:rPr>
          <w:rFonts w:hint="eastAsia"/>
          <w:color w:val="auto"/>
          <w:szCs w:val="21"/>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4B95EEA">
      <w:pPr>
        <w:spacing w:beforeLines="100" w:line="440" w:lineRule="exact"/>
        <w:ind w:firstLine="420" w:firstLineChars="200"/>
        <w:rPr>
          <w:rFonts w:hint="eastAsia" w:eastAsia="宋体"/>
          <w:color w:val="auto"/>
          <w:szCs w:val="21"/>
          <w:highlight w:val="none"/>
          <w:lang w:eastAsia="zh-CN"/>
        </w:rPr>
      </w:pPr>
      <w:r>
        <w:rPr>
          <w:rFonts w:hint="eastAsia"/>
          <w:color w:val="auto"/>
          <w:szCs w:val="21"/>
          <w:highlight w:val="none"/>
        </w:rPr>
        <w:t>　　四、各行业划型标准为：</w:t>
      </w:r>
    </w:p>
    <w:p w14:paraId="14F42122">
      <w:pPr>
        <w:spacing w:beforeLines="100" w:line="440" w:lineRule="exact"/>
        <w:ind w:firstLine="420" w:firstLineChars="200"/>
        <w:rPr>
          <w:rFonts w:hint="eastAsia" w:eastAsia="宋体"/>
          <w:color w:val="auto"/>
          <w:szCs w:val="21"/>
          <w:highlight w:val="none"/>
          <w:lang w:eastAsia="zh-CN"/>
        </w:rPr>
      </w:pPr>
      <w:r>
        <w:rPr>
          <w:rFonts w:hint="eastAsia"/>
          <w:color w:val="auto"/>
          <w:szCs w:val="21"/>
          <w:highlight w:val="none"/>
        </w:rPr>
        <w:t>　　（一）农、林、牧、渔业。营业收入20000万元以下的为中小微型企业。其中，营业收入500万元及以上的为中型企业，营业收入50万元及以上的为小型企业，营业收入50万元以下的为微型企业。</w:t>
      </w:r>
    </w:p>
    <w:p w14:paraId="578A5026">
      <w:pPr>
        <w:spacing w:beforeLines="100" w:line="440" w:lineRule="exact"/>
        <w:ind w:firstLine="420" w:firstLineChars="200"/>
        <w:rPr>
          <w:rFonts w:hint="eastAsia" w:eastAsia="宋体"/>
          <w:color w:val="auto"/>
          <w:szCs w:val="21"/>
          <w:highlight w:val="none"/>
          <w:lang w:eastAsia="zh-CN"/>
        </w:rPr>
      </w:pPr>
      <w:r>
        <w:rPr>
          <w:rFonts w:hint="eastAsia"/>
          <w:color w:val="auto"/>
          <w:szCs w:val="21"/>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BD1D7CA">
      <w:pPr>
        <w:spacing w:beforeLines="100" w:line="440" w:lineRule="exact"/>
        <w:ind w:firstLine="420" w:firstLineChars="200"/>
        <w:rPr>
          <w:rFonts w:hint="eastAsia" w:eastAsia="宋体"/>
          <w:color w:val="auto"/>
          <w:szCs w:val="21"/>
          <w:highlight w:val="none"/>
          <w:lang w:eastAsia="zh-CN"/>
        </w:rPr>
      </w:pPr>
      <w:r>
        <w:rPr>
          <w:rFonts w:hint="eastAsia"/>
          <w:color w:val="auto"/>
          <w:szCs w:val="21"/>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EE7AC53">
      <w:pPr>
        <w:spacing w:beforeLines="100" w:line="440" w:lineRule="exact"/>
        <w:ind w:firstLine="420" w:firstLineChars="200"/>
        <w:rPr>
          <w:rFonts w:hint="eastAsia" w:eastAsia="宋体"/>
          <w:color w:val="auto"/>
          <w:szCs w:val="21"/>
          <w:highlight w:val="none"/>
          <w:lang w:eastAsia="zh-CN"/>
        </w:rPr>
      </w:pPr>
      <w:r>
        <w:rPr>
          <w:rFonts w:hint="eastAsia"/>
          <w:color w:val="auto"/>
          <w:szCs w:val="21"/>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C4EDB4D">
      <w:pPr>
        <w:spacing w:beforeLines="100" w:line="440" w:lineRule="exact"/>
        <w:ind w:firstLine="420" w:firstLineChars="200"/>
        <w:rPr>
          <w:rFonts w:hint="eastAsia" w:eastAsia="宋体"/>
          <w:color w:val="auto"/>
          <w:szCs w:val="21"/>
          <w:highlight w:val="none"/>
          <w:lang w:eastAsia="zh-CN"/>
        </w:rPr>
      </w:pPr>
      <w:r>
        <w:rPr>
          <w:rFonts w:hint="eastAsia"/>
          <w:color w:val="auto"/>
          <w:szCs w:val="21"/>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F2E11EF">
      <w:pPr>
        <w:spacing w:beforeLines="100" w:line="440" w:lineRule="exact"/>
        <w:ind w:firstLine="420" w:firstLineChars="200"/>
        <w:rPr>
          <w:rFonts w:hint="eastAsia" w:eastAsia="宋体"/>
          <w:color w:val="auto"/>
          <w:szCs w:val="21"/>
          <w:highlight w:val="none"/>
          <w:lang w:eastAsia="zh-CN"/>
        </w:rPr>
      </w:pPr>
      <w:r>
        <w:rPr>
          <w:rFonts w:hint="eastAsia"/>
          <w:color w:val="auto"/>
          <w:szCs w:val="21"/>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25D3CA1">
      <w:pPr>
        <w:spacing w:beforeLines="100" w:line="440" w:lineRule="exact"/>
        <w:ind w:firstLine="420" w:firstLineChars="200"/>
        <w:rPr>
          <w:rFonts w:hint="eastAsia" w:eastAsia="宋体"/>
          <w:color w:val="auto"/>
          <w:szCs w:val="21"/>
          <w:highlight w:val="none"/>
          <w:lang w:eastAsia="zh-CN"/>
        </w:rPr>
      </w:pPr>
      <w:r>
        <w:rPr>
          <w:rFonts w:hint="eastAsia"/>
          <w:color w:val="auto"/>
          <w:szCs w:val="21"/>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1417498">
      <w:pPr>
        <w:spacing w:beforeLines="100" w:line="440" w:lineRule="exact"/>
        <w:ind w:firstLine="420" w:firstLineChars="200"/>
        <w:rPr>
          <w:rFonts w:hint="eastAsia" w:eastAsia="宋体"/>
          <w:color w:val="auto"/>
          <w:szCs w:val="21"/>
          <w:highlight w:val="none"/>
          <w:lang w:eastAsia="zh-CN"/>
        </w:rPr>
      </w:pPr>
      <w:r>
        <w:rPr>
          <w:rFonts w:hint="eastAsia"/>
          <w:color w:val="auto"/>
          <w:szCs w:val="21"/>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A7285B9">
      <w:pPr>
        <w:spacing w:beforeLines="100" w:line="440" w:lineRule="exact"/>
        <w:ind w:firstLine="420" w:firstLineChars="200"/>
        <w:rPr>
          <w:rFonts w:hint="eastAsia" w:eastAsia="宋体"/>
          <w:color w:val="auto"/>
          <w:szCs w:val="21"/>
          <w:highlight w:val="none"/>
          <w:lang w:eastAsia="zh-CN"/>
        </w:rPr>
      </w:pPr>
      <w:r>
        <w:rPr>
          <w:rFonts w:hint="eastAsia"/>
          <w:color w:val="auto"/>
          <w:szCs w:val="21"/>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2B6C320">
      <w:pPr>
        <w:spacing w:beforeLines="100" w:line="440" w:lineRule="exact"/>
        <w:ind w:firstLine="420" w:firstLineChars="200"/>
        <w:rPr>
          <w:rFonts w:hint="eastAsia" w:eastAsia="宋体"/>
          <w:color w:val="auto"/>
          <w:szCs w:val="21"/>
          <w:highlight w:val="none"/>
          <w:lang w:eastAsia="zh-CN"/>
        </w:rPr>
      </w:pPr>
      <w:r>
        <w:rPr>
          <w:rFonts w:hint="eastAsia"/>
          <w:color w:val="auto"/>
          <w:szCs w:val="21"/>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7D663A1">
      <w:pPr>
        <w:spacing w:beforeLines="100" w:line="440" w:lineRule="exact"/>
        <w:ind w:firstLine="420" w:firstLineChars="200"/>
        <w:rPr>
          <w:rFonts w:hint="eastAsia" w:eastAsia="宋体"/>
          <w:color w:val="auto"/>
          <w:szCs w:val="21"/>
          <w:highlight w:val="none"/>
          <w:lang w:eastAsia="zh-CN"/>
        </w:rPr>
      </w:pPr>
      <w:r>
        <w:rPr>
          <w:rFonts w:hint="eastAsia"/>
          <w:color w:val="auto"/>
          <w:szCs w:val="21"/>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BBE5AD8">
      <w:pPr>
        <w:spacing w:beforeLines="100" w:line="440" w:lineRule="exact"/>
        <w:ind w:firstLine="420" w:firstLineChars="200"/>
        <w:rPr>
          <w:rFonts w:hint="eastAsia" w:eastAsia="宋体"/>
          <w:color w:val="auto"/>
          <w:szCs w:val="21"/>
          <w:highlight w:val="none"/>
          <w:lang w:eastAsia="zh-CN"/>
        </w:rPr>
      </w:pPr>
      <w:r>
        <w:rPr>
          <w:rFonts w:hint="eastAsia"/>
          <w:color w:val="auto"/>
          <w:szCs w:val="21"/>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1A589DF">
      <w:pPr>
        <w:spacing w:beforeLines="100" w:line="440" w:lineRule="exact"/>
        <w:ind w:firstLine="420" w:firstLineChars="200"/>
        <w:rPr>
          <w:rFonts w:hint="eastAsia" w:eastAsia="宋体"/>
          <w:color w:val="auto"/>
          <w:szCs w:val="21"/>
          <w:highlight w:val="none"/>
          <w:lang w:eastAsia="zh-CN"/>
        </w:rPr>
      </w:pPr>
      <w:r>
        <w:rPr>
          <w:rFonts w:hint="eastAsia"/>
          <w:color w:val="auto"/>
          <w:szCs w:val="21"/>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97911E2">
      <w:pPr>
        <w:spacing w:beforeLines="100" w:line="440" w:lineRule="exact"/>
        <w:ind w:firstLine="420" w:firstLineChars="200"/>
        <w:rPr>
          <w:rFonts w:hint="eastAsia" w:eastAsia="宋体"/>
          <w:color w:val="auto"/>
          <w:szCs w:val="21"/>
          <w:highlight w:val="none"/>
          <w:lang w:eastAsia="zh-CN"/>
        </w:rPr>
      </w:pPr>
      <w:r>
        <w:rPr>
          <w:rFonts w:hint="eastAsia"/>
          <w:color w:val="auto"/>
          <w:szCs w:val="21"/>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5C1B6B6">
      <w:pPr>
        <w:spacing w:beforeLines="100" w:line="440" w:lineRule="exact"/>
        <w:ind w:firstLine="420" w:firstLineChars="200"/>
        <w:rPr>
          <w:rFonts w:hint="eastAsia" w:eastAsia="宋体"/>
          <w:color w:val="auto"/>
          <w:szCs w:val="21"/>
          <w:highlight w:val="none"/>
          <w:lang w:eastAsia="zh-CN"/>
        </w:rPr>
      </w:pPr>
      <w:r>
        <w:rPr>
          <w:rFonts w:hint="eastAsia"/>
          <w:color w:val="auto"/>
          <w:szCs w:val="21"/>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29FE491">
      <w:pPr>
        <w:spacing w:beforeLines="100" w:line="440" w:lineRule="exact"/>
        <w:ind w:firstLine="420" w:firstLineChars="200"/>
        <w:rPr>
          <w:rFonts w:hint="eastAsia" w:eastAsia="宋体"/>
          <w:color w:val="auto"/>
          <w:szCs w:val="21"/>
          <w:highlight w:val="none"/>
          <w:lang w:eastAsia="zh-CN"/>
        </w:rPr>
      </w:pPr>
      <w:r>
        <w:rPr>
          <w:rFonts w:hint="eastAsia"/>
          <w:color w:val="auto"/>
          <w:szCs w:val="21"/>
          <w:highlight w:val="none"/>
        </w:rPr>
        <w:t>　　（十六）其他未列明行业。从业人员300人以下的为中小微型企业。其中，从业人员100人及以上的为中型企业；从业人员10人及以上的为小型企业；从业人员10人以下的为微型企业。</w:t>
      </w:r>
    </w:p>
    <w:p w14:paraId="02DA049B">
      <w:pPr>
        <w:spacing w:beforeLines="100" w:line="440" w:lineRule="exact"/>
        <w:ind w:firstLine="420" w:firstLineChars="200"/>
        <w:rPr>
          <w:rFonts w:hint="eastAsia" w:eastAsia="宋体"/>
          <w:color w:val="auto"/>
          <w:szCs w:val="21"/>
          <w:highlight w:val="none"/>
          <w:lang w:eastAsia="zh-CN"/>
        </w:rPr>
      </w:pPr>
      <w:r>
        <w:rPr>
          <w:rFonts w:hint="eastAsia"/>
          <w:color w:val="auto"/>
          <w:szCs w:val="21"/>
          <w:highlight w:val="none"/>
        </w:rPr>
        <w:t>　　五、企业类型的划分以统计部门的统计数据为依据。</w:t>
      </w:r>
    </w:p>
    <w:p w14:paraId="10CEF64A">
      <w:pPr>
        <w:spacing w:beforeLines="100" w:line="440" w:lineRule="exact"/>
        <w:ind w:firstLine="420" w:firstLineChars="200"/>
        <w:rPr>
          <w:rFonts w:hint="eastAsia" w:eastAsia="宋体"/>
          <w:color w:val="auto"/>
          <w:szCs w:val="21"/>
          <w:highlight w:val="none"/>
          <w:lang w:eastAsia="zh-CN"/>
        </w:rPr>
      </w:pPr>
      <w:r>
        <w:rPr>
          <w:rFonts w:hint="eastAsia"/>
          <w:color w:val="auto"/>
          <w:szCs w:val="21"/>
          <w:highlight w:val="none"/>
        </w:rPr>
        <w:t>　　六、本规定适用于在中华人民共和国境内依法设立的各类所有制和各种组织形式的企业。个体工商户和本规定以外的行业，参照本规定进行划型。</w:t>
      </w:r>
    </w:p>
    <w:p w14:paraId="22B99D4D">
      <w:pPr>
        <w:spacing w:beforeLines="100" w:line="440" w:lineRule="exact"/>
        <w:ind w:firstLine="420" w:firstLineChars="200"/>
        <w:rPr>
          <w:rFonts w:hint="eastAsia" w:eastAsia="宋体"/>
          <w:color w:val="auto"/>
          <w:szCs w:val="21"/>
          <w:highlight w:val="none"/>
          <w:lang w:eastAsia="zh-CN"/>
        </w:rPr>
      </w:pPr>
      <w:r>
        <w:rPr>
          <w:rFonts w:hint="eastAsia"/>
          <w:color w:val="auto"/>
          <w:szCs w:val="21"/>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5FFFBC13">
      <w:pPr>
        <w:spacing w:beforeLines="100" w:line="440" w:lineRule="exact"/>
        <w:ind w:firstLine="420" w:firstLineChars="200"/>
        <w:rPr>
          <w:rFonts w:hint="eastAsia" w:eastAsia="宋体"/>
          <w:color w:val="auto"/>
          <w:szCs w:val="21"/>
          <w:highlight w:val="none"/>
          <w:lang w:eastAsia="zh-CN"/>
        </w:rPr>
      </w:pPr>
      <w:r>
        <w:rPr>
          <w:rFonts w:hint="eastAsia"/>
          <w:color w:val="auto"/>
          <w:szCs w:val="21"/>
          <w:highlight w:val="none"/>
        </w:rPr>
        <w:t>　　八、本规定由工业和信息化部、国家统计局会同有关部门根据《国民经济行业分类》修订情况和企业发展变化情况适时修订。</w:t>
      </w:r>
    </w:p>
    <w:p w14:paraId="4BD02BDD">
      <w:pPr>
        <w:spacing w:beforeLines="100" w:line="440" w:lineRule="exact"/>
        <w:ind w:firstLine="420" w:firstLineChars="200"/>
        <w:rPr>
          <w:rFonts w:hint="eastAsia" w:eastAsia="宋体"/>
          <w:color w:val="auto"/>
          <w:szCs w:val="21"/>
          <w:highlight w:val="none"/>
          <w:lang w:eastAsia="zh-CN"/>
        </w:rPr>
      </w:pPr>
      <w:r>
        <w:rPr>
          <w:rFonts w:hint="eastAsia"/>
          <w:color w:val="auto"/>
          <w:szCs w:val="21"/>
          <w:highlight w:val="none"/>
        </w:rPr>
        <w:t>　　九、本规定由工业和信息化部、国家统计局会同有关部门负责解释。</w:t>
      </w:r>
    </w:p>
    <w:p w14:paraId="5D3EEF79">
      <w:pPr>
        <w:spacing w:beforeLines="100" w:line="440" w:lineRule="exact"/>
        <w:ind w:firstLine="420" w:firstLineChars="200"/>
        <w:rPr>
          <w:rFonts w:ascii="宋体" w:hAnsi="宋体"/>
          <w:b/>
          <w:color w:val="auto"/>
          <w:szCs w:val="32"/>
          <w:highlight w:val="none"/>
          <w:lang w:val="zh-CN"/>
        </w:rPr>
      </w:pPr>
      <w:r>
        <w:rPr>
          <w:rFonts w:hint="eastAsia"/>
          <w:color w:val="auto"/>
          <w:szCs w:val="21"/>
          <w:highlight w:val="none"/>
        </w:rPr>
        <w:t>　　十、本规定自发布之日起执行，原国家经贸委、原国家计委、财政部和国家统计局2003年颁布的《中小企业标准暂行规定》同时废止。</w:t>
      </w:r>
    </w:p>
    <w:p w14:paraId="21F86758">
      <w:pPr>
        <w:spacing w:beforeLines="100" w:line="440" w:lineRule="exact"/>
        <w:ind w:firstLine="422" w:firstLineChars="200"/>
        <w:rPr>
          <w:rFonts w:ascii="宋体" w:hAnsi="宋体"/>
          <w:b/>
          <w:color w:val="auto"/>
          <w:szCs w:val="32"/>
          <w:highlight w:val="none"/>
          <w:lang w:val="zh-CN"/>
        </w:rPr>
      </w:pPr>
    </w:p>
    <w:p w14:paraId="779BAB72">
      <w:pPr>
        <w:spacing w:beforeLines="100" w:line="440" w:lineRule="exact"/>
        <w:ind w:firstLine="422" w:firstLineChars="200"/>
        <w:rPr>
          <w:rFonts w:ascii="宋体" w:hAnsi="宋体"/>
          <w:b/>
          <w:color w:val="auto"/>
          <w:szCs w:val="32"/>
          <w:highlight w:val="none"/>
          <w:lang w:val="zh-CN"/>
        </w:rPr>
      </w:pPr>
    </w:p>
    <w:p w14:paraId="57179517">
      <w:pPr>
        <w:pStyle w:val="2"/>
        <w:rPr>
          <w:rFonts w:hint="eastAsia"/>
          <w:b/>
          <w:color w:val="auto"/>
          <w:szCs w:val="32"/>
          <w:highlight w:val="none"/>
          <w:lang w:val="en-US" w:eastAsia="zh-CN"/>
        </w:rPr>
      </w:pPr>
    </w:p>
    <w:p w14:paraId="10C27F54">
      <w:pPr>
        <w:pStyle w:val="2"/>
        <w:rPr>
          <w:rFonts w:hint="eastAsia"/>
          <w:b/>
          <w:color w:val="auto"/>
          <w:szCs w:val="32"/>
          <w:highlight w:val="none"/>
          <w:lang w:val="en-US" w:eastAsia="zh-CN"/>
        </w:rPr>
      </w:pPr>
    </w:p>
    <w:p w14:paraId="6C9272DF">
      <w:pPr>
        <w:pStyle w:val="2"/>
        <w:rPr>
          <w:rFonts w:hint="eastAsia"/>
          <w:b/>
          <w:color w:val="auto"/>
          <w:sz w:val="28"/>
          <w:szCs w:val="28"/>
          <w:highlight w:val="none"/>
          <w:lang w:val="en-US" w:eastAsia="zh-CN"/>
        </w:rPr>
      </w:pPr>
      <w:r>
        <w:rPr>
          <w:rFonts w:hint="eastAsia"/>
          <w:b/>
          <w:color w:val="auto"/>
          <w:sz w:val="28"/>
          <w:szCs w:val="28"/>
          <w:highlight w:val="none"/>
          <w:lang w:val="en-US" w:eastAsia="zh-CN"/>
        </w:rPr>
        <w:t>附件</w:t>
      </w:r>
    </w:p>
    <w:p w14:paraId="30419BEC">
      <w:pPr>
        <w:autoSpaceDE w:val="0"/>
        <w:autoSpaceDN w:val="0"/>
        <w:jc w:val="center"/>
        <w:rPr>
          <w:rFonts w:hint="eastAsia" w:eastAsia="宋体"/>
          <w:b/>
          <w:sz w:val="32"/>
          <w:szCs w:val="32"/>
          <w:lang w:val="en-US" w:eastAsia="zh-CN"/>
        </w:rPr>
      </w:pPr>
      <w:r>
        <w:rPr>
          <w:rFonts w:hint="eastAsia"/>
          <w:b/>
          <w:sz w:val="32"/>
          <w:szCs w:val="32"/>
          <w:lang w:val="en-US" w:eastAsia="zh-CN"/>
        </w:rPr>
        <w:t>二次</w:t>
      </w:r>
      <w:r>
        <w:rPr>
          <w:b/>
          <w:sz w:val="32"/>
          <w:szCs w:val="32"/>
        </w:rPr>
        <w:t>报价</w:t>
      </w:r>
      <w:r>
        <w:rPr>
          <w:rFonts w:hint="eastAsia"/>
          <w:b/>
          <w:sz w:val="32"/>
          <w:szCs w:val="32"/>
        </w:rPr>
        <w:t>明细</w:t>
      </w:r>
      <w:r>
        <w:rPr>
          <w:rFonts w:hint="eastAsia"/>
          <w:b/>
          <w:sz w:val="32"/>
          <w:szCs w:val="32"/>
          <w:lang w:val="en-US" w:eastAsia="zh-CN"/>
        </w:rPr>
        <w:t>表</w:t>
      </w:r>
    </w:p>
    <w:p w14:paraId="7D5D4C19">
      <w:pPr>
        <w:autoSpaceDE w:val="0"/>
        <w:autoSpaceDN w:val="0"/>
        <w:snapToGrid w:val="0"/>
        <w:rPr>
          <w:spacing w:val="11"/>
          <w:szCs w:val="21"/>
        </w:rPr>
      </w:pPr>
    </w:p>
    <w:p w14:paraId="54335AD0">
      <w:pPr>
        <w:autoSpaceDE w:val="0"/>
        <w:autoSpaceDN w:val="0"/>
        <w:snapToGrid w:val="0"/>
        <w:rPr>
          <w:spacing w:val="11"/>
          <w:szCs w:val="21"/>
        </w:rPr>
      </w:pPr>
    </w:p>
    <w:p w14:paraId="4809A94C">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32"/>
          <w:highlight w:val="none"/>
          <w:u w:val="single"/>
        </w:rPr>
      </w:pPr>
      <w:r>
        <w:rPr>
          <w:rFonts w:hint="eastAsia" w:ascii="宋体" w:hAnsi="宋体" w:eastAsia="宋体" w:cs="宋体"/>
          <w:sz w:val="21"/>
          <w:szCs w:val="32"/>
          <w:highlight w:val="none"/>
        </w:rPr>
        <w:t xml:space="preserve">项目名称： </w:t>
      </w:r>
      <w:r>
        <w:rPr>
          <w:rFonts w:hint="eastAsia" w:ascii="宋体" w:hAnsi="宋体" w:eastAsia="宋体" w:cs="宋体"/>
          <w:sz w:val="21"/>
          <w:szCs w:val="32"/>
          <w:highlight w:val="none"/>
          <w:u w:val="single"/>
        </w:rPr>
        <w:t xml:space="preserve">                         </w:t>
      </w:r>
    </w:p>
    <w:p w14:paraId="5FAB6E6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napToGrid w:val="0"/>
          <w:kern w:val="0"/>
          <w:sz w:val="18"/>
          <w:highlight w:val="none"/>
        </w:rPr>
      </w:pPr>
      <w:r>
        <w:rPr>
          <w:rFonts w:hint="eastAsia" w:ascii="宋体" w:hAnsi="宋体" w:eastAsia="宋体" w:cs="宋体"/>
          <w:sz w:val="21"/>
          <w:szCs w:val="32"/>
          <w:highlight w:val="none"/>
        </w:rPr>
        <w:t>项目编号：</w:t>
      </w:r>
      <w:r>
        <w:rPr>
          <w:rFonts w:hint="eastAsia" w:ascii="宋体" w:hAnsi="宋体" w:eastAsia="宋体" w:cs="宋体"/>
          <w:i/>
          <w:iCs/>
          <w:sz w:val="21"/>
          <w:szCs w:val="32"/>
          <w:highlight w:val="none"/>
        </w:rPr>
        <w:t xml:space="preserve"> </w:t>
      </w:r>
      <w:r>
        <w:rPr>
          <w:rFonts w:hint="eastAsia" w:ascii="宋体" w:hAnsi="宋体" w:eastAsia="宋体" w:cs="宋体"/>
          <w:sz w:val="21"/>
          <w:szCs w:val="32"/>
          <w:highlight w:val="none"/>
          <w:u w:val="single"/>
        </w:rPr>
        <w:t xml:space="preserve">                         </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1904"/>
        <w:gridCol w:w="1326"/>
        <w:gridCol w:w="1327"/>
        <w:gridCol w:w="1327"/>
        <w:gridCol w:w="1327"/>
        <w:gridCol w:w="1327"/>
      </w:tblGrid>
      <w:tr w14:paraId="75262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tcPr>
          <w:p w14:paraId="2200231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32"/>
                <w:highlight w:val="none"/>
                <w:vertAlign w:val="baseline"/>
                <w:lang w:val="en-US" w:eastAsia="zh-CN"/>
              </w:rPr>
            </w:pPr>
            <w:r>
              <w:rPr>
                <w:rFonts w:hint="eastAsia" w:ascii="宋体" w:hAnsi="宋体" w:eastAsia="宋体" w:cs="宋体"/>
                <w:sz w:val="21"/>
                <w:szCs w:val="32"/>
                <w:highlight w:val="none"/>
                <w:vertAlign w:val="baseline"/>
                <w:lang w:val="en-US" w:eastAsia="zh-CN"/>
              </w:rPr>
              <w:t>序号</w:t>
            </w:r>
          </w:p>
        </w:tc>
        <w:tc>
          <w:tcPr>
            <w:tcW w:w="1904" w:type="dxa"/>
          </w:tcPr>
          <w:p w14:paraId="7AD53F5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r>
              <w:rPr>
                <w:rFonts w:hint="eastAsia" w:ascii="宋体" w:hAnsi="宋体" w:eastAsia="宋体" w:cs="宋体"/>
                <w:b w:val="0"/>
                <w:bCs w:val="0"/>
                <w:snapToGrid w:val="0"/>
                <w:kern w:val="0"/>
                <w:sz w:val="21"/>
                <w:szCs w:val="32"/>
                <w:highlight w:val="none"/>
                <w:lang w:val="en-US" w:eastAsia="zh-CN"/>
              </w:rPr>
              <w:t>货物名称</w:t>
            </w:r>
          </w:p>
        </w:tc>
        <w:tc>
          <w:tcPr>
            <w:tcW w:w="1326" w:type="dxa"/>
          </w:tcPr>
          <w:p w14:paraId="33D0CC1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r>
              <w:rPr>
                <w:rFonts w:hint="eastAsia" w:ascii="宋体" w:hAnsi="宋体" w:eastAsia="宋体" w:cs="宋体"/>
                <w:b w:val="0"/>
                <w:bCs w:val="0"/>
                <w:snapToGrid w:val="0"/>
                <w:kern w:val="0"/>
                <w:sz w:val="21"/>
                <w:szCs w:val="32"/>
                <w:highlight w:val="none"/>
                <w:lang w:val="en-US" w:eastAsia="zh-CN"/>
              </w:rPr>
              <w:t>品牌</w:t>
            </w:r>
          </w:p>
        </w:tc>
        <w:tc>
          <w:tcPr>
            <w:tcW w:w="1327" w:type="dxa"/>
          </w:tcPr>
          <w:p w14:paraId="114F237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r>
              <w:rPr>
                <w:rFonts w:hint="eastAsia" w:ascii="宋体" w:hAnsi="宋体" w:eastAsia="宋体" w:cs="宋体"/>
                <w:b w:val="0"/>
                <w:bCs w:val="0"/>
                <w:snapToGrid w:val="0"/>
                <w:kern w:val="0"/>
                <w:sz w:val="21"/>
                <w:szCs w:val="32"/>
                <w:highlight w:val="none"/>
                <w:lang w:val="en-US" w:eastAsia="zh-CN"/>
              </w:rPr>
              <w:t>单价</w:t>
            </w:r>
          </w:p>
        </w:tc>
        <w:tc>
          <w:tcPr>
            <w:tcW w:w="1327" w:type="dxa"/>
          </w:tcPr>
          <w:p w14:paraId="56BA635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r>
              <w:rPr>
                <w:rFonts w:hint="eastAsia" w:ascii="宋体" w:hAnsi="宋体" w:eastAsia="宋体" w:cs="宋体"/>
                <w:b w:val="0"/>
                <w:bCs w:val="0"/>
                <w:snapToGrid w:val="0"/>
                <w:kern w:val="0"/>
                <w:sz w:val="21"/>
                <w:szCs w:val="32"/>
                <w:highlight w:val="none"/>
                <w:lang w:val="en-US" w:eastAsia="zh-CN"/>
              </w:rPr>
              <w:t>型号</w:t>
            </w:r>
          </w:p>
        </w:tc>
        <w:tc>
          <w:tcPr>
            <w:tcW w:w="1327" w:type="dxa"/>
          </w:tcPr>
          <w:p w14:paraId="58E156B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r>
              <w:rPr>
                <w:rFonts w:hint="eastAsia" w:ascii="宋体" w:hAnsi="宋体" w:eastAsia="宋体" w:cs="宋体"/>
                <w:b w:val="0"/>
                <w:bCs w:val="0"/>
                <w:snapToGrid w:val="0"/>
                <w:kern w:val="0"/>
                <w:sz w:val="21"/>
                <w:szCs w:val="32"/>
                <w:highlight w:val="none"/>
                <w:lang w:val="en-US" w:eastAsia="zh-CN"/>
              </w:rPr>
              <w:t>数量</w:t>
            </w:r>
          </w:p>
        </w:tc>
        <w:tc>
          <w:tcPr>
            <w:tcW w:w="1327" w:type="dxa"/>
          </w:tcPr>
          <w:p w14:paraId="4D19D5F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r>
              <w:rPr>
                <w:rFonts w:hint="eastAsia" w:ascii="宋体" w:hAnsi="宋体" w:eastAsia="宋体" w:cs="宋体"/>
                <w:b w:val="0"/>
                <w:bCs w:val="0"/>
                <w:snapToGrid w:val="0"/>
                <w:kern w:val="0"/>
                <w:sz w:val="21"/>
                <w:szCs w:val="32"/>
                <w:highlight w:val="none"/>
                <w:lang w:val="en-US" w:eastAsia="zh-CN"/>
              </w:rPr>
              <w:t>规格及技术参数</w:t>
            </w:r>
          </w:p>
        </w:tc>
      </w:tr>
      <w:tr w14:paraId="0D720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tcPr>
          <w:p w14:paraId="4924110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32"/>
                <w:highlight w:val="none"/>
                <w:vertAlign w:val="baseline"/>
                <w:lang w:val="en-US" w:eastAsia="zh-CN"/>
              </w:rPr>
            </w:pPr>
            <w:r>
              <w:rPr>
                <w:rFonts w:hint="eastAsia" w:ascii="宋体" w:hAnsi="宋体" w:eastAsia="宋体" w:cs="宋体"/>
                <w:sz w:val="21"/>
                <w:szCs w:val="32"/>
                <w:highlight w:val="none"/>
                <w:vertAlign w:val="baseline"/>
                <w:lang w:val="en-US" w:eastAsia="zh-CN"/>
              </w:rPr>
              <w:t>1</w:t>
            </w:r>
          </w:p>
        </w:tc>
        <w:tc>
          <w:tcPr>
            <w:tcW w:w="1904" w:type="dxa"/>
          </w:tcPr>
          <w:p w14:paraId="3E7930B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c>
          <w:tcPr>
            <w:tcW w:w="1326" w:type="dxa"/>
          </w:tcPr>
          <w:p w14:paraId="10650CC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c>
          <w:tcPr>
            <w:tcW w:w="1327" w:type="dxa"/>
          </w:tcPr>
          <w:p w14:paraId="5111629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c>
          <w:tcPr>
            <w:tcW w:w="1327" w:type="dxa"/>
          </w:tcPr>
          <w:p w14:paraId="3B635B9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c>
          <w:tcPr>
            <w:tcW w:w="1327" w:type="dxa"/>
          </w:tcPr>
          <w:p w14:paraId="1DD341E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c>
          <w:tcPr>
            <w:tcW w:w="1327" w:type="dxa"/>
          </w:tcPr>
          <w:p w14:paraId="6E6982A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r>
      <w:tr w14:paraId="1A69E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tcPr>
          <w:p w14:paraId="218313F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32"/>
                <w:highlight w:val="none"/>
                <w:vertAlign w:val="baseline"/>
                <w:lang w:val="en-US" w:eastAsia="zh-CN"/>
              </w:rPr>
            </w:pPr>
            <w:r>
              <w:rPr>
                <w:rFonts w:hint="eastAsia" w:ascii="宋体" w:hAnsi="宋体" w:eastAsia="宋体" w:cs="宋体"/>
                <w:sz w:val="21"/>
                <w:szCs w:val="32"/>
                <w:highlight w:val="none"/>
                <w:vertAlign w:val="baseline"/>
                <w:lang w:val="en-US" w:eastAsia="zh-CN"/>
              </w:rPr>
              <w:t>2</w:t>
            </w:r>
          </w:p>
        </w:tc>
        <w:tc>
          <w:tcPr>
            <w:tcW w:w="1904" w:type="dxa"/>
          </w:tcPr>
          <w:p w14:paraId="156D281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c>
          <w:tcPr>
            <w:tcW w:w="1326" w:type="dxa"/>
          </w:tcPr>
          <w:p w14:paraId="256407A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c>
          <w:tcPr>
            <w:tcW w:w="1327" w:type="dxa"/>
          </w:tcPr>
          <w:p w14:paraId="0798CF2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c>
          <w:tcPr>
            <w:tcW w:w="1327" w:type="dxa"/>
          </w:tcPr>
          <w:p w14:paraId="5ACECD0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c>
          <w:tcPr>
            <w:tcW w:w="1327" w:type="dxa"/>
          </w:tcPr>
          <w:p w14:paraId="451A805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c>
          <w:tcPr>
            <w:tcW w:w="1327" w:type="dxa"/>
          </w:tcPr>
          <w:p w14:paraId="0AC165D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r>
      <w:tr w14:paraId="0AFAD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tcPr>
          <w:p w14:paraId="71C1585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32"/>
                <w:highlight w:val="none"/>
                <w:vertAlign w:val="baseline"/>
                <w:lang w:val="en-US" w:eastAsia="zh-CN"/>
              </w:rPr>
            </w:pPr>
            <w:r>
              <w:rPr>
                <w:rFonts w:hint="eastAsia" w:ascii="宋体" w:hAnsi="宋体" w:eastAsia="宋体" w:cs="宋体"/>
                <w:sz w:val="21"/>
                <w:szCs w:val="32"/>
                <w:highlight w:val="none"/>
                <w:vertAlign w:val="baseline"/>
                <w:lang w:val="en-US" w:eastAsia="zh-CN"/>
              </w:rPr>
              <w:t>3</w:t>
            </w:r>
          </w:p>
        </w:tc>
        <w:tc>
          <w:tcPr>
            <w:tcW w:w="1904" w:type="dxa"/>
          </w:tcPr>
          <w:p w14:paraId="332E556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c>
          <w:tcPr>
            <w:tcW w:w="1326" w:type="dxa"/>
          </w:tcPr>
          <w:p w14:paraId="27A8C07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c>
          <w:tcPr>
            <w:tcW w:w="1327" w:type="dxa"/>
          </w:tcPr>
          <w:p w14:paraId="1F49D8E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c>
          <w:tcPr>
            <w:tcW w:w="1327" w:type="dxa"/>
          </w:tcPr>
          <w:p w14:paraId="2AE1E52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c>
          <w:tcPr>
            <w:tcW w:w="1327" w:type="dxa"/>
          </w:tcPr>
          <w:p w14:paraId="606686F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c>
          <w:tcPr>
            <w:tcW w:w="1327" w:type="dxa"/>
          </w:tcPr>
          <w:p w14:paraId="476087D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r>
      <w:tr w14:paraId="4E115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tcPr>
          <w:p w14:paraId="7C062CC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32"/>
                <w:highlight w:val="none"/>
                <w:vertAlign w:val="baseline"/>
                <w:lang w:val="en-US" w:eastAsia="zh-CN"/>
              </w:rPr>
            </w:pPr>
            <w:r>
              <w:rPr>
                <w:rFonts w:hint="eastAsia" w:ascii="宋体" w:hAnsi="宋体" w:eastAsia="宋体" w:cs="宋体"/>
                <w:sz w:val="21"/>
                <w:szCs w:val="32"/>
                <w:highlight w:val="none"/>
                <w:vertAlign w:val="baseline"/>
                <w:lang w:val="en-US" w:eastAsia="zh-CN"/>
              </w:rPr>
              <w:t>4</w:t>
            </w:r>
          </w:p>
        </w:tc>
        <w:tc>
          <w:tcPr>
            <w:tcW w:w="1904" w:type="dxa"/>
          </w:tcPr>
          <w:p w14:paraId="5375B5B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c>
          <w:tcPr>
            <w:tcW w:w="1326" w:type="dxa"/>
          </w:tcPr>
          <w:p w14:paraId="1861871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c>
          <w:tcPr>
            <w:tcW w:w="1327" w:type="dxa"/>
          </w:tcPr>
          <w:p w14:paraId="04A606B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c>
          <w:tcPr>
            <w:tcW w:w="1327" w:type="dxa"/>
          </w:tcPr>
          <w:p w14:paraId="18568A4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c>
          <w:tcPr>
            <w:tcW w:w="1327" w:type="dxa"/>
          </w:tcPr>
          <w:p w14:paraId="53F2D39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c>
          <w:tcPr>
            <w:tcW w:w="1327" w:type="dxa"/>
          </w:tcPr>
          <w:p w14:paraId="53457B1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r>
      <w:tr w14:paraId="0355E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tcPr>
          <w:p w14:paraId="5F8BF07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32"/>
                <w:highlight w:val="none"/>
                <w:vertAlign w:val="baseline"/>
                <w:lang w:val="en-US" w:eastAsia="zh-CN"/>
              </w:rPr>
            </w:pPr>
            <w:r>
              <w:rPr>
                <w:rFonts w:hint="eastAsia" w:ascii="宋体" w:hAnsi="宋体" w:eastAsia="宋体" w:cs="宋体"/>
                <w:sz w:val="21"/>
                <w:szCs w:val="32"/>
                <w:highlight w:val="none"/>
                <w:vertAlign w:val="baseline"/>
                <w:lang w:val="en-US" w:eastAsia="zh-CN"/>
              </w:rPr>
              <w:t>5</w:t>
            </w:r>
          </w:p>
        </w:tc>
        <w:tc>
          <w:tcPr>
            <w:tcW w:w="1904" w:type="dxa"/>
          </w:tcPr>
          <w:p w14:paraId="68CF494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c>
          <w:tcPr>
            <w:tcW w:w="1326" w:type="dxa"/>
          </w:tcPr>
          <w:p w14:paraId="142D069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c>
          <w:tcPr>
            <w:tcW w:w="1327" w:type="dxa"/>
          </w:tcPr>
          <w:p w14:paraId="4072A8C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c>
          <w:tcPr>
            <w:tcW w:w="1327" w:type="dxa"/>
          </w:tcPr>
          <w:p w14:paraId="500BAC5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c>
          <w:tcPr>
            <w:tcW w:w="1327" w:type="dxa"/>
          </w:tcPr>
          <w:p w14:paraId="270E244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c>
          <w:tcPr>
            <w:tcW w:w="1327" w:type="dxa"/>
          </w:tcPr>
          <w:p w14:paraId="2DB3817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r>
    </w:tbl>
    <w:p w14:paraId="7AD1FCA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32"/>
          <w:highlight w:val="none"/>
          <w:lang w:val="en-US" w:eastAsia="zh-CN"/>
        </w:rPr>
      </w:pPr>
    </w:p>
    <w:p w14:paraId="594C597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32"/>
          <w:highlight w:val="none"/>
          <w:lang w:val="en-US" w:eastAsia="zh-CN"/>
        </w:rPr>
      </w:pPr>
    </w:p>
    <w:p w14:paraId="6A455BF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宋体" w:hAnsi="宋体" w:eastAsia="宋体" w:cs="宋体"/>
          <w:sz w:val="21"/>
          <w:szCs w:val="32"/>
          <w:highlight w:val="none"/>
          <w:lang w:val="en-US" w:eastAsia="zh-CN"/>
        </w:rPr>
      </w:pPr>
      <w:r>
        <w:rPr>
          <w:rFonts w:hint="eastAsia" w:ascii="宋体" w:hAnsi="宋体" w:eastAsia="宋体" w:cs="宋体"/>
          <w:sz w:val="21"/>
          <w:szCs w:val="32"/>
          <w:highlight w:val="none"/>
          <w:lang w:val="en-US" w:eastAsia="zh-CN"/>
        </w:rPr>
        <w:t>本表格可根据需要自行增加行与列。</w:t>
      </w:r>
    </w:p>
    <w:p w14:paraId="1A5A7B42">
      <w:pPr>
        <w:pStyle w:val="17"/>
        <w:rPr>
          <w:rFonts w:hint="default"/>
          <w:lang w:val="en-US"/>
        </w:rPr>
      </w:pPr>
    </w:p>
    <w:p w14:paraId="356ED4E4">
      <w:pPr>
        <w:pStyle w:val="17"/>
        <w:rPr>
          <w:rFonts w:hint="default"/>
          <w:lang w:val="en-US"/>
        </w:rPr>
      </w:pPr>
    </w:p>
    <w:p w14:paraId="0A7DF92B">
      <w:pPr>
        <w:pStyle w:val="18"/>
        <w:adjustRightInd w:val="0"/>
        <w:snapToGrid w:val="0"/>
        <w:spacing w:line="300" w:lineRule="auto"/>
        <w:rPr>
          <w:rFonts w:hint="eastAsia" w:ascii="宋体" w:hAnsi="宋体" w:eastAsia="宋体" w:cs="宋体"/>
          <w:snapToGrid w:val="0"/>
          <w:kern w:val="0"/>
          <w:sz w:val="21"/>
          <w:szCs w:val="32"/>
          <w:highlight w:val="none"/>
        </w:rPr>
      </w:pPr>
      <w:r>
        <w:rPr>
          <w:rFonts w:hint="eastAsia" w:ascii="宋体" w:hAnsi="宋体" w:eastAsia="宋体" w:cs="宋体"/>
          <w:snapToGrid w:val="0"/>
          <w:kern w:val="0"/>
          <w:sz w:val="21"/>
          <w:szCs w:val="32"/>
          <w:highlight w:val="none"/>
          <w:lang w:eastAsia="zh-CN"/>
        </w:rPr>
        <w:t>申请人</w:t>
      </w:r>
      <w:r>
        <w:rPr>
          <w:rFonts w:hint="eastAsia" w:ascii="宋体" w:hAnsi="宋体" w:eastAsia="宋体" w:cs="宋体"/>
          <w:snapToGrid w:val="0"/>
          <w:kern w:val="0"/>
          <w:sz w:val="21"/>
          <w:szCs w:val="32"/>
          <w:highlight w:val="none"/>
        </w:rPr>
        <w:t xml:space="preserve">名称（盖章）：                                         </w:t>
      </w:r>
    </w:p>
    <w:p w14:paraId="4A9A4AB4">
      <w:pPr>
        <w:pStyle w:val="18"/>
        <w:adjustRightInd w:val="0"/>
        <w:snapToGrid w:val="0"/>
        <w:spacing w:line="300" w:lineRule="auto"/>
        <w:rPr>
          <w:rFonts w:hint="eastAsia" w:ascii="宋体" w:hAnsi="宋体" w:eastAsia="宋体" w:cs="宋体"/>
          <w:snapToGrid w:val="0"/>
          <w:kern w:val="0"/>
          <w:sz w:val="21"/>
          <w:szCs w:val="32"/>
          <w:highlight w:val="none"/>
        </w:rPr>
      </w:pPr>
      <w:r>
        <w:rPr>
          <w:rFonts w:hint="eastAsia" w:ascii="宋体" w:hAnsi="宋体" w:eastAsia="宋体" w:cs="宋体"/>
          <w:snapToGrid w:val="0"/>
          <w:kern w:val="0"/>
          <w:sz w:val="21"/>
          <w:szCs w:val="32"/>
          <w:highlight w:val="none"/>
        </w:rPr>
        <w:t>法定代表人</w:t>
      </w:r>
      <w:r>
        <w:rPr>
          <w:rFonts w:hint="eastAsia" w:ascii="宋体" w:hAnsi="宋体" w:eastAsia="宋体" w:cs="宋体"/>
          <w:snapToGrid w:val="0"/>
          <w:kern w:val="0"/>
          <w:sz w:val="21"/>
          <w:szCs w:val="32"/>
          <w:highlight w:val="none"/>
          <w:lang w:val="en-US" w:eastAsia="zh-CN"/>
        </w:rPr>
        <w:t>或</w:t>
      </w:r>
      <w:r>
        <w:rPr>
          <w:rFonts w:hint="eastAsia" w:ascii="宋体" w:hAnsi="宋体" w:eastAsia="宋体" w:cs="宋体"/>
          <w:snapToGrid w:val="0"/>
          <w:kern w:val="0"/>
          <w:sz w:val="21"/>
          <w:szCs w:val="32"/>
          <w:highlight w:val="none"/>
        </w:rPr>
        <w:t>委托代理人（签字</w:t>
      </w:r>
      <w:r>
        <w:rPr>
          <w:rFonts w:hint="eastAsia" w:ascii="宋体" w:hAnsi="宋体" w:eastAsia="宋体" w:cs="宋体"/>
          <w:snapToGrid w:val="0"/>
          <w:kern w:val="0"/>
          <w:sz w:val="21"/>
          <w:szCs w:val="32"/>
          <w:highlight w:val="none"/>
          <w:lang w:val="en-US" w:eastAsia="zh-CN"/>
        </w:rPr>
        <w:t>或盖章</w:t>
      </w:r>
      <w:r>
        <w:rPr>
          <w:rFonts w:hint="eastAsia" w:ascii="宋体" w:hAnsi="宋体" w:eastAsia="宋体" w:cs="宋体"/>
          <w:snapToGrid w:val="0"/>
          <w:kern w:val="0"/>
          <w:sz w:val="21"/>
          <w:szCs w:val="32"/>
          <w:highlight w:val="none"/>
        </w:rPr>
        <w:t>）：</w:t>
      </w:r>
      <w:r>
        <w:rPr>
          <w:rFonts w:hint="eastAsia" w:ascii="宋体" w:hAnsi="宋体" w:eastAsia="宋体" w:cs="宋体"/>
          <w:snapToGrid w:val="0"/>
          <w:kern w:val="0"/>
          <w:sz w:val="21"/>
          <w:szCs w:val="32"/>
          <w:highlight w:val="none"/>
          <w:u w:val="single"/>
        </w:rPr>
        <w:t xml:space="preserve">                          </w:t>
      </w:r>
    </w:p>
    <w:p w14:paraId="0EBBA1C0">
      <w:pPr>
        <w:pStyle w:val="18"/>
        <w:adjustRightInd w:val="0"/>
        <w:snapToGrid w:val="0"/>
        <w:spacing w:line="300" w:lineRule="auto"/>
        <w:rPr>
          <w:rFonts w:hint="eastAsia" w:ascii="宋体" w:hAnsi="宋体" w:eastAsia="宋体" w:cs="宋体"/>
          <w:snapToGrid w:val="0"/>
          <w:kern w:val="0"/>
          <w:sz w:val="18"/>
          <w:highlight w:val="none"/>
        </w:rPr>
      </w:pPr>
      <w:r>
        <w:rPr>
          <w:rFonts w:hint="eastAsia" w:ascii="宋体" w:hAnsi="宋体" w:eastAsia="宋体" w:cs="宋体"/>
          <w:snapToGrid w:val="0"/>
          <w:kern w:val="0"/>
          <w:sz w:val="21"/>
          <w:szCs w:val="32"/>
          <w:highlight w:val="none"/>
        </w:rPr>
        <w:t>日期:</w:t>
      </w:r>
      <w:r>
        <w:rPr>
          <w:rFonts w:hint="eastAsia" w:ascii="宋体" w:hAnsi="宋体" w:eastAsia="宋体" w:cs="宋体"/>
          <w:snapToGrid w:val="0"/>
          <w:kern w:val="0"/>
          <w:sz w:val="21"/>
          <w:szCs w:val="32"/>
          <w:highlight w:val="none"/>
          <w:u w:val="single"/>
        </w:rPr>
        <w:t xml:space="preserve">         </w:t>
      </w:r>
      <w:r>
        <w:rPr>
          <w:rFonts w:hint="eastAsia" w:ascii="宋体" w:hAnsi="宋体" w:eastAsia="宋体" w:cs="宋体"/>
          <w:snapToGrid w:val="0"/>
          <w:kern w:val="0"/>
          <w:sz w:val="21"/>
          <w:szCs w:val="32"/>
          <w:highlight w:val="none"/>
        </w:rPr>
        <w:t>年</w:t>
      </w:r>
      <w:r>
        <w:rPr>
          <w:rFonts w:hint="eastAsia" w:ascii="宋体" w:hAnsi="宋体" w:eastAsia="宋体" w:cs="宋体"/>
          <w:snapToGrid w:val="0"/>
          <w:kern w:val="0"/>
          <w:sz w:val="21"/>
          <w:szCs w:val="32"/>
          <w:highlight w:val="none"/>
          <w:u w:val="single"/>
        </w:rPr>
        <w:t xml:space="preserve">   </w:t>
      </w:r>
      <w:r>
        <w:rPr>
          <w:rFonts w:hint="eastAsia" w:ascii="宋体" w:hAnsi="宋体" w:eastAsia="宋体" w:cs="宋体"/>
          <w:snapToGrid w:val="0"/>
          <w:kern w:val="0"/>
          <w:sz w:val="21"/>
          <w:szCs w:val="32"/>
          <w:highlight w:val="none"/>
        </w:rPr>
        <w:t>月</w:t>
      </w:r>
      <w:r>
        <w:rPr>
          <w:rFonts w:hint="eastAsia" w:ascii="宋体" w:hAnsi="宋体" w:eastAsia="宋体" w:cs="宋体"/>
          <w:snapToGrid w:val="0"/>
          <w:kern w:val="0"/>
          <w:sz w:val="21"/>
          <w:szCs w:val="32"/>
          <w:highlight w:val="none"/>
          <w:u w:val="single"/>
        </w:rPr>
        <w:t xml:space="preserve">   </w:t>
      </w:r>
      <w:r>
        <w:rPr>
          <w:rFonts w:hint="eastAsia" w:ascii="宋体" w:hAnsi="宋体" w:eastAsia="宋体" w:cs="宋体"/>
          <w:snapToGrid w:val="0"/>
          <w:kern w:val="0"/>
          <w:sz w:val="21"/>
          <w:szCs w:val="32"/>
          <w:highlight w:val="none"/>
        </w:rPr>
        <w:t>日</w:t>
      </w:r>
    </w:p>
    <w:p w14:paraId="3F5C8CC0">
      <w:pPr>
        <w:pStyle w:val="17"/>
        <w:rPr>
          <w:rFonts w:hint="default"/>
          <w:lang w:val="en-US"/>
        </w:rPr>
      </w:pPr>
    </w:p>
    <w:p w14:paraId="077B69A8">
      <w:pPr>
        <w:pStyle w:val="2"/>
        <w:rPr>
          <w:rFonts w:hint="eastAsia"/>
          <w:b/>
          <w:color w:val="auto"/>
          <w:szCs w:val="32"/>
          <w:highlight w:val="none"/>
          <w:lang w:val="en-US" w:eastAsia="zh-CN"/>
        </w:rPr>
      </w:pPr>
    </w:p>
    <w:p w14:paraId="0E4773D5">
      <w:pPr>
        <w:pStyle w:val="2"/>
        <w:rPr>
          <w:rFonts w:ascii="宋体" w:hAnsi="宋体"/>
          <w:b/>
          <w:color w:val="auto"/>
          <w:szCs w:val="32"/>
          <w:highlight w:val="none"/>
          <w:lang w:val="zh-CN"/>
        </w:rPr>
      </w:pPr>
    </w:p>
    <w:p w14:paraId="43C4E0A1">
      <w:pPr>
        <w:pStyle w:val="2"/>
        <w:rPr>
          <w:rFonts w:ascii="宋体" w:hAnsi="宋体"/>
          <w:b/>
          <w:color w:val="auto"/>
          <w:szCs w:val="32"/>
          <w:highlight w:val="none"/>
          <w:lang w:val="zh-CN"/>
        </w:rPr>
      </w:pPr>
    </w:p>
    <w:p w14:paraId="69E6264F">
      <w:pPr>
        <w:pStyle w:val="2"/>
        <w:rPr>
          <w:rFonts w:ascii="宋体" w:hAnsi="宋体"/>
          <w:b/>
          <w:color w:val="auto"/>
          <w:szCs w:val="32"/>
          <w:highlight w:val="none"/>
          <w:lang w:val="zh-CN"/>
        </w:rPr>
      </w:pPr>
    </w:p>
    <w:sectPr>
      <w:footerReference r:id="rId10" w:type="default"/>
      <w:pgSz w:w="11906" w:h="16838"/>
      <w:pgMar w:top="1134" w:right="1418" w:bottom="1134" w:left="1418" w:header="851" w:footer="851"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DC0D97D-EF8C-4174-8C14-120B1F53065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embedRegular r:id="rId2" w:fontKey="{B9C178BD-2AF2-491F-A40F-507624CD2CF7}"/>
  </w:font>
  <w:font w:name="方正小标宋简体">
    <w:panose1 w:val="02000000000000000000"/>
    <w:charset w:val="86"/>
    <w:family w:val="auto"/>
    <w:pitch w:val="default"/>
    <w:sig w:usb0="00000001" w:usb1="08000000" w:usb2="00000000" w:usb3="00000000" w:csb0="00040000" w:csb1="00000000"/>
    <w:embedRegular r:id="rId3" w:fontKey="{67295FFD-D8A8-4616-90FE-75B009B4379F}"/>
  </w:font>
  <w:font w:name="Wingdings 2">
    <w:panose1 w:val="05020102010507070707"/>
    <w:charset w:val="02"/>
    <w:family w:val="auto"/>
    <w:pitch w:val="default"/>
    <w:sig w:usb0="00000000" w:usb1="00000000" w:usb2="00000000" w:usb3="00000000" w:csb0="80000000" w:csb1="00000000"/>
    <w:embedRegular r:id="rId4" w:fontKey="{9C5EE48B-15B1-4217-ADDD-79312CF70FD2}"/>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CA548">
    <w:pPr>
      <w:pStyle w:val="27"/>
      <w:framePr w:wrap="around" w:vAnchor="text" w:hAnchor="margin" w:xAlign="center" w:y="1"/>
      <w:rPr>
        <w:rStyle w:val="44"/>
      </w:rPr>
    </w:pPr>
    <w:r>
      <w:fldChar w:fldCharType="begin"/>
    </w:r>
    <w:r>
      <w:rPr>
        <w:rStyle w:val="44"/>
      </w:rPr>
      <w:instrText xml:space="preserve">PAGE  </w:instrText>
    </w:r>
    <w:r>
      <w:fldChar w:fldCharType="separate"/>
    </w:r>
    <w:r>
      <w:rPr>
        <w:rStyle w:val="44"/>
      </w:rPr>
      <w:t>78</w:t>
    </w:r>
    <w:r>
      <w:fldChar w:fldCharType="end"/>
    </w:r>
  </w:p>
  <w:p w14:paraId="5A25040F">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DFFC3">
    <w:pPr>
      <w:pStyle w:val="27"/>
      <w:tabs>
        <w:tab w:val="left" w:pos="6795"/>
        <w:tab w:val="center" w:pos="697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E4C6D">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4D8B3">
    <w:pPr>
      <w:pStyle w:val="2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EC93FC">
                          <w:pPr>
                            <w:pStyle w:val="2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6EC93FC">
                    <w:pPr>
                      <w:pStyle w:val="2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28093">
    <w:pPr>
      <w:pStyle w:val="2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AD8FAE">
                          <w:pPr>
                            <w:pStyle w:val="27"/>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EAD8FAE">
                    <w:pPr>
                      <w:pStyle w:val="27"/>
                    </w:pPr>
                    <w:r>
                      <w:fldChar w:fldCharType="begin"/>
                    </w:r>
                    <w:r>
                      <w:instrText xml:space="preserve"> PAGE  \* MERGEFORMAT </w:instrText>
                    </w:r>
                    <w:r>
                      <w:fldChar w:fldCharType="separate"/>
                    </w:r>
                    <w:r>
                      <w:t>28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E3E5B">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73285">
    <w:pPr>
      <w:pStyle w:val="2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42CF4">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0F6B4C"/>
    <w:multiLevelType w:val="singleLevel"/>
    <w:tmpl w:val="9F0F6B4C"/>
    <w:lvl w:ilvl="0" w:tentative="0">
      <w:start w:val="5"/>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hideGrammatical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lODUyMDRmOWJmOTliNGVjZGUzNzdmNTQ5YjMyOTgifQ=="/>
  </w:docVars>
  <w:rsids>
    <w:rsidRoot w:val="00172A27"/>
    <w:rsid w:val="0000127A"/>
    <w:rsid w:val="000046E4"/>
    <w:rsid w:val="0000600D"/>
    <w:rsid w:val="00010974"/>
    <w:rsid w:val="00010D74"/>
    <w:rsid w:val="00011097"/>
    <w:rsid w:val="000125FF"/>
    <w:rsid w:val="00014BD2"/>
    <w:rsid w:val="000151D0"/>
    <w:rsid w:val="0002006B"/>
    <w:rsid w:val="000200E6"/>
    <w:rsid w:val="000219C1"/>
    <w:rsid w:val="000222C3"/>
    <w:rsid w:val="0003050C"/>
    <w:rsid w:val="00032252"/>
    <w:rsid w:val="00032C03"/>
    <w:rsid w:val="00032CE7"/>
    <w:rsid w:val="00033098"/>
    <w:rsid w:val="0003309A"/>
    <w:rsid w:val="000344EB"/>
    <w:rsid w:val="00037005"/>
    <w:rsid w:val="00037FA1"/>
    <w:rsid w:val="00040207"/>
    <w:rsid w:val="00040C2A"/>
    <w:rsid w:val="000415BC"/>
    <w:rsid w:val="00041A17"/>
    <w:rsid w:val="0004360F"/>
    <w:rsid w:val="000436B4"/>
    <w:rsid w:val="00044E26"/>
    <w:rsid w:val="00045457"/>
    <w:rsid w:val="00046B26"/>
    <w:rsid w:val="0005142E"/>
    <w:rsid w:val="00053CE3"/>
    <w:rsid w:val="00053D32"/>
    <w:rsid w:val="000564DD"/>
    <w:rsid w:val="000571DB"/>
    <w:rsid w:val="00060D3F"/>
    <w:rsid w:val="00061102"/>
    <w:rsid w:val="00062204"/>
    <w:rsid w:val="00062361"/>
    <w:rsid w:val="00062603"/>
    <w:rsid w:val="000640F9"/>
    <w:rsid w:val="000646A3"/>
    <w:rsid w:val="00066E42"/>
    <w:rsid w:val="00072E30"/>
    <w:rsid w:val="000749B0"/>
    <w:rsid w:val="00083EEE"/>
    <w:rsid w:val="00084F26"/>
    <w:rsid w:val="000861E8"/>
    <w:rsid w:val="00086E4F"/>
    <w:rsid w:val="00086FA6"/>
    <w:rsid w:val="0009068A"/>
    <w:rsid w:val="00092B68"/>
    <w:rsid w:val="00095698"/>
    <w:rsid w:val="00095CE3"/>
    <w:rsid w:val="000966F1"/>
    <w:rsid w:val="000A06E4"/>
    <w:rsid w:val="000A0823"/>
    <w:rsid w:val="000A229C"/>
    <w:rsid w:val="000A4704"/>
    <w:rsid w:val="000A610B"/>
    <w:rsid w:val="000A7E4A"/>
    <w:rsid w:val="000B00B7"/>
    <w:rsid w:val="000B07E4"/>
    <w:rsid w:val="000B19CA"/>
    <w:rsid w:val="000B552C"/>
    <w:rsid w:val="000C4DBE"/>
    <w:rsid w:val="000C5BCA"/>
    <w:rsid w:val="000D1CD0"/>
    <w:rsid w:val="000D78B7"/>
    <w:rsid w:val="000E0C7D"/>
    <w:rsid w:val="000E110B"/>
    <w:rsid w:val="000E15BE"/>
    <w:rsid w:val="000E1BA4"/>
    <w:rsid w:val="000E1D72"/>
    <w:rsid w:val="000E2328"/>
    <w:rsid w:val="000E344B"/>
    <w:rsid w:val="000E5FEC"/>
    <w:rsid w:val="000F25C5"/>
    <w:rsid w:val="000F298B"/>
    <w:rsid w:val="000F356D"/>
    <w:rsid w:val="000F3915"/>
    <w:rsid w:val="000F3A51"/>
    <w:rsid w:val="000F6D32"/>
    <w:rsid w:val="000F71F0"/>
    <w:rsid w:val="000F72C9"/>
    <w:rsid w:val="000F78AE"/>
    <w:rsid w:val="000F7D3F"/>
    <w:rsid w:val="00100761"/>
    <w:rsid w:val="00101FFF"/>
    <w:rsid w:val="0010598A"/>
    <w:rsid w:val="00111685"/>
    <w:rsid w:val="00120AAE"/>
    <w:rsid w:val="00121240"/>
    <w:rsid w:val="00122ED0"/>
    <w:rsid w:val="00123224"/>
    <w:rsid w:val="0012586A"/>
    <w:rsid w:val="00130B36"/>
    <w:rsid w:val="00133DC7"/>
    <w:rsid w:val="001347DE"/>
    <w:rsid w:val="00136E66"/>
    <w:rsid w:val="00140E32"/>
    <w:rsid w:val="00142E14"/>
    <w:rsid w:val="001438F5"/>
    <w:rsid w:val="00146C4A"/>
    <w:rsid w:val="00147B57"/>
    <w:rsid w:val="001512A3"/>
    <w:rsid w:val="00152F88"/>
    <w:rsid w:val="00154C6F"/>
    <w:rsid w:val="00156533"/>
    <w:rsid w:val="00164525"/>
    <w:rsid w:val="001658AF"/>
    <w:rsid w:val="0016618E"/>
    <w:rsid w:val="00166ED5"/>
    <w:rsid w:val="00171BE9"/>
    <w:rsid w:val="00172280"/>
    <w:rsid w:val="00172A27"/>
    <w:rsid w:val="00172BD7"/>
    <w:rsid w:val="001744F6"/>
    <w:rsid w:val="001750C6"/>
    <w:rsid w:val="001757BF"/>
    <w:rsid w:val="001773FD"/>
    <w:rsid w:val="00180575"/>
    <w:rsid w:val="001814BE"/>
    <w:rsid w:val="0018334D"/>
    <w:rsid w:val="00187B23"/>
    <w:rsid w:val="001911C0"/>
    <w:rsid w:val="001917B7"/>
    <w:rsid w:val="0019241A"/>
    <w:rsid w:val="001938E2"/>
    <w:rsid w:val="00194F75"/>
    <w:rsid w:val="001954E3"/>
    <w:rsid w:val="001956F2"/>
    <w:rsid w:val="001973FE"/>
    <w:rsid w:val="001978B0"/>
    <w:rsid w:val="001A2289"/>
    <w:rsid w:val="001A38B0"/>
    <w:rsid w:val="001A79FC"/>
    <w:rsid w:val="001B0C35"/>
    <w:rsid w:val="001C0CD6"/>
    <w:rsid w:val="001C3EB4"/>
    <w:rsid w:val="001C3FBD"/>
    <w:rsid w:val="001C637E"/>
    <w:rsid w:val="001C6389"/>
    <w:rsid w:val="001C63E2"/>
    <w:rsid w:val="001C6661"/>
    <w:rsid w:val="001C6A8E"/>
    <w:rsid w:val="001C79CF"/>
    <w:rsid w:val="001C7D41"/>
    <w:rsid w:val="001D0872"/>
    <w:rsid w:val="001E0039"/>
    <w:rsid w:val="001F17CC"/>
    <w:rsid w:val="001F6242"/>
    <w:rsid w:val="001F730E"/>
    <w:rsid w:val="00200766"/>
    <w:rsid w:val="00201459"/>
    <w:rsid w:val="0020305C"/>
    <w:rsid w:val="00205EF2"/>
    <w:rsid w:val="002063A9"/>
    <w:rsid w:val="00207973"/>
    <w:rsid w:val="00210F33"/>
    <w:rsid w:val="00214CEF"/>
    <w:rsid w:val="0021505B"/>
    <w:rsid w:val="002161A6"/>
    <w:rsid w:val="00223FFF"/>
    <w:rsid w:val="00230623"/>
    <w:rsid w:val="00232D94"/>
    <w:rsid w:val="00234676"/>
    <w:rsid w:val="0023649E"/>
    <w:rsid w:val="00236C97"/>
    <w:rsid w:val="00240005"/>
    <w:rsid w:val="002408AE"/>
    <w:rsid w:val="00241875"/>
    <w:rsid w:val="00242A12"/>
    <w:rsid w:val="00243E6F"/>
    <w:rsid w:val="00243ECD"/>
    <w:rsid w:val="0024446A"/>
    <w:rsid w:val="00244E2B"/>
    <w:rsid w:val="002463D2"/>
    <w:rsid w:val="002463EA"/>
    <w:rsid w:val="0025010E"/>
    <w:rsid w:val="002525C0"/>
    <w:rsid w:val="00254358"/>
    <w:rsid w:val="00256EA4"/>
    <w:rsid w:val="00257000"/>
    <w:rsid w:val="0025786E"/>
    <w:rsid w:val="00257AB2"/>
    <w:rsid w:val="00262786"/>
    <w:rsid w:val="00264C27"/>
    <w:rsid w:val="00264D2F"/>
    <w:rsid w:val="0026522F"/>
    <w:rsid w:val="002655ED"/>
    <w:rsid w:val="00271B79"/>
    <w:rsid w:val="00272443"/>
    <w:rsid w:val="002743CF"/>
    <w:rsid w:val="0028075C"/>
    <w:rsid w:val="00280E35"/>
    <w:rsid w:val="002811A6"/>
    <w:rsid w:val="00281AB3"/>
    <w:rsid w:val="00281EE0"/>
    <w:rsid w:val="00282923"/>
    <w:rsid w:val="00284F56"/>
    <w:rsid w:val="00285842"/>
    <w:rsid w:val="0029040E"/>
    <w:rsid w:val="002917A1"/>
    <w:rsid w:val="0029530E"/>
    <w:rsid w:val="002957B4"/>
    <w:rsid w:val="00297BE1"/>
    <w:rsid w:val="002A1243"/>
    <w:rsid w:val="002A1919"/>
    <w:rsid w:val="002A20B3"/>
    <w:rsid w:val="002A4FB2"/>
    <w:rsid w:val="002A5282"/>
    <w:rsid w:val="002B1B49"/>
    <w:rsid w:val="002B287F"/>
    <w:rsid w:val="002B7F6A"/>
    <w:rsid w:val="002C2564"/>
    <w:rsid w:val="002C3178"/>
    <w:rsid w:val="002C475E"/>
    <w:rsid w:val="002C498C"/>
    <w:rsid w:val="002C5518"/>
    <w:rsid w:val="002C5B9D"/>
    <w:rsid w:val="002C5EC5"/>
    <w:rsid w:val="002C683F"/>
    <w:rsid w:val="002C6F70"/>
    <w:rsid w:val="002C79EA"/>
    <w:rsid w:val="002D111D"/>
    <w:rsid w:val="002D42EE"/>
    <w:rsid w:val="002D44D5"/>
    <w:rsid w:val="002D4F24"/>
    <w:rsid w:val="002D4FCA"/>
    <w:rsid w:val="002D753F"/>
    <w:rsid w:val="002E0E2F"/>
    <w:rsid w:val="002E0FBF"/>
    <w:rsid w:val="002E28C1"/>
    <w:rsid w:val="002E5716"/>
    <w:rsid w:val="002E66D1"/>
    <w:rsid w:val="002E6F98"/>
    <w:rsid w:val="002E7AB6"/>
    <w:rsid w:val="002F01D8"/>
    <w:rsid w:val="002F1666"/>
    <w:rsid w:val="002F1BEE"/>
    <w:rsid w:val="002F24F3"/>
    <w:rsid w:val="002F31EE"/>
    <w:rsid w:val="002F5131"/>
    <w:rsid w:val="003002CF"/>
    <w:rsid w:val="00303816"/>
    <w:rsid w:val="00310DC8"/>
    <w:rsid w:val="00312F84"/>
    <w:rsid w:val="003140DB"/>
    <w:rsid w:val="00314317"/>
    <w:rsid w:val="00314675"/>
    <w:rsid w:val="003222A6"/>
    <w:rsid w:val="0032292E"/>
    <w:rsid w:val="00322954"/>
    <w:rsid w:val="003240E9"/>
    <w:rsid w:val="003241E0"/>
    <w:rsid w:val="00324FEC"/>
    <w:rsid w:val="00326E0F"/>
    <w:rsid w:val="00327DE2"/>
    <w:rsid w:val="003314F2"/>
    <w:rsid w:val="00331D2C"/>
    <w:rsid w:val="00331E05"/>
    <w:rsid w:val="003347D4"/>
    <w:rsid w:val="00334C25"/>
    <w:rsid w:val="00336574"/>
    <w:rsid w:val="00336F09"/>
    <w:rsid w:val="00336F44"/>
    <w:rsid w:val="003376E8"/>
    <w:rsid w:val="00337E81"/>
    <w:rsid w:val="00340DC7"/>
    <w:rsid w:val="003413E9"/>
    <w:rsid w:val="00341F1C"/>
    <w:rsid w:val="00342B02"/>
    <w:rsid w:val="00344971"/>
    <w:rsid w:val="003458D6"/>
    <w:rsid w:val="00346898"/>
    <w:rsid w:val="00347869"/>
    <w:rsid w:val="00353706"/>
    <w:rsid w:val="00355EF8"/>
    <w:rsid w:val="0036070C"/>
    <w:rsid w:val="00361FD0"/>
    <w:rsid w:val="00362424"/>
    <w:rsid w:val="0036346B"/>
    <w:rsid w:val="0036418B"/>
    <w:rsid w:val="00367CD5"/>
    <w:rsid w:val="00370680"/>
    <w:rsid w:val="00370E65"/>
    <w:rsid w:val="0037143C"/>
    <w:rsid w:val="003724EA"/>
    <w:rsid w:val="00372C9F"/>
    <w:rsid w:val="00380A6E"/>
    <w:rsid w:val="00385443"/>
    <w:rsid w:val="003924D0"/>
    <w:rsid w:val="00394DBB"/>
    <w:rsid w:val="0039595B"/>
    <w:rsid w:val="003959BD"/>
    <w:rsid w:val="00395CE3"/>
    <w:rsid w:val="003973A5"/>
    <w:rsid w:val="003A19F7"/>
    <w:rsid w:val="003A4871"/>
    <w:rsid w:val="003A641E"/>
    <w:rsid w:val="003A70B4"/>
    <w:rsid w:val="003A716A"/>
    <w:rsid w:val="003A7351"/>
    <w:rsid w:val="003B0D5F"/>
    <w:rsid w:val="003B1CB2"/>
    <w:rsid w:val="003B5F2C"/>
    <w:rsid w:val="003B62CB"/>
    <w:rsid w:val="003B6338"/>
    <w:rsid w:val="003C0736"/>
    <w:rsid w:val="003C0B59"/>
    <w:rsid w:val="003C0EF7"/>
    <w:rsid w:val="003C3A4F"/>
    <w:rsid w:val="003D0F5E"/>
    <w:rsid w:val="003D1E87"/>
    <w:rsid w:val="003D2A8A"/>
    <w:rsid w:val="003D3D8D"/>
    <w:rsid w:val="003D5C8D"/>
    <w:rsid w:val="003D60CD"/>
    <w:rsid w:val="003D6932"/>
    <w:rsid w:val="003E6E6E"/>
    <w:rsid w:val="003F1678"/>
    <w:rsid w:val="003F2733"/>
    <w:rsid w:val="003F5AFB"/>
    <w:rsid w:val="003F5F4E"/>
    <w:rsid w:val="003F6DBE"/>
    <w:rsid w:val="003F7741"/>
    <w:rsid w:val="003F7C23"/>
    <w:rsid w:val="0040153E"/>
    <w:rsid w:val="004021B2"/>
    <w:rsid w:val="00402E72"/>
    <w:rsid w:val="00403E3E"/>
    <w:rsid w:val="0041110E"/>
    <w:rsid w:val="00415A68"/>
    <w:rsid w:val="00415D1F"/>
    <w:rsid w:val="004170BB"/>
    <w:rsid w:val="0042161D"/>
    <w:rsid w:val="00423BD6"/>
    <w:rsid w:val="00425789"/>
    <w:rsid w:val="0042746A"/>
    <w:rsid w:val="0043473E"/>
    <w:rsid w:val="00434D03"/>
    <w:rsid w:val="00444F0E"/>
    <w:rsid w:val="00445DE0"/>
    <w:rsid w:val="00446170"/>
    <w:rsid w:val="00447102"/>
    <w:rsid w:val="00447C5D"/>
    <w:rsid w:val="00451945"/>
    <w:rsid w:val="00452707"/>
    <w:rsid w:val="00452DE7"/>
    <w:rsid w:val="00452E1D"/>
    <w:rsid w:val="004534E6"/>
    <w:rsid w:val="00454A50"/>
    <w:rsid w:val="00454ED7"/>
    <w:rsid w:val="004563EE"/>
    <w:rsid w:val="00456700"/>
    <w:rsid w:val="0046176F"/>
    <w:rsid w:val="00461B11"/>
    <w:rsid w:val="00461B7E"/>
    <w:rsid w:val="00464AC0"/>
    <w:rsid w:val="00464F95"/>
    <w:rsid w:val="00465F61"/>
    <w:rsid w:val="00467FB4"/>
    <w:rsid w:val="00472D21"/>
    <w:rsid w:val="00473E3D"/>
    <w:rsid w:val="00473E4C"/>
    <w:rsid w:val="00480632"/>
    <w:rsid w:val="00481882"/>
    <w:rsid w:val="00483C7D"/>
    <w:rsid w:val="00484827"/>
    <w:rsid w:val="0049052E"/>
    <w:rsid w:val="0049531E"/>
    <w:rsid w:val="004967B7"/>
    <w:rsid w:val="00496F27"/>
    <w:rsid w:val="004975DD"/>
    <w:rsid w:val="004A0005"/>
    <w:rsid w:val="004A312F"/>
    <w:rsid w:val="004A31A2"/>
    <w:rsid w:val="004A345A"/>
    <w:rsid w:val="004A6C98"/>
    <w:rsid w:val="004B0339"/>
    <w:rsid w:val="004B0348"/>
    <w:rsid w:val="004B156D"/>
    <w:rsid w:val="004B38DC"/>
    <w:rsid w:val="004B54F7"/>
    <w:rsid w:val="004B5AF8"/>
    <w:rsid w:val="004C30B9"/>
    <w:rsid w:val="004D09E0"/>
    <w:rsid w:val="004D4C79"/>
    <w:rsid w:val="004D5ADB"/>
    <w:rsid w:val="004E3942"/>
    <w:rsid w:val="004E44D2"/>
    <w:rsid w:val="004E59C6"/>
    <w:rsid w:val="004E5DC7"/>
    <w:rsid w:val="004F21C9"/>
    <w:rsid w:val="004F60B2"/>
    <w:rsid w:val="004F7EC7"/>
    <w:rsid w:val="00505D12"/>
    <w:rsid w:val="00510425"/>
    <w:rsid w:val="00510663"/>
    <w:rsid w:val="00511016"/>
    <w:rsid w:val="0051316F"/>
    <w:rsid w:val="00520007"/>
    <w:rsid w:val="00520999"/>
    <w:rsid w:val="00520B7E"/>
    <w:rsid w:val="00521380"/>
    <w:rsid w:val="00525007"/>
    <w:rsid w:val="00530EB2"/>
    <w:rsid w:val="005334CE"/>
    <w:rsid w:val="0053564B"/>
    <w:rsid w:val="005363BC"/>
    <w:rsid w:val="0053721E"/>
    <w:rsid w:val="0053728E"/>
    <w:rsid w:val="0053732E"/>
    <w:rsid w:val="0053785D"/>
    <w:rsid w:val="00540C7E"/>
    <w:rsid w:val="005419BD"/>
    <w:rsid w:val="00542B73"/>
    <w:rsid w:val="005435D2"/>
    <w:rsid w:val="00544E6C"/>
    <w:rsid w:val="00547AF6"/>
    <w:rsid w:val="00552127"/>
    <w:rsid w:val="00553434"/>
    <w:rsid w:val="00556C93"/>
    <w:rsid w:val="00557E3D"/>
    <w:rsid w:val="00560A95"/>
    <w:rsid w:val="00562CC7"/>
    <w:rsid w:val="005633AA"/>
    <w:rsid w:val="00565E79"/>
    <w:rsid w:val="00566101"/>
    <w:rsid w:val="00566D3D"/>
    <w:rsid w:val="00571145"/>
    <w:rsid w:val="00573200"/>
    <w:rsid w:val="0057386B"/>
    <w:rsid w:val="00574BAE"/>
    <w:rsid w:val="00575F89"/>
    <w:rsid w:val="00576290"/>
    <w:rsid w:val="005770EC"/>
    <w:rsid w:val="005776DC"/>
    <w:rsid w:val="005805C7"/>
    <w:rsid w:val="005845EA"/>
    <w:rsid w:val="005950BE"/>
    <w:rsid w:val="00595675"/>
    <w:rsid w:val="00595FC1"/>
    <w:rsid w:val="005A0060"/>
    <w:rsid w:val="005A3FC1"/>
    <w:rsid w:val="005B05D4"/>
    <w:rsid w:val="005B1161"/>
    <w:rsid w:val="005B2960"/>
    <w:rsid w:val="005B48BD"/>
    <w:rsid w:val="005B4D7D"/>
    <w:rsid w:val="005B5AA7"/>
    <w:rsid w:val="005B5D27"/>
    <w:rsid w:val="005C0B67"/>
    <w:rsid w:val="005C0C44"/>
    <w:rsid w:val="005C0CC4"/>
    <w:rsid w:val="005C1192"/>
    <w:rsid w:val="005C1441"/>
    <w:rsid w:val="005C51D2"/>
    <w:rsid w:val="005C5FA8"/>
    <w:rsid w:val="005D1DE0"/>
    <w:rsid w:val="005D664F"/>
    <w:rsid w:val="005D7472"/>
    <w:rsid w:val="005E1BA1"/>
    <w:rsid w:val="005E2B57"/>
    <w:rsid w:val="005E7453"/>
    <w:rsid w:val="005E7A30"/>
    <w:rsid w:val="005F488B"/>
    <w:rsid w:val="005F5E5A"/>
    <w:rsid w:val="00602673"/>
    <w:rsid w:val="006029B0"/>
    <w:rsid w:val="00602CCE"/>
    <w:rsid w:val="006047E6"/>
    <w:rsid w:val="006061A0"/>
    <w:rsid w:val="006104BC"/>
    <w:rsid w:val="0061446A"/>
    <w:rsid w:val="0061632D"/>
    <w:rsid w:val="0062056D"/>
    <w:rsid w:val="00620996"/>
    <w:rsid w:val="0062106A"/>
    <w:rsid w:val="00625060"/>
    <w:rsid w:val="00631A85"/>
    <w:rsid w:val="0063502A"/>
    <w:rsid w:val="0063572B"/>
    <w:rsid w:val="00640427"/>
    <w:rsid w:val="006424B9"/>
    <w:rsid w:val="00644077"/>
    <w:rsid w:val="00647514"/>
    <w:rsid w:val="00651C95"/>
    <w:rsid w:val="00652185"/>
    <w:rsid w:val="00653C1B"/>
    <w:rsid w:val="00654977"/>
    <w:rsid w:val="00660D36"/>
    <w:rsid w:val="00663A43"/>
    <w:rsid w:val="00667818"/>
    <w:rsid w:val="00667BB8"/>
    <w:rsid w:val="00673ACF"/>
    <w:rsid w:val="00673BB9"/>
    <w:rsid w:val="0067516A"/>
    <w:rsid w:val="00675A3F"/>
    <w:rsid w:val="00676039"/>
    <w:rsid w:val="006952DB"/>
    <w:rsid w:val="00696688"/>
    <w:rsid w:val="006A04D6"/>
    <w:rsid w:val="006A0E43"/>
    <w:rsid w:val="006A430A"/>
    <w:rsid w:val="006A4760"/>
    <w:rsid w:val="006A4D72"/>
    <w:rsid w:val="006A6D80"/>
    <w:rsid w:val="006B0604"/>
    <w:rsid w:val="006B1C14"/>
    <w:rsid w:val="006B1D53"/>
    <w:rsid w:val="006B26D0"/>
    <w:rsid w:val="006B4B65"/>
    <w:rsid w:val="006C200B"/>
    <w:rsid w:val="006C6228"/>
    <w:rsid w:val="006D047A"/>
    <w:rsid w:val="006D2B07"/>
    <w:rsid w:val="006D388F"/>
    <w:rsid w:val="006D6F27"/>
    <w:rsid w:val="006E1A93"/>
    <w:rsid w:val="006E2DFF"/>
    <w:rsid w:val="006E363E"/>
    <w:rsid w:val="006E389F"/>
    <w:rsid w:val="006E73DC"/>
    <w:rsid w:val="006E74AD"/>
    <w:rsid w:val="006F0B27"/>
    <w:rsid w:val="006F12FE"/>
    <w:rsid w:val="006F33AC"/>
    <w:rsid w:val="006F415F"/>
    <w:rsid w:val="006F41ED"/>
    <w:rsid w:val="006F4A3A"/>
    <w:rsid w:val="006F4D08"/>
    <w:rsid w:val="006F4EF7"/>
    <w:rsid w:val="006F4FC6"/>
    <w:rsid w:val="00700AC4"/>
    <w:rsid w:val="0070226B"/>
    <w:rsid w:val="00703987"/>
    <w:rsid w:val="00705DE9"/>
    <w:rsid w:val="007073DD"/>
    <w:rsid w:val="00707815"/>
    <w:rsid w:val="00712848"/>
    <w:rsid w:val="007140CB"/>
    <w:rsid w:val="00714BD3"/>
    <w:rsid w:val="007163BB"/>
    <w:rsid w:val="007203AE"/>
    <w:rsid w:val="00724326"/>
    <w:rsid w:val="00730F37"/>
    <w:rsid w:val="00732238"/>
    <w:rsid w:val="007346EF"/>
    <w:rsid w:val="00734724"/>
    <w:rsid w:val="00736D1C"/>
    <w:rsid w:val="007404F7"/>
    <w:rsid w:val="00740C29"/>
    <w:rsid w:val="007426A7"/>
    <w:rsid w:val="00742AEF"/>
    <w:rsid w:val="00742F53"/>
    <w:rsid w:val="00744D03"/>
    <w:rsid w:val="0074541E"/>
    <w:rsid w:val="007465C3"/>
    <w:rsid w:val="00746A82"/>
    <w:rsid w:val="00746C36"/>
    <w:rsid w:val="00747644"/>
    <w:rsid w:val="00752BD1"/>
    <w:rsid w:val="00753235"/>
    <w:rsid w:val="00757508"/>
    <w:rsid w:val="0076018B"/>
    <w:rsid w:val="00762605"/>
    <w:rsid w:val="007627FF"/>
    <w:rsid w:val="007649EA"/>
    <w:rsid w:val="00764A13"/>
    <w:rsid w:val="00764E62"/>
    <w:rsid w:val="00765277"/>
    <w:rsid w:val="007665A0"/>
    <w:rsid w:val="00767B18"/>
    <w:rsid w:val="007708FA"/>
    <w:rsid w:val="00771C9B"/>
    <w:rsid w:val="00771F3A"/>
    <w:rsid w:val="00771FD8"/>
    <w:rsid w:val="00776161"/>
    <w:rsid w:val="0077723D"/>
    <w:rsid w:val="0077737A"/>
    <w:rsid w:val="00785625"/>
    <w:rsid w:val="00785F2C"/>
    <w:rsid w:val="00787F11"/>
    <w:rsid w:val="00793B30"/>
    <w:rsid w:val="007976C2"/>
    <w:rsid w:val="007A1955"/>
    <w:rsid w:val="007A1EC3"/>
    <w:rsid w:val="007A30A1"/>
    <w:rsid w:val="007A3521"/>
    <w:rsid w:val="007A5E83"/>
    <w:rsid w:val="007A735C"/>
    <w:rsid w:val="007A7DC7"/>
    <w:rsid w:val="007B0DF2"/>
    <w:rsid w:val="007B2946"/>
    <w:rsid w:val="007B30BA"/>
    <w:rsid w:val="007B38A8"/>
    <w:rsid w:val="007B3C5B"/>
    <w:rsid w:val="007B4F46"/>
    <w:rsid w:val="007B5345"/>
    <w:rsid w:val="007B6253"/>
    <w:rsid w:val="007B7A7E"/>
    <w:rsid w:val="007C061A"/>
    <w:rsid w:val="007C0951"/>
    <w:rsid w:val="007C0A72"/>
    <w:rsid w:val="007C3467"/>
    <w:rsid w:val="007C5197"/>
    <w:rsid w:val="007C5AF8"/>
    <w:rsid w:val="007C7807"/>
    <w:rsid w:val="007D6A56"/>
    <w:rsid w:val="007D762A"/>
    <w:rsid w:val="007E143A"/>
    <w:rsid w:val="007E2A71"/>
    <w:rsid w:val="007E3F53"/>
    <w:rsid w:val="007E621D"/>
    <w:rsid w:val="007E6E8B"/>
    <w:rsid w:val="007F1091"/>
    <w:rsid w:val="007F4157"/>
    <w:rsid w:val="007F4B9A"/>
    <w:rsid w:val="007F625E"/>
    <w:rsid w:val="007F7ADC"/>
    <w:rsid w:val="00804273"/>
    <w:rsid w:val="00804350"/>
    <w:rsid w:val="00805746"/>
    <w:rsid w:val="00807B92"/>
    <w:rsid w:val="008120CA"/>
    <w:rsid w:val="00815EB1"/>
    <w:rsid w:val="00815FE5"/>
    <w:rsid w:val="00821210"/>
    <w:rsid w:val="00821E08"/>
    <w:rsid w:val="0082520D"/>
    <w:rsid w:val="00825B2C"/>
    <w:rsid w:val="00826945"/>
    <w:rsid w:val="008327B7"/>
    <w:rsid w:val="00832F8D"/>
    <w:rsid w:val="008336F1"/>
    <w:rsid w:val="00834C59"/>
    <w:rsid w:val="008351E3"/>
    <w:rsid w:val="0083645A"/>
    <w:rsid w:val="008438E2"/>
    <w:rsid w:val="00847219"/>
    <w:rsid w:val="00850C3E"/>
    <w:rsid w:val="008520B7"/>
    <w:rsid w:val="00852EDB"/>
    <w:rsid w:val="008530B1"/>
    <w:rsid w:val="00860261"/>
    <w:rsid w:val="0086044D"/>
    <w:rsid w:val="00861DC5"/>
    <w:rsid w:val="00862BDF"/>
    <w:rsid w:val="008630B1"/>
    <w:rsid w:val="008631BC"/>
    <w:rsid w:val="00864703"/>
    <w:rsid w:val="00866AD7"/>
    <w:rsid w:val="00873FA1"/>
    <w:rsid w:val="0087483B"/>
    <w:rsid w:val="00876568"/>
    <w:rsid w:val="008804BF"/>
    <w:rsid w:val="0088162D"/>
    <w:rsid w:val="008843F8"/>
    <w:rsid w:val="008850FB"/>
    <w:rsid w:val="00891F1E"/>
    <w:rsid w:val="00893E68"/>
    <w:rsid w:val="00894AE7"/>
    <w:rsid w:val="00897565"/>
    <w:rsid w:val="008978A7"/>
    <w:rsid w:val="008A1CE2"/>
    <w:rsid w:val="008A49DD"/>
    <w:rsid w:val="008A536B"/>
    <w:rsid w:val="008B0B9D"/>
    <w:rsid w:val="008B3ADB"/>
    <w:rsid w:val="008B46B0"/>
    <w:rsid w:val="008B50D4"/>
    <w:rsid w:val="008B564C"/>
    <w:rsid w:val="008B6AE9"/>
    <w:rsid w:val="008C050F"/>
    <w:rsid w:val="008C06D2"/>
    <w:rsid w:val="008C2D53"/>
    <w:rsid w:val="008C4CC7"/>
    <w:rsid w:val="008D2B44"/>
    <w:rsid w:val="008D318B"/>
    <w:rsid w:val="008D36CB"/>
    <w:rsid w:val="008D7919"/>
    <w:rsid w:val="008D7C00"/>
    <w:rsid w:val="008E03F8"/>
    <w:rsid w:val="008E0793"/>
    <w:rsid w:val="008E1158"/>
    <w:rsid w:val="008E4F42"/>
    <w:rsid w:val="008E56F9"/>
    <w:rsid w:val="008E57C9"/>
    <w:rsid w:val="008E5D9C"/>
    <w:rsid w:val="008E68A0"/>
    <w:rsid w:val="008F05A1"/>
    <w:rsid w:val="008F0CF4"/>
    <w:rsid w:val="008F1D34"/>
    <w:rsid w:val="008F5FEA"/>
    <w:rsid w:val="008F6539"/>
    <w:rsid w:val="008F6FC6"/>
    <w:rsid w:val="0090131C"/>
    <w:rsid w:val="00902206"/>
    <w:rsid w:val="00902904"/>
    <w:rsid w:val="00903AAF"/>
    <w:rsid w:val="00903FC9"/>
    <w:rsid w:val="00906EB6"/>
    <w:rsid w:val="00907215"/>
    <w:rsid w:val="00907371"/>
    <w:rsid w:val="00907AF1"/>
    <w:rsid w:val="00907E25"/>
    <w:rsid w:val="00910EF4"/>
    <w:rsid w:val="009126C5"/>
    <w:rsid w:val="00912873"/>
    <w:rsid w:val="00912B2A"/>
    <w:rsid w:val="00915121"/>
    <w:rsid w:val="0091653E"/>
    <w:rsid w:val="009177A7"/>
    <w:rsid w:val="00917E16"/>
    <w:rsid w:val="009205C8"/>
    <w:rsid w:val="00921EDE"/>
    <w:rsid w:val="00922BE7"/>
    <w:rsid w:val="00923FFC"/>
    <w:rsid w:val="00924EC9"/>
    <w:rsid w:val="0092572F"/>
    <w:rsid w:val="009258BB"/>
    <w:rsid w:val="00930335"/>
    <w:rsid w:val="0093141F"/>
    <w:rsid w:val="009346D7"/>
    <w:rsid w:val="00940704"/>
    <w:rsid w:val="00942BF8"/>
    <w:rsid w:val="009435E7"/>
    <w:rsid w:val="009468AD"/>
    <w:rsid w:val="009505E3"/>
    <w:rsid w:val="009516E4"/>
    <w:rsid w:val="00953C51"/>
    <w:rsid w:val="009554BA"/>
    <w:rsid w:val="00955BF6"/>
    <w:rsid w:val="00955CF3"/>
    <w:rsid w:val="00956580"/>
    <w:rsid w:val="0096100F"/>
    <w:rsid w:val="00961423"/>
    <w:rsid w:val="00963144"/>
    <w:rsid w:val="00963675"/>
    <w:rsid w:val="00963A93"/>
    <w:rsid w:val="00970F2D"/>
    <w:rsid w:val="00971A88"/>
    <w:rsid w:val="009725B3"/>
    <w:rsid w:val="0097276B"/>
    <w:rsid w:val="00972FD2"/>
    <w:rsid w:val="00973249"/>
    <w:rsid w:val="009777D7"/>
    <w:rsid w:val="0098088F"/>
    <w:rsid w:val="009809A6"/>
    <w:rsid w:val="0098250F"/>
    <w:rsid w:val="00982786"/>
    <w:rsid w:val="00983F15"/>
    <w:rsid w:val="00985E20"/>
    <w:rsid w:val="00986022"/>
    <w:rsid w:val="009860C8"/>
    <w:rsid w:val="00987992"/>
    <w:rsid w:val="00992E59"/>
    <w:rsid w:val="00992E7D"/>
    <w:rsid w:val="00993ECF"/>
    <w:rsid w:val="00995996"/>
    <w:rsid w:val="00996520"/>
    <w:rsid w:val="00996957"/>
    <w:rsid w:val="00997399"/>
    <w:rsid w:val="009A1B14"/>
    <w:rsid w:val="009A7A2C"/>
    <w:rsid w:val="009B0197"/>
    <w:rsid w:val="009B0B48"/>
    <w:rsid w:val="009B192F"/>
    <w:rsid w:val="009B200E"/>
    <w:rsid w:val="009B2E25"/>
    <w:rsid w:val="009B2E8F"/>
    <w:rsid w:val="009B3907"/>
    <w:rsid w:val="009B3CB1"/>
    <w:rsid w:val="009B4254"/>
    <w:rsid w:val="009B58B8"/>
    <w:rsid w:val="009B61F7"/>
    <w:rsid w:val="009B66D5"/>
    <w:rsid w:val="009B6934"/>
    <w:rsid w:val="009C0B2E"/>
    <w:rsid w:val="009C1217"/>
    <w:rsid w:val="009C298D"/>
    <w:rsid w:val="009C3F41"/>
    <w:rsid w:val="009C470A"/>
    <w:rsid w:val="009C4868"/>
    <w:rsid w:val="009C57D5"/>
    <w:rsid w:val="009C59BE"/>
    <w:rsid w:val="009C6AE2"/>
    <w:rsid w:val="009D0288"/>
    <w:rsid w:val="009D0B23"/>
    <w:rsid w:val="009D16B5"/>
    <w:rsid w:val="009D75C0"/>
    <w:rsid w:val="009E03DB"/>
    <w:rsid w:val="009E0F96"/>
    <w:rsid w:val="009E2CD5"/>
    <w:rsid w:val="009E4681"/>
    <w:rsid w:val="009E7A9E"/>
    <w:rsid w:val="009F01CD"/>
    <w:rsid w:val="009F18A2"/>
    <w:rsid w:val="009F32E8"/>
    <w:rsid w:val="009F392D"/>
    <w:rsid w:val="009F3A14"/>
    <w:rsid w:val="009F4B28"/>
    <w:rsid w:val="009F7104"/>
    <w:rsid w:val="00A024AD"/>
    <w:rsid w:val="00A02F15"/>
    <w:rsid w:val="00A043DC"/>
    <w:rsid w:val="00A05879"/>
    <w:rsid w:val="00A06763"/>
    <w:rsid w:val="00A07AED"/>
    <w:rsid w:val="00A11026"/>
    <w:rsid w:val="00A14157"/>
    <w:rsid w:val="00A15AC5"/>
    <w:rsid w:val="00A177AC"/>
    <w:rsid w:val="00A21B83"/>
    <w:rsid w:val="00A22829"/>
    <w:rsid w:val="00A228DB"/>
    <w:rsid w:val="00A22A54"/>
    <w:rsid w:val="00A23075"/>
    <w:rsid w:val="00A24893"/>
    <w:rsid w:val="00A24D82"/>
    <w:rsid w:val="00A331DB"/>
    <w:rsid w:val="00A3563D"/>
    <w:rsid w:val="00A37D57"/>
    <w:rsid w:val="00A409D0"/>
    <w:rsid w:val="00A40D55"/>
    <w:rsid w:val="00A440CE"/>
    <w:rsid w:val="00A44CA4"/>
    <w:rsid w:val="00A50026"/>
    <w:rsid w:val="00A5115F"/>
    <w:rsid w:val="00A51EA9"/>
    <w:rsid w:val="00A535B4"/>
    <w:rsid w:val="00A548CE"/>
    <w:rsid w:val="00A5497D"/>
    <w:rsid w:val="00A57F2A"/>
    <w:rsid w:val="00A60BA5"/>
    <w:rsid w:val="00A61A4B"/>
    <w:rsid w:val="00A64586"/>
    <w:rsid w:val="00A67703"/>
    <w:rsid w:val="00A709B4"/>
    <w:rsid w:val="00A7119C"/>
    <w:rsid w:val="00A75C53"/>
    <w:rsid w:val="00A76B1E"/>
    <w:rsid w:val="00A76BD4"/>
    <w:rsid w:val="00A76F0C"/>
    <w:rsid w:val="00A76F1E"/>
    <w:rsid w:val="00A778F1"/>
    <w:rsid w:val="00A77982"/>
    <w:rsid w:val="00A83C62"/>
    <w:rsid w:val="00A83D7D"/>
    <w:rsid w:val="00A8429E"/>
    <w:rsid w:val="00A86CFA"/>
    <w:rsid w:val="00A8775C"/>
    <w:rsid w:val="00A87EE8"/>
    <w:rsid w:val="00A939C6"/>
    <w:rsid w:val="00A94329"/>
    <w:rsid w:val="00A94D95"/>
    <w:rsid w:val="00A96269"/>
    <w:rsid w:val="00A963A8"/>
    <w:rsid w:val="00A96949"/>
    <w:rsid w:val="00AA1C0D"/>
    <w:rsid w:val="00AA2A16"/>
    <w:rsid w:val="00AA4133"/>
    <w:rsid w:val="00AA47DA"/>
    <w:rsid w:val="00AA5598"/>
    <w:rsid w:val="00AB15F6"/>
    <w:rsid w:val="00AB657A"/>
    <w:rsid w:val="00AC1224"/>
    <w:rsid w:val="00AC1A8A"/>
    <w:rsid w:val="00AC21DC"/>
    <w:rsid w:val="00AC3F01"/>
    <w:rsid w:val="00AC63AB"/>
    <w:rsid w:val="00AD3514"/>
    <w:rsid w:val="00AE1CE2"/>
    <w:rsid w:val="00AE2804"/>
    <w:rsid w:val="00AE3E39"/>
    <w:rsid w:val="00AE625E"/>
    <w:rsid w:val="00AE6806"/>
    <w:rsid w:val="00AF0513"/>
    <w:rsid w:val="00AF3017"/>
    <w:rsid w:val="00AF3A84"/>
    <w:rsid w:val="00B00E20"/>
    <w:rsid w:val="00B01811"/>
    <w:rsid w:val="00B03DA4"/>
    <w:rsid w:val="00B06FB8"/>
    <w:rsid w:val="00B07AB4"/>
    <w:rsid w:val="00B12537"/>
    <w:rsid w:val="00B128B2"/>
    <w:rsid w:val="00B15364"/>
    <w:rsid w:val="00B15666"/>
    <w:rsid w:val="00B15C63"/>
    <w:rsid w:val="00B16B70"/>
    <w:rsid w:val="00B20C98"/>
    <w:rsid w:val="00B243DE"/>
    <w:rsid w:val="00B245D0"/>
    <w:rsid w:val="00B247B9"/>
    <w:rsid w:val="00B26751"/>
    <w:rsid w:val="00B316A1"/>
    <w:rsid w:val="00B318F8"/>
    <w:rsid w:val="00B335EC"/>
    <w:rsid w:val="00B33986"/>
    <w:rsid w:val="00B33DF2"/>
    <w:rsid w:val="00B33E5E"/>
    <w:rsid w:val="00B35F3A"/>
    <w:rsid w:val="00B411E2"/>
    <w:rsid w:val="00B419CD"/>
    <w:rsid w:val="00B42A62"/>
    <w:rsid w:val="00B43FB8"/>
    <w:rsid w:val="00B45064"/>
    <w:rsid w:val="00B45737"/>
    <w:rsid w:val="00B45D79"/>
    <w:rsid w:val="00B46533"/>
    <w:rsid w:val="00B46B1C"/>
    <w:rsid w:val="00B47F96"/>
    <w:rsid w:val="00B50234"/>
    <w:rsid w:val="00B51FCA"/>
    <w:rsid w:val="00B55348"/>
    <w:rsid w:val="00B5561A"/>
    <w:rsid w:val="00B56A26"/>
    <w:rsid w:val="00B5714C"/>
    <w:rsid w:val="00B578C6"/>
    <w:rsid w:val="00B66ADE"/>
    <w:rsid w:val="00B742DC"/>
    <w:rsid w:val="00B76994"/>
    <w:rsid w:val="00B76B72"/>
    <w:rsid w:val="00B778ED"/>
    <w:rsid w:val="00B81629"/>
    <w:rsid w:val="00B82D27"/>
    <w:rsid w:val="00B8387B"/>
    <w:rsid w:val="00B9035B"/>
    <w:rsid w:val="00B913F8"/>
    <w:rsid w:val="00B923FA"/>
    <w:rsid w:val="00B93910"/>
    <w:rsid w:val="00B961CE"/>
    <w:rsid w:val="00B962D8"/>
    <w:rsid w:val="00BA0272"/>
    <w:rsid w:val="00BA0D4A"/>
    <w:rsid w:val="00BA0EE9"/>
    <w:rsid w:val="00BA10C9"/>
    <w:rsid w:val="00BA3180"/>
    <w:rsid w:val="00BA4231"/>
    <w:rsid w:val="00BA517A"/>
    <w:rsid w:val="00BB073D"/>
    <w:rsid w:val="00BB1027"/>
    <w:rsid w:val="00BB2F4A"/>
    <w:rsid w:val="00BB448D"/>
    <w:rsid w:val="00BB461C"/>
    <w:rsid w:val="00BB4CA9"/>
    <w:rsid w:val="00BB618E"/>
    <w:rsid w:val="00BB737B"/>
    <w:rsid w:val="00BC07DF"/>
    <w:rsid w:val="00BC3166"/>
    <w:rsid w:val="00BC31CF"/>
    <w:rsid w:val="00BC4AE6"/>
    <w:rsid w:val="00BC7092"/>
    <w:rsid w:val="00BC70CB"/>
    <w:rsid w:val="00BD11FF"/>
    <w:rsid w:val="00BD63D0"/>
    <w:rsid w:val="00BD659D"/>
    <w:rsid w:val="00BE1CB7"/>
    <w:rsid w:val="00BE2FD2"/>
    <w:rsid w:val="00BF10A9"/>
    <w:rsid w:val="00BF14F2"/>
    <w:rsid w:val="00BF2FE1"/>
    <w:rsid w:val="00BF4406"/>
    <w:rsid w:val="00C0042A"/>
    <w:rsid w:val="00C00E85"/>
    <w:rsid w:val="00C011FF"/>
    <w:rsid w:val="00C01363"/>
    <w:rsid w:val="00C03BD0"/>
    <w:rsid w:val="00C06C9C"/>
    <w:rsid w:val="00C10748"/>
    <w:rsid w:val="00C10E8C"/>
    <w:rsid w:val="00C12B9D"/>
    <w:rsid w:val="00C1614A"/>
    <w:rsid w:val="00C2092D"/>
    <w:rsid w:val="00C21CE6"/>
    <w:rsid w:val="00C234EE"/>
    <w:rsid w:val="00C27B69"/>
    <w:rsid w:val="00C301DB"/>
    <w:rsid w:val="00C306B2"/>
    <w:rsid w:val="00C3095E"/>
    <w:rsid w:val="00C30EE1"/>
    <w:rsid w:val="00C31217"/>
    <w:rsid w:val="00C3148B"/>
    <w:rsid w:val="00C316E8"/>
    <w:rsid w:val="00C31D5C"/>
    <w:rsid w:val="00C33003"/>
    <w:rsid w:val="00C3316F"/>
    <w:rsid w:val="00C33725"/>
    <w:rsid w:val="00C3403A"/>
    <w:rsid w:val="00C34CFC"/>
    <w:rsid w:val="00C36A07"/>
    <w:rsid w:val="00C36CBD"/>
    <w:rsid w:val="00C37790"/>
    <w:rsid w:val="00C379E8"/>
    <w:rsid w:val="00C41DC1"/>
    <w:rsid w:val="00C4627B"/>
    <w:rsid w:val="00C46D93"/>
    <w:rsid w:val="00C50641"/>
    <w:rsid w:val="00C515B7"/>
    <w:rsid w:val="00C51C12"/>
    <w:rsid w:val="00C52137"/>
    <w:rsid w:val="00C53CBE"/>
    <w:rsid w:val="00C54304"/>
    <w:rsid w:val="00C5458B"/>
    <w:rsid w:val="00C551AA"/>
    <w:rsid w:val="00C5543D"/>
    <w:rsid w:val="00C562C7"/>
    <w:rsid w:val="00C60068"/>
    <w:rsid w:val="00C632AA"/>
    <w:rsid w:val="00C64004"/>
    <w:rsid w:val="00C64CA6"/>
    <w:rsid w:val="00C71236"/>
    <w:rsid w:val="00C72CC7"/>
    <w:rsid w:val="00C73FCE"/>
    <w:rsid w:val="00C748A9"/>
    <w:rsid w:val="00C84C5B"/>
    <w:rsid w:val="00C84DE6"/>
    <w:rsid w:val="00C85E47"/>
    <w:rsid w:val="00C871D9"/>
    <w:rsid w:val="00C91105"/>
    <w:rsid w:val="00C914F2"/>
    <w:rsid w:val="00C92E14"/>
    <w:rsid w:val="00C94683"/>
    <w:rsid w:val="00CA022A"/>
    <w:rsid w:val="00CA13E9"/>
    <w:rsid w:val="00CA1FE2"/>
    <w:rsid w:val="00CA5D4C"/>
    <w:rsid w:val="00CA6CBF"/>
    <w:rsid w:val="00CA74B3"/>
    <w:rsid w:val="00CA7887"/>
    <w:rsid w:val="00CA79FD"/>
    <w:rsid w:val="00CB10AD"/>
    <w:rsid w:val="00CB4A5E"/>
    <w:rsid w:val="00CB4BAD"/>
    <w:rsid w:val="00CB57C9"/>
    <w:rsid w:val="00CC0659"/>
    <w:rsid w:val="00CC7161"/>
    <w:rsid w:val="00CD08D9"/>
    <w:rsid w:val="00CD2AD8"/>
    <w:rsid w:val="00CD2D3F"/>
    <w:rsid w:val="00CD327B"/>
    <w:rsid w:val="00CD4110"/>
    <w:rsid w:val="00CD4213"/>
    <w:rsid w:val="00CD7B16"/>
    <w:rsid w:val="00CE4804"/>
    <w:rsid w:val="00CE7144"/>
    <w:rsid w:val="00CF073E"/>
    <w:rsid w:val="00CF55E3"/>
    <w:rsid w:val="00CF71FD"/>
    <w:rsid w:val="00CF789F"/>
    <w:rsid w:val="00CF7B5B"/>
    <w:rsid w:val="00D02C1F"/>
    <w:rsid w:val="00D0342A"/>
    <w:rsid w:val="00D03C8C"/>
    <w:rsid w:val="00D0415F"/>
    <w:rsid w:val="00D070D0"/>
    <w:rsid w:val="00D07AE3"/>
    <w:rsid w:val="00D1441D"/>
    <w:rsid w:val="00D17FDF"/>
    <w:rsid w:val="00D216AC"/>
    <w:rsid w:val="00D21802"/>
    <w:rsid w:val="00D2197E"/>
    <w:rsid w:val="00D23FB1"/>
    <w:rsid w:val="00D24566"/>
    <w:rsid w:val="00D27647"/>
    <w:rsid w:val="00D27652"/>
    <w:rsid w:val="00D31347"/>
    <w:rsid w:val="00D31429"/>
    <w:rsid w:val="00D3273B"/>
    <w:rsid w:val="00D36A0C"/>
    <w:rsid w:val="00D45717"/>
    <w:rsid w:val="00D46E69"/>
    <w:rsid w:val="00D51ED8"/>
    <w:rsid w:val="00D53EEF"/>
    <w:rsid w:val="00D603CD"/>
    <w:rsid w:val="00D608D6"/>
    <w:rsid w:val="00D62272"/>
    <w:rsid w:val="00D6298D"/>
    <w:rsid w:val="00D650CE"/>
    <w:rsid w:val="00D67DAE"/>
    <w:rsid w:val="00D67F43"/>
    <w:rsid w:val="00D7334C"/>
    <w:rsid w:val="00D74A6B"/>
    <w:rsid w:val="00D74D4F"/>
    <w:rsid w:val="00D7560C"/>
    <w:rsid w:val="00D80319"/>
    <w:rsid w:val="00D83826"/>
    <w:rsid w:val="00D846B6"/>
    <w:rsid w:val="00D86EF4"/>
    <w:rsid w:val="00D9122A"/>
    <w:rsid w:val="00D92655"/>
    <w:rsid w:val="00D9284E"/>
    <w:rsid w:val="00D931FF"/>
    <w:rsid w:val="00D96DA8"/>
    <w:rsid w:val="00D97520"/>
    <w:rsid w:val="00DA0D44"/>
    <w:rsid w:val="00DA16DE"/>
    <w:rsid w:val="00DA179F"/>
    <w:rsid w:val="00DA1A15"/>
    <w:rsid w:val="00DA207C"/>
    <w:rsid w:val="00DA327F"/>
    <w:rsid w:val="00DA40FA"/>
    <w:rsid w:val="00DA44DB"/>
    <w:rsid w:val="00DA4DE7"/>
    <w:rsid w:val="00DA7BAE"/>
    <w:rsid w:val="00DA7DDA"/>
    <w:rsid w:val="00DA7F47"/>
    <w:rsid w:val="00DB039D"/>
    <w:rsid w:val="00DB1B89"/>
    <w:rsid w:val="00DB40D7"/>
    <w:rsid w:val="00DB7CC4"/>
    <w:rsid w:val="00DC007D"/>
    <w:rsid w:val="00DC264E"/>
    <w:rsid w:val="00DC3B06"/>
    <w:rsid w:val="00DD0AC2"/>
    <w:rsid w:val="00DD2191"/>
    <w:rsid w:val="00DD4AD1"/>
    <w:rsid w:val="00DD6882"/>
    <w:rsid w:val="00DD6E10"/>
    <w:rsid w:val="00DE199F"/>
    <w:rsid w:val="00DE4ACB"/>
    <w:rsid w:val="00DE73DC"/>
    <w:rsid w:val="00DF085E"/>
    <w:rsid w:val="00DF10E5"/>
    <w:rsid w:val="00DF1C8B"/>
    <w:rsid w:val="00DF6897"/>
    <w:rsid w:val="00DF7439"/>
    <w:rsid w:val="00E013A8"/>
    <w:rsid w:val="00E03D30"/>
    <w:rsid w:val="00E073A3"/>
    <w:rsid w:val="00E078B4"/>
    <w:rsid w:val="00E126EA"/>
    <w:rsid w:val="00E137FF"/>
    <w:rsid w:val="00E13C9F"/>
    <w:rsid w:val="00E14B4E"/>
    <w:rsid w:val="00E1746D"/>
    <w:rsid w:val="00E204E7"/>
    <w:rsid w:val="00E21BCA"/>
    <w:rsid w:val="00E26537"/>
    <w:rsid w:val="00E26DE7"/>
    <w:rsid w:val="00E26E98"/>
    <w:rsid w:val="00E26FDB"/>
    <w:rsid w:val="00E316C5"/>
    <w:rsid w:val="00E31F4D"/>
    <w:rsid w:val="00E33670"/>
    <w:rsid w:val="00E35434"/>
    <w:rsid w:val="00E37075"/>
    <w:rsid w:val="00E40734"/>
    <w:rsid w:val="00E42402"/>
    <w:rsid w:val="00E4337D"/>
    <w:rsid w:val="00E43DA8"/>
    <w:rsid w:val="00E448F8"/>
    <w:rsid w:val="00E473FC"/>
    <w:rsid w:val="00E47CEA"/>
    <w:rsid w:val="00E514E2"/>
    <w:rsid w:val="00E52CE7"/>
    <w:rsid w:val="00E54DC9"/>
    <w:rsid w:val="00E56C2F"/>
    <w:rsid w:val="00E57E57"/>
    <w:rsid w:val="00E60514"/>
    <w:rsid w:val="00E60909"/>
    <w:rsid w:val="00E63310"/>
    <w:rsid w:val="00E6644A"/>
    <w:rsid w:val="00E71B77"/>
    <w:rsid w:val="00E71FCE"/>
    <w:rsid w:val="00E725AD"/>
    <w:rsid w:val="00E81EB8"/>
    <w:rsid w:val="00E82425"/>
    <w:rsid w:val="00E825AC"/>
    <w:rsid w:val="00E85105"/>
    <w:rsid w:val="00E852AB"/>
    <w:rsid w:val="00E86878"/>
    <w:rsid w:val="00E868C6"/>
    <w:rsid w:val="00E873CD"/>
    <w:rsid w:val="00E874DC"/>
    <w:rsid w:val="00E90DD3"/>
    <w:rsid w:val="00E917F2"/>
    <w:rsid w:val="00E951D5"/>
    <w:rsid w:val="00EA1718"/>
    <w:rsid w:val="00EA2A82"/>
    <w:rsid w:val="00EA31CF"/>
    <w:rsid w:val="00EA4F20"/>
    <w:rsid w:val="00EA732C"/>
    <w:rsid w:val="00EB2990"/>
    <w:rsid w:val="00EB3686"/>
    <w:rsid w:val="00EC0F6F"/>
    <w:rsid w:val="00EC1E2B"/>
    <w:rsid w:val="00EC22F8"/>
    <w:rsid w:val="00EC31E7"/>
    <w:rsid w:val="00EC36EE"/>
    <w:rsid w:val="00EC4EB5"/>
    <w:rsid w:val="00EC5EF5"/>
    <w:rsid w:val="00ED096A"/>
    <w:rsid w:val="00ED26D4"/>
    <w:rsid w:val="00ED2F02"/>
    <w:rsid w:val="00ED58BF"/>
    <w:rsid w:val="00EE250D"/>
    <w:rsid w:val="00EE2F5B"/>
    <w:rsid w:val="00EE589A"/>
    <w:rsid w:val="00EE7084"/>
    <w:rsid w:val="00EE71EB"/>
    <w:rsid w:val="00EF028B"/>
    <w:rsid w:val="00EF19F0"/>
    <w:rsid w:val="00EF4260"/>
    <w:rsid w:val="00EF7EEC"/>
    <w:rsid w:val="00F02CCF"/>
    <w:rsid w:val="00F033E8"/>
    <w:rsid w:val="00F10C67"/>
    <w:rsid w:val="00F13D2A"/>
    <w:rsid w:val="00F14EF2"/>
    <w:rsid w:val="00F1664C"/>
    <w:rsid w:val="00F17363"/>
    <w:rsid w:val="00F175B0"/>
    <w:rsid w:val="00F17C17"/>
    <w:rsid w:val="00F2184B"/>
    <w:rsid w:val="00F2441D"/>
    <w:rsid w:val="00F27B77"/>
    <w:rsid w:val="00F30161"/>
    <w:rsid w:val="00F31AD5"/>
    <w:rsid w:val="00F33491"/>
    <w:rsid w:val="00F3381A"/>
    <w:rsid w:val="00F33E68"/>
    <w:rsid w:val="00F34317"/>
    <w:rsid w:val="00F35157"/>
    <w:rsid w:val="00F3649E"/>
    <w:rsid w:val="00F4111A"/>
    <w:rsid w:val="00F414C6"/>
    <w:rsid w:val="00F41CB0"/>
    <w:rsid w:val="00F425D3"/>
    <w:rsid w:val="00F50BB8"/>
    <w:rsid w:val="00F5131E"/>
    <w:rsid w:val="00F514CD"/>
    <w:rsid w:val="00F528AF"/>
    <w:rsid w:val="00F53183"/>
    <w:rsid w:val="00F53421"/>
    <w:rsid w:val="00F539B1"/>
    <w:rsid w:val="00F5463C"/>
    <w:rsid w:val="00F606DA"/>
    <w:rsid w:val="00F60C63"/>
    <w:rsid w:val="00F60F9A"/>
    <w:rsid w:val="00F62438"/>
    <w:rsid w:val="00F62573"/>
    <w:rsid w:val="00F63E00"/>
    <w:rsid w:val="00F64043"/>
    <w:rsid w:val="00F67449"/>
    <w:rsid w:val="00F71E45"/>
    <w:rsid w:val="00F72630"/>
    <w:rsid w:val="00F72F3A"/>
    <w:rsid w:val="00F731A3"/>
    <w:rsid w:val="00F73B3C"/>
    <w:rsid w:val="00F7471F"/>
    <w:rsid w:val="00F76223"/>
    <w:rsid w:val="00F77548"/>
    <w:rsid w:val="00F80DC0"/>
    <w:rsid w:val="00F852E2"/>
    <w:rsid w:val="00F86A31"/>
    <w:rsid w:val="00F879BD"/>
    <w:rsid w:val="00F87B10"/>
    <w:rsid w:val="00F87D77"/>
    <w:rsid w:val="00F923F2"/>
    <w:rsid w:val="00F937D0"/>
    <w:rsid w:val="00F940BE"/>
    <w:rsid w:val="00F94649"/>
    <w:rsid w:val="00FA0F7B"/>
    <w:rsid w:val="00FA22B1"/>
    <w:rsid w:val="00FA3A0C"/>
    <w:rsid w:val="00FA5C37"/>
    <w:rsid w:val="00FA7705"/>
    <w:rsid w:val="00FB11CA"/>
    <w:rsid w:val="00FB167F"/>
    <w:rsid w:val="00FB1DE5"/>
    <w:rsid w:val="00FB5DE2"/>
    <w:rsid w:val="00FB62B5"/>
    <w:rsid w:val="00FB6E4F"/>
    <w:rsid w:val="00FB72FE"/>
    <w:rsid w:val="00FC23C2"/>
    <w:rsid w:val="00FC4C36"/>
    <w:rsid w:val="00FC56FD"/>
    <w:rsid w:val="00FC5B83"/>
    <w:rsid w:val="00FC7A87"/>
    <w:rsid w:val="00FD16A1"/>
    <w:rsid w:val="00FD21F2"/>
    <w:rsid w:val="00FD3CBA"/>
    <w:rsid w:val="00FD6967"/>
    <w:rsid w:val="00FD6BF1"/>
    <w:rsid w:val="00FD6C6E"/>
    <w:rsid w:val="00FE016D"/>
    <w:rsid w:val="00FE5A40"/>
    <w:rsid w:val="00FE604D"/>
    <w:rsid w:val="00FF0186"/>
    <w:rsid w:val="00FF0D70"/>
    <w:rsid w:val="00FF3CC8"/>
    <w:rsid w:val="00FF3E51"/>
    <w:rsid w:val="00FF4566"/>
    <w:rsid w:val="00FF58C3"/>
    <w:rsid w:val="00FF6F22"/>
    <w:rsid w:val="01EC2FA7"/>
    <w:rsid w:val="02230955"/>
    <w:rsid w:val="02317214"/>
    <w:rsid w:val="027C37A3"/>
    <w:rsid w:val="03232A32"/>
    <w:rsid w:val="03E034D9"/>
    <w:rsid w:val="04455E19"/>
    <w:rsid w:val="04B35E34"/>
    <w:rsid w:val="04BB40EE"/>
    <w:rsid w:val="06466CB5"/>
    <w:rsid w:val="066D65D1"/>
    <w:rsid w:val="06AB15F7"/>
    <w:rsid w:val="06C32529"/>
    <w:rsid w:val="081027DD"/>
    <w:rsid w:val="081D62BA"/>
    <w:rsid w:val="081F6F62"/>
    <w:rsid w:val="08E853C6"/>
    <w:rsid w:val="097048DB"/>
    <w:rsid w:val="09774712"/>
    <w:rsid w:val="09872E32"/>
    <w:rsid w:val="09EE0493"/>
    <w:rsid w:val="0BE739A0"/>
    <w:rsid w:val="0D9A52C8"/>
    <w:rsid w:val="0DB75C98"/>
    <w:rsid w:val="0E007979"/>
    <w:rsid w:val="0F5B0B5D"/>
    <w:rsid w:val="100B2C10"/>
    <w:rsid w:val="10674138"/>
    <w:rsid w:val="107443D8"/>
    <w:rsid w:val="10B931DE"/>
    <w:rsid w:val="10FF6CE8"/>
    <w:rsid w:val="111C78C7"/>
    <w:rsid w:val="11760352"/>
    <w:rsid w:val="1215424B"/>
    <w:rsid w:val="123C28D4"/>
    <w:rsid w:val="123F688A"/>
    <w:rsid w:val="132311FD"/>
    <w:rsid w:val="13C26939"/>
    <w:rsid w:val="14424A3B"/>
    <w:rsid w:val="14964FC5"/>
    <w:rsid w:val="15706BFC"/>
    <w:rsid w:val="177B7447"/>
    <w:rsid w:val="17C2750F"/>
    <w:rsid w:val="18E70E8B"/>
    <w:rsid w:val="191E2903"/>
    <w:rsid w:val="197A466A"/>
    <w:rsid w:val="1ACA4C0E"/>
    <w:rsid w:val="1B6B3DF4"/>
    <w:rsid w:val="1B7C0790"/>
    <w:rsid w:val="1C4104FA"/>
    <w:rsid w:val="1C827801"/>
    <w:rsid w:val="1D15529F"/>
    <w:rsid w:val="1D1912A7"/>
    <w:rsid w:val="1E300F83"/>
    <w:rsid w:val="1E416B22"/>
    <w:rsid w:val="1E6F19BB"/>
    <w:rsid w:val="20512D78"/>
    <w:rsid w:val="20606345"/>
    <w:rsid w:val="207440D1"/>
    <w:rsid w:val="2075087F"/>
    <w:rsid w:val="20E17A31"/>
    <w:rsid w:val="21456E7D"/>
    <w:rsid w:val="214E74AD"/>
    <w:rsid w:val="21A77C5D"/>
    <w:rsid w:val="2252529B"/>
    <w:rsid w:val="22773AF3"/>
    <w:rsid w:val="24BE6141"/>
    <w:rsid w:val="266D3002"/>
    <w:rsid w:val="26F5369A"/>
    <w:rsid w:val="277850CE"/>
    <w:rsid w:val="277946F4"/>
    <w:rsid w:val="2785329C"/>
    <w:rsid w:val="281F6A91"/>
    <w:rsid w:val="28A6668A"/>
    <w:rsid w:val="28ED298C"/>
    <w:rsid w:val="28FC49FE"/>
    <w:rsid w:val="294619D0"/>
    <w:rsid w:val="2B900466"/>
    <w:rsid w:val="2BC2153F"/>
    <w:rsid w:val="2BF85DDD"/>
    <w:rsid w:val="2C4A2A9F"/>
    <w:rsid w:val="2E6F566C"/>
    <w:rsid w:val="2FAA0AFC"/>
    <w:rsid w:val="30E94F09"/>
    <w:rsid w:val="31102EA0"/>
    <w:rsid w:val="3116629E"/>
    <w:rsid w:val="32D6426E"/>
    <w:rsid w:val="343B642D"/>
    <w:rsid w:val="349B585B"/>
    <w:rsid w:val="35025F25"/>
    <w:rsid w:val="376261CE"/>
    <w:rsid w:val="38467A93"/>
    <w:rsid w:val="38A30A45"/>
    <w:rsid w:val="38FC32A6"/>
    <w:rsid w:val="39315375"/>
    <w:rsid w:val="39E77A15"/>
    <w:rsid w:val="3A5848E7"/>
    <w:rsid w:val="3A9B5E78"/>
    <w:rsid w:val="3B605EC0"/>
    <w:rsid w:val="3BD1628B"/>
    <w:rsid w:val="3C235D62"/>
    <w:rsid w:val="3E671575"/>
    <w:rsid w:val="3F8B693A"/>
    <w:rsid w:val="3FFA17C6"/>
    <w:rsid w:val="401B2A53"/>
    <w:rsid w:val="403F1053"/>
    <w:rsid w:val="434B7979"/>
    <w:rsid w:val="435B4AD2"/>
    <w:rsid w:val="45175EB5"/>
    <w:rsid w:val="45686D7A"/>
    <w:rsid w:val="462642D9"/>
    <w:rsid w:val="46F60F4A"/>
    <w:rsid w:val="484667E8"/>
    <w:rsid w:val="48CA72AA"/>
    <w:rsid w:val="49F35B75"/>
    <w:rsid w:val="4A1D4C50"/>
    <w:rsid w:val="4AA46319"/>
    <w:rsid w:val="4B014DF9"/>
    <w:rsid w:val="4B2D3436"/>
    <w:rsid w:val="4BA674D4"/>
    <w:rsid w:val="4CC72AFC"/>
    <w:rsid w:val="4D2F0520"/>
    <w:rsid w:val="4DE85206"/>
    <w:rsid w:val="4F5622C7"/>
    <w:rsid w:val="4F8F72F9"/>
    <w:rsid w:val="4FBE4498"/>
    <w:rsid w:val="50260035"/>
    <w:rsid w:val="50436AA2"/>
    <w:rsid w:val="50B746F8"/>
    <w:rsid w:val="51CB46D7"/>
    <w:rsid w:val="536D62FF"/>
    <w:rsid w:val="540E2C58"/>
    <w:rsid w:val="543750FF"/>
    <w:rsid w:val="5515395A"/>
    <w:rsid w:val="55FC63A8"/>
    <w:rsid w:val="56571A99"/>
    <w:rsid w:val="566C7823"/>
    <w:rsid w:val="57816951"/>
    <w:rsid w:val="57BA2E30"/>
    <w:rsid w:val="589A319D"/>
    <w:rsid w:val="58F27A61"/>
    <w:rsid w:val="59E015BE"/>
    <w:rsid w:val="5A5E3DFF"/>
    <w:rsid w:val="5B9F7F3B"/>
    <w:rsid w:val="5BA40BE5"/>
    <w:rsid w:val="5BF172E7"/>
    <w:rsid w:val="5C183C23"/>
    <w:rsid w:val="5C492169"/>
    <w:rsid w:val="5D30277E"/>
    <w:rsid w:val="5D5B0A0B"/>
    <w:rsid w:val="5D9805B3"/>
    <w:rsid w:val="5DD348AC"/>
    <w:rsid w:val="5F0D47A6"/>
    <w:rsid w:val="5F1F5556"/>
    <w:rsid w:val="5F51305B"/>
    <w:rsid w:val="5F607404"/>
    <w:rsid w:val="602D0A71"/>
    <w:rsid w:val="609E0422"/>
    <w:rsid w:val="63597017"/>
    <w:rsid w:val="63F44A83"/>
    <w:rsid w:val="64577284"/>
    <w:rsid w:val="65CE5344"/>
    <w:rsid w:val="65DA0385"/>
    <w:rsid w:val="66275276"/>
    <w:rsid w:val="6638413B"/>
    <w:rsid w:val="6674153C"/>
    <w:rsid w:val="671007F1"/>
    <w:rsid w:val="673320BA"/>
    <w:rsid w:val="675C73F2"/>
    <w:rsid w:val="685731D2"/>
    <w:rsid w:val="685A56D7"/>
    <w:rsid w:val="68B97ED7"/>
    <w:rsid w:val="68F2342A"/>
    <w:rsid w:val="69135A28"/>
    <w:rsid w:val="69261FE1"/>
    <w:rsid w:val="69B15C14"/>
    <w:rsid w:val="69BC6CFF"/>
    <w:rsid w:val="6A0E0D52"/>
    <w:rsid w:val="6A8111ED"/>
    <w:rsid w:val="6B0625F5"/>
    <w:rsid w:val="6B401666"/>
    <w:rsid w:val="6C376686"/>
    <w:rsid w:val="6C5D740D"/>
    <w:rsid w:val="6C7A646F"/>
    <w:rsid w:val="6D312C6E"/>
    <w:rsid w:val="6D5744EA"/>
    <w:rsid w:val="6D7E0B27"/>
    <w:rsid w:val="6DB05CB4"/>
    <w:rsid w:val="6E5A0AA4"/>
    <w:rsid w:val="6F6A79F5"/>
    <w:rsid w:val="6FBB7993"/>
    <w:rsid w:val="7053087D"/>
    <w:rsid w:val="70E60810"/>
    <w:rsid w:val="71182072"/>
    <w:rsid w:val="73243F55"/>
    <w:rsid w:val="737E1F98"/>
    <w:rsid w:val="74EA7D17"/>
    <w:rsid w:val="754104C0"/>
    <w:rsid w:val="755F2C22"/>
    <w:rsid w:val="759F04BE"/>
    <w:rsid w:val="75A634FC"/>
    <w:rsid w:val="75E11C91"/>
    <w:rsid w:val="76C26ECB"/>
    <w:rsid w:val="76CF035B"/>
    <w:rsid w:val="77383246"/>
    <w:rsid w:val="777B7608"/>
    <w:rsid w:val="780768A2"/>
    <w:rsid w:val="78DD1E86"/>
    <w:rsid w:val="79EE4FF7"/>
    <w:rsid w:val="7A0D74F1"/>
    <w:rsid w:val="7A1C6AC0"/>
    <w:rsid w:val="7A2715CF"/>
    <w:rsid w:val="7B33614A"/>
    <w:rsid w:val="7C5E3E59"/>
    <w:rsid w:val="7C852194"/>
    <w:rsid w:val="7D2E7EC7"/>
    <w:rsid w:val="7D7004C3"/>
    <w:rsid w:val="7E375583"/>
    <w:rsid w:val="7E9A7436"/>
    <w:rsid w:val="7F1015D2"/>
    <w:rsid w:val="7F1C3412"/>
    <w:rsid w:val="7F346B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3"/>
    <w:autoRedefine/>
    <w:qFormat/>
    <w:uiPriority w:val="0"/>
    <w:pPr>
      <w:keepNext/>
      <w:keepLines/>
      <w:spacing w:before="340" w:after="330" w:line="576" w:lineRule="auto"/>
      <w:outlineLvl w:val="0"/>
    </w:pPr>
    <w:rPr>
      <w:rFonts w:ascii="Calibri" w:hAnsi="Calibri"/>
      <w:b/>
      <w:bCs/>
      <w:kern w:val="44"/>
      <w:sz w:val="44"/>
      <w:szCs w:val="44"/>
    </w:rPr>
  </w:style>
  <w:style w:type="paragraph" w:styleId="4">
    <w:name w:val="heading 2"/>
    <w:basedOn w:val="1"/>
    <w:next w:val="1"/>
    <w:link w:val="109"/>
    <w:autoRedefine/>
    <w:qFormat/>
    <w:uiPriority w:val="0"/>
    <w:pPr>
      <w:keepNext/>
      <w:keepLines/>
      <w:spacing w:before="260" w:after="260" w:line="413" w:lineRule="auto"/>
      <w:outlineLvl w:val="1"/>
    </w:pPr>
    <w:rPr>
      <w:rFonts w:ascii="Cambria" w:hAnsi="Cambria"/>
      <w:b/>
      <w:bCs/>
      <w:sz w:val="32"/>
      <w:szCs w:val="32"/>
    </w:rPr>
  </w:style>
  <w:style w:type="paragraph" w:styleId="5">
    <w:name w:val="heading 3"/>
    <w:basedOn w:val="1"/>
    <w:next w:val="1"/>
    <w:link w:val="66"/>
    <w:autoRedefine/>
    <w:qFormat/>
    <w:uiPriority w:val="0"/>
    <w:pPr>
      <w:keepNext/>
      <w:keepLines/>
      <w:spacing w:before="260" w:after="260" w:line="415" w:lineRule="auto"/>
      <w:outlineLvl w:val="2"/>
    </w:pPr>
    <w:rPr>
      <w:b/>
      <w:bCs/>
      <w:sz w:val="32"/>
      <w:szCs w:val="32"/>
    </w:rPr>
  </w:style>
  <w:style w:type="paragraph" w:styleId="6">
    <w:name w:val="heading 4"/>
    <w:basedOn w:val="1"/>
    <w:next w:val="1"/>
    <w:link w:val="55"/>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63"/>
    <w:autoRedefine/>
    <w:qFormat/>
    <w:uiPriority w:val="0"/>
    <w:pPr>
      <w:keepNext/>
      <w:keepLines/>
      <w:spacing w:before="280" w:after="290" w:line="372" w:lineRule="auto"/>
      <w:outlineLvl w:val="4"/>
    </w:pPr>
    <w:rPr>
      <w:rFonts w:ascii="Calibri" w:hAnsi="Calibri"/>
      <w:b/>
      <w:bCs/>
      <w:sz w:val="28"/>
      <w:szCs w:val="28"/>
    </w:rPr>
  </w:style>
  <w:style w:type="paragraph" w:styleId="8">
    <w:name w:val="heading 6"/>
    <w:basedOn w:val="1"/>
    <w:next w:val="1"/>
    <w:link w:val="69"/>
    <w:autoRedefine/>
    <w:qFormat/>
    <w:uiPriority w:val="0"/>
    <w:pPr>
      <w:keepNext/>
      <w:keepLines/>
      <w:spacing w:before="240" w:after="64" w:line="317" w:lineRule="auto"/>
      <w:outlineLvl w:val="5"/>
    </w:pPr>
    <w:rPr>
      <w:rFonts w:ascii="Cambria" w:hAnsi="Cambria"/>
      <w:b/>
      <w:bCs/>
      <w:sz w:val="24"/>
    </w:rPr>
  </w:style>
  <w:style w:type="paragraph" w:styleId="9">
    <w:name w:val="heading 7"/>
    <w:basedOn w:val="1"/>
    <w:next w:val="1"/>
    <w:link w:val="61"/>
    <w:autoRedefine/>
    <w:qFormat/>
    <w:uiPriority w:val="0"/>
    <w:pPr>
      <w:keepNext/>
      <w:keepLines/>
      <w:spacing w:before="240" w:after="64" w:line="317" w:lineRule="auto"/>
      <w:outlineLvl w:val="6"/>
    </w:pPr>
    <w:rPr>
      <w:rFonts w:ascii="Calibri" w:hAnsi="Calibri"/>
      <w:b/>
      <w:bCs/>
      <w:sz w:val="24"/>
    </w:rPr>
  </w:style>
  <w:style w:type="paragraph" w:styleId="10">
    <w:name w:val="heading 8"/>
    <w:basedOn w:val="1"/>
    <w:next w:val="1"/>
    <w:link w:val="88"/>
    <w:autoRedefine/>
    <w:qFormat/>
    <w:uiPriority w:val="0"/>
    <w:pPr>
      <w:keepNext/>
      <w:keepLines/>
      <w:spacing w:before="240" w:after="64" w:line="317" w:lineRule="auto"/>
      <w:outlineLvl w:val="7"/>
    </w:pPr>
    <w:rPr>
      <w:rFonts w:ascii="Cambria" w:hAnsi="Cambria"/>
      <w:sz w:val="24"/>
    </w:rPr>
  </w:style>
  <w:style w:type="paragraph" w:styleId="11">
    <w:name w:val="heading 9"/>
    <w:basedOn w:val="1"/>
    <w:next w:val="1"/>
    <w:link w:val="52"/>
    <w:autoRedefine/>
    <w:qFormat/>
    <w:uiPriority w:val="0"/>
    <w:pPr>
      <w:keepNext/>
      <w:keepLines/>
      <w:spacing w:before="240" w:after="64" w:line="317" w:lineRule="auto"/>
      <w:outlineLvl w:val="8"/>
    </w:pPr>
    <w:rPr>
      <w:rFonts w:ascii="Cambria" w:hAnsi="Cambria"/>
      <w:szCs w:val="21"/>
    </w:rPr>
  </w:style>
  <w:style w:type="character" w:default="1" w:styleId="42">
    <w:name w:val="Default Paragraph Font"/>
    <w:autoRedefine/>
    <w:semiHidden/>
    <w:unhideWhenUsed/>
    <w:qFormat/>
    <w:uiPriority w:val="1"/>
  </w:style>
  <w:style w:type="table" w:default="1" w:styleId="40">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
    <w:basedOn w:val="1"/>
    <w:qFormat/>
    <w:uiPriority w:val="0"/>
    <w:pPr>
      <w:keepNext/>
      <w:keepLines/>
      <w:spacing w:line="360" w:lineRule="auto"/>
      <w:ind w:firstLine="200" w:firstLineChars="200"/>
    </w:pPr>
    <w:rPr>
      <w:rFonts w:ascii="宋体" w:hAnsi="宋体"/>
    </w:rPr>
  </w:style>
  <w:style w:type="paragraph" w:styleId="12">
    <w:name w:val="toc 7"/>
    <w:basedOn w:val="1"/>
    <w:next w:val="1"/>
    <w:autoRedefine/>
    <w:qFormat/>
    <w:uiPriority w:val="0"/>
    <w:pPr>
      <w:ind w:left="2520" w:leftChars="1200"/>
    </w:pPr>
    <w:rPr>
      <w:rFonts w:ascii="Calibri" w:hAnsi="Calibri"/>
      <w:szCs w:val="22"/>
    </w:rPr>
  </w:style>
  <w:style w:type="paragraph" w:styleId="13">
    <w:name w:val="Normal Indent"/>
    <w:basedOn w:val="1"/>
    <w:autoRedefine/>
    <w:qFormat/>
    <w:uiPriority w:val="0"/>
    <w:pPr>
      <w:adjustRightInd w:val="0"/>
      <w:spacing w:line="360" w:lineRule="atLeast"/>
      <w:ind w:firstLine="482"/>
      <w:textAlignment w:val="baseline"/>
    </w:pPr>
    <w:rPr>
      <w:kern w:val="0"/>
      <w:sz w:val="24"/>
      <w:szCs w:val="20"/>
    </w:rPr>
  </w:style>
  <w:style w:type="paragraph" w:styleId="14">
    <w:name w:val="caption"/>
    <w:basedOn w:val="1"/>
    <w:next w:val="1"/>
    <w:autoRedefine/>
    <w:qFormat/>
    <w:uiPriority w:val="0"/>
    <w:rPr>
      <w:rFonts w:ascii="Cambria" w:hAnsi="Cambria" w:eastAsia="黑体"/>
      <w:sz w:val="20"/>
      <w:szCs w:val="20"/>
    </w:rPr>
  </w:style>
  <w:style w:type="paragraph" w:styleId="15">
    <w:name w:val="Document Map"/>
    <w:basedOn w:val="1"/>
    <w:link w:val="79"/>
    <w:autoRedefine/>
    <w:qFormat/>
    <w:uiPriority w:val="0"/>
    <w:pPr>
      <w:shd w:val="clear" w:color="auto" w:fill="000080"/>
    </w:pPr>
    <w:rPr>
      <w:kern w:val="0"/>
      <w:sz w:val="20"/>
      <w:shd w:val="clear" w:color="auto" w:fill="000080"/>
    </w:rPr>
  </w:style>
  <w:style w:type="paragraph" w:styleId="16">
    <w:name w:val="annotation text"/>
    <w:basedOn w:val="1"/>
    <w:link w:val="74"/>
    <w:autoRedefine/>
    <w:qFormat/>
    <w:uiPriority w:val="0"/>
    <w:pPr>
      <w:jc w:val="left"/>
    </w:pPr>
  </w:style>
  <w:style w:type="paragraph" w:styleId="17">
    <w:name w:val="Body Text"/>
    <w:basedOn w:val="1"/>
    <w:link w:val="81"/>
    <w:autoRedefine/>
    <w:qFormat/>
    <w:uiPriority w:val="0"/>
    <w:pPr>
      <w:adjustRightInd w:val="0"/>
      <w:spacing w:after="60" w:line="360" w:lineRule="atLeast"/>
      <w:ind w:left="72" w:leftChars="30" w:right="30" w:rightChars="30"/>
      <w:jc w:val="center"/>
      <w:textAlignment w:val="baseline"/>
    </w:pPr>
    <w:rPr>
      <w:kern w:val="0"/>
      <w:sz w:val="20"/>
      <w:szCs w:val="20"/>
    </w:rPr>
  </w:style>
  <w:style w:type="paragraph" w:styleId="18">
    <w:name w:val="Body Text Indent"/>
    <w:basedOn w:val="1"/>
    <w:next w:val="19"/>
    <w:autoRedefine/>
    <w:qFormat/>
    <w:uiPriority w:val="0"/>
    <w:pPr>
      <w:ind w:firstLine="830" w:firstLineChars="352"/>
    </w:pPr>
    <w:rPr>
      <w:rFonts w:ascii="仿宋_GB2312" w:eastAsia="仿宋_GB2312"/>
      <w:kern w:val="0"/>
      <w:sz w:val="32"/>
      <w:szCs w:val="20"/>
    </w:rPr>
  </w:style>
  <w:style w:type="paragraph" w:styleId="19">
    <w:name w:val="envelope return"/>
    <w:basedOn w:val="1"/>
    <w:qFormat/>
    <w:uiPriority w:val="0"/>
    <w:pPr>
      <w:snapToGrid w:val="0"/>
    </w:pPr>
    <w:rPr>
      <w:rFonts w:ascii="Arial" w:hAnsi="Arial"/>
    </w:rPr>
  </w:style>
  <w:style w:type="paragraph" w:styleId="20">
    <w:name w:val="index 4"/>
    <w:basedOn w:val="1"/>
    <w:next w:val="1"/>
    <w:autoRedefine/>
    <w:qFormat/>
    <w:uiPriority w:val="0"/>
    <w:pPr>
      <w:ind w:left="600" w:leftChars="600"/>
    </w:pPr>
  </w:style>
  <w:style w:type="paragraph" w:styleId="21">
    <w:name w:val="toc 5"/>
    <w:basedOn w:val="1"/>
    <w:next w:val="1"/>
    <w:autoRedefine/>
    <w:qFormat/>
    <w:uiPriority w:val="0"/>
    <w:pPr>
      <w:tabs>
        <w:tab w:val="right" w:leader="dot" w:pos="8296"/>
      </w:tabs>
      <w:ind w:left="1050" w:leftChars="500"/>
    </w:pPr>
    <w:rPr>
      <w:rFonts w:ascii="Calibri" w:hAnsi="Calibri"/>
      <w:szCs w:val="22"/>
    </w:rPr>
  </w:style>
  <w:style w:type="paragraph" w:styleId="22">
    <w:name w:val="toc 3"/>
    <w:basedOn w:val="1"/>
    <w:next w:val="1"/>
    <w:autoRedefine/>
    <w:qFormat/>
    <w:uiPriority w:val="0"/>
    <w:pPr>
      <w:ind w:left="840" w:leftChars="400"/>
    </w:pPr>
    <w:rPr>
      <w:rFonts w:ascii="Calibri" w:hAnsi="Calibri"/>
      <w:szCs w:val="22"/>
    </w:rPr>
  </w:style>
  <w:style w:type="paragraph" w:styleId="23">
    <w:name w:val="Plain Text"/>
    <w:basedOn w:val="1"/>
    <w:autoRedefine/>
    <w:qFormat/>
    <w:uiPriority w:val="0"/>
    <w:pPr>
      <w:spacing w:beforeLines="50" w:line="360" w:lineRule="auto"/>
    </w:pPr>
    <w:rPr>
      <w:rFonts w:ascii="宋体" w:hAnsi="Courier New" w:eastAsia="Times New Roman"/>
      <w:kern w:val="0"/>
    </w:rPr>
  </w:style>
  <w:style w:type="paragraph" w:styleId="24">
    <w:name w:val="toc 8"/>
    <w:basedOn w:val="1"/>
    <w:next w:val="1"/>
    <w:autoRedefine/>
    <w:qFormat/>
    <w:uiPriority w:val="0"/>
    <w:pPr>
      <w:ind w:left="2940" w:leftChars="1400"/>
    </w:pPr>
    <w:rPr>
      <w:rFonts w:ascii="Calibri" w:hAnsi="Calibri"/>
      <w:szCs w:val="22"/>
    </w:rPr>
  </w:style>
  <w:style w:type="paragraph" w:styleId="25">
    <w:name w:val="Date"/>
    <w:basedOn w:val="1"/>
    <w:next w:val="1"/>
    <w:link w:val="89"/>
    <w:autoRedefine/>
    <w:qFormat/>
    <w:uiPriority w:val="0"/>
    <w:pPr>
      <w:ind w:left="100" w:leftChars="2500"/>
    </w:pPr>
    <w:rPr>
      <w:rFonts w:ascii="宋体"/>
      <w:kern w:val="0"/>
      <w:sz w:val="28"/>
      <w:szCs w:val="20"/>
    </w:rPr>
  </w:style>
  <w:style w:type="paragraph" w:styleId="26">
    <w:name w:val="Balloon Text"/>
    <w:basedOn w:val="1"/>
    <w:link w:val="82"/>
    <w:autoRedefine/>
    <w:qFormat/>
    <w:uiPriority w:val="0"/>
    <w:rPr>
      <w:rFonts w:ascii="宋体"/>
      <w:kern w:val="0"/>
      <w:sz w:val="18"/>
      <w:szCs w:val="18"/>
    </w:rPr>
  </w:style>
  <w:style w:type="paragraph" w:styleId="27">
    <w:name w:val="footer"/>
    <w:basedOn w:val="1"/>
    <w:link w:val="75"/>
    <w:autoRedefine/>
    <w:qFormat/>
    <w:uiPriority w:val="0"/>
    <w:pPr>
      <w:tabs>
        <w:tab w:val="center" w:pos="4153"/>
        <w:tab w:val="right" w:pos="8306"/>
      </w:tabs>
      <w:snapToGrid w:val="0"/>
      <w:jc w:val="left"/>
    </w:pPr>
    <w:rPr>
      <w:sz w:val="18"/>
      <w:szCs w:val="18"/>
    </w:rPr>
  </w:style>
  <w:style w:type="paragraph" w:styleId="2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autoRedefine/>
    <w:qFormat/>
    <w:uiPriority w:val="0"/>
    <w:pPr>
      <w:tabs>
        <w:tab w:val="right" w:leader="dot" w:pos="8296"/>
      </w:tabs>
    </w:pPr>
    <w:rPr>
      <w:rFonts w:ascii="宋体" w:eastAsia="楷体_GB2312" w:cs="TimesNewRomanPSMT"/>
      <w:b/>
      <w:kern w:val="0"/>
      <w:sz w:val="28"/>
      <w:szCs w:val="20"/>
    </w:rPr>
  </w:style>
  <w:style w:type="paragraph" w:styleId="30">
    <w:name w:val="toc 4"/>
    <w:basedOn w:val="1"/>
    <w:next w:val="1"/>
    <w:autoRedefine/>
    <w:qFormat/>
    <w:uiPriority w:val="0"/>
    <w:pPr>
      <w:tabs>
        <w:tab w:val="left" w:pos="1890"/>
        <w:tab w:val="right" w:leader="dot" w:pos="8296"/>
      </w:tabs>
      <w:ind w:left="630" w:leftChars="300"/>
    </w:pPr>
    <w:rPr>
      <w:rFonts w:ascii="Calibri" w:hAnsi="Calibri"/>
      <w:szCs w:val="22"/>
    </w:rPr>
  </w:style>
  <w:style w:type="paragraph" w:styleId="31">
    <w:name w:val="Subtitle"/>
    <w:basedOn w:val="1"/>
    <w:next w:val="1"/>
    <w:link w:val="86"/>
    <w:autoRedefine/>
    <w:qFormat/>
    <w:uiPriority w:val="0"/>
    <w:pPr>
      <w:spacing w:before="240" w:after="60" w:line="312" w:lineRule="auto"/>
      <w:jc w:val="center"/>
      <w:outlineLvl w:val="1"/>
    </w:pPr>
    <w:rPr>
      <w:rFonts w:ascii="Cambria" w:hAnsi="Cambria"/>
      <w:b/>
      <w:bCs/>
      <w:kern w:val="28"/>
      <w:sz w:val="32"/>
      <w:szCs w:val="32"/>
    </w:rPr>
  </w:style>
  <w:style w:type="paragraph" w:styleId="32">
    <w:name w:val="toc 6"/>
    <w:basedOn w:val="1"/>
    <w:next w:val="1"/>
    <w:autoRedefine/>
    <w:qFormat/>
    <w:uiPriority w:val="0"/>
    <w:pPr>
      <w:ind w:left="2100" w:leftChars="1000"/>
    </w:pPr>
    <w:rPr>
      <w:rFonts w:ascii="Calibri" w:hAnsi="Calibri"/>
      <w:szCs w:val="22"/>
    </w:rPr>
  </w:style>
  <w:style w:type="paragraph" w:styleId="33">
    <w:name w:val="Body Text Indent 3"/>
    <w:basedOn w:val="1"/>
    <w:link w:val="104"/>
    <w:autoRedefine/>
    <w:qFormat/>
    <w:uiPriority w:val="0"/>
    <w:pPr>
      <w:spacing w:after="120"/>
      <w:ind w:left="420" w:leftChars="200"/>
    </w:pPr>
    <w:rPr>
      <w:sz w:val="16"/>
      <w:szCs w:val="16"/>
    </w:rPr>
  </w:style>
  <w:style w:type="paragraph" w:styleId="34">
    <w:name w:val="toc 2"/>
    <w:basedOn w:val="1"/>
    <w:next w:val="1"/>
    <w:autoRedefine/>
    <w:qFormat/>
    <w:uiPriority w:val="0"/>
    <w:pPr>
      <w:ind w:left="420" w:leftChars="200"/>
    </w:pPr>
    <w:rPr>
      <w:rFonts w:ascii="宋体"/>
      <w:b/>
      <w:sz w:val="28"/>
      <w:szCs w:val="20"/>
    </w:rPr>
  </w:style>
  <w:style w:type="paragraph" w:styleId="35">
    <w:name w:val="toc 9"/>
    <w:basedOn w:val="1"/>
    <w:next w:val="1"/>
    <w:autoRedefine/>
    <w:qFormat/>
    <w:uiPriority w:val="0"/>
    <w:pPr>
      <w:ind w:left="3360" w:leftChars="1600"/>
    </w:pPr>
    <w:rPr>
      <w:rFonts w:ascii="Calibri" w:hAnsi="Calibri"/>
      <w:szCs w:val="22"/>
    </w:rPr>
  </w:style>
  <w:style w:type="paragraph" w:styleId="36">
    <w:name w:val="Normal (Web)"/>
    <w:basedOn w:val="1"/>
    <w:autoRedefine/>
    <w:qFormat/>
    <w:uiPriority w:val="0"/>
    <w:pPr>
      <w:widowControl/>
      <w:spacing w:before="100" w:beforeAutospacing="1" w:after="100" w:afterAutospacing="1" w:line="320" w:lineRule="atLeast"/>
      <w:jc w:val="left"/>
    </w:pPr>
    <w:rPr>
      <w:rFonts w:ascii="宋体" w:hAnsi="宋体"/>
      <w:kern w:val="0"/>
      <w:sz w:val="18"/>
      <w:szCs w:val="18"/>
    </w:rPr>
  </w:style>
  <w:style w:type="paragraph" w:styleId="37">
    <w:name w:val="Title"/>
    <w:basedOn w:val="1"/>
    <w:next w:val="1"/>
    <w:link w:val="68"/>
    <w:autoRedefine/>
    <w:qFormat/>
    <w:uiPriority w:val="0"/>
    <w:pPr>
      <w:spacing w:before="240" w:after="60"/>
      <w:jc w:val="center"/>
      <w:outlineLvl w:val="0"/>
    </w:pPr>
    <w:rPr>
      <w:rFonts w:ascii="Cambria" w:hAnsi="Cambria"/>
      <w:b/>
      <w:bCs/>
      <w:sz w:val="32"/>
      <w:szCs w:val="32"/>
    </w:rPr>
  </w:style>
  <w:style w:type="paragraph" w:styleId="38">
    <w:name w:val="annotation subject"/>
    <w:basedOn w:val="16"/>
    <w:next w:val="16"/>
    <w:link w:val="60"/>
    <w:autoRedefine/>
    <w:qFormat/>
    <w:uiPriority w:val="0"/>
    <w:rPr>
      <w:rFonts w:ascii="宋体"/>
      <w:b/>
      <w:bCs/>
      <w:kern w:val="0"/>
      <w:sz w:val="28"/>
      <w:szCs w:val="20"/>
    </w:rPr>
  </w:style>
  <w:style w:type="paragraph" w:styleId="39">
    <w:name w:val="Body Text First Indent 2"/>
    <w:basedOn w:val="18"/>
    <w:next w:val="1"/>
    <w:autoRedefine/>
    <w:qFormat/>
    <w:uiPriority w:val="0"/>
    <w:pPr>
      <w:ind w:firstLine="420" w:firstLineChars="200"/>
    </w:pPr>
  </w:style>
  <w:style w:type="table" w:styleId="41">
    <w:name w:val="Table Grid"/>
    <w:basedOn w:val="4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autoRedefine/>
    <w:qFormat/>
    <w:uiPriority w:val="0"/>
    <w:rPr>
      <w:b/>
      <w:bCs/>
    </w:rPr>
  </w:style>
  <w:style w:type="character" w:styleId="44">
    <w:name w:val="page number"/>
    <w:basedOn w:val="42"/>
    <w:autoRedefine/>
    <w:qFormat/>
    <w:uiPriority w:val="0"/>
  </w:style>
  <w:style w:type="character" w:styleId="45">
    <w:name w:val="FollowedHyperlink"/>
    <w:basedOn w:val="42"/>
    <w:autoRedefine/>
    <w:qFormat/>
    <w:uiPriority w:val="0"/>
    <w:rPr>
      <w:color w:val="333333"/>
      <w:u w:val="none"/>
    </w:rPr>
  </w:style>
  <w:style w:type="character" w:styleId="46">
    <w:name w:val="Emphasis"/>
    <w:autoRedefine/>
    <w:qFormat/>
    <w:uiPriority w:val="0"/>
    <w:rPr>
      <w:i/>
      <w:iCs/>
    </w:rPr>
  </w:style>
  <w:style w:type="character" w:styleId="47">
    <w:name w:val="Hyperlink"/>
    <w:basedOn w:val="42"/>
    <w:autoRedefine/>
    <w:qFormat/>
    <w:uiPriority w:val="0"/>
    <w:rPr>
      <w:color w:val="333333"/>
      <w:u w:val="none"/>
    </w:rPr>
  </w:style>
  <w:style w:type="character" w:styleId="48">
    <w:name w:val="annotation reference"/>
    <w:autoRedefine/>
    <w:qFormat/>
    <w:uiPriority w:val="0"/>
    <w:rPr>
      <w:rFonts w:cs="Times New Roman"/>
      <w:sz w:val="21"/>
      <w:szCs w:val="21"/>
    </w:rPr>
  </w:style>
  <w:style w:type="paragraph" w:customStyle="1" w:styleId="49">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50">
    <w:name w:val="列出段落1"/>
    <w:basedOn w:val="1"/>
    <w:autoRedefine/>
    <w:qFormat/>
    <w:uiPriority w:val="0"/>
    <w:pPr>
      <w:ind w:firstLine="420"/>
    </w:pPr>
    <w:rPr>
      <w:szCs w:val="20"/>
    </w:rPr>
  </w:style>
  <w:style w:type="paragraph" w:customStyle="1" w:styleId="51">
    <w:name w:val="正文正"/>
    <w:basedOn w:val="1"/>
    <w:autoRedefine/>
    <w:qFormat/>
    <w:uiPriority w:val="0"/>
    <w:pPr>
      <w:spacing w:line="560" w:lineRule="exact"/>
      <w:ind w:firstLine="561"/>
    </w:pPr>
    <w:rPr>
      <w:rFonts w:eastAsia="仿宋_GB2312"/>
      <w:sz w:val="28"/>
      <w:szCs w:val="24"/>
    </w:rPr>
  </w:style>
  <w:style w:type="character" w:customStyle="1" w:styleId="52">
    <w:name w:val="标题 9 Char"/>
    <w:link w:val="11"/>
    <w:autoRedefine/>
    <w:qFormat/>
    <w:uiPriority w:val="0"/>
    <w:rPr>
      <w:rFonts w:ascii="Cambria" w:hAnsi="Cambria" w:eastAsia="宋体"/>
      <w:kern w:val="2"/>
      <w:sz w:val="21"/>
      <w:szCs w:val="21"/>
      <w:lang w:val="en-US" w:eastAsia="zh-CN" w:bidi="ar-SA"/>
    </w:rPr>
  </w:style>
  <w:style w:type="character" w:customStyle="1" w:styleId="53">
    <w:name w:val="textcontents"/>
    <w:autoRedefine/>
    <w:qFormat/>
    <w:uiPriority w:val="0"/>
    <w:rPr>
      <w:rFonts w:cs="Times New Roman"/>
    </w:rPr>
  </w:style>
  <w:style w:type="character" w:customStyle="1" w:styleId="54">
    <w:name w:val="标题 2 Char"/>
    <w:link w:val="4"/>
    <w:autoRedefine/>
    <w:qFormat/>
    <w:uiPriority w:val="0"/>
    <w:rPr>
      <w:rFonts w:ascii="Cambria" w:hAnsi="Cambria" w:eastAsia="宋体"/>
      <w:b/>
      <w:bCs/>
      <w:kern w:val="2"/>
      <w:sz w:val="32"/>
      <w:szCs w:val="32"/>
      <w:lang w:val="en-US" w:eastAsia="zh-CN" w:bidi="ar-SA"/>
    </w:rPr>
  </w:style>
  <w:style w:type="character" w:customStyle="1" w:styleId="55">
    <w:name w:val="标题 4 Char"/>
    <w:link w:val="6"/>
    <w:autoRedefine/>
    <w:qFormat/>
    <w:uiPriority w:val="0"/>
    <w:rPr>
      <w:rFonts w:ascii="Arial" w:hAnsi="Arial" w:eastAsia="黑体"/>
      <w:b/>
      <w:bCs/>
      <w:kern w:val="2"/>
      <w:sz w:val="28"/>
      <w:szCs w:val="28"/>
      <w:lang w:val="en-US" w:eastAsia="zh-CN" w:bidi="ar-SA"/>
    </w:rPr>
  </w:style>
  <w:style w:type="character" w:customStyle="1" w:styleId="56">
    <w:name w:val="引用 Char"/>
    <w:link w:val="57"/>
    <w:autoRedefine/>
    <w:qFormat/>
    <w:uiPriority w:val="0"/>
    <w:rPr>
      <w:i/>
      <w:iCs/>
      <w:color w:val="000000"/>
      <w:kern w:val="2"/>
      <w:sz w:val="21"/>
      <w:szCs w:val="22"/>
      <w:lang w:bidi="ar-SA"/>
    </w:rPr>
  </w:style>
  <w:style w:type="paragraph" w:styleId="57">
    <w:name w:val="Quote"/>
    <w:basedOn w:val="1"/>
    <w:next w:val="1"/>
    <w:link w:val="56"/>
    <w:autoRedefine/>
    <w:qFormat/>
    <w:uiPriority w:val="0"/>
    <w:rPr>
      <w:i/>
      <w:iCs/>
      <w:color w:val="000000"/>
      <w:szCs w:val="22"/>
    </w:rPr>
  </w:style>
  <w:style w:type="character" w:customStyle="1" w:styleId="58">
    <w:name w:val="标题5 Char Char"/>
    <w:link w:val="59"/>
    <w:autoRedefine/>
    <w:qFormat/>
    <w:uiPriority w:val="0"/>
    <w:rPr>
      <w:rFonts w:ascii="Arial" w:hAnsi="Arial"/>
      <w:b/>
      <w:bCs/>
      <w:sz w:val="24"/>
      <w:szCs w:val="32"/>
      <w:lang w:bidi="ar-SA"/>
    </w:rPr>
  </w:style>
  <w:style w:type="paragraph" w:customStyle="1" w:styleId="59">
    <w:name w:val="标题5"/>
    <w:basedOn w:val="5"/>
    <w:link w:val="58"/>
    <w:autoRedefine/>
    <w:qFormat/>
    <w:uiPriority w:val="0"/>
    <w:pPr>
      <w:spacing w:line="413" w:lineRule="auto"/>
    </w:pPr>
    <w:rPr>
      <w:rFonts w:ascii="Arial" w:hAnsi="Arial"/>
      <w:kern w:val="0"/>
      <w:sz w:val="24"/>
    </w:rPr>
  </w:style>
  <w:style w:type="character" w:customStyle="1" w:styleId="60">
    <w:name w:val="批注主题 Char"/>
    <w:link w:val="38"/>
    <w:autoRedefine/>
    <w:qFormat/>
    <w:uiPriority w:val="0"/>
    <w:rPr>
      <w:rFonts w:ascii="宋体"/>
      <w:b/>
      <w:bCs/>
      <w:sz w:val="28"/>
      <w:lang w:bidi="ar-SA"/>
    </w:rPr>
  </w:style>
  <w:style w:type="character" w:customStyle="1" w:styleId="61">
    <w:name w:val="标题 7 Char"/>
    <w:link w:val="9"/>
    <w:autoRedefine/>
    <w:qFormat/>
    <w:uiPriority w:val="0"/>
    <w:rPr>
      <w:rFonts w:ascii="Calibri" w:hAnsi="Calibri" w:eastAsia="宋体"/>
      <w:b/>
      <w:bCs/>
      <w:kern w:val="2"/>
      <w:sz w:val="24"/>
      <w:szCs w:val="24"/>
      <w:lang w:val="en-US" w:eastAsia="zh-CN" w:bidi="ar-SA"/>
    </w:rPr>
  </w:style>
  <w:style w:type="character" w:customStyle="1" w:styleId="62">
    <w:name w:val="文档结构图 Char1"/>
    <w:autoRedefine/>
    <w:qFormat/>
    <w:uiPriority w:val="0"/>
    <w:rPr>
      <w:rFonts w:ascii="宋体"/>
      <w:kern w:val="2"/>
      <w:sz w:val="18"/>
      <w:szCs w:val="18"/>
    </w:rPr>
  </w:style>
  <w:style w:type="character" w:customStyle="1" w:styleId="63">
    <w:name w:val="标题 5 Char"/>
    <w:link w:val="7"/>
    <w:autoRedefine/>
    <w:qFormat/>
    <w:uiPriority w:val="0"/>
    <w:rPr>
      <w:rFonts w:ascii="Calibri" w:hAnsi="Calibri" w:eastAsia="宋体"/>
      <w:b/>
      <w:bCs/>
      <w:kern w:val="2"/>
      <w:sz w:val="28"/>
      <w:szCs w:val="28"/>
      <w:lang w:val="en-US" w:eastAsia="zh-CN" w:bidi="ar-SA"/>
    </w:rPr>
  </w:style>
  <w:style w:type="character" w:customStyle="1" w:styleId="64">
    <w:name w:val="正文文本 Char1"/>
    <w:autoRedefine/>
    <w:qFormat/>
    <w:uiPriority w:val="0"/>
    <w:rPr>
      <w:kern w:val="2"/>
      <w:sz w:val="21"/>
      <w:szCs w:val="22"/>
    </w:rPr>
  </w:style>
  <w:style w:type="character" w:customStyle="1" w:styleId="65">
    <w:name w:val="日期 Char1"/>
    <w:autoRedefine/>
    <w:qFormat/>
    <w:uiPriority w:val="0"/>
    <w:rPr>
      <w:kern w:val="2"/>
      <w:sz w:val="21"/>
      <w:szCs w:val="22"/>
    </w:rPr>
  </w:style>
  <w:style w:type="character" w:customStyle="1" w:styleId="66">
    <w:name w:val="标题 3 Char"/>
    <w:basedOn w:val="42"/>
    <w:link w:val="5"/>
    <w:autoRedefine/>
    <w:qFormat/>
    <w:uiPriority w:val="0"/>
    <w:rPr>
      <w:rFonts w:eastAsia="宋体"/>
      <w:b/>
      <w:bCs/>
      <w:kern w:val="2"/>
      <w:sz w:val="32"/>
      <w:szCs w:val="32"/>
      <w:lang w:val="en-US" w:eastAsia="zh-CN" w:bidi="ar-SA"/>
    </w:rPr>
  </w:style>
  <w:style w:type="character" w:customStyle="1" w:styleId="67">
    <w:name w:val="不明显参考1"/>
    <w:autoRedefine/>
    <w:qFormat/>
    <w:uiPriority w:val="0"/>
    <w:rPr>
      <w:smallCaps/>
      <w:color w:val="C0504D"/>
      <w:u w:val="single"/>
    </w:rPr>
  </w:style>
  <w:style w:type="character" w:customStyle="1" w:styleId="68">
    <w:name w:val="标题 Char"/>
    <w:link w:val="37"/>
    <w:autoRedefine/>
    <w:qFormat/>
    <w:uiPriority w:val="0"/>
    <w:rPr>
      <w:rFonts w:ascii="Cambria" w:hAnsi="Cambria"/>
      <w:b/>
      <w:bCs/>
      <w:kern w:val="2"/>
      <w:sz w:val="32"/>
      <w:szCs w:val="32"/>
      <w:lang w:bidi="ar-SA"/>
    </w:rPr>
  </w:style>
  <w:style w:type="character" w:customStyle="1" w:styleId="69">
    <w:name w:val="标题 6 Char"/>
    <w:link w:val="8"/>
    <w:autoRedefine/>
    <w:qFormat/>
    <w:uiPriority w:val="0"/>
    <w:rPr>
      <w:rFonts w:ascii="Cambria" w:hAnsi="Cambria" w:eastAsia="宋体"/>
      <w:b/>
      <w:bCs/>
      <w:kern w:val="2"/>
      <w:sz w:val="24"/>
      <w:szCs w:val="24"/>
      <w:lang w:val="en-US" w:eastAsia="zh-CN" w:bidi="ar-SA"/>
    </w:rPr>
  </w:style>
  <w:style w:type="character" w:customStyle="1" w:styleId="70">
    <w:name w:val="明显参考1"/>
    <w:autoRedefine/>
    <w:qFormat/>
    <w:uiPriority w:val="0"/>
    <w:rPr>
      <w:b/>
      <w:bCs/>
      <w:smallCaps/>
      <w:color w:val="C0504D"/>
      <w:spacing w:val="5"/>
      <w:u w:val="single"/>
    </w:rPr>
  </w:style>
  <w:style w:type="character" w:customStyle="1" w:styleId="71">
    <w:name w:val="批注文字 Char Char"/>
    <w:autoRedefine/>
    <w:qFormat/>
    <w:uiPriority w:val="0"/>
    <w:rPr>
      <w:rFonts w:ascii="宋体" w:hAnsi="Times New Roman" w:eastAsia="宋体" w:cs="Times New Roman"/>
      <w:sz w:val="28"/>
      <w:szCs w:val="20"/>
    </w:rPr>
  </w:style>
  <w:style w:type="character" w:customStyle="1" w:styleId="72">
    <w:name w:val="标题4 Char Char"/>
    <w:link w:val="73"/>
    <w:autoRedefine/>
    <w:qFormat/>
    <w:uiPriority w:val="0"/>
    <w:rPr>
      <w:rFonts w:ascii="Arial" w:hAnsi="Arial"/>
      <w:b/>
      <w:bCs/>
      <w:sz w:val="24"/>
      <w:szCs w:val="32"/>
      <w:lang w:bidi="ar-SA"/>
    </w:rPr>
  </w:style>
  <w:style w:type="paragraph" w:customStyle="1" w:styleId="73">
    <w:name w:val="标题4"/>
    <w:basedOn w:val="4"/>
    <w:next w:val="20"/>
    <w:link w:val="72"/>
    <w:autoRedefine/>
    <w:qFormat/>
    <w:uiPriority w:val="0"/>
    <w:rPr>
      <w:rFonts w:ascii="Arial" w:hAnsi="Arial"/>
      <w:kern w:val="0"/>
      <w:sz w:val="24"/>
    </w:rPr>
  </w:style>
  <w:style w:type="character" w:customStyle="1" w:styleId="74">
    <w:name w:val="批注文字 Char"/>
    <w:basedOn w:val="42"/>
    <w:link w:val="16"/>
    <w:autoRedefine/>
    <w:qFormat/>
    <w:uiPriority w:val="0"/>
    <w:rPr>
      <w:rFonts w:eastAsia="宋体"/>
      <w:kern w:val="2"/>
      <w:sz w:val="21"/>
      <w:szCs w:val="24"/>
      <w:lang w:val="en-US" w:eastAsia="zh-CN" w:bidi="ar-SA"/>
    </w:rPr>
  </w:style>
  <w:style w:type="character" w:customStyle="1" w:styleId="75">
    <w:name w:val="页脚 Char"/>
    <w:link w:val="27"/>
    <w:autoRedefine/>
    <w:qFormat/>
    <w:uiPriority w:val="0"/>
    <w:rPr>
      <w:rFonts w:eastAsia="宋体"/>
      <w:kern w:val="2"/>
      <w:sz w:val="18"/>
      <w:szCs w:val="18"/>
      <w:lang w:val="en-US" w:eastAsia="zh-CN" w:bidi="ar-SA"/>
    </w:rPr>
  </w:style>
  <w:style w:type="character" w:customStyle="1" w:styleId="76">
    <w:name w:val="批注主题 Char1"/>
    <w:autoRedefine/>
    <w:qFormat/>
    <w:uiPriority w:val="0"/>
    <w:rPr>
      <w:b/>
      <w:bCs/>
      <w:kern w:val="2"/>
      <w:sz w:val="21"/>
      <w:szCs w:val="22"/>
    </w:rPr>
  </w:style>
  <w:style w:type="character" w:customStyle="1" w:styleId="77">
    <w:name w:val="不明显强调1"/>
    <w:autoRedefine/>
    <w:qFormat/>
    <w:uiPriority w:val="0"/>
    <w:rPr>
      <w:i/>
      <w:iCs/>
      <w:color w:val="808080"/>
    </w:rPr>
  </w:style>
  <w:style w:type="character" w:customStyle="1" w:styleId="78">
    <w:name w:val="书籍标题1"/>
    <w:autoRedefine/>
    <w:qFormat/>
    <w:uiPriority w:val="0"/>
    <w:rPr>
      <w:b/>
      <w:bCs/>
      <w:smallCaps/>
      <w:spacing w:val="5"/>
    </w:rPr>
  </w:style>
  <w:style w:type="character" w:customStyle="1" w:styleId="79">
    <w:name w:val="文档结构图 Char"/>
    <w:link w:val="15"/>
    <w:autoRedefine/>
    <w:qFormat/>
    <w:uiPriority w:val="0"/>
    <w:rPr>
      <w:szCs w:val="24"/>
      <w:shd w:val="clear" w:color="auto" w:fill="000080"/>
      <w:lang w:bidi="ar-SA"/>
    </w:rPr>
  </w:style>
  <w:style w:type="character" w:customStyle="1" w:styleId="80">
    <w:name w:val="批注框文本 Char1"/>
    <w:autoRedefine/>
    <w:qFormat/>
    <w:uiPriority w:val="0"/>
    <w:rPr>
      <w:kern w:val="2"/>
      <w:sz w:val="18"/>
      <w:szCs w:val="18"/>
    </w:rPr>
  </w:style>
  <w:style w:type="character" w:customStyle="1" w:styleId="81">
    <w:name w:val="正文文本 Char"/>
    <w:link w:val="17"/>
    <w:autoRedefine/>
    <w:qFormat/>
    <w:uiPriority w:val="0"/>
    <w:rPr>
      <w:lang w:bidi="ar-SA"/>
    </w:rPr>
  </w:style>
  <w:style w:type="character" w:customStyle="1" w:styleId="82">
    <w:name w:val="批注框文本 Char"/>
    <w:link w:val="26"/>
    <w:autoRedefine/>
    <w:qFormat/>
    <w:uiPriority w:val="0"/>
    <w:rPr>
      <w:rFonts w:ascii="宋体"/>
      <w:sz w:val="18"/>
      <w:szCs w:val="18"/>
      <w:lang w:bidi="ar-SA"/>
    </w:rPr>
  </w:style>
  <w:style w:type="character" w:customStyle="1" w:styleId="83">
    <w:name w:val="标题 1 Char"/>
    <w:link w:val="3"/>
    <w:autoRedefine/>
    <w:qFormat/>
    <w:uiPriority w:val="0"/>
    <w:rPr>
      <w:rFonts w:ascii="Calibri" w:hAnsi="Calibri" w:eastAsia="宋体"/>
      <w:b/>
      <w:bCs/>
      <w:kern w:val="44"/>
      <w:sz w:val="44"/>
      <w:szCs w:val="44"/>
      <w:lang w:val="en-US" w:eastAsia="zh-CN" w:bidi="ar-SA"/>
    </w:rPr>
  </w:style>
  <w:style w:type="character" w:customStyle="1" w:styleId="84">
    <w:name w:val="明显强调1"/>
    <w:autoRedefine/>
    <w:qFormat/>
    <w:uiPriority w:val="0"/>
    <w:rPr>
      <w:b/>
      <w:bCs/>
      <w:i/>
      <w:iCs/>
      <w:color w:val="4F81BD"/>
    </w:rPr>
  </w:style>
  <w:style w:type="character" w:customStyle="1" w:styleId="85">
    <w:name w:val="Char Char9"/>
    <w:autoRedefine/>
    <w:qFormat/>
    <w:uiPriority w:val="0"/>
    <w:rPr>
      <w:kern w:val="2"/>
      <w:sz w:val="21"/>
      <w:szCs w:val="22"/>
    </w:rPr>
  </w:style>
  <w:style w:type="character" w:customStyle="1" w:styleId="86">
    <w:name w:val="副标题 Char"/>
    <w:link w:val="31"/>
    <w:autoRedefine/>
    <w:qFormat/>
    <w:uiPriority w:val="0"/>
    <w:rPr>
      <w:rFonts w:ascii="Cambria" w:hAnsi="Cambria"/>
      <w:b/>
      <w:bCs/>
      <w:kern w:val="28"/>
      <w:sz w:val="32"/>
      <w:szCs w:val="32"/>
      <w:lang w:bidi="ar-SA"/>
    </w:rPr>
  </w:style>
  <w:style w:type="character" w:customStyle="1" w:styleId="87">
    <w:name w:val="Char Char16"/>
    <w:autoRedefine/>
    <w:qFormat/>
    <w:uiPriority w:val="0"/>
    <w:rPr>
      <w:b/>
      <w:bCs/>
      <w:kern w:val="2"/>
      <w:sz w:val="32"/>
      <w:szCs w:val="32"/>
    </w:rPr>
  </w:style>
  <w:style w:type="character" w:customStyle="1" w:styleId="88">
    <w:name w:val="标题 8 Char"/>
    <w:link w:val="10"/>
    <w:autoRedefine/>
    <w:qFormat/>
    <w:uiPriority w:val="0"/>
    <w:rPr>
      <w:rFonts w:ascii="Cambria" w:hAnsi="Cambria" w:eastAsia="宋体"/>
      <w:kern w:val="2"/>
      <w:sz w:val="24"/>
      <w:szCs w:val="24"/>
      <w:lang w:val="en-US" w:eastAsia="zh-CN" w:bidi="ar-SA"/>
    </w:rPr>
  </w:style>
  <w:style w:type="character" w:customStyle="1" w:styleId="89">
    <w:name w:val="日期 Char"/>
    <w:link w:val="25"/>
    <w:autoRedefine/>
    <w:qFormat/>
    <w:uiPriority w:val="0"/>
    <w:rPr>
      <w:rFonts w:ascii="宋体"/>
      <w:sz w:val="28"/>
      <w:lang w:bidi="ar-SA"/>
    </w:rPr>
  </w:style>
  <w:style w:type="character" w:customStyle="1" w:styleId="90">
    <w:name w:val="明显引用 Char"/>
    <w:link w:val="91"/>
    <w:autoRedefine/>
    <w:qFormat/>
    <w:uiPriority w:val="0"/>
    <w:rPr>
      <w:b/>
      <w:bCs/>
      <w:i/>
      <w:iCs/>
      <w:color w:val="4F81BD"/>
      <w:kern w:val="2"/>
      <w:sz w:val="21"/>
      <w:szCs w:val="22"/>
      <w:lang w:bidi="ar-SA"/>
    </w:rPr>
  </w:style>
  <w:style w:type="paragraph" w:styleId="91">
    <w:name w:val="Intense Quote"/>
    <w:basedOn w:val="1"/>
    <w:next w:val="1"/>
    <w:link w:val="90"/>
    <w:autoRedefine/>
    <w:qFormat/>
    <w:uiPriority w:val="0"/>
    <w:pPr>
      <w:pBdr>
        <w:bottom w:val="single" w:color="4F81BD" w:sz="4" w:space="4"/>
      </w:pBdr>
      <w:spacing w:before="200" w:after="280"/>
      <w:ind w:left="936" w:right="936"/>
    </w:pPr>
    <w:rPr>
      <w:b/>
      <w:bCs/>
      <w:i/>
      <w:iCs/>
      <w:color w:val="4F81BD"/>
      <w:szCs w:val="22"/>
    </w:rPr>
  </w:style>
  <w:style w:type="paragraph" w:styleId="92">
    <w:name w:val="List Paragraph"/>
    <w:basedOn w:val="1"/>
    <w:autoRedefine/>
    <w:qFormat/>
    <w:uiPriority w:val="34"/>
    <w:pPr>
      <w:ind w:firstLine="420" w:firstLineChars="200"/>
    </w:pPr>
    <w:rPr>
      <w:rFonts w:ascii="Calibri" w:hAnsi="Calibri"/>
      <w:szCs w:val="22"/>
    </w:rPr>
  </w:style>
  <w:style w:type="paragraph" w:customStyle="1" w:styleId="93">
    <w:name w:val="默认段落字体 Para Char Char Char Char Char Char Char Char Char1 Char Char Char Char Char Char Char"/>
    <w:basedOn w:val="15"/>
    <w:autoRedefine/>
    <w:qFormat/>
    <w:uiPriority w:val="0"/>
    <w:rPr>
      <w:rFonts w:ascii="Tahoma" w:hAnsi="Tahoma" w:cs="Tahoma"/>
      <w:kern w:val="2"/>
      <w:sz w:val="24"/>
      <w:shd w:val="clear" w:color="auto" w:fill="auto"/>
    </w:rPr>
  </w:style>
  <w:style w:type="paragraph" w:customStyle="1" w:styleId="94">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95">
    <w:name w:val="样式 标题 3 + (中文) 黑体 小四 非加粗 段前: 7.8 磅 段后: 0 磅 行距: 固定值 20 磅"/>
    <w:basedOn w:val="5"/>
    <w:autoRedefine/>
    <w:qFormat/>
    <w:uiPriority w:val="0"/>
    <w:pPr>
      <w:spacing w:before="0" w:after="0" w:line="400" w:lineRule="exact"/>
    </w:pPr>
    <w:rPr>
      <w:rFonts w:eastAsia="黑体" w:cs="宋体"/>
      <w:b w:val="0"/>
      <w:bCs w:val="0"/>
      <w:sz w:val="24"/>
      <w:szCs w:val="20"/>
    </w:rPr>
  </w:style>
  <w:style w:type="paragraph" w:customStyle="1" w:styleId="96">
    <w:name w:val="TOC 标题1"/>
    <w:basedOn w:val="3"/>
    <w:next w:val="1"/>
    <w:autoRedefine/>
    <w:qFormat/>
    <w:uiPriority w:val="0"/>
    <w:pPr>
      <w:outlineLvl w:val="9"/>
    </w:pPr>
  </w:style>
  <w:style w:type="paragraph" w:customStyle="1" w:styleId="97">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eastAsia="黑体" w:cs="宋体"/>
      <w:b w:val="0"/>
      <w:bCs w:val="0"/>
      <w:kern w:val="0"/>
      <w:sz w:val="28"/>
      <w:szCs w:val="20"/>
    </w:rPr>
  </w:style>
  <w:style w:type="paragraph" w:styleId="98">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9">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100">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01">
    <w:name w:val="xl25"/>
    <w:basedOn w:val="1"/>
    <w:autoRedefine/>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02">
    <w:name w:val="列出段落2"/>
    <w:basedOn w:val="1"/>
    <w:autoRedefine/>
    <w:qFormat/>
    <w:uiPriority w:val="0"/>
    <w:pPr>
      <w:ind w:firstLine="420"/>
    </w:pPr>
    <w:rPr>
      <w:szCs w:val="20"/>
    </w:rPr>
  </w:style>
  <w:style w:type="paragraph" w:customStyle="1" w:styleId="103">
    <w:name w:val="列出段落3"/>
    <w:basedOn w:val="1"/>
    <w:autoRedefine/>
    <w:qFormat/>
    <w:uiPriority w:val="0"/>
    <w:pPr>
      <w:ind w:firstLine="420"/>
    </w:pPr>
    <w:rPr>
      <w:szCs w:val="20"/>
    </w:rPr>
  </w:style>
  <w:style w:type="character" w:customStyle="1" w:styleId="104">
    <w:name w:val="正文文本缩进 3 Char"/>
    <w:basedOn w:val="42"/>
    <w:link w:val="33"/>
    <w:autoRedefine/>
    <w:qFormat/>
    <w:uiPriority w:val="0"/>
    <w:rPr>
      <w:kern w:val="2"/>
      <w:sz w:val="16"/>
      <w:szCs w:val="16"/>
    </w:rPr>
  </w:style>
  <w:style w:type="character" w:customStyle="1" w:styleId="105">
    <w:name w:val="layui-laypage-curr"/>
    <w:basedOn w:val="42"/>
    <w:autoRedefine/>
    <w:qFormat/>
    <w:uiPriority w:val="0"/>
  </w:style>
  <w:style w:type="character" w:customStyle="1" w:styleId="106">
    <w:name w:val="bsharetext"/>
    <w:basedOn w:val="42"/>
    <w:autoRedefine/>
    <w:qFormat/>
    <w:uiPriority w:val="0"/>
  </w:style>
  <w:style w:type="paragraph" w:customStyle="1" w:styleId="107">
    <w:name w:val="_Style 3"/>
    <w:basedOn w:val="1"/>
    <w:next w:val="1"/>
    <w:autoRedefine/>
    <w:qFormat/>
    <w:uiPriority w:val="0"/>
    <w:pPr>
      <w:pBdr>
        <w:top w:val="single" w:color="auto" w:sz="6" w:space="1"/>
      </w:pBdr>
      <w:jc w:val="center"/>
    </w:pPr>
    <w:rPr>
      <w:rFonts w:ascii="Arial" w:eastAsia="宋体"/>
      <w:vanish/>
      <w:sz w:val="16"/>
    </w:rPr>
  </w:style>
  <w:style w:type="paragraph" w:customStyle="1" w:styleId="108">
    <w:name w:val="Table Paragraph"/>
    <w:basedOn w:val="1"/>
    <w:autoRedefine/>
    <w:qFormat/>
    <w:uiPriority w:val="1"/>
    <w:rPr>
      <w:rFonts w:ascii="宋体" w:hAnsi="宋体" w:eastAsia="宋体" w:cs="宋体"/>
    </w:rPr>
  </w:style>
  <w:style w:type="character" w:customStyle="1" w:styleId="109">
    <w:name w:val="标题 2 字符1"/>
    <w:link w:val="4"/>
    <w:autoRedefine/>
    <w:qFormat/>
    <w:locked/>
    <w:uiPriority w:val="0"/>
    <w:rPr>
      <w:rFonts w:ascii="Arial" w:hAnsi="Arial" w:eastAsia="黑体" w:cs="Times New Roman"/>
      <w:b/>
      <w:bCs/>
      <w:kern w:val="2"/>
      <w:sz w:val="32"/>
      <w:szCs w:val="32"/>
      <w:lang w:val="en-US" w:eastAsia="zh-CN" w:bidi="ar-SA"/>
    </w:rPr>
  </w:style>
  <w:style w:type="character" w:customStyle="1" w:styleId="110">
    <w:name w:val="font61"/>
    <w:basedOn w:val="42"/>
    <w:autoRedefine/>
    <w:qFormat/>
    <w:uiPriority w:val="0"/>
    <w:rPr>
      <w:rFonts w:ascii="宋体" w:hAnsi="宋体" w:eastAsia="宋体" w:cs="宋体"/>
      <w:b/>
      <w:bCs/>
      <w:color w:val="000000"/>
      <w:sz w:val="30"/>
      <w:szCs w:val="30"/>
      <w:u w:val="none"/>
    </w:rPr>
  </w:style>
  <w:style w:type="character" w:customStyle="1" w:styleId="111">
    <w:name w:val="font71"/>
    <w:basedOn w:val="42"/>
    <w:autoRedefine/>
    <w:qFormat/>
    <w:uiPriority w:val="0"/>
    <w:rPr>
      <w:rFonts w:ascii="宋体" w:hAnsi="宋体" w:eastAsia="宋体" w:cs="宋体"/>
      <w:color w:val="000000"/>
      <w:sz w:val="22"/>
      <w:szCs w:val="22"/>
      <w:u w:val="none"/>
    </w:rPr>
  </w:style>
  <w:style w:type="paragraph" w:customStyle="1" w:styleId="112">
    <w:name w:val="_Style 6"/>
    <w:basedOn w:val="1"/>
    <w:next w:val="1"/>
    <w:autoRedefine/>
    <w:qFormat/>
    <w:uiPriority w:val="0"/>
    <w:pPr>
      <w:pBdr>
        <w:bottom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68</Pages>
  <Words>24253</Words>
  <Characters>26512</Characters>
  <Lines>286</Lines>
  <Paragraphs>80</Paragraphs>
  <TotalTime>1</TotalTime>
  <ScaleCrop>false</ScaleCrop>
  <LinksUpToDate>false</LinksUpToDate>
  <CharactersWithSpaces>28352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2020-11-13T14:00:00Z</dcterms:created>
  <dc:creator>Administrator</dc:creator>
  <cp:lastModifiedBy>DELLL</cp:lastModifiedBy>
  <cp:lastPrinted>2024-09-29T06:34:00Z</cp:lastPrinted>
  <dcterms:modified xsi:type="dcterms:W3CDTF">2024-11-21T06:02:21Z</dcterms:modified>
  <dc:title>第二章  投标人须知</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6B94C5CFBD384A58AC0D9E3ED8B76832_13</vt:lpwstr>
  </property>
</Properties>
</file>