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9BDD14">
      <w:pPr>
        <w:widowControl/>
        <w:wordWrap w:val="0"/>
        <w:autoSpaceDE w:val="0"/>
        <w:autoSpaceDN w:val="0"/>
        <w:ind w:right="893"/>
        <w:jc w:val="right"/>
        <w:textAlignment w:val="bottom"/>
        <w:rPr>
          <w:rFonts w:asciiTheme="minorEastAsia" w:hAnsiTheme="minorEastAsia" w:eastAsiaTheme="minorEastAsia" w:cstheme="minorEastAsia"/>
          <w:color w:val="auto"/>
          <w:sz w:val="28"/>
          <w:szCs w:val="28"/>
        </w:rPr>
      </w:pPr>
    </w:p>
    <w:p w14:paraId="17A1F21F">
      <w:pPr>
        <w:widowControl/>
        <w:autoSpaceDE w:val="0"/>
        <w:autoSpaceDN w:val="0"/>
        <w:ind w:right="-26"/>
        <w:jc w:val="center"/>
        <w:textAlignment w:val="bottom"/>
        <w:rPr>
          <w:rFonts w:asciiTheme="minorEastAsia" w:hAnsiTheme="minorEastAsia" w:eastAsiaTheme="minorEastAsia" w:cstheme="minorEastAsia"/>
          <w:color w:val="auto"/>
          <w:sz w:val="44"/>
          <w:szCs w:val="44"/>
        </w:rPr>
      </w:pPr>
    </w:p>
    <w:p w14:paraId="055F2925">
      <w:pPr>
        <w:widowControl/>
        <w:autoSpaceDE w:val="0"/>
        <w:autoSpaceDN w:val="0"/>
        <w:ind w:right="-26"/>
        <w:jc w:val="center"/>
        <w:textAlignment w:val="bottom"/>
        <w:rPr>
          <w:rFonts w:asciiTheme="minorEastAsia" w:hAnsiTheme="minorEastAsia" w:eastAsiaTheme="minorEastAsia" w:cstheme="minorEastAsia"/>
          <w:b/>
          <w:bCs/>
          <w:color w:val="auto"/>
          <w:sz w:val="52"/>
          <w:szCs w:val="52"/>
        </w:rPr>
      </w:pPr>
    </w:p>
    <w:p w14:paraId="761D2DE7">
      <w:pPr>
        <w:widowControl/>
        <w:autoSpaceDE w:val="0"/>
        <w:autoSpaceDN w:val="0"/>
        <w:ind w:right="-26"/>
        <w:jc w:val="center"/>
        <w:textAlignment w:val="bottom"/>
        <w:rPr>
          <w:rFonts w:asciiTheme="minorEastAsia" w:hAnsiTheme="minorEastAsia" w:eastAsiaTheme="minorEastAsia" w:cstheme="minorEastAsia"/>
          <w:b/>
          <w:bCs/>
          <w:color w:val="auto"/>
          <w:sz w:val="52"/>
          <w:szCs w:val="52"/>
        </w:rPr>
      </w:pPr>
    </w:p>
    <w:p w14:paraId="7AA57AE3">
      <w:pPr>
        <w:widowControl/>
        <w:autoSpaceDE w:val="0"/>
        <w:autoSpaceDN w:val="0"/>
        <w:ind w:right="-26"/>
        <w:jc w:val="center"/>
        <w:textAlignment w:val="bottom"/>
        <w:rPr>
          <w:rFonts w:asciiTheme="minorEastAsia" w:hAnsiTheme="minorEastAsia" w:eastAsiaTheme="minorEastAsia" w:cstheme="minorEastAsia"/>
          <w:b/>
          <w:bCs/>
          <w:color w:val="auto"/>
          <w:sz w:val="52"/>
          <w:szCs w:val="52"/>
        </w:rPr>
      </w:pPr>
    </w:p>
    <w:p w14:paraId="6E59D75B">
      <w:pPr>
        <w:widowControl/>
        <w:autoSpaceDE w:val="0"/>
        <w:autoSpaceDN w:val="0"/>
        <w:ind w:right="-26"/>
        <w:jc w:val="center"/>
        <w:textAlignment w:val="bottom"/>
        <w:rPr>
          <w:rFonts w:asciiTheme="minorEastAsia" w:hAnsiTheme="minorEastAsia" w:eastAsiaTheme="minorEastAsia" w:cstheme="minorEastAsia"/>
          <w:b/>
          <w:bCs/>
          <w:color w:val="auto"/>
          <w:sz w:val="100"/>
          <w:szCs w:val="100"/>
        </w:rPr>
      </w:pPr>
      <w:r>
        <w:rPr>
          <w:rFonts w:hint="eastAsia" w:asciiTheme="minorEastAsia" w:hAnsiTheme="minorEastAsia" w:eastAsiaTheme="minorEastAsia" w:cstheme="minorEastAsia"/>
          <w:b/>
          <w:bCs/>
          <w:color w:val="auto"/>
          <w:sz w:val="100"/>
          <w:szCs w:val="100"/>
        </w:rPr>
        <w:t>竞争性磋商文件</w:t>
      </w:r>
    </w:p>
    <w:p w14:paraId="7578807E">
      <w:pPr>
        <w:widowControl/>
        <w:autoSpaceDE w:val="0"/>
        <w:autoSpaceDN w:val="0"/>
        <w:ind w:right="-26"/>
        <w:jc w:val="center"/>
        <w:textAlignment w:val="bottom"/>
        <w:rPr>
          <w:rFonts w:asciiTheme="minorEastAsia" w:hAnsiTheme="minorEastAsia" w:eastAsiaTheme="minorEastAsia" w:cstheme="minorEastAsia"/>
          <w:b/>
          <w:bCs/>
          <w:color w:val="auto"/>
          <w:sz w:val="104"/>
          <w:szCs w:val="104"/>
        </w:rPr>
      </w:pPr>
    </w:p>
    <w:p w14:paraId="0BBC1259">
      <w:pPr>
        <w:widowControl/>
        <w:autoSpaceDE w:val="0"/>
        <w:autoSpaceDN w:val="0"/>
        <w:ind w:right="-26"/>
        <w:jc w:val="center"/>
        <w:textAlignment w:val="bottom"/>
        <w:rPr>
          <w:rFonts w:asciiTheme="minorEastAsia" w:hAnsiTheme="minorEastAsia" w:eastAsiaTheme="minorEastAsia" w:cstheme="minorEastAsia"/>
          <w:b/>
          <w:bCs/>
          <w:color w:val="auto"/>
          <w:sz w:val="84"/>
          <w:szCs w:val="84"/>
        </w:rPr>
      </w:pPr>
      <w:r>
        <w:rPr>
          <w:rFonts w:hint="eastAsia" w:asciiTheme="minorEastAsia" w:hAnsiTheme="minorEastAsia" w:eastAsiaTheme="minorEastAsia" w:cstheme="minorEastAsia"/>
          <w:b/>
          <w:bCs/>
          <w:color w:val="auto"/>
          <w:sz w:val="84"/>
          <w:szCs w:val="84"/>
        </w:rPr>
        <w:t>政府采购</w:t>
      </w:r>
    </w:p>
    <w:p w14:paraId="3CC0AFBD">
      <w:pPr>
        <w:widowControl/>
        <w:autoSpaceDE w:val="0"/>
        <w:autoSpaceDN w:val="0"/>
        <w:ind w:right="-26"/>
        <w:jc w:val="center"/>
        <w:textAlignment w:val="bottom"/>
        <w:rPr>
          <w:rFonts w:asciiTheme="minorEastAsia" w:hAnsiTheme="minorEastAsia" w:eastAsiaTheme="minorEastAsia" w:cstheme="minorEastAsia"/>
          <w:b/>
          <w:bCs/>
          <w:color w:val="auto"/>
          <w:sz w:val="30"/>
          <w:szCs w:val="30"/>
        </w:rPr>
      </w:pPr>
    </w:p>
    <w:p w14:paraId="13C6B358">
      <w:pPr>
        <w:widowControl/>
        <w:autoSpaceDE w:val="0"/>
        <w:autoSpaceDN w:val="0"/>
        <w:ind w:right="-26"/>
        <w:jc w:val="center"/>
        <w:textAlignment w:val="bottom"/>
        <w:rPr>
          <w:rFonts w:asciiTheme="minorEastAsia" w:hAnsiTheme="minorEastAsia" w:eastAsiaTheme="minorEastAsia" w:cstheme="minorEastAsia"/>
          <w:b/>
          <w:bCs/>
          <w:color w:val="auto"/>
          <w:sz w:val="30"/>
          <w:szCs w:val="30"/>
        </w:rPr>
      </w:pPr>
    </w:p>
    <w:p w14:paraId="297E7728">
      <w:pPr>
        <w:widowControl/>
        <w:autoSpaceDE w:val="0"/>
        <w:autoSpaceDN w:val="0"/>
        <w:ind w:right="-26"/>
        <w:jc w:val="center"/>
        <w:textAlignment w:val="bottom"/>
        <w:rPr>
          <w:rFonts w:asciiTheme="minorEastAsia" w:hAnsiTheme="minorEastAsia" w:eastAsiaTheme="minorEastAsia" w:cstheme="minorEastAsia"/>
          <w:b/>
          <w:bCs/>
          <w:color w:val="auto"/>
          <w:sz w:val="30"/>
          <w:szCs w:val="30"/>
        </w:rPr>
      </w:pPr>
    </w:p>
    <w:p w14:paraId="4A6F001E">
      <w:pPr>
        <w:widowControl/>
        <w:autoSpaceDE w:val="0"/>
        <w:autoSpaceDN w:val="0"/>
        <w:ind w:right="-26"/>
        <w:jc w:val="center"/>
        <w:textAlignment w:val="bottom"/>
        <w:rPr>
          <w:rFonts w:asciiTheme="minorEastAsia" w:hAnsiTheme="minorEastAsia" w:eastAsiaTheme="minorEastAsia" w:cstheme="minorEastAsia"/>
          <w:b/>
          <w:bCs/>
          <w:color w:val="auto"/>
          <w:sz w:val="32"/>
          <w:szCs w:val="32"/>
        </w:rPr>
      </w:pPr>
    </w:p>
    <w:p w14:paraId="1D82EB98">
      <w:pPr>
        <w:widowControl/>
        <w:autoSpaceDE w:val="0"/>
        <w:autoSpaceDN w:val="0"/>
        <w:ind w:right="-26"/>
        <w:jc w:val="center"/>
        <w:textAlignment w:val="bottom"/>
        <w:rPr>
          <w:rFonts w:asciiTheme="minorEastAsia" w:hAnsiTheme="minorEastAsia" w:eastAsiaTheme="minorEastAsia" w:cstheme="minorEastAsia"/>
          <w:b/>
          <w:bCs/>
          <w:color w:val="auto"/>
          <w:sz w:val="32"/>
          <w:szCs w:val="32"/>
        </w:rPr>
      </w:pPr>
    </w:p>
    <w:p w14:paraId="33D0DAB5">
      <w:pPr>
        <w:widowControl/>
        <w:autoSpaceDE w:val="0"/>
        <w:autoSpaceDN w:val="0"/>
        <w:ind w:right="-26"/>
        <w:jc w:val="center"/>
        <w:textAlignment w:val="bottom"/>
        <w:rPr>
          <w:rFonts w:asciiTheme="minorEastAsia" w:hAnsiTheme="minorEastAsia" w:eastAsiaTheme="minorEastAsia" w:cstheme="minorEastAsia"/>
          <w:b/>
          <w:bCs/>
          <w:color w:val="auto"/>
          <w:sz w:val="32"/>
          <w:szCs w:val="32"/>
        </w:rPr>
      </w:pPr>
    </w:p>
    <w:p w14:paraId="1D1DC991">
      <w:pPr>
        <w:widowControl/>
        <w:autoSpaceDE w:val="0"/>
        <w:autoSpaceDN w:val="0"/>
        <w:spacing w:line="480" w:lineRule="auto"/>
        <w:ind w:right="-28" w:firstLine="562" w:firstLineChars="200"/>
        <w:textAlignment w:val="bottom"/>
        <w:rPr>
          <w:rFonts w:hint="eastAsia" w:asciiTheme="minorEastAsia" w:hAnsiTheme="minorEastAsia" w:eastAsiaTheme="minorEastAsia" w:cstheme="minorEastAsia"/>
          <w:b/>
          <w:bCs/>
          <w:color w:val="auto"/>
          <w:sz w:val="28"/>
          <w:szCs w:val="28"/>
          <w:lang w:val="en-US" w:eastAsia="zh-CN"/>
        </w:rPr>
      </w:pPr>
      <w:bookmarkStart w:id="0" w:name="OLE_LINK23"/>
      <w:bookmarkStart w:id="1" w:name="OLE_LINK11"/>
      <w:r>
        <w:rPr>
          <w:rFonts w:hint="eastAsia" w:asciiTheme="minorEastAsia" w:hAnsiTheme="minorEastAsia" w:eastAsiaTheme="minorEastAsia" w:cstheme="minorEastAsia"/>
          <w:b/>
          <w:bCs/>
          <w:color w:val="auto"/>
          <w:sz w:val="28"/>
          <w:szCs w:val="28"/>
        </w:rPr>
        <w:t>项目名称：</w:t>
      </w:r>
      <w:bookmarkStart w:id="2" w:name="OLE_LINK2"/>
      <w:r>
        <w:rPr>
          <w:rFonts w:hint="eastAsia" w:asciiTheme="minorEastAsia" w:hAnsiTheme="minorEastAsia" w:eastAsiaTheme="minorEastAsia" w:cstheme="minorEastAsia"/>
          <w:b/>
          <w:bCs/>
          <w:color w:val="auto"/>
          <w:sz w:val="28"/>
          <w:szCs w:val="28"/>
          <w:lang w:val="en-US" w:eastAsia="zh-CN"/>
        </w:rPr>
        <w:t xml:space="preserve">扶余市公安局2025年全警体检服务采购项目  </w:t>
      </w:r>
    </w:p>
    <w:p w14:paraId="6B6AAEE7">
      <w:pPr>
        <w:widowControl/>
        <w:autoSpaceDE w:val="0"/>
        <w:autoSpaceDN w:val="0"/>
        <w:spacing w:line="480" w:lineRule="auto"/>
        <w:ind w:right="-28" w:firstLine="562" w:firstLineChars="200"/>
        <w:textAlignment w:val="bottom"/>
        <w:rPr>
          <w:rFonts w:hint="eastAsia" w:asciiTheme="minorEastAsia" w:hAnsiTheme="minorEastAsia" w:eastAsiaTheme="minorEastAsia" w:cstheme="minorEastAsia"/>
          <w:b/>
          <w:bCs/>
          <w:color w:val="0000FF"/>
          <w:sz w:val="28"/>
          <w:szCs w:val="28"/>
          <w:highlight w:val="none"/>
          <w:lang w:eastAsia="zh-CN"/>
        </w:rPr>
      </w:pPr>
      <w:r>
        <w:rPr>
          <w:rFonts w:hint="eastAsia" w:asciiTheme="minorEastAsia" w:hAnsiTheme="minorEastAsia" w:eastAsiaTheme="minorEastAsia" w:cstheme="minorEastAsia"/>
          <w:b/>
          <w:bCs/>
          <w:color w:val="auto"/>
          <w:sz w:val="28"/>
          <w:szCs w:val="28"/>
        </w:rPr>
        <w:t>项目编号：</w:t>
      </w:r>
      <w:bookmarkEnd w:id="2"/>
      <w:r>
        <w:rPr>
          <w:rFonts w:hint="eastAsia" w:asciiTheme="minorEastAsia" w:hAnsiTheme="minorEastAsia" w:eastAsiaTheme="minorEastAsia" w:cstheme="minorEastAsia"/>
          <w:b/>
          <w:bCs/>
          <w:color w:val="auto"/>
          <w:sz w:val="28"/>
          <w:szCs w:val="28"/>
          <w:highlight w:val="none"/>
          <w:lang w:eastAsia="zh-CN"/>
        </w:rPr>
        <w:t>采购计划-[2025]-00019号-RHXMGL-2025011</w:t>
      </w:r>
    </w:p>
    <w:p w14:paraId="0FBF6811">
      <w:pPr>
        <w:widowControl/>
        <w:autoSpaceDE w:val="0"/>
        <w:autoSpaceDN w:val="0"/>
        <w:spacing w:line="480" w:lineRule="auto"/>
        <w:ind w:right="-28" w:firstLine="562" w:firstLineChars="200"/>
        <w:textAlignment w:val="bottom"/>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采购人式：竞争性磋商</w:t>
      </w:r>
    </w:p>
    <w:p w14:paraId="4770A693">
      <w:pPr>
        <w:widowControl/>
        <w:autoSpaceDE w:val="0"/>
        <w:autoSpaceDN w:val="0"/>
        <w:spacing w:line="480" w:lineRule="auto"/>
        <w:ind w:right="-28" w:firstLine="562" w:firstLineChars="200"/>
        <w:textAlignment w:val="bottom"/>
        <w:rPr>
          <w:rFonts w:hint="eastAsia"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采 购 人：</w:t>
      </w:r>
      <w:r>
        <w:rPr>
          <w:rFonts w:hint="eastAsia" w:asciiTheme="minorEastAsia" w:hAnsiTheme="minorEastAsia" w:eastAsiaTheme="minorEastAsia" w:cstheme="minorEastAsia"/>
          <w:b/>
          <w:bCs/>
          <w:color w:val="auto"/>
          <w:sz w:val="28"/>
          <w:szCs w:val="28"/>
          <w:lang w:val="en-US" w:eastAsia="zh-CN"/>
        </w:rPr>
        <w:t>扶余市公安局</w:t>
      </w:r>
    </w:p>
    <w:bookmarkEnd w:id="0"/>
    <w:bookmarkEnd w:id="1"/>
    <w:p w14:paraId="7A0AD88A">
      <w:pPr>
        <w:widowControl/>
        <w:autoSpaceDE w:val="0"/>
        <w:autoSpaceDN w:val="0"/>
        <w:ind w:right="-26"/>
        <w:jc w:val="center"/>
        <w:textAlignment w:val="bottom"/>
        <w:rPr>
          <w:rFonts w:asciiTheme="minorEastAsia" w:hAnsiTheme="minorEastAsia" w:eastAsiaTheme="minorEastAsia" w:cstheme="minorEastAsia"/>
          <w:color w:val="auto"/>
          <w:sz w:val="32"/>
          <w:szCs w:val="32"/>
        </w:rPr>
      </w:pPr>
    </w:p>
    <w:p w14:paraId="6CBCB137">
      <w:pPr>
        <w:widowControl/>
        <w:autoSpaceDE w:val="0"/>
        <w:autoSpaceDN w:val="0"/>
        <w:ind w:right="-26"/>
        <w:jc w:val="center"/>
        <w:textAlignment w:val="bottom"/>
        <w:rPr>
          <w:rFonts w:asciiTheme="minorEastAsia" w:hAnsiTheme="minorEastAsia" w:eastAsiaTheme="minorEastAsia" w:cstheme="minorEastAsia"/>
          <w:color w:val="auto"/>
          <w:sz w:val="32"/>
          <w:szCs w:val="32"/>
        </w:rPr>
      </w:pPr>
    </w:p>
    <w:p w14:paraId="0BEAD6B8">
      <w:pPr>
        <w:widowControl/>
        <w:autoSpaceDE w:val="0"/>
        <w:autoSpaceDN w:val="0"/>
        <w:ind w:right="-26"/>
        <w:jc w:val="center"/>
        <w:textAlignment w:val="bottom"/>
        <w:rPr>
          <w:rFonts w:asciiTheme="minorEastAsia" w:hAnsiTheme="minorEastAsia" w:eastAsiaTheme="minorEastAsia" w:cstheme="minorEastAsia"/>
          <w:color w:val="auto"/>
          <w:sz w:val="32"/>
          <w:szCs w:val="32"/>
        </w:rPr>
      </w:pPr>
    </w:p>
    <w:p w14:paraId="32F57807">
      <w:pPr>
        <w:widowControl/>
        <w:autoSpaceDE w:val="0"/>
        <w:autoSpaceDN w:val="0"/>
        <w:ind w:right="-26"/>
        <w:jc w:val="center"/>
        <w:textAlignment w:val="bottom"/>
        <w:rPr>
          <w:rFonts w:asciiTheme="minorEastAsia" w:hAnsiTheme="minorEastAsia" w:eastAsiaTheme="minorEastAsia" w:cstheme="minorEastAsia"/>
          <w:color w:val="auto"/>
          <w:sz w:val="28"/>
          <w:szCs w:val="28"/>
        </w:rPr>
      </w:pPr>
    </w:p>
    <w:p w14:paraId="31F33632">
      <w:pPr>
        <w:widowControl/>
        <w:autoSpaceDE w:val="0"/>
        <w:autoSpaceDN w:val="0"/>
        <w:ind w:right="-26"/>
        <w:jc w:val="center"/>
        <w:textAlignment w:val="bottom"/>
        <w:rPr>
          <w:rFonts w:asciiTheme="minorEastAsia" w:hAnsiTheme="minorEastAsia" w:eastAsiaTheme="minorEastAsia" w:cstheme="minorEastAsia"/>
          <w:color w:val="auto"/>
          <w:sz w:val="28"/>
          <w:szCs w:val="28"/>
        </w:rPr>
      </w:pPr>
    </w:p>
    <w:p w14:paraId="3D502244">
      <w:pPr>
        <w:widowControl/>
        <w:autoSpaceDE w:val="0"/>
        <w:autoSpaceDN w:val="0"/>
        <w:ind w:right="-26"/>
        <w:jc w:val="center"/>
        <w:textAlignment w:val="bottom"/>
        <w:rPr>
          <w:rFonts w:asciiTheme="minorEastAsia" w:hAnsiTheme="minorEastAsia" w:eastAsiaTheme="minorEastAsia" w:cstheme="minorEastAsia"/>
          <w:color w:val="auto"/>
          <w:sz w:val="28"/>
          <w:szCs w:val="28"/>
        </w:rPr>
      </w:pPr>
    </w:p>
    <w:p w14:paraId="784758AF">
      <w:pPr>
        <w:tabs>
          <w:tab w:val="left" w:pos="2470"/>
        </w:tabs>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rPr>
        <w:t xml:space="preserve">                          目 录</w:t>
      </w:r>
    </w:p>
    <w:p w14:paraId="7517237E">
      <w:pPr>
        <w:tabs>
          <w:tab w:val="left" w:pos="2470"/>
        </w:tabs>
        <w:jc w:val="center"/>
        <w:rPr>
          <w:rFonts w:asciiTheme="minorEastAsia" w:hAnsiTheme="minorEastAsia" w:eastAsiaTheme="minorEastAsia" w:cstheme="minorEastAsia"/>
          <w:b/>
          <w:bCs/>
          <w:color w:val="auto"/>
          <w:sz w:val="32"/>
          <w:szCs w:val="32"/>
        </w:rPr>
      </w:pPr>
    </w:p>
    <w:p w14:paraId="4E1EE993">
      <w:pPr>
        <w:widowControl/>
        <w:autoSpaceDE w:val="0"/>
        <w:autoSpaceDN w:val="0"/>
        <w:ind w:right="16"/>
        <w:jc w:val="center"/>
        <w:textAlignment w:val="bottom"/>
        <w:rPr>
          <w:rFonts w:asciiTheme="minorEastAsia" w:hAnsiTheme="minorEastAsia" w:eastAsiaTheme="minorEastAsia" w:cstheme="minorEastAsia"/>
          <w:b/>
          <w:bCs/>
          <w:color w:val="auto"/>
          <w:sz w:val="32"/>
          <w:szCs w:val="32"/>
        </w:rPr>
      </w:pPr>
    </w:p>
    <w:p w14:paraId="213D796A">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color w:val="auto"/>
        </w:rPr>
        <w:fldChar w:fldCharType="begin"/>
      </w:r>
      <w:r>
        <w:rPr>
          <w:color w:val="auto"/>
        </w:rPr>
        <w:instrText xml:space="preserve"> HYPERLINK \l "_Hlk35571014" \s "1,309,314,0,,招标邀请书" </w:instrText>
      </w:r>
      <w:r>
        <w:rPr>
          <w:color w:val="auto"/>
        </w:rPr>
        <w:fldChar w:fldCharType="separate"/>
      </w:r>
      <w:r>
        <w:rPr>
          <w:rStyle w:val="29"/>
          <w:rFonts w:hint="eastAsia" w:asciiTheme="minorEastAsia" w:hAnsiTheme="minorEastAsia" w:eastAsiaTheme="minorEastAsia" w:cstheme="minorEastAsia"/>
          <w:b/>
          <w:bCs/>
          <w:color w:val="auto"/>
          <w:sz w:val="24"/>
          <w:szCs w:val="24"/>
        </w:rPr>
        <w:t>竞争性磋商</w:t>
      </w:r>
      <w:r>
        <w:rPr>
          <w:rStyle w:val="29"/>
          <w:rFonts w:hint="eastAsia" w:asciiTheme="minorEastAsia" w:hAnsiTheme="minorEastAsia" w:eastAsiaTheme="minorEastAsia" w:cstheme="minorEastAsia"/>
          <w:b/>
          <w:bCs/>
          <w:color w:val="auto"/>
          <w:sz w:val="24"/>
          <w:szCs w:val="24"/>
        </w:rPr>
        <w:fldChar w:fldCharType="end"/>
      </w:r>
      <w:r>
        <w:rPr>
          <w:rStyle w:val="29"/>
          <w:rFonts w:hint="eastAsia" w:asciiTheme="minorEastAsia" w:hAnsiTheme="minorEastAsia" w:eastAsiaTheme="minorEastAsia" w:cstheme="minorEastAsia"/>
          <w:b/>
          <w:bCs/>
          <w:color w:val="auto"/>
          <w:sz w:val="24"/>
          <w:szCs w:val="24"/>
        </w:rPr>
        <w:t>公告</w:t>
      </w:r>
    </w:p>
    <w:p w14:paraId="6D51F76D">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bookmarkStart w:id="3" w:name="_Hlt75710110"/>
      <w:r>
        <w:rPr>
          <w:color w:val="auto"/>
        </w:rPr>
        <w:fldChar w:fldCharType="begin"/>
      </w:r>
      <w:r>
        <w:rPr>
          <w:color w:val="auto"/>
        </w:rPr>
        <w:instrText xml:space="preserve">HYPERLINK \l "_Hlk35571525" \s "1,1159,1169,0,,投 标 人 须 知 "</w:instrText>
      </w:r>
      <w:r>
        <w:rPr>
          <w:color w:val="auto"/>
        </w:rPr>
        <w:fldChar w:fldCharType="separate"/>
      </w:r>
      <w:bookmarkStart w:id="4" w:name="_Hlt75710092"/>
      <w:r>
        <w:rPr>
          <w:rStyle w:val="29"/>
          <w:rFonts w:hint="eastAsia" w:asciiTheme="minorEastAsia" w:hAnsiTheme="minorEastAsia" w:eastAsiaTheme="minorEastAsia" w:cstheme="minorEastAsia"/>
          <w:b/>
          <w:bCs/>
          <w:color w:val="auto"/>
          <w:sz w:val="24"/>
          <w:szCs w:val="24"/>
        </w:rPr>
        <w:t>服务商须</w:t>
      </w:r>
      <w:bookmarkEnd w:id="4"/>
      <w:r>
        <w:rPr>
          <w:rStyle w:val="29"/>
          <w:rFonts w:hint="eastAsia" w:asciiTheme="minorEastAsia" w:hAnsiTheme="minorEastAsia" w:eastAsiaTheme="minorEastAsia" w:cstheme="minorEastAsia"/>
          <w:b/>
          <w:bCs/>
          <w:color w:val="auto"/>
          <w:sz w:val="24"/>
          <w:szCs w:val="24"/>
        </w:rPr>
        <w:t xml:space="preserve">知 </w:t>
      </w:r>
      <w:r>
        <w:rPr>
          <w:color w:val="auto"/>
        </w:rPr>
        <w:fldChar w:fldCharType="end"/>
      </w:r>
      <w:bookmarkEnd w:id="3"/>
    </w:p>
    <w:p w14:paraId="7E376D70">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color w:val="auto"/>
        </w:rPr>
        <w:fldChar w:fldCharType="begin"/>
      </w:r>
      <w:r>
        <w:rPr>
          <w:color w:val="auto"/>
        </w:rPr>
        <w:instrText xml:space="preserve"> HYPERLINK \l "_Hlk35571579" \s "1,8556,8561,0,,投标资料表" </w:instrText>
      </w:r>
      <w:r>
        <w:rPr>
          <w:color w:val="auto"/>
        </w:rPr>
        <w:fldChar w:fldCharType="separate"/>
      </w:r>
      <w:r>
        <w:rPr>
          <w:rStyle w:val="29"/>
          <w:rFonts w:hint="eastAsia" w:asciiTheme="minorEastAsia" w:hAnsiTheme="minorEastAsia" w:eastAsiaTheme="minorEastAsia" w:cstheme="minorEastAsia"/>
          <w:b/>
          <w:bCs/>
          <w:color w:val="auto"/>
          <w:sz w:val="24"/>
          <w:szCs w:val="24"/>
        </w:rPr>
        <w:t>响应资料表</w:t>
      </w:r>
      <w:r>
        <w:rPr>
          <w:rStyle w:val="29"/>
          <w:rFonts w:hint="eastAsia" w:asciiTheme="minorEastAsia" w:hAnsiTheme="minorEastAsia" w:eastAsiaTheme="minorEastAsia" w:cstheme="minorEastAsia"/>
          <w:b/>
          <w:bCs/>
          <w:color w:val="auto"/>
          <w:sz w:val="24"/>
          <w:szCs w:val="24"/>
        </w:rPr>
        <w:fldChar w:fldCharType="end"/>
      </w:r>
    </w:p>
    <w:p w14:paraId="70F2AB75">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color w:val="auto"/>
        </w:rPr>
        <w:fldChar w:fldCharType="begin"/>
      </w:r>
      <w:r>
        <w:rPr>
          <w:color w:val="auto"/>
        </w:rPr>
        <w:instrText xml:space="preserve"> HYPERLINK \l "_Hlk35571643" \s "1,9384,9390,0,,合同通用条款" </w:instrText>
      </w:r>
      <w:r>
        <w:rPr>
          <w:color w:val="auto"/>
        </w:rPr>
        <w:fldChar w:fldCharType="separate"/>
      </w:r>
      <w:r>
        <w:rPr>
          <w:rStyle w:val="29"/>
          <w:rFonts w:hint="eastAsia" w:asciiTheme="minorEastAsia" w:hAnsiTheme="minorEastAsia" w:eastAsiaTheme="minorEastAsia" w:cstheme="minorEastAsia"/>
          <w:b/>
          <w:bCs/>
          <w:color w:val="auto"/>
          <w:sz w:val="24"/>
          <w:szCs w:val="24"/>
        </w:rPr>
        <w:t>合同</w:t>
      </w:r>
      <w:bookmarkStart w:id="5" w:name="_Hlt75710432"/>
      <w:r>
        <w:rPr>
          <w:rStyle w:val="29"/>
          <w:rFonts w:hint="eastAsia" w:asciiTheme="minorEastAsia" w:hAnsiTheme="minorEastAsia" w:eastAsiaTheme="minorEastAsia" w:cstheme="minorEastAsia"/>
          <w:b/>
          <w:bCs/>
          <w:color w:val="auto"/>
          <w:sz w:val="24"/>
          <w:szCs w:val="24"/>
        </w:rPr>
        <w:t>通</w:t>
      </w:r>
      <w:bookmarkEnd w:id="5"/>
      <w:r>
        <w:rPr>
          <w:rStyle w:val="29"/>
          <w:rFonts w:hint="eastAsia" w:asciiTheme="minorEastAsia" w:hAnsiTheme="minorEastAsia" w:eastAsiaTheme="minorEastAsia" w:cstheme="minorEastAsia"/>
          <w:b/>
          <w:bCs/>
          <w:color w:val="auto"/>
          <w:sz w:val="24"/>
          <w:szCs w:val="24"/>
        </w:rPr>
        <w:t>用条款</w:t>
      </w:r>
      <w:r>
        <w:rPr>
          <w:rStyle w:val="29"/>
          <w:rFonts w:hint="eastAsia" w:asciiTheme="minorEastAsia" w:hAnsiTheme="minorEastAsia" w:eastAsiaTheme="minorEastAsia" w:cstheme="minorEastAsia"/>
          <w:b/>
          <w:bCs/>
          <w:color w:val="auto"/>
          <w:sz w:val="24"/>
          <w:szCs w:val="24"/>
        </w:rPr>
        <w:fldChar w:fldCharType="end"/>
      </w:r>
    </w:p>
    <w:p w14:paraId="5AE4D579">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合同条款响应一览表</w:t>
      </w:r>
    </w:p>
    <w:p w14:paraId="2B9AA2F1">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合同格式</w:t>
      </w:r>
    </w:p>
    <w:p w14:paraId="5F313F6B">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服务需求一览表</w:t>
      </w:r>
    </w:p>
    <w:p w14:paraId="29B88E45">
      <w:pPr>
        <w:widowControl/>
        <w:numPr>
          <w:ilvl w:val="0"/>
          <w:numId w:val="1"/>
        </w:numPr>
        <w:tabs>
          <w:tab w:val="left" w:pos="1260"/>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服务需求</w:t>
      </w:r>
    </w:p>
    <w:p w14:paraId="1791F9B0">
      <w:pPr>
        <w:widowControl/>
        <w:numPr>
          <w:ilvl w:val="0"/>
          <w:numId w:val="1"/>
        </w:numPr>
        <w:tabs>
          <w:tab w:val="left" w:pos="0"/>
          <w:tab w:val="left" w:pos="1260"/>
          <w:tab w:val="clear" w:pos="855"/>
        </w:tabs>
        <w:autoSpaceDE w:val="0"/>
        <w:autoSpaceDN w:val="0"/>
        <w:spacing w:line="480" w:lineRule="auto"/>
        <w:ind w:left="1259" w:right="-34" w:hanging="1259"/>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附表</w:t>
      </w:r>
    </w:p>
    <w:p w14:paraId="43E660D3">
      <w:pPr>
        <w:widowControl/>
        <w:tabs>
          <w:tab w:val="left" w:pos="1260"/>
        </w:tabs>
        <w:autoSpaceDE w:val="0"/>
        <w:autoSpaceDN w:val="0"/>
        <w:spacing w:line="360" w:lineRule="auto"/>
        <w:ind w:left="1259" w:right="-34" w:hanging="1259"/>
        <w:textAlignment w:val="bottom"/>
        <w:rPr>
          <w:rFonts w:asciiTheme="minorEastAsia" w:hAnsiTheme="minorEastAsia" w:eastAsiaTheme="minorEastAsia" w:cstheme="minorEastAsia"/>
          <w:b/>
          <w:bCs/>
          <w:color w:val="auto"/>
          <w:sz w:val="24"/>
          <w:szCs w:val="24"/>
        </w:rPr>
      </w:pPr>
    </w:p>
    <w:p w14:paraId="463A1AE7">
      <w:pPr>
        <w:widowControl/>
        <w:tabs>
          <w:tab w:val="left" w:pos="1260"/>
        </w:tabs>
        <w:autoSpaceDE w:val="0"/>
        <w:autoSpaceDN w:val="0"/>
        <w:ind w:left="1260" w:right="-36" w:hanging="1260"/>
        <w:textAlignment w:val="bottom"/>
        <w:rPr>
          <w:rFonts w:asciiTheme="minorEastAsia" w:hAnsiTheme="minorEastAsia" w:eastAsiaTheme="minorEastAsia" w:cstheme="minorEastAsia"/>
          <w:b/>
          <w:bCs/>
          <w:color w:val="auto"/>
          <w:sz w:val="24"/>
          <w:szCs w:val="24"/>
        </w:rPr>
      </w:pPr>
    </w:p>
    <w:p w14:paraId="7E872870">
      <w:pPr>
        <w:widowControl/>
        <w:autoSpaceDE w:val="0"/>
        <w:autoSpaceDN w:val="0"/>
        <w:ind w:right="-36"/>
        <w:textAlignment w:val="bottom"/>
        <w:rPr>
          <w:rFonts w:asciiTheme="minorEastAsia" w:hAnsiTheme="minorEastAsia" w:eastAsiaTheme="minorEastAsia" w:cstheme="minorEastAsia"/>
          <w:b/>
          <w:bCs/>
          <w:color w:val="auto"/>
          <w:sz w:val="24"/>
          <w:szCs w:val="24"/>
        </w:rPr>
      </w:pPr>
    </w:p>
    <w:p w14:paraId="5C9B9B14">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48E1BD27">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05F7916A">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3B018F15">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1F097341">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423C374A">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4960678C">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7988A1C4">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27E8C0BA">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6F2EE8B6">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3A64E881">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15A7F12D">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4DD644C3">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328F9726">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6774F135">
      <w:pPr>
        <w:widowControl/>
        <w:autoSpaceDE w:val="0"/>
        <w:autoSpaceDN w:val="0"/>
        <w:ind w:right="-36"/>
        <w:jc w:val="center"/>
        <w:textAlignment w:val="bottom"/>
        <w:rPr>
          <w:rFonts w:asciiTheme="minorEastAsia" w:hAnsiTheme="minorEastAsia" w:eastAsiaTheme="minorEastAsia" w:cstheme="minorEastAsia"/>
          <w:color w:val="auto"/>
          <w:sz w:val="24"/>
          <w:szCs w:val="24"/>
        </w:rPr>
      </w:pPr>
    </w:p>
    <w:p w14:paraId="2FAB645A">
      <w:pPr>
        <w:pStyle w:val="2"/>
        <w:tabs>
          <w:tab w:val="left" w:pos="0"/>
        </w:tabs>
        <w:autoSpaceDE w:val="0"/>
        <w:autoSpaceDN w:val="0"/>
        <w:adjustRightInd w:val="0"/>
        <w:spacing w:line="360" w:lineRule="auto"/>
        <w:rPr>
          <w:rFonts w:ascii="黑体" w:hAnsi="黑体" w:eastAsia="黑体"/>
          <w:color w:val="auto"/>
          <w:sz w:val="32"/>
          <w:szCs w:val="32"/>
        </w:rPr>
      </w:pPr>
      <w:bookmarkStart w:id="6" w:name="_Toc28359011"/>
      <w:bookmarkStart w:id="7" w:name="_Toc35393797"/>
      <w:bookmarkStart w:id="8" w:name="OLE_LINK1"/>
      <w:r>
        <w:rPr>
          <w:rFonts w:hint="eastAsia" w:ascii="黑体" w:hAnsi="黑体" w:eastAsia="黑体"/>
          <w:color w:val="auto"/>
          <w:sz w:val="44"/>
          <w:szCs w:val="44"/>
        </w:rPr>
        <w:t>竞争性磋商公告</w:t>
      </w:r>
      <w:bookmarkEnd w:id="6"/>
      <w:bookmarkEnd w:id="7"/>
    </w:p>
    <w:p w14:paraId="39BC709F">
      <w:pPr>
        <w:pBdr>
          <w:top w:val="single" w:color="auto" w:sz="4" w:space="1"/>
          <w:left w:val="single" w:color="auto" w:sz="4" w:space="4"/>
          <w:bottom w:val="single" w:color="auto" w:sz="4" w:space="1"/>
          <w:right w:val="single" w:color="auto" w:sz="4" w:space="4"/>
        </w:pBdr>
        <w:spacing w:line="360" w:lineRule="auto"/>
        <w:rPr>
          <w:rFonts w:ascii="仿宋" w:hAnsi="仿宋" w:eastAsia="仿宋"/>
          <w:color w:val="auto"/>
          <w:sz w:val="32"/>
          <w:szCs w:val="32"/>
        </w:rPr>
      </w:pPr>
      <w:r>
        <w:rPr>
          <w:rFonts w:hint="eastAsia" w:ascii="仿宋" w:hAnsi="仿宋" w:eastAsia="仿宋"/>
          <w:color w:val="auto"/>
          <w:sz w:val="32"/>
          <w:szCs w:val="32"/>
        </w:rPr>
        <w:t>项目概况</w:t>
      </w:r>
    </w:p>
    <w:p w14:paraId="1C84BA09">
      <w:pPr>
        <w:pBdr>
          <w:top w:val="single" w:color="auto" w:sz="4" w:space="1"/>
          <w:left w:val="single" w:color="auto" w:sz="4" w:space="4"/>
          <w:bottom w:val="single" w:color="auto" w:sz="4" w:space="1"/>
          <w:right w:val="single" w:color="auto" w:sz="4" w:space="4"/>
        </w:pBdr>
        <w:spacing w:line="360" w:lineRule="auto"/>
        <w:ind w:firstLine="640" w:firstLineChars="200"/>
        <w:rPr>
          <w:color w:val="auto"/>
          <w:sz w:val="32"/>
          <w:szCs w:val="32"/>
        </w:rPr>
      </w:pPr>
      <w:r>
        <w:rPr>
          <w:rFonts w:hint="eastAsia" w:ascii="仿宋" w:hAnsi="仿宋" w:eastAsia="仿宋"/>
          <w:color w:val="auto"/>
          <w:sz w:val="32"/>
          <w:szCs w:val="32"/>
          <w:lang w:val="en-US" w:eastAsia="zh-CN"/>
        </w:rPr>
        <w:t>扶余市公安局2025年全警体检服务采购项目</w:t>
      </w:r>
      <w:r>
        <w:rPr>
          <w:rFonts w:hint="eastAsia" w:ascii="仿宋" w:hAnsi="仿宋" w:eastAsia="仿宋"/>
          <w:color w:val="auto"/>
          <w:sz w:val="32"/>
          <w:szCs w:val="32"/>
        </w:rPr>
        <w:t>的潜在供应商</w:t>
      </w:r>
      <w:r>
        <w:rPr>
          <w:rFonts w:hint="eastAsia" w:ascii="仿宋" w:hAnsi="仿宋" w:eastAsia="仿宋"/>
          <w:color w:val="auto"/>
          <w:sz w:val="32"/>
          <w:szCs w:val="32"/>
          <w:lang w:eastAsia="zh-CN"/>
        </w:rPr>
        <w:t>应登录政采云平台（https://www.zcygov.cn/)获取招标文件</w:t>
      </w:r>
      <w:r>
        <w:rPr>
          <w:rFonts w:hint="eastAsia" w:ascii="仿宋" w:hAnsi="仿宋" w:eastAsia="仿宋"/>
          <w:color w:val="auto"/>
          <w:sz w:val="32"/>
          <w:szCs w:val="32"/>
        </w:rPr>
        <w:t>，并于</w:t>
      </w:r>
      <w:r>
        <w:rPr>
          <w:rFonts w:hint="eastAsia" w:ascii="仿宋" w:hAnsi="仿宋" w:eastAsia="仿宋"/>
          <w:color w:val="auto"/>
          <w:sz w:val="32"/>
          <w:szCs w:val="32"/>
          <w:highlight w:val="none"/>
          <w:lang w:eastAsia="zh-CN"/>
        </w:rPr>
        <w:t>2025年04月23日9点00 分</w:t>
      </w:r>
      <w:r>
        <w:rPr>
          <w:rFonts w:hint="eastAsia" w:ascii="仿宋" w:hAnsi="仿宋" w:eastAsia="仿宋"/>
          <w:bCs/>
          <w:color w:val="auto"/>
          <w:sz w:val="32"/>
          <w:szCs w:val="32"/>
        </w:rPr>
        <w:t>（北京时间）前提交响应</w:t>
      </w:r>
      <w:r>
        <w:rPr>
          <w:rFonts w:ascii="仿宋" w:hAnsi="仿宋" w:eastAsia="仿宋"/>
          <w:bCs/>
          <w:color w:val="auto"/>
          <w:sz w:val="32"/>
          <w:szCs w:val="32"/>
        </w:rPr>
        <w:t>文件</w:t>
      </w:r>
      <w:r>
        <w:rPr>
          <w:rFonts w:hint="eastAsia" w:ascii="仿宋" w:hAnsi="仿宋" w:eastAsia="仿宋"/>
          <w:color w:val="auto"/>
          <w:sz w:val="32"/>
          <w:szCs w:val="32"/>
        </w:rPr>
        <w:t>。</w:t>
      </w:r>
    </w:p>
    <w:p w14:paraId="2A76F683">
      <w:pPr>
        <w:pStyle w:val="3"/>
        <w:spacing w:line="360" w:lineRule="auto"/>
        <w:rPr>
          <w:rFonts w:ascii="黑体" w:hAnsi="黑体" w:cs="宋体"/>
          <w:bCs w:val="0"/>
          <w:color w:val="auto"/>
        </w:rPr>
      </w:pPr>
      <w:bookmarkStart w:id="9" w:name="_Toc28359089"/>
      <w:bookmarkStart w:id="10" w:name="_Toc28359012"/>
      <w:bookmarkStart w:id="11" w:name="_Toc35393798"/>
      <w:bookmarkStart w:id="12" w:name="_Toc35393629"/>
      <w:r>
        <w:rPr>
          <w:rFonts w:hint="eastAsia" w:ascii="黑体" w:hAnsi="黑体" w:cs="宋体"/>
          <w:bCs w:val="0"/>
          <w:color w:val="auto"/>
        </w:rPr>
        <w:t>一、项目基本情况</w:t>
      </w:r>
      <w:bookmarkEnd w:id="9"/>
      <w:bookmarkEnd w:id="10"/>
      <w:bookmarkEnd w:id="11"/>
      <w:bookmarkEnd w:id="12"/>
    </w:p>
    <w:p w14:paraId="5437D20F">
      <w:pPr>
        <w:spacing w:line="360" w:lineRule="auto"/>
        <w:ind w:firstLine="640" w:firstLineChars="200"/>
        <w:rPr>
          <w:rFonts w:hint="eastAsia" w:ascii="仿宋" w:hAnsi="仿宋" w:eastAsia="仿宋" w:cs="Times New Roman"/>
          <w:color w:val="auto"/>
          <w:sz w:val="32"/>
          <w:szCs w:val="32"/>
          <w:lang w:eastAsia="zh-CN"/>
        </w:rPr>
      </w:pPr>
      <w:r>
        <w:rPr>
          <w:rFonts w:hint="eastAsia" w:ascii="仿宋" w:hAnsi="仿宋" w:eastAsia="仿宋" w:cs="Times New Roman"/>
          <w:color w:val="auto"/>
          <w:sz w:val="32"/>
          <w:szCs w:val="32"/>
        </w:rPr>
        <w:t>项目编号：</w:t>
      </w:r>
      <w:r>
        <w:rPr>
          <w:rFonts w:hint="eastAsia" w:ascii="仿宋" w:hAnsi="仿宋" w:eastAsia="仿宋" w:cs="Times New Roman"/>
          <w:color w:val="auto"/>
          <w:sz w:val="32"/>
          <w:szCs w:val="32"/>
          <w:highlight w:val="none"/>
          <w:lang w:eastAsia="zh-CN"/>
        </w:rPr>
        <w:t>采购计划-[2025]-00019号-RHXMGL-2025011</w:t>
      </w:r>
    </w:p>
    <w:p w14:paraId="6E0D4A6B">
      <w:pPr>
        <w:spacing w:line="360" w:lineRule="auto"/>
        <w:ind w:firstLine="640" w:firstLineChars="200"/>
        <w:rPr>
          <w:rFonts w:hint="eastAsia" w:ascii="仿宋" w:hAnsi="仿宋" w:eastAsia="仿宋"/>
          <w:color w:val="auto"/>
          <w:sz w:val="32"/>
          <w:szCs w:val="32"/>
          <w:lang w:val="en-US" w:eastAsia="zh-CN"/>
        </w:rPr>
      </w:pPr>
      <w:r>
        <w:rPr>
          <w:rFonts w:hint="eastAsia" w:ascii="仿宋" w:hAnsi="仿宋" w:eastAsia="仿宋" w:cs="Times New Roman"/>
          <w:color w:val="auto"/>
          <w:sz w:val="32"/>
          <w:szCs w:val="32"/>
        </w:rPr>
        <w:t>项目名称：</w:t>
      </w:r>
      <w:r>
        <w:rPr>
          <w:rFonts w:hint="eastAsia" w:ascii="仿宋" w:hAnsi="仿宋" w:eastAsia="仿宋"/>
          <w:color w:val="auto"/>
          <w:sz w:val="32"/>
          <w:szCs w:val="32"/>
          <w:lang w:val="en-US" w:eastAsia="zh-CN"/>
        </w:rPr>
        <w:t>扶余市公安局2025年全警体检服务采购项目</w:t>
      </w:r>
    </w:p>
    <w:p w14:paraId="780E21AB">
      <w:pPr>
        <w:spacing w:line="360" w:lineRule="auto"/>
        <w:ind w:firstLine="640" w:firstLineChars="200"/>
        <w:rPr>
          <w:rFonts w:hint="eastAsia" w:ascii="仿宋" w:hAnsi="仿宋" w:eastAsia="仿宋" w:cs="Times New Roman"/>
          <w:color w:val="auto"/>
          <w:sz w:val="32"/>
          <w:szCs w:val="32"/>
          <w:lang w:eastAsia="zh-CN"/>
        </w:rPr>
      </w:pPr>
      <w:r>
        <w:rPr>
          <w:rFonts w:hint="eastAsia" w:ascii="仿宋" w:hAnsi="仿宋" w:eastAsia="仿宋" w:cs="Times New Roman"/>
          <w:color w:val="auto"/>
          <w:sz w:val="32"/>
          <w:szCs w:val="32"/>
        </w:rPr>
        <w:t>采购方式：竞争性磋商</w:t>
      </w:r>
      <w:r>
        <w:rPr>
          <w:rFonts w:hint="eastAsia" w:ascii="仿宋" w:hAnsi="仿宋" w:eastAsia="仿宋" w:cs="Times New Roman"/>
          <w:color w:val="auto"/>
          <w:sz w:val="32"/>
          <w:szCs w:val="32"/>
          <w:lang w:eastAsia="zh-CN"/>
        </w:rPr>
        <w:t>；</w:t>
      </w:r>
    </w:p>
    <w:p w14:paraId="3A5F981D">
      <w:pPr>
        <w:pStyle w:val="15"/>
        <w:spacing w:line="360" w:lineRule="auto"/>
        <w:ind w:firstLine="640" w:firstLineChars="200"/>
        <w:rPr>
          <w:rFonts w:hint="default" w:ascii="仿宋" w:hAnsi="仿宋" w:eastAsia="仿宋" w:cs="Times New Roman"/>
          <w:color w:val="auto"/>
          <w:kern w:val="2"/>
          <w:sz w:val="32"/>
          <w:szCs w:val="32"/>
          <w:lang w:val="en-US"/>
        </w:rPr>
      </w:pPr>
      <w:r>
        <w:rPr>
          <w:rFonts w:hint="eastAsia" w:ascii="仿宋" w:hAnsi="仿宋" w:eastAsia="仿宋" w:cs="Times New Roman"/>
          <w:color w:val="auto"/>
          <w:kern w:val="2"/>
          <w:sz w:val="32"/>
          <w:szCs w:val="32"/>
        </w:rPr>
        <w:t>预算金额：</w:t>
      </w:r>
      <w:r>
        <w:rPr>
          <w:rFonts w:hint="eastAsia" w:ascii="仿宋" w:hAnsi="仿宋" w:eastAsia="仿宋" w:cs="Times New Roman"/>
          <w:color w:val="auto"/>
          <w:kern w:val="2"/>
          <w:sz w:val="32"/>
          <w:szCs w:val="32"/>
          <w:lang w:val="en-US" w:eastAsia="zh-CN"/>
        </w:rPr>
        <w:t>72万元人民币；</w:t>
      </w:r>
    </w:p>
    <w:p w14:paraId="11F46235">
      <w:pPr>
        <w:spacing w:line="360" w:lineRule="auto"/>
        <w:ind w:firstLine="640" w:firstLineChars="200"/>
        <w:rPr>
          <w:rFonts w:ascii="仿宋" w:hAnsi="仿宋" w:eastAsia="仿宋" w:cs="Times New Roman"/>
          <w:color w:val="auto"/>
          <w:sz w:val="32"/>
          <w:szCs w:val="32"/>
        </w:rPr>
      </w:pPr>
      <w:r>
        <w:rPr>
          <w:rFonts w:hint="eastAsia" w:ascii="仿宋" w:hAnsi="仿宋" w:eastAsia="仿宋" w:cs="Times New Roman"/>
          <w:color w:val="auto"/>
          <w:sz w:val="32"/>
          <w:szCs w:val="32"/>
        </w:rPr>
        <w:t>服务需求：详见招标文件。</w:t>
      </w:r>
    </w:p>
    <w:p w14:paraId="0C17EB75">
      <w:pPr>
        <w:spacing w:line="360" w:lineRule="auto"/>
        <w:ind w:firstLine="640" w:firstLineChars="200"/>
        <w:rPr>
          <w:rFonts w:hint="eastAsia" w:ascii="仿宋_GB2312" w:hAnsi="仿宋_GB2312" w:eastAsia="仿宋_GB2312" w:cs="仿宋_GB2312"/>
          <w:b w:val="0"/>
          <w:bCs w:val="0"/>
          <w:color w:val="auto"/>
          <w:sz w:val="32"/>
          <w:szCs w:val="32"/>
          <w:lang w:val="en-US" w:eastAsia="zh-CN"/>
        </w:rPr>
      </w:pPr>
      <w:r>
        <w:rPr>
          <w:rFonts w:hint="eastAsia" w:ascii="仿宋" w:hAnsi="仿宋" w:eastAsia="仿宋" w:cs="Times New Roman"/>
          <w:color w:val="auto"/>
          <w:sz w:val="32"/>
          <w:szCs w:val="32"/>
        </w:rPr>
        <w:t>合同履行期限：</w:t>
      </w:r>
      <w:r>
        <w:rPr>
          <w:rFonts w:hint="eastAsia" w:ascii="仿宋_GB2312" w:hAnsi="仿宋_GB2312" w:eastAsia="仿宋_GB2312" w:cs="仿宋_GB2312"/>
          <w:b w:val="0"/>
          <w:bCs w:val="0"/>
          <w:color w:val="auto"/>
          <w:sz w:val="32"/>
          <w:szCs w:val="32"/>
          <w:lang w:val="en-US" w:eastAsia="zh-CN"/>
        </w:rPr>
        <w:t>自合同签订后一年。</w:t>
      </w:r>
    </w:p>
    <w:p w14:paraId="2903BF66">
      <w:pPr>
        <w:spacing w:line="360" w:lineRule="auto"/>
        <w:ind w:firstLine="640" w:firstLineChars="200"/>
        <w:rPr>
          <w:rFonts w:ascii="仿宋" w:hAnsi="仿宋" w:eastAsia="仿宋"/>
          <w:color w:val="auto"/>
          <w:sz w:val="32"/>
          <w:szCs w:val="32"/>
        </w:rPr>
      </w:pPr>
      <w:r>
        <w:rPr>
          <w:rFonts w:hint="eastAsia" w:ascii="仿宋" w:hAnsi="仿宋" w:eastAsia="仿宋" w:cs="Times New Roman"/>
          <w:color w:val="auto"/>
          <w:sz w:val="32"/>
          <w:szCs w:val="32"/>
        </w:rPr>
        <w:t>本项目不接受联合体</w:t>
      </w:r>
      <w:r>
        <w:rPr>
          <w:rFonts w:hint="eastAsia" w:ascii="仿宋" w:hAnsi="仿宋" w:eastAsia="仿宋" w:cs="Times New Roman"/>
          <w:color w:val="auto"/>
          <w:sz w:val="32"/>
          <w:szCs w:val="32"/>
          <w:lang w:eastAsia="zh-CN"/>
        </w:rPr>
        <w:t>；</w:t>
      </w:r>
      <w:r>
        <w:rPr>
          <w:rStyle w:val="50"/>
          <w:rFonts w:hint="eastAsia" w:ascii="仿宋" w:hAnsi="仿宋" w:eastAsia="仿宋" w:cs="仿宋"/>
          <w:b w:val="0"/>
          <w:i w:val="0"/>
          <w:caps w:val="0"/>
          <w:color w:val="auto"/>
          <w:spacing w:val="0"/>
          <w:w w:val="100"/>
          <w:kern w:val="2"/>
          <w:sz w:val="32"/>
          <w:szCs w:val="32"/>
          <w:highlight w:val="none"/>
          <w:lang w:val="en-US" w:eastAsia="zh-CN" w:bidi="ar-SA"/>
        </w:rPr>
        <w:t>本项目全部面向中小企业采购</w:t>
      </w:r>
      <w:r>
        <w:rPr>
          <w:rFonts w:hint="eastAsia" w:ascii="仿宋" w:hAnsi="仿宋" w:eastAsia="仿宋" w:cs="Times New Roman"/>
          <w:color w:val="auto"/>
          <w:sz w:val="32"/>
          <w:szCs w:val="32"/>
        </w:rPr>
        <w:t>。</w:t>
      </w:r>
    </w:p>
    <w:p w14:paraId="3E2436F2">
      <w:pPr>
        <w:pStyle w:val="3"/>
        <w:spacing w:line="360" w:lineRule="auto"/>
        <w:rPr>
          <w:rFonts w:ascii="黑体" w:hAnsi="黑体" w:cs="宋体"/>
          <w:bCs w:val="0"/>
          <w:color w:val="auto"/>
        </w:rPr>
      </w:pPr>
      <w:bookmarkStart w:id="13" w:name="_Toc35393791"/>
      <w:bookmarkStart w:id="14" w:name="_Toc35393622"/>
      <w:bookmarkStart w:id="15" w:name="_Toc28359003"/>
      <w:bookmarkStart w:id="16" w:name="_Toc28359080"/>
      <w:bookmarkStart w:id="17" w:name="_Toc28359091"/>
      <w:bookmarkStart w:id="18" w:name="_Toc28359014"/>
      <w:r>
        <w:rPr>
          <w:rFonts w:hint="eastAsia" w:ascii="黑体" w:hAnsi="黑体" w:cs="宋体"/>
          <w:bCs w:val="0"/>
          <w:color w:val="auto"/>
        </w:rPr>
        <w:t>二、申请人的资格要求：</w:t>
      </w:r>
      <w:bookmarkEnd w:id="13"/>
      <w:bookmarkEnd w:id="14"/>
      <w:bookmarkEnd w:id="15"/>
      <w:bookmarkEnd w:id="16"/>
    </w:p>
    <w:p w14:paraId="64A79478">
      <w:pPr>
        <w:spacing w:line="360" w:lineRule="auto"/>
        <w:ind w:firstLine="539"/>
        <w:rPr>
          <w:rFonts w:ascii="仿宋" w:hAnsi="仿宋" w:eastAsia="仿宋" w:cs="宋体"/>
          <w:color w:val="auto"/>
          <w:sz w:val="32"/>
          <w:szCs w:val="32"/>
          <w:highlight w:val="none"/>
        </w:rPr>
      </w:pPr>
      <w:r>
        <w:rPr>
          <w:rFonts w:ascii="仿宋" w:hAnsi="仿宋" w:eastAsia="仿宋" w:cs="宋体"/>
          <w:color w:val="auto"/>
          <w:sz w:val="32"/>
          <w:szCs w:val="32"/>
          <w:highlight w:val="none"/>
          <w:lang w:val="en-US" w:eastAsia="zh-CN"/>
        </w:rPr>
        <w:t>1.满足《中华人民共和国政府采购法》第二十二条规定；</w:t>
      </w:r>
    </w:p>
    <w:p w14:paraId="595BA691">
      <w:pPr>
        <w:spacing w:line="360" w:lineRule="auto"/>
        <w:ind w:firstLine="539"/>
        <w:rPr>
          <w:rFonts w:hint="eastAsia" w:ascii="仿宋" w:hAnsi="仿宋" w:eastAsia="仿宋"/>
          <w:color w:val="auto"/>
          <w:sz w:val="32"/>
          <w:szCs w:val="32"/>
        </w:rPr>
      </w:pPr>
      <w:r>
        <w:rPr>
          <w:rFonts w:hint="eastAsia" w:ascii="仿宋" w:hAnsi="仿宋" w:eastAsia="仿宋" w:cs="宋体"/>
          <w:color w:val="auto"/>
          <w:sz w:val="32"/>
          <w:szCs w:val="32"/>
          <w:highlight w:val="none"/>
          <w:lang w:val="en-US" w:eastAsia="zh-CN"/>
        </w:rPr>
        <w:t>2.</w:t>
      </w:r>
      <w:r>
        <w:rPr>
          <w:rFonts w:hint="eastAsia" w:ascii="仿宋" w:hAnsi="仿宋" w:eastAsia="仿宋"/>
          <w:color w:val="auto"/>
          <w:sz w:val="32"/>
          <w:szCs w:val="32"/>
        </w:rPr>
        <w:t>落实政府采购政策需满足的资格要求：</w:t>
      </w:r>
    </w:p>
    <w:p w14:paraId="414665C6">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（1）执行《财政部 国家发展改革委关于印发〈节能产品政府采购实施意见〉的通知》（财库[2004]185号）；</w:t>
      </w:r>
    </w:p>
    <w:p w14:paraId="09821A21">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（2）执行《财政部 环保总局关于环境标志产品政府采购实施的意见》（财库[2006]90号）；</w:t>
      </w:r>
    </w:p>
    <w:p w14:paraId="7906D721">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（3）《关于调整优化节能产品、环境标志产品政府采购执行机制的通知》（财库【2019】9号）；</w:t>
      </w:r>
    </w:p>
    <w:p w14:paraId="4DAD8AC0">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（4）执行《政府采购促进中小企业发展管理办法》（财库[2020]46号）；</w:t>
      </w:r>
    </w:p>
    <w:p w14:paraId="19E52C07">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（5）《关于进一步加大政府采购支持中小企业力度的通知》（财库[2022]19号；</w:t>
      </w:r>
    </w:p>
    <w:p w14:paraId="531EC09D">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（6）执行《财政部、司法部关于政府采购支持监狱企业发展有关问题的通知》（财库[2014]68号）；</w:t>
      </w:r>
    </w:p>
    <w:p w14:paraId="56CFDBE7">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（7）执行《财政部关于在政府采购活动中查询及使用信用记录有关问题的通知》（财库[2016]125号）；</w:t>
      </w:r>
    </w:p>
    <w:p w14:paraId="02C045F1">
      <w:pPr>
        <w:spacing w:line="360" w:lineRule="auto"/>
        <w:ind w:firstLine="539"/>
        <w:rPr>
          <w:rFonts w:ascii="仿宋" w:hAnsi="仿宋" w:eastAsia="仿宋" w:cs="宋体"/>
          <w:color w:val="auto"/>
          <w:sz w:val="32"/>
          <w:szCs w:val="32"/>
          <w:highlight w:val="none"/>
        </w:rPr>
      </w:pPr>
      <w:r>
        <w:rPr>
          <w:rFonts w:hint="eastAsia" w:ascii="仿宋" w:hAnsi="仿宋" w:eastAsia="仿宋" w:cs="宋体"/>
          <w:color w:val="auto"/>
          <w:sz w:val="32"/>
          <w:szCs w:val="32"/>
          <w:highlight w:val="none"/>
          <w:lang w:val="en-US" w:eastAsia="zh-CN"/>
        </w:rPr>
        <w:t>（8）执行《关于促进残疾人就业政府采购政策的通知》（财库〔2017〕141号）；</w:t>
      </w:r>
    </w:p>
    <w:p w14:paraId="622FEE33">
      <w:pPr>
        <w:spacing w:line="360" w:lineRule="auto"/>
        <w:ind w:firstLine="640" w:firstLineChars="200"/>
        <w:rPr>
          <w:rFonts w:ascii="仿宋" w:hAnsi="仿宋" w:eastAsia="仿宋"/>
          <w:color w:val="auto"/>
          <w:sz w:val="32"/>
          <w:szCs w:val="32"/>
        </w:rPr>
      </w:pPr>
      <w:r>
        <w:rPr>
          <w:rFonts w:hint="eastAsia" w:ascii="仿宋" w:hAnsi="仿宋" w:eastAsia="仿宋"/>
          <w:color w:val="auto"/>
          <w:sz w:val="32"/>
          <w:szCs w:val="32"/>
        </w:rPr>
        <w:t>3.本项目的特定资格要求：</w:t>
      </w:r>
    </w:p>
    <w:p w14:paraId="0B6F9897">
      <w:pPr>
        <w:spacing w:line="360" w:lineRule="auto"/>
        <w:ind w:firstLine="640" w:firstLineChars="200"/>
        <w:rPr>
          <w:rFonts w:ascii="仿宋" w:hAnsi="仿宋" w:eastAsia="仿宋"/>
          <w:color w:val="auto"/>
          <w:sz w:val="32"/>
          <w:szCs w:val="32"/>
        </w:rPr>
      </w:pPr>
      <w:r>
        <w:rPr>
          <w:rFonts w:hint="eastAsia" w:ascii="仿宋" w:hAnsi="仿宋" w:eastAsia="仿宋"/>
          <w:color w:val="auto"/>
          <w:sz w:val="32"/>
          <w:szCs w:val="32"/>
        </w:rPr>
        <w:t>3.1具有独立承担民事责任的能力；</w:t>
      </w:r>
    </w:p>
    <w:p w14:paraId="4E9BE157">
      <w:pPr>
        <w:spacing w:line="360" w:lineRule="auto"/>
        <w:ind w:left="638" w:leftChars="304"/>
        <w:rPr>
          <w:rFonts w:hint="eastAsia" w:ascii="仿宋" w:hAnsi="仿宋" w:eastAsia="仿宋"/>
          <w:color w:val="auto"/>
          <w:sz w:val="32"/>
          <w:szCs w:val="32"/>
        </w:rPr>
      </w:pPr>
      <w:r>
        <w:rPr>
          <w:rFonts w:hint="eastAsia" w:ascii="仿宋" w:hAnsi="仿宋" w:eastAsia="仿宋"/>
          <w:color w:val="auto"/>
          <w:sz w:val="32"/>
          <w:szCs w:val="32"/>
        </w:rPr>
        <w:t>3.2具有良好的商业信誉和健全的财务会计制度；</w:t>
      </w:r>
      <w:r>
        <w:rPr>
          <w:rFonts w:hint="eastAsia" w:ascii="仿宋" w:hAnsi="仿宋" w:eastAsia="仿宋"/>
          <w:color w:val="auto"/>
          <w:sz w:val="32"/>
          <w:szCs w:val="32"/>
        </w:rPr>
        <w:br w:type="textWrapping"/>
      </w:r>
      <w:r>
        <w:rPr>
          <w:rFonts w:hint="eastAsia" w:ascii="仿宋" w:hAnsi="仿宋" w:eastAsia="仿宋"/>
          <w:color w:val="auto"/>
          <w:sz w:val="32"/>
          <w:szCs w:val="32"/>
        </w:rPr>
        <w:t>3.3具有履行合同所必需的设备和专业技术能力；</w:t>
      </w:r>
      <w:r>
        <w:rPr>
          <w:rFonts w:hint="eastAsia" w:ascii="仿宋" w:hAnsi="仿宋" w:eastAsia="仿宋"/>
          <w:color w:val="auto"/>
          <w:sz w:val="32"/>
          <w:szCs w:val="32"/>
        </w:rPr>
        <w:br w:type="textWrapping"/>
      </w:r>
      <w:r>
        <w:rPr>
          <w:rFonts w:hint="eastAsia" w:ascii="仿宋" w:hAnsi="仿宋" w:eastAsia="仿宋"/>
          <w:color w:val="auto"/>
          <w:sz w:val="32"/>
          <w:szCs w:val="32"/>
        </w:rPr>
        <w:t>3.4有依法缴纳税收和社会保障资金的良好记录；</w:t>
      </w:r>
      <w:r>
        <w:rPr>
          <w:rFonts w:hint="eastAsia" w:ascii="仿宋" w:hAnsi="仿宋" w:eastAsia="仿宋"/>
          <w:color w:val="auto"/>
          <w:sz w:val="32"/>
          <w:szCs w:val="32"/>
        </w:rPr>
        <w:br w:type="textWrapping"/>
      </w:r>
      <w:r>
        <w:rPr>
          <w:rFonts w:hint="eastAsia" w:ascii="仿宋" w:hAnsi="仿宋" w:eastAsia="仿宋"/>
          <w:color w:val="auto"/>
          <w:sz w:val="32"/>
          <w:szCs w:val="32"/>
        </w:rPr>
        <w:t>3.5参加政府采购活动前三年内，在经营活动中没有重大违法记录；</w:t>
      </w:r>
    </w:p>
    <w:p w14:paraId="2E18D0A8">
      <w:pPr>
        <w:spacing w:line="360" w:lineRule="auto"/>
        <w:ind w:left="0" w:leftChars="0"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3.6供应商须是在中华人民共和国境内依法注册，需具备国家卫生部门颁发的有效的《医疗机构执业许可证》。</w:t>
      </w:r>
    </w:p>
    <w:p w14:paraId="3B6C643C">
      <w:pPr>
        <w:spacing w:line="360" w:lineRule="auto"/>
        <w:ind w:left="638" w:leftChars="304"/>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3.7法律、行政法规规定的其他条件。</w:t>
      </w:r>
    </w:p>
    <w:p w14:paraId="3704D1A5">
      <w:pPr>
        <w:spacing w:line="360" w:lineRule="auto"/>
        <w:ind w:firstLine="640" w:firstLineChars="200"/>
        <w:rPr>
          <w:rFonts w:ascii="仿宋" w:hAnsi="仿宋" w:eastAsia="仿宋"/>
          <w:color w:val="auto"/>
          <w:sz w:val="32"/>
          <w:szCs w:val="32"/>
        </w:rPr>
      </w:pPr>
      <w:r>
        <w:rPr>
          <w:rFonts w:hint="eastAsia" w:ascii="仿宋" w:hAnsi="仿宋" w:eastAsia="仿宋"/>
          <w:color w:val="auto"/>
          <w:sz w:val="32"/>
          <w:szCs w:val="32"/>
          <w:lang w:val="en-US" w:eastAsia="zh-CN"/>
        </w:rPr>
        <w:t>3.8供应商不能列入失信被执行人、</w:t>
      </w:r>
      <w:r>
        <w:rPr>
          <w:rFonts w:hint="eastAsia" w:ascii="仿宋" w:hAnsi="仿宋" w:eastAsia="仿宋"/>
          <w:color w:val="auto"/>
          <w:sz w:val="32"/>
          <w:szCs w:val="32"/>
        </w:rPr>
        <w:t>重大税收违法案件当事人名单、政府采购严重违法失信行为记录名单（详见财库【2016】125号，通过“信用中国”网站（www.creditchina.gov.cn）、中国政府采购网（www.ccgp.gov.cn）渠道查询相关信用记录的网站截图证明，</w:t>
      </w:r>
      <w:r>
        <w:rPr>
          <w:rFonts w:hint="eastAsia" w:ascii="仿宋" w:hAnsi="仿宋" w:eastAsia="仿宋"/>
          <w:color w:val="auto"/>
          <w:sz w:val="32"/>
          <w:szCs w:val="32"/>
          <w:lang w:eastAsia="zh-CN"/>
        </w:rPr>
        <w:t>自公告之日起至响应截止时间</w:t>
      </w:r>
      <w:r>
        <w:rPr>
          <w:rFonts w:hint="eastAsia" w:ascii="仿宋" w:hAnsi="仿宋" w:eastAsia="仿宋"/>
          <w:color w:val="auto"/>
          <w:sz w:val="32"/>
          <w:szCs w:val="32"/>
        </w:rPr>
        <w:t>。）。</w:t>
      </w:r>
    </w:p>
    <w:p w14:paraId="4B1E3509">
      <w:pPr>
        <w:pStyle w:val="3"/>
        <w:spacing w:line="360" w:lineRule="auto"/>
        <w:rPr>
          <w:rFonts w:ascii="黑体" w:hAnsi="黑体" w:cs="宋体"/>
          <w:bCs w:val="0"/>
          <w:color w:val="auto"/>
        </w:rPr>
      </w:pPr>
      <w:bookmarkStart w:id="19" w:name="_Toc35393800"/>
      <w:bookmarkStart w:id="20" w:name="_Toc35393631"/>
      <w:r>
        <w:rPr>
          <w:rFonts w:hint="eastAsia" w:ascii="黑体" w:hAnsi="黑体" w:cs="宋体"/>
          <w:bCs w:val="0"/>
          <w:color w:val="auto"/>
        </w:rPr>
        <w:t>三、获取采购文件</w:t>
      </w:r>
      <w:bookmarkEnd w:id="17"/>
      <w:bookmarkEnd w:id="18"/>
      <w:bookmarkEnd w:id="19"/>
      <w:bookmarkEnd w:id="20"/>
    </w:p>
    <w:p w14:paraId="4DBAAD29">
      <w:pPr>
        <w:spacing w:line="360" w:lineRule="auto"/>
        <w:ind w:firstLine="640" w:firstLineChars="200"/>
        <w:rPr>
          <w:rFonts w:hint="eastAsia" w:ascii="仿宋" w:hAnsi="仿宋" w:eastAsia="仿宋" w:cs="宋体"/>
          <w:color w:val="auto"/>
          <w:sz w:val="32"/>
          <w:szCs w:val="32"/>
        </w:rPr>
      </w:pPr>
      <w:bookmarkStart w:id="21" w:name="_Toc28359015"/>
      <w:bookmarkStart w:id="22" w:name="_Toc28359092"/>
      <w:bookmarkStart w:id="23" w:name="_Toc35393632"/>
      <w:bookmarkStart w:id="24" w:name="_Toc35393801"/>
      <w:r>
        <w:rPr>
          <w:rFonts w:hint="eastAsia" w:ascii="仿宋" w:hAnsi="仿宋" w:eastAsia="仿宋" w:cs="宋体"/>
          <w:color w:val="auto"/>
          <w:sz w:val="32"/>
          <w:szCs w:val="32"/>
        </w:rPr>
        <w:t>时间：</w:t>
      </w:r>
      <w:r>
        <w:rPr>
          <w:rFonts w:hint="eastAsia" w:ascii="仿宋" w:hAnsi="仿宋" w:eastAsia="仿宋" w:cs="宋体"/>
          <w:color w:val="auto"/>
          <w:sz w:val="32"/>
          <w:szCs w:val="32"/>
          <w:highlight w:val="none"/>
          <w:lang w:eastAsia="zh-CN"/>
        </w:rPr>
        <w:t>2025年04月11日至2025年04月17日</w:t>
      </w:r>
      <w:r>
        <w:rPr>
          <w:rFonts w:hint="eastAsia" w:ascii="仿宋" w:hAnsi="仿宋" w:eastAsia="仿宋" w:cs="宋体"/>
          <w:color w:val="auto"/>
          <w:sz w:val="32"/>
          <w:szCs w:val="32"/>
        </w:rPr>
        <w:t>，每天上午8:30至11:30，下午13：30至16:00（北京时间，法定节假日除外）。</w:t>
      </w:r>
    </w:p>
    <w:p w14:paraId="533BAB7F">
      <w:pPr>
        <w:spacing w:line="360" w:lineRule="auto"/>
        <w:ind w:firstLine="640" w:firstLineChars="200"/>
        <w:rPr>
          <w:rFonts w:hint="eastAsia" w:ascii="仿宋" w:hAnsi="仿宋" w:eastAsia="仿宋" w:cs="宋体"/>
          <w:color w:val="auto"/>
          <w:sz w:val="32"/>
          <w:szCs w:val="32"/>
          <w:lang w:val="en-US" w:eastAsia="zh-CN"/>
        </w:rPr>
      </w:pPr>
      <w:r>
        <w:rPr>
          <w:rFonts w:hint="eastAsia" w:ascii="仿宋" w:hAnsi="仿宋" w:eastAsia="仿宋" w:cs="宋体"/>
          <w:color w:val="auto"/>
          <w:sz w:val="32"/>
          <w:szCs w:val="32"/>
        </w:rPr>
        <w:t>地点：</w:t>
      </w:r>
      <w:r>
        <w:rPr>
          <w:rFonts w:hint="eastAsia" w:ascii="仿宋" w:hAnsi="仿宋" w:eastAsia="仿宋" w:cs="宋体"/>
          <w:color w:val="auto"/>
          <w:sz w:val="32"/>
          <w:szCs w:val="32"/>
          <w:lang w:val="en-US" w:eastAsia="zh-CN"/>
        </w:rPr>
        <w:t>登录“政采云平台（https://www.zcygov.cn/)”下载招标文件。未进行网上注册验证并办理CA认证的投标人将无法参与招标采购活动</w:t>
      </w:r>
      <w:bookmarkStart w:id="25" w:name="OLE_LINK7"/>
      <w:r>
        <w:rPr>
          <w:rFonts w:hint="eastAsia" w:ascii="仿宋" w:hAnsi="仿宋" w:eastAsia="仿宋" w:cs="宋体"/>
          <w:color w:val="auto"/>
          <w:sz w:val="32"/>
          <w:szCs w:val="32"/>
          <w:lang w:val="en-US" w:eastAsia="zh-CN"/>
        </w:rPr>
        <w:t>；CA锁办理网址：请供应商自行办理CA 锁，网址（http://www.anxinca.com/kehu/zcy/kh-zcy-zsshenqing.html）。（政采云客服电话：95763）</w:t>
      </w:r>
      <w:bookmarkEnd w:id="25"/>
      <w:r>
        <w:rPr>
          <w:rFonts w:hint="eastAsia" w:ascii="仿宋" w:hAnsi="仿宋" w:eastAsia="仿宋" w:cs="宋体"/>
          <w:color w:val="auto"/>
          <w:sz w:val="32"/>
          <w:szCs w:val="32"/>
          <w:lang w:val="en-US" w:eastAsia="zh-CN"/>
        </w:rPr>
        <w:t>。</w:t>
      </w:r>
    </w:p>
    <w:p w14:paraId="010A6880">
      <w:pPr>
        <w:spacing w:line="360" w:lineRule="auto"/>
        <w:ind w:firstLine="640" w:firstLineChars="200"/>
        <w:rPr>
          <w:rFonts w:ascii="仿宋" w:hAnsi="仿宋" w:eastAsia="仿宋" w:cs="宋体"/>
          <w:color w:val="auto"/>
          <w:sz w:val="32"/>
          <w:szCs w:val="32"/>
        </w:rPr>
      </w:pPr>
      <w:r>
        <w:rPr>
          <w:rFonts w:hint="eastAsia" w:ascii="仿宋" w:hAnsi="仿宋" w:eastAsia="仿宋" w:cs="宋体"/>
          <w:color w:val="auto"/>
          <w:sz w:val="32"/>
          <w:szCs w:val="32"/>
        </w:rPr>
        <w:t>方式：网上自行下载。</w:t>
      </w:r>
    </w:p>
    <w:p w14:paraId="4B8A3F91">
      <w:pPr>
        <w:spacing w:line="360" w:lineRule="auto"/>
        <w:ind w:firstLine="640" w:firstLineChars="200"/>
        <w:rPr>
          <w:rFonts w:ascii="仿宋" w:hAnsi="仿宋" w:eastAsia="仿宋" w:cs="宋体"/>
          <w:color w:val="auto"/>
          <w:sz w:val="32"/>
          <w:szCs w:val="32"/>
        </w:rPr>
      </w:pPr>
      <w:r>
        <w:rPr>
          <w:rFonts w:hint="eastAsia" w:ascii="仿宋" w:hAnsi="仿宋" w:eastAsia="仿宋" w:cs="宋体"/>
          <w:color w:val="auto"/>
          <w:sz w:val="32"/>
          <w:szCs w:val="32"/>
        </w:rPr>
        <w:t>售价：0元。</w:t>
      </w:r>
    </w:p>
    <w:p w14:paraId="12559961">
      <w:pPr>
        <w:pStyle w:val="3"/>
        <w:spacing w:line="360" w:lineRule="auto"/>
        <w:rPr>
          <w:rFonts w:ascii="黑体" w:hAnsi="黑体" w:cs="宋体"/>
          <w:bCs w:val="0"/>
          <w:color w:val="auto"/>
        </w:rPr>
      </w:pPr>
      <w:r>
        <w:rPr>
          <w:rFonts w:hint="eastAsia" w:ascii="黑体" w:hAnsi="黑体" w:cs="宋体"/>
          <w:bCs w:val="0"/>
          <w:color w:val="auto"/>
        </w:rPr>
        <w:t>四、响应文件提交</w:t>
      </w:r>
      <w:bookmarkEnd w:id="21"/>
      <w:bookmarkEnd w:id="22"/>
      <w:bookmarkEnd w:id="23"/>
      <w:bookmarkEnd w:id="24"/>
    </w:p>
    <w:p w14:paraId="44EBB6C8">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cs="宋体"/>
          <w:b w:val="0"/>
          <w:bCs w:val="0"/>
          <w:i w:val="0"/>
          <w:iCs w:val="0"/>
          <w:color w:val="auto"/>
          <w:kern w:val="2"/>
          <w:sz w:val="32"/>
          <w:szCs w:val="32"/>
          <w:highlight w:val="none"/>
          <w:u w:val="none"/>
          <w:lang w:val="en-US" w:eastAsia="zh-CN" w:bidi="ar-SA"/>
        </w:rPr>
      </w:pPr>
      <w:r>
        <w:rPr>
          <w:rFonts w:hint="eastAsia" w:ascii="仿宋" w:hAnsi="仿宋" w:eastAsia="仿宋" w:cs="宋体"/>
          <w:b w:val="0"/>
          <w:bCs w:val="0"/>
          <w:i w:val="0"/>
          <w:iCs w:val="0"/>
          <w:color w:val="auto"/>
          <w:kern w:val="2"/>
          <w:sz w:val="32"/>
          <w:szCs w:val="32"/>
          <w:highlight w:val="none"/>
          <w:u w:val="none"/>
          <w:lang w:val="en-US" w:eastAsia="zh-CN" w:bidi="ar-SA"/>
        </w:rPr>
        <w:t>截止时间：2025年04月23日9点00 分（北京时间）</w:t>
      </w:r>
    </w:p>
    <w:p w14:paraId="2EBADE2E">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 w:hAnsi="仿宋" w:eastAsia="仿宋" w:cs="宋体"/>
          <w:b w:val="0"/>
          <w:bCs w:val="0"/>
          <w:i w:val="0"/>
          <w:iCs w:val="0"/>
          <w:color w:val="auto"/>
          <w:kern w:val="2"/>
          <w:sz w:val="32"/>
          <w:szCs w:val="32"/>
          <w:highlight w:val="none"/>
          <w:u w:val="none"/>
          <w:lang w:val="en-US" w:eastAsia="zh-CN" w:bidi="ar-SA"/>
        </w:rPr>
      </w:pPr>
      <w:r>
        <w:rPr>
          <w:rFonts w:hint="eastAsia" w:ascii="仿宋" w:hAnsi="仿宋" w:eastAsia="仿宋" w:cs="宋体"/>
          <w:b w:val="0"/>
          <w:bCs w:val="0"/>
          <w:i w:val="0"/>
          <w:iCs w:val="0"/>
          <w:color w:val="auto"/>
          <w:kern w:val="2"/>
          <w:sz w:val="32"/>
          <w:szCs w:val="32"/>
          <w:highlight w:val="none"/>
          <w:u w:val="none"/>
          <w:lang w:val="en-US" w:eastAsia="zh-CN" w:bidi="ar-SA"/>
        </w:rPr>
        <w:t>地点：政府采购云平台(网址:http://www.zcygov.cn)。</w:t>
      </w:r>
    </w:p>
    <w:p w14:paraId="28BF94B3">
      <w:pPr>
        <w:pStyle w:val="3"/>
        <w:spacing w:line="360" w:lineRule="auto"/>
        <w:rPr>
          <w:rFonts w:ascii="黑体" w:hAnsi="黑体" w:cs="宋体"/>
          <w:bCs w:val="0"/>
          <w:color w:val="auto"/>
        </w:rPr>
      </w:pPr>
      <w:bookmarkStart w:id="26" w:name="_Toc28359016"/>
      <w:bookmarkStart w:id="27" w:name="_Toc35393802"/>
      <w:bookmarkStart w:id="28" w:name="_Toc28359093"/>
      <w:bookmarkStart w:id="29" w:name="_Toc35393633"/>
      <w:r>
        <w:rPr>
          <w:rFonts w:hint="eastAsia" w:ascii="黑体" w:hAnsi="黑体" w:cs="宋体"/>
          <w:bCs w:val="0"/>
          <w:color w:val="auto"/>
        </w:rPr>
        <w:t>五、开启</w:t>
      </w:r>
      <w:bookmarkEnd w:id="26"/>
      <w:bookmarkEnd w:id="27"/>
      <w:bookmarkEnd w:id="28"/>
      <w:bookmarkEnd w:id="29"/>
    </w:p>
    <w:p w14:paraId="0CAD9794">
      <w:pPr>
        <w:snapToGrid/>
        <w:spacing w:before="0" w:beforeAutospacing="0" w:after="0" w:afterAutospacing="0" w:line="240" w:lineRule="auto"/>
        <w:ind w:firstLine="640" w:firstLineChars="200"/>
        <w:jc w:val="both"/>
        <w:textAlignment w:val="baseline"/>
        <w:rPr>
          <w:rStyle w:val="50"/>
          <w:rFonts w:ascii="仿宋" w:hAnsi="仿宋" w:eastAsia="仿宋"/>
          <w:b w:val="0"/>
          <w:i w:val="0"/>
          <w:caps w:val="0"/>
          <w:color w:val="auto"/>
          <w:spacing w:val="0"/>
          <w:w w:val="100"/>
          <w:kern w:val="2"/>
          <w:sz w:val="32"/>
          <w:szCs w:val="32"/>
          <w:highlight w:val="none"/>
          <w:lang w:val="en-US" w:eastAsia="zh-CN" w:bidi="ar-SA"/>
        </w:rPr>
      </w:pPr>
      <w:bookmarkStart w:id="30" w:name="_Toc35393634"/>
      <w:bookmarkStart w:id="31" w:name="_Toc28359094"/>
      <w:bookmarkStart w:id="32" w:name="_Toc35393803"/>
      <w:bookmarkStart w:id="33" w:name="_Toc28359017"/>
      <w:r>
        <w:rPr>
          <w:rFonts w:hint="eastAsia" w:ascii="仿宋" w:hAnsi="仿宋" w:eastAsia="仿宋" w:cs="宋体"/>
          <w:i w:val="0"/>
          <w:iCs w:val="0"/>
          <w:color w:val="auto"/>
          <w:sz w:val="32"/>
          <w:szCs w:val="32"/>
          <w:highlight w:val="none"/>
          <w:u w:val="none"/>
          <w:lang w:val="en-US" w:eastAsia="zh-CN"/>
        </w:rPr>
        <w:t>1、时间：</w:t>
      </w:r>
      <w:r>
        <w:rPr>
          <w:rFonts w:hint="eastAsia" w:ascii="仿宋" w:hAnsi="仿宋" w:eastAsia="仿宋" w:cs="宋体"/>
          <w:b w:val="0"/>
          <w:bCs w:val="0"/>
          <w:i w:val="0"/>
          <w:iCs w:val="0"/>
          <w:color w:val="auto"/>
          <w:kern w:val="2"/>
          <w:sz w:val="32"/>
          <w:szCs w:val="32"/>
          <w:highlight w:val="none"/>
          <w:u w:val="none"/>
          <w:lang w:val="en-US" w:eastAsia="zh-CN" w:bidi="ar-SA"/>
        </w:rPr>
        <w:t>2025年04月23日9点00 分</w:t>
      </w:r>
      <w:r>
        <w:rPr>
          <w:rStyle w:val="50"/>
          <w:rFonts w:ascii="仿宋" w:hAnsi="仿宋" w:eastAsia="仿宋"/>
          <w:b w:val="0"/>
          <w:i w:val="0"/>
          <w:caps w:val="0"/>
          <w:color w:val="auto"/>
          <w:spacing w:val="0"/>
          <w:w w:val="100"/>
          <w:kern w:val="2"/>
          <w:sz w:val="32"/>
          <w:szCs w:val="32"/>
          <w:highlight w:val="none"/>
          <w:lang w:val="en-US" w:eastAsia="zh-CN" w:bidi="ar-SA"/>
        </w:rPr>
        <w:t>（北京时间）</w:t>
      </w:r>
    </w:p>
    <w:p w14:paraId="1B047472">
      <w:pPr>
        <w:spacing w:line="360" w:lineRule="auto"/>
        <w:ind w:firstLine="640" w:firstLineChars="200"/>
        <w:rPr>
          <w:rFonts w:hint="eastAsia" w:ascii="仿宋" w:hAnsi="仿宋" w:eastAsia="仿宋" w:cs="宋体"/>
          <w:b w:val="0"/>
          <w:bCs w:val="0"/>
          <w:i w:val="0"/>
          <w:iCs w:val="0"/>
          <w:color w:val="auto"/>
          <w:kern w:val="2"/>
          <w:sz w:val="32"/>
          <w:szCs w:val="32"/>
          <w:u w:val="none"/>
          <w:lang w:val="en-US" w:eastAsia="zh-CN" w:bidi="ar-SA"/>
        </w:rPr>
      </w:pPr>
      <w:r>
        <w:rPr>
          <w:rFonts w:hint="eastAsia" w:ascii="仿宋" w:hAnsi="仿宋" w:eastAsia="仿宋" w:cs="宋体"/>
          <w:b w:val="0"/>
          <w:bCs w:val="0"/>
          <w:i w:val="0"/>
          <w:iCs w:val="0"/>
          <w:color w:val="auto"/>
          <w:kern w:val="2"/>
          <w:sz w:val="32"/>
          <w:szCs w:val="32"/>
          <w:u w:val="none"/>
          <w:lang w:val="en-US" w:eastAsia="zh-CN" w:bidi="ar-SA"/>
        </w:rPr>
        <w:t>2、地点：</w:t>
      </w:r>
      <w:r>
        <w:rPr>
          <w:rFonts w:hint="eastAsia" w:ascii="仿宋" w:hAnsi="仿宋" w:eastAsia="仿宋" w:cs="Times New Roman"/>
          <w:b w:val="0"/>
          <w:bCs w:val="0"/>
          <w:i w:val="0"/>
          <w:iCs w:val="0"/>
          <w:color w:val="auto"/>
          <w:kern w:val="2"/>
          <w:sz w:val="32"/>
          <w:szCs w:val="32"/>
          <w:highlight w:val="none"/>
          <w:u w:val="none"/>
          <w:lang w:val="en-US" w:eastAsia="zh-CN" w:bidi="ar-SA"/>
        </w:rPr>
        <w:t>政府采购云平台(网址:http://www.zcygov.cn)解密；</w:t>
      </w:r>
      <w:r>
        <w:rPr>
          <w:rFonts w:hint="eastAsia" w:ascii="仿宋" w:hAnsi="仿宋" w:eastAsia="仿宋" w:cs="宋体"/>
          <w:b w:val="0"/>
          <w:bCs w:val="0"/>
          <w:i w:val="0"/>
          <w:iCs w:val="0"/>
          <w:color w:val="auto"/>
          <w:kern w:val="2"/>
          <w:sz w:val="32"/>
          <w:szCs w:val="32"/>
          <w:u w:val="none"/>
          <w:lang w:val="en-US" w:eastAsia="zh-CN" w:bidi="ar-SA"/>
        </w:rPr>
        <w:t>有效投标人不足三家时按照财库〔2015〕124号文件执行。</w:t>
      </w:r>
    </w:p>
    <w:p w14:paraId="522342D9">
      <w:pPr>
        <w:pStyle w:val="6"/>
        <w:numPr>
          <w:ilvl w:val="0"/>
          <w:numId w:val="0"/>
        </w:numPr>
        <w:spacing w:line="360" w:lineRule="auto"/>
        <w:ind w:firstLine="640" w:firstLineChars="200"/>
        <w:rPr>
          <w:rFonts w:hint="eastAsia" w:ascii="仿宋" w:hAnsi="仿宋" w:eastAsia="仿宋" w:cs="宋体"/>
          <w:color w:val="auto"/>
          <w:kern w:val="2"/>
          <w:sz w:val="32"/>
          <w:szCs w:val="32"/>
          <w:highlight w:val="none"/>
          <w:lang w:val="en-US" w:eastAsia="zh-CN" w:bidi="ar-SA"/>
        </w:rPr>
      </w:pPr>
      <w:r>
        <w:rPr>
          <w:rFonts w:hint="eastAsia" w:ascii="仿宋" w:hAnsi="仿宋" w:eastAsia="仿宋" w:cs="宋体"/>
          <w:b w:val="0"/>
          <w:bCs w:val="0"/>
          <w:i w:val="0"/>
          <w:iCs w:val="0"/>
          <w:color w:val="auto"/>
          <w:kern w:val="2"/>
          <w:sz w:val="32"/>
          <w:szCs w:val="32"/>
          <w:u w:val="none"/>
          <w:lang w:val="en-US" w:eastAsia="zh-CN" w:bidi="ar-SA"/>
        </w:rPr>
        <w:t>3、</w:t>
      </w:r>
      <w:r>
        <w:rPr>
          <w:rFonts w:hint="eastAsia" w:ascii="仿宋" w:hAnsi="仿宋" w:eastAsia="仿宋" w:cs="宋体"/>
          <w:color w:val="auto"/>
          <w:kern w:val="2"/>
          <w:sz w:val="32"/>
          <w:szCs w:val="32"/>
          <w:highlight w:val="none"/>
          <w:lang w:val="en-US" w:eastAsia="zh-CN" w:bidi="ar-SA"/>
        </w:rPr>
        <w:t>本项目采用全流程电子化采购，投标人需通过政采云平台（https://www.zcygov.cn/）提交电子投标文件，开标采用远程解密方式开标，投标人需提前确认好CA锁及电脑等相关设备能够正常使用，并在规定时间内完成解密。逾期上传的电子投标文件或未在投标文件规定完成解密或在规定时间内未解密成功的投标人，“政采云平台”将予以拒收，后果由投标人自行承担。</w:t>
      </w:r>
    </w:p>
    <w:p w14:paraId="08EFEBB5">
      <w:pPr>
        <w:spacing w:line="360" w:lineRule="auto"/>
        <w:ind w:firstLine="640" w:firstLineChars="200"/>
        <w:rPr>
          <w:rFonts w:hint="eastAsia" w:ascii="仿宋" w:hAnsi="仿宋" w:eastAsia="仿宋" w:cs="宋体"/>
          <w:color w:val="auto"/>
          <w:kern w:val="2"/>
          <w:sz w:val="32"/>
          <w:szCs w:val="32"/>
          <w:highlight w:val="none"/>
          <w:lang w:val="en-US" w:eastAsia="zh-CN" w:bidi="ar-SA"/>
        </w:rPr>
      </w:pPr>
      <w:r>
        <w:rPr>
          <w:rFonts w:hint="eastAsia" w:ascii="仿宋" w:hAnsi="仿宋" w:eastAsia="仿宋" w:cs="宋体"/>
          <w:color w:val="auto"/>
          <w:kern w:val="2"/>
          <w:sz w:val="32"/>
          <w:szCs w:val="32"/>
          <w:highlight w:val="none"/>
          <w:lang w:val="en-US" w:eastAsia="zh-CN" w:bidi="ar-SA"/>
        </w:rPr>
        <w:t>本项目采用腾讯会议进行远程开标，投标人不到开标现场。请投标人自行下载、安装腾讯会议软件，通过搜索腾讯会议开标会议室号码（</w:t>
      </w:r>
      <w:r>
        <w:rPr>
          <w:rFonts w:hint="eastAsia" w:ascii="仿宋" w:hAnsi="仿宋" w:eastAsia="仿宋" w:cs="仿宋"/>
          <w:b w:val="0"/>
          <w:bCs w:val="0"/>
          <w:color w:val="auto"/>
          <w:sz w:val="32"/>
          <w:szCs w:val="32"/>
          <w:highlight w:val="none"/>
          <w:lang w:val="en-US" w:eastAsia="zh-CN"/>
        </w:rPr>
        <w:t>905 819 2209</w:t>
      </w:r>
      <w:r>
        <w:rPr>
          <w:rFonts w:hint="eastAsia" w:ascii="仿宋" w:hAnsi="仿宋" w:eastAsia="仿宋" w:cs="宋体"/>
          <w:color w:val="auto"/>
          <w:kern w:val="2"/>
          <w:sz w:val="32"/>
          <w:szCs w:val="32"/>
          <w:highlight w:val="none"/>
          <w:lang w:val="en-US" w:eastAsia="zh-CN" w:bidi="ar-SA"/>
        </w:rPr>
        <w:t>），进入本项目视频会议直播。参加远程开标人员应为投标单位被授权人，进入远程开标会议后将姓名修改为“投标人全称+被授权人姓名”格式。投标人参加远程开标，如无故离开远程开标会议室，后果自负。投标人对开标有异议的，应当在远程开标时提出，非远程开标中提出的开标异议，招标人或者行政监督管理部门不予受理。</w:t>
      </w:r>
    </w:p>
    <w:p w14:paraId="72DDDF90">
      <w:pPr>
        <w:spacing w:line="360" w:lineRule="auto"/>
        <w:ind w:firstLine="640" w:firstLineChars="200"/>
        <w:rPr>
          <w:rFonts w:hint="eastAsia" w:ascii="仿宋" w:hAnsi="仿宋" w:eastAsia="仿宋" w:cs="宋体"/>
          <w:b w:val="0"/>
          <w:bCs w:val="0"/>
          <w:i w:val="0"/>
          <w:iCs w:val="0"/>
          <w:color w:val="auto"/>
          <w:kern w:val="2"/>
          <w:sz w:val="32"/>
          <w:szCs w:val="32"/>
          <w:u w:val="none"/>
          <w:lang w:val="en-US" w:eastAsia="zh-CN" w:bidi="ar-SA"/>
        </w:rPr>
      </w:pPr>
      <w:r>
        <w:rPr>
          <w:rFonts w:hint="eastAsia" w:ascii="仿宋" w:hAnsi="仿宋" w:eastAsia="仿宋" w:cs="宋体"/>
          <w:color w:val="auto"/>
          <w:kern w:val="2"/>
          <w:sz w:val="32"/>
          <w:szCs w:val="32"/>
          <w:highlight w:val="none"/>
          <w:lang w:val="en-US" w:eastAsia="zh-CN" w:bidi="ar-SA"/>
        </w:rPr>
        <w:t>有效投标人不足三家时，招标人另行组织招标。</w:t>
      </w:r>
    </w:p>
    <w:p w14:paraId="78167DDF">
      <w:pPr>
        <w:pStyle w:val="3"/>
        <w:spacing w:line="360" w:lineRule="auto"/>
        <w:rPr>
          <w:rFonts w:ascii="黑体" w:hAnsi="黑体" w:cs="宋体"/>
          <w:bCs w:val="0"/>
          <w:color w:val="auto"/>
        </w:rPr>
      </w:pPr>
      <w:r>
        <w:rPr>
          <w:rFonts w:hint="eastAsia" w:ascii="黑体" w:hAnsi="黑体" w:cs="宋体"/>
          <w:bCs w:val="0"/>
          <w:color w:val="auto"/>
        </w:rPr>
        <w:t>六、公告期限</w:t>
      </w:r>
      <w:bookmarkEnd w:id="30"/>
      <w:bookmarkEnd w:id="31"/>
      <w:bookmarkEnd w:id="32"/>
      <w:bookmarkEnd w:id="33"/>
    </w:p>
    <w:p w14:paraId="79149F5C">
      <w:pPr>
        <w:spacing w:line="360" w:lineRule="auto"/>
        <w:ind w:firstLine="640" w:firstLineChars="200"/>
        <w:rPr>
          <w:rFonts w:ascii="仿宋" w:hAnsi="仿宋" w:eastAsia="仿宋" w:cs="宋体"/>
          <w:color w:val="auto"/>
          <w:sz w:val="32"/>
          <w:szCs w:val="32"/>
        </w:rPr>
      </w:pPr>
      <w:r>
        <w:rPr>
          <w:rFonts w:hint="eastAsia" w:ascii="仿宋" w:hAnsi="仿宋" w:eastAsia="仿宋" w:cs="宋体"/>
          <w:color w:val="auto"/>
          <w:sz w:val="32"/>
          <w:szCs w:val="32"/>
        </w:rPr>
        <w:t>自本公告发布之日起5个工作日。</w:t>
      </w:r>
    </w:p>
    <w:p w14:paraId="2F5784A8">
      <w:pPr>
        <w:pStyle w:val="3"/>
        <w:spacing w:line="360" w:lineRule="auto"/>
        <w:rPr>
          <w:rFonts w:ascii="黑体" w:hAnsi="黑体" w:cs="宋体"/>
          <w:bCs w:val="0"/>
          <w:color w:val="auto"/>
        </w:rPr>
      </w:pPr>
      <w:bookmarkStart w:id="34" w:name="_Toc35393635"/>
      <w:bookmarkStart w:id="35" w:name="_Toc35393804"/>
      <w:r>
        <w:rPr>
          <w:rFonts w:hint="eastAsia" w:ascii="黑体" w:hAnsi="黑体" w:cs="宋体"/>
          <w:bCs w:val="0"/>
          <w:color w:val="auto"/>
        </w:rPr>
        <w:t>七、其他补充事宜</w:t>
      </w:r>
      <w:bookmarkEnd w:id="34"/>
      <w:bookmarkEnd w:id="35"/>
    </w:p>
    <w:p w14:paraId="16CAC977">
      <w:pPr>
        <w:pStyle w:val="3"/>
        <w:spacing w:line="240" w:lineRule="auto"/>
        <w:rPr>
          <w:rFonts w:hint="eastAsia" w:ascii="仿宋" w:hAnsi="仿宋" w:eastAsia="仿宋" w:cs="宋体"/>
          <w:b w:val="0"/>
          <w:bCs w:val="0"/>
          <w:color w:val="auto"/>
          <w:lang w:eastAsia="zh-CN"/>
        </w:rPr>
      </w:pPr>
      <w:bookmarkStart w:id="36" w:name="_Toc35393636"/>
      <w:bookmarkStart w:id="37" w:name="_Toc35393805"/>
      <w:bookmarkStart w:id="38" w:name="_Toc28359095"/>
      <w:bookmarkStart w:id="39" w:name="_Toc28359018"/>
      <w:r>
        <w:rPr>
          <w:rFonts w:hint="eastAsia" w:ascii="仿宋" w:hAnsi="仿宋" w:eastAsia="仿宋" w:cs="宋体"/>
          <w:b w:val="0"/>
          <w:bCs w:val="0"/>
          <w:color w:val="auto"/>
          <w:lang w:eastAsia="zh-CN"/>
        </w:rPr>
        <w:t>发布媒介：本次招标公告在吉林省政府采购云平台（同步推送到吉林省政府采购网、中国政府采购网）上同时发布。</w:t>
      </w:r>
    </w:p>
    <w:p w14:paraId="2A9F097E">
      <w:pPr>
        <w:pStyle w:val="3"/>
        <w:spacing w:line="240" w:lineRule="auto"/>
        <w:rPr>
          <w:rFonts w:ascii="黑体" w:hAnsi="黑体" w:cs="宋体"/>
          <w:bCs w:val="0"/>
          <w:color w:val="auto"/>
        </w:rPr>
      </w:pPr>
      <w:r>
        <w:rPr>
          <w:rFonts w:hint="eastAsia" w:ascii="黑体" w:hAnsi="黑体" w:cs="宋体"/>
          <w:bCs w:val="0"/>
          <w:color w:val="auto"/>
        </w:rPr>
        <w:t>八、凡对本次采购提出询问，请按</w:t>
      </w:r>
      <w:r>
        <w:rPr>
          <w:rFonts w:ascii="黑体" w:hAnsi="黑体" w:cs="宋体"/>
          <w:bCs w:val="0"/>
          <w:color w:val="auto"/>
        </w:rPr>
        <w:t>以下方式</w:t>
      </w:r>
      <w:r>
        <w:rPr>
          <w:rFonts w:hint="eastAsia" w:ascii="黑体" w:hAnsi="黑体" w:cs="宋体"/>
          <w:bCs w:val="0"/>
          <w:color w:val="auto"/>
        </w:rPr>
        <w:t>联系</w:t>
      </w:r>
      <w:bookmarkEnd w:id="36"/>
      <w:bookmarkEnd w:id="37"/>
      <w:bookmarkEnd w:id="38"/>
      <w:bookmarkEnd w:id="39"/>
    </w:p>
    <w:p w14:paraId="086BBE26">
      <w:pPr>
        <w:pStyle w:val="51"/>
        <w:keepLines/>
        <w:widowControl/>
        <w:snapToGrid/>
        <w:spacing w:before="260" w:beforeAutospacing="0" w:after="260" w:afterAutospacing="0" w:line="360" w:lineRule="auto"/>
        <w:ind w:firstLine="960" w:firstLineChars="300"/>
        <w:jc w:val="both"/>
        <w:textAlignment w:val="baseline"/>
        <w:rPr>
          <w:rStyle w:val="50"/>
          <w:rFonts w:ascii="仿宋" w:hAnsi="仿宋" w:eastAsia="仿宋"/>
          <w:b w:val="0"/>
          <w:bCs w:val="0"/>
          <w:i w:val="0"/>
          <w:caps w:val="0"/>
          <w:color w:val="auto"/>
          <w:spacing w:val="0"/>
          <w:w w:val="100"/>
          <w:kern w:val="2"/>
          <w:sz w:val="32"/>
          <w:szCs w:val="32"/>
          <w:lang w:val="en-US" w:eastAsia="zh-CN" w:bidi="ar-SA"/>
        </w:rPr>
      </w:pPr>
      <w:bookmarkStart w:id="40" w:name="_Toc35393808"/>
      <w:bookmarkStart w:id="41" w:name="_Toc28359021"/>
      <w:bookmarkStart w:id="42" w:name="_Toc35393639"/>
      <w:bookmarkStart w:id="43" w:name="_Toc28359098"/>
      <w:r>
        <w:rPr>
          <w:rStyle w:val="50"/>
          <w:rFonts w:ascii="仿宋" w:hAnsi="仿宋" w:eastAsia="仿宋"/>
          <w:b w:val="0"/>
          <w:bCs w:val="0"/>
          <w:i w:val="0"/>
          <w:caps w:val="0"/>
          <w:color w:val="auto"/>
          <w:spacing w:val="0"/>
          <w:w w:val="100"/>
          <w:kern w:val="2"/>
          <w:sz w:val="32"/>
          <w:szCs w:val="32"/>
          <w:lang w:val="en-US" w:eastAsia="zh-CN" w:bidi="ar-SA"/>
        </w:rPr>
        <w:t>1.采购人信息</w:t>
      </w:r>
    </w:p>
    <w:p w14:paraId="08B602F3">
      <w:pPr>
        <w:snapToGrid/>
        <w:spacing w:before="0" w:beforeAutospacing="0" w:after="0" w:afterAutospacing="0" w:line="360" w:lineRule="auto"/>
        <w:ind w:firstLine="960" w:firstLineChars="300"/>
        <w:jc w:val="left"/>
        <w:textAlignment w:val="baseline"/>
        <w:rPr>
          <w:rStyle w:val="50"/>
          <w:rFonts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名    称：</w:t>
      </w:r>
      <w:r>
        <w:rPr>
          <w:rStyle w:val="50"/>
          <w:rFonts w:hint="eastAsia" w:ascii="仿宋" w:hAnsi="仿宋" w:eastAsia="仿宋"/>
          <w:b w:val="0"/>
          <w:i w:val="0"/>
          <w:caps w:val="0"/>
          <w:color w:val="auto"/>
          <w:spacing w:val="0"/>
          <w:w w:val="100"/>
          <w:kern w:val="2"/>
          <w:sz w:val="32"/>
          <w:szCs w:val="32"/>
          <w:lang w:val="en-US" w:eastAsia="zh-CN" w:bidi="ar-SA"/>
        </w:rPr>
        <w:t>扶余市公安局</w:t>
      </w:r>
    </w:p>
    <w:p w14:paraId="3D8F2F84">
      <w:pPr>
        <w:snapToGrid/>
        <w:spacing w:before="0" w:beforeAutospacing="0" w:after="0" w:afterAutospacing="0" w:line="360" w:lineRule="auto"/>
        <w:ind w:firstLine="960" w:firstLineChars="300"/>
        <w:jc w:val="left"/>
        <w:textAlignment w:val="baseline"/>
        <w:rPr>
          <w:rStyle w:val="50"/>
          <w:rFonts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地    址：</w:t>
      </w:r>
      <w:r>
        <w:rPr>
          <w:rStyle w:val="50"/>
          <w:rFonts w:hint="eastAsia" w:ascii="仿宋" w:hAnsi="仿宋" w:eastAsia="仿宋"/>
          <w:b w:val="0"/>
          <w:i w:val="0"/>
          <w:caps w:val="0"/>
          <w:color w:val="auto"/>
          <w:spacing w:val="0"/>
          <w:w w:val="100"/>
          <w:kern w:val="2"/>
          <w:sz w:val="32"/>
          <w:szCs w:val="32"/>
          <w:lang w:val="en-US" w:eastAsia="zh-CN" w:bidi="ar-SA"/>
        </w:rPr>
        <w:t>扶余市</w:t>
      </w:r>
    </w:p>
    <w:p w14:paraId="152F8A44">
      <w:pPr>
        <w:snapToGrid/>
        <w:spacing w:before="0" w:beforeAutospacing="0" w:after="0" w:afterAutospacing="0" w:line="360" w:lineRule="auto"/>
        <w:ind w:firstLine="960" w:firstLineChars="300"/>
        <w:jc w:val="left"/>
        <w:textAlignment w:val="baseline"/>
        <w:rPr>
          <w:rStyle w:val="50"/>
          <w:rFonts w:hint="default"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联系方式：</w:t>
      </w:r>
      <w:r>
        <w:rPr>
          <w:rStyle w:val="50"/>
          <w:rFonts w:hint="eastAsia" w:ascii="仿宋" w:hAnsi="仿宋" w:eastAsia="仿宋"/>
          <w:b w:val="0"/>
          <w:i w:val="0"/>
          <w:caps w:val="0"/>
          <w:color w:val="auto"/>
          <w:spacing w:val="0"/>
          <w:w w:val="100"/>
          <w:kern w:val="2"/>
          <w:sz w:val="32"/>
          <w:szCs w:val="32"/>
          <w:lang w:val="en-US" w:eastAsia="zh-CN" w:bidi="ar-SA"/>
        </w:rPr>
        <w:t>吴群   0438-5861288</w:t>
      </w:r>
    </w:p>
    <w:p w14:paraId="6DA66B28">
      <w:pPr>
        <w:pStyle w:val="51"/>
        <w:keepLines/>
        <w:widowControl/>
        <w:snapToGrid/>
        <w:spacing w:before="260" w:beforeAutospacing="0" w:after="260" w:afterAutospacing="0" w:line="360" w:lineRule="auto"/>
        <w:ind w:firstLine="960" w:firstLineChars="300"/>
        <w:jc w:val="both"/>
        <w:textAlignment w:val="baseline"/>
        <w:rPr>
          <w:rStyle w:val="50"/>
          <w:rFonts w:ascii="仿宋" w:hAnsi="仿宋" w:eastAsia="仿宋"/>
          <w:b w:val="0"/>
          <w:bCs w:val="0"/>
          <w:i w:val="0"/>
          <w:caps w:val="0"/>
          <w:color w:val="auto"/>
          <w:spacing w:val="0"/>
          <w:w w:val="100"/>
          <w:kern w:val="2"/>
          <w:sz w:val="32"/>
          <w:szCs w:val="32"/>
          <w:lang w:val="en-US" w:eastAsia="zh-CN" w:bidi="ar-SA"/>
        </w:rPr>
      </w:pPr>
      <w:r>
        <w:rPr>
          <w:rStyle w:val="50"/>
          <w:rFonts w:ascii="仿宋" w:hAnsi="仿宋" w:eastAsia="仿宋"/>
          <w:b w:val="0"/>
          <w:bCs w:val="0"/>
          <w:i w:val="0"/>
          <w:caps w:val="0"/>
          <w:color w:val="auto"/>
          <w:spacing w:val="0"/>
          <w:w w:val="100"/>
          <w:kern w:val="2"/>
          <w:sz w:val="32"/>
          <w:szCs w:val="32"/>
          <w:lang w:val="en-US" w:eastAsia="zh-CN" w:bidi="ar-SA"/>
        </w:rPr>
        <w:t>2.采购代理机构信息</w:t>
      </w:r>
    </w:p>
    <w:p w14:paraId="4D9530C2">
      <w:pPr>
        <w:snapToGrid/>
        <w:spacing w:before="0" w:beforeAutospacing="0" w:after="0" w:afterAutospacing="0" w:line="360" w:lineRule="auto"/>
        <w:ind w:firstLine="960" w:firstLineChars="300"/>
        <w:jc w:val="both"/>
        <w:textAlignment w:val="baseline"/>
        <w:rPr>
          <w:rStyle w:val="50"/>
          <w:rFonts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名    称</w:t>
      </w:r>
      <w:r>
        <w:rPr>
          <w:rStyle w:val="50"/>
          <w:rFonts w:hint="eastAsia" w:ascii="仿宋" w:hAnsi="仿宋" w:eastAsia="仿宋"/>
          <w:b w:val="0"/>
          <w:i w:val="0"/>
          <w:caps w:val="0"/>
          <w:color w:val="auto"/>
          <w:spacing w:val="0"/>
          <w:w w:val="100"/>
          <w:kern w:val="2"/>
          <w:sz w:val="32"/>
          <w:szCs w:val="32"/>
          <w:lang w:val="en-US" w:eastAsia="zh-CN" w:bidi="ar-SA"/>
        </w:rPr>
        <w:t>：吉林省融合项目管理咨询有限责任公司</w:t>
      </w:r>
    </w:p>
    <w:p w14:paraId="2F974F83">
      <w:pPr>
        <w:snapToGrid/>
        <w:spacing w:before="0" w:beforeAutospacing="0" w:after="0" w:afterAutospacing="0" w:line="360" w:lineRule="auto"/>
        <w:ind w:left="958" w:leftChars="456" w:firstLine="0" w:firstLineChars="0"/>
        <w:jc w:val="both"/>
        <w:textAlignment w:val="baseline"/>
        <w:rPr>
          <w:rStyle w:val="50"/>
          <w:rFonts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地　　址：</w:t>
      </w:r>
      <w:r>
        <w:rPr>
          <w:rStyle w:val="50"/>
          <w:rFonts w:hint="eastAsia" w:ascii="仿宋" w:hAnsi="仿宋" w:eastAsia="仿宋"/>
          <w:b w:val="0"/>
          <w:i w:val="0"/>
          <w:caps w:val="0"/>
          <w:color w:val="auto"/>
          <w:spacing w:val="0"/>
          <w:w w:val="100"/>
          <w:kern w:val="2"/>
          <w:sz w:val="32"/>
          <w:szCs w:val="32"/>
          <w:lang w:val="en-US" w:eastAsia="zh-CN" w:bidi="ar-SA"/>
        </w:rPr>
        <w:t>松原市经济技术开发区兴原街吉粮康郡1幢119</w:t>
      </w:r>
      <w:r>
        <w:rPr>
          <w:rStyle w:val="50"/>
          <w:rFonts w:ascii="仿宋" w:hAnsi="仿宋" w:eastAsia="仿宋"/>
          <w:b w:val="0"/>
          <w:i w:val="0"/>
          <w:caps w:val="0"/>
          <w:color w:val="auto"/>
          <w:spacing w:val="0"/>
          <w:w w:val="100"/>
          <w:kern w:val="2"/>
          <w:sz w:val="32"/>
          <w:szCs w:val="32"/>
          <w:lang w:val="en-US" w:eastAsia="zh-CN" w:bidi="ar-SA"/>
        </w:rPr>
        <w:t>联系方式：</w:t>
      </w:r>
      <w:r>
        <w:rPr>
          <w:rStyle w:val="50"/>
          <w:rFonts w:hint="eastAsia" w:ascii="仿宋" w:hAnsi="仿宋" w:eastAsia="仿宋"/>
          <w:b w:val="0"/>
          <w:i w:val="0"/>
          <w:caps w:val="0"/>
          <w:color w:val="auto"/>
          <w:spacing w:val="0"/>
          <w:w w:val="100"/>
          <w:kern w:val="2"/>
          <w:sz w:val="32"/>
          <w:szCs w:val="32"/>
          <w:lang w:val="en-US" w:eastAsia="zh-CN" w:bidi="ar-SA"/>
        </w:rPr>
        <w:t>15584565977</w:t>
      </w:r>
    </w:p>
    <w:p w14:paraId="61B8A9FF">
      <w:pPr>
        <w:pStyle w:val="51"/>
        <w:keepLines/>
        <w:widowControl/>
        <w:snapToGrid/>
        <w:spacing w:before="260" w:beforeAutospacing="0" w:after="260" w:afterAutospacing="0" w:line="360" w:lineRule="auto"/>
        <w:ind w:firstLine="960" w:firstLineChars="300"/>
        <w:jc w:val="both"/>
        <w:textAlignment w:val="baseline"/>
        <w:rPr>
          <w:rStyle w:val="50"/>
          <w:rFonts w:ascii="仿宋" w:hAnsi="仿宋" w:eastAsia="仿宋"/>
          <w:b w:val="0"/>
          <w:bCs w:val="0"/>
          <w:i w:val="0"/>
          <w:caps w:val="0"/>
          <w:color w:val="auto"/>
          <w:spacing w:val="0"/>
          <w:w w:val="100"/>
          <w:kern w:val="2"/>
          <w:sz w:val="32"/>
          <w:szCs w:val="32"/>
          <w:lang w:val="en-US" w:eastAsia="zh-CN" w:bidi="ar-SA"/>
        </w:rPr>
      </w:pPr>
      <w:r>
        <w:rPr>
          <w:rStyle w:val="50"/>
          <w:rFonts w:ascii="仿宋" w:hAnsi="仿宋" w:eastAsia="仿宋"/>
          <w:b w:val="0"/>
          <w:bCs w:val="0"/>
          <w:i w:val="0"/>
          <w:caps w:val="0"/>
          <w:color w:val="auto"/>
          <w:spacing w:val="0"/>
          <w:w w:val="100"/>
          <w:kern w:val="2"/>
          <w:sz w:val="32"/>
          <w:szCs w:val="32"/>
          <w:lang w:val="en-US" w:eastAsia="zh-CN" w:bidi="ar-SA"/>
        </w:rPr>
        <w:t>3.项目联系方式</w:t>
      </w:r>
    </w:p>
    <w:p w14:paraId="59BBFF45">
      <w:pPr>
        <w:pStyle w:val="52"/>
        <w:widowControl/>
        <w:snapToGrid/>
        <w:spacing w:before="0" w:beforeAutospacing="0" w:after="0" w:afterAutospacing="0" w:line="360" w:lineRule="auto"/>
        <w:ind w:firstLine="960" w:firstLineChars="300"/>
        <w:jc w:val="both"/>
        <w:textAlignment w:val="baseline"/>
        <w:rPr>
          <w:rStyle w:val="50"/>
          <w:rFonts w:hint="default" w:ascii="仿宋" w:hAnsi="仿宋" w:eastAsia="仿宋"/>
          <w:b w:val="0"/>
          <w:i w:val="0"/>
          <w:caps w:val="0"/>
          <w:color w:val="auto"/>
          <w:spacing w:val="0"/>
          <w:w w:val="100"/>
          <w:kern w:val="2"/>
          <w:sz w:val="32"/>
          <w:szCs w:val="32"/>
          <w:lang w:val="en-US" w:eastAsia="zh-CN" w:bidi="ar-SA"/>
        </w:rPr>
      </w:pPr>
      <w:r>
        <w:rPr>
          <w:rStyle w:val="50"/>
          <w:rFonts w:ascii="仿宋" w:hAnsi="仿宋" w:eastAsia="仿宋"/>
          <w:b w:val="0"/>
          <w:i w:val="0"/>
          <w:caps w:val="0"/>
          <w:color w:val="auto"/>
          <w:spacing w:val="0"/>
          <w:w w:val="100"/>
          <w:kern w:val="2"/>
          <w:sz w:val="32"/>
          <w:szCs w:val="32"/>
          <w:lang w:val="en-US" w:eastAsia="zh-CN" w:bidi="ar-SA"/>
        </w:rPr>
        <w:t>项目联系人：</w:t>
      </w:r>
      <w:r>
        <w:rPr>
          <w:rStyle w:val="50"/>
          <w:rFonts w:hint="eastAsia" w:ascii="仿宋" w:hAnsi="仿宋" w:eastAsia="仿宋"/>
          <w:b w:val="0"/>
          <w:i w:val="0"/>
          <w:caps w:val="0"/>
          <w:color w:val="auto"/>
          <w:spacing w:val="0"/>
          <w:w w:val="100"/>
          <w:kern w:val="2"/>
          <w:sz w:val="32"/>
          <w:szCs w:val="32"/>
          <w:lang w:val="en-US" w:eastAsia="zh-CN" w:bidi="ar-SA"/>
        </w:rPr>
        <w:t>尹成龙</w:t>
      </w:r>
      <w:bookmarkStart w:id="208" w:name="_GoBack"/>
      <w:bookmarkEnd w:id="208"/>
    </w:p>
    <w:p w14:paraId="108556F8">
      <w:pPr>
        <w:snapToGrid/>
        <w:spacing w:before="0" w:beforeAutospacing="0" w:after="0" w:afterAutospacing="0" w:line="360" w:lineRule="auto"/>
        <w:ind w:firstLine="960" w:firstLineChars="300"/>
        <w:jc w:val="both"/>
        <w:textAlignment w:val="baseline"/>
        <w:rPr>
          <w:rFonts w:asciiTheme="minorEastAsia" w:hAnsiTheme="minorEastAsia" w:eastAsiaTheme="minorEastAsia" w:cstheme="minorEastAsia"/>
          <w:b/>
          <w:bCs/>
          <w:color w:val="auto"/>
          <w:sz w:val="32"/>
          <w:szCs w:val="32"/>
        </w:rPr>
      </w:pPr>
      <w:r>
        <w:rPr>
          <w:rStyle w:val="50"/>
          <w:rFonts w:ascii="仿宋" w:hAnsi="仿宋" w:eastAsia="仿宋"/>
          <w:b w:val="0"/>
          <w:i w:val="0"/>
          <w:caps w:val="0"/>
          <w:color w:val="auto"/>
          <w:spacing w:val="0"/>
          <w:w w:val="100"/>
          <w:kern w:val="2"/>
          <w:sz w:val="32"/>
          <w:szCs w:val="32"/>
          <w:lang w:val="en-US" w:eastAsia="zh-CN" w:bidi="ar-SA"/>
        </w:rPr>
        <w:t>电　　 话：</w:t>
      </w:r>
      <w:bookmarkEnd w:id="8"/>
      <w:bookmarkEnd w:id="40"/>
      <w:bookmarkEnd w:id="41"/>
      <w:bookmarkEnd w:id="42"/>
      <w:bookmarkEnd w:id="43"/>
      <w:r>
        <w:rPr>
          <w:rStyle w:val="50"/>
          <w:rFonts w:hint="eastAsia" w:ascii="仿宋" w:hAnsi="仿宋" w:eastAsia="仿宋"/>
          <w:b w:val="0"/>
          <w:i w:val="0"/>
          <w:caps w:val="0"/>
          <w:color w:val="auto"/>
          <w:spacing w:val="0"/>
          <w:w w:val="100"/>
          <w:kern w:val="2"/>
          <w:sz w:val="32"/>
          <w:szCs w:val="32"/>
          <w:lang w:val="en-US" w:eastAsia="zh-CN" w:bidi="ar-SA"/>
        </w:rPr>
        <w:t>15584565977</w:t>
      </w:r>
      <w:r>
        <w:rPr>
          <w:rFonts w:hint="eastAsia" w:asciiTheme="minorEastAsia" w:hAnsiTheme="minorEastAsia" w:eastAsiaTheme="minorEastAsia" w:cstheme="minorEastAsia"/>
          <w:b/>
          <w:bCs/>
          <w:color w:val="auto"/>
          <w:sz w:val="32"/>
          <w:szCs w:val="32"/>
        </w:rPr>
        <w:br w:type="page"/>
      </w:r>
    </w:p>
    <w:p w14:paraId="2AB61F1A">
      <w:pPr>
        <w:spacing w:line="320" w:lineRule="atLeast"/>
        <w:ind w:right="-36"/>
        <w:jc w:val="center"/>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rPr>
        <w:t>第二篇  服务商须知</w:t>
      </w:r>
    </w:p>
    <w:p w14:paraId="5D2E3642">
      <w:pPr>
        <w:spacing w:line="320" w:lineRule="atLeast"/>
        <w:ind w:right="-36"/>
        <w:jc w:val="center"/>
        <w:rPr>
          <w:rFonts w:asciiTheme="minorEastAsia" w:hAnsiTheme="minorEastAsia" w:eastAsiaTheme="minorEastAsia" w:cstheme="minorEastAsia"/>
          <w:b/>
          <w:bCs/>
          <w:color w:val="auto"/>
          <w:sz w:val="32"/>
          <w:szCs w:val="32"/>
        </w:rPr>
      </w:pPr>
    </w:p>
    <w:p w14:paraId="5859D9B3">
      <w:pPr>
        <w:spacing w:line="320" w:lineRule="atLeast"/>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目录</w:t>
      </w:r>
    </w:p>
    <w:p w14:paraId="24889F2B">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A</w:t>
      </w:r>
      <w:r>
        <w:rPr>
          <w:rFonts w:hint="eastAsia" w:asciiTheme="minorEastAsia" w:hAnsiTheme="minorEastAsia" w:eastAsiaTheme="minorEastAsia" w:cstheme="minorEastAsia"/>
          <w:b/>
          <w:bCs/>
          <w:color w:val="auto"/>
        </w:rPr>
        <w:t>总则</w:t>
      </w:r>
    </w:p>
    <w:p w14:paraId="5EE62442">
      <w:pPr>
        <w:spacing w:line="320" w:lineRule="atLeast"/>
        <w:ind w:left="397"/>
        <w:rPr>
          <w:rFonts w:asciiTheme="minorEastAsia" w:hAnsiTheme="minorEastAsia" w:eastAsiaTheme="minorEastAsia" w:cstheme="minorEastAsia"/>
          <w:color w:val="auto"/>
        </w:rPr>
      </w:pPr>
      <w:bookmarkStart w:id="44" w:name="_Hlt75710482"/>
      <w:r>
        <w:rPr>
          <w:rFonts w:hint="eastAsia" w:asciiTheme="minorEastAsia" w:hAnsiTheme="minorEastAsia" w:eastAsiaTheme="minorEastAsia" w:cstheme="minorEastAsia"/>
          <w:color w:val="auto"/>
        </w:rPr>
        <w:t xml:space="preserve">1 </w:t>
      </w:r>
      <w:r>
        <w:rPr>
          <w:color w:val="auto"/>
        </w:rPr>
        <w:fldChar w:fldCharType="begin"/>
      </w:r>
      <w:r>
        <w:rPr>
          <w:color w:val="auto"/>
        </w:rPr>
        <w:instrText xml:space="preserve"> HYPERLINK \l "_Hlk35573614" \s "1,2069,2073,0,,资金来源" </w:instrText>
      </w:r>
      <w:r>
        <w:rPr>
          <w:color w:val="auto"/>
        </w:rPr>
        <w:fldChar w:fldCharType="separate"/>
      </w:r>
      <w:r>
        <w:rPr>
          <w:rStyle w:val="29"/>
          <w:rFonts w:hint="eastAsia" w:asciiTheme="minorEastAsia" w:hAnsiTheme="minorEastAsia" w:eastAsiaTheme="minorEastAsia" w:cstheme="minorEastAsia"/>
          <w:color w:val="auto"/>
        </w:rPr>
        <w:t>资金来源</w:t>
      </w:r>
      <w:r>
        <w:rPr>
          <w:rStyle w:val="29"/>
          <w:rFonts w:hint="eastAsia" w:asciiTheme="minorEastAsia" w:hAnsiTheme="minorEastAsia" w:eastAsiaTheme="minorEastAsia" w:cstheme="minorEastAsia"/>
          <w:color w:val="auto"/>
        </w:rPr>
        <w:fldChar w:fldCharType="end"/>
      </w:r>
      <w:bookmarkEnd w:id="44"/>
    </w:p>
    <w:p w14:paraId="418F24EC">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 </w:t>
      </w:r>
      <w:r>
        <w:rPr>
          <w:color w:val="auto"/>
        </w:rPr>
        <w:fldChar w:fldCharType="begin"/>
      </w:r>
      <w:r>
        <w:rPr>
          <w:color w:val="auto"/>
        </w:rPr>
        <w:instrText xml:space="preserve"> HYPERLINK \l "_Hlk35573643" \s "1,2155,2161,0,,合格的投标人" </w:instrText>
      </w:r>
      <w:r>
        <w:rPr>
          <w:color w:val="auto"/>
        </w:rPr>
        <w:fldChar w:fldCharType="separate"/>
      </w:r>
      <w:r>
        <w:rPr>
          <w:rStyle w:val="29"/>
          <w:rFonts w:hint="eastAsia" w:asciiTheme="minorEastAsia" w:hAnsiTheme="minorEastAsia" w:eastAsiaTheme="minorEastAsia" w:cstheme="minorEastAsia"/>
          <w:color w:val="auto"/>
        </w:rPr>
        <w:t>合格</w:t>
      </w:r>
      <w:bookmarkStart w:id="45" w:name="_Hlt75710521"/>
      <w:r>
        <w:rPr>
          <w:rStyle w:val="29"/>
          <w:rFonts w:hint="eastAsia" w:asciiTheme="minorEastAsia" w:hAnsiTheme="minorEastAsia" w:eastAsiaTheme="minorEastAsia" w:cstheme="minorEastAsia"/>
          <w:color w:val="auto"/>
        </w:rPr>
        <w:t>的</w:t>
      </w:r>
      <w:bookmarkEnd w:id="45"/>
      <w:r>
        <w:rPr>
          <w:rStyle w:val="29"/>
          <w:rFonts w:hint="eastAsia" w:asciiTheme="minorEastAsia" w:hAnsiTheme="minorEastAsia" w:eastAsiaTheme="minorEastAsia" w:cstheme="minorEastAsia"/>
          <w:color w:val="auto"/>
        </w:rPr>
        <w:t>服务商</w:t>
      </w:r>
      <w:r>
        <w:rPr>
          <w:rStyle w:val="29"/>
          <w:rFonts w:hint="eastAsia" w:asciiTheme="minorEastAsia" w:hAnsiTheme="minorEastAsia" w:eastAsiaTheme="minorEastAsia" w:cstheme="minorEastAsia"/>
          <w:color w:val="auto"/>
        </w:rPr>
        <w:fldChar w:fldCharType="end"/>
      </w:r>
    </w:p>
    <w:p w14:paraId="582BF2EA">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 </w:t>
      </w:r>
      <w:r>
        <w:rPr>
          <w:color w:val="auto"/>
        </w:rPr>
        <w:fldChar w:fldCharType="begin"/>
      </w:r>
      <w:r>
        <w:rPr>
          <w:color w:val="auto"/>
        </w:rPr>
        <w:instrText xml:space="preserve"> HYPERLINK \l "_Hlk35574026" \s "1,2304,2312,0,,合格的货物和服务" </w:instrText>
      </w:r>
      <w:r>
        <w:rPr>
          <w:color w:val="auto"/>
        </w:rPr>
        <w:fldChar w:fldCharType="separate"/>
      </w:r>
      <w:r>
        <w:rPr>
          <w:rStyle w:val="29"/>
          <w:rFonts w:hint="eastAsia" w:asciiTheme="minorEastAsia" w:hAnsiTheme="minorEastAsia" w:eastAsiaTheme="minorEastAsia" w:cstheme="minorEastAsia"/>
          <w:color w:val="auto"/>
        </w:rPr>
        <w:t>合格</w:t>
      </w:r>
      <w:bookmarkStart w:id="46" w:name="_Hlt75710535"/>
      <w:r>
        <w:rPr>
          <w:rStyle w:val="29"/>
          <w:rFonts w:hint="eastAsia" w:asciiTheme="minorEastAsia" w:hAnsiTheme="minorEastAsia" w:eastAsiaTheme="minorEastAsia" w:cstheme="minorEastAsia"/>
          <w:color w:val="auto"/>
        </w:rPr>
        <w:t>的</w:t>
      </w:r>
      <w:bookmarkEnd w:id="46"/>
      <w:r>
        <w:rPr>
          <w:rStyle w:val="29"/>
          <w:rFonts w:hint="eastAsia" w:asciiTheme="minorEastAsia" w:hAnsiTheme="minorEastAsia" w:eastAsiaTheme="minorEastAsia" w:cstheme="minorEastAsia"/>
          <w:color w:val="auto"/>
        </w:rPr>
        <w:t>服务</w:t>
      </w:r>
      <w:r>
        <w:rPr>
          <w:rStyle w:val="29"/>
          <w:rFonts w:hint="eastAsia" w:asciiTheme="minorEastAsia" w:hAnsiTheme="minorEastAsia" w:eastAsiaTheme="minorEastAsia" w:cstheme="minorEastAsia"/>
          <w:color w:val="auto"/>
        </w:rPr>
        <w:fldChar w:fldCharType="end"/>
      </w:r>
    </w:p>
    <w:p w14:paraId="42A268D1">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4 </w:t>
      </w:r>
      <w:r>
        <w:rPr>
          <w:color w:val="auto"/>
        </w:rPr>
        <w:fldChar w:fldCharType="begin"/>
      </w:r>
      <w:r>
        <w:rPr>
          <w:color w:val="auto"/>
        </w:rPr>
        <w:instrText xml:space="preserve"> HYPERLINK \l "_Hlk35574045" \s "1,2517,2521,0,,投标费用" </w:instrText>
      </w:r>
      <w:r>
        <w:rPr>
          <w:color w:val="auto"/>
        </w:rPr>
        <w:fldChar w:fldCharType="separate"/>
      </w:r>
      <w:r>
        <w:rPr>
          <w:rStyle w:val="29"/>
          <w:rFonts w:hint="eastAsia" w:asciiTheme="minorEastAsia" w:hAnsiTheme="minorEastAsia" w:eastAsiaTheme="minorEastAsia" w:cstheme="minorEastAsia"/>
          <w:color w:val="auto"/>
        </w:rPr>
        <w:t>磋商费用</w:t>
      </w:r>
      <w:r>
        <w:rPr>
          <w:rStyle w:val="29"/>
          <w:rFonts w:hint="eastAsia" w:asciiTheme="minorEastAsia" w:hAnsiTheme="minorEastAsia" w:eastAsiaTheme="minorEastAsia" w:cstheme="minorEastAsia"/>
          <w:color w:val="auto"/>
        </w:rPr>
        <w:fldChar w:fldCharType="end"/>
      </w:r>
    </w:p>
    <w:p w14:paraId="450AF838">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B</w:t>
      </w:r>
      <w:r>
        <w:rPr>
          <w:rFonts w:hint="eastAsia" w:asciiTheme="minorEastAsia" w:hAnsiTheme="minorEastAsia" w:eastAsiaTheme="minorEastAsia" w:cstheme="minorEastAsia"/>
          <w:b/>
          <w:bCs/>
          <w:color w:val="auto"/>
        </w:rPr>
        <w:t>磋商文件</w:t>
      </w:r>
    </w:p>
    <w:p w14:paraId="705E1BFB">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5 </w:t>
      </w:r>
      <w:r>
        <w:rPr>
          <w:color w:val="auto"/>
        </w:rPr>
        <w:fldChar w:fldCharType="begin"/>
      </w:r>
      <w:r>
        <w:rPr>
          <w:color w:val="auto"/>
        </w:rPr>
        <w:instrText xml:space="preserve"> HYPERLINK \l "_Hlk35574788" \s "1,2644,2651,0,,招标文件的构成" </w:instrText>
      </w:r>
      <w:r>
        <w:rPr>
          <w:color w:val="auto"/>
        </w:rPr>
        <w:fldChar w:fldCharType="separate"/>
      </w:r>
      <w:r>
        <w:rPr>
          <w:rFonts w:hint="eastAsia" w:asciiTheme="minorEastAsia" w:hAnsiTheme="minorEastAsia" w:eastAsiaTheme="minorEastAsia" w:cstheme="minorEastAsia"/>
          <w:color w:val="auto"/>
        </w:rPr>
        <w:t>磋商文件的构成</w:t>
      </w:r>
      <w:r>
        <w:rPr>
          <w:rFonts w:hint="eastAsia" w:asciiTheme="minorEastAsia" w:hAnsiTheme="minorEastAsia" w:eastAsiaTheme="minorEastAsia" w:cstheme="minorEastAsia"/>
          <w:color w:val="auto"/>
        </w:rPr>
        <w:fldChar w:fldCharType="end"/>
      </w:r>
    </w:p>
    <w:p w14:paraId="5571B513">
      <w:pPr>
        <w:spacing w:line="320" w:lineRule="atLeast"/>
        <w:ind w:left="397" w:leftChars="189"/>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6 </w:t>
      </w:r>
      <w:r>
        <w:rPr>
          <w:color w:val="auto"/>
        </w:rPr>
        <w:fldChar w:fldCharType="begin"/>
      </w:r>
      <w:r>
        <w:rPr>
          <w:color w:val="auto"/>
        </w:rPr>
        <w:instrText xml:space="preserve"> HYPERLINK \l "_Hlk35574868" \s "1,2921,2928,0,,招标文件的澄清" </w:instrText>
      </w:r>
      <w:r>
        <w:rPr>
          <w:color w:val="auto"/>
        </w:rPr>
        <w:fldChar w:fldCharType="separate"/>
      </w:r>
      <w:r>
        <w:rPr>
          <w:rFonts w:hint="eastAsia" w:asciiTheme="minorEastAsia" w:hAnsiTheme="minorEastAsia" w:eastAsiaTheme="minorEastAsia" w:cstheme="minorEastAsia"/>
          <w:color w:val="auto"/>
        </w:rPr>
        <w:t>磋商文件</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的澄清</w:t>
      </w:r>
    </w:p>
    <w:p w14:paraId="6C656BFA">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7 </w:t>
      </w:r>
      <w:r>
        <w:rPr>
          <w:color w:val="auto"/>
        </w:rPr>
        <w:fldChar w:fldCharType="begin"/>
      </w:r>
      <w:r>
        <w:rPr>
          <w:color w:val="auto"/>
        </w:rPr>
        <w:instrText xml:space="preserve"> HYPERLINK \l "_Hlk35575107" \s "1,3133,3140,0,,招标文件的修改" </w:instrText>
      </w:r>
      <w:r>
        <w:rPr>
          <w:color w:val="auto"/>
        </w:rPr>
        <w:fldChar w:fldCharType="separate"/>
      </w:r>
      <w:r>
        <w:rPr>
          <w:rFonts w:hint="eastAsia" w:asciiTheme="minorEastAsia" w:hAnsiTheme="minorEastAsia" w:eastAsiaTheme="minorEastAsia" w:cstheme="minorEastAsia"/>
          <w:color w:val="auto"/>
        </w:rPr>
        <w:t>磋商文件的修改</w:t>
      </w:r>
      <w:r>
        <w:rPr>
          <w:rFonts w:hint="eastAsia" w:asciiTheme="minorEastAsia" w:hAnsiTheme="minorEastAsia" w:eastAsiaTheme="minorEastAsia" w:cstheme="minorEastAsia"/>
          <w:color w:val="auto"/>
        </w:rPr>
        <w:fldChar w:fldCharType="end"/>
      </w:r>
    </w:p>
    <w:p w14:paraId="4F066A2D">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C</w:t>
      </w:r>
      <w:r>
        <w:rPr>
          <w:rFonts w:hint="eastAsia" w:asciiTheme="minorEastAsia" w:hAnsiTheme="minorEastAsia" w:eastAsiaTheme="minorEastAsia" w:cstheme="minorEastAsia"/>
          <w:b/>
          <w:bCs/>
          <w:color w:val="auto"/>
        </w:rPr>
        <w:t>响应文件的编制</w:t>
      </w:r>
    </w:p>
    <w:p w14:paraId="12266A98">
      <w:pPr>
        <w:spacing w:line="320" w:lineRule="atLeast"/>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8 </w:t>
      </w:r>
      <w:r>
        <w:rPr>
          <w:color w:val="auto"/>
        </w:rPr>
        <w:fldChar w:fldCharType="begin"/>
      </w:r>
      <w:r>
        <w:rPr>
          <w:color w:val="auto"/>
        </w:rPr>
        <w:instrText xml:space="preserve"> HYPERLINK \l "_Hlk35575529" \s "1,3377,3384,0,,投标使用的文字" </w:instrText>
      </w:r>
      <w:r>
        <w:rPr>
          <w:color w:val="auto"/>
        </w:rPr>
        <w:fldChar w:fldCharType="separate"/>
      </w:r>
      <w:r>
        <w:rPr>
          <w:rFonts w:hint="eastAsia" w:asciiTheme="minorEastAsia" w:hAnsiTheme="minorEastAsia" w:eastAsiaTheme="minorEastAsia" w:cstheme="minorEastAsia"/>
          <w:color w:val="auto"/>
        </w:rPr>
        <w:t>磋商使用的文字</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和单位</w:t>
      </w:r>
    </w:p>
    <w:p w14:paraId="6CEECA53">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9 </w:t>
      </w:r>
      <w:r>
        <w:rPr>
          <w:color w:val="auto"/>
        </w:rPr>
        <w:fldChar w:fldCharType="begin"/>
      </w:r>
      <w:r>
        <w:rPr>
          <w:color w:val="auto"/>
        </w:rPr>
        <w:instrText xml:space="preserve"> HYPERLINK \l "_Hlk35575566" \s "1,3466,3473,0,,投标文件的组成" </w:instrText>
      </w:r>
      <w:r>
        <w:rPr>
          <w:color w:val="auto"/>
        </w:rPr>
        <w:fldChar w:fldCharType="separate"/>
      </w:r>
      <w:r>
        <w:rPr>
          <w:rFonts w:hint="eastAsia" w:asciiTheme="minorEastAsia" w:hAnsiTheme="minorEastAsia" w:eastAsiaTheme="minorEastAsia" w:cstheme="minorEastAsia"/>
          <w:color w:val="auto"/>
        </w:rPr>
        <w:t>响应文件的组成</w:t>
      </w:r>
      <w:r>
        <w:rPr>
          <w:rFonts w:hint="eastAsia" w:asciiTheme="minorEastAsia" w:hAnsiTheme="minorEastAsia" w:eastAsiaTheme="minorEastAsia" w:cstheme="minorEastAsia"/>
          <w:color w:val="auto"/>
        </w:rPr>
        <w:fldChar w:fldCharType="end"/>
      </w:r>
    </w:p>
    <w:p w14:paraId="58B9328A">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10 </w:t>
      </w:r>
      <w:r>
        <w:rPr>
          <w:color w:val="auto"/>
        </w:rPr>
        <w:fldChar w:fldCharType="begin"/>
      </w:r>
      <w:r>
        <w:rPr>
          <w:color w:val="auto"/>
        </w:rPr>
        <w:instrText xml:space="preserve"> HYPERLINK \l "_Hlk35575734" \s "1,3721,3726,0,,投标书格式" </w:instrText>
      </w:r>
      <w:r>
        <w:rPr>
          <w:color w:val="auto"/>
        </w:rPr>
        <w:fldChar w:fldCharType="separate"/>
      </w:r>
      <w:r>
        <w:rPr>
          <w:rFonts w:hint="eastAsia" w:asciiTheme="minorEastAsia" w:hAnsiTheme="minorEastAsia" w:eastAsiaTheme="minorEastAsia" w:cstheme="minorEastAsia"/>
          <w:color w:val="auto"/>
        </w:rPr>
        <w:t>响应文件格式</w:t>
      </w:r>
      <w:r>
        <w:rPr>
          <w:rFonts w:hint="eastAsia" w:asciiTheme="minorEastAsia" w:hAnsiTheme="minorEastAsia" w:eastAsiaTheme="minorEastAsia" w:cstheme="minorEastAsia"/>
          <w:color w:val="auto"/>
        </w:rPr>
        <w:fldChar w:fldCharType="end"/>
      </w:r>
    </w:p>
    <w:p w14:paraId="1693147C">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11 </w:t>
      </w:r>
      <w:r>
        <w:rPr>
          <w:color w:val="auto"/>
        </w:rPr>
        <w:fldChar w:fldCharType="begin"/>
      </w:r>
      <w:r>
        <w:rPr>
          <w:color w:val="auto"/>
        </w:rPr>
        <w:instrText xml:space="preserve"> HYPERLINK \l "_Hlk35576117" \s "1,3911,3915,0,,投标报价" </w:instrText>
      </w:r>
      <w:r>
        <w:rPr>
          <w:color w:val="auto"/>
        </w:rPr>
        <w:fldChar w:fldCharType="separate"/>
      </w:r>
      <w:r>
        <w:rPr>
          <w:rFonts w:hint="eastAsia" w:asciiTheme="minorEastAsia" w:hAnsiTheme="minorEastAsia" w:eastAsiaTheme="minorEastAsia" w:cstheme="minorEastAsia"/>
          <w:color w:val="auto"/>
        </w:rPr>
        <w:t>报价</w:t>
      </w:r>
      <w:r>
        <w:rPr>
          <w:rFonts w:hint="eastAsia" w:asciiTheme="minorEastAsia" w:hAnsiTheme="minorEastAsia" w:eastAsiaTheme="minorEastAsia" w:cstheme="minorEastAsia"/>
          <w:color w:val="auto"/>
        </w:rPr>
        <w:fldChar w:fldCharType="end"/>
      </w:r>
    </w:p>
    <w:p w14:paraId="1A7299E8">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12 </w:t>
      </w:r>
      <w:r>
        <w:rPr>
          <w:color w:val="auto"/>
        </w:rPr>
        <w:fldChar w:fldCharType="begin"/>
      </w:r>
      <w:r>
        <w:rPr>
          <w:color w:val="auto"/>
        </w:rPr>
        <w:instrText xml:space="preserve"> HYPERLINK \l "_Hlk35576152" \s "1,4299,4303,0,,投标货币" </w:instrText>
      </w:r>
      <w:r>
        <w:rPr>
          <w:color w:val="auto"/>
        </w:rPr>
        <w:fldChar w:fldCharType="separate"/>
      </w:r>
      <w:r>
        <w:rPr>
          <w:rFonts w:hint="eastAsia" w:asciiTheme="minorEastAsia" w:hAnsiTheme="minorEastAsia" w:eastAsiaTheme="minorEastAsia" w:cstheme="minorEastAsia"/>
          <w:color w:val="auto"/>
        </w:rPr>
        <w:t>货币</w:t>
      </w:r>
      <w:r>
        <w:rPr>
          <w:rFonts w:hint="eastAsia" w:asciiTheme="minorEastAsia" w:hAnsiTheme="minorEastAsia" w:eastAsiaTheme="minorEastAsia" w:cstheme="minorEastAsia"/>
          <w:color w:val="auto"/>
        </w:rPr>
        <w:fldChar w:fldCharType="end"/>
      </w:r>
    </w:p>
    <w:p w14:paraId="7C29841E">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13 </w:t>
      </w:r>
      <w:r>
        <w:rPr>
          <w:color w:val="auto"/>
        </w:rPr>
        <w:fldChar w:fldCharType="begin"/>
      </w:r>
      <w:r>
        <w:rPr>
          <w:color w:val="auto"/>
        </w:rPr>
        <w:instrText xml:space="preserve"> HYPERLINK \l "_Hlk35576200" \s "1,4410,4425,0,,投标人的合格性和资格的声明文件" </w:instrText>
      </w:r>
      <w:r>
        <w:rPr>
          <w:color w:val="auto"/>
        </w:rPr>
        <w:fldChar w:fldCharType="separate"/>
      </w:r>
      <w:r>
        <w:rPr>
          <w:rFonts w:hint="eastAsia" w:asciiTheme="minorEastAsia" w:hAnsiTheme="minorEastAsia" w:eastAsiaTheme="minorEastAsia" w:cstheme="minorEastAsia"/>
          <w:color w:val="auto"/>
        </w:rPr>
        <w:t>服务商的合格性和资格证明文件</w:t>
      </w:r>
      <w:r>
        <w:rPr>
          <w:rFonts w:hint="eastAsia" w:asciiTheme="minorEastAsia" w:hAnsiTheme="minorEastAsia" w:eastAsiaTheme="minorEastAsia" w:cstheme="minorEastAsia"/>
          <w:color w:val="auto"/>
        </w:rPr>
        <w:fldChar w:fldCharType="end"/>
      </w:r>
    </w:p>
    <w:p w14:paraId="2656D981">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14 </w:t>
      </w:r>
      <w:r>
        <w:rPr>
          <w:color w:val="auto"/>
        </w:rPr>
        <w:fldChar w:fldCharType="begin"/>
      </w:r>
      <w:r>
        <w:rPr>
          <w:color w:val="auto"/>
        </w:rPr>
        <w:instrText xml:space="preserve"> HYPERLINK \l "_Hlk35576351" \s "1,4692,4712,0,,货物的合格性并符合招标文件规定的声明文件" </w:instrText>
      </w:r>
      <w:r>
        <w:rPr>
          <w:color w:val="auto"/>
        </w:rPr>
        <w:fldChar w:fldCharType="separate"/>
      </w:r>
      <w:r>
        <w:rPr>
          <w:rFonts w:hint="eastAsia" w:asciiTheme="minorEastAsia" w:hAnsiTheme="minorEastAsia" w:eastAsiaTheme="minorEastAsia" w:cstheme="minorEastAsia"/>
          <w:color w:val="auto"/>
        </w:rPr>
        <w:t>服务的合格性并符合磋商文件规定的证明文件</w:t>
      </w:r>
      <w:r>
        <w:rPr>
          <w:rFonts w:hint="eastAsia" w:asciiTheme="minorEastAsia" w:hAnsiTheme="minorEastAsia" w:eastAsiaTheme="minorEastAsia" w:cstheme="minorEastAsia"/>
          <w:color w:val="auto"/>
        </w:rPr>
        <w:fldChar w:fldCharType="end"/>
      </w:r>
    </w:p>
    <w:p w14:paraId="6D306F80">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15 </w:t>
      </w:r>
      <w:r>
        <w:rPr>
          <w:color w:val="auto"/>
        </w:rPr>
        <w:fldChar w:fldCharType="begin"/>
      </w:r>
      <w:r>
        <w:rPr>
          <w:color w:val="auto"/>
        </w:rPr>
        <w:instrText xml:space="preserve"> HYPERLINK \l "_Hlk35576541" \s "1,5183,5188,0,,投标保证金" </w:instrText>
      </w:r>
      <w:r>
        <w:rPr>
          <w:color w:val="auto"/>
        </w:rPr>
        <w:fldChar w:fldCharType="separate"/>
      </w:r>
      <w:r>
        <w:rPr>
          <w:rFonts w:hint="eastAsia" w:asciiTheme="minorEastAsia" w:hAnsiTheme="minorEastAsia" w:eastAsiaTheme="minorEastAsia" w:cstheme="minorEastAsia"/>
          <w:color w:val="auto"/>
        </w:rPr>
        <w:t>磋商保证金</w:t>
      </w:r>
      <w:r>
        <w:rPr>
          <w:rFonts w:hint="eastAsia" w:asciiTheme="minorEastAsia" w:hAnsiTheme="minorEastAsia" w:eastAsiaTheme="minorEastAsia" w:cstheme="minorEastAsia"/>
          <w:color w:val="auto"/>
        </w:rPr>
        <w:fldChar w:fldCharType="end"/>
      </w:r>
    </w:p>
    <w:p w14:paraId="482B6F7A">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16 </w:t>
      </w:r>
      <w:r>
        <w:rPr>
          <w:color w:val="auto"/>
        </w:rPr>
        <w:fldChar w:fldCharType="begin"/>
      </w:r>
      <w:r>
        <w:rPr>
          <w:color w:val="auto"/>
        </w:rPr>
        <w:instrText xml:space="preserve"> HYPERLINK \l "_Hlk35576793" \s "1,5712,5717,0,,投标有效期" </w:instrText>
      </w:r>
      <w:r>
        <w:rPr>
          <w:color w:val="auto"/>
        </w:rPr>
        <w:fldChar w:fldCharType="separate"/>
      </w:r>
      <w:r>
        <w:rPr>
          <w:rFonts w:hint="eastAsia" w:asciiTheme="minorEastAsia" w:hAnsiTheme="minorEastAsia" w:eastAsiaTheme="minorEastAsia" w:cstheme="minorEastAsia"/>
          <w:color w:val="auto"/>
        </w:rPr>
        <w:t>响应文件有效期</w:t>
      </w:r>
      <w:r>
        <w:rPr>
          <w:rFonts w:hint="eastAsia" w:asciiTheme="minorEastAsia" w:hAnsiTheme="minorEastAsia" w:eastAsiaTheme="minorEastAsia" w:cstheme="minorEastAsia"/>
          <w:color w:val="auto"/>
        </w:rPr>
        <w:fldChar w:fldCharType="end"/>
      </w:r>
    </w:p>
    <w:p w14:paraId="61162FDE">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17 </w:t>
      </w:r>
      <w:r>
        <w:rPr>
          <w:color w:val="auto"/>
        </w:rPr>
        <w:fldChar w:fldCharType="begin"/>
      </w:r>
      <w:r>
        <w:rPr>
          <w:color w:val="auto"/>
        </w:rPr>
        <w:instrText xml:space="preserve"> HYPERLINK \l "_Hlk35576843" \s "1,5965,5975,0,,投标文件的式样和签署" </w:instrText>
      </w:r>
      <w:r>
        <w:rPr>
          <w:color w:val="auto"/>
        </w:rPr>
        <w:fldChar w:fldCharType="separate"/>
      </w:r>
      <w:r>
        <w:rPr>
          <w:rFonts w:hint="eastAsia" w:asciiTheme="minorEastAsia" w:hAnsiTheme="minorEastAsia" w:eastAsiaTheme="minorEastAsia" w:cstheme="minorEastAsia"/>
          <w:color w:val="auto"/>
        </w:rPr>
        <w:t>响应文件的式样和签署</w:t>
      </w:r>
      <w:r>
        <w:rPr>
          <w:rFonts w:hint="eastAsia" w:asciiTheme="minorEastAsia" w:hAnsiTheme="minorEastAsia" w:eastAsiaTheme="minorEastAsia" w:cstheme="minorEastAsia"/>
          <w:color w:val="auto"/>
        </w:rPr>
        <w:fldChar w:fldCharType="end"/>
      </w:r>
    </w:p>
    <w:p w14:paraId="53CE086F">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D</w:t>
      </w:r>
      <w:r>
        <w:rPr>
          <w:rFonts w:hint="eastAsia" w:asciiTheme="minorEastAsia" w:hAnsiTheme="minorEastAsia" w:eastAsiaTheme="minorEastAsia" w:cstheme="minorEastAsia"/>
          <w:b/>
          <w:bCs/>
          <w:color w:val="auto"/>
        </w:rPr>
        <w:t>响应文件的递交</w:t>
      </w:r>
    </w:p>
    <w:p w14:paraId="230F8891">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18 </w:t>
      </w:r>
      <w:r>
        <w:rPr>
          <w:color w:val="auto"/>
        </w:rPr>
        <w:fldChar w:fldCharType="begin"/>
      </w:r>
      <w:r>
        <w:rPr>
          <w:color w:val="auto"/>
        </w:rPr>
        <w:instrText xml:space="preserve"> HYPERLINK \l "_Hlk35576100" \s "1,5937,5947,0,,投标文件的密封和标记" </w:instrText>
      </w:r>
      <w:r>
        <w:rPr>
          <w:color w:val="auto"/>
        </w:rPr>
        <w:fldChar w:fldCharType="separate"/>
      </w:r>
      <w:r>
        <w:rPr>
          <w:rFonts w:hint="eastAsia" w:asciiTheme="minorEastAsia" w:hAnsiTheme="minorEastAsia" w:eastAsiaTheme="minorEastAsia" w:cstheme="minorEastAsia"/>
          <w:color w:val="auto"/>
        </w:rPr>
        <w:t>响应文件的密封和标记</w:t>
      </w:r>
      <w:r>
        <w:rPr>
          <w:rFonts w:hint="eastAsia" w:asciiTheme="minorEastAsia" w:hAnsiTheme="minorEastAsia" w:eastAsiaTheme="minorEastAsia" w:cstheme="minorEastAsia"/>
          <w:color w:val="auto"/>
        </w:rPr>
        <w:fldChar w:fldCharType="end"/>
      </w:r>
    </w:p>
    <w:p w14:paraId="50D6278F">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19 </w:t>
      </w:r>
      <w:r>
        <w:rPr>
          <w:color w:val="auto"/>
        </w:rPr>
        <w:fldChar w:fldCharType="begin"/>
      </w:r>
      <w:r>
        <w:rPr>
          <w:color w:val="auto"/>
        </w:rPr>
        <w:instrText xml:space="preserve"> HYPERLINK \l "_Hlk35577008" \s "1,6585,6596,0,,递交投标文件的截止日期" </w:instrText>
      </w:r>
      <w:r>
        <w:rPr>
          <w:color w:val="auto"/>
        </w:rPr>
        <w:fldChar w:fldCharType="separate"/>
      </w:r>
      <w:r>
        <w:rPr>
          <w:rFonts w:hint="eastAsia" w:asciiTheme="minorEastAsia" w:hAnsiTheme="minorEastAsia" w:eastAsiaTheme="minorEastAsia" w:cstheme="minorEastAsia"/>
          <w:color w:val="auto"/>
        </w:rPr>
        <w:t>递交响应文件的截止日期</w:t>
      </w:r>
      <w:r>
        <w:rPr>
          <w:rFonts w:hint="eastAsia" w:asciiTheme="minorEastAsia" w:hAnsiTheme="minorEastAsia" w:eastAsiaTheme="minorEastAsia" w:cstheme="minorEastAsia"/>
          <w:color w:val="auto"/>
        </w:rPr>
        <w:fldChar w:fldCharType="end"/>
      </w:r>
    </w:p>
    <w:p w14:paraId="29F88B50">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20 </w:t>
      </w:r>
      <w:r>
        <w:rPr>
          <w:color w:val="auto"/>
        </w:rPr>
        <w:fldChar w:fldCharType="begin"/>
      </w:r>
      <w:r>
        <w:rPr>
          <w:color w:val="auto"/>
        </w:rPr>
        <w:instrText xml:space="preserve"> HYPERLINK \l "_Hlk35577343" \s "1,6774,6781,0,,迟交的投标文件" </w:instrText>
      </w:r>
      <w:r>
        <w:rPr>
          <w:color w:val="auto"/>
        </w:rPr>
        <w:fldChar w:fldCharType="separate"/>
      </w:r>
      <w:r>
        <w:rPr>
          <w:rFonts w:hint="eastAsia" w:asciiTheme="minorEastAsia" w:hAnsiTheme="minorEastAsia" w:eastAsiaTheme="minorEastAsia" w:cstheme="minorEastAsia"/>
          <w:color w:val="auto"/>
        </w:rPr>
        <w:t>迟交的响应文件</w:t>
      </w:r>
      <w:r>
        <w:rPr>
          <w:rFonts w:hint="eastAsia" w:asciiTheme="minorEastAsia" w:hAnsiTheme="minorEastAsia" w:eastAsiaTheme="minorEastAsia" w:cstheme="minorEastAsia"/>
          <w:color w:val="auto"/>
        </w:rPr>
        <w:fldChar w:fldCharType="end"/>
      </w:r>
    </w:p>
    <w:p w14:paraId="29844254">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21 </w:t>
      </w:r>
      <w:r>
        <w:rPr>
          <w:color w:val="auto"/>
        </w:rPr>
        <w:fldChar w:fldCharType="begin"/>
      </w:r>
      <w:r>
        <w:rPr>
          <w:color w:val="auto"/>
        </w:rPr>
        <w:instrText xml:space="preserve"> HYPERLINK \l "_Hlk35577380" \s "1,6885,6895,0,,投标文件的修改和撤回" </w:instrText>
      </w:r>
      <w:r>
        <w:rPr>
          <w:color w:val="auto"/>
        </w:rPr>
        <w:fldChar w:fldCharType="separate"/>
      </w:r>
      <w:r>
        <w:rPr>
          <w:rFonts w:hint="eastAsia" w:asciiTheme="minorEastAsia" w:hAnsiTheme="minorEastAsia" w:eastAsiaTheme="minorEastAsia" w:cstheme="minorEastAsia"/>
          <w:color w:val="auto"/>
        </w:rPr>
        <w:t>响应文件的修改和撤回</w:t>
      </w:r>
      <w:r>
        <w:rPr>
          <w:rFonts w:hint="eastAsia" w:asciiTheme="minorEastAsia" w:hAnsiTheme="minorEastAsia" w:eastAsiaTheme="minorEastAsia" w:cstheme="minorEastAsia"/>
          <w:color w:val="auto"/>
        </w:rPr>
        <w:fldChar w:fldCharType="end"/>
      </w:r>
    </w:p>
    <w:p w14:paraId="39629693">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E</w:t>
      </w:r>
      <w:r>
        <w:rPr>
          <w:rFonts w:hint="eastAsia" w:asciiTheme="minorEastAsia" w:hAnsiTheme="minorEastAsia" w:eastAsiaTheme="minorEastAsia" w:cstheme="minorEastAsia"/>
          <w:b/>
          <w:bCs/>
          <w:color w:val="auto"/>
        </w:rPr>
        <w:t>响应文件开启与竞争性磋商</w:t>
      </w:r>
    </w:p>
    <w:p w14:paraId="7DAA4F82">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22 </w:t>
      </w:r>
      <w:r>
        <w:rPr>
          <w:color w:val="auto"/>
        </w:rPr>
        <w:fldChar w:fldCharType="begin"/>
      </w:r>
      <w:r>
        <w:rPr>
          <w:color w:val="auto"/>
        </w:rPr>
        <w:instrText xml:space="preserve"> HYPERLINK \l "_Hlk35577538" \s "1,7205,7207,0,,开标" </w:instrText>
      </w:r>
      <w:r>
        <w:rPr>
          <w:color w:val="auto"/>
        </w:rPr>
        <w:fldChar w:fldCharType="separate"/>
      </w:r>
      <w:r>
        <w:rPr>
          <w:rFonts w:hint="eastAsia" w:asciiTheme="minorEastAsia" w:hAnsiTheme="minorEastAsia" w:eastAsiaTheme="minorEastAsia" w:cstheme="minorEastAsia"/>
          <w:color w:val="auto"/>
        </w:rPr>
        <w:t>响应文件开启</w:t>
      </w:r>
      <w:r>
        <w:rPr>
          <w:rFonts w:hint="eastAsia" w:asciiTheme="minorEastAsia" w:hAnsiTheme="minorEastAsia" w:eastAsiaTheme="minorEastAsia" w:cstheme="minorEastAsia"/>
          <w:color w:val="auto"/>
        </w:rPr>
        <w:fldChar w:fldCharType="end"/>
      </w:r>
    </w:p>
    <w:p w14:paraId="44B2A00F">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23 </w:t>
      </w:r>
      <w:r>
        <w:rPr>
          <w:color w:val="auto"/>
        </w:rPr>
        <w:fldChar w:fldCharType="begin"/>
      </w:r>
      <w:r>
        <w:rPr>
          <w:color w:val="auto"/>
        </w:rPr>
        <w:instrText xml:space="preserve"> HYPERLINK \l "_Hlk35577638" \s "1,7477,7485,0,,评标过程的保密性" </w:instrText>
      </w:r>
      <w:r>
        <w:rPr>
          <w:color w:val="auto"/>
        </w:rPr>
        <w:fldChar w:fldCharType="separate"/>
      </w:r>
      <w:r>
        <w:rPr>
          <w:rFonts w:hint="eastAsia" w:asciiTheme="minorEastAsia" w:hAnsiTheme="minorEastAsia" w:eastAsiaTheme="minorEastAsia" w:cstheme="minorEastAsia"/>
          <w:color w:val="auto"/>
        </w:rPr>
        <w:t>评审和磋商过程的保密</w:t>
      </w:r>
      <w:bookmarkStart w:id="47" w:name="_Hlt75758402"/>
      <w:bookmarkStart w:id="48" w:name="_Hlt75758401"/>
      <w:r>
        <w:rPr>
          <w:rFonts w:hint="eastAsia" w:asciiTheme="minorEastAsia" w:hAnsiTheme="minorEastAsia" w:eastAsiaTheme="minorEastAsia" w:cstheme="minorEastAsia"/>
          <w:color w:val="auto"/>
        </w:rPr>
        <w:t>性</w:t>
      </w:r>
      <w:bookmarkEnd w:id="47"/>
      <w:bookmarkEnd w:id="48"/>
      <w:r>
        <w:rPr>
          <w:rFonts w:hint="eastAsia" w:asciiTheme="minorEastAsia" w:hAnsiTheme="minorEastAsia" w:eastAsiaTheme="minorEastAsia" w:cstheme="minorEastAsia"/>
          <w:color w:val="auto"/>
        </w:rPr>
        <w:fldChar w:fldCharType="end"/>
      </w:r>
    </w:p>
    <w:p w14:paraId="5C24513B">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24 </w:t>
      </w:r>
      <w:r>
        <w:rPr>
          <w:color w:val="auto"/>
        </w:rPr>
        <w:fldChar w:fldCharType="begin"/>
      </w:r>
      <w:r>
        <w:rPr>
          <w:color w:val="auto"/>
        </w:rPr>
        <w:instrText xml:space="preserve"> HYPERLINK \l "_Hlk35577653" \s "1,7679,7686,0,,投标文件的澄清" </w:instrText>
      </w:r>
      <w:r>
        <w:rPr>
          <w:color w:val="auto"/>
        </w:rPr>
        <w:fldChar w:fldCharType="separate"/>
      </w:r>
      <w:r>
        <w:rPr>
          <w:rFonts w:hint="eastAsia" w:asciiTheme="minorEastAsia" w:hAnsiTheme="minorEastAsia" w:eastAsiaTheme="minorEastAsia" w:cstheme="minorEastAsia"/>
          <w:color w:val="auto"/>
        </w:rPr>
        <w:t>响应文件的澄清</w:t>
      </w:r>
      <w:r>
        <w:rPr>
          <w:rFonts w:hint="eastAsia" w:asciiTheme="minorEastAsia" w:hAnsiTheme="minorEastAsia" w:eastAsiaTheme="minorEastAsia" w:cstheme="minorEastAsia"/>
          <w:color w:val="auto"/>
        </w:rPr>
        <w:fldChar w:fldCharType="end"/>
      </w:r>
      <w:bookmarkStart w:id="49" w:name="_Hlt35577656"/>
      <w:bookmarkEnd w:id="49"/>
    </w:p>
    <w:p w14:paraId="67EF6728">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25 </w:t>
      </w:r>
      <w:r>
        <w:rPr>
          <w:color w:val="auto"/>
        </w:rPr>
        <w:fldChar w:fldCharType="begin"/>
      </w:r>
      <w:r>
        <w:rPr>
          <w:color w:val="auto"/>
        </w:rPr>
        <w:instrText xml:space="preserve"> HYPERLINK \l "_Hlk35577709" \s "1,7832,7839,0,,投标文件的初审" </w:instrText>
      </w:r>
      <w:r>
        <w:rPr>
          <w:color w:val="auto"/>
        </w:rPr>
        <w:fldChar w:fldCharType="separate"/>
      </w:r>
      <w:r>
        <w:rPr>
          <w:rFonts w:hint="eastAsia" w:asciiTheme="minorEastAsia" w:hAnsiTheme="minorEastAsia" w:eastAsiaTheme="minorEastAsia" w:cstheme="minorEastAsia"/>
          <w:color w:val="auto"/>
        </w:rPr>
        <w:t>响应文件的初审</w:t>
      </w:r>
      <w:r>
        <w:rPr>
          <w:rFonts w:hint="eastAsia" w:asciiTheme="minorEastAsia" w:hAnsiTheme="minorEastAsia" w:eastAsiaTheme="minorEastAsia" w:cstheme="minorEastAsia"/>
          <w:color w:val="auto"/>
        </w:rPr>
        <w:fldChar w:fldCharType="end"/>
      </w:r>
    </w:p>
    <w:p w14:paraId="69BEA9C2">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26 竞争性磋商</w:t>
      </w:r>
    </w:p>
    <w:p w14:paraId="3F7E09E8">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27 评审的原则和标准</w:t>
      </w:r>
    </w:p>
    <w:p w14:paraId="3F167C4A">
      <w:pPr>
        <w:spacing w:line="320" w:lineRule="atLeast"/>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F</w:t>
      </w:r>
      <w:r>
        <w:rPr>
          <w:rFonts w:hint="eastAsia" w:asciiTheme="minorEastAsia" w:hAnsiTheme="minorEastAsia" w:eastAsiaTheme="minorEastAsia" w:cstheme="minorEastAsia"/>
          <w:b/>
          <w:bCs/>
          <w:color w:val="auto"/>
        </w:rPr>
        <w:t>授予合同</w:t>
      </w:r>
    </w:p>
    <w:p w14:paraId="521C9D13">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28 </w:t>
      </w:r>
      <w:r>
        <w:rPr>
          <w:color w:val="auto"/>
        </w:rPr>
        <w:fldChar w:fldCharType="begin"/>
      </w:r>
      <w:r>
        <w:rPr>
          <w:color w:val="auto"/>
        </w:rPr>
        <w:instrText xml:space="preserve"> HYPERLINK \l "_Hlk35578044" \s "1,8747,8754,0,,授予合同的准则" </w:instrText>
      </w:r>
      <w:r>
        <w:rPr>
          <w:color w:val="auto"/>
        </w:rPr>
        <w:fldChar w:fldCharType="separate"/>
      </w:r>
      <w:r>
        <w:rPr>
          <w:rFonts w:hint="eastAsia" w:asciiTheme="minorEastAsia" w:hAnsiTheme="minorEastAsia" w:eastAsiaTheme="minorEastAsia" w:cstheme="minorEastAsia"/>
          <w:color w:val="auto"/>
        </w:rPr>
        <w:t>授予合同的准则</w:t>
      </w:r>
      <w:r>
        <w:rPr>
          <w:rFonts w:hint="eastAsia" w:asciiTheme="minorEastAsia" w:hAnsiTheme="minorEastAsia" w:eastAsiaTheme="minorEastAsia" w:cstheme="minorEastAsia"/>
          <w:color w:val="auto"/>
        </w:rPr>
        <w:fldChar w:fldCharType="end"/>
      </w:r>
    </w:p>
    <w:p w14:paraId="3B4CD4D9">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29 </w:t>
      </w:r>
      <w:r>
        <w:rPr>
          <w:color w:val="auto"/>
        </w:rPr>
        <w:fldChar w:fldCharType="begin"/>
      </w:r>
      <w:r>
        <w:rPr>
          <w:color w:val="auto"/>
        </w:rPr>
        <w:instrText xml:space="preserve"> HYPERLINK \l "_Hlk35578110" \s "1,8890,8894,0,,资格后审" </w:instrText>
      </w:r>
      <w:r>
        <w:rPr>
          <w:color w:val="auto"/>
        </w:rPr>
        <w:fldChar w:fldCharType="separate"/>
      </w:r>
      <w:r>
        <w:rPr>
          <w:rFonts w:hint="eastAsia" w:asciiTheme="minorEastAsia" w:hAnsiTheme="minorEastAsia" w:eastAsiaTheme="minorEastAsia" w:cstheme="minorEastAsia"/>
          <w:color w:val="auto"/>
        </w:rPr>
        <w:t>资格后审</w:t>
      </w:r>
      <w:r>
        <w:rPr>
          <w:rFonts w:hint="eastAsia" w:asciiTheme="minorEastAsia" w:hAnsiTheme="minorEastAsia" w:eastAsiaTheme="minorEastAsia" w:cstheme="minorEastAsia"/>
          <w:color w:val="auto"/>
        </w:rPr>
        <w:fldChar w:fldCharType="end"/>
      </w:r>
    </w:p>
    <w:p w14:paraId="781102E2">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30 </w:t>
      </w:r>
      <w:r>
        <w:rPr>
          <w:color w:val="auto"/>
        </w:rPr>
        <w:fldChar w:fldCharType="begin"/>
      </w:r>
      <w:r>
        <w:rPr>
          <w:color w:val="auto"/>
        </w:rPr>
        <w:instrText xml:space="preserve"> HYPERLINK \l "_Hlk35578184" \s "1,9151,9175,0,,招标代理和买方在授予合同时变更采购货物数量的权利" </w:instrText>
      </w:r>
      <w:r>
        <w:rPr>
          <w:color w:val="auto"/>
        </w:rPr>
        <w:fldChar w:fldCharType="separate"/>
      </w:r>
      <w:r>
        <w:rPr>
          <w:rFonts w:hint="eastAsia" w:asciiTheme="minorEastAsia" w:hAnsiTheme="minorEastAsia" w:eastAsiaTheme="minorEastAsia" w:cstheme="minorEastAsia"/>
          <w:color w:val="auto"/>
        </w:rPr>
        <w:t>采购人在授予合同时变更服务内容的权利</w:t>
      </w:r>
      <w:r>
        <w:rPr>
          <w:rFonts w:hint="eastAsia" w:asciiTheme="minorEastAsia" w:hAnsiTheme="minorEastAsia" w:eastAsiaTheme="minorEastAsia" w:cstheme="minorEastAsia"/>
          <w:color w:val="auto"/>
        </w:rPr>
        <w:fldChar w:fldCharType="end"/>
      </w:r>
    </w:p>
    <w:p w14:paraId="6757C210">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31 </w:t>
      </w:r>
      <w:r>
        <w:rPr>
          <w:color w:val="auto"/>
        </w:rPr>
        <w:fldChar w:fldCharType="begin"/>
      </w:r>
      <w:r>
        <w:rPr>
          <w:color w:val="auto"/>
        </w:rPr>
        <w:instrText xml:space="preserve"> HYPERLINK \l "_Hlk35578300" \s "1,9427,9431,0,,中标通知" </w:instrText>
      </w:r>
      <w:r>
        <w:rPr>
          <w:color w:val="auto"/>
        </w:rPr>
        <w:fldChar w:fldCharType="separate"/>
      </w:r>
      <w:r>
        <w:rPr>
          <w:rFonts w:hint="eastAsia" w:asciiTheme="minorEastAsia" w:hAnsiTheme="minorEastAsia" w:eastAsiaTheme="minorEastAsia" w:cstheme="minorEastAsia"/>
          <w:color w:val="auto"/>
        </w:rPr>
        <w:t>成交通知</w:t>
      </w:r>
      <w:r>
        <w:rPr>
          <w:rFonts w:hint="eastAsia" w:asciiTheme="minorEastAsia" w:hAnsiTheme="minorEastAsia" w:eastAsiaTheme="minorEastAsia" w:cstheme="minorEastAsia"/>
          <w:color w:val="auto"/>
        </w:rPr>
        <w:fldChar w:fldCharType="end"/>
      </w:r>
    </w:p>
    <w:p w14:paraId="21382C21">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32 </w:t>
      </w:r>
      <w:r>
        <w:rPr>
          <w:color w:val="auto"/>
        </w:rPr>
        <w:fldChar w:fldCharType="begin"/>
      </w:r>
      <w:r>
        <w:rPr>
          <w:color w:val="auto"/>
        </w:rPr>
        <w:instrText xml:space="preserve"> HYPERLINK \l "_Hlk35578457" \s "1,9684,9688,0,,签署合同" </w:instrText>
      </w:r>
      <w:r>
        <w:rPr>
          <w:color w:val="auto"/>
        </w:rPr>
        <w:fldChar w:fldCharType="separate"/>
      </w:r>
      <w:r>
        <w:rPr>
          <w:rFonts w:hint="eastAsia" w:asciiTheme="minorEastAsia" w:hAnsiTheme="minorEastAsia" w:eastAsiaTheme="minorEastAsia" w:cstheme="minorEastAsia"/>
          <w:color w:val="auto"/>
        </w:rPr>
        <w:t>签署合</w:t>
      </w:r>
      <w:bookmarkStart w:id="50" w:name="_Hlt35578460"/>
      <w:r>
        <w:rPr>
          <w:rFonts w:hint="eastAsia" w:asciiTheme="minorEastAsia" w:hAnsiTheme="minorEastAsia" w:eastAsiaTheme="minorEastAsia" w:cstheme="minorEastAsia"/>
          <w:color w:val="auto"/>
        </w:rPr>
        <w:t>同</w:t>
      </w:r>
      <w:bookmarkEnd w:id="50"/>
      <w:r>
        <w:rPr>
          <w:rFonts w:hint="eastAsia" w:asciiTheme="minorEastAsia" w:hAnsiTheme="minorEastAsia" w:eastAsiaTheme="minorEastAsia" w:cstheme="minorEastAsia"/>
          <w:color w:val="auto"/>
        </w:rPr>
        <w:fldChar w:fldCharType="end"/>
      </w:r>
    </w:p>
    <w:p w14:paraId="4D3E1280">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33 </w:t>
      </w:r>
      <w:r>
        <w:rPr>
          <w:color w:val="auto"/>
        </w:rPr>
        <w:fldChar w:fldCharType="begin"/>
      </w:r>
      <w:r>
        <w:rPr>
          <w:color w:val="auto"/>
        </w:rPr>
        <w:instrText xml:space="preserve"> HYPERLINK \l "_Hlk35578470" \s "1,9848,9853,0,,履约保证金" </w:instrText>
      </w:r>
      <w:r>
        <w:rPr>
          <w:color w:val="auto"/>
        </w:rPr>
        <w:fldChar w:fldCharType="separate"/>
      </w:r>
      <w:r>
        <w:rPr>
          <w:rFonts w:hint="eastAsia" w:asciiTheme="minorEastAsia" w:hAnsiTheme="minorEastAsia" w:eastAsiaTheme="minorEastAsia" w:cstheme="minorEastAsia"/>
          <w:color w:val="auto"/>
        </w:rPr>
        <w:t>履约保</w:t>
      </w:r>
      <w:bookmarkStart w:id="51" w:name="_Hlt35578475"/>
      <w:r>
        <w:rPr>
          <w:rFonts w:hint="eastAsia" w:asciiTheme="minorEastAsia" w:hAnsiTheme="minorEastAsia" w:eastAsiaTheme="minorEastAsia" w:cstheme="minorEastAsia"/>
          <w:color w:val="auto"/>
        </w:rPr>
        <w:t>证</w:t>
      </w:r>
      <w:bookmarkEnd w:id="51"/>
      <w:r>
        <w:rPr>
          <w:rFonts w:hint="eastAsia" w:asciiTheme="minorEastAsia" w:hAnsiTheme="minorEastAsia" w:eastAsiaTheme="minorEastAsia" w:cstheme="minorEastAsia"/>
          <w:color w:val="auto"/>
        </w:rPr>
        <w:t>金</w:t>
      </w:r>
      <w:r>
        <w:rPr>
          <w:rFonts w:hint="eastAsia" w:asciiTheme="minorEastAsia" w:hAnsiTheme="minorEastAsia" w:eastAsiaTheme="minorEastAsia" w:cstheme="minorEastAsia"/>
          <w:color w:val="auto"/>
        </w:rPr>
        <w:fldChar w:fldCharType="end"/>
      </w:r>
    </w:p>
    <w:p w14:paraId="3F721761">
      <w:pPr>
        <w:spacing w:line="320" w:lineRule="atLeast"/>
        <w:ind w:left="397"/>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 成交服务费</w:t>
      </w:r>
    </w:p>
    <w:p w14:paraId="186C287E">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b/>
          <w:bCs/>
          <w:color w:val="auto"/>
        </w:rPr>
        <w:t>服务商须知</w:t>
      </w:r>
    </w:p>
    <w:p w14:paraId="038DDA56">
      <w:pPr>
        <w:spacing w:line="360" w:lineRule="auto"/>
        <w:rPr>
          <w:rFonts w:asciiTheme="minorEastAsia" w:hAnsiTheme="minorEastAsia" w:eastAsiaTheme="minorEastAsia" w:cstheme="minorEastAsia"/>
          <w:b/>
          <w:bCs/>
          <w:color w:val="auto"/>
        </w:rPr>
      </w:pPr>
      <w:bookmarkStart w:id="52" w:name="_总则"/>
      <w:bookmarkEnd w:id="52"/>
      <w:r>
        <w:rPr>
          <w:rFonts w:hint="eastAsia" w:asciiTheme="minorEastAsia" w:hAnsiTheme="minorEastAsia" w:eastAsiaTheme="minorEastAsia" w:cstheme="minorEastAsia"/>
          <w:color w:val="auto"/>
        </w:rPr>
        <w:t>A</w:t>
      </w:r>
      <w:r>
        <w:rPr>
          <w:rFonts w:hint="eastAsia" w:asciiTheme="minorEastAsia" w:hAnsiTheme="minorEastAsia" w:eastAsiaTheme="minorEastAsia" w:cstheme="minorEastAsia"/>
          <w:b/>
          <w:bCs/>
          <w:color w:val="auto"/>
        </w:rPr>
        <w:t xml:space="preserve"> 总则</w:t>
      </w:r>
    </w:p>
    <w:p w14:paraId="297B1514">
      <w:pPr>
        <w:numPr>
          <w:ilvl w:val="0"/>
          <w:numId w:val="2"/>
        </w:numPr>
        <w:spacing w:line="360" w:lineRule="auto"/>
        <w:rPr>
          <w:rFonts w:asciiTheme="minorEastAsia" w:hAnsiTheme="minorEastAsia" w:eastAsiaTheme="minorEastAsia" w:cstheme="minorEastAsia"/>
          <w:b/>
          <w:bCs/>
          <w:color w:val="auto"/>
        </w:rPr>
      </w:pPr>
      <w:bookmarkStart w:id="53" w:name="_Hlk35573615"/>
      <w:bookmarkStart w:id="54" w:name="_Hlk35573614"/>
      <w:bookmarkStart w:id="55" w:name="_Hlk35573616"/>
      <w:r>
        <w:rPr>
          <w:rFonts w:hint="eastAsia" w:asciiTheme="minorEastAsia" w:hAnsiTheme="minorEastAsia" w:eastAsiaTheme="minorEastAsia" w:cstheme="minorEastAsia"/>
          <w:b/>
          <w:bCs/>
          <w:color w:val="auto"/>
        </w:rPr>
        <w:t>资金来源</w:t>
      </w:r>
      <w:bookmarkEnd w:id="53"/>
      <w:bookmarkEnd w:id="54"/>
      <w:bookmarkEnd w:id="55"/>
      <w:r>
        <w:rPr>
          <w:rFonts w:hint="eastAsia" w:asciiTheme="minorEastAsia" w:hAnsiTheme="minorEastAsia" w:eastAsiaTheme="minorEastAsia" w:cstheme="minorEastAsia"/>
          <w:b/>
          <w:bCs/>
          <w:color w:val="auto"/>
        </w:rPr>
        <w:t>：</w:t>
      </w:r>
      <w:bookmarkStart w:id="56" w:name="_Hlk35573644"/>
      <w:bookmarkStart w:id="57" w:name="_Hlk35573645"/>
      <w:bookmarkStart w:id="58" w:name="_Hlk35573643"/>
      <w:r>
        <w:rPr>
          <w:rFonts w:hint="eastAsia" w:asciiTheme="minorEastAsia" w:hAnsiTheme="minorEastAsia" w:eastAsiaTheme="minorEastAsia" w:cstheme="minorEastAsia"/>
          <w:b/>
          <w:bCs/>
          <w:color w:val="auto"/>
        </w:rPr>
        <w:t>财政资金</w:t>
      </w:r>
      <w:r>
        <w:rPr>
          <w:rFonts w:hint="eastAsia" w:asciiTheme="minorEastAsia" w:hAnsiTheme="minorEastAsia" w:eastAsiaTheme="minorEastAsia" w:cstheme="minorEastAsia"/>
          <w:b/>
          <w:bCs/>
          <w:color w:val="auto"/>
          <w:lang w:val="en-US" w:eastAsia="zh-CN"/>
        </w:rPr>
        <w:t>72万元</w:t>
      </w:r>
      <w:r>
        <w:rPr>
          <w:rFonts w:hint="eastAsia" w:asciiTheme="minorEastAsia" w:hAnsiTheme="minorEastAsia" w:eastAsiaTheme="minorEastAsia" w:cstheme="minorEastAsia"/>
          <w:b/>
          <w:bCs/>
          <w:color w:val="auto"/>
        </w:rPr>
        <w:t>。</w:t>
      </w:r>
    </w:p>
    <w:p w14:paraId="7CA382DF">
      <w:pPr>
        <w:numPr>
          <w:ilvl w:val="255"/>
          <w:numId w:val="0"/>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b/>
          <w:bCs/>
          <w:color w:val="auto"/>
        </w:rPr>
        <w:t>2 合格的</w:t>
      </w:r>
      <w:bookmarkEnd w:id="56"/>
      <w:bookmarkEnd w:id="57"/>
      <w:bookmarkEnd w:id="58"/>
      <w:bookmarkStart w:id="59" w:name="_Hlk35574026"/>
      <w:bookmarkStart w:id="60" w:name="_Hlk35574028"/>
      <w:bookmarkStart w:id="61" w:name="_Hlk35574027"/>
      <w:r>
        <w:rPr>
          <w:rFonts w:hint="eastAsia" w:asciiTheme="minorEastAsia" w:hAnsiTheme="minorEastAsia" w:eastAsiaTheme="minorEastAsia" w:cstheme="minorEastAsia"/>
          <w:b/>
          <w:bCs/>
          <w:color w:val="auto"/>
        </w:rPr>
        <w:t>服务商</w:t>
      </w:r>
    </w:p>
    <w:p w14:paraId="0AB201EE">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2.1应符合竞争性磋商邀请书中合格服务商的全部要求。</w:t>
      </w:r>
    </w:p>
    <w:p w14:paraId="2CDCCFF5">
      <w:pPr>
        <w:numPr>
          <w:ilvl w:val="255"/>
          <w:numId w:val="0"/>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2.2 必须向采购代理机构购买磋商文件并登记备案，未向采购代理机构购买磋商文件并登记备案的均无资格参加磋商会议。</w:t>
      </w:r>
    </w:p>
    <w:p w14:paraId="3025EF86">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3 </w:t>
      </w:r>
      <w:r>
        <w:rPr>
          <w:rFonts w:hint="eastAsia" w:asciiTheme="minorEastAsia" w:hAnsiTheme="minorEastAsia" w:eastAsiaTheme="minorEastAsia" w:cstheme="minorEastAsia"/>
          <w:b/>
          <w:bCs/>
          <w:color w:val="auto"/>
        </w:rPr>
        <w:t>合格的服务</w:t>
      </w:r>
      <w:bookmarkEnd w:id="59"/>
      <w:bookmarkEnd w:id="60"/>
      <w:bookmarkEnd w:id="61"/>
    </w:p>
    <w:p w14:paraId="4A0DB8FD">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3.1  合同规定的服务指其来源符合服务商须知第</w:t>
      </w:r>
      <w:bookmarkStart w:id="62" w:name="_Hlt35580350"/>
      <w:bookmarkStart w:id="63" w:name="_Hlt35580353"/>
      <w:r>
        <w:rPr>
          <w:rFonts w:hint="eastAsia" w:asciiTheme="minorEastAsia" w:hAnsiTheme="minorEastAsia" w:eastAsiaTheme="minorEastAsia" w:cstheme="minorEastAsia"/>
          <w:color w:val="auto"/>
        </w:rPr>
        <w:t>3款</w:t>
      </w:r>
      <w:bookmarkEnd w:id="62"/>
      <w:bookmarkEnd w:id="63"/>
      <w:r>
        <w:rPr>
          <w:rFonts w:hint="eastAsia" w:asciiTheme="minorEastAsia" w:hAnsiTheme="minorEastAsia" w:eastAsiaTheme="minorEastAsia" w:cstheme="minorEastAsia"/>
          <w:color w:val="auto"/>
        </w:rPr>
        <w:t>所规定的服务。</w:t>
      </w:r>
    </w:p>
    <w:p w14:paraId="60B1D1A2">
      <w:pPr>
        <w:spacing w:line="360" w:lineRule="auto"/>
        <w:ind w:left="525" w:hanging="525" w:hanging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3.2  拟供服务的相关材料如非中文文本视为无效。</w:t>
      </w:r>
    </w:p>
    <w:p w14:paraId="0A24EDB9">
      <w:pPr>
        <w:spacing w:line="360" w:lineRule="auto"/>
        <w:rPr>
          <w:rFonts w:asciiTheme="minorEastAsia" w:hAnsiTheme="minorEastAsia" w:eastAsiaTheme="minorEastAsia" w:cstheme="minorEastAsia"/>
          <w:b/>
          <w:bCs/>
          <w:color w:val="auto"/>
        </w:rPr>
      </w:pPr>
      <w:bookmarkStart w:id="64" w:name="_Hlk35574047"/>
      <w:bookmarkStart w:id="65" w:name="_Hlk35574045"/>
      <w:bookmarkStart w:id="66" w:name="_Hlk35574046"/>
      <w:r>
        <w:rPr>
          <w:rFonts w:hint="eastAsia" w:asciiTheme="minorEastAsia" w:hAnsiTheme="minorEastAsia" w:eastAsiaTheme="minorEastAsia" w:cstheme="minorEastAsia"/>
          <w:color w:val="auto"/>
        </w:rPr>
        <w:t>4</w:t>
      </w:r>
      <w:bookmarkEnd w:id="64"/>
      <w:bookmarkEnd w:id="65"/>
      <w:bookmarkEnd w:id="66"/>
      <w:r>
        <w:rPr>
          <w:rFonts w:hint="eastAsia" w:asciiTheme="minorEastAsia" w:hAnsiTheme="minorEastAsia" w:eastAsiaTheme="minorEastAsia" w:cstheme="minorEastAsia"/>
          <w:b/>
          <w:bCs/>
          <w:color w:val="auto"/>
        </w:rPr>
        <w:t>磋商费用</w:t>
      </w:r>
    </w:p>
    <w:p w14:paraId="33317B8B">
      <w:pPr>
        <w:widowControl/>
        <w:autoSpaceDE w:val="0"/>
        <w:autoSpaceDN w:val="0"/>
        <w:spacing w:line="360" w:lineRule="auto"/>
        <w:ind w:left="525" w:right="53" w:hanging="525" w:hangingChars="25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4.1  无论磋商过程中的作法和结果如何，服务商承担所有与编写和递交响应文件有关的费用，采购人和采购代理机构在任何情况下不负担这些费用。</w:t>
      </w:r>
    </w:p>
    <w:p w14:paraId="1F287CAA">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B</w:t>
      </w:r>
      <w:r>
        <w:rPr>
          <w:rFonts w:hint="eastAsia" w:asciiTheme="minorEastAsia" w:hAnsiTheme="minorEastAsia" w:eastAsiaTheme="minorEastAsia" w:cstheme="minorEastAsia"/>
          <w:b/>
          <w:bCs/>
          <w:color w:val="auto"/>
        </w:rPr>
        <w:t xml:space="preserve"> 磋商文件</w:t>
      </w:r>
    </w:p>
    <w:p w14:paraId="772E740F">
      <w:pPr>
        <w:spacing w:line="360" w:lineRule="auto"/>
        <w:rPr>
          <w:rFonts w:asciiTheme="minorEastAsia" w:hAnsiTheme="minorEastAsia" w:eastAsiaTheme="minorEastAsia" w:cstheme="minorEastAsia"/>
          <w:b/>
          <w:bCs/>
          <w:color w:val="auto"/>
        </w:rPr>
      </w:pPr>
      <w:bookmarkStart w:id="67" w:name="_Hlk35574789"/>
      <w:bookmarkStart w:id="68" w:name="_Hlk35574790"/>
      <w:bookmarkStart w:id="69" w:name="_Hlk35574788"/>
      <w:r>
        <w:rPr>
          <w:rFonts w:hint="eastAsia" w:asciiTheme="minorEastAsia" w:hAnsiTheme="minorEastAsia" w:eastAsiaTheme="minorEastAsia" w:cstheme="minorEastAsia"/>
          <w:color w:val="auto"/>
        </w:rPr>
        <w:t xml:space="preserve">5 </w:t>
      </w:r>
      <w:r>
        <w:rPr>
          <w:rFonts w:hint="eastAsia" w:asciiTheme="minorEastAsia" w:hAnsiTheme="minorEastAsia" w:eastAsiaTheme="minorEastAsia" w:cstheme="minorEastAsia"/>
          <w:b/>
          <w:bCs/>
          <w:color w:val="auto"/>
        </w:rPr>
        <w:t>磋商文件的构成</w:t>
      </w:r>
      <w:bookmarkEnd w:id="67"/>
      <w:bookmarkEnd w:id="68"/>
      <w:bookmarkEnd w:id="69"/>
    </w:p>
    <w:p w14:paraId="1B3210B4">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5.1  磋商文件包括：</w:t>
      </w:r>
    </w:p>
    <w:p w14:paraId="662437CD">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第一篇   竞争性磋商邀请书</w:t>
      </w:r>
    </w:p>
    <w:p w14:paraId="508D7BA5">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第二篇   服务商须知</w:t>
      </w:r>
    </w:p>
    <w:p w14:paraId="5B2E5A10">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第三篇   响应资料表</w:t>
      </w:r>
    </w:p>
    <w:p w14:paraId="287BDAB4">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第四篇   合同通用条款（参考格式）</w:t>
      </w:r>
    </w:p>
    <w:p w14:paraId="4455AEE9">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第五篇   合同通用条款响应一览表</w:t>
      </w:r>
    </w:p>
    <w:p w14:paraId="5CC5298E">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第六篇   合同格式</w:t>
      </w:r>
    </w:p>
    <w:p w14:paraId="5BD6DC5B">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第七篇   服务需求一览表</w:t>
      </w:r>
    </w:p>
    <w:p w14:paraId="51B00367">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第八篇   服务需求</w:t>
      </w:r>
    </w:p>
    <w:p w14:paraId="05810086">
      <w:pPr>
        <w:tabs>
          <w:tab w:val="left" w:pos="1890"/>
        </w:tabs>
        <w:spacing w:line="360" w:lineRule="auto"/>
        <w:ind w:left="84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第九篇   附表</w:t>
      </w:r>
    </w:p>
    <w:p w14:paraId="79996631">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5.2  服务商应认真、全面审阅磋商文件中所有须知、格式、条款和规格。服务商未按磋商文件要求提</w:t>
      </w:r>
    </w:p>
    <w:p w14:paraId="451897DA">
      <w:pPr>
        <w:spacing w:line="360" w:lineRule="auto"/>
        <w:ind w:left="525" w:left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供全部资料或提交的响应文件未对磋商文件做出实质性响应，那么服务商将承担其风险并有可能根据第25款导致响应文件被拒绝。</w:t>
      </w:r>
    </w:p>
    <w:p w14:paraId="6B3877A2">
      <w:pPr>
        <w:spacing w:line="360" w:lineRule="auto"/>
        <w:rPr>
          <w:rFonts w:asciiTheme="minorEastAsia" w:hAnsiTheme="minorEastAsia" w:eastAsiaTheme="minorEastAsia" w:cstheme="minorEastAsia"/>
          <w:b/>
          <w:bCs/>
          <w:color w:val="auto"/>
        </w:rPr>
      </w:pPr>
      <w:bookmarkStart w:id="70" w:name="_Hlk35574868"/>
      <w:bookmarkStart w:id="71" w:name="_Hlk35574870"/>
      <w:bookmarkStart w:id="72" w:name="_Hlk35574869"/>
      <w:r>
        <w:rPr>
          <w:rFonts w:hint="eastAsia" w:asciiTheme="minorEastAsia" w:hAnsiTheme="minorEastAsia" w:eastAsiaTheme="minorEastAsia" w:cstheme="minorEastAsia"/>
          <w:color w:val="auto"/>
        </w:rPr>
        <w:t>6</w:t>
      </w:r>
      <w:bookmarkEnd w:id="70"/>
      <w:bookmarkEnd w:id="71"/>
      <w:bookmarkEnd w:id="72"/>
      <w:r>
        <w:rPr>
          <w:rFonts w:hint="eastAsia" w:asciiTheme="minorEastAsia" w:hAnsiTheme="minorEastAsia" w:eastAsiaTheme="minorEastAsia" w:cstheme="minorEastAsia"/>
          <w:b/>
          <w:bCs/>
          <w:color w:val="auto"/>
        </w:rPr>
        <w:t>服务商要求澄清磋商文件</w:t>
      </w:r>
    </w:p>
    <w:p w14:paraId="36050450">
      <w:pPr>
        <w:spacing w:line="360" w:lineRule="auto"/>
        <w:ind w:left="525" w:hanging="525" w:hanging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6.1  任何要求对磋商文件提出澄清的服务商，应在递交响应文件截止日期３个工作日前按磋商文件中载明的地址以书面形式（加盖公章）通知采购代理机构。采购代理机构对递交响应文件截止日期３个工作日前收到的任何澄清要求以书面形式予以答复，如有必要并将不标明来源的书面答复告知已购买磋商文件的每一潜在服务商。</w:t>
      </w:r>
    </w:p>
    <w:p w14:paraId="58D58B7C">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6.2  服务商要求解释和澄清的问题均应形成书面文件，并有法定代表人或其授权人签字/盖章和日期。</w:t>
      </w:r>
    </w:p>
    <w:p w14:paraId="37748407">
      <w:pPr>
        <w:numPr>
          <w:ilvl w:val="0"/>
          <w:numId w:val="3"/>
        </w:num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对磋商文件的澄清或修改</w:t>
      </w:r>
    </w:p>
    <w:p w14:paraId="75A0D1A6">
      <w:pPr>
        <w:spacing w:line="360" w:lineRule="auto"/>
        <w:ind w:left="525" w:hanging="525" w:hanging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7.1  采购人、采购代理机构机构可以对已发出的磋商文件进行必要的澄清或者修改，澄清或者修改的内容作为磋商文件的组成部分。采购代理机构在递交响应文件截止日期之前发布的有关磋商文件的一切有效的书面通知、澄清、修改及补充均为磋商文件不可分割的组成部分，与磋商文件具有同等法律效力。当文件间的内容相矛盾时，以后期的文件为准。</w:t>
      </w:r>
    </w:p>
    <w:p w14:paraId="2A584999">
      <w:pPr>
        <w:spacing w:line="360" w:lineRule="auto"/>
        <w:ind w:left="525" w:hanging="525" w:hangingChars="250"/>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7.2  对磋商文件的澄清或修改将以书面形式告知所有购买磋商文件的潜在服务商，并对其具有约束力，</w:t>
      </w:r>
      <w:r>
        <w:rPr>
          <w:rFonts w:hint="eastAsia" w:asciiTheme="minorEastAsia" w:hAnsiTheme="minorEastAsia" w:eastAsiaTheme="minorEastAsia" w:cstheme="minorEastAsia"/>
          <w:b/>
          <w:bCs/>
          <w:color w:val="auto"/>
        </w:rPr>
        <w:t>对方必须立即以传真或电子邮件的形式确认已收到该修改，否则视为认同该修改，从而导致的一切后果由服务商自行承担。</w:t>
      </w:r>
    </w:p>
    <w:p w14:paraId="46A29C55">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7.3  澄清或者修改的内容可能影响响应文件编制的，采购人、采购代理机构机构将在响应文件截止之日３个工作日前，以书面形式通知所有获取磋商文件的服务商；不足３个工作日的，采购人、采购代理机构机构将顺延提交首次响应文件截止时间。</w:t>
      </w:r>
    </w:p>
    <w:p w14:paraId="49C1193E">
      <w:pPr>
        <w:spacing w:line="360" w:lineRule="auto"/>
        <w:rPr>
          <w:rFonts w:asciiTheme="minorEastAsia" w:hAnsiTheme="minorEastAsia" w:eastAsiaTheme="minorEastAsia" w:cstheme="minorEastAsia"/>
          <w:b/>
          <w:bCs/>
          <w:color w:val="auto"/>
        </w:rPr>
      </w:pPr>
      <w:bookmarkStart w:id="73" w:name="_投标文件的编制"/>
      <w:bookmarkEnd w:id="73"/>
      <w:r>
        <w:rPr>
          <w:rFonts w:hint="eastAsia" w:asciiTheme="minorEastAsia" w:hAnsiTheme="minorEastAsia" w:eastAsiaTheme="minorEastAsia" w:cstheme="minorEastAsia"/>
          <w:color w:val="auto"/>
        </w:rPr>
        <w:t>C</w:t>
      </w:r>
      <w:r>
        <w:rPr>
          <w:rFonts w:hint="eastAsia" w:asciiTheme="minorEastAsia" w:hAnsiTheme="minorEastAsia" w:eastAsiaTheme="minorEastAsia" w:cstheme="minorEastAsia"/>
          <w:b/>
          <w:bCs/>
          <w:color w:val="auto"/>
        </w:rPr>
        <w:t xml:space="preserve"> 响应文件的编制</w:t>
      </w:r>
    </w:p>
    <w:p w14:paraId="3B79DE0A">
      <w:pPr>
        <w:spacing w:line="360" w:lineRule="auto"/>
        <w:rPr>
          <w:rFonts w:asciiTheme="minorEastAsia" w:hAnsiTheme="minorEastAsia" w:eastAsiaTheme="minorEastAsia" w:cstheme="minorEastAsia"/>
          <w:b/>
          <w:bCs/>
          <w:color w:val="auto"/>
        </w:rPr>
      </w:pPr>
      <w:bookmarkStart w:id="74" w:name="_Hlk35575531"/>
      <w:bookmarkStart w:id="75" w:name="_Hlk35575530"/>
      <w:bookmarkStart w:id="76" w:name="_Hlk35575529"/>
      <w:r>
        <w:rPr>
          <w:rFonts w:hint="eastAsia" w:asciiTheme="minorEastAsia" w:hAnsiTheme="minorEastAsia" w:eastAsiaTheme="minorEastAsia" w:cstheme="minorEastAsia"/>
          <w:color w:val="auto"/>
        </w:rPr>
        <w:t xml:space="preserve">8 </w:t>
      </w:r>
      <w:bookmarkEnd w:id="74"/>
      <w:bookmarkEnd w:id="75"/>
      <w:bookmarkEnd w:id="76"/>
      <w:r>
        <w:rPr>
          <w:rFonts w:hint="eastAsia" w:asciiTheme="minorEastAsia" w:hAnsiTheme="minorEastAsia" w:eastAsiaTheme="minorEastAsia" w:cstheme="minorEastAsia"/>
          <w:b/>
          <w:bCs/>
          <w:color w:val="auto"/>
        </w:rPr>
        <w:t>磋商使用的文字和单位</w:t>
      </w:r>
    </w:p>
    <w:p w14:paraId="38BCBEF6">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8.1  响应文件所有部分均应以中文编制。度量衡采用国家法定单位制（即国际单位制）。</w:t>
      </w:r>
    </w:p>
    <w:p w14:paraId="54CFFC07">
      <w:pPr>
        <w:spacing w:line="360" w:lineRule="auto"/>
        <w:rPr>
          <w:rFonts w:asciiTheme="minorEastAsia" w:hAnsiTheme="minorEastAsia" w:eastAsiaTheme="minorEastAsia" w:cstheme="minorEastAsia"/>
          <w:b/>
          <w:bCs/>
          <w:color w:val="auto"/>
        </w:rPr>
      </w:pPr>
      <w:bookmarkStart w:id="77" w:name="_Hlk35575566"/>
      <w:bookmarkStart w:id="78" w:name="_Hlk35575567"/>
      <w:bookmarkStart w:id="79" w:name="_Hlk35575568"/>
      <w:r>
        <w:rPr>
          <w:rFonts w:hint="eastAsia" w:asciiTheme="minorEastAsia" w:hAnsiTheme="minorEastAsia" w:eastAsiaTheme="minorEastAsia" w:cstheme="minorEastAsia"/>
          <w:color w:val="auto"/>
        </w:rPr>
        <w:t xml:space="preserve">9 </w:t>
      </w:r>
      <w:r>
        <w:rPr>
          <w:rFonts w:hint="eastAsia" w:asciiTheme="minorEastAsia" w:hAnsiTheme="minorEastAsia" w:eastAsiaTheme="minorEastAsia" w:cstheme="minorEastAsia"/>
          <w:b/>
          <w:bCs/>
          <w:color w:val="auto"/>
        </w:rPr>
        <w:t>响应文件的组成</w:t>
      </w:r>
      <w:bookmarkEnd w:id="77"/>
      <w:bookmarkEnd w:id="78"/>
      <w:bookmarkEnd w:id="79"/>
    </w:p>
    <w:p w14:paraId="2FD613E3">
      <w:pPr>
        <w:spacing w:line="360" w:lineRule="auto"/>
        <w:ind w:firstLine="525" w:firstLine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服务商编制的响应文件必须包括以下部分，但不限于以下部分：</w:t>
      </w:r>
    </w:p>
    <w:p w14:paraId="37F68D97">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9.1  商务部分：</w:t>
      </w:r>
    </w:p>
    <w:p w14:paraId="4F1A063A">
      <w:pPr>
        <w:spacing w:line="360" w:lineRule="auto"/>
        <w:ind w:left="1050" w:hanging="1050" w:hangingChars="5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1） 首次报价一览表和按照本须知第15款规定提交的磋商保证金（独立于响应文件之外，分别单独密封）</w:t>
      </w:r>
    </w:p>
    <w:p w14:paraId="770E306C">
      <w:pPr>
        <w:spacing w:line="360" w:lineRule="auto"/>
        <w:ind w:left="397" w:leftChars="189" w:firstLine="231" w:firstLineChars="11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 响应文件、磋商分项报价表（按照本须知第10、11和12款要求填写）</w:t>
      </w:r>
    </w:p>
    <w:p w14:paraId="41F7C035">
      <w:pPr>
        <w:spacing w:line="360" w:lineRule="auto"/>
        <w:ind w:left="397" w:leftChars="189" w:firstLine="231" w:firstLineChars="110"/>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3） 资格证明文件（按照本须知第13款要求出具）</w:t>
      </w:r>
    </w:p>
    <w:p w14:paraId="44DBD7D1">
      <w:pPr>
        <w:spacing w:line="360" w:lineRule="auto"/>
        <w:ind w:left="397" w:leftChars="189" w:firstLine="231" w:firstLineChars="11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 服务说明一览表</w:t>
      </w:r>
    </w:p>
    <w:p w14:paraId="0CF636D3">
      <w:pPr>
        <w:spacing w:line="360" w:lineRule="auto"/>
        <w:ind w:firstLine="630" w:firstLine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 合同条款响应一览表</w:t>
      </w:r>
    </w:p>
    <w:p w14:paraId="34477394">
      <w:pPr>
        <w:spacing w:line="360" w:lineRule="auto"/>
        <w:ind w:left="397" w:leftChars="189" w:firstLine="231" w:firstLineChars="11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 成交服务费承诺书</w:t>
      </w:r>
    </w:p>
    <w:p w14:paraId="66E1C143">
      <w:pPr>
        <w:spacing w:line="360" w:lineRule="auto"/>
        <w:ind w:left="397" w:leftChars="189" w:firstLine="231" w:firstLineChars="11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 磋商文件内要求的其它文件（</w:t>
      </w:r>
      <w:r>
        <w:rPr>
          <w:rFonts w:hint="eastAsia" w:asciiTheme="minorEastAsia" w:hAnsiTheme="minorEastAsia" w:eastAsiaTheme="minorEastAsia" w:cstheme="minorEastAsia"/>
          <w:b/>
          <w:bCs/>
          <w:color w:val="auto"/>
        </w:rPr>
        <w:t>包括附表中提供的所有格式，但不局限于附表</w:t>
      </w:r>
      <w:r>
        <w:rPr>
          <w:rFonts w:hint="eastAsia" w:asciiTheme="minorEastAsia" w:hAnsiTheme="minorEastAsia" w:eastAsiaTheme="minorEastAsia" w:cstheme="minorEastAsia"/>
          <w:color w:val="auto"/>
        </w:rPr>
        <w:t>）</w:t>
      </w:r>
    </w:p>
    <w:p w14:paraId="521CC5A6">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9.3  服务内容部分：</w:t>
      </w:r>
    </w:p>
    <w:p w14:paraId="315BE951">
      <w:pPr>
        <w:spacing w:line="360" w:lineRule="auto"/>
        <w:ind w:left="1050" w:leftChars="300" w:hanging="420" w:hanging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1）按照本须知第14款对磋商文件的书面应答，包括全部的各项服务及与之配套的相关辅助内容及进度安排，以及服务商认为有必要说明的其他内容。</w:t>
      </w:r>
    </w:p>
    <w:p w14:paraId="6CF42FCF">
      <w:pPr>
        <w:spacing w:line="360" w:lineRule="auto"/>
        <w:ind w:left="1050" w:leftChars="300" w:hanging="420" w:hangingChars="200"/>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2） 服务商应响应磋商文件。在此前提下，还可提出补充建议或说明，提出比磋商文件的要求更为合理的建议方案，单列于“服务商需要说明的其他问题”中，同时应说明对其它服务内容的影响。</w:t>
      </w:r>
      <w:r>
        <w:rPr>
          <w:rFonts w:hint="eastAsia" w:asciiTheme="minorEastAsia" w:hAnsiTheme="minorEastAsia" w:eastAsiaTheme="minorEastAsia" w:cstheme="minorEastAsia"/>
          <w:b/>
          <w:bCs/>
          <w:color w:val="auto"/>
        </w:rPr>
        <w:t>如有任何优惠条件，须在首次报价一览表中阐明，评标时方将予以承认。</w:t>
      </w:r>
    </w:p>
    <w:p w14:paraId="22B8ACAB">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9.4  服务商</w:t>
      </w:r>
      <w:r>
        <w:rPr>
          <w:rFonts w:hint="eastAsia" w:asciiTheme="minorEastAsia" w:hAnsiTheme="minorEastAsia" w:eastAsiaTheme="minorEastAsia" w:cstheme="minorEastAsia"/>
          <w:b/>
          <w:bCs/>
          <w:color w:val="auto"/>
        </w:rPr>
        <w:t>须以上述顺序编制</w:t>
      </w:r>
      <w:r>
        <w:rPr>
          <w:rFonts w:hint="eastAsia" w:asciiTheme="minorEastAsia" w:hAnsiTheme="minorEastAsia" w:eastAsiaTheme="minorEastAsia" w:cstheme="minorEastAsia"/>
          <w:color w:val="auto"/>
        </w:rPr>
        <w:t>响应文件。</w:t>
      </w:r>
    </w:p>
    <w:p w14:paraId="788278A6">
      <w:pPr>
        <w:spacing w:line="360" w:lineRule="auto"/>
        <w:rPr>
          <w:rFonts w:asciiTheme="minorEastAsia" w:hAnsiTheme="minorEastAsia" w:eastAsiaTheme="minorEastAsia" w:cstheme="minorEastAsia"/>
          <w:b/>
          <w:bCs/>
          <w:color w:val="auto"/>
        </w:rPr>
      </w:pPr>
      <w:bookmarkStart w:id="80" w:name="_Hlk35575735"/>
      <w:bookmarkStart w:id="81" w:name="_Hlk35575736"/>
      <w:bookmarkStart w:id="82" w:name="_Hlk35575734"/>
      <w:r>
        <w:rPr>
          <w:rFonts w:hint="eastAsia" w:asciiTheme="minorEastAsia" w:hAnsiTheme="minorEastAsia" w:eastAsiaTheme="minorEastAsia" w:cstheme="minorEastAsia"/>
          <w:color w:val="auto"/>
        </w:rPr>
        <w:t>10</w:t>
      </w:r>
      <w:r>
        <w:rPr>
          <w:rFonts w:hint="eastAsia" w:asciiTheme="minorEastAsia" w:hAnsiTheme="minorEastAsia" w:eastAsiaTheme="minorEastAsia" w:cstheme="minorEastAsia"/>
          <w:b/>
          <w:bCs/>
          <w:color w:val="auto"/>
        </w:rPr>
        <w:t xml:space="preserve"> 响应文件格式</w:t>
      </w:r>
      <w:bookmarkEnd w:id="80"/>
      <w:bookmarkEnd w:id="81"/>
      <w:bookmarkEnd w:id="82"/>
    </w:p>
    <w:p w14:paraId="40FF5298">
      <w:pPr>
        <w:pStyle w:val="7"/>
        <w:spacing w:line="360" w:lineRule="auto"/>
        <w:ind w:left="630" w:leftChars="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10.1  服务商应填写磋商文件中第九篇“响应文件、首次报价一览表和磋商分项报价表”中的各种表，注明提供服务的人员、设备、消耗品数量等及其价格；</w:t>
      </w:r>
      <w:r>
        <w:rPr>
          <w:rFonts w:hint="eastAsia" w:asciiTheme="minorEastAsia" w:hAnsiTheme="minorEastAsia" w:eastAsiaTheme="minorEastAsia" w:cstheme="minorEastAsia"/>
          <w:b/>
          <w:bCs/>
          <w:color w:val="auto"/>
        </w:rPr>
        <w:t>并按上述表格格式填写</w:t>
      </w:r>
      <w:r>
        <w:rPr>
          <w:rFonts w:hint="eastAsia" w:asciiTheme="minorEastAsia" w:hAnsiTheme="minorEastAsia" w:eastAsiaTheme="minorEastAsia" w:cstheme="minorEastAsia"/>
          <w:color w:val="auto"/>
        </w:rPr>
        <w:t>。</w:t>
      </w:r>
    </w:p>
    <w:p w14:paraId="685453EE">
      <w:pPr>
        <w:spacing w:line="360" w:lineRule="auto"/>
        <w:rPr>
          <w:rFonts w:asciiTheme="minorEastAsia" w:hAnsiTheme="minorEastAsia" w:eastAsiaTheme="minorEastAsia" w:cstheme="minorEastAsia"/>
          <w:b/>
          <w:bCs/>
          <w:color w:val="auto"/>
        </w:rPr>
      </w:pPr>
      <w:bookmarkStart w:id="83" w:name="_Hlk35576118"/>
      <w:bookmarkStart w:id="84" w:name="_Hlk35576117"/>
      <w:bookmarkStart w:id="85" w:name="_Hlk35576119"/>
      <w:r>
        <w:rPr>
          <w:rFonts w:hint="eastAsia" w:asciiTheme="minorEastAsia" w:hAnsiTheme="minorEastAsia" w:eastAsiaTheme="minorEastAsia" w:cstheme="minorEastAsia"/>
          <w:color w:val="auto"/>
        </w:rPr>
        <w:t xml:space="preserve">11 </w:t>
      </w:r>
      <w:bookmarkEnd w:id="83"/>
      <w:bookmarkEnd w:id="84"/>
      <w:bookmarkEnd w:id="85"/>
      <w:r>
        <w:rPr>
          <w:rFonts w:hint="eastAsia" w:asciiTheme="minorEastAsia" w:hAnsiTheme="minorEastAsia" w:eastAsiaTheme="minorEastAsia" w:cstheme="minorEastAsia"/>
          <w:b/>
          <w:bCs/>
          <w:color w:val="auto"/>
        </w:rPr>
        <w:t>报价</w:t>
      </w:r>
    </w:p>
    <w:p w14:paraId="757652E7">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11.1  服务商应在响应文件所附的磋商分项报价表上写明拟提供的合同服务的单价，分项合计和报价</w:t>
      </w:r>
    </w:p>
    <w:p w14:paraId="4E606502">
      <w:pPr>
        <w:spacing w:line="360" w:lineRule="auto"/>
        <w:ind w:left="630" w:left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总价。如果单价与分项总价或服务总价有出入，以单价为准。</w:t>
      </w:r>
      <w:r>
        <w:rPr>
          <w:rFonts w:hint="eastAsia" w:asciiTheme="minorEastAsia" w:hAnsiTheme="minorEastAsia" w:eastAsiaTheme="minorEastAsia" w:cstheme="minorEastAsia"/>
          <w:b/>
          <w:bCs/>
          <w:color w:val="auto"/>
        </w:rPr>
        <w:t>任何有选择的报价将不予接受，每种服务只允许有一个报价。</w:t>
      </w:r>
    </w:p>
    <w:p w14:paraId="7133FFC1">
      <w:pPr>
        <w:widowControl/>
        <w:autoSpaceDE w:val="0"/>
        <w:autoSpaceDN w:val="0"/>
        <w:spacing w:line="360" w:lineRule="auto"/>
        <w:ind w:left="630" w:right="-34"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11.2  本磋商文件所列的全部条款凡涉及报价的，服务商均应在报价中计列，服务商的报价采购人认为是各项费用和含税综合计算的结果。除非另有规定，服务商在报价分项价格表上所填的价格在稍后的竞争性磋商过程中并非是固定不变的，固定的不可磋商的报价将根据第25条规定被采购代理机构拒绝。</w:t>
      </w:r>
    </w:p>
    <w:p w14:paraId="29B212F9">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11.3  服务商承担服务全过程中所发生的一切费用。</w:t>
      </w:r>
    </w:p>
    <w:p w14:paraId="0B382360">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11.4  磋商分项报价表应按下列项目填写：</w:t>
      </w:r>
    </w:p>
    <w:p w14:paraId="3F050C73">
      <w:pPr>
        <w:numPr>
          <w:ilvl w:val="0"/>
          <w:numId w:val="4"/>
        </w:numPr>
        <w:spacing w:line="360" w:lineRule="auto"/>
        <w:ind w:left="943" w:leftChars="299" w:hanging="315" w:hangingChars="1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服务的人员费用；</w:t>
      </w:r>
    </w:p>
    <w:p w14:paraId="78B59325">
      <w:pPr>
        <w:numPr>
          <w:ilvl w:val="0"/>
          <w:numId w:val="4"/>
        </w:numPr>
        <w:spacing w:line="360" w:lineRule="auto"/>
        <w:ind w:left="943" w:leftChars="299" w:hanging="315" w:hangingChars="1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服务所用设备价格；</w:t>
      </w:r>
    </w:p>
    <w:p w14:paraId="14880559">
      <w:pPr>
        <w:numPr>
          <w:ilvl w:val="0"/>
          <w:numId w:val="4"/>
        </w:numPr>
        <w:spacing w:line="360" w:lineRule="auto"/>
        <w:ind w:left="943" w:leftChars="299" w:hanging="315" w:hangingChars="1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服务所用消耗品价格；</w:t>
      </w:r>
    </w:p>
    <w:p w14:paraId="1B423CAF">
      <w:pPr>
        <w:numPr>
          <w:ilvl w:val="0"/>
          <w:numId w:val="4"/>
        </w:numPr>
        <w:spacing w:line="360" w:lineRule="auto"/>
        <w:ind w:left="943" w:leftChars="299" w:hanging="315" w:hangingChars="1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服务过程中可能发生的其他费用。</w:t>
      </w:r>
    </w:p>
    <w:p w14:paraId="69A5F8C9">
      <w:pPr>
        <w:spacing w:line="360" w:lineRule="auto"/>
        <w:ind w:firstLine="422" w:firstLineChars="200"/>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（注：凡是需要进行项目培训的应为服务现场培训。如需要去服务商处培训、考察、验收等，异地费用不包含在报价中，既不列入政府采购项目支出。）</w:t>
      </w:r>
    </w:p>
    <w:p w14:paraId="5A0468BB">
      <w:pPr>
        <w:spacing w:line="360" w:lineRule="auto"/>
        <w:ind w:right="-115" w:rightChars="-55"/>
        <w:rPr>
          <w:rFonts w:asciiTheme="minorEastAsia" w:hAnsiTheme="minorEastAsia" w:eastAsiaTheme="minorEastAsia" w:cstheme="minorEastAsia"/>
          <w:b/>
          <w:bCs/>
          <w:color w:val="auto"/>
        </w:rPr>
      </w:pPr>
      <w:bookmarkStart w:id="86" w:name="_Hlk35576154"/>
      <w:bookmarkStart w:id="87" w:name="_Hlk35576152"/>
      <w:bookmarkStart w:id="88" w:name="_Hlk35576153"/>
      <w:r>
        <w:rPr>
          <w:rFonts w:hint="eastAsia" w:asciiTheme="minorEastAsia" w:hAnsiTheme="minorEastAsia" w:eastAsiaTheme="minorEastAsia" w:cstheme="minorEastAsia"/>
          <w:color w:val="auto"/>
        </w:rPr>
        <w:t>12</w:t>
      </w:r>
      <w:bookmarkEnd w:id="86"/>
      <w:bookmarkEnd w:id="87"/>
      <w:bookmarkEnd w:id="88"/>
      <w:r>
        <w:rPr>
          <w:rFonts w:hint="eastAsia" w:asciiTheme="minorEastAsia" w:hAnsiTheme="minorEastAsia" w:eastAsiaTheme="minorEastAsia" w:cstheme="minorEastAsia"/>
          <w:b/>
          <w:bCs/>
          <w:color w:val="auto"/>
        </w:rPr>
        <w:t>货币</w:t>
      </w:r>
    </w:p>
    <w:p w14:paraId="79B765B5">
      <w:pPr>
        <w:pStyle w:val="7"/>
        <w:spacing w:line="360" w:lineRule="auto"/>
        <w:ind w:left="630" w:leftChars="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12.1  响应文件、首次报价一览表及磋商分项报价表上的价格须以人民币报价，以其它货币形式标价的将予以拒绝。</w:t>
      </w:r>
    </w:p>
    <w:p w14:paraId="0D17A934">
      <w:pPr>
        <w:spacing w:line="360" w:lineRule="auto"/>
        <w:rPr>
          <w:rFonts w:asciiTheme="minorEastAsia" w:hAnsiTheme="minorEastAsia" w:eastAsiaTheme="minorEastAsia" w:cstheme="minorEastAsia"/>
          <w:color w:val="auto"/>
        </w:rPr>
      </w:pPr>
      <w:bookmarkStart w:id="89" w:name="_Hlk35576202"/>
      <w:bookmarkStart w:id="90" w:name="_Hlk35576200"/>
      <w:bookmarkStart w:id="91" w:name="_Hlk35576201"/>
      <w:r>
        <w:rPr>
          <w:rFonts w:hint="eastAsia" w:asciiTheme="minorEastAsia" w:hAnsiTheme="minorEastAsia" w:eastAsiaTheme="minorEastAsia" w:cstheme="minorEastAsia"/>
          <w:color w:val="auto"/>
        </w:rPr>
        <w:t>13</w:t>
      </w:r>
      <w:r>
        <w:rPr>
          <w:rFonts w:hint="eastAsia" w:asciiTheme="minorEastAsia" w:hAnsiTheme="minorEastAsia" w:eastAsiaTheme="minorEastAsia" w:cstheme="minorEastAsia"/>
          <w:b/>
          <w:bCs/>
          <w:color w:val="auto"/>
        </w:rPr>
        <w:t xml:space="preserve"> 服务商的合格性和资格证明文件</w:t>
      </w:r>
      <w:bookmarkEnd w:id="89"/>
      <w:bookmarkEnd w:id="90"/>
      <w:bookmarkEnd w:id="91"/>
      <w:r>
        <w:rPr>
          <w:rFonts w:hint="eastAsia" w:asciiTheme="minorEastAsia" w:hAnsiTheme="minorEastAsia" w:eastAsiaTheme="minorEastAsia" w:cstheme="minorEastAsia"/>
          <w:color w:val="auto"/>
        </w:rPr>
        <w:t>（按磋商文件要求提供但不限于此，并列出目录）：</w:t>
      </w:r>
    </w:p>
    <w:p w14:paraId="6360EC57">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13.1  根据</w:t>
      </w:r>
      <w:bookmarkStart w:id="92" w:name="_Hlt35582168"/>
      <w:r>
        <w:rPr>
          <w:rFonts w:hint="eastAsia" w:asciiTheme="minorEastAsia" w:hAnsiTheme="minorEastAsia" w:eastAsiaTheme="minorEastAsia" w:cstheme="minorEastAsia"/>
          <w:color w:val="auto"/>
        </w:rPr>
        <w:fldChar w:fldCharType="begin"/>
      </w:r>
      <w:r>
        <w:rPr>
          <w:rFonts w:hint="eastAsia" w:asciiTheme="minorEastAsia" w:hAnsiTheme="minorEastAsia" w:eastAsiaTheme="minorEastAsia" w:cstheme="minorEastAsia"/>
          <w:color w:val="auto"/>
        </w:rPr>
        <w:instrText xml:space="preserve"> HYPERLINK  \l "_投标文件的编制" \o "使招标代理满意的资格声明文件" </w:instrText>
      </w:r>
      <w:r>
        <w:rPr>
          <w:rFonts w:hint="eastAsia" w:asciiTheme="minorEastAsia" w:hAnsiTheme="minorEastAsia" w:eastAsiaTheme="minorEastAsia" w:cstheme="minorEastAsia"/>
          <w:color w:val="auto"/>
        </w:rPr>
        <w:fldChar w:fldCharType="separate"/>
      </w:r>
      <w:r>
        <w:rPr>
          <w:rFonts w:hint="eastAsia" w:asciiTheme="minorEastAsia" w:hAnsiTheme="minorEastAsia" w:eastAsiaTheme="minorEastAsia" w:cstheme="minorEastAsia"/>
          <w:color w:val="auto"/>
        </w:rPr>
        <w:t>第13.2款</w:t>
      </w:r>
      <w:r>
        <w:rPr>
          <w:rFonts w:hint="eastAsia" w:asciiTheme="minorEastAsia" w:hAnsiTheme="minorEastAsia" w:eastAsiaTheme="minorEastAsia" w:cstheme="minorEastAsia"/>
          <w:color w:val="auto"/>
        </w:rPr>
        <w:fldChar w:fldCharType="end"/>
      </w:r>
      <w:bookmarkEnd w:id="92"/>
      <w:r>
        <w:rPr>
          <w:rFonts w:hint="eastAsia" w:asciiTheme="minorEastAsia" w:hAnsiTheme="minorEastAsia" w:eastAsiaTheme="minorEastAsia" w:cstheme="minorEastAsia"/>
          <w:color w:val="auto"/>
        </w:rPr>
        <w:t>规定，服务商须提交证明其有资格进行服务和有能力履行合同的文件，作为响应文件的一部分。</w:t>
      </w:r>
    </w:p>
    <w:p w14:paraId="6344E85B">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13.2  服务商提供的履行合同的资格证明文件：</w:t>
      </w:r>
    </w:p>
    <w:p w14:paraId="080C93C8">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服务商营业执照</w:t>
      </w:r>
      <w:r>
        <w:rPr>
          <w:rFonts w:hint="eastAsia" w:asciiTheme="minorEastAsia" w:hAnsiTheme="minorEastAsia" w:eastAsiaTheme="minorEastAsia" w:cstheme="minorEastAsia"/>
          <w:color w:val="auto"/>
        </w:rPr>
        <w:t>；</w:t>
      </w:r>
    </w:p>
    <w:p w14:paraId="06F35B0E">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开户许可证</w:t>
      </w:r>
      <w:r>
        <w:rPr>
          <w:rFonts w:hint="eastAsia" w:asciiTheme="minorEastAsia" w:hAnsiTheme="minorEastAsia" w:eastAsiaTheme="minorEastAsia" w:cstheme="minorEastAsia"/>
          <w:color w:val="auto"/>
        </w:rPr>
        <w:t>；</w:t>
      </w:r>
    </w:p>
    <w:p w14:paraId="43A8A5A2">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近三年无重大违法经营记录声明</w:t>
      </w:r>
      <w:r>
        <w:rPr>
          <w:rFonts w:hint="eastAsia" w:asciiTheme="minorEastAsia" w:hAnsiTheme="minorEastAsia" w:eastAsiaTheme="minorEastAsia" w:cstheme="minorEastAsia"/>
          <w:color w:val="auto"/>
        </w:rPr>
        <w:t>；</w:t>
      </w:r>
    </w:p>
    <w:p w14:paraId="73BF1BF0">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近一年</w:t>
      </w:r>
      <w:r>
        <w:rPr>
          <w:rFonts w:hint="eastAsia" w:asciiTheme="minorEastAsia" w:hAnsiTheme="minorEastAsia" w:eastAsiaTheme="minorEastAsia" w:cstheme="minorEastAsia"/>
          <w:bCs/>
          <w:color w:val="auto"/>
          <w:lang w:val="en-US" w:eastAsia="zh-CN"/>
        </w:rPr>
        <w:t>(任意一个月)</w:t>
      </w:r>
      <w:r>
        <w:rPr>
          <w:rFonts w:hint="eastAsia" w:asciiTheme="minorEastAsia" w:hAnsiTheme="minorEastAsia" w:eastAsiaTheme="minorEastAsia" w:cstheme="minorEastAsia"/>
          <w:bCs/>
          <w:color w:val="auto"/>
        </w:rPr>
        <w:t>依法缴纳税收和社会保障资金的相关证明材料</w:t>
      </w:r>
      <w:r>
        <w:rPr>
          <w:rFonts w:hint="eastAsia" w:asciiTheme="minorEastAsia" w:hAnsiTheme="minorEastAsia" w:eastAsiaTheme="minorEastAsia" w:cstheme="minorEastAsia"/>
          <w:bCs/>
          <w:color w:val="auto"/>
          <w:lang w:val="en-US" w:eastAsia="zh-CN"/>
        </w:rPr>
        <w:t>或良好承诺书</w:t>
      </w:r>
    </w:p>
    <w:p w14:paraId="34AE1270">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bCs/>
          <w:color w:val="auto"/>
        </w:rPr>
        <w:t>近</w:t>
      </w:r>
      <w:r>
        <w:rPr>
          <w:rFonts w:hint="eastAsia" w:asciiTheme="minorEastAsia" w:hAnsiTheme="minorEastAsia" w:eastAsiaTheme="minorEastAsia" w:cstheme="minorEastAsia"/>
          <w:bCs/>
          <w:color w:val="auto"/>
          <w:lang w:eastAsia="zh-CN"/>
        </w:rPr>
        <w:t>一</w:t>
      </w:r>
      <w:r>
        <w:rPr>
          <w:rFonts w:hint="eastAsia" w:asciiTheme="minorEastAsia" w:hAnsiTheme="minorEastAsia" w:eastAsiaTheme="minorEastAsia" w:cstheme="minorEastAsia"/>
          <w:bCs/>
          <w:color w:val="auto"/>
        </w:rPr>
        <w:t>年财务状况报告复印件并加盖公章</w:t>
      </w:r>
      <w:r>
        <w:rPr>
          <w:rFonts w:hint="eastAsia" w:asciiTheme="minorEastAsia" w:hAnsiTheme="minorEastAsia" w:eastAsiaTheme="minorEastAsia" w:cstheme="minorEastAsia"/>
          <w:bCs/>
          <w:color w:val="auto"/>
          <w:lang w:eastAsia="zh-CN"/>
        </w:rPr>
        <w:t>（新成立公司提供银行资信证明）</w:t>
      </w:r>
    </w:p>
    <w:p w14:paraId="49FA35B6">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color w:val="auto"/>
        </w:rPr>
        <w:t>法定代表人授权委托书、</w:t>
      </w:r>
      <w:r>
        <w:rPr>
          <w:rFonts w:hint="eastAsia" w:asciiTheme="minorEastAsia" w:hAnsiTheme="minorEastAsia" w:eastAsiaTheme="minorEastAsia" w:cstheme="minorEastAsia"/>
          <w:bCs/>
          <w:color w:val="auto"/>
        </w:rPr>
        <w:t>被授权人身份证</w:t>
      </w:r>
      <w:r>
        <w:rPr>
          <w:rFonts w:hint="eastAsia" w:asciiTheme="minorEastAsia" w:hAnsiTheme="minorEastAsia" w:eastAsiaTheme="minorEastAsia" w:cstheme="minorEastAsia"/>
          <w:color w:val="auto"/>
        </w:rPr>
        <w:t>；</w:t>
      </w:r>
    </w:p>
    <w:p w14:paraId="68AF8209">
      <w:pPr>
        <w:numPr>
          <w:ilvl w:val="0"/>
          <w:numId w:val="5"/>
        </w:numPr>
        <w:spacing w:line="360" w:lineRule="auto"/>
        <w:rPr>
          <w:rFonts w:asciiTheme="minorEastAsia" w:hAnsiTheme="minorEastAsia" w:eastAsiaTheme="minorEastAsia" w:cstheme="minorEastAsia"/>
          <w:bCs/>
          <w:color w:val="auto"/>
        </w:rPr>
      </w:pPr>
      <w:r>
        <w:rPr>
          <w:rFonts w:hint="eastAsia" w:asciiTheme="minorEastAsia" w:hAnsiTheme="minorEastAsia" w:eastAsiaTheme="minorEastAsia" w:cstheme="minorEastAsia"/>
          <w:color w:val="auto"/>
        </w:rPr>
        <w:t>本文件要求的其它证明文件和资料</w:t>
      </w:r>
    </w:p>
    <w:p w14:paraId="1FA0E28E">
      <w:pPr>
        <w:spacing w:line="360" w:lineRule="auto"/>
        <w:rPr>
          <w:rFonts w:asciiTheme="minorEastAsia" w:hAnsiTheme="minorEastAsia" w:eastAsiaTheme="minorEastAsia" w:cstheme="minorEastAsia"/>
          <w:color w:val="auto"/>
        </w:rPr>
      </w:pPr>
      <w:bookmarkStart w:id="93" w:name="_Hlk35576352"/>
      <w:bookmarkStart w:id="94" w:name="_Hlk35576351"/>
      <w:bookmarkStart w:id="95" w:name="_Hlk35576353"/>
      <w:r>
        <w:rPr>
          <w:rFonts w:hint="eastAsia" w:asciiTheme="minorEastAsia" w:hAnsiTheme="minorEastAsia" w:eastAsiaTheme="minorEastAsia" w:cstheme="minorEastAsia"/>
          <w:color w:val="auto"/>
        </w:rPr>
        <w:t xml:space="preserve">14 </w:t>
      </w:r>
      <w:r>
        <w:rPr>
          <w:rFonts w:hint="eastAsia" w:asciiTheme="minorEastAsia" w:hAnsiTheme="minorEastAsia" w:eastAsiaTheme="minorEastAsia" w:cstheme="minorEastAsia"/>
          <w:b/>
          <w:bCs/>
          <w:color w:val="auto"/>
        </w:rPr>
        <w:t>服务的合格性并符合磋商文件规定的证明文件</w:t>
      </w:r>
      <w:bookmarkEnd w:id="93"/>
      <w:bookmarkEnd w:id="94"/>
      <w:bookmarkEnd w:id="95"/>
      <w:r>
        <w:rPr>
          <w:rFonts w:hint="eastAsia" w:asciiTheme="minorEastAsia" w:hAnsiTheme="minorEastAsia" w:eastAsiaTheme="minorEastAsia" w:cstheme="minorEastAsia"/>
          <w:color w:val="auto"/>
        </w:rPr>
        <w:t>（按磋商文件要求提供但不限于此，并列出目录）：</w:t>
      </w:r>
    </w:p>
    <w:p w14:paraId="30E62BB8">
      <w:pPr>
        <w:spacing w:line="360" w:lineRule="auto"/>
        <w:ind w:left="609" w:leftChars="29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14.1  服务商须提交证明其拟供合同项下服务的合格性并符合磋商文件规定的证明文件，</w:t>
      </w:r>
    </w:p>
    <w:p w14:paraId="1FBC43D0">
      <w:pPr>
        <w:spacing w:line="360" w:lineRule="auto"/>
        <w:ind w:left="630" w:left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作为响应文件的一部分。</w:t>
      </w:r>
    </w:p>
    <w:p w14:paraId="7B7CFB77">
      <w:pPr>
        <w:spacing w:line="360" w:lineRule="auto"/>
        <w:ind w:left="630" w:left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szCs w:val="22"/>
        </w:rPr>
        <w:t>14.2  证明服务与磋商文件的服务要求相一致的文件，可以是文字资料，图片和数据。</w:t>
      </w:r>
    </w:p>
    <w:p w14:paraId="74AD1F5F">
      <w:pPr>
        <w:spacing w:line="360" w:lineRule="auto"/>
        <w:ind w:left="630" w:left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14.3  为说明第14.2中的规定，服务商应注意磋商文件在服务需求中所指出的服务需求。服务商可提出替代方案，但该替代对象应相当于或优胜于服务需求中的规定，以使采购人满意。</w:t>
      </w:r>
    </w:p>
    <w:p w14:paraId="189DBBD7">
      <w:pPr>
        <w:spacing w:line="360" w:lineRule="auto"/>
        <w:rPr>
          <w:rFonts w:asciiTheme="minorEastAsia" w:hAnsiTheme="minorEastAsia" w:eastAsiaTheme="minorEastAsia" w:cstheme="minorEastAsia"/>
          <w:b/>
          <w:bCs/>
          <w:color w:val="auto"/>
        </w:rPr>
      </w:pPr>
      <w:bookmarkStart w:id="96" w:name="_Hlk35576541"/>
      <w:bookmarkStart w:id="97" w:name="_Hlk35576543"/>
      <w:bookmarkStart w:id="98" w:name="_Hlk35576542"/>
      <w:r>
        <w:rPr>
          <w:rFonts w:hint="eastAsia" w:asciiTheme="minorEastAsia" w:hAnsiTheme="minorEastAsia" w:eastAsiaTheme="minorEastAsia" w:cstheme="minorEastAsia"/>
          <w:color w:val="auto"/>
        </w:rPr>
        <w:t>15</w:t>
      </w:r>
      <w:bookmarkEnd w:id="96"/>
      <w:bookmarkEnd w:id="97"/>
      <w:bookmarkEnd w:id="98"/>
      <w:r>
        <w:rPr>
          <w:rFonts w:hint="eastAsia" w:asciiTheme="minorEastAsia" w:hAnsiTheme="minorEastAsia" w:eastAsiaTheme="minorEastAsia" w:cstheme="minorEastAsia"/>
          <w:b/>
          <w:bCs/>
          <w:color w:val="auto"/>
        </w:rPr>
        <w:t>磋商保证金</w:t>
      </w:r>
    </w:p>
    <w:p w14:paraId="593111FA">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按照《松原市优化提升营商环境建设60条》和《关于印发&lt;松原市政府集中采购目录及标准&gt;的通知》（松财办〔2021〕186号）要求，预算金额在500万元以下的政府采购项目，不收取投标保证金。</w:t>
      </w:r>
    </w:p>
    <w:p w14:paraId="0BA08669">
      <w:pPr>
        <w:spacing w:line="360" w:lineRule="auto"/>
        <w:rPr>
          <w:rFonts w:asciiTheme="minorEastAsia" w:hAnsiTheme="minorEastAsia" w:eastAsiaTheme="minorEastAsia" w:cstheme="minorEastAsia"/>
          <w:b/>
          <w:bCs/>
          <w:color w:val="auto"/>
        </w:rPr>
      </w:pPr>
      <w:bookmarkStart w:id="99" w:name="_Hlk35576794"/>
      <w:bookmarkStart w:id="100" w:name="_Hlk35576795"/>
      <w:bookmarkStart w:id="101" w:name="_Hlk35576793"/>
      <w:r>
        <w:rPr>
          <w:rFonts w:hint="eastAsia" w:asciiTheme="minorEastAsia" w:hAnsiTheme="minorEastAsia" w:eastAsiaTheme="minorEastAsia" w:cstheme="minorEastAsia"/>
          <w:color w:val="auto"/>
        </w:rPr>
        <w:t>16</w:t>
      </w:r>
      <w:bookmarkEnd w:id="99"/>
      <w:bookmarkEnd w:id="100"/>
      <w:bookmarkEnd w:id="101"/>
      <w:r>
        <w:rPr>
          <w:rFonts w:hint="eastAsia" w:asciiTheme="minorEastAsia" w:hAnsiTheme="minorEastAsia" w:eastAsiaTheme="minorEastAsia" w:cstheme="minorEastAsia"/>
          <w:b/>
          <w:bCs/>
          <w:color w:val="auto"/>
        </w:rPr>
        <w:t>响应文件有效期</w:t>
      </w:r>
    </w:p>
    <w:p w14:paraId="2E8265D0">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16.1  响应文件将在</w:t>
      </w:r>
      <w:r>
        <w:rPr>
          <w:rFonts w:hint="eastAsia" w:asciiTheme="minorEastAsia" w:hAnsiTheme="minorEastAsia" w:eastAsiaTheme="minorEastAsia" w:cstheme="minorEastAsia"/>
          <w:b/>
          <w:bCs/>
          <w:color w:val="auto"/>
        </w:rPr>
        <w:t>响应文件开启日期后</w:t>
      </w:r>
      <w:r>
        <w:rPr>
          <w:rFonts w:hint="eastAsia" w:asciiTheme="minorEastAsia" w:hAnsiTheme="minorEastAsia" w:eastAsiaTheme="minorEastAsia" w:cstheme="minorEastAsia"/>
          <w:color w:val="auto"/>
          <w:u w:val="single"/>
        </w:rPr>
        <w:t>90</w:t>
      </w:r>
      <w:r>
        <w:rPr>
          <w:rFonts w:hint="eastAsia" w:asciiTheme="minorEastAsia" w:hAnsiTheme="minorEastAsia" w:eastAsiaTheme="minorEastAsia" w:cstheme="minorEastAsia"/>
          <w:b/>
          <w:bCs/>
          <w:color w:val="auto"/>
        </w:rPr>
        <w:t>天内有效</w:t>
      </w:r>
      <w:r>
        <w:rPr>
          <w:rFonts w:hint="eastAsia" w:asciiTheme="minorEastAsia" w:hAnsiTheme="minorEastAsia" w:eastAsiaTheme="minorEastAsia" w:cstheme="minorEastAsia"/>
          <w:color w:val="auto"/>
        </w:rPr>
        <w:t>。响应文件有效期比规定短的可以视为非响应标予以拒绝。在响应文件有效期内，服务商不得要求更改、修改响应文件或撤回响应文件。</w:t>
      </w:r>
    </w:p>
    <w:p w14:paraId="2B641E47">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16.2  在特殊情况下，采购代理机构可于响应文件有效期满之前书面要求服务商同意延长有效期。要求与答复均应为书面形式往来。服务商可以拒绝上述要求而其磋商保证金不被没收。对于同意该要求的服务商，既不要求也不允许其修改响应文件，但将要求其响应延长磋商保证金的有效期。</w:t>
      </w:r>
    </w:p>
    <w:p w14:paraId="4A64716E">
      <w:pPr>
        <w:spacing w:line="360" w:lineRule="auto"/>
        <w:rPr>
          <w:rFonts w:asciiTheme="minorEastAsia" w:hAnsiTheme="minorEastAsia" w:eastAsiaTheme="minorEastAsia" w:cstheme="minorEastAsia"/>
          <w:b/>
          <w:bCs/>
          <w:color w:val="auto"/>
        </w:rPr>
      </w:pPr>
      <w:bookmarkStart w:id="102" w:name="_Hlk35576845"/>
      <w:bookmarkStart w:id="103" w:name="_Hlk35576843"/>
      <w:bookmarkStart w:id="104" w:name="_Hlk35576844"/>
      <w:r>
        <w:rPr>
          <w:rFonts w:hint="eastAsia" w:asciiTheme="minorEastAsia" w:hAnsiTheme="minorEastAsia" w:eastAsiaTheme="minorEastAsia" w:cstheme="minorEastAsia"/>
          <w:color w:val="auto"/>
        </w:rPr>
        <w:t>17</w:t>
      </w:r>
      <w:r>
        <w:rPr>
          <w:rFonts w:hint="eastAsia" w:asciiTheme="minorEastAsia" w:hAnsiTheme="minorEastAsia" w:eastAsiaTheme="minorEastAsia" w:cstheme="minorEastAsia"/>
          <w:b/>
          <w:bCs/>
          <w:color w:val="auto"/>
        </w:rPr>
        <w:t xml:space="preserve"> 响应文件的式样和签署</w:t>
      </w:r>
      <w:bookmarkEnd w:id="102"/>
      <w:bookmarkEnd w:id="103"/>
      <w:bookmarkEnd w:id="104"/>
    </w:p>
    <w:p w14:paraId="4DF34577">
      <w:pPr>
        <w:spacing w:line="360" w:lineRule="auto"/>
        <w:ind w:left="630" w:hanging="630" w:hangingChars="300"/>
        <w:rPr>
          <w:rFonts w:ascii="宋体" w:hAnsi="宋体" w:cs="宋体"/>
          <w:color w:val="auto"/>
        </w:rPr>
      </w:pPr>
      <w:bookmarkStart w:id="105" w:name="_投标文件的递交"/>
      <w:bookmarkEnd w:id="105"/>
      <w:r>
        <w:rPr>
          <w:rFonts w:hint="eastAsia" w:ascii="宋体" w:hAnsi="宋体" w:cs="宋体"/>
          <w:color w:val="auto"/>
        </w:rPr>
        <w:t>17.1  服务商应按照本须知的要求编制响应文件，逐项逐条响应磋商文件。投标文件应按第九章“投标文件格式”进行编写，并在文件中填写目录与页码，如有必要，可以增加附页，作为投标文件的组成部分。编制目录及页码（目录中须编制页码，否则按无效投标文件处理）。其中，投标函附录在满足招标文件实质性要求的基础上，可以提出比招标文件要求更有利于招标人的承诺。</w:t>
      </w:r>
    </w:p>
    <w:p w14:paraId="257BD4A5">
      <w:pPr>
        <w:spacing w:line="360" w:lineRule="auto"/>
        <w:ind w:left="630" w:hanging="630" w:hangingChars="300"/>
        <w:rPr>
          <w:rFonts w:ascii="宋体" w:hAnsi="宋体" w:cs="宋体"/>
          <w:color w:val="auto"/>
        </w:rPr>
      </w:pPr>
      <w:r>
        <w:rPr>
          <w:rFonts w:hint="eastAsia" w:ascii="宋体" w:hAnsi="宋体" w:cs="宋体"/>
          <w:color w:val="auto"/>
        </w:rPr>
        <w:t>17.2  服务商应准备一份正本和</w:t>
      </w:r>
      <w:r>
        <w:rPr>
          <w:rFonts w:hint="eastAsia" w:ascii="宋体" w:hAnsi="宋体" w:cs="宋体"/>
          <w:color w:val="auto"/>
          <w:lang w:val="en-US" w:eastAsia="zh-CN"/>
        </w:rPr>
        <w:t>两</w:t>
      </w:r>
      <w:r>
        <w:rPr>
          <w:rFonts w:hint="eastAsia" w:ascii="宋体" w:hAnsi="宋体" w:cs="宋体"/>
          <w:color w:val="auto"/>
        </w:rPr>
        <w:t>份副本响应文件，在每一份响应文件上编上页次，装订成册，并要明确注明“正本”和“副本”，一旦正本和副本发现差异，以正本为准。</w:t>
      </w:r>
    </w:p>
    <w:p w14:paraId="17A7D5F6">
      <w:pPr>
        <w:spacing w:line="360" w:lineRule="auto"/>
        <w:ind w:left="630" w:hanging="630" w:hangingChars="300"/>
        <w:rPr>
          <w:rFonts w:ascii="宋体" w:hAnsi="宋体" w:cs="宋体"/>
          <w:b/>
          <w:bCs/>
          <w:color w:val="auto"/>
        </w:rPr>
      </w:pPr>
      <w:r>
        <w:rPr>
          <w:rFonts w:hint="eastAsia" w:ascii="宋体" w:hAnsi="宋体" w:cs="宋体"/>
          <w:color w:val="auto"/>
        </w:rPr>
        <w:t>17.3  响应文件正本须打印或用不退色墨水书写并由法定代表人（单位负责人）或经其正式授权并对服务商有合同约束力的人签字，后者须将法定代表人（单位负责人）“授权委托书”以书面形式附在响应文件中。响应文件的须由签署响应文件的被授权代表签</w:t>
      </w:r>
      <w:r>
        <w:rPr>
          <w:rFonts w:hint="eastAsia" w:ascii="宋体" w:hAnsi="宋体" w:cs="宋体"/>
          <w:color w:val="auto"/>
          <w:lang w:eastAsia="zh-CN"/>
        </w:rPr>
        <w:t>字</w:t>
      </w:r>
      <w:r>
        <w:rPr>
          <w:rFonts w:hint="eastAsia" w:ascii="宋体" w:hAnsi="宋体" w:cs="宋体"/>
          <w:color w:val="auto"/>
        </w:rPr>
        <w:t>并加盖公章</w:t>
      </w:r>
      <w:r>
        <w:rPr>
          <w:rFonts w:hint="eastAsia" w:ascii="宋体" w:hAnsi="宋体" w:cs="宋体"/>
          <w:b/>
          <w:bCs/>
          <w:color w:val="auto"/>
        </w:rPr>
        <w:t>，</w:t>
      </w:r>
      <w:r>
        <w:rPr>
          <w:rFonts w:hint="eastAsia" w:ascii="宋体" w:hAnsi="宋体" w:cs="宋体"/>
          <w:color w:val="auto"/>
        </w:rPr>
        <w:t>响应文件的副本可采用正本的复印件。未经有效签署的响应文件将被作为非实质响应而被拒绝。</w:t>
      </w:r>
    </w:p>
    <w:p w14:paraId="429A0ABF">
      <w:pPr>
        <w:spacing w:line="360" w:lineRule="auto"/>
        <w:ind w:left="630" w:hanging="630" w:hangingChars="300"/>
        <w:rPr>
          <w:rFonts w:ascii="宋体" w:hAnsi="宋体" w:cs="宋体"/>
          <w:color w:val="auto"/>
        </w:rPr>
      </w:pPr>
      <w:r>
        <w:rPr>
          <w:rFonts w:hint="eastAsia" w:ascii="宋体" w:hAnsi="宋体" w:cs="宋体"/>
          <w:color w:val="auto"/>
        </w:rPr>
        <w:t>17.4  除服务商对错处作必要修改外，响应文件中不许有加行、涂抹或改写。若有修改须由签署响应文件的被授权代表在旁边签字才有效。</w:t>
      </w:r>
    </w:p>
    <w:p w14:paraId="11CCD8CA">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D</w:t>
      </w:r>
      <w:r>
        <w:rPr>
          <w:rFonts w:hint="eastAsia" w:asciiTheme="minorEastAsia" w:hAnsiTheme="minorEastAsia" w:eastAsiaTheme="minorEastAsia" w:cstheme="minorEastAsia"/>
          <w:b/>
          <w:bCs/>
          <w:color w:val="auto"/>
        </w:rPr>
        <w:t xml:space="preserve"> 响应文件的递交</w:t>
      </w:r>
    </w:p>
    <w:p w14:paraId="31374C15">
      <w:pPr>
        <w:spacing w:line="360" w:lineRule="auto"/>
        <w:rPr>
          <w:rFonts w:asciiTheme="minorEastAsia" w:hAnsiTheme="minorEastAsia" w:eastAsiaTheme="minorEastAsia" w:cstheme="minorEastAsia"/>
          <w:b/>
          <w:bCs/>
          <w:color w:val="auto"/>
        </w:rPr>
      </w:pPr>
      <w:bookmarkStart w:id="106" w:name="_Hlk35576100"/>
      <w:bookmarkStart w:id="107" w:name="_Hlk35576102"/>
      <w:bookmarkStart w:id="108" w:name="_Hlk35576101"/>
      <w:r>
        <w:rPr>
          <w:rFonts w:hint="eastAsia" w:asciiTheme="minorEastAsia" w:hAnsiTheme="minorEastAsia" w:eastAsiaTheme="minorEastAsia" w:cstheme="minorEastAsia"/>
          <w:color w:val="auto"/>
        </w:rPr>
        <w:t>18</w:t>
      </w:r>
      <w:r>
        <w:rPr>
          <w:rFonts w:hint="eastAsia" w:asciiTheme="minorEastAsia" w:hAnsiTheme="minorEastAsia" w:eastAsiaTheme="minorEastAsia" w:cstheme="minorEastAsia"/>
          <w:b/>
          <w:bCs/>
          <w:color w:val="auto"/>
        </w:rPr>
        <w:t xml:space="preserve"> 响应文件的密封和标记</w:t>
      </w:r>
      <w:bookmarkEnd w:id="106"/>
      <w:bookmarkEnd w:id="107"/>
      <w:bookmarkEnd w:id="108"/>
    </w:p>
    <w:p w14:paraId="5D7426AF">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18.1 </w:t>
      </w:r>
      <w:r>
        <w:rPr>
          <w:rFonts w:hint="eastAsia" w:asciiTheme="minorEastAsia" w:hAnsiTheme="minorEastAsia" w:eastAsiaTheme="minorEastAsia" w:cstheme="minorEastAsia"/>
          <w:b/>
          <w:bCs/>
          <w:color w:val="auto"/>
        </w:rPr>
        <w:t xml:space="preserve"> 服务商应将响应文件正本和所有副本分开密封装在单独的信封中，并在信封上标明“正本”或“副本”，然后再将所有信封装在一个外信封中。</w:t>
      </w:r>
    </w:p>
    <w:p w14:paraId="132B9D99">
      <w:pPr>
        <w:widowControl/>
        <w:numPr>
          <w:ilvl w:val="1"/>
          <w:numId w:val="6"/>
        </w:numPr>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内外信封均应：</w:t>
      </w:r>
    </w:p>
    <w:p w14:paraId="72075514">
      <w:pPr>
        <w:widowControl/>
        <w:numPr>
          <w:ilvl w:val="3"/>
          <w:numId w:val="7"/>
        </w:numPr>
        <w:autoSpaceDE w:val="0"/>
        <w:autoSpaceDN w:val="0"/>
        <w:spacing w:line="360" w:lineRule="auto"/>
        <w:ind w:right="893"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按第三篇“响应资料表”所示地址递交采购代理机构。</w:t>
      </w:r>
    </w:p>
    <w:p w14:paraId="4CCF0EA7">
      <w:pPr>
        <w:widowControl/>
        <w:numPr>
          <w:ilvl w:val="3"/>
          <w:numId w:val="7"/>
        </w:numPr>
        <w:autoSpaceDE w:val="0"/>
        <w:autoSpaceDN w:val="0"/>
        <w:spacing w:line="360" w:lineRule="auto"/>
        <w:ind w:right="-120"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标明项目名称、项目编号及“响应资料表”中规定的响应文件开启日期和时间前“不准启封”的字样。</w:t>
      </w:r>
    </w:p>
    <w:p w14:paraId="09E78EA6">
      <w:pPr>
        <w:widowControl/>
        <w:numPr>
          <w:ilvl w:val="3"/>
          <w:numId w:val="7"/>
        </w:numPr>
        <w:autoSpaceDE w:val="0"/>
        <w:autoSpaceDN w:val="0"/>
        <w:spacing w:line="360" w:lineRule="auto"/>
        <w:ind w:right="-120"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写明服务商名称和地址，以便原封退还迟交的响应文件。</w:t>
      </w:r>
    </w:p>
    <w:p w14:paraId="6CD3C461">
      <w:pPr>
        <w:widowControl/>
        <w:numPr>
          <w:ilvl w:val="1"/>
          <w:numId w:val="8"/>
        </w:numPr>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如果外信封未按第18.2款规定密封和标记，采购代理机构对响应文件的误投或提前拆封不负责任。 </w:t>
      </w:r>
    </w:p>
    <w:p w14:paraId="0284A07C">
      <w:pPr>
        <w:widowControl/>
        <w:autoSpaceDE w:val="0"/>
        <w:autoSpaceDN w:val="0"/>
        <w:spacing w:line="360" w:lineRule="auto"/>
        <w:ind w:right="18" w:firstLine="630" w:firstLine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对由此造成提前开封的响应文件，采购代理机构将予以拒绝，并退回服务商。</w:t>
      </w:r>
    </w:p>
    <w:p w14:paraId="64F23F47">
      <w:pPr>
        <w:widowControl/>
        <w:numPr>
          <w:ilvl w:val="1"/>
          <w:numId w:val="8"/>
        </w:numPr>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磋商保证金和首次报价一览表，应分别以单独信封密封，并独立于响应文件之外。 </w:t>
      </w:r>
    </w:p>
    <w:p w14:paraId="59B9AB99">
      <w:pPr>
        <w:spacing w:line="360" w:lineRule="auto"/>
        <w:rPr>
          <w:rFonts w:asciiTheme="minorEastAsia" w:hAnsiTheme="minorEastAsia" w:eastAsiaTheme="minorEastAsia" w:cstheme="minorEastAsia"/>
          <w:b/>
          <w:bCs/>
          <w:color w:val="auto"/>
        </w:rPr>
      </w:pPr>
      <w:bookmarkStart w:id="109" w:name="_Hlk35577008"/>
      <w:bookmarkStart w:id="110" w:name="_Hlk35577010"/>
      <w:bookmarkStart w:id="111" w:name="_Hlk35577009"/>
      <w:r>
        <w:rPr>
          <w:rFonts w:hint="eastAsia" w:asciiTheme="minorEastAsia" w:hAnsiTheme="minorEastAsia" w:eastAsiaTheme="minorEastAsia" w:cstheme="minorEastAsia"/>
          <w:color w:val="auto"/>
        </w:rPr>
        <w:t>19</w:t>
      </w:r>
      <w:r>
        <w:rPr>
          <w:rFonts w:hint="eastAsia" w:asciiTheme="minorEastAsia" w:hAnsiTheme="minorEastAsia" w:eastAsiaTheme="minorEastAsia" w:cstheme="minorEastAsia"/>
          <w:b/>
          <w:bCs/>
          <w:color w:val="auto"/>
        </w:rPr>
        <w:t xml:space="preserve"> 递交响应文件的截止</w:t>
      </w:r>
      <w:bookmarkEnd w:id="109"/>
      <w:bookmarkEnd w:id="110"/>
      <w:bookmarkEnd w:id="111"/>
      <w:r>
        <w:rPr>
          <w:rFonts w:hint="eastAsia" w:asciiTheme="minorEastAsia" w:hAnsiTheme="minorEastAsia" w:eastAsiaTheme="minorEastAsia" w:cstheme="minorEastAsia"/>
          <w:b/>
          <w:bCs/>
          <w:color w:val="auto"/>
        </w:rPr>
        <w:t>时间</w:t>
      </w:r>
    </w:p>
    <w:p w14:paraId="08E3BCD8">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19.1  采购代理机构收到响应文件的时间不得迟于</w:t>
      </w:r>
      <w:r>
        <w:rPr>
          <w:color w:val="auto"/>
        </w:rPr>
        <w:fldChar w:fldCharType="begin"/>
      </w:r>
      <w:r>
        <w:rPr>
          <w:color w:val="auto"/>
        </w:rPr>
        <w:instrText xml:space="preserve"> HYPERLINK \l "_Hlk35583058" \s "1,11363,11368,0,,投标资料表" </w:instrText>
      </w:r>
      <w:r>
        <w:rPr>
          <w:color w:val="auto"/>
        </w:rPr>
        <w:fldChar w:fldCharType="separate"/>
      </w:r>
      <w:r>
        <w:rPr>
          <w:rFonts w:hint="eastAsia" w:asciiTheme="minorEastAsia" w:hAnsiTheme="minorEastAsia" w:eastAsiaTheme="minorEastAsia" w:cstheme="minorEastAsia"/>
          <w:color w:val="auto"/>
        </w:rPr>
        <w:t>第三篇“响应资料表”</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中规定的截止时间。</w:t>
      </w:r>
    </w:p>
    <w:p w14:paraId="3CE4BEB8">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19.2  采购代理机构可按照第7款的规定修改磋商文件并酌情延长提交响应文件的截止时间，因此，业已规定的采购代理机构和服务商的一切权利和义务将按延期后的递交响应文件截止时间履行。</w:t>
      </w:r>
    </w:p>
    <w:p w14:paraId="40BF7DF3">
      <w:pPr>
        <w:spacing w:line="360" w:lineRule="auto"/>
        <w:rPr>
          <w:rFonts w:asciiTheme="minorEastAsia" w:hAnsiTheme="minorEastAsia" w:eastAsiaTheme="minorEastAsia" w:cstheme="minorEastAsia"/>
          <w:b/>
          <w:bCs/>
          <w:color w:val="auto"/>
        </w:rPr>
      </w:pPr>
      <w:bookmarkStart w:id="112" w:name="_Hlk35577343"/>
      <w:bookmarkStart w:id="113" w:name="_Hlk35577344"/>
      <w:bookmarkStart w:id="114" w:name="_Hlk35577345"/>
      <w:r>
        <w:rPr>
          <w:rFonts w:hint="eastAsia" w:asciiTheme="minorEastAsia" w:hAnsiTheme="minorEastAsia" w:eastAsiaTheme="minorEastAsia" w:cstheme="minorEastAsia"/>
          <w:color w:val="auto"/>
        </w:rPr>
        <w:t>20</w:t>
      </w:r>
      <w:r>
        <w:rPr>
          <w:rFonts w:hint="eastAsia" w:asciiTheme="minorEastAsia" w:hAnsiTheme="minorEastAsia" w:eastAsiaTheme="minorEastAsia" w:cstheme="minorEastAsia"/>
          <w:b/>
          <w:bCs/>
          <w:color w:val="auto"/>
        </w:rPr>
        <w:t xml:space="preserve"> 迟交的</w:t>
      </w:r>
      <w:bookmarkEnd w:id="112"/>
      <w:bookmarkEnd w:id="113"/>
      <w:bookmarkEnd w:id="114"/>
      <w:r>
        <w:rPr>
          <w:rFonts w:hint="eastAsia" w:asciiTheme="minorEastAsia" w:hAnsiTheme="minorEastAsia" w:eastAsiaTheme="minorEastAsia" w:cstheme="minorEastAsia"/>
          <w:b/>
          <w:bCs/>
          <w:color w:val="auto"/>
        </w:rPr>
        <w:t>响应文件</w:t>
      </w:r>
    </w:p>
    <w:p w14:paraId="6EABBE2F">
      <w:pPr>
        <w:widowControl/>
        <w:autoSpaceDE w:val="0"/>
        <w:autoSpaceDN w:val="0"/>
        <w:spacing w:line="360" w:lineRule="auto"/>
        <w:ind w:left="630"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20.1  根据第19款规定，采购代理机构将拒绝任何晚于递交响应文件的截止时间交到的响应文件。</w:t>
      </w:r>
    </w:p>
    <w:p w14:paraId="0BBFCCC6">
      <w:pPr>
        <w:spacing w:line="360" w:lineRule="auto"/>
        <w:rPr>
          <w:rFonts w:asciiTheme="minorEastAsia" w:hAnsiTheme="minorEastAsia" w:eastAsiaTheme="minorEastAsia" w:cstheme="minorEastAsia"/>
          <w:b/>
          <w:bCs/>
          <w:color w:val="auto"/>
        </w:rPr>
      </w:pPr>
      <w:bookmarkStart w:id="115" w:name="_Hlk35577381"/>
      <w:bookmarkStart w:id="116" w:name="_Hlk35577382"/>
      <w:bookmarkStart w:id="117" w:name="_Hlk35577380"/>
      <w:r>
        <w:rPr>
          <w:rFonts w:hint="eastAsia" w:asciiTheme="minorEastAsia" w:hAnsiTheme="minorEastAsia" w:eastAsiaTheme="minorEastAsia" w:cstheme="minorEastAsia"/>
          <w:color w:val="auto"/>
        </w:rPr>
        <w:t>21</w:t>
      </w:r>
      <w:r>
        <w:rPr>
          <w:rFonts w:hint="eastAsia" w:asciiTheme="minorEastAsia" w:hAnsiTheme="minorEastAsia" w:eastAsiaTheme="minorEastAsia" w:cstheme="minorEastAsia"/>
          <w:b/>
          <w:bCs/>
          <w:color w:val="auto"/>
        </w:rPr>
        <w:t xml:space="preserve"> 响应文件的修改和撤回</w:t>
      </w:r>
      <w:bookmarkEnd w:id="115"/>
      <w:bookmarkEnd w:id="116"/>
      <w:bookmarkEnd w:id="117"/>
    </w:p>
    <w:p w14:paraId="69C901AA">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21.1  服务商在提交响应文件后可对其响应文件进行修改或撤回，但采购代理机构须在提交响应文件截止时间前收到该修改或撤回的书面通知。</w:t>
      </w:r>
    </w:p>
    <w:p w14:paraId="5B2A8352">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21.2  服务商对响应文件的修改或撤回的通知应按</w:t>
      </w:r>
      <w:r>
        <w:rPr>
          <w:color w:val="auto"/>
        </w:rPr>
        <w:fldChar w:fldCharType="begin"/>
      </w:r>
      <w:r>
        <w:rPr>
          <w:color w:val="auto"/>
        </w:rPr>
        <w:instrText xml:space="preserve"> HYPERLINK \l "_投标文件的编制" \o "投标文件的式样和签署" </w:instrText>
      </w:r>
      <w:r>
        <w:rPr>
          <w:color w:val="auto"/>
        </w:rPr>
        <w:fldChar w:fldCharType="separate"/>
      </w:r>
      <w:r>
        <w:rPr>
          <w:rFonts w:hint="eastAsia" w:asciiTheme="minorEastAsia" w:hAnsiTheme="minorEastAsia" w:eastAsiaTheme="minorEastAsia" w:cstheme="minorEastAsia"/>
          <w:color w:val="auto"/>
        </w:rPr>
        <w:t>第17款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和</w:t>
      </w:r>
      <w:r>
        <w:rPr>
          <w:color w:val="auto"/>
        </w:rPr>
        <w:fldChar w:fldCharType="begin"/>
      </w:r>
      <w:r>
        <w:rPr>
          <w:color w:val="auto"/>
        </w:rPr>
        <w:instrText xml:space="preserve"> HYPERLINK \l "_投标文件的编制" \o "投标文件的密封和标记" </w:instrText>
      </w:r>
      <w:r>
        <w:rPr>
          <w:color w:val="auto"/>
        </w:rPr>
        <w:fldChar w:fldCharType="separate"/>
      </w:r>
      <w:r>
        <w:rPr>
          <w:rFonts w:hint="eastAsia" w:asciiTheme="minorEastAsia" w:hAnsiTheme="minorEastAsia" w:eastAsiaTheme="minorEastAsia" w:cstheme="minorEastAsia"/>
          <w:color w:val="auto"/>
        </w:rPr>
        <w:t>第</w:t>
      </w:r>
      <w:bookmarkStart w:id="118" w:name="_Hlt37766105"/>
      <w:r>
        <w:rPr>
          <w:rFonts w:hint="eastAsia" w:asciiTheme="minorEastAsia" w:hAnsiTheme="minorEastAsia" w:eastAsiaTheme="minorEastAsia" w:cstheme="minorEastAsia"/>
          <w:color w:val="auto"/>
        </w:rPr>
        <w:t>1</w:t>
      </w:r>
      <w:bookmarkEnd w:id="118"/>
      <w:r>
        <w:rPr>
          <w:rFonts w:hint="eastAsia" w:asciiTheme="minorEastAsia" w:hAnsiTheme="minorEastAsia" w:eastAsiaTheme="minorEastAsia" w:cstheme="minorEastAsia"/>
          <w:color w:val="auto"/>
        </w:rPr>
        <w:t>8款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规定进行准备，密封，标注和递送。</w:t>
      </w:r>
    </w:p>
    <w:p w14:paraId="3AE2B948">
      <w:pPr>
        <w:widowControl/>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21.3  递交响应文件截止时间后不得修改响应文件。</w:t>
      </w:r>
    </w:p>
    <w:p w14:paraId="7AE68EE4">
      <w:pPr>
        <w:widowControl/>
        <w:autoSpaceDE w:val="0"/>
        <w:autoSpaceDN w:val="0"/>
        <w:spacing w:line="360" w:lineRule="auto"/>
        <w:ind w:left="630" w:right="18" w:hanging="630" w:hangingChars="300"/>
        <w:textAlignment w:val="bottom"/>
        <w:rPr>
          <w:rStyle w:val="42"/>
          <w:color w:val="auto"/>
        </w:rPr>
      </w:pPr>
      <w:r>
        <w:rPr>
          <w:rFonts w:hint="eastAsia" w:asciiTheme="minorEastAsia" w:hAnsiTheme="minorEastAsia" w:eastAsiaTheme="minorEastAsia" w:cstheme="minorEastAsia"/>
          <w:color w:val="auto"/>
        </w:rPr>
        <w:t>21.4  服务商不得在递交响应文件截止日起至</w:t>
      </w:r>
      <w:r>
        <w:rPr>
          <w:color w:val="auto"/>
        </w:rPr>
        <w:fldChar w:fldCharType="begin"/>
      </w:r>
      <w:r>
        <w:rPr>
          <w:color w:val="auto"/>
        </w:rPr>
        <w:instrText xml:space="preserve"> HYPERLINK \l "_投标文件的编制" \o "投标有效期" </w:instrText>
      </w:r>
      <w:r>
        <w:rPr>
          <w:color w:val="auto"/>
        </w:rPr>
        <w:fldChar w:fldCharType="separate"/>
      </w:r>
      <w:r>
        <w:rPr>
          <w:rFonts w:hint="eastAsia" w:asciiTheme="minorEastAsia" w:hAnsiTheme="minorEastAsia" w:eastAsiaTheme="minorEastAsia" w:cstheme="minorEastAsia"/>
          <w:color w:val="auto"/>
        </w:rPr>
        <w:t>第16款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规定的响应文件有效期期满前撤销响应文件，否则采购代理机构将按</w:t>
      </w:r>
      <w:r>
        <w:rPr>
          <w:color w:val="auto"/>
        </w:rPr>
        <w:fldChar w:fldCharType="begin"/>
      </w:r>
      <w:r>
        <w:rPr>
          <w:color w:val="auto"/>
        </w:rPr>
        <w:instrText xml:space="preserve"> HYPERLINK \l "_开标与评标（细则参见财政部《_政府采购招标投标管理暂行办法_》及中华人民共和国" \o "投标有效期内撤回投标" </w:instrText>
      </w:r>
      <w:r>
        <w:rPr>
          <w:color w:val="auto"/>
        </w:rPr>
        <w:fldChar w:fldCharType="separate"/>
      </w:r>
      <w:r>
        <w:rPr>
          <w:rFonts w:hint="eastAsia" w:asciiTheme="minorEastAsia" w:hAnsiTheme="minorEastAsia" w:eastAsiaTheme="minorEastAsia" w:cstheme="minorEastAsia"/>
          <w:color w:val="auto"/>
        </w:rPr>
        <w:t>第15.7（1）款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规定没收其磋商保证金。</w:t>
      </w:r>
    </w:p>
    <w:p w14:paraId="6834513B">
      <w:pPr>
        <w:widowControl/>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21.5  不论成交与否，被采购代理机构接受的响应文件一律不予退还。</w:t>
      </w:r>
    </w:p>
    <w:p w14:paraId="14E2FB3D">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21.6  经服务商确认的响应文件具有法律效力。与采购代理机构及采购人的任何个人的口头协议均不能影响响应文件的任何条款与内容。</w:t>
      </w:r>
    </w:p>
    <w:p w14:paraId="73DF613C">
      <w:pPr>
        <w:widowControl/>
        <w:autoSpaceDE w:val="0"/>
        <w:autoSpaceDN w:val="0"/>
        <w:spacing w:line="360" w:lineRule="auto"/>
        <w:ind w:right="-34"/>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E</w:t>
      </w:r>
      <w:r>
        <w:rPr>
          <w:rFonts w:hint="eastAsia" w:asciiTheme="minorEastAsia" w:hAnsiTheme="minorEastAsia" w:eastAsiaTheme="minorEastAsia" w:cstheme="minorEastAsia"/>
          <w:b/>
          <w:bCs/>
          <w:color w:val="auto"/>
        </w:rPr>
        <w:t xml:space="preserve"> 响应文件开启与竞争性磋商 </w:t>
      </w:r>
    </w:p>
    <w:p w14:paraId="7C5E8373">
      <w:pPr>
        <w:autoSpaceDE w:val="0"/>
        <w:autoSpaceDN w:val="0"/>
        <w:spacing w:line="360" w:lineRule="auto"/>
        <w:ind w:right="-34"/>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22 </w:t>
      </w:r>
      <w:r>
        <w:rPr>
          <w:rFonts w:hint="eastAsia" w:asciiTheme="minorEastAsia" w:hAnsiTheme="minorEastAsia" w:eastAsiaTheme="minorEastAsia" w:cstheme="minorEastAsia"/>
          <w:b/>
          <w:bCs/>
          <w:color w:val="auto"/>
        </w:rPr>
        <w:t>响应文件开启</w:t>
      </w:r>
    </w:p>
    <w:p w14:paraId="20E88613">
      <w:pPr>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22.1 采购代理机构在服务商代表出席的情况下，在“响应资料表”规定的地点和时间响应文件开启，出席代表需登记以示出席。</w:t>
      </w:r>
    </w:p>
    <w:p w14:paraId="10D27150">
      <w:pPr>
        <w:autoSpaceDE w:val="0"/>
        <w:autoSpaceDN w:val="0"/>
        <w:spacing w:line="360" w:lineRule="auto"/>
        <w:ind w:right="-34"/>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22.2 按照第21款规定，提交了可接受的“撤回”通知的报价将不予开封。</w:t>
      </w:r>
    </w:p>
    <w:p w14:paraId="39C5E2AD">
      <w:pPr>
        <w:autoSpaceDE w:val="0"/>
        <w:autoSpaceDN w:val="0"/>
        <w:spacing w:line="360" w:lineRule="auto"/>
        <w:ind w:left="527" w:right="-34" w:hanging="527" w:hangingChars="250"/>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22.3 响应文件开启时，采购代理机构对各服务商的首次报价不进行公开宣读。</w:t>
      </w:r>
    </w:p>
    <w:p w14:paraId="328EF113">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22.4 采购代理机构将做记录，记录包括服务商名称、报价、是否有磋商保证金等。最后由专家评委签字确认。</w:t>
      </w:r>
    </w:p>
    <w:p w14:paraId="22C96258">
      <w:pPr>
        <w:widowControl/>
        <w:autoSpaceDE w:val="0"/>
        <w:autoSpaceDN w:val="0"/>
        <w:spacing w:line="360" w:lineRule="auto"/>
        <w:ind w:right="-34"/>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23 </w:t>
      </w:r>
      <w:r>
        <w:rPr>
          <w:rFonts w:hint="eastAsia" w:asciiTheme="minorEastAsia" w:hAnsiTheme="minorEastAsia" w:eastAsiaTheme="minorEastAsia" w:cstheme="minorEastAsia"/>
          <w:b/>
          <w:bCs/>
          <w:color w:val="auto"/>
        </w:rPr>
        <w:t>评审和磋商过程的保密性</w:t>
      </w:r>
    </w:p>
    <w:p w14:paraId="4514080D">
      <w:pPr>
        <w:widowControl/>
        <w:autoSpaceDE w:val="0"/>
        <w:autoSpaceDN w:val="0"/>
        <w:spacing w:line="360" w:lineRule="auto"/>
        <w:ind w:left="540" w:right="-34" w:hanging="539" w:hangingChars="25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23.1 公开响应文件开启后，直至向成交的服务商授予合同时止，凡与审查，澄清，评估和竞争性磋商的有关资料以及有关授予合同的意向等，均不得向服务商及与磋商小组无关的其他人透露。</w:t>
      </w:r>
    </w:p>
    <w:p w14:paraId="67338BB0">
      <w:pPr>
        <w:widowControl/>
        <w:autoSpaceDE w:val="0"/>
        <w:autoSpaceDN w:val="0"/>
        <w:spacing w:line="360" w:lineRule="auto"/>
        <w:ind w:left="540" w:right="-34" w:hanging="539" w:hangingChars="25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23.2 在评审和磋商过程中，如果服务商试图在响应文件审查，澄清，竞争性磋商及授予合同方面向采购代理机构和磋商小组成员施加任何影响，以不正当手段参与竞争，其报价及在磋商中的任何承诺将被拒绝。</w:t>
      </w:r>
    </w:p>
    <w:p w14:paraId="0A394CB1">
      <w:pPr>
        <w:widowControl/>
        <w:autoSpaceDE w:val="0"/>
        <w:autoSpaceDN w:val="0"/>
        <w:spacing w:line="360" w:lineRule="auto"/>
        <w:ind w:right="-34"/>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24 </w:t>
      </w:r>
      <w:r>
        <w:rPr>
          <w:rFonts w:hint="eastAsia" w:asciiTheme="minorEastAsia" w:hAnsiTheme="minorEastAsia" w:eastAsiaTheme="minorEastAsia" w:cstheme="minorEastAsia"/>
          <w:b/>
          <w:bCs/>
          <w:color w:val="auto"/>
        </w:rPr>
        <w:t>响应文件的澄清</w:t>
      </w:r>
    </w:p>
    <w:p w14:paraId="6BFCFC43">
      <w:pPr>
        <w:widowControl/>
        <w:autoSpaceDE w:val="0"/>
        <w:autoSpaceDN w:val="0"/>
        <w:spacing w:line="360" w:lineRule="auto"/>
        <w:ind w:left="540" w:right="-34" w:hanging="539" w:hangingChars="257"/>
        <w:textAlignment w:val="bottom"/>
        <w:rPr>
          <w:rFonts w:asciiTheme="minorEastAsia" w:hAnsiTheme="minorEastAsia" w:eastAsiaTheme="minorEastAsia" w:cstheme="minorEastAsia"/>
          <w:b/>
          <w:bCs/>
          <w:color w:val="auto"/>
          <w:u w:val="single"/>
        </w:rPr>
      </w:pPr>
      <w:r>
        <w:rPr>
          <w:rFonts w:hint="eastAsia" w:asciiTheme="minorEastAsia" w:hAnsiTheme="minorEastAsia" w:eastAsiaTheme="minorEastAsia" w:cstheme="minorEastAsia"/>
          <w:color w:val="auto"/>
        </w:rPr>
        <w:t>24.1 为有助于对响应文件的审查、评估和比较，采购代理机构可以请服务商澄清其报价内容。提出澄清的要求与答复均应是书面的。</w:t>
      </w:r>
    </w:p>
    <w:p w14:paraId="010D85A5">
      <w:pPr>
        <w:widowControl/>
        <w:autoSpaceDE w:val="0"/>
        <w:autoSpaceDN w:val="0"/>
        <w:spacing w:line="360" w:lineRule="auto"/>
        <w:ind w:left="900" w:right="-34" w:hanging="900"/>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25 </w:t>
      </w:r>
      <w:r>
        <w:rPr>
          <w:rFonts w:hint="eastAsia" w:asciiTheme="minorEastAsia" w:hAnsiTheme="minorEastAsia" w:eastAsiaTheme="minorEastAsia" w:cstheme="minorEastAsia"/>
          <w:b/>
          <w:bCs/>
          <w:color w:val="auto"/>
        </w:rPr>
        <w:t>响应文件的初审</w:t>
      </w:r>
    </w:p>
    <w:p w14:paraId="1BEF47B2">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25.1 响应文件开启后，竞争性磋商小组将审查响应文件是否完整；有无提供所需的磋商保证金；是否恰当地签署；有否计算错误；是否大致编排有序等。</w:t>
      </w:r>
    </w:p>
    <w:p w14:paraId="77F90582">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25.2 根据26款规定对报价展开竞争性磋商之前，竞争性磋商小组将确定每一报价是否对磋商文件的要求做出了实质性的响应。所谓做出实质性响应的报价指的是符合磋商文件要求的全部条款和条件和规格而无任何重大偏离或保留。重大偏离或保留系指实质上影响到合同项下的服务内容、服务质量、性质等，或指与磋商文件有实质不一致，限制了合同项下采购人的权利和服务商的义务，或对该重大偏离的修改对提交实质性响应报价的服务商将不公平。竞争性磋商小组决定响应文件的响应性是基于响应文件的内容本身而不靠外部的证据。</w:t>
      </w:r>
    </w:p>
    <w:p w14:paraId="0D971342">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25.3 竞争性磋商小组将拒绝被定为非响应性的报价，服务商不能通过修正或撤销不符之处而使其报价成为响应性报价。</w:t>
      </w:r>
    </w:p>
    <w:p w14:paraId="72C694CE">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25.4 竞争性磋商小组将对确定为实质上响应的报价进行审核，看其是否有计算上和累加上的算术错误，修正错误的原则如下：</w:t>
      </w:r>
    </w:p>
    <w:p w14:paraId="30F13398">
      <w:pPr>
        <w:widowControl/>
        <w:numPr>
          <w:ilvl w:val="0"/>
          <w:numId w:val="9"/>
        </w:numPr>
        <w:autoSpaceDE w:val="0"/>
        <w:autoSpaceDN w:val="0"/>
        <w:spacing w:line="360" w:lineRule="auto"/>
        <w:ind w:left="900" w:right="-34" w:hanging="54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如果用数字表示的金额和用文字表示的金额不一致，应以文字表示的金额为准。</w:t>
      </w:r>
    </w:p>
    <w:p w14:paraId="1B648862">
      <w:pPr>
        <w:widowControl/>
        <w:numPr>
          <w:ilvl w:val="0"/>
          <w:numId w:val="9"/>
        </w:numPr>
        <w:autoSpaceDE w:val="0"/>
        <w:autoSpaceDN w:val="0"/>
        <w:spacing w:line="360" w:lineRule="auto"/>
        <w:ind w:left="900" w:right="-34" w:hanging="54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当单价和数量的乘积和总价不一致时，以单价为准，并修正总价。</w:t>
      </w:r>
    </w:p>
    <w:p w14:paraId="11EC5600">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25.5 竞争性磋商小组将按上述修正错误的方法调整响应文件中的分项报价，调整后的价格在磋商之前应对服务商具有约束力。如果服务商不接受修正后的价格，则其报价将被拒绝，其参加磋商的资格将被取消，其磋商保证金将被没收。</w:t>
      </w:r>
    </w:p>
    <w:p w14:paraId="477E17D1">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25.6 竞争性磋商小组将允许修正响应文件中不构成重大偏离的，微小的，非正规的，不一致的或不规则的地方，但这些修正不能影响任何服务商在磋商开始前相应的名次排列。</w:t>
      </w:r>
    </w:p>
    <w:p w14:paraId="724CE927">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25.7 响应文件开启结束，竞争性磋商小组将对服务商的响应文件进行初步评审。</w:t>
      </w:r>
    </w:p>
    <w:p w14:paraId="5F5E2479">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服务商若不符合下述要求中任何一项，其初步评审不合格，响应文件将被否决：</w:t>
      </w:r>
    </w:p>
    <w:p w14:paraId="75798A95">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 服务商未提交磋商保证金或金额不足；</w:t>
      </w:r>
    </w:p>
    <w:p w14:paraId="54F6293C">
      <w:pPr>
        <w:widowControl/>
        <w:autoSpaceDE w:val="0"/>
        <w:autoSpaceDN w:val="0"/>
        <w:spacing w:line="360" w:lineRule="auto"/>
        <w:ind w:right="-34" w:firstLine="420" w:firstLineChars="2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 响应文件有效期不足的； </w:t>
      </w:r>
    </w:p>
    <w:p w14:paraId="71915B22">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 未按照磋商文件规定要求密封、签署、盖章；</w:t>
      </w:r>
    </w:p>
    <w:p w14:paraId="23CA7DB9">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 未按照磋商文件规定提供合格的法定代表人授权书或法定代表人授权人的转授权书的；</w:t>
      </w:r>
    </w:p>
    <w:p w14:paraId="2D8C4C06">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 服务商有违法违纪行为，或在过去三年中有重大的质量、信誉等问题；</w:t>
      </w:r>
    </w:p>
    <w:p w14:paraId="71A674F8">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 响应文件中提供虚假或失实资料的；</w:t>
      </w:r>
    </w:p>
    <w:p w14:paraId="0584D3FB">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 服务商以明显低于成本价的价格恶意竞争的；</w:t>
      </w:r>
    </w:p>
    <w:p w14:paraId="215F4C6B">
      <w:pPr>
        <w:widowControl/>
        <w:autoSpaceDE w:val="0"/>
        <w:autoSpaceDN w:val="0"/>
        <w:spacing w:line="360" w:lineRule="auto"/>
        <w:ind w:left="525" w:leftChars="200" w:right="-34" w:hanging="105" w:hangingChars="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 不符合法律、法规。</w:t>
      </w:r>
    </w:p>
    <w:p w14:paraId="2B0ADE8D">
      <w:pPr>
        <w:spacing w:line="360" w:lineRule="auto"/>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eastAsia="zh-CN"/>
        </w:rPr>
        <w:t>资格性审查表</w:t>
      </w:r>
    </w:p>
    <w:tbl>
      <w:tblPr>
        <w:tblStyle w:val="18"/>
        <w:tblW w:w="0" w:type="auto"/>
        <w:jc w:val="center"/>
        <w:tblLayout w:type="fixed"/>
        <w:tblCellMar>
          <w:top w:w="0" w:type="dxa"/>
          <w:left w:w="108" w:type="dxa"/>
          <w:bottom w:w="0" w:type="dxa"/>
          <w:right w:w="108" w:type="dxa"/>
        </w:tblCellMar>
      </w:tblPr>
      <w:tblGrid>
        <w:gridCol w:w="1072"/>
        <w:gridCol w:w="6052"/>
        <w:gridCol w:w="1961"/>
      </w:tblGrid>
      <w:tr w14:paraId="29A22A46">
        <w:tblPrEx>
          <w:tblCellMar>
            <w:top w:w="0" w:type="dxa"/>
            <w:left w:w="108" w:type="dxa"/>
            <w:bottom w:w="0" w:type="dxa"/>
            <w:right w:w="108" w:type="dxa"/>
          </w:tblCellMar>
        </w:tblPrEx>
        <w:trPr>
          <w:trHeight w:val="397" w:hRule="atLeast"/>
          <w:jc w:val="center"/>
        </w:trPr>
        <w:tc>
          <w:tcPr>
            <w:tcW w:w="7124" w:type="dxa"/>
            <w:gridSpan w:val="2"/>
            <w:vMerge w:val="restart"/>
            <w:tcBorders>
              <w:top w:val="single" w:color="auto" w:sz="6" w:space="0"/>
              <w:left w:val="single" w:color="auto" w:sz="6" w:space="0"/>
              <w:bottom w:val="single" w:color="auto" w:sz="6" w:space="0"/>
              <w:right w:val="single" w:color="auto" w:sz="6" w:space="0"/>
            </w:tcBorders>
            <w:noWrap w:val="0"/>
            <w:vAlign w:val="center"/>
          </w:tcPr>
          <w:p w14:paraId="36B9D42E">
            <w:pPr>
              <w:widowControl/>
              <w:autoSpaceDE w:val="0"/>
              <w:autoSpaceDN w:val="0"/>
              <w:spacing w:line="400" w:lineRule="exact"/>
              <w:ind w:right="-34"/>
              <w:jc w:val="center"/>
              <w:textAlignment w:val="bottom"/>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检查内容</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2F3A7496">
            <w:pPr>
              <w:widowControl/>
              <w:autoSpaceDE w:val="0"/>
              <w:autoSpaceDN w:val="0"/>
              <w:spacing w:line="400" w:lineRule="exact"/>
              <w:ind w:left="600" w:right="-34" w:hanging="600" w:hangingChars="250"/>
              <w:jc w:val="center"/>
              <w:textAlignment w:val="bottom"/>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投标人</w:t>
            </w:r>
          </w:p>
        </w:tc>
      </w:tr>
      <w:tr w14:paraId="40EAA3D5">
        <w:tblPrEx>
          <w:tblCellMar>
            <w:top w:w="0" w:type="dxa"/>
            <w:left w:w="108" w:type="dxa"/>
            <w:bottom w:w="0" w:type="dxa"/>
            <w:right w:w="108" w:type="dxa"/>
          </w:tblCellMar>
        </w:tblPrEx>
        <w:trPr>
          <w:trHeight w:val="397" w:hRule="atLeast"/>
          <w:jc w:val="center"/>
        </w:trPr>
        <w:tc>
          <w:tcPr>
            <w:tcW w:w="7124" w:type="dxa"/>
            <w:gridSpan w:val="2"/>
            <w:vMerge w:val="continue"/>
            <w:tcBorders>
              <w:top w:val="single" w:color="auto" w:sz="6" w:space="0"/>
              <w:left w:val="single" w:color="auto" w:sz="6" w:space="0"/>
              <w:bottom w:val="single" w:color="auto" w:sz="6" w:space="0"/>
              <w:right w:val="single" w:color="auto" w:sz="6" w:space="0"/>
            </w:tcBorders>
            <w:noWrap w:val="0"/>
            <w:vAlign w:val="center"/>
          </w:tcPr>
          <w:p w14:paraId="672BBC3C">
            <w:pPr>
              <w:widowControl/>
              <w:autoSpaceDE w:val="0"/>
              <w:autoSpaceDN w:val="0"/>
              <w:spacing w:line="400" w:lineRule="exact"/>
              <w:ind w:left="600" w:right="-34" w:hanging="600" w:hangingChars="250"/>
              <w:jc w:val="center"/>
              <w:textAlignment w:val="bottom"/>
              <w:rPr>
                <w:rFonts w:hint="eastAsia" w:ascii="宋体" w:hAnsi="宋体" w:eastAsia="宋体" w:cs="宋体"/>
                <w:b w:val="0"/>
                <w:bCs w:val="0"/>
                <w:color w:val="auto"/>
                <w:sz w:val="24"/>
                <w:highlight w:val="none"/>
              </w:rPr>
            </w:pPr>
          </w:p>
        </w:tc>
        <w:tc>
          <w:tcPr>
            <w:tcW w:w="1961" w:type="dxa"/>
            <w:tcBorders>
              <w:top w:val="single" w:color="auto" w:sz="6" w:space="0"/>
              <w:left w:val="single" w:color="auto" w:sz="6" w:space="0"/>
              <w:bottom w:val="single" w:color="auto" w:sz="6" w:space="0"/>
              <w:right w:val="single" w:color="auto" w:sz="4" w:space="0"/>
            </w:tcBorders>
            <w:noWrap w:val="0"/>
            <w:vAlign w:val="top"/>
          </w:tcPr>
          <w:p w14:paraId="1ABFD04A">
            <w:pPr>
              <w:widowControl/>
              <w:autoSpaceDE w:val="0"/>
              <w:autoSpaceDN w:val="0"/>
              <w:spacing w:line="400" w:lineRule="exact"/>
              <w:ind w:right="-34"/>
              <w:jc w:val="center"/>
              <w:textAlignment w:val="bottom"/>
              <w:rPr>
                <w:rFonts w:hint="eastAsia" w:ascii="宋体" w:hAnsi="宋体" w:eastAsia="宋体" w:cs="宋体"/>
                <w:b w:val="0"/>
                <w:bCs w:val="0"/>
                <w:color w:val="auto"/>
                <w:sz w:val="24"/>
                <w:highlight w:val="none"/>
              </w:rPr>
            </w:pPr>
          </w:p>
        </w:tc>
      </w:tr>
      <w:tr w14:paraId="332C362E">
        <w:tblPrEx>
          <w:tblCellMar>
            <w:top w:w="0" w:type="dxa"/>
            <w:left w:w="108" w:type="dxa"/>
            <w:bottom w:w="0" w:type="dxa"/>
            <w:right w:w="108" w:type="dxa"/>
          </w:tblCellMar>
        </w:tblPrEx>
        <w:trPr>
          <w:trHeight w:val="397" w:hRule="atLeast"/>
          <w:jc w:val="center"/>
        </w:trPr>
        <w:tc>
          <w:tcPr>
            <w:tcW w:w="1072" w:type="dxa"/>
            <w:vMerge w:val="restart"/>
            <w:tcBorders>
              <w:top w:val="single" w:color="auto" w:sz="6" w:space="0"/>
              <w:left w:val="single" w:color="auto" w:sz="6" w:space="0"/>
              <w:right w:val="single" w:color="auto" w:sz="4" w:space="0"/>
            </w:tcBorders>
            <w:noWrap w:val="0"/>
            <w:vAlign w:val="center"/>
          </w:tcPr>
          <w:p w14:paraId="17F0ECF2">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资格性审查</w:t>
            </w:r>
          </w:p>
        </w:tc>
        <w:tc>
          <w:tcPr>
            <w:tcW w:w="6052" w:type="dxa"/>
            <w:tcBorders>
              <w:top w:val="single" w:color="auto" w:sz="6" w:space="0"/>
              <w:left w:val="single" w:color="auto" w:sz="4" w:space="0"/>
              <w:bottom w:val="single" w:color="auto" w:sz="6" w:space="0"/>
              <w:right w:val="single" w:color="auto" w:sz="6" w:space="0"/>
            </w:tcBorders>
            <w:noWrap w:val="0"/>
            <w:vAlign w:val="center"/>
          </w:tcPr>
          <w:p w14:paraId="0E3E9D44">
            <w:pPr>
              <w:jc w:val="center"/>
              <w:rPr>
                <w:rFonts w:hint="eastAsia" w:ascii="宋体" w:hAnsi="宋体" w:eastAsia="宋体" w:cs="宋体"/>
                <w:b w:val="0"/>
                <w:bCs w:val="0"/>
                <w:color w:val="auto"/>
                <w:sz w:val="24"/>
                <w:highlight w:val="none"/>
                <w:lang w:val="zh-CN"/>
              </w:rPr>
            </w:pPr>
            <w:r>
              <w:rPr>
                <w:rFonts w:hint="eastAsia" w:ascii="宋体" w:hAnsi="宋体" w:eastAsia="宋体" w:cs="宋体"/>
                <w:b w:val="0"/>
                <w:bCs w:val="0"/>
                <w:color w:val="auto"/>
                <w:sz w:val="24"/>
                <w:highlight w:val="none"/>
              </w:rPr>
              <w:t>法人或者其他组织的营业执照等证明文件</w:t>
            </w:r>
            <w:r>
              <w:rPr>
                <w:rFonts w:hint="eastAsia" w:ascii="宋体" w:hAnsi="宋体" w:eastAsia="宋体" w:cs="宋体"/>
                <w:b w:val="0"/>
                <w:bCs w:val="0"/>
                <w:color w:val="auto"/>
                <w:sz w:val="24"/>
                <w:highlight w:val="none"/>
                <w:lang w:val="zh-CN"/>
              </w:rPr>
              <w:t>。</w:t>
            </w:r>
          </w:p>
          <w:p w14:paraId="1D5807B1">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zh-CN"/>
              </w:rPr>
              <w:t>投标文件内提交证明资料并加盖公章。</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446CD23D">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58D72F79">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290F1566">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51EA386D">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eastAsia="zh-CN"/>
              </w:rPr>
              <w:t>具有良好的商业信誉和健全的财务会计制度</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6E00F8B7">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7A12FC04">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0EF358E1">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3545C6E3">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eastAsia="zh-CN"/>
              </w:rPr>
              <w:t>具有依法缴纳税收和社会保障资金的良好记录</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3F89197E">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70F2AD93">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28ACC87B">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68A16BB4">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eastAsia="zh-CN"/>
              </w:rPr>
              <w:t>具有履行合同所必需的设备和专业技术能力</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1FBEE8D2">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0714B80A">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514E70B5">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21B0EAB2">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lang w:val="en-US" w:eastAsia="zh-CN"/>
              </w:rPr>
              <w:t>参加政府采购活动前三年内，在经营活动中没有重大违法记录</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76D9F232">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15E479EF">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4CC8F2FE">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09B0D938">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按照招标文件规定要求、签署、盖章</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0F07C0F8">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56ECAB09">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5790295D">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2ACF1346">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投标</w:t>
            </w:r>
            <w:r>
              <w:rPr>
                <w:rFonts w:hint="eastAsia" w:ascii="宋体" w:hAnsi="宋体" w:eastAsia="宋体" w:cs="宋体"/>
                <w:b w:val="0"/>
                <w:bCs w:val="0"/>
                <w:color w:val="auto"/>
                <w:sz w:val="24"/>
                <w:highlight w:val="none"/>
                <w:lang w:eastAsia="zh-CN"/>
              </w:rPr>
              <w:t>人</w:t>
            </w:r>
            <w:r>
              <w:rPr>
                <w:rFonts w:hint="eastAsia" w:ascii="宋体" w:hAnsi="宋体" w:eastAsia="宋体" w:cs="宋体"/>
                <w:b w:val="0"/>
                <w:bCs w:val="0"/>
                <w:color w:val="auto"/>
                <w:sz w:val="24"/>
                <w:highlight w:val="none"/>
              </w:rPr>
              <w:t>不能列入失信被执行人、重大税收违法案件当事人名单、政府采购严重违法失信行为记录名单（详见财库【2016】125号，通过“信用中国”网站（www.creditchina.gov.cn）、中国政府采购网（www.ccgp.gov.cn）渠道查询相关信用记录的网站截图证明，</w:t>
            </w:r>
            <w:r>
              <w:rPr>
                <w:rFonts w:hint="eastAsia" w:ascii="宋体" w:hAnsi="宋体" w:cs="宋体"/>
                <w:b w:val="0"/>
                <w:bCs w:val="0"/>
                <w:color w:val="auto"/>
                <w:sz w:val="24"/>
                <w:highlight w:val="none"/>
                <w:lang w:eastAsia="zh-CN"/>
              </w:rPr>
              <w:t>自公告之日起至响应截止时间</w:t>
            </w:r>
            <w:r>
              <w:rPr>
                <w:rFonts w:hint="eastAsia" w:ascii="宋体" w:hAnsi="宋体" w:eastAsia="宋体" w:cs="宋体"/>
                <w:b w:val="0"/>
                <w:bCs w:val="0"/>
                <w:color w:val="auto"/>
                <w:sz w:val="24"/>
                <w:highlight w:val="none"/>
              </w:rPr>
              <w:t>。</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4D8592B7">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3830AEC6">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4B3DEE7C">
            <w:pPr>
              <w:ind w:firstLine="482"/>
              <w:jc w:val="center"/>
              <w:rPr>
                <w:rFonts w:hint="eastAsia" w:ascii="宋体" w:hAnsi="宋体" w:eastAsia="宋体" w:cs="宋体"/>
                <w:b w:val="0"/>
                <w:bCs w:val="0"/>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4D009DED">
            <w:pPr>
              <w:jc w:val="center"/>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投标报价未超出采购预算</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4816A8B7">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3E42D373">
        <w:tblPrEx>
          <w:tblCellMar>
            <w:top w:w="0" w:type="dxa"/>
            <w:left w:w="108" w:type="dxa"/>
            <w:bottom w:w="0" w:type="dxa"/>
            <w:right w:w="108" w:type="dxa"/>
          </w:tblCellMar>
        </w:tblPrEx>
        <w:trPr>
          <w:trHeight w:val="397" w:hRule="atLeast"/>
          <w:jc w:val="center"/>
        </w:trPr>
        <w:tc>
          <w:tcPr>
            <w:tcW w:w="7124" w:type="dxa"/>
            <w:gridSpan w:val="2"/>
            <w:tcBorders>
              <w:top w:val="single" w:color="auto" w:sz="6" w:space="0"/>
              <w:left w:val="single" w:color="auto" w:sz="6" w:space="0"/>
              <w:bottom w:val="single" w:color="auto" w:sz="6" w:space="0"/>
              <w:right w:val="single" w:color="auto" w:sz="6" w:space="0"/>
            </w:tcBorders>
            <w:noWrap w:val="0"/>
            <w:vAlign w:val="center"/>
          </w:tcPr>
          <w:p w14:paraId="4DEB8849">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结论</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7842EEBF">
            <w:pPr>
              <w:widowControl/>
              <w:autoSpaceDE w:val="0"/>
              <w:autoSpaceDN w:val="0"/>
              <w:ind w:left="600" w:right="-34" w:hanging="600" w:hangingChars="250"/>
              <w:jc w:val="center"/>
              <w:textAlignment w:val="bottom"/>
              <w:rPr>
                <w:rFonts w:hint="eastAsia" w:ascii="宋体" w:hAnsi="宋体" w:eastAsia="宋体" w:cs="宋体"/>
                <w:b w:val="0"/>
                <w:bCs w:val="0"/>
                <w:color w:val="auto"/>
                <w:sz w:val="24"/>
                <w:highlight w:val="none"/>
              </w:rPr>
            </w:pPr>
          </w:p>
        </w:tc>
      </w:tr>
      <w:tr w14:paraId="21BF8511">
        <w:tblPrEx>
          <w:tblCellMar>
            <w:top w:w="0" w:type="dxa"/>
            <w:left w:w="108" w:type="dxa"/>
            <w:bottom w:w="0" w:type="dxa"/>
            <w:right w:w="108" w:type="dxa"/>
          </w:tblCellMar>
        </w:tblPrEx>
        <w:trPr>
          <w:trHeight w:val="397" w:hRule="atLeast"/>
          <w:jc w:val="center"/>
        </w:trPr>
        <w:tc>
          <w:tcPr>
            <w:tcW w:w="9085" w:type="dxa"/>
            <w:gridSpan w:val="3"/>
            <w:tcBorders>
              <w:top w:val="single" w:color="auto" w:sz="6" w:space="0"/>
              <w:left w:val="single" w:color="auto" w:sz="6" w:space="0"/>
              <w:bottom w:val="single" w:color="auto" w:sz="6" w:space="0"/>
              <w:right w:val="single" w:color="auto" w:sz="4" w:space="0"/>
            </w:tcBorders>
            <w:noWrap w:val="0"/>
            <w:vAlign w:val="center"/>
          </w:tcPr>
          <w:p w14:paraId="0F24D0BD">
            <w:pPr>
              <w:widowControl/>
              <w:autoSpaceDE w:val="0"/>
              <w:autoSpaceDN w:val="0"/>
              <w:ind w:left="600" w:right="-34" w:hanging="600" w:hangingChars="250"/>
              <w:jc w:val="left"/>
              <w:textAlignment w:val="bottom"/>
              <w:rPr>
                <w:rFonts w:hint="eastAsia" w:ascii="宋体" w:hAnsi="宋体" w:eastAsia="宋体" w:cs="宋体"/>
                <w:b w:val="0"/>
                <w:bCs w:val="0"/>
                <w:color w:val="auto"/>
                <w:sz w:val="24"/>
                <w:highlight w:val="none"/>
                <w:lang w:eastAsia="zh-CN"/>
              </w:rPr>
            </w:pPr>
            <w:r>
              <w:rPr>
                <w:rFonts w:hint="eastAsia" w:ascii="宋体" w:hAnsi="宋体" w:eastAsia="宋体" w:cs="宋体"/>
                <w:b w:val="0"/>
                <w:bCs w:val="0"/>
                <w:color w:val="auto"/>
                <w:sz w:val="24"/>
                <w:highlight w:val="none"/>
                <w:lang w:val="en-US" w:eastAsia="zh-CN"/>
              </w:rPr>
              <w:t>审查人</w:t>
            </w:r>
            <w:r>
              <w:rPr>
                <w:rFonts w:hint="eastAsia" w:ascii="宋体" w:hAnsi="宋体" w:eastAsia="宋体" w:cs="宋体"/>
                <w:b w:val="0"/>
                <w:bCs w:val="0"/>
                <w:color w:val="auto"/>
                <w:sz w:val="24"/>
                <w:highlight w:val="none"/>
                <w:lang w:eastAsia="zh-CN"/>
              </w:rPr>
              <w:t>签字：</w:t>
            </w:r>
          </w:p>
        </w:tc>
      </w:tr>
    </w:tbl>
    <w:p w14:paraId="39D2DC81">
      <w:pPr>
        <w:spacing w:line="360" w:lineRule="auto"/>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注：本表中符合评审内容要求的写“√”，不符合评审内容要求的写“×”。结论为“合格”或“不合格。结论不合格的不进入</w:t>
      </w:r>
      <w:r>
        <w:rPr>
          <w:rFonts w:hint="eastAsia" w:ascii="宋体" w:hAnsi="宋体" w:eastAsia="宋体" w:cs="宋体"/>
          <w:b w:val="0"/>
          <w:bCs w:val="0"/>
          <w:color w:val="auto"/>
          <w:sz w:val="24"/>
          <w:highlight w:val="none"/>
          <w:lang w:eastAsia="zh-CN"/>
        </w:rPr>
        <w:t>符合性审查</w:t>
      </w:r>
      <w:r>
        <w:rPr>
          <w:rFonts w:hint="eastAsia" w:ascii="宋体" w:hAnsi="宋体" w:eastAsia="宋体" w:cs="宋体"/>
          <w:b w:val="0"/>
          <w:bCs w:val="0"/>
          <w:color w:val="auto"/>
          <w:sz w:val="24"/>
          <w:highlight w:val="none"/>
        </w:rPr>
        <w:t>阶段。</w:t>
      </w:r>
    </w:p>
    <w:p w14:paraId="2AD05A31">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right="0" w:rightChars="0"/>
        <w:jc w:val="both"/>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1.1.2 评标委员会将对符合资格的投标人的投标文件进行符合性审查，以确定其是否满足招标文件的实质性要求。</w:t>
      </w:r>
    </w:p>
    <w:p w14:paraId="523156C8">
      <w:pPr>
        <w:pStyle w:val="16"/>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right="0" w:rightChars="0"/>
        <w:jc w:val="center"/>
        <w:textAlignment w:val="auto"/>
        <w:outlineLvl w:val="9"/>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符合性审查表</w:t>
      </w:r>
    </w:p>
    <w:tbl>
      <w:tblPr>
        <w:tblStyle w:val="18"/>
        <w:tblW w:w="0" w:type="auto"/>
        <w:jc w:val="center"/>
        <w:tblLayout w:type="fixed"/>
        <w:tblCellMar>
          <w:top w:w="0" w:type="dxa"/>
          <w:left w:w="108" w:type="dxa"/>
          <w:bottom w:w="0" w:type="dxa"/>
          <w:right w:w="108" w:type="dxa"/>
        </w:tblCellMar>
      </w:tblPr>
      <w:tblGrid>
        <w:gridCol w:w="1072"/>
        <w:gridCol w:w="6052"/>
        <w:gridCol w:w="1961"/>
      </w:tblGrid>
      <w:tr w14:paraId="5CFAFEBB">
        <w:tblPrEx>
          <w:tblCellMar>
            <w:top w:w="0" w:type="dxa"/>
            <w:left w:w="108" w:type="dxa"/>
            <w:bottom w:w="0" w:type="dxa"/>
            <w:right w:w="108" w:type="dxa"/>
          </w:tblCellMar>
        </w:tblPrEx>
        <w:trPr>
          <w:trHeight w:val="397" w:hRule="atLeast"/>
          <w:jc w:val="center"/>
        </w:trPr>
        <w:tc>
          <w:tcPr>
            <w:tcW w:w="7124" w:type="dxa"/>
            <w:gridSpan w:val="2"/>
            <w:vMerge w:val="restart"/>
            <w:tcBorders>
              <w:top w:val="single" w:color="auto" w:sz="6" w:space="0"/>
              <w:left w:val="single" w:color="auto" w:sz="6" w:space="0"/>
              <w:bottom w:val="single" w:color="auto" w:sz="6" w:space="0"/>
              <w:right w:val="single" w:color="auto" w:sz="6" w:space="0"/>
            </w:tcBorders>
            <w:noWrap w:val="0"/>
            <w:vAlign w:val="center"/>
          </w:tcPr>
          <w:p w14:paraId="24B2CBCA">
            <w:pPr>
              <w:widowControl/>
              <w:autoSpaceDE w:val="0"/>
              <w:autoSpaceDN w:val="0"/>
              <w:spacing w:line="400" w:lineRule="exact"/>
              <w:ind w:right="-34"/>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检查内容</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0A097E08">
            <w:pPr>
              <w:widowControl/>
              <w:autoSpaceDE w:val="0"/>
              <w:autoSpaceDN w:val="0"/>
              <w:spacing w:line="400" w:lineRule="exact"/>
              <w:ind w:left="600" w:right="-34" w:hanging="600" w:hangingChars="25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w:t>
            </w:r>
          </w:p>
        </w:tc>
      </w:tr>
      <w:tr w14:paraId="2B53711D">
        <w:tblPrEx>
          <w:tblCellMar>
            <w:top w:w="0" w:type="dxa"/>
            <w:left w:w="108" w:type="dxa"/>
            <w:bottom w:w="0" w:type="dxa"/>
            <w:right w:w="108" w:type="dxa"/>
          </w:tblCellMar>
        </w:tblPrEx>
        <w:trPr>
          <w:trHeight w:val="397" w:hRule="atLeast"/>
          <w:jc w:val="center"/>
        </w:trPr>
        <w:tc>
          <w:tcPr>
            <w:tcW w:w="7124" w:type="dxa"/>
            <w:gridSpan w:val="2"/>
            <w:vMerge w:val="continue"/>
            <w:tcBorders>
              <w:top w:val="single" w:color="auto" w:sz="6" w:space="0"/>
              <w:left w:val="single" w:color="auto" w:sz="6" w:space="0"/>
              <w:bottom w:val="single" w:color="auto" w:sz="6" w:space="0"/>
              <w:right w:val="single" w:color="auto" w:sz="6" w:space="0"/>
            </w:tcBorders>
            <w:noWrap w:val="0"/>
            <w:vAlign w:val="center"/>
          </w:tcPr>
          <w:p w14:paraId="11F2EA42">
            <w:pPr>
              <w:widowControl/>
              <w:autoSpaceDE w:val="0"/>
              <w:autoSpaceDN w:val="0"/>
              <w:spacing w:line="400" w:lineRule="exact"/>
              <w:ind w:left="600" w:right="-34" w:hanging="600" w:hangingChars="250"/>
              <w:jc w:val="center"/>
              <w:textAlignment w:val="bottom"/>
              <w:rPr>
                <w:rFonts w:hint="eastAsia" w:ascii="宋体" w:hAnsi="宋体" w:eastAsia="宋体" w:cs="宋体"/>
                <w:color w:val="auto"/>
                <w:sz w:val="24"/>
                <w:highlight w:val="none"/>
              </w:rPr>
            </w:pPr>
          </w:p>
        </w:tc>
        <w:tc>
          <w:tcPr>
            <w:tcW w:w="1961" w:type="dxa"/>
            <w:tcBorders>
              <w:top w:val="single" w:color="auto" w:sz="6" w:space="0"/>
              <w:left w:val="single" w:color="auto" w:sz="6" w:space="0"/>
              <w:bottom w:val="single" w:color="auto" w:sz="6" w:space="0"/>
              <w:right w:val="single" w:color="auto" w:sz="4" w:space="0"/>
            </w:tcBorders>
            <w:noWrap w:val="0"/>
            <w:vAlign w:val="top"/>
          </w:tcPr>
          <w:p w14:paraId="62BCFA50">
            <w:pPr>
              <w:widowControl/>
              <w:autoSpaceDE w:val="0"/>
              <w:autoSpaceDN w:val="0"/>
              <w:spacing w:line="400" w:lineRule="exact"/>
              <w:ind w:right="-34"/>
              <w:jc w:val="center"/>
              <w:textAlignment w:val="bottom"/>
              <w:rPr>
                <w:rFonts w:hint="eastAsia" w:ascii="宋体" w:hAnsi="宋体" w:eastAsia="宋体" w:cs="宋体"/>
                <w:color w:val="auto"/>
                <w:sz w:val="24"/>
                <w:highlight w:val="none"/>
              </w:rPr>
            </w:pPr>
          </w:p>
        </w:tc>
      </w:tr>
      <w:tr w14:paraId="427F1264">
        <w:tblPrEx>
          <w:tblCellMar>
            <w:top w:w="0" w:type="dxa"/>
            <w:left w:w="108" w:type="dxa"/>
            <w:bottom w:w="0" w:type="dxa"/>
            <w:right w:w="108" w:type="dxa"/>
          </w:tblCellMar>
        </w:tblPrEx>
        <w:trPr>
          <w:trHeight w:val="1221" w:hRule="atLeast"/>
          <w:jc w:val="center"/>
        </w:trPr>
        <w:tc>
          <w:tcPr>
            <w:tcW w:w="1072" w:type="dxa"/>
            <w:vMerge w:val="restart"/>
            <w:tcBorders>
              <w:top w:val="single" w:color="auto" w:sz="6" w:space="0"/>
              <w:left w:val="single" w:color="auto" w:sz="6" w:space="0"/>
              <w:right w:val="single" w:color="auto" w:sz="4" w:space="0"/>
            </w:tcBorders>
            <w:noWrap w:val="0"/>
            <w:vAlign w:val="center"/>
          </w:tcPr>
          <w:p w14:paraId="35908769">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符合性审查</w:t>
            </w:r>
          </w:p>
        </w:tc>
        <w:tc>
          <w:tcPr>
            <w:tcW w:w="6052" w:type="dxa"/>
            <w:tcBorders>
              <w:top w:val="single" w:color="auto" w:sz="6" w:space="0"/>
              <w:left w:val="single" w:color="auto" w:sz="4" w:space="0"/>
              <w:right w:val="single" w:color="auto" w:sz="6" w:space="0"/>
            </w:tcBorders>
            <w:noWrap w:val="0"/>
            <w:vAlign w:val="center"/>
          </w:tcPr>
          <w:p w14:paraId="20D90B99">
            <w:pPr>
              <w:jc w:val="center"/>
              <w:rPr>
                <w:rFonts w:hint="eastAsia" w:ascii="宋体" w:hAnsi="宋体" w:eastAsia="宋体" w:cs="宋体"/>
                <w:color w:val="auto"/>
                <w:sz w:val="24"/>
                <w:highlight w:val="none"/>
              </w:rPr>
            </w:pPr>
            <w:r>
              <w:rPr>
                <w:rFonts w:hint="eastAsia" w:ascii="宋体" w:hAnsi="宋体" w:eastAsia="宋体" w:cs="宋体"/>
                <w:b w:val="0"/>
                <w:bCs w:val="0"/>
                <w:color w:val="auto"/>
                <w:sz w:val="24"/>
                <w:highlight w:val="none"/>
              </w:rPr>
              <w:t>提交的投标价格为非可调整的价格</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35150B0D">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79E931CC">
        <w:tblPrEx>
          <w:tblCellMar>
            <w:top w:w="0" w:type="dxa"/>
            <w:left w:w="108" w:type="dxa"/>
            <w:bottom w:w="0" w:type="dxa"/>
            <w:right w:w="108" w:type="dxa"/>
          </w:tblCellMar>
        </w:tblPrEx>
        <w:trPr>
          <w:trHeight w:val="1221" w:hRule="atLeast"/>
          <w:jc w:val="center"/>
        </w:trPr>
        <w:tc>
          <w:tcPr>
            <w:tcW w:w="1072" w:type="dxa"/>
            <w:vMerge w:val="continue"/>
            <w:tcBorders>
              <w:left w:val="single" w:color="auto" w:sz="6" w:space="0"/>
              <w:right w:val="single" w:color="auto" w:sz="4" w:space="0"/>
            </w:tcBorders>
            <w:noWrap w:val="0"/>
            <w:vAlign w:val="center"/>
          </w:tcPr>
          <w:p w14:paraId="259B8F8A">
            <w:pPr>
              <w:jc w:val="center"/>
              <w:rPr>
                <w:rFonts w:hint="eastAsia" w:ascii="宋体" w:hAnsi="宋体" w:eastAsia="宋体" w:cs="宋体"/>
                <w:color w:val="auto"/>
                <w:sz w:val="24"/>
                <w:highlight w:val="none"/>
              </w:rPr>
            </w:pPr>
          </w:p>
        </w:tc>
        <w:tc>
          <w:tcPr>
            <w:tcW w:w="6052" w:type="dxa"/>
            <w:tcBorders>
              <w:top w:val="single" w:color="auto" w:sz="6" w:space="0"/>
              <w:left w:val="single" w:color="auto" w:sz="4" w:space="0"/>
              <w:right w:val="single" w:color="auto" w:sz="6" w:space="0"/>
            </w:tcBorders>
            <w:noWrap w:val="0"/>
            <w:vAlign w:val="center"/>
          </w:tcPr>
          <w:p w14:paraId="71E3E9D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逐条对招标文件要求的商务和</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需求进行应答，详细填写“</w:t>
            </w:r>
            <w:r>
              <w:rPr>
                <w:rFonts w:hint="eastAsia" w:ascii="宋体" w:hAnsi="宋体" w:eastAsia="宋体" w:cs="宋体"/>
                <w:color w:val="auto"/>
                <w:sz w:val="24"/>
                <w:highlight w:val="none"/>
                <w:lang w:eastAsia="zh-CN"/>
              </w:rPr>
              <w:t>服务需求</w:t>
            </w:r>
            <w:r>
              <w:rPr>
                <w:rFonts w:hint="eastAsia" w:ascii="宋体" w:hAnsi="宋体" w:eastAsia="宋体" w:cs="宋体"/>
                <w:color w:val="auto"/>
                <w:sz w:val="24"/>
                <w:highlight w:val="none"/>
              </w:rPr>
              <w:t>偏离表、商务条款偏离表”。</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096B4246">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3C5EE118">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6675792F">
            <w:pPr>
              <w:ind w:firstLine="482"/>
              <w:jc w:val="center"/>
              <w:rPr>
                <w:rFonts w:hint="eastAsia" w:ascii="宋体" w:hAnsi="宋体" w:eastAsia="宋体" w:cs="宋体"/>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234198AA">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投标文件的有效性、完整性满足招标文件要求</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1C5A5A83">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7716B5BB">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4DAEA457">
            <w:pPr>
              <w:ind w:firstLine="482"/>
              <w:jc w:val="center"/>
              <w:rPr>
                <w:rFonts w:hint="eastAsia" w:ascii="宋体" w:hAnsi="宋体" w:eastAsia="宋体" w:cs="宋体"/>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1D75ABA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符合招标文件中</w:t>
            </w:r>
            <w:r>
              <w:rPr>
                <w:rFonts w:hint="eastAsia" w:ascii="宋体" w:hAnsi="宋体" w:eastAsia="宋体" w:cs="宋体"/>
                <w:color w:val="auto"/>
                <w:sz w:val="24"/>
                <w:highlight w:val="none"/>
                <w:lang w:eastAsia="zh-CN"/>
              </w:rPr>
              <w:t>服务</w:t>
            </w:r>
            <w:r>
              <w:rPr>
                <w:rFonts w:hint="eastAsia" w:ascii="宋体" w:hAnsi="宋体" w:eastAsia="宋体" w:cs="宋体"/>
                <w:color w:val="auto"/>
                <w:sz w:val="24"/>
                <w:highlight w:val="none"/>
              </w:rPr>
              <w:t>期的要求</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58157990">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7EB86CC7">
        <w:tblPrEx>
          <w:tblCellMar>
            <w:top w:w="0" w:type="dxa"/>
            <w:left w:w="108" w:type="dxa"/>
            <w:bottom w:w="0" w:type="dxa"/>
            <w:right w:w="108" w:type="dxa"/>
          </w:tblCellMar>
        </w:tblPrEx>
        <w:trPr>
          <w:trHeight w:val="397" w:hRule="atLeast"/>
          <w:jc w:val="center"/>
        </w:trPr>
        <w:tc>
          <w:tcPr>
            <w:tcW w:w="1072" w:type="dxa"/>
            <w:vMerge w:val="continue"/>
            <w:tcBorders>
              <w:left w:val="single" w:color="auto" w:sz="6" w:space="0"/>
              <w:right w:val="single" w:color="auto" w:sz="4" w:space="0"/>
            </w:tcBorders>
            <w:noWrap w:val="0"/>
            <w:vAlign w:val="center"/>
          </w:tcPr>
          <w:p w14:paraId="6285EC29">
            <w:pPr>
              <w:ind w:firstLine="482"/>
              <w:jc w:val="center"/>
              <w:rPr>
                <w:rFonts w:hint="eastAsia" w:ascii="宋体" w:hAnsi="宋体" w:eastAsia="宋体" w:cs="宋体"/>
                <w:color w:val="auto"/>
                <w:sz w:val="24"/>
                <w:highlight w:val="none"/>
              </w:rPr>
            </w:pPr>
          </w:p>
        </w:tc>
        <w:tc>
          <w:tcPr>
            <w:tcW w:w="6052" w:type="dxa"/>
            <w:tcBorders>
              <w:top w:val="single" w:color="auto" w:sz="6" w:space="0"/>
              <w:left w:val="single" w:color="auto" w:sz="4" w:space="0"/>
              <w:bottom w:val="single" w:color="auto" w:sz="6" w:space="0"/>
              <w:right w:val="single" w:color="auto" w:sz="6" w:space="0"/>
            </w:tcBorders>
            <w:noWrap w:val="0"/>
            <w:vAlign w:val="center"/>
          </w:tcPr>
          <w:p w14:paraId="3D5A2B21">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对招标文件的实质性要求作出响应</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3B4C01C3">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216E8881">
        <w:tblPrEx>
          <w:tblCellMar>
            <w:top w:w="0" w:type="dxa"/>
            <w:left w:w="108" w:type="dxa"/>
            <w:bottom w:w="0" w:type="dxa"/>
            <w:right w:w="108" w:type="dxa"/>
          </w:tblCellMar>
        </w:tblPrEx>
        <w:trPr>
          <w:trHeight w:val="397" w:hRule="atLeast"/>
          <w:jc w:val="center"/>
        </w:trPr>
        <w:tc>
          <w:tcPr>
            <w:tcW w:w="7124" w:type="dxa"/>
            <w:gridSpan w:val="2"/>
            <w:tcBorders>
              <w:top w:val="single" w:color="auto" w:sz="6" w:space="0"/>
              <w:left w:val="single" w:color="auto" w:sz="6" w:space="0"/>
              <w:bottom w:val="single" w:color="auto" w:sz="6" w:space="0"/>
              <w:right w:val="single" w:color="auto" w:sz="6" w:space="0"/>
            </w:tcBorders>
            <w:noWrap w:val="0"/>
            <w:vAlign w:val="center"/>
          </w:tcPr>
          <w:p w14:paraId="3642AFEF">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结论</w:t>
            </w:r>
          </w:p>
        </w:tc>
        <w:tc>
          <w:tcPr>
            <w:tcW w:w="1961" w:type="dxa"/>
            <w:tcBorders>
              <w:top w:val="single" w:color="auto" w:sz="6" w:space="0"/>
              <w:left w:val="single" w:color="auto" w:sz="6" w:space="0"/>
              <w:bottom w:val="single" w:color="auto" w:sz="6" w:space="0"/>
              <w:right w:val="single" w:color="auto" w:sz="4" w:space="0"/>
            </w:tcBorders>
            <w:noWrap w:val="0"/>
            <w:vAlign w:val="center"/>
          </w:tcPr>
          <w:p w14:paraId="14D3A4CD">
            <w:pPr>
              <w:widowControl/>
              <w:autoSpaceDE w:val="0"/>
              <w:autoSpaceDN w:val="0"/>
              <w:ind w:left="600" w:right="-34" w:hanging="600" w:hangingChars="250"/>
              <w:jc w:val="center"/>
              <w:textAlignment w:val="bottom"/>
              <w:rPr>
                <w:rFonts w:hint="eastAsia" w:ascii="宋体" w:hAnsi="宋体" w:eastAsia="宋体" w:cs="宋体"/>
                <w:color w:val="auto"/>
                <w:sz w:val="24"/>
                <w:highlight w:val="none"/>
              </w:rPr>
            </w:pPr>
          </w:p>
        </w:tc>
      </w:tr>
      <w:tr w14:paraId="05C076F7">
        <w:tblPrEx>
          <w:tblCellMar>
            <w:top w:w="0" w:type="dxa"/>
            <w:left w:w="108" w:type="dxa"/>
            <w:bottom w:w="0" w:type="dxa"/>
            <w:right w:w="108" w:type="dxa"/>
          </w:tblCellMar>
        </w:tblPrEx>
        <w:trPr>
          <w:trHeight w:val="397" w:hRule="atLeast"/>
          <w:jc w:val="center"/>
        </w:trPr>
        <w:tc>
          <w:tcPr>
            <w:tcW w:w="9085" w:type="dxa"/>
            <w:gridSpan w:val="3"/>
            <w:tcBorders>
              <w:top w:val="single" w:color="auto" w:sz="6" w:space="0"/>
              <w:left w:val="single" w:color="auto" w:sz="6" w:space="0"/>
              <w:bottom w:val="single" w:color="auto" w:sz="6" w:space="0"/>
              <w:right w:val="single" w:color="auto" w:sz="4" w:space="0"/>
            </w:tcBorders>
            <w:noWrap w:val="0"/>
            <w:vAlign w:val="center"/>
          </w:tcPr>
          <w:p w14:paraId="3F298F46">
            <w:pPr>
              <w:widowControl/>
              <w:autoSpaceDE w:val="0"/>
              <w:autoSpaceDN w:val="0"/>
              <w:ind w:left="600" w:right="-34" w:hanging="600" w:hangingChars="250"/>
              <w:jc w:val="left"/>
              <w:textAlignment w:val="bottom"/>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主任评委：</w:t>
            </w:r>
          </w:p>
          <w:p w14:paraId="51CE0E27">
            <w:pPr>
              <w:widowControl/>
              <w:autoSpaceDE w:val="0"/>
              <w:autoSpaceDN w:val="0"/>
              <w:ind w:left="600" w:right="-34" w:hanging="600" w:hangingChars="250"/>
              <w:jc w:val="left"/>
              <w:textAlignment w:val="bottom"/>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其他评委：</w:t>
            </w:r>
          </w:p>
        </w:tc>
      </w:tr>
    </w:tbl>
    <w:p w14:paraId="137CFA9E">
      <w:pPr>
        <w:widowControl/>
        <w:autoSpaceDE w:val="0"/>
        <w:autoSpaceDN w:val="0"/>
        <w:spacing w:line="400" w:lineRule="exact"/>
        <w:ind w:left="525" w:right="-34" w:hanging="525" w:hangingChars="250"/>
        <w:jc w:val="center"/>
        <w:textAlignment w:val="bottom"/>
        <w:rPr>
          <w:rFonts w:asciiTheme="minorEastAsia" w:hAnsiTheme="minorEastAsia" w:eastAsiaTheme="minorEastAsia" w:cstheme="minorEastAsia"/>
          <w:color w:val="auto"/>
        </w:rPr>
      </w:pPr>
    </w:p>
    <w:p w14:paraId="4DABE269">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注：本表中符合评审内容要求的写“√”，不符合评审内容要求的写“×”。结论为“合格”或“不合格。</w:t>
      </w:r>
    </w:p>
    <w:p w14:paraId="57FC8E02">
      <w:pPr>
        <w:spacing w:line="360" w:lineRule="auto"/>
        <w:ind w:firstLine="420" w:firstLineChars="200"/>
        <w:jc w:val="center"/>
        <w:rPr>
          <w:rFonts w:ascii="宋体" w:hAnsi="宋体" w:cs="宋体"/>
          <w:color w:val="auto"/>
          <w:sz w:val="24"/>
        </w:rPr>
      </w:pPr>
      <w:r>
        <w:rPr>
          <w:rFonts w:hint="eastAsia" w:asciiTheme="minorEastAsia" w:hAnsiTheme="minorEastAsia" w:eastAsiaTheme="minorEastAsia" w:cstheme="minorEastAsia"/>
          <w:color w:val="auto"/>
        </w:rPr>
        <w:t>详细评审表</w:t>
      </w:r>
    </w:p>
    <w:tbl>
      <w:tblPr>
        <w:tblStyle w:val="18"/>
        <w:tblW w:w="0" w:type="auto"/>
        <w:jc w:val="center"/>
        <w:tblLayout w:type="fixed"/>
        <w:tblCellMar>
          <w:top w:w="0" w:type="dxa"/>
          <w:left w:w="108" w:type="dxa"/>
          <w:bottom w:w="0" w:type="dxa"/>
          <w:right w:w="108" w:type="dxa"/>
        </w:tblCellMar>
      </w:tblPr>
      <w:tblGrid>
        <w:gridCol w:w="946"/>
        <w:gridCol w:w="2119"/>
        <w:gridCol w:w="5064"/>
        <w:gridCol w:w="1111"/>
      </w:tblGrid>
      <w:tr w14:paraId="6AD655CB">
        <w:tblPrEx>
          <w:tblCellMar>
            <w:top w:w="0" w:type="dxa"/>
            <w:left w:w="108" w:type="dxa"/>
            <w:bottom w:w="0" w:type="dxa"/>
            <w:right w:w="108" w:type="dxa"/>
          </w:tblCellMar>
        </w:tblPrEx>
        <w:trPr>
          <w:trHeight w:val="471"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066B4C60">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序号</w:t>
            </w:r>
          </w:p>
        </w:tc>
        <w:tc>
          <w:tcPr>
            <w:tcW w:w="2119" w:type="dxa"/>
            <w:tcBorders>
              <w:top w:val="single" w:color="auto" w:sz="4" w:space="0"/>
              <w:left w:val="single" w:color="auto" w:sz="4" w:space="0"/>
              <w:bottom w:val="single" w:color="auto" w:sz="4" w:space="0"/>
              <w:right w:val="single" w:color="auto" w:sz="4" w:space="0"/>
            </w:tcBorders>
            <w:vAlign w:val="center"/>
          </w:tcPr>
          <w:p w14:paraId="59877E96">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评审项目</w:t>
            </w:r>
          </w:p>
        </w:tc>
        <w:tc>
          <w:tcPr>
            <w:tcW w:w="5064" w:type="dxa"/>
            <w:tcBorders>
              <w:top w:val="single" w:color="auto" w:sz="4" w:space="0"/>
              <w:left w:val="single" w:color="auto" w:sz="4" w:space="0"/>
              <w:bottom w:val="single" w:color="auto" w:sz="4" w:space="0"/>
              <w:right w:val="single" w:color="auto" w:sz="4" w:space="0"/>
            </w:tcBorders>
            <w:vAlign w:val="center"/>
          </w:tcPr>
          <w:p w14:paraId="72138CEA">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标准</w:t>
            </w:r>
          </w:p>
        </w:tc>
        <w:tc>
          <w:tcPr>
            <w:tcW w:w="1111" w:type="dxa"/>
            <w:tcBorders>
              <w:top w:val="single" w:color="auto" w:sz="4" w:space="0"/>
              <w:left w:val="single" w:color="auto" w:sz="4" w:space="0"/>
              <w:bottom w:val="single" w:color="auto" w:sz="4" w:space="0"/>
              <w:right w:val="single" w:color="auto" w:sz="4" w:space="0"/>
            </w:tcBorders>
            <w:vAlign w:val="center"/>
          </w:tcPr>
          <w:p w14:paraId="3769E067">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分值</w:t>
            </w:r>
          </w:p>
        </w:tc>
      </w:tr>
      <w:tr w14:paraId="7C4C98D8">
        <w:tblPrEx>
          <w:tblCellMar>
            <w:top w:w="0" w:type="dxa"/>
            <w:left w:w="108" w:type="dxa"/>
            <w:bottom w:w="0" w:type="dxa"/>
            <w:right w:w="108" w:type="dxa"/>
          </w:tblCellMar>
        </w:tblPrEx>
        <w:trPr>
          <w:trHeight w:val="1453"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68D34881">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1</w:t>
            </w:r>
          </w:p>
        </w:tc>
        <w:tc>
          <w:tcPr>
            <w:tcW w:w="2119" w:type="dxa"/>
            <w:tcBorders>
              <w:top w:val="single" w:color="auto" w:sz="4" w:space="0"/>
              <w:left w:val="single" w:color="auto" w:sz="4" w:space="0"/>
              <w:bottom w:val="single" w:color="auto" w:sz="4" w:space="0"/>
              <w:right w:val="single" w:color="auto" w:sz="4" w:space="0"/>
            </w:tcBorders>
            <w:vAlign w:val="center"/>
          </w:tcPr>
          <w:p w14:paraId="205FEE70">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投标报价</w:t>
            </w:r>
          </w:p>
        </w:tc>
        <w:tc>
          <w:tcPr>
            <w:tcW w:w="5064" w:type="dxa"/>
            <w:tcBorders>
              <w:top w:val="single" w:color="auto" w:sz="4" w:space="0"/>
              <w:left w:val="single" w:color="auto" w:sz="4" w:space="0"/>
              <w:bottom w:val="single" w:color="auto" w:sz="4" w:space="0"/>
              <w:right w:val="single" w:color="auto" w:sz="4" w:space="0"/>
            </w:tcBorders>
            <w:vAlign w:val="center"/>
          </w:tcPr>
          <w:p w14:paraId="22D25127">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满足</w:t>
            </w:r>
            <w:r>
              <w:rPr>
                <w:rFonts w:hint="eastAsia" w:ascii="Arial" w:hAnsi="Arial" w:cs="Arial"/>
                <w:color w:val="auto"/>
                <w:lang w:eastAsia="zh-CN"/>
              </w:rPr>
              <w:t>磋商</w:t>
            </w:r>
            <w:r>
              <w:rPr>
                <w:rFonts w:hint="eastAsia" w:ascii="Arial" w:hAnsi="Arial" w:cs="Arial"/>
                <w:color w:val="auto"/>
              </w:rPr>
              <w:t>文件要求且投标价格最低的投标报价为评标基准价，其价格分为满分。其他投标人的价格分统一按照下列公式计算：投标报价得分=(评标基准价／投标报价)×</w:t>
            </w:r>
            <w:r>
              <w:rPr>
                <w:rFonts w:hint="eastAsia" w:ascii="Arial" w:hAnsi="Arial" w:cs="Arial"/>
                <w:color w:val="auto"/>
                <w:lang w:val="en-US" w:eastAsia="zh-CN"/>
              </w:rPr>
              <w:t>2</w:t>
            </w:r>
            <w:r>
              <w:rPr>
                <w:rFonts w:hint="eastAsia" w:ascii="Arial" w:hAnsi="Arial" w:cs="Arial"/>
                <w:color w:val="auto"/>
              </w:rPr>
              <w:t>0×100%</w:t>
            </w:r>
          </w:p>
        </w:tc>
        <w:tc>
          <w:tcPr>
            <w:tcW w:w="1111" w:type="dxa"/>
            <w:tcBorders>
              <w:top w:val="single" w:color="auto" w:sz="4" w:space="0"/>
              <w:left w:val="single" w:color="auto" w:sz="4" w:space="0"/>
              <w:bottom w:val="single" w:color="auto" w:sz="4" w:space="0"/>
              <w:right w:val="single" w:color="auto" w:sz="4" w:space="0"/>
            </w:tcBorders>
            <w:vAlign w:val="center"/>
          </w:tcPr>
          <w:p w14:paraId="50615035">
            <w:pPr>
              <w:widowControl/>
              <w:autoSpaceDE w:val="0"/>
              <w:autoSpaceDN w:val="0"/>
              <w:spacing w:line="360" w:lineRule="auto"/>
              <w:ind w:right="-34"/>
              <w:jc w:val="center"/>
              <w:textAlignment w:val="bottom"/>
              <w:rPr>
                <w:rFonts w:hint="default" w:ascii="Arial" w:hAnsi="Arial" w:eastAsia="宋体" w:cs="Arial"/>
                <w:color w:val="auto"/>
                <w:lang w:val="en-US" w:eastAsia="zh-CN"/>
              </w:rPr>
            </w:pPr>
            <w:r>
              <w:rPr>
                <w:rFonts w:hint="eastAsia" w:ascii="Arial" w:hAnsi="Arial" w:cs="Arial"/>
                <w:color w:val="auto"/>
                <w:lang w:val="en-US" w:eastAsia="zh-CN"/>
              </w:rPr>
              <w:t>20</w:t>
            </w:r>
          </w:p>
        </w:tc>
      </w:tr>
      <w:tr w14:paraId="211D2C8D">
        <w:tblPrEx>
          <w:tblCellMar>
            <w:top w:w="0" w:type="dxa"/>
            <w:left w:w="108" w:type="dxa"/>
            <w:bottom w:w="0" w:type="dxa"/>
            <w:right w:w="108" w:type="dxa"/>
          </w:tblCellMar>
        </w:tblPrEx>
        <w:trPr>
          <w:trHeight w:val="1092"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14C42686">
            <w:pPr>
              <w:widowControl/>
              <w:autoSpaceDE w:val="0"/>
              <w:autoSpaceDN w:val="0"/>
              <w:spacing w:line="360" w:lineRule="auto"/>
              <w:ind w:right="-34"/>
              <w:textAlignment w:val="bottom"/>
              <w:rPr>
                <w:rFonts w:hint="eastAsia" w:ascii="Arial" w:hAnsi="Arial" w:eastAsia="宋体" w:cs="Arial"/>
                <w:color w:val="auto"/>
                <w:lang w:eastAsia="zh-CN"/>
              </w:rPr>
            </w:pPr>
            <w:r>
              <w:rPr>
                <w:rFonts w:hint="eastAsia" w:ascii="Arial" w:hAnsi="Arial" w:cs="Arial"/>
                <w:color w:val="auto"/>
                <w:lang w:val="en-US" w:eastAsia="zh-CN"/>
              </w:rPr>
              <w:t>2</w:t>
            </w:r>
          </w:p>
        </w:tc>
        <w:tc>
          <w:tcPr>
            <w:tcW w:w="2119" w:type="dxa"/>
            <w:tcBorders>
              <w:top w:val="single" w:color="auto" w:sz="4" w:space="0"/>
              <w:left w:val="single" w:color="auto" w:sz="4" w:space="0"/>
              <w:bottom w:val="single" w:color="auto" w:sz="4" w:space="0"/>
              <w:right w:val="single" w:color="auto" w:sz="4" w:space="0"/>
            </w:tcBorders>
            <w:vAlign w:val="center"/>
          </w:tcPr>
          <w:p w14:paraId="14B8E3F1">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服务需求</w:t>
            </w:r>
          </w:p>
        </w:tc>
        <w:tc>
          <w:tcPr>
            <w:tcW w:w="5064" w:type="dxa"/>
            <w:tcBorders>
              <w:top w:val="single" w:color="auto" w:sz="4" w:space="0"/>
              <w:left w:val="single" w:color="auto" w:sz="4" w:space="0"/>
              <w:bottom w:val="single" w:color="auto" w:sz="4" w:space="0"/>
              <w:right w:val="single" w:color="auto" w:sz="4" w:space="0"/>
            </w:tcBorders>
            <w:vAlign w:val="center"/>
          </w:tcPr>
          <w:p w14:paraId="3C20B8CD">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技术参数分为重要指标（星号条款）和一般指标（非星号条款）,其中每一项*号条款负偏离，技术参数不得分；非*条款有一项负偏离扣3分，直至扣完为止(评分依据：供应商须如实填写技术参数偏离表，如虚假应标评标委员会有权向监察部门举报)。</w:t>
            </w:r>
          </w:p>
        </w:tc>
        <w:tc>
          <w:tcPr>
            <w:tcW w:w="1111" w:type="dxa"/>
            <w:tcBorders>
              <w:top w:val="single" w:color="auto" w:sz="4" w:space="0"/>
              <w:left w:val="single" w:color="auto" w:sz="4" w:space="0"/>
              <w:bottom w:val="single" w:color="auto" w:sz="4" w:space="0"/>
              <w:right w:val="single" w:color="auto" w:sz="4" w:space="0"/>
            </w:tcBorders>
            <w:vAlign w:val="center"/>
          </w:tcPr>
          <w:p w14:paraId="6AE43DE1">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30</w:t>
            </w:r>
          </w:p>
        </w:tc>
      </w:tr>
      <w:tr w14:paraId="26F75248">
        <w:tblPrEx>
          <w:tblCellMar>
            <w:top w:w="0" w:type="dxa"/>
            <w:left w:w="108" w:type="dxa"/>
            <w:bottom w:w="0" w:type="dxa"/>
            <w:right w:w="108" w:type="dxa"/>
          </w:tblCellMar>
        </w:tblPrEx>
        <w:trPr>
          <w:trHeight w:val="1092"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419E5A75">
            <w:pPr>
              <w:widowControl/>
              <w:autoSpaceDE w:val="0"/>
              <w:autoSpaceDN w:val="0"/>
              <w:spacing w:line="360" w:lineRule="auto"/>
              <w:ind w:right="-34"/>
              <w:textAlignment w:val="bottom"/>
              <w:rPr>
                <w:rFonts w:hint="eastAsia" w:ascii="Arial" w:hAnsi="Arial" w:eastAsia="宋体" w:cs="Arial"/>
                <w:color w:val="auto"/>
                <w:lang w:eastAsia="zh-CN"/>
              </w:rPr>
            </w:pPr>
            <w:r>
              <w:rPr>
                <w:rFonts w:hint="eastAsia" w:ascii="Arial" w:hAnsi="Arial" w:cs="Arial"/>
                <w:color w:val="auto"/>
                <w:lang w:val="en-US" w:eastAsia="zh-CN"/>
              </w:rPr>
              <w:t>3</w:t>
            </w:r>
          </w:p>
        </w:tc>
        <w:tc>
          <w:tcPr>
            <w:tcW w:w="2119" w:type="dxa"/>
            <w:tcBorders>
              <w:top w:val="single" w:color="auto" w:sz="4" w:space="0"/>
              <w:left w:val="single" w:color="auto" w:sz="4" w:space="0"/>
              <w:bottom w:val="single" w:color="auto" w:sz="4" w:space="0"/>
              <w:right w:val="single" w:color="auto" w:sz="4" w:space="0"/>
            </w:tcBorders>
            <w:vAlign w:val="center"/>
          </w:tcPr>
          <w:p w14:paraId="55089A93">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服务期间时间进度规划</w:t>
            </w:r>
          </w:p>
        </w:tc>
        <w:tc>
          <w:tcPr>
            <w:tcW w:w="5064" w:type="dxa"/>
            <w:tcBorders>
              <w:top w:val="single" w:color="auto" w:sz="4" w:space="0"/>
              <w:left w:val="single" w:color="auto" w:sz="4" w:space="0"/>
              <w:bottom w:val="single" w:color="auto" w:sz="4" w:space="0"/>
              <w:right w:val="single" w:color="auto" w:sz="4" w:space="0"/>
            </w:tcBorders>
            <w:vAlign w:val="center"/>
          </w:tcPr>
          <w:p w14:paraId="07785C97">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比较各</w:t>
            </w:r>
            <w:r>
              <w:rPr>
                <w:rFonts w:hint="eastAsia" w:ascii="Arial" w:hAnsi="Arial" w:cs="Arial"/>
                <w:color w:val="auto"/>
                <w:lang w:eastAsia="zh-CN"/>
              </w:rPr>
              <w:t>响应</w:t>
            </w:r>
            <w:r>
              <w:rPr>
                <w:rFonts w:hint="eastAsia" w:ascii="Arial" w:hAnsi="Arial" w:cs="Arial"/>
                <w:color w:val="auto"/>
              </w:rPr>
              <w:t>人拟定的服务期间时间进度规划，详细、科学合理、有效，优得7-10分；良得3-6分；一般得1-2分，差或无得0分。</w:t>
            </w:r>
          </w:p>
        </w:tc>
        <w:tc>
          <w:tcPr>
            <w:tcW w:w="1111" w:type="dxa"/>
            <w:tcBorders>
              <w:top w:val="single" w:color="auto" w:sz="4" w:space="0"/>
              <w:left w:val="single" w:color="auto" w:sz="4" w:space="0"/>
              <w:bottom w:val="single" w:color="auto" w:sz="4" w:space="0"/>
              <w:right w:val="single" w:color="auto" w:sz="4" w:space="0"/>
            </w:tcBorders>
            <w:vAlign w:val="center"/>
          </w:tcPr>
          <w:p w14:paraId="129A120B">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w:t>
            </w:r>
          </w:p>
        </w:tc>
      </w:tr>
      <w:tr w14:paraId="45392BB3">
        <w:tblPrEx>
          <w:tblCellMar>
            <w:top w:w="0" w:type="dxa"/>
            <w:left w:w="108" w:type="dxa"/>
            <w:bottom w:w="0" w:type="dxa"/>
            <w:right w:w="108" w:type="dxa"/>
          </w:tblCellMar>
        </w:tblPrEx>
        <w:trPr>
          <w:trHeight w:val="1092"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470B7B9D">
            <w:pPr>
              <w:widowControl/>
              <w:autoSpaceDE w:val="0"/>
              <w:autoSpaceDN w:val="0"/>
              <w:spacing w:line="360" w:lineRule="auto"/>
              <w:ind w:right="-34"/>
              <w:textAlignment w:val="bottom"/>
              <w:rPr>
                <w:rFonts w:hint="eastAsia" w:ascii="Arial" w:hAnsi="Arial" w:eastAsia="宋体" w:cs="Arial"/>
                <w:color w:val="auto"/>
                <w:lang w:eastAsia="zh-CN"/>
              </w:rPr>
            </w:pPr>
            <w:r>
              <w:rPr>
                <w:rFonts w:hint="eastAsia" w:ascii="Arial" w:hAnsi="Arial" w:cs="Arial"/>
                <w:color w:val="auto"/>
                <w:lang w:val="en-US" w:eastAsia="zh-CN"/>
              </w:rPr>
              <w:t>4</w:t>
            </w:r>
          </w:p>
        </w:tc>
        <w:tc>
          <w:tcPr>
            <w:tcW w:w="2119" w:type="dxa"/>
            <w:tcBorders>
              <w:top w:val="single" w:color="auto" w:sz="4" w:space="0"/>
              <w:left w:val="single" w:color="auto" w:sz="4" w:space="0"/>
              <w:bottom w:val="single" w:color="auto" w:sz="4" w:space="0"/>
              <w:right w:val="single" w:color="auto" w:sz="4" w:space="0"/>
            </w:tcBorders>
            <w:vAlign w:val="center"/>
          </w:tcPr>
          <w:p w14:paraId="24BF9EEB">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服务体系</w:t>
            </w:r>
          </w:p>
        </w:tc>
        <w:tc>
          <w:tcPr>
            <w:tcW w:w="5064" w:type="dxa"/>
            <w:tcBorders>
              <w:top w:val="single" w:color="auto" w:sz="4" w:space="0"/>
              <w:left w:val="single" w:color="auto" w:sz="4" w:space="0"/>
              <w:bottom w:val="single" w:color="auto" w:sz="4" w:space="0"/>
              <w:right w:val="single" w:color="auto" w:sz="4" w:space="0"/>
            </w:tcBorders>
            <w:vAlign w:val="center"/>
          </w:tcPr>
          <w:p w14:paraId="36FCE496">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比较各</w:t>
            </w:r>
            <w:r>
              <w:rPr>
                <w:rFonts w:hint="eastAsia" w:ascii="Arial" w:hAnsi="Arial" w:cs="Arial"/>
                <w:color w:val="auto"/>
                <w:lang w:eastAsia="zh-CN"/>
              </w:rPr>
              <w:t>响应</w:t>
            </w:r>
            <w:r>
              <w:rPr>
                <w:rFonts w:hint="eastAsia" w:ascii="Arial" w:hAnsi="Arial" w:cs="Arial"/>
                <w:color w:val="auto"/>
              </w:rPr>
              <w:t>人拟定的服务体系，详细、科学合理、有效，优得7-10分；良得3-6分；一般得1-2分，差或无得0分。</w:t>
            </w:r>
          </w:p>
        </w:tc>
        <w:tc>
          <w:tcPr>
            <w:tcW w:w="1111" w:type="dxa"/>
            <w:tcBorders>
              <w:top w:val="single" w:color="auto" w:sz="4" w:space="0"/>
              <w:left w:val="single" w:color="auto" w:sz="4" w:space="0"/>
              <w:bottom w:val="single" w:color="auto" w:sz="4" w:space="0"/>
              <w:right w:val="single" w:color="auto" w:sz="4" w:space="0"/>
            </w:tcBorders>
            <w:vAlign w:val="center"/>
          </w:tcPr>
          <w:p w14:paraId="459BD795">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w:t>
            </w:r>
          </w:p>
        </w:tc>
      </w:tr>
      <w:tr w14:paraId="25A353F8">
        <w:tblPrEx>
          <w:tblCellMar>
            <w:top w:w="0" w:type="dxa"/>
            <w:left w:w="108" w:type="dxa"/>
            <w:bottom w:w="0" w:type="dxa"/>
            <w:right w:w="108" w:type="dxa"/>
          </w:tblCellMar>
        </w:tblPrEx>
        <w:trPr>
          <w:trHeight w:val="1092" w:hRule="atLeast"/>
          <w:jc w:val="center"/>
        </w:trPr>
        <w:tc>
          <w:tcPr>
            <w:tcW w:w="946" w:type="dxa"/>
            <w:tcBorders>
              <w:top w:val="single" w:color="000000" w:sz="4" w:space="0"/>
              <w:left w:val="single" w:color="000000" w:sz="4" w:space="0"/>
              <w:bottom w:val="single" w:color="000000" w:sz="4" w:space="0"/>
              <w:right w:val="single" w:color="auto" w:sz="4" w:space="0"/>
            </w:tcBorders>
            <w:vAlign w:val="center"/>
          </w:tcPr>
          <w:p w14:paraId="58257DF2">
            <w:pPr>
              <w:widowControl/>
              <w:autoSpaceDE w:val="0"/>
              <w:autoSpaceDN w:val="0"/>
              <w:spacing w:line="360" w:lineRule="auto"/>
              <w:ind w:right="-34"/>
              <w:textAlignment w:val="bottom"/>
              <w:rPr>
                <w:rFonts w:hint="eastAsia" w:ascii="Arial" w:hAnsi="Arial" w:eastAsia="宋体" w:cs="Arial"/>
                <w:color w:val="auto"/>
                <w:lang w:eastAsia="zh-CN"/>
              </w:rPr>
            </w:pPr>
            <w:r>
              <w:rPr>
                <w:rFonts w:hint="eastAsia" w:ascii="Arial" w:hAnsi="Arial" w:cs="Arial"/>
                <w:color w:val="auto"/>
                <w:lang w:val="en-US" w:eastAsia="zh-CN"/>
              </w:rPr>
              <w:t>5</w:t>
            </w:r>
          </w:p>
        </w:tc>
        <w:tc>
          <w:tcPr>
            <w:tcW w:w="2119" w:type="dxa"/>
            <w:tcBorders>
              <w:top w:val="single" w:color="auto" w:sz="4" w:space="0"/>
              <w:left w:val="single" w:color="auto" w:sz="4" w:space="0"/>
              <w:bottom w:val="single" w:color="auto" w:sz="4" w:space="0"/>
              <w:right w:val="single" w:color="auto" w:sz="4" w:space="0"/>
            </w:tcBorders>
            <w:vAlign w:val="center"/>
          </w:tcPr>
          <w:p w14:paraId="3EEF8E14">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服务质量保证措施</w:t>
            </w:r>
          </w:p>
        </w:tc>
        <w:tc>
          <w:tcPr>
            <w:tcW w:w="5064" w:type="dxa"/>
            <w:tcBorders>
              <w:top w:val="single" w:color="auto" w:sz="4" w:space="0"/>
              <w:left w:val="single" w:color="auto" w:sz="4" w:space="0"/>
              <w:bottom w:val="single" w:color="auto" w:sz="4" w:space="0"/>
              <w:right w:val="single" w:color="auto" w:sz="4" w:space="0"/>
            </w:tcBorders>
            <w:vAlign w:val="center"/>
          </w:tcPr>
          <w:p w14:paraId="09B78C07">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比较各</w:t>
            </w:r>
            <w:r>
              <w:rPr>
                <w:rFonts w:hint="eastAsia" w:ascii="Arial" w:hAnsi="Arial" w:cs="Arial"/>
                <w:color w:val="auto"/>
                <w:lang w:eastAsia="zh-CN"/>
              </w:rPr>
              <w:t>响应</w:t>
            </w:r>
            <w:r>
              <w:rPr>
                <w:rFonts w:hint="eastAsia" w:ascii="Arial" w:hAnsi="Arial" w:cs="Arial"/>
                <w:color w:val="auto"/>
              </w:rPr>
              <w:t>人拟定的质量保证措，详细、科学合理、有效，优得7-10分；良得3-6分；一般得1-2分，差或无得0分。</w:t>
            </w:r>
          </w:p>
        </w:tc>
        <w:tc>
          <w:tcPr>
            <w:tcW w:w="1111" w:type="dxa"/>
            <w:tcBorders>
              <w:top w:val="single" w:color="auto" w:sz="4" w:space="0"/>
              <w:left w:val="single" w:color="auto" w:sz="4" w:space="0"/>
              <w:bottom w:val="single" w:color="auto" w:sz="4" w:space="0"/>
              <w:right w:val="single" w:color="auto" w:sz="4" w:space="0"/>
            </w:tcBorders>
            <w:vAlign w:val="center"/>
          </w:tcPr>
          <w:p w14:paraId="5C2A878C">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w:t>
            </w:r>
          </w:p>
        </w:tc>
      </w:tr>
      <w:tr w14:paraId="433A29EA">
        <w:tblPrEx>
          <w:tblCellMar>
            <w:top w:w="0" w:type="dxa"/>
            <w:left w:w="108" w:type="dxa"/>
            <w:bottom w:w="0" w:type="dxa"/>
            <w:right w:w="108" w:type="dxa"/>
          </w:tblCellMar>
        </w:tblPrEx>
        <w:trPr>
          <w:trHeight w:val="731" w:hRule="atLeast"/>
          <w:jc w:val="center"/>
        </w:trPr>
        <w:tc>
          <w:tcPr>
            <w:tcW w:w="946" w:type="dxa"/>
            <w:vMerge w:val="restart"/>
            <w:tcBorders>
              <w:top w:val="single" w:color="000000" w:sz="4" w:space="0"/>
              <w:left w:val="single" w:color="000000" w:sz="4" w:space="0"/>
              <w:right w:val="single" w:color="auto" w:sz="4" w:space="0"/>
            </w:tcBorders>
            <w:vAlign w:val="center"/>
          </w:tcPr>
          <w:p w14:paraId="7FF3A236">
            <w:pPr>
              <w:widowControl/>
              <w:autoSpaceDE w:val="0"/>
              <w:autoSpaceDN w:val="0"/>
              <w:spacing w:line="360" w:lineRule="auto"/>
              <w:ind w:right="-34"/>
              <w:textAlignment w:val="bottom"/>
              <w:rPr>
                <w:rFonts w:hint="eastAsia" w:ascii="Arial" w:hAnsi="Arial" w:eastAsia="宋体" w:cs="Arial"/>
                <w:color w:val="auto"/>
                <w:lang w:eastAsia="zh-CN"/>
              </w:rPr>
            </w:pPr>
            <w:r>
              <w:rPr>
                <w:rFonts w:hint="eastAsia" w:ascii="Arial" w:hAnsi="Arial" w:cs="Arial"/>
                <w:color w:val="auto"/>
                <w:lang w:val="en-US" w:eastAsia="zh-CN"/>
              </w:rPr>
              <w:t>6</w:t>
            </w:r>
          </w:p>
        </w:tc>
        <w:tc>
          <w:tcPr>
            <w:tcW w:w="2119" w:type="dxa"/>
            <w:vMerge w:val="restart"/>
            <w:tcBorders>
              <w:top w:val="single" w:color="auto" w:sz="4" w:space="0"/>
              <w:left w:val="single" w:color="auto" w:sz="4" w:space="0"/>
              <w:right w:val="single" w:color="auto" w:sz="4" w:space="0"/>
            </w:tcBorders>
            <w:vAlign w:val="center"/>
          </w:tcPr>
          <w:p w14:paraId="07CF1006">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项目组织服务管理</w:t>
            </w:r>
          </w:p>
        </w:tc>
        <w:tc>
          <w:tcPr>
            <w:tcW w:w="5064" w:type="dxa"/>
            <w:tcBorders>
              <w:top w:val="single" w:color="auto" w:sz="4" w:space="0"/>
              <w:left w:val="single" w:color="auto" w:sz="4" w:space="0"/>
              <w:bottom w:val="single" w:color="auto" w:sz="4" w:space="0"/>
              <w:right w:val="single" w:color="auto" w:sz="4" w:space="0"/>
            </w:tcBorders>
            <w:vAlign w:val="center"/>
          </w:tcPr>
          <w:p w14:paraId="57412954">
            <w:pPr>
              <w:widowControl/>
              <w:autoSpaceDE w:val="0"/>
              <w:autoSpaceDN w:val="0"/>
              <w:spacing w:line="360" w:lineRule="auto"/>
              <w:ind w:right="-34"/>
              <w:textAlignment w:val="bottom"/>
              <w:rPr>
                <w:rFonts w:hint="eastAsia" w:ascii="Arial" w:hAnsi="Arial" w:cs="Arial"/>
                <w:color w:val="auto"/>
                <w:lang w:val="zh-CN"/>
              </w:rPr>
            </w:pPr>
            <w:r>
              <w:rPr>
                <w:rFonts w:hint="eastAsia" w:ascii="Arial" w:hAnsi="Arial" w:cs="Arial"/>
                <w:color w:val="auto"/>
                <w:lang w:val="zh-CN"/>
              </w:rPr>
              <w:t>响应人或其分支机构接到通知3小时以上到达</w:t>
            </w:r>
            <w:r>
              <w:rPr>
                <w:rFonts w:hint="eastAsia" w:ascii="Arial" w:hAnsi="Arial" w:cs="Arial"/>
                <w:color w:val="auto"/>
                <w:lang w:val="en-US" w:eastAsia="zh-CN"/>
              </w:rPr>
              <w:t>公安局</w:t>
            </w:r>
            <w:r>
              <w:rPr>
                <w:rFonts w:hint="eastAsia" w:ascii="Arial" w:hAnsi="Arial" w:cs="Arial"/>
                <w:color w:val="auto"/>
                <w:lang w:val="zh-CN"/>
              </w:rPr>
              <w:t>得</w:t>
            </w:r>
            <w:r>
              <w:rPr>
                <w:rFonts w:hint="eastAsia" w:ascii="Arial" w:hAnsi="Arial" w:cs="Arial"/>
                <w:color w:val="auto"/>
                <w:lang w:val="en-US" w:eastAsia="zh-CN"/>
              </w:rPr>
              <w:t>2</w:t>
            </w:r>
            <w:r>
              <w:rPr>
                <w:rFonts w:hint="eastAsia" w:ascii="Arial" w:hAnsi="Arial" w:cs="Arial"/>
                <w:color w:val="auto"/>
                <w:lang w:val="zh-CN"/>
              </w:rPr>
              <w:t>分；</w:t>
            </w:r>
          </w:p>
          <w:p w14:paraId="587C1D39">
            <w:pPr>
              <w:widowControl/>
              <w:autoSpaceDE w:val="0"/>
              <w:autoSpaceDN w:val="0"/>
              <w:spacing w:line="360" w:lineRule="auto"/>
              <w:ind w:right="-34"/>
              <w:textAlignment w:val="bottom"/>
              <w:rPr>
                <w:rFonts w:hint="eastAsia" w:ascii="Arial" w:hAnsi="Arial" w:cs="Arial"/>
                <w:color w:val="auto"/>
                <w:lang w:val="zh-CN"/>
              </w:rPr>
            </w:pPr>
            <w:r>
              <w:rPr>
                <w:rFonts w:hint="eastAsia" w:ascii="Arial" w:hAnsi="Arial" w:cs="Arial"/>
                <w:color w:val="auto"/>
                <w:lang w:val="zh-CN"/>
              </w:rPr>
              <w:t>响应人或其分支机构接到通知3小时内能到达</w:t>
            </w:r>
            <w:r>
              <w:rPr>
                <w:rFonts w:hint="eastAsia" w:ascii="Arial" w:hAnsi="Arial" w:cs="Arial"/>
                <w:color w:val="auto"/>
                <w:lang w:val="en-US" w:eastAsia="zh-CN"/>
              </w:rPr>
              <w:t>公安局</w:t>
            </w:r>
            <w:r>
              <w:rPr>
                <w:rFonts w:hint="eastAsia" w:ascii="Arial" w:hAnsi="Arial" w:cs="Arial"/>
                <w:color w:val="auto"/>
                <w:lang w:val="zh-CN"/>
              </w:rPr>
              <w:t>得</w:t>
            </w:r>
            <w:r>
              <w:rPr>
                <w:rFonts w:hint="eastAsia" w:ascii="Arial" w:hAnsi="Arial" w:cs="Arial"/>
                <w:color w:val="auto"/>
                <w:lang w:val="en-US" w:eastAsia="zh-CN"/>
              </w:rPr>
              <w:t>4</w:t>
            </w:r>
            <w:r>
              <w:rPr>
                <w:rFonts w:hint="eastAsia" w:ascii="Arial" w:hAnsi="Arial" w:cs="Arial"/>
                <w:color w:val="auto"/>
                <w:lang w:val="zh-CN"/>
              </w:rPr>
              <w:t>分；</w:t>
            </w:r>
          </w:p>
          <w:p w14:paraId="471310E3">
            <w:pPr>
              <w:widowControl/>
              <w:autoSpaceDE w:val="0"/>
              <w:autoSpaceDN w:val="0"/>
              <w:spacing w:line="360" w:lineRule="auto"/>
              <w:ind w:right="-34"/>
              <w:textAlignment w:val="bottom"/>
              <w:rPr>
                <w:rFonts w:hint="eastAsia" w:ascii="Arial" w:hAnsi="Arial" w:cs="Arial"/>
                <w:color w:val="auto"/>
                <w:lang w:val="zh-CN"/>
              </w:rPr>
            </w:pPr>
            <w:r>
              <w:rPr>
                <w:rFonts w:hint="eastAsia" w:ascii="Arial" w:hAnsi="Arial" w:cs="Arial"/>
                <w:color w:val="auto"/>
                <w:lang w:val="zh-CN"/>
              </w:rPr>
              <w:t>响应人或其分支机构接到通知2小时内能到达</w:t>
            </w:r>
            <w:r>
              <w:rPr>
                <w:rFonts w:hint="eastAsia" w:ascii="Arial" w:hAnsi="Arial" w:cs="Arial"/>
                <w:color w:val="auto"/>
                <w:lang w:val="en-US" w:eastAsia="zh-CN"/>
              </w:rPr>
              <w:t>公安局</w:t>
            </w:r>
            <w:r>
              <w:rPr>
                <w:rFonts w:hint="eastAsia" w:ascii="Arial" w:hAnsi="Arial" w:cs="Arial"/>
                <w:color w:val="auto"/>
                <w:lang w:val="zh-CN"/>
              </w:rPr>
              <w:t>得</w:t>
            </w:r>
            <w:r>
              <w:rPr>
                <w:rFonts w:hint="eastAsia" w:ascii="Arial" w:hAnsi="Arial" w:cs="Arial"/>
                <w:color w:val="auto"/>
                <w:lang w:val="en-US" w:eastAsia="zh-CN"/>
              </w:rPr>
              <w:t>6</w:t>
            </w:r>
            <w:r>
              <w:rPr>
                <w:rFonts w:hint="eastAsia" w:ascii="Arial" w:hAnsi="Arial" w:cs="Arial"/>
                <w:color w:val="auto"/>
                <w:lang w:val="zh-CN"/>
              </w:rPr>
              <w:t>分；</w:t>
            </w:r>
          </w:p>
          <w:p w14:paraId="6CAC6236">
            <w:pPr>
              <w:widowControl/>
              <w:autoSpaceDE w:val="0"/>
              <w:autoSpaceDN w:val="0"/>
              <w:spacing w:line="360" w:lineRule="auto"/>
              <w:ind w:right="-34"/>
              <w:textAlignment w:val="bottom"/>
              <w:rPr>
                <w:rFonts w:hint="eastAsia" w:ascii="Arial" w:hAnsi="Arial" w:cs="Arial"/>
                <w:color w:val="auto"/>
                <w:lang w:val="zh-CN"/>
              </w:rPr>
            </w:pPr>
            <w:r>
              <w:rPr>
                <w:rFonts w:hint="eastAsia" w:ascii="Arial" w:hAnsi="Arial" w:cs="Arial"/>
                <w:color w:val="auto"/>
                <w:lang w:val="zh-CN"/>
              </w:rPr>
              <w:t>响应人或其分支机构接到通知1小时内到能达</w:t>
            </w:r>
            <w:r>
              <w:rPr>
                <w:rFonts w:hint="eastAsia" w:ascii="Arial" w:hAnsi="Arial" w:cs="Arial"/>
                <w:color w:val="auto"/>
                <w:lang w:val="en-US" w:eastAsia="zh-CN"/>
              </w:rPr>
              <w:t>公安局</w:t>
            </w:r>
            <w:r>
              <w:rPr>
                <w:rFonts w:hint="eastAsia" w:ascii="Arial" w:hAnsi="Arial" w:cs="Arial"/>
                <w:color w:val="auto"/>
                <w:lang w:val="zh-CN"/>
              </w:rPr>
              <w:t>得</w:t>
            </w:r>
            <w:r>
              <w:rPr>
                <w:rFonts w:hint="eastAsia" w:ascii="Arial" w:hAnsi="Arial" w:cs="Arial"/>
                <w:color w:val="auto"/>
                <w:lang w:val="en-US" w:eastAsia="zh-CN"/>
              </w:rPr>
              <w:t>8</w:t>
            </w:r>
            <w:r>
              <w:rPr>
                <w:rFonts w:hint="eastAsia" w:ascii="Arial" w:hAnsi="Arial" w:cs="Arial"/>
                <w:color w:val="auto"/>
                <w:lang w:val="zh-CN"/>
              </w:rPr>
              <w:t>分；</w:t>
            </w:r>
          </w:p>
          <w:p w14:paraId="43AC9B3D">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lang w:val="zh-CN"/>
              </w:rPr>
              <w:t>响应人或其分支机构接到通知0.5小时内到能达</w:t>
            </w:r>
            <w:r>
              <w:rPr>
                <w:rFonts w:hint="eastAsia" w:ascii="Arial" w:hAnsi="Arial" w:cs="Arial"/>
                <w:color w:val="auto"/>
                <w:lang w:val="en-US" w:eastAsia="zh-CN"/>
              </w:rPr>
              <w:t>公安局</w:t>
            </w:r>
            <w:r>
              <w:rPr>
                <w:rFonts w:hint="eastAsia" w:ascii="Arial" w:hAnsi="Arial" w:cs="Arial"/>
                <w:color w:val="auto"/>
                <w:lang w:val="zh-CN"/>
              </w:rPr>
              <w:t>得</w:t>
            </w:r>
            <w:r>
              <w:rPr>
                <w:rFonts w:hint="eastAsia" w:ascii="Arial" w:hAnsi="Arial" w:cs="Arial"/>
                <w:color w:val="auto"/>
                <w:lang w:val="en-US" w:eastAsia="zh-CN"/>
              </w:rPr>
              <w:t>10</w:t>
            </w:r>
            <w:r>
              <w:rPr>
                <w:rFonts w:hint="eastAsia" w:ascii="Arial" w:hAnsi="Arial" w:cs="Arial"/>
                <w:color w:val="auto"/>
                <w:lang w:val="zh-CN"/>
              </w:rPr>
              <w:t>分。（由评审委员会根据响应人制定的工作流程和服务方案中承诺响应时间综合评估确定分值）</w:t>
            </w:r>
          </w:p>
        </w:tc>
        <w:tc>
          <w:tcPr>
            <w:tcW w:w="1111" w:type="dxa"/>
            <w:tcBorders>
              <w:top w:val="single" w:color="auto" w:sz="4" w:space="0"/>
              <w:left w:val="single" w:color="auto" w:sz="4" w:space="0"/>
              <w:bottom w:val="single" w:color="auto" w:sz="4" w:space="0"/>
              <w:right w:val="single" w:color="auto" w:sz="4" w:space="0"/>
            </w:tcBorders>
            <w:vAlign w:val="center"/>
          </w:tcPr>
          <w:p w14:paraId="18BCCD04">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w:t>
            </w:r>
          </w:p>
        </w:tc>
      </w:tr>
      <w:tr w14:paraId="707F8640">
        <w:tblPrEx>
          <w:tblCellMar>
            <w:top w:w="0" w:type="dxa"/>
            <w:left w:w="108" w:type="dxa"/>
            <w:bottom w:w="0" w:type="dxa"/>
            <w:right w:w="108" w:type="dxa"/>
          </w:tblCellMar>
        </w:tblPrEx>
        <w:trPr>
          <w:trHeight w:val="731" w:hRule="atLeast"/>
          <w:jc w:val="center"/>
        </w:trPr>
        <w:tc>
          <w:tcPr>
            <w:tcW w:w="946" w:type="dxa"/>
            <w:vMerge w:val="continue"/>
            <w:tcBorders>
              <w:left w:val="single" w:color="000000" w:sz="4" w:space="0"/>
              <w:bottom w:val="single" w:color="000000" w:sz="4" w:space="0"/>
              <w:right w:val="single" w:color="auto" w:sz="4" w:space="0"/>
            </w:tcBorders>
            <w:vAlign w:val="center"/>
          </w:tcPr>
          <w:p w14:paraId="72BE87EB">
            <w:pPr>
              <w:widowControl/>
              <w:autoSpaceDE w:val="0"/>
              <w:autoSpaceDN w:val="0"/>
              <w:spacing w:line="360" w:lineRule="auto"/>
              <w:ind w:right="-34"/>
              <w:textAlignment w:val="bottom"/>
              <w:rPr>
                <w:rFonts w:ascii="Arial" w:hAnsi="Arial" w:cs="Arial"/>
                <w:color w:val="auto"/>
              </w:rPr>
            </w:pPr>
          </w:p>
        </w:tc>
        <w:tc>
          <w:tcPr>
            <w:tcW w:w="2119" w:type="dxa"/>
            <w:vMerge w:val="continue"/>
            <w:tcBorders>
              <w:left w:val="single" w:color="auto" w:sz="4" w:space="0"/>
              <w:bottom w:val="single" w:color="auto" w:sz="4" w:space="0"/>
              <w:right w:val="single" w:color="auto" w:sz="4" w:space="0"/>
            </w:tcBorders>
            <w:vAlign w:val="center"/>
          </w:tcPr>
          <w:p w14:paraId="3216E7D0">
            <w:pPr>
              <w:widowControl/>
              <w:autoSpaceDE w:val="0"/>
              <w:autoSpaceDN w:val="0"/>
              <w:spacing w:line="360" w:lineRule="auto"/>
              <w:ind w:right="-34"/>
              <w:textAlignment w:val="bottom"/>
              <w:rPr>
                <w:rFonts w:ascii="Arial" w:hAnsi="Arial" w:cs="Arial"/>
                <w:color w:val="auto"/>
              </w:rPr>
            </w:pPr>
          </w:p>
        </w:tc>
        <w:tc>
          <w:tcPr>
            <w:tcW w:w="5064" w:type="dxa"/>
            <w:tcBorders>
              <w:top w:val="single" w:color="auto" w:sz="4" w:space="0"/>
              <w:left w:val="single" w:color="auto" w:sz="4" w:space="0"/>
              <w:bottom w:val="single" w:color="auto" w:sz="4" w:space="0"/>
              <w:right w:val="single" w:color="auto" w:sz="4" w:space="0"/>
            </w:tcBorders>
            <w:vAlign w:val="center"/>
          </w:tcPr>
          <w:p w14:paraId="1F1746B3">
            <w:pPr>
              <w:widowControl/>
              <w:autoSpaceDE w:val="0"/>
              <w:autoSpaceDN w:val="0"/>
              <w:spacing w:line="360" w:lineRule="auto"/>
              <w:ind w:right="-34"/>
              <w:textAlignment w:val="bottom"/>
              <w:rPr>
                <w:rFonts w:ascii="Arial" w:hAnsi="Arial" w:cs="Arial"/>
                <w:color w:val="auto"/>
              </w:rPr>
            </w:pPr>
            <w:r>
              <w:rPr>
                <w:rFonts w:hint="eastAsia" w:ascii="Arial" w:hAnsi="Arial" w:cs="Arial"/>
                <w:color w:val="auto"/>
              </w:rPr>
              <w:t>项目投入的设施设备（10分）优10-8分，良7-4分，一般3-1分，差0分</w:t>
            </w:r>
          </w:p>
        </w:tc>
        <w:tc>
          <w:tcPr>
            <w:tcW w:w="1111" w:type="dxa"/>
            <w:tcBorders>
              <w:top w:val="single" w:color="auto" w:sz="4" w:space="0"/>
              <w:left w:val="single" w:color="auto" w:sz="4" w:space="0"/>
              <w:bottom w:val="single" w:color="auto" w:sz="4" w:space="0"/>
              <w:right w:val="single" w:color="auto" w:sz="4" w:space="0"/>
            </w:tcBorders>
            <w:vAlign w:val="center"/>
          </w:tcPr>
          <w:p w14:paraId="60718807">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w:t>
            </w:r>
          </w:p>
        </w:tc>
      </w:tr>
      <w:tr w14:paraId="485954B6">
        <w:tblPrEx>
          <w:tblCellMar>
            <w:top w:w="0" w:type="dxa"/>
            <w:left w:w="108" w:type="dxa"/>
            <w:bottom w:w="0" w:type="dxa"/>
            <w:right w:w="108" w:type="dxa"/>
          </w:tblCellMar>
        </w:tblPrEx>
        <w:trPr>
          <w:trHeight w:val="482" w:hRule="atLeast"/>
          <w:jc w:val="center"/>
        </w:trPr>
        <w:tc>
          <w:tcPr>
            <w:tcW w:w="8129" w:type="dxa"/>
            <w:gridSpan w:val="3"/>
            <w:tcBorders>
              <w:top w:val="single" w:color="000000" w:sz="4" w:space="0"/>
              <w:left w:val="single" w:color="000000" w:sz="4" w:space="0"/>
              <w:bottom w:val="single" w:color="000000" w:sz="4" w:space="0"/>
              <w:right w:val="single" w:color="000000" w:sz="4" w:space="0"/>
            </w:tcBorders>
            <w:vAlign w:val="center"/>
          </w:tcPr>
          <w:p w14:paraId="48DC4E16">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得分合计</w:t>
            </w:r>
          </w:p>
        </w:tc>
        <w:tc>
          <w:tcPr>
            <w:tcW w:w="1111" w:type="dxa"/>
            <w:tcBorders>
              <w:top w:val="single" w:color="000000" w:sz="4" w:space="0"/>
              <w:left w:val="single" w:color="000000" w:sz="4" w:space="0"/>
              <w:bottom w:val="single" w:color="000000" w:sz="4" w:space="0"/>
              <w:right w:val="single" w:color="000000" w:sz="4" w:space="0"/>
            </w:tcBorders>
            <w:vAlign w:val="center"/>
          </w:tcPr>
          <w:p w14:paraId="573215F1">
            <w:pPr>
              <w:widowControl/>
              <w:autoSpaceDE w:val="0"/>
              <w:autoSpaceDN w:val="0"/>
              <w:spacing w:line="360" w:lineRule="auto"/>
              <w:ind w:right="-34"/>
              <w:jc w:val="center"/>
              <w:textAlignment w:val="bottom"/>
              <w:rPr>
                <w:rFonts w:ascii="Arial" w:hAnsi="Arial" w:cs="Arial"/>
                <w:color w:val="auto"/>
              </w:rPr>
            </w:pPr>
            <w:r>
              <w:rPr>
                <w:rFonts w:hint="eastAsia" w:ascii="Arial" w:hAnsi="Arial" w:cs="Arial"/>
                <w:color w:val="auto"/>
              </w:rPr>
              <w:t>100</w:t>
            </w:r>
          </w:p>
        </w:tc>
      </w:tr>
    </w:tbl>
    <w:p w14:paraId="6B25EDDA">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p>
    <w:p w14:paraId="7EC2CB1B">
      <w:pPr>
        <w:widowControl/>
        <w:autoSpaceDE w:val="0"/>
        <w:autoSpaceDN w:val="0"/>
        <w:spacing w:line="360" w:lineRule="auto"/>
        <w:ind w:right="-34"/>
        <w:textAlignment w:val="bottom"/>
        <w:rPr>
          <w:rFonts w:asciiTheme="minorEastAsia" w:hAnsiTheme="minorEastAsia" w:eastAsiaTheme="minorEastAsia" w:cstheme="minorEastAsia"/>
          <w:color w:val="auto"/>
        </w:rPr>
      </w:pPr>
    </w:p>
    <w:p w14:paraId="0387A455">
      <w:pPr>
        <w:widowControl/>
        <w:autoSpaceDE w:val="0"/>
        <w:autoSpaceDN w:val="0"/>
        <w:spacing w:line="360" w:lineRule="auto"/>
        <w:ind w:right="-34"/>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26 </w:t>
      </w:r>
      <w:r>
        <w:rPr>
          <w:rFonts w:hint="eastAsia" w:asciiTheme="minorEastAsia" w:hAnsiTheme="minorEastAsia" w:eastAsiaTheme="minorEastAsia" w:cstheme="minorEastAsia"/>
          <w:b/>
          <w:bCs/>
          <w:color w:val="auto"/>
        </w:rPr>
        <w:t>竞争性磋商</w:t>
      </w:r>
    </w:p>
    <w:p w14:paraId="1457BB78">
      <w:pPr>
        <w:widowControl/>
        <w:autoSpaceDE w:val="0"/>
        <w:autoSpaceDN w:val="0"/>
        <w:spacing w:line="360" w:lineRule="auto"/>
        <w:ind w:right="-34"/>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26.1 在初审的基础上，由磋商小组与初审合格的服务商进行竞争性磋商。</w:t>
      </w:r>
    </w:p>
    <w:p w14:paraId="2E77F3EB">
      <w:pPr>
        <w:widowControl/>
        <w:autoSpaceDE w:val="0"/>
        <w:autoSpaceDN w:val="0"/>
        <w:spacing w:line="360" w:lineRule="auto"/>
        <w:ind w:left="540" w:right="-34" w:hanging="54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26.2 磋商小组将在根据第25款得出的响应性报价基础上与各服务商展开磋商。</w:t>
      </w:r>
    </w:p>
    <w:p w14:paraId="0227DCBD">
      <w:pPr>
        <w:widowControl/>
        <w:autoSpaceDE w:val="0"/>
        <w:autoSpaceDN w:val="0"/>
        <w:spacing w:line="360" w:lineRule="auto"/>
        <w:ind w:left="540" w:right="-34" w:hanging="54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26.3 磋商的基础是服务商须知第11款规定的报价。</w:t>
      </w:r>
    </w:p>
    <w:p w14:paraId="64A3A2AF">
      <w:pPr>
        <w:widowControl/>
        <w:autoSpaceDE w:val="0"/>
        <w:autoSpaceDN w:val="0"/>
        <w:spacing w:line="360" w:lineRule="auto"/>
        <w:ind w:left="540" w:right="-34" w:hanging="54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26.4 磋商小组在磋商中，除与服务商就价格方面进行磋商，磋商内容还要包括下列方面：</w:t>
      </w:r>
    </w:p>
    <w:p w14:paraId="31CDE877">
      <w:pPr>
        <w:widowControl/>
        <w:autoSpaceDE w:val="0"/>
        <w:autoSpaceDN w:val="0"/>
        <w:spacing w:line="360" w:lineRule="auto"/>
        <w:ind w:right="-34" w:firstLine="420" w:firstLineChars="20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 响应文件中报的服务期限、服务地点；</w:t>
      </w:r>
    </w:p>
    <w:p w14:paraId="5D944515">
      <w:pPr>
        <w:widowControl/>
        <w:autoSpaceDE w:val="0"/>
        <w:autoSpaceDN w:val="0"/>
        <w:spacing w:line="360" w:lineRule="auto"/>
        <w:ind w:right="-34" w:firstLine="420" w:firstLineChars="20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 付款方式及价格风险；</w:t>
      </w:r>
    </w:p>
    <w:p w14:paraId="7F385797">
      <w:pPr>
        <w:widowControl/>
        <w:autoSpaceDE w:val="0"/>
        <w:autoSpaceDN w:val="0"/>
        <w:spacing w:line="360" w:lineRule="auto"/>
        <w:ind w:right="-34" w:firstLine="420" w:firstLineChars="20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 所投服务内容的偏差、服务范围的偏差的调整；</w:t>
      </w:r>
    </w:p>
    <w:p w14:paraId="05541093">
      <w:pPr>
        <w:widowControl/>
        <w:autoSpaceDE w:val="0"/>
        <w:autoSpaceDN w:val="0"/>
        <w:spacing w:line="360" w:lineRule="auto"/>
        <w:ind w:right="-34" w:firstLine="420" w:firstLineChars="20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 核实服务商在类似项目上的资质和业绩；</w:t>
      </w:r>
    </w:p>
    <w:p w14:paraId="0C6B5939">
      <w:pPr>
        <w:widowControl/>
        <w:autoSpaceDE w:val="0"/>
        <w:autoSpaceDN w:val="0"/>
        <w:spacing w:line="360" w:lineRule="auto"/>
        <w:ind w:right="-34" w:firstLine="420" w:firstLineChars="200"/>
        <w:jc w:val="left"/>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 合同履行和合同仲裁。</w:t>
      </w:r>
    </w:p>
    <w:p w14:paraId="5A91DD1B">
      <w:pPr>
        <w:widowControl/>
        <w:autoSpaceDE w:val="0"/>
        <w:autoSpaceDN w:val="0"/>
        <w:spacing w:line="360" w:lineRule="auto"/>
        <w:ind w:right="-34"/>
        <w:jc w:val="left"/>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26.5 磋商结束后，磋商小组要求所有参加磋商的服务商在规定时间内进行最后报价。</w:t>
      </w:r>
    </w:p>
    <w:p w14:paraId="67F6E775">
      <w:pPr>
        <w:widowControl/>
        <w:autoSpaceDE w:val="0"/>
        <w:autoSpaceDN w:val="0"/>
        <w:spacing w:line="360" w:lineRule="auto"/>
        <w:ind w:right="-34"/>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27 </w:t>
      </w:r>
      <w:r>
        <w:rPr>
          <w:rFonts w:hint="eastAsia" w:asciiTheme="minorEastAsia" w:hAnsiTheme="minorEastAsia" w:eastAsiaTheme="minorEastAsia" w:cstheme="minorEastAsia"/>
          <w:b/>
          <w:bCs/>
          <w:color w:val="auto"/>
        </w:rPr>
        <w:t>评审的原则和标准</w:t>
      </w:r>
    </w:p>
    <w:p w14:paraId="3400CB83">
      <w:pPr>
        <w:widowControl/>
        <w:autoSpaceDE w:val="0"/>
        <w:autoSpaceDN w:val="0"/>
        <w:spacing w:line="360" w:lineRule="auto"/>
        <w:ind w:left="525" w:right="-34" w:hanging="525" w:hanging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27.1 评审原则：1）评审过程遵循公平、公正、诚信、择优的原则；2）资格审查合格的服务商，均有同等机会参加竞争性磋商；3）对所有服务商响应文件的评估和比较都采用相同程序和标准；4）评审过程中坚持物有所值及维护采购人利益的原则。</w:t>
      </w:r>
    </w:p>
    <w:p w14:paraId="3CA7C0DA">
      <w:pPr>
        <w:widowControl/>
        <w:autoSpaceDE w:val="0"/>
        <w:autoSpaceDN w:val="0"/>
        <w:spacing w:line="360" w:lineRule="auto"/>
        <w:ind w:left="540" w:right="-34" w:hanging="539" w:hangingChars="25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27.2 评审标准：1）资格证明文件真实、有效、完整，且无诚信不良记录；2）已交纳足额磋商保证金；3）报价合理，并满足采购文件要求，但最低报价并非成交的唯一标准；4）服务计划安排得当，配置较完善，且满足采购文件服务需求方面的要求和服务期限。</w:t>
      </w:r>
    </w:p>
    <w:p w14:paraId="5C91F1B1">
      <w:pPr>
        <w:spacing w:line="360" w:lineRule="auto"/>
        <w:rPr>
          <w:rFonts w:asciiTheme="minorEastAsia" w:hAnsiTheme="minorEastAsia" w:eastAsiaTheme="minorEastAsia" w:cstheme="minorEastAsia"/>
          <w:b/>
          <w:bCs/>
          <w:color w:val="auto"/>
        </w:rPr>
      </w:pPr>
      <w:bookmarkStart w:id="119" w:name="_开标与评标（细则参见财政部《_政府采购招标投标管理暂行办法_》及中华人民共和国"/>
      <w:bookmarkEnd w:id="119"/>
      <w:bookmarkStart w:id="120" w:name="_授予合同"/>
      <w:bookmarkEnd w:id="120"/>
      <w:r>
        <w:rPr>
          <w:rFonts w:hint="eastAsia" w:asciiTheme="minorEastAsia" w:hAnsiTheme="minorEastAsia" w:eastAsiaTheme="minorEastAsia" w:cstheme="minorEastAsia"/>
          <w:color w:val="auto"/>
        </w:rPr>
        <w:t xml:space="preserve">F </w:t>
      </w:r>
      <w:r>
        <w:rPr>
          <w:rFonts w:hint="eastAsia" w:asciiTheme="minorEastAsia" w:hAnsiTheme="minorEastAsia" w:eastAsiaTheme="minorEastAsia" w:cstheme="minorEastAsia"/>
          <w:b/>
          <w:bCs/>
          <w:color w:val="auto"/>
        </w:rPr>
        <w:t>授予合同</w:t>
      </w:r>
    </w:p>
    <w:p w14:paraId="7D5DD9CF">
      <w:pPr>
        <w:numPr>
          <w:ilvl w:val="0"/>
          <w:numId w:val="10"/>
        </w:numPr>
        <w:spacing w:line="360" w:lineRule="auto"/>
        <w:rPr>
          <w:rFonts w:asciiTheme="minorEastAsia" w:hAnsiTheme="minorEastAsia" w:eastAsiaTheme="minorEastAsia" w:cstheme="minorEastAsia"/>
          <w:b/>
          <w:bCs/>
          <w:color w:val="auto"/>
        </w:rPr>
      </w:pPr>
      <w:bookmarkStart w:id="121" w:name="_Hlk35578045"/>
      <w:bookmarkStart w:id="122" w:name="_Hlk35578044"/>
      <w:bookmarkStart w:id="123" w:name="_Hlk35578046"/>
      <w:r>
        <w:rPr>
          <w:rFonts w:hint="eastAsia" w:asciiTheme="minorEastAsia" w:hAnsiTheme="minorEastAsia" w:eastAsiaTheme="minorEastAsia" w:cstheme="minorEastAsia"/>
          <w:b/>
          <w:bCs/>
          <w:color w:val="auto"/>
        </w:rPr>
        <w:t>授予合同的准则</w:t>
      </w:r>
      <w:bookmarkEnd w:id="121"/>
      <w:bookmarkEnd w:id="122"/>
      <w:bookmarkEnd w:id="123"/>
    </w:p>
    <w:p w14:paraId="0116D5CB">
      <w:pPr>
        <w:numPr>
          <w:ilvl w:val="255"/>
          <w:numId w:val="0"/>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28.1 磋商小组应当根据综合评分情况，按照评审得分由高到低顺序推荐3名以上成交候选服务商，并编写评审报告。符合“市场竞争不充分的科研项目，以及需要扶持的科技成果转化项目”情形的，可以推荐2家成交候选服务商。评审得分相同的，按照最后报价由低到高的顺序推荐。评审得分且最后报价相同的，按照服务需求响应程度优劣顺序推荐。</w:t>
      </w:r>
    </w:p>
    <w:p w14:paraId="24E59DA8">
      <w:pPr>
        <w:autoSpaceDE w:val="0"/>
        <w:autoSpaceDN w:val="0"/>
        <w:spacing w:line="360" w:lineRule="auto"/>
        <w:ind w:left="630" w:right="51"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28.2  除</w:t>
      </w:r>
      <w:r>
        <w:rPr>
          <w:color w:val="auto"/>
        </w:rPr>
        <w:fldChar w:fldCharType="begin"/>
      </w:r>
      <w:r>
        <w:rPr>
          <w:color w:val="auto"/>
        </w:rPr>
        <w:instrText xml:space="preserve"> HYPERLINK \l "_授予合同" \o "招标代理接受或拒绝任何投标或所有投标的权利" </w:instrText>
      </w:r>
      <w:r>
        <w:rPr>
          <w:color w:val="auto"/>
        </w:rPr>
        <w:fldChar w:fldCharType="separate"/>
      </w:r>
      <w:r>
        <w:rPr>
          <w:rFonts w:hint="eastAsia" w:asciiTheme="minorEastAsia" w:hAnsiTheme="minorEastAsia" w:eastAsiaTheme="minorEastAsia" w:cstheme="minorEastAsia"/>
          <w:color w:val="auto"/>
        </w:rPr>
        <w:t>第31款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规定外，磋商小组将合同授予其响应文件满足磋商文件全部实质性要求且按评审因素的量化指标评审得分最高的服务商为成交服务商。</w:t>
      </w:r>
    </w:p>
    <w:p w14:paraId="67D7F291">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28.3 根据财库〔2015〕124号采用竞争性磋商采购方式采购的政府购买服务项目（含政府和社会资本合作项目），在采购过程中符合要求的服务商（社会资本）只有2家的，竞争性磋商采购活动可以继续进行。采购过程中符合要求的服务商（社会资本）只有1家的，采购人（项目实施机构）或者采购代理机构机构应当终止竞争性磋商采购活动，发布项目终止公告并说明原因，重新开展采购活动。</w:t>
      </w:r>
    </w:p>
    <w:p w14:paraId="1F9FD3D5">
      <w:pPr>
        <w:widowControl/>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28.4 不能保证最低报价的服务商最终成交。</w:t>
      </w:r>
    </w:p>
    <w:p w14:paraId="4FA03D36">
      <w:pPr>
        <w:spacing w:line="360" w:lineRule="auto"/>
        <w:rPr>
          <w:rFonts w:asciiTheme="minorEastAsia" w:hAnsiTheme="minorEastAsia" w:eastAsiaTheme="minorEastAsia" w:cstheme="minorEastAsia"/>
          <w:b/>
          <w:bCs/>
          <w:color w:val="auto"/>
        </w:rPr>
      </w:pPr>
      <w:bookmarkStart w:id="124" w:name="_Hlk35578111"/>
      <w:bookmarkStart w:id="125" w:name="_Hlk35578112"/>
      <w:bookmarkStart w:id="126" w:name="_Hlk35578110"/>
      <w:r>
        <w:rPr>
          <w:rFonts w:hint="eastAsia" w:asciiTheme="minorEastAsia" w:hAnsiTheme="minorEastAsia" w:eastAsiaTheme="minorEastAsia" w:cstheme="minorEastAsia"/>
          <w:color w:val="auto"/>
        </w:rPr>
        <w:t xml:space="preserve">29 </w:t>
      </w:r>
      <w:r>
        <w:rPr>
          <w:rFonts w:hint="eastAsia" w:asciiTheme="minorEastAsia" w:hAnsiTheme="minorEastAsia" w:eastAsiaTheme="minorEastAsia" w:cstheme="minorEastAsia"/>
          <w:b/>
          <w:bCs/>
          <w:color w:val="auto"/>
        </w:rPr>
        <w:t>资格后审</w:t>
      </w:r>
      <w:bookmarkEnd w:id="124"/>
      <w:bookmarkEnd w:id="125"/>
      <w:bookmarkEnd w:id="126"/>
    </w:p>
    <w:p w14:paraId="7E00F1EA">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29.1  在没有进行资格预审的情况下，磋商小组将对所选择的提交了响应文件的评审得分最高的服务商是否有资格能圆满地履行合同做出确认。</w:t>
      </w:r>
    </w:p>
    <w:p w14:paraId="4799B05B">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29.2  审查将根据服务商按照</w:t>
      </w:r>
      <w:r>
        <w:rPr>
          <w:color w:val="auto"/>
        </w:rPr>
        <w:fldChar w:fldCharType="begin"/>
      </w:r>
      <w:r>
        <w:rPr>
          <w:color w:val="auto"/>
        </w:rPr>
        <w:instrText xml:space="preserve"> HYPERLINK \l "_投标文件的编制" \o "投标人的合格性和资格的声明" </w:instrText>
      </w:r>
      <w:r>
        <w:rPr>
          <w:color w:val="auto"/>
        </w:rPr>
        <w:fldChar w:fldCharType="separate"/>
      </w:r>
      <w:r>
        <w:rPr>
          <w:rFonts w:hint="eastAsia" w:asciiTheme="minorEastAsia" w:hAnsiTheme="minorEastAsia" w:eastAsiaTheme="minorEastAsia" w:cstheme="minorEastAsia"/>
          <w:color w:val="auto"/>
        </w:rPr>
        <w:t>第13款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规定提交的资格证明文件和磋商小组认为其他必要的、合适的资料，对服务商的财务、服务能力等进行审查。</w:t>
      </w:r>
    </w:p>
    <w:p w14:paraId="61F02C0E">
      <w:pPr>
        <w:widowControl/>
        <w:numPr>
          <w:ilvl w:val="1"/>
          <w:numId w:val="11"/>
        </w:numPr>
        <w:tabs>
          <w:tab w:val="left" w:pos="0"/>
          <w:tab w:val="clear" w:pos="420"/>
        </w:tabs>
        <w:autoSpaceDE w:val="0"/>
        <w:autoSpaceDN w:val="0"/>
        <w:spacing w:line="360" w:lineRule="auto"/>
        <w:ind w:left="630" w:right="18" w:hanging="63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如果审查通过，则将合同授予该服务商；如果审查没有通过，则否决其成交资格。在此情况下，磋商小组将对下一个评审得分次高的的服务商的能力做类似的审查。</w:t>
      </w:r>
    </w:p>
    <w:p w14:paraId="6403D7B1">
      <w:pPr>
        <w:spacing w:line="360" w:lineRule="auto"/>
        <w:rPr>
          <w:rFonts w:asciiTheme="minorEastAsia" w:hAnsiTheme="minorEastAsia" w:eastAsiaTheme="minorEastAsia" w:cstheme="minorEastAsia"/>
          <w:b/>
          <w:bCs/>
          <w:color w:val="auto"/>
        </w:rPr>
      </w:pPr>
      <w:bookmarkStart w:id="127" w:name="_Hlk35578185"/>
      <w:bookmarkStart w:id="128" w:name="_Hlk35578184"/>
      <w:bookmarkStart w:id="129" w:name="_Hlk35578186"/>
      <w:r>
        <w:rPr>
          <w:rFonts w:hint="eastAsia" w:asciiTheme="minorEastAsia" w:hAnsiTheme="minorEastAsia" w:eastAsiaTheme="minorEastAsia" w:cstheme="minorEastAsia"/>
          <w:color w:val="auto"/>
        </w:rPr>
        <w:t>30</w:t>
      </w:r>
      <w:r>
        <w:rPr>
          <w:rFonts w:hint="eastAsia" w:asciiTheme="minorEastAsia" w:hAnsiTheme="minorEastAsia" w:eastAsiaTheme="minorEastAsia" w:cstheme="minorEastAsia"/>
          <w:b/>
          <w:bCs/>
          <w:color w:val="auto"/>
        </w:rPr>
        <w:t xml:space="preserve"> 采购人在授予合同时</w:t>
      </w:r>
      <w:bookmarkEnd w:id="127"/>
      <w:bookmarkEnd w:id="128"/>
      <w:bookmarkEnd w:id="129"/>
      <w:r>
        <w:rPr>
          <w:rFonts w:hint="eastAsia" w:asciiTheme="minorEastAsia" w:hAnsiTheme="minorEastAsia" w:eastAsiaTheme="minorEastAsia" w:cstheme="minorEastAsia"/>
          <w:b/>
          <w:bCs/>
          <w:color w:val="auto"/>
        </w:rPr>
        <w:t>变更服务内容的权利</w:t>
      </w:r>
    </w:p>
    <w:p w14:paraId="1A8DF1A6">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30.1  采购人有权在授予合同时按第三篇“响应资料表”规定的幅度内报经政府采购监督管理部门批准后对服务予以增减，并以原来的单价进行计算。</w:t>
      </w:r>
    </w:p>
    <w:p w14:paraId="46EB6913">
      <w:pPr>
        <w:spacing w:line="360" w:lineRule="auto"/>
        <w:rPr>
          <w:rFonts w:asciiTheme="minorEastAsia" w:hAnsiTheme="minorEastAsia" w:eastAsiaTheme="minorEastAsia" w:cstheme="minorEastAsia"/>
          <w:b/>
          <w:bCs/>
          <w:color w:val="auto"/>
        </w:rPr>
      </w:pPr>
      <w:bookmarkStart w:id="130" w:name="_Hlk35578300"/>
      <w:bookmarkStart w:id="131" w:name="_Hlk35578302"/>
      <w:bookmarkStart w:id="132" w:name="_Hlk35578301"/>
      <w:r>
        <w:rPr>
          <w:rFonts w:hint="eastAsia" w:asciiTheme="minorEastAsia" w:hAnsiTheme="minorEastAsia" w:eastAsiaTheme="minorEastAsia" w:cstheme="minorEastAsia"/>
          <w:color w:val="auto"/>
        </w:rPr>
        <w:t>31</w:t>
      </w:r>
      <w:bookmarkEnd w:id="130"/>
      <w:bookmarkEnd w:id="131"/>
      <w:bookmarkEnd w:id="132"/>
      <w:r>
        <w:rPr>
          <w:rFonts w:hint="eastAsia" w:asciiTheme="minorEastAsia" w:hAnsiTheme="minorEastAsia" w:eastAsiaTheme="minorEastAsia" w:cstheme="minorEastAsia"/>
          <w:b/>
          <w:bCs/>
          <w:color w:val="auto"/>
        </w:rPr>
        <w:t>成交通知</w:t>
      </w:r>
    </w:p>
    <w:p w14:paraId="5CC248CD">
      <w:pPr>
        <w:widowControl/>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31.1  响应文件有效期期满前，采购代理机构将以书面形式通知成交服务商。</w:t>
      </w:r>
    </w:p>
    <w:p w14:paraId="412AB4D2">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31.2  采购代理机构向成交服务商发出书面通知的同时，采购代理机构通知落选的服务商，而不提原因，并按</w:t>
      </w:r>
      <w:r>
        <w:rPr>
          <w:color w:val="auto"/>
        </w:rPr>
        <w:fldChar w:fldCharType="begin"/>
      </w:r>
      <w:r>
        <w:rPr>
          <w:color w:val="auto"/>
        </w:rPr>
        <w:instrText xml:space="preserve"> HYPERLINK \l "_投标文件的编制" \o "投标保证金" </w:instrText>
      </w:r>
      <w:r>
        <w:rPr>
          <w:color w:val="auto"/>
        </w:rPr>
        <w:fldChar w:fldCharType="separate"/>
      </w:r>
      <w:r>
        <w:rPr>
          <w:rFonts w:hint="eastAsia" w:asciiTheme="minorEastAsia" w:hAnsiTheme="minorEastAsia" w:eastAsiaTheme="minorEastAsia" w:cstheme="minorEastAsia"/>
          <w:color w:val="auto"/>
        </w:rPr>
        <w:t>第15款</w:t>
      </w:r>
      <w:r>
        <w:rPr>
          <w:rFonts w:hint="eastAsia" w:asciiTheme="minorEastAsia" w:hAnsiTheme="minorEastAsia" w:eastAsiaTheme="minorEastAsia" w:cstheme="minorEastAsia"/>
          <w:color w:val="auto"/>
        </w:rPr>
        <w:fldChar w:fldCharType="end"/>
      </w:r>
      <w:r>
        <w:rPr>
          <w:rFonts w:hint="eastAsia" w:asciiTheme="minorEastAsia" w:hAnsiTheme="minorEastAsia" w:eastAsiaTheme="minorEastAsia" w:cstheme="minorEastAsia"/>
          <w:color w:val="auto"/>
        </w:rPr>
        <w:t>规定退还其磋商保证金。</w:t>
      </w:r>
    </w:p>
    <w:p w14:paraId="3E86E3B8">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31.3  成交商接到成交通知后，需要向采购代理机构缴纳成交服务费，领取成交通知书时须向采购代理机构出示成交服务费的缴纳凭证，如未按竞争性谈判文件足额缴纳，采购代理机构不予发放成交通知书，由此所造成的损失由成交商自行承担。成交通知书是合同的一个组成部分。</w:t>
      </w:r>
      <w:bookmarkStart w:id="133" w:name="_Hlk35578459"/>
      <w:bookmarkStart w:id="134" w:name="_Hlk35578457"/>
      <w:bookmarkStart w:id="135" w:name="_Hlk35578458"/>
    </w:p>
    <w:p w14:paraId="159A7AA1">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32</w:t>
      </w:r>
      <w:r>
        <w:rPr>
          <w:rFonts w:hint="eastAsia" w:asciiTheme="minorEastAsia" w:hAnsiTheme="minorEastAsia" w:eastAsiaTheme="minorEastAsia" w:cstheme="minorEastAsia"/>
          <w:b/>
          <w:bCs/>
          <w:color w:val="auto"/>
        </w:rPr>
        <w:t xml:space="preserve"> 签署合同</w:t>
      </w:r>
      <w:bookmarkEnd w:id="133"/>
      <w:bookmarkEnd w:id="134"/>
      <w:bookmarkEnd w:id="135"/>
    </w:p>
    <w:p w14:paraId="069DDB35">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32.1  成交服务商在收到成交通知书后五天内，应派授权代表与采购人商讨、签订合同。服务商成交后不得拖延或拒绝签署合同。</w:t>
      </w:r>
    </w:p>
    <w:p w14:paraId="221DA25E">
      <w:pPr>
        <w:spacing w:line="360" w:lineRule="auto"/>
        <w:rPr>
          <w:rFonts w:asciiTheme="minorEastAsia" w:hAnsiTheme="minorEastAsia" w:eastAsiaTheme="minorEastAsia" w:cstheme="minorEastAsia"/>
          <w:b/>
          <w:bCs/>
          <w:color w:val="auto"/>
        </w:rPr>
      </w:pPr>
      <w:bookmarkStart w:id="136" w:name="_Hlk35578470"/>
      <w:bookmarkStart w:id="137" w:name="_Hlk35578472"/>
      <w:bookmarkStart w:id="138" w:name="_Hlk35578471"/>
      <w:r>
        <w:rPr>
          <w:rFonts w:hint="eastAsia" w:asciiTheme="minorEastAsia" w:hAnsiTheme="minorEastAsia" w:eastAsiaTheme="minorEastAsia" w:cstheme="minorEastAsia"/>
          <w:color w:val="auto"/>
        </w:rPr>
        <w:t>33</w:t>
      </w:r>
      <w:r>
        <w:rPr>
          <w:rFonts w:hint="eastAsia" w:asciiTheme="minorEastAsia" w:hAnsiTheme="minorEastAsia" w:eastAsiaTheme="minorEastAsia" w:cstheme="minorEastAsia"/>
          <w:b/>
          <w:bCs/>
          <w:color w:val="auto"/>
        </w:rPr>
        <w:t xml:space="preserve"> 履约保证金</w:t>
      </w:r>
      <w:bookmarkEnd w:id="136"/>
      <w:bookmarkEnd w:id="137"/>
      <w:bookmarkEnd w:id="138"/>
    </w:p>
    <w:p w14:paraId="78750E36">
      <w:pPr>
        <w:spacing w:line="360" w:lineRule="auto"/>
        <w:rPr>
          <w:rFonts w:asciiTheme="minorEastAsia" w:hAnsiTheme="minorEastAsia" w:eastAsiaTheme="minorEastAsia" w:cstheme="minorEastAsia"/>
          <w:b/>
          <w:bCs/>
          <w:color w:val="auto"/>
        </w:rPr>
      </w:pPr>
      <w:bookmarkStart w:id="139" w:name="_Hlk35578491"/>
      <w:bookmarkStart w:id="140" w:name="_Hlk35578492"/>
      <w:bookmarkStart w:id="141" w:name="_Hlk35578490"/>
      <w:r>
        <w:rPr>
          <w:rFonts w:hint="eastAsia" w:asciiTheme="minorEastAsia" w:hAnsiTheme="minorEastAsia" w:eastAsiaTheme="minorEastAsia" w:cstheme="minorEastAsia"/>
          <w:color w:val="auto"/>
        </w:rPr>
        <w:t>34</w:t>
      </w:r>
      <w:bookmarkEnd w:id="139"/>
      <w:bookmarkEnd w:id="140"/>
      <w:bookmarkEnd w:id="141"/>
      <w:r>
        <w:rPr>
          <w:rFonts w:hint="eastAsia" w:asciiTheme="minorEastAsia" w:hAnsiTheme="minorEastAsia" w:eastAsiaTheme="minorEastAsia" w:cstheme="minorEastAsia"/>
          <w:b/>
          <w:bCs/>
          <w:color w:val="auto"/>
        </w:rPr>
        <w:t>成交服务费</w:t>
      </w:r>
    </w:p>
    <w:p w14:paraId="79CBB479">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34.1  按照吉省价【2016】98号；发改价格【2015】299号等相关文件的取费标准计费</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代理服务费：</w:t>
      </w:r>
      <w:r>
        <w:rPr>
          <w:rFonts w:hint="eastAsia" w:asciiTheme="minorEastAsia" w:hAnsiTheme="minorEastAsia" w:eastAsiaTheme="minorEastAsia" w:cstheme="minorEastAsia"/>
          <w:color w:val="auto"/>
          <w:highlight w:val="none"/>
          <w:lang w:val="en-US" w:eastAsia="zh-CN"/>
        </w:rPr>
        <w:t>1.5</w:t>
      </w:r>
      <w:r>
        <w:rPr>
          <w:rFonts w:hint="eastAsia" w:asciiTheme="minorEastAsia" w:hAnsiTheme="minorEastAsia" w:eastAsiaTheme="minorEastAsia" w:cstheme="minorEastAsia"/>
          <w:color w:val="auto"/>
          <w:highlight w:val="none"/>
        </w:rPr>
        <w:t>万元人民币。一</w:t>
      </w:r>
      <w:r>
        <w:rPr>
          <w:rFonts w:hint="eastAsia" w:asciiTheme="minorEastAsia" w:hAnsiTheme="minorEastAsia" w:eastAsiaTheme="minorEastAsia" w:cstheme="minorEastAsia"/>
          <w:color w:val="auto"/>
        </w:rPr>
        <w:t>次性支付给招标代理机构。</w:t>
      </w:r>
    </w:p>
    <w:p w14:paraId="2FECFEA0">
      <w:pPr>
        <w:widowControl/>
        <w:autoSpaceDE w:val="0"/>
        <w:autoSpaceDN w:val="0"/>
        <w:spacing w:line="360" w:lineRule="auto"/>
        <w:ind w:left="630" w:right="18" w:hanging="630" w:hangingChars="3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34.2  成交服务费的收取应按招标委托协议办理。</w:t>
      </w:r>
    </w:p>
    <w:p w14:paraId="10A08C07">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34.3  成交服务费只接受电汇形式。</w:t>
      </w:r>
    </w:p>
    <w:p w14:paraId="6645745D">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34.4  成交服务商如未按第34.1款、第34.2款规定办理，采购代理机构将没收其磋商保证金。</w:t>
      </w:r>
    </w:p>
    <w:p w14:paraId="0A8B592E">
      <w:pPr>
        <w:widowControl/>
        <w:tabs>
          <w:tab w:val="left" w:pos="540"/>
        </w:tabs>
        <w:autoSpaceDE w:val="0"/>
        <w:autoSpaceDN w:val="0"/>
        <w:spacing w:line="360" w:lineRule="auto"/>
        <w:ind w:right="18"/>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35 竞争性磋商小组评标中发现服务商有下列情形之一的，应当认定属于串通行为，相关服务商的响应文件将被否决，并在评审报告 （评标纪要）中准确记录。</w:t>
      </w:r>
    </w:p>
    <w:p w14:paraId="4F9B8DA5">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35.1 两家以上（含两家）服务商的响应文件中相同错误三处以上（含三处）；</w:t>
      </w:r>
    </w:p>
    <w:p w14:paraId="3823553A">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35.2 两家以上（含两家）服务商的响应文件中加盖了对方的公章，或者相互装订了标有对方名称的文件材料、资格资信证明文件等；</w:t>
      </w:r>
    </w:p>
    <w:p w14:paraId="1C21251C">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35.3 两家以上（含两家）服务商响应文件相关内容的段落、字句、错别字等相同；</w:t>
      </w:r>
    </w:p>
    <w:p w14:paraId="08C6F546">
      <w:pPr>
        <w:widowControl/>
        <w:tabs>
          <w:tab w:val="left" w:pos="540"/>
        </w:tabs>
        <w:autoSpaceDE w:val="0"/>
        <w:autoSpaceDN w:val="0"/>
        <w:spacing w:line="360" w:lineRule="auto"/>
        <w:ind w:right="18"/>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35.4 服务商串通的其他情形。</w:t>
      </w:r>
    </w:p>
    <w:p w14:paraId="27340176">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b/>
          <w:bCs/>
          <w:color w:val="auto"/>
        </w:rPr>
        <w:t>36 其他要求</w:t>
      </w:r>
      <w:r>
        <w:rPr>
          <w:rFonts w:hint="eastAsia" w:asciiTheme="minorEastAsia" w:hAnsiTheme="minorEastAsia" w:eastAsiaTheme="minorEastAsia" w:cstheme="minorEastAsia"/>
          <w:color w:val="auto"/>
        </w:rPr>
        <w:t>：</w:t>
      </w:r>
    </w:p>
    <w:p w14:paraId="105FE368">
      <w:pPr>
        <w:widowControl/>
        <w:tabs>
          <w:tab w:val="left" w:pos="540"/>
        </w:tabs>
        <w:autoSpaceDE w:val="0"/>
        <w:autoSpaceDN w:val="0"/>
        <w:spacing w:line="360" w:lineRule="auto"/>
        <w:ind w:right="18"/>
        <w:textAlignment w:val="bottom"/>
        <w:rPr>
          <w:rFonts w:asciiTheme="minorEastAsia" w:hAnsiTheme="minorEastAsia" w:eastAsiaTheme="minorEastAsia" w:cstheme="minorEastAsia"/>
          <w:color w:val="auto"/>
          <w:lang w:val="zh-CN"/>
        </w:rPr>
      </w:pPr>
      <w:r>
        <w:rPr>
          <w:rFonts w:hint="eastAsia" w:asciiTheme="minorEastAsia" w:hAnsiTheme="minorEastAsia" w:eastAsiaTheme="minorEastAsia" w:cstheme="minorEastAsia"/>
          <w:color w:val="auto"/>
        </w:rPr>
        <w:t xml:space="preserve">36.1   </w:t>
      </w:r>
      <w:r>
        <w:rPr>
          <w:rFonts w:hint="eastAsia" w:asciiTheme="minorEastAsia" w:hAnsiTheme="minorEastAsia" w:eastAsiaTheme="minorEastAsia" w:cstheme="minorEastAsia"/>
          <w:color w:val="auto"/>
          <w:lang w:val="zh-CN"/>
        </w:rPr>
        <w:t>服务商应对“服务需求”的所有服务</w:t>
      </w:r>
      <w:r>
        <w:rPr>
          <w:rFonts w:hint="eastAsia" w:asciiTheme="minorEastAsia" w:hAnsiTheme="minorEastAsia" w:eastAsiaTheme="minorEastAsia" w:cstheme="minorEastAsia"/>
          <w:color w:val="auto"/>
        </w:rPr>
        <w:t>进行响应</w:t>
      </w:r>
      <w:r>
        <w:rPr>
          <w:rFonts w:hint="eastAsia" w:asciiTheme="minorEastAsia" w:hAnsiTheme="minorEastAsia" w:eastAsiaTheme="minorEastAsia" w:cstheme="minorEastAsia"/>
          <w:color w:val="auto"/>
          <w:lang w:val="zh-CN"/>
        </w:rPr>
        <w:t>，不可以只对其中的一种或几种。每种服务只允许有一个报价，任何有选择的报价将不予接受。</w:t>
      </w:r>
    </w:p>
    <w:p w14:paraId="670F3C84">
      <w:pPr>
        <w:widowControl/>
        <w:autoSpaceDE w:val="0"/>
        <w:autoSpaceDN w:val="0"/>
        <w:spacing w:line="360" w:lineRule="auto"/>
        <w:ind w:right="17"/>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rPr>
        <w:br w:type="page"/>
      </w:r>
      <w:bookmarkStart w:id="142" w:name="_Hlk35583089"/>
      <w:bookmarkStart w:id="143" w:name="_Hlk35571580"/>
      <w:bookmarkStart w:id="144" w:name="_Hlk35583058"/>
      <w:bookmarkStart w:id="145" w:name="_Hlk35571581"/>
      <w:bookmarkStart w:id="146" w:name="_Hlk35583087"/>
      <w:bookmarkStart w:id="147" w:name="_Hlk35571579"/>
      <w:bookmarkStart w:id="148" w:name="_Hlk35583088"/>
      <w:bookmarkStart w:id="149" w:name="_Hlk35583060"/>
      <w:bookmarkStart w:id="150" w:name="_Hlk35583059"/>
      <w:r>
        <w:rPr>
          <w:rFonts w:hint="eastAsia" w:asciiTheme="minorEastAsia" w:hAnsiTheme="minorEastAsia" w:eastAsiaTheme="minorEastAsia" w:cstheme="minorEastAsia"/>
          <w:b/>
          <w:bCs/>
          <w:color w:val="auto"/>
          <w:sz w:val="32"/>
          <w:szCs w:val="32"/>
        </w:rPr>
        <w:t xml:space="preserve">第三篇 </w:t>
      </w:r>
      <w:bookmarkEnd w:id="142"/>
      <w:bookmarkEnd w:id="143"/>
      <w:bookmarkEnd w:id="144"/>
      <w:bookmarkEnd w:id="145"/>
      <w:bookmarkEnd w:id="146"/>
      <w:bookmarkEnd w:id="147"/>
      <w:bookmarkEnd w:id="148"/>
      <w:bookmarkEnd w:id="149"/>
      <w:bookmarkEnd w:id="150"/>
      <w:r>
        <w:rPr>
          <w:rFonts w:hint="eastAsia" w:asciiTheme="minorEastAsia" w:hAnsiTheme="minorEastAsia" w:eastAsiaTheme="minorEastAsia" w:cstheme="minorEastAsia"/>
          <w:b/>
          <w:bCs/>
          <w:color w:val="auto"/>
          <w:sz w:val="32"/>
          <w:szCs w:val="32"/>
        </w:rPr>
        <w:t>响应资料表</w:t>
      </w:r>
    </w:p>
    <w:p w14:paraId="43B98AC9">
      <w:pPr>
        <w:widowControl/>
        <w:autoSpaceDE w:val="0"/>
        <w:autoSpaceDN w:val="0"/>
        <w:spacing w:line="360" w:lineRule="auto"/>
        <w:ind w:right="17" w:firstLine="420" w:firstLineChars="200"/>
        <w:textAlignment w:val="bottom"/>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color w:val="auto"/>
        </w:rPr>
        <w:t xml:space="preserve">本表关于要采购的服务的具体资料是对第二篇“服务商须知”的具体补充和修改，如有矛盾，应以本资料表为准。      </w:t>
      </w:r>
    </w:p>
    <w:tbl>
      <w:tblPr>
        <w:tblStyle w:val="18"/>
        <w:tblW w:w="910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45"/>
        <w:gridCol w:w="7655"/>
      </w:tblGrid>
      <w:tr w14:paraId="310AEC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8" w:hRule="atLeast"/>
          <w:jc w:val="center"/>
        </w:trPr>
        <w:tc>
          <w:tcPr>
            <w:tcW w:w="1445" w:type="dxa"/>
            <w:tcBorders>
              <w:top w:val="double" w:color="auto" w:sz="4" w:space="0"/>
            </w:tcBorders>
            <w:vAlign w:val="center"/>
          </w:tcPr>
          <w:p w14:paraId="21454660">
            <w:pPr>
              <w:spacing w:line="360" w:lineRule="auto"/>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条款号</w:t>
            </w:r>
          </w:p>
        </w:tc>
        <w:tc>
          <w:tcPr>
            <w:tcW w:w="7655" w:type="dxa"/>
            <w:tcBorders>
              <w:top w:val="double" w:color="auto" w:sz="4" w:space="0"/>
            </w:tcBorders>
            <w:vAlign w:val="center"/>
          </w:tcPr>
          <w:p w14:paraId="08E3F0DA">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 xml:space="preserve">                         内  容</w:t>
            </w:r>
          </w:p>
        </w:tc>
      </w:tr>
      <w:tr w14:paraId="723074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54FF7952">
            <w:pPr>
              <w:spacing w:line="360" w:lineRule="auto"/>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总  则</w:t>
            </w:r>
          </w:p>
        </w:tc>
      </w:tr>
      <w:tr w14:paraId="6568C5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14" w:hRule="atLeast"/>
          <w:jc w:val="center"/>
        </w:trPr>
        <w:tc>
          <w:tcPr>
            <w:tcW w:w="1445" w:type="dxa"/>
            <w:vAlign w:val="center"/>
          </w:tcPr>
          <w:p w14:paraId="5E98AA81">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7655" w:type="dxa"/>
          </w:tcPr>
          <w:p w14:paraId="02F094B6">
            <w:pPr>
              <w:spacing w:line="360" w:lineRule="auto"/>
              <w:rPr>
                <w:rFonts w:hint="eastAsia" w:ascii="宋体" w:hAnsi="宋体" w:cs="宋体"/>
                <w:color w:val="auto"/>
                <w:lang w:val="en-US" w:eastAsia="zh-CN"/>
              </w:rPr>
            </w:pPr>
            <w:r>
              <w:rPr>
                <w:rFonts w:hint="eastAsia" w:ascii="宋体" w:hAnsi="宋体" w:cs="宋体"/>
                <w:color w:val="auto"/>
              </w:rPr>
              <w:t>采购人名称：</w:t>
            </w:r>
            <w:r>
              <w:rPr>
                <w:rFonts w:hint="eastAsia" w:ascii="宋体" w:hAnsi="宋体" w:cs="宋体"/>
                <w:color w:val="auto"/>
                <w:lang w:val="en-US" w:eastAsia="zh-CN"/>
              </w:rPr>
              <w:t>扶余市公安局</w:t>
            </w:r>
          </w:p>
          <w:p w14:paraId="560A4CA7">
            <w:pPr>
              <w:spacing w:line="360" w:lineRule="auto"/>
              <w:rPr>
                <w:rFonts w:hint="eastAsia" w:ascii="宋体" w:hAnsi="宋体" w:cs="宋体"/>
                <w:color w:val="auto"/>
                <w:lang w:val="en-US" w:eastAsia="zh-CN"/>
              </w:rPr>
            </w:pPr>
            <w:r>
              <w:rPr>
                <w:rFonts w:hint="eastAsia" w:ascii="宋体" w:hAnsi="宋体" w:cs="宋体"/>
                <w:color w:val="auto"/>
              </w:rPr>
              <w:t>项目名称：</w:t>
            </w:r>
            <w:r>
              <w:rPr>
                <w:rFonts w:hint="eastAsia" w:ascii="宋体" w:hAnsi="宋体" w:cs="宋体"/>
                <w:color w:val="auto"/>
                <w:lang w:val="en-US" w:eastAsia="zh-CN"/>
              </w:rPr>
              <w:t>扶余市公安局2025年全警体检服务采购项目</w:t>
            </w:r>
          </w:p>
          <w:p w14:paraId="21C67738">
            <w:pPr>
              <w:spacing w:line="360" w:lineRule="auto"/>
              <w:rPr>
                <w:rFonts w:hint="eastAsia" w:ascii="宋体" w:hAnsi="宋体" w:eastAsia="宋体" w:cs="宋体"/>
                <w:color w:val="auto"/>
                <w:lang w:eastAsia="zh-CN"/>
              </w:rPr>
            </w:pPr>
            <w:r>
              <w:rPr>
                <w:rFonts w:hint="eastAsia" w:ascii="宋体" w:hAnsi="宋体" w:cs="宋体"/>
                <w:color w:val="auto"/>
              </w:rPr>
              <w:t>项目编号：</w:t>
            </w:r>
            <w:r>
              <w:rPr>
                <w:rFonts w:hint="eastAsia" w:ascii="宋体" w:hAnsi="宋体" w:cs="宋体"/>
                <w:color w:val="auto"/>
                <w:lang w:eastAsia="zh-CN"/>
              </w:rPr>
              <w:t>采购计划-[2025]-00019号-RHXMGL-2025011</w:t>
            </w:r>
          </w:p>
          <w:p w14:paraId="7D1DE10A">
            <w:pPr>
              <w:spacing w:line="360" w:lineRule="auto"/>
              <w:rPr>
                <w:rFonts w:asciiTheme="minorEastAsia" w:hAnsiTheme="minorEastAsia" w:eastAsiaTheme="minorEastAsia" w:cstheme="minorEastAsia"/>
                <w:color w:val="auto"/>
              </w:rPr>
            </w:pPr>
            <w:r>
              <w:rPr>
                <w:rFonts w:hint="eastAsia" w:ascii="宋体" w:hAnsi="宋体" w:cs="宋体"/>
                <w:color w:val="auto"/>
              </w:rPr>
              <w:t>资金来源：财政资金</w:t>
            </w:r>
          </w:p>
        </w:tc>
      </w:tr>
      <w:tr w14:paraId="3B06D6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49" w:hRule="atLeast"/>
          <w:jc w:val="center"/>
        </w:trPr>
        <w:tc>
          <w:tcPr>
            <w:tcW w:w="1445" w:type="dxa"/>
            <w:vAlign w:val="center"/>
          </w:tcPr>
          <w:p w14:paraId="314110EC">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7655" w:type="dxa"/>
          </w:tcPr>
          <w:p w14:paraId="618899B1">
            <w:pPr>
              <w:widowControl/>
              <w:autoSpaceDE w:val="0"/>
              <w:autoSpaceDN w:val="0"/>
              <w:spacing w:line="360" w:lineRule="auto"/>
              <w:ind w:right="-20"/>
              <w:textAlignment w:val="bottom"/>
              <w:rPr>
                <w:rFonts w:ascii="宋体" w:hAnsi="宋体" w:cs="宋体"/>
                <w:color w:val="auto"/>
              </w:rPr>
            </w:pPr>
            <w:r>
              <w:rPr>
                <w:rFonts w:hint="eastAsia" w:ascii="宋体" w:hAnsi="宋体" w:cs="宋体"/>
                <w:color w:val="auto"/>
              </w:rPr>
              <w:t>采购代理机构机构名称，地址，电话，传真：</w:t>
            </w:r>
          </w:p>
          <w:p w14:paraId="1160B1FA">
            <w:pPr>
              <w:widowControl/>
              <w:autoSpaceDE w:val="0"/>
              <w:autoSpaceDN w:val="0"/>
              <w:spacing w:line="360" w:lineRule="auto"/>
              <w:ind w:right="893"/>
              <w:textAlignment w:val="bottom"/>
              <w:rPr>
                <w:rFonts w:hint="eastAsia" w:ascii="宋体" w:hAnsi="宋体" w:eastAsia="宋体" w:cs="宋体"/>
                <w:color w:val="auto"/>
                <w:lang w:eastAsia="zh-CN"/>
              </w:rPr>
            </w:pPr>
            <w:r>
              <w:rPr>
                <w:rFonts w:hint="eastAsia" w:ascii="宋体" w:hAnsi="宋体" w:cs="宋体"/>
                <w:color w:val="auto"/>
              </w:rPr>
              <w:t>采购代理机构机构名称：</w:t>
            </w:r>
            <w:r>
              <w:rPr>
                <w:rFonts w:hint="eastAsia" w:ascii="宋体" w:hAnsi="宋体" w:cs="宋体"/>
                <w:color w:val="auto"/>
                <w:lang w:eastAsia="zh-CN"/>
              </w:rPr>
              <w:t>吉林省融合项目管理咨询有限责任公司</w:t>
            </w:r>
          </w:p>
          <w:p w14:paraId="4FDFC1F2">
            <w:pPr>
              <w:spacing w:line="360" w:lineRule="auto"/>
              <w:ind w:right="-36"/>
              <w:rPr>
                <w:rFonts w:ascii="宋体" w:hAnsi="宋体" w:cs="宋体"/>
                <w:color w:val="auto"/>
              </w:rPr>
            </w:pPr>
            <w:r>
              <w:rPr>
                <w:rFonts w:hint="eastAsia" w:ascii="宋体" w:hAnsi="宋体" w:cs="宋体"/>
                <w:color w:val="auto"/>
              </w:rPr>
              <w:t>地址：</w:t>
            </w:r>
            <w:r>
              <w:rPr>
                <w:rFonts w:hint="eastAsia" w:ascii="宋体" w:hAnsi="宋体" w:cs="宋体"/>
                <w:color w:val="auto"/>
                <w:lang w:eastAsia="zh-CN"/>
              </w:rPr>
              <w:t>松原市经济技术开发区兴原街吉粮康郡1幢119</w:t>
            </w:r>
            <w:r>
              <w:rPr>
                <w:rFonts w:hint="eastAsia" w:ascii="宋体" w:hAnsi="宋体" w:cs="宋体"/>
                <w:color w:val="auto"/>
              </w:rPr>
              <w:t>邮编：130000</w:t>
            </w:r>
          </w:p>
          <w:p w14:paraId="085F8E61">
            <w:pPr>
              <w:spacing w:line="360" w:lineRule="auto"/>
              <w:ind w:right="-36"/>
              <w:rPr>
                <w:rFonts w:hint="default" w:ascii="宋体" w:hAnsi="宋体" w:eastAsia="宋体" w:cs="宋体"/>
                <w:color w:val="auto"/>
                <w:lang w:val="en-US" w:eastAsia="zh-CN"/>
              </w:rPr>
            </w:pPr>
            <w:r>
              <w:rPr>
                <w:rFonts w:hint="eastAsia" w:ascii="宋体" w:hAnsi="宋体" w:cs="宋体"/>
                <w:color w:val="auto"/>
              </w:rPr>
              <w:t>联系人：</w:t>
            </w:r>
            <w:r>
              <w:rPr>
                <w:rFonts w:hint="eastAsia" w:ascii="宋体" w:hAnsi="宋体" w:cs="宋体"/>
                <w:color w:val="auto"/>
                <w:lang w:val="en-US" w:eastAsia="zh-CN"/>
              </w:rPr>
              <w:t>尹成龙</w:t>
            </w:r>
          </w:p>
          <w:p w14:paraId="7E66F13E">
            <w:pPr>
              <w:spacing w:line="360" w:lineRule="auto"/>
              <w:rPr>
                <w:rFonts w:hint="eastAsia" w:eastAsia="宋体" w:asciiTheme="minorEastAsia" w:hAnsiTheme="minorEastAsia" w:cstheme="minorEastAsia"/>
                <w:color w:val="auto"/>
                <w:lang w:eastAsia="zh-CN"/>
              </w:rPr>
            </w:pPr>
            <w:r>
              <w:rPr>
                <w:rFonts w:hint="eastAsia" w:ascii="宋体" w:hAnsi="宋体" w:cs="宋体"/>
                <w:color w:val="auto"/>
              </w:rPr>
              <w:t>电话：</w:t>
            </w:r>
            <w:r>
              <w:rPr>
                <w:rFonts w:hint="eastAsia" w:ascii="宋体" w:hAnsi="宋体" w:cs="宋体"/>
                <w:color w:val="auto"/>
                <w:lang w:eastAsia="zh-CN"/>
              </w:rPr>
              <w:t>15584565977</w:t>
            </w:r>
          </w:p>
        </w:tc>
      </w:tr>
      <w:tr w14:paraId="06DEB28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0022991F">
            <w:pPr>
              <w:spacing w:line="360" w:lineRule="auto"/>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响应文件的组成</w:t>
            </w:r>
          </w:p>
        </w:tc>
      </w:tr>
      <w:tr w14:paraId="28C8B6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1445" w:type="dxa"/>
            <w:vAlign w:val="center"/>
          </w:tcPr>
          <w:p w14:paraId="75736BEA">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15</w:t>
            </w:r>
          </w:p>
        </w:tc>
        <w:tc>
          <w:tcPr>
            <w:tcW w:w="7655" w:type="dxa"/>
          </w:tcPr>
          <w:p w14:paraId="6ADC0230">
            <w:pPr>
              <w:widowControl/>
              <w:autoSpaceDE w:val="0"/>
              <w:autoSpaceDN w:val="0"/>
              <w:spacing w:line="360" w:lineRule="auto"/>
              <w:ind w:right="-3"/>
              <w:textAlignment w:val="bottom"/>
              <w:rPr>
                <w:rFonts w:asciiTheme="minorEastAsia" w:hAnsiTheme="minorEastAsia" w:eastAsiaTheme="minorEastAsia" w:cstheme="minorEastAsia"/>
                <w:color w:val="auto"/>
              </w:rPr>
            </w:pPr>
            <w:r>
              <w:rPr>
                <w:rFonts w:hint="eastAsia" w:ascii="宋体" w:hAnsi="宋体" w:cs="宋体"/>
                <w:color w:val="auto"/>
              </w:rPr>
              <w:t>不收取磋商保证金金额</w:t>
            </w:r>
          </w:p>
        </w:tc>
      </w:tr>
      <w:tr w14:paraId="0D9969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509B6AEE">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16.1</w:t>
            </w:r>
          </w:p>
        </w:tc>
        <w:tc>
          <w:tcPr>
            <w:tcW w:w="7655" w:type="dxa"/>
          </w:tcPr>
          <w:p w14:paraId="26F16652">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响应文件有效期：自响应文件开启之日起 九十（90）天</w:t>
            </w:r>
          </w:p>
        </w:tc>
      </w:tr>
      <w:tr w14:paraId="26432F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3979367E">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17.2</w:t>
            </w:r>
          </w:p>
        </w:tc>
        <w:tc>
          <w:tcPr>
            <w:tcW w:w="7655" w:type="dxa"/>
          </w:tcPr>
          <w:p w14:paraId="0C5820AC">
            <w:pPr>
              <w:spacing w:line="360" w:lineRule="auto"/>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rPr>
              <w:t>响应文件份数：一（1）份正本，</w:t>
            </w:r>
            <w:r>
              <w:rPr>
                <w:rFonts w:hint="eastAsia" w:asciiTheme="minorEastAsia" w:hAnsiTheme="minorEastAsia" w:eastAsiaTheme="minorEastAsia" w:cstheme="minorEastAsia"/>
                <w:color w:val="auto"/>
                <w:lang w:val="en-US" w:eastAsia="zh-CN"/>
              </w:rPr>
              <w:t>两</w:t>
            </w: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2</w:t>
            </w:r>
            <w:r>
              <w:rPr>
                <w:rFonts w:hint="eastAsia" w:asciiTheme="minorEastAsia" w:hAnsiTheme="minorEastAsia" w:eastAsiaTheme="minorEastAsia" w:cstheme="minorEastAsia"/>
                <w:color w:val="auto"/>
              </w:rPr>
              <w:t>）份副本；</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lang w:val="en-US" w:eastAsia="zh-CN"/>
              </w:rPr>
              <w:t>不适用电子标</w:t>
            </w:r>
            <w:r>
              <w:rPr>
                <w:rFonts w:hint="eastAsia" w:asciiTheme="minorEastAsia" w:hAnsiTheme="minorEastAsia" w:eastAsiaTheme="minorEastAsia" w:cstheme="minorEastAsia"/>
                <w:color w:val="auto"/>
                <w:lang w:eastAsia="zh-CN"/>
              </w:rPr>
              <w:t>）</w:t>
            </w:r>
          </w:p>
        </w:tc>
      </w:tr>
      <w:tr w14:paraId="2935DD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0A2839F3">
            <w:pPr>
              <w:spacing w:line="360" w:lineRule="auto"/>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响应文件的递交</w:t>
            </w:r>
          </w:p>
        </w:tc>
      </w:tr>
      <w:tr w14:paraId="16C1BE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1445" w:type="dxa"/>
            <w:vAlign w:val="center"/>
          </w:tcPr>
          <w:p w14:paraId="2251AA86">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18.2</w:t>
            </w:r>
          </w:p>
        </w:tc>
        <w:tc>
          <w:tcPr>
            <w:tcW w:w="7655" w:type="dxa"/>
          </w:tcPr>
          <w:p w14:paraId="67E4B83F">
            <w:pPr>
              <w:widowControl/>
              <w:autoSpaceDE w:val="0"/>
              <w:autoSpaceDN w:val="0"/>
              <w:spacing w:line="360" w:lineRule="auto"/>
              <w:textAlignment w:val="bottom"/>
              <w:rPr>
                <w:rFonts w:ascii="宋体" w:hAnsi="宋体" w:cs="宋体"/>
                <w:color w:val="auto"/>
              </w:rPr>
            </w:pPr>
            <w:r>
              <w:rPr>
                <w:rFonts w:hint="eastAsia" w:ascii="宋体" w:hAnsi="宋体" w:cs="宋体"/>
                <w:color w:val="auto"/>
              </w:rPr>
              <w:t>响应文件将递交以下地址即响应文件开启地点：</w:t>
            </w:r>
          </w:p>
          <w:p w14:paraId="6AE183E5">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highlight w:val="none"/>
                <w:lang w:val="en-US" w:eastAsia="zh-CN"/>
              </w:rPr>
              <w:t>政府采购云平台(网址:http://www.zcygov.cn)。</w:t>
            </w:r>
          </w:p>
        </w:tc>
      </w:tr>
      <w:tr w14:paraId="3AAC2E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23024A96">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19.1</w:t>
            </w:r>
          </w:p>
        </w:tc>
        <w:tc>
          <w:tcPr>
            <w:tcW w:w="7655" w:type="dxa"/>
            <w:vAlign w:val="center"/>
          </w:tcPr>
          <w:p w14:paraId="5D94A820">
            <w:pPr>
              <w:widowControl/>
              <w:autoSpaceDE w:val="0"/>
              <w:autoSpaceDN w:val="0"/>
              <w:spacing w:line="360" w:lineRule="auto"/>
              <w:ind w:right="893"/>
              <w:textAlignment w:val="bottom"/>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rPr>
              <w:t>递交响应文件截止时间：</w:t>
            </w:r>
            <w:r>
              <w:rPr>
                <w:rFonts w:hint="eastAsia" w:asciiTheme="minorEastAsia" w:hAnsiTheme="minorEastAsia" w:eastAsiaTheme="minorEastAsia" w:cstheme="minorEastAsia"/>
                <w:color w:val="auto"/>
                <w:lang w:eastAsia="zh-CN"/>
              </w:rPr>
              <w:t>2025年04月23日9点00 分</w:t>
            </w:r>
            <w:r>
              <w:rPr>
                <w:rFonts w:hint="eastAsia" w:asciiTheme="minorEastAsia" w:hAnsiTheme="minorEastAsia" w:eastAsiaTheme="minorEastAsia" w:cstheme="minorEastAsia"/>
                <w:color w:val="auto"/>
              </w:rPr>
              <w:t>前（北京时间）</w:t>
            </w:r>
            <w:r>
              <w:rPr>
                <w:rFonts w:hint="eastAsia" w:asciiTheme="minorEastAsia" w:hAnsiTheme="minorEastAsia" w:eastAsiaTheme="minorEastAsia" w:cstheme="minorEastAsia"/>
                <w:color w:val="auto"/>
                <w:lang w:eastAsia="zh-CN"/>
              </w:rPr>
              <w:t>。</w:t>
            </w:r>
          </w:p>
        </w:tc>
      </w:tr>
      <w:tr w14:paraId="10A50A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47D522F6">
            <w:pPr>
              <w:widowControl/>
              <w:autoSpaceDE w:val="0"/>
              <w:autoSpaceDN w:val="0"/>
              <w:spacing w:line="360" w:lineRule="auto"/>
              <w:ind w:right="893"/>
              <w:jc w:val="center"/>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 xml:space="preserve">        响应文件开启与评标</w:t>
            </w:r>
          </w:p>
        </w:tc>
      </w:tr>
      <w:tr w14:paraId="657C1D2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75" w:hRule="atLeast"/>
          <w:jc w:val="center"/>
        </w:trPr>
        <w:tc>
          <w:tcPr>
            <w:tcW w:w="1445" w:type="dxa"/>
            <w:vAlign w:val="center"/>
          </w:tcPr>
          <w:p w14:paraId="386AF745">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22.1</w:t>
            </w:r>
          </w:p>
        </w:tc>
        <w:tc>
          <w:tcPr>
            <w:tcW w:w="7655" w:type="dxa"/>
            <w:vAlign w:val="center"/>
          </w:tcPr>
          <w:p w14:paraId="4A782290">
            <w:pPr>
              <w:widowControl/>
              <w:autoSpaceDE w:val="0"/>
              <w:autoSpaceDN w:val="0"/>
              <w:spacing w:line="240" w:lineRule="auto"/>
              <w:ind w:right="0"/>
              <w:textAlignment w:val="bottom"/>
              <w:rPr>
                <w:rFonts w:hint="eastAsia" w:ascii="宋体" w:hAnsi="宋体" w:eastAsia="宋体" w:cs="宋体"/>
                <w:color w:val="auto"/>
                <w:lang w:eastAsia="zh-CN"/>
              </w:rPr>
            </w:pPr>
            <w:r>
              <w:rPr>
                <w:rFonts w:hint="eastAsia" w:ascii="宋体" w:hAnsi="宋体" w:cs="宋体"/>
                <w:color w:val="auto"/>
              </w:rPr>
              <w:t>响应文件开启时间：</w:t>
            </w:r>
            <w:r>
              <w:rPr>
                <w:rFonts w:hint="eastAsia" w:ascii="宋体" w:hAnsi="宋体" w:cs="宋体"/>
                <w:color w:val="auto"/>
                <w:lang w:eastAsia="zh-CN"/>
              </w:rPr>
              <w:t>2025年04月23日9点00 分</w:t>
            </w:r>
            <w:r>
              <w:rPr>
                <w:rFonts w:hint="eastAsia" w:ascii="宋体" w:hAnsi="宋体" w:cs="宋体"/>
                <w:color w:val="auto"/>
              </w:rPr>
              <w:t>前（北京时间</w:t>
            </w:r>
            <w:r>
              <w:rPr>
                <w:rFonts w:hint="eastAsia" w:ascii="宋体" w:hAnsi="宋体" w:cs="宋体"/>
                <w:color w:val="auto"/>
                <w:lang w:eastAsia="zh-CN"/>
              </w:rPr>
              <w:t>）</w:t>
            </w:r>
          </w:p>
          <w:p w14:paraId="1867AE9B">
            <w:pPr>
              <w:widowControl/>
              <w:autoSpaceDE w:val="0"/>
              <w:autoSpaceDN w:val="0"/>
              <w:spacing w:line="240" w:lineRule="auto"/>
              <w:ind w:right="0"/>
              <w:textAlignment w:val="bottom"/>
              <w:rPr>
                <w:rFonts w:asciiTheme="minorEastAsia" w:hAnsiTheme="minorEastAsia" w:eastAsiaTheme="minorEastAsia" w:cstheme="minorEastAsia"/>
                <w:color w:val="auto"/>
              </w:rPr>
            </w:pPr>
            <w:r>
              <w:rPr>
                <w:rFonts w:hint="eastAsia" w:ascii="宋体" w:hAnsi="宋体" w:cs="宋体"/>
                <w:color w:val="auto"/>
              </w:rPr>
              <w:t>响应文件开启</w:t>
            </w:r>
            <w:r>
              <w:rPr>
                <w:rFonts w:hint="eastAsia" w:ascii="宋体" w:hAnsi="宋体" w:cs="宋体"/>
                <w:color w:val="auto"/>
                <w:lang w:eastAsia="zh-CN"/>
              </w:rPr>
              <w:t>地点：政府采购云平台(网址:http://www.zcygov.cn)。</w:t>
            </w:r>
            <w:r>
              <w:rPr>
                <w:rFonts w:hint="eastAsia" w:asciiTheme="minorEastAsia" w:hAnsiTheme="minorEastAsia" w:eastAsiaTheme="minorEastAsia" w:cstheme="minorEastAsia"/>
                <w:color w:val="auto"/>
              </w:rPr>
              <w:t>。</w:t>
            </w:r>
          </w:p>
        </w:tc>
      </w:tr>
      <w:tr w14:paraId="518E48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9100" w:type="dxa"/>
            <w:gridSpan w:val="2"/>
            <w:vAlign w:val="center"/>
          </w:tcPr>
          <w:p w14:paraId="676F2E7A">
            <w:pPr>
              <w:spacing w:line="360" w:lineRule="auto"/>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授予合同</w:t>
            </w:r>
          </w:p>
        </w:tc>
      </w:tr>
      <w:tr w14:paraId="3EBEFA9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1D52C266">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28.1</w:t>
            </w:r>
          </w:p>
        </w:tc>
        <w:tc>
          <w:tcPr>
            <w:tcW w:w="7655" w:type="dxa"/>
          </w:tcPr>
          <w:p w14:paraId="4EC505EE">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本项目采用综合评分法</w:t>
            </w:r>
          </w:p>
        </w:tc>
      </w:tr>
      <w:tr w14:paraId="33F5EC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2" w:hRule="atLeast"/>
          <w:jc w:val="center"/>
        </w:trPr>
        <w:tc>
          <w:tcPr>
            <w:tcW w:w="1445" w:type="dxa"/>
            <w:vAlign w:val="center"/>
          </w:tcPr>
          <w:p w14:paraId="1A657FD5">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30.1</w:t>
            </w:r>
          </w:p>
        </w:tc>
        <w:tc>
          <w:tcPr>
            <w:tcW w:w="7655" w:type="dxa"/>
          </w:tcPr>
          <w:p w14:paraId="620CCD4D">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数量增减变更：10%。</w:t>
            </w:r>
          </w:p>
        </w:tc>
      </w:tr>
      <w:tr w14:paraId="65CCC62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8" w:hRule="atLeast"/>
          <w:jc w:val="center"/>
        </w:trPr>
        <w:tc>
          <w:tcPr>
            <w:tcW w:w="1445" w:type="dxa"/>
            <w:tcBorders>
              <w:bottom w:val="double" w:color="auto" w:sz="4" w:space="0"/>
            </w:tcBorders>
            <w:vAlign w:val="center"/>
          </w:tcPr>
          <w:p w14:paraId="115F4322">
            <w:pPr>
              <w:spacing w:line="360" w:lineRule="auto"/>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32</w:t>
            </w:r>
          </w:p>
        </w:tc>
        <w:tc>
          <w:tcPr>
            <w:tcW w:w="7655" w:type="dxa"/>
            <w:tcBorders>
              <w:bottom w:val="double" w:color="auto" w:sz="4" w:space="0"/>
            </w:tcBorders>
          </w:tcPr>
          <w:p w14:paraId="22838FA6">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采购人有权按照自行选择的方式签署合同</w:t>
            </w:r>
          </w:p>
        </w:tc>
      </w:tr>
    </w:tbl>
    <w:p w14:paraId="25881F09">
      <w:pPr>
        <w:spacing w:line="360" w:lineRule="auto"/>
        <w:jc w:val="center"/>
        <w:rPr>
          <w:rFonts w:asciiTheme="minorEastAsia" w:hAnsiTheme="minorEastAsia" w:eastAsiaTheme="minorEastAsia" w:cstheme="minorEastAsia"/>
          <w:b/>
          <w:bCs/>
          <w:color w:val="auto"/>
          <w:sz w:val="32"/>
          <w:szCs w:val="32"/>
        </w:rPr>
        <w:sectPr>
          <w:footerReference r:id="rId5" w:type="first"/>
          <w:headerReference r:id="rId3" w:type="default"/>
          <w:footerReference r:id="rId4" w:type="default"/>
          <w:pgSz w:w="11907" w:h="16840"/>
          <w:pgMar w:top="1418" w:right="1134" w:bottom="1418" w:left="1531" w:header="851" w:footer="992" w:gutter="0"/>
          <w:cols w:space="720" w:num="1"/>
          <w:titlePg/>
          <w:docGrid w:linePitch="312" w:charSpace="0"/>
        </w:sectPr>
      </w:pPr>
    </w:p>
    <w:p w14:paraId="63DCEBE1">
      <w:pPr>
        <w:spacing w:line="360" w:lineRule="auto"/>
        <w:jc w:val="center"/>
        <w:rPr>
          <w:rFonts w:asciiTheme="minorEastAsia" w:hAnsiTheme="minorEastAsia" w:eastAsiaTheme="minorEastAsia" w:cstheme="minorEastAsia"/>
          <w:b/>
          <w:bCs/>
          <w:color w:val="auto"/>
          <w:sz w:val="32"/>
          <w:szCs w:val="32"/>
        </w:rPr>
      </w:pPr>
      <w:bookmarkStart w:id="151" w:name="OLE_LINK8"/>
      <w:r>
        <w:rPr>
          <w:rFonts w:hint="eastAsia" w:asciiTheme="minorEastAsia" w:hAnsiTheme="minorEastAsia" w:eastAsiaTheme="minorEastAsia" w:cstheme="minorEastAsia"/>
          <w:b/>
          <w:bCs/>
          <w:color w:val="auto"/>
          <w:sz w:val="32"/>
          <w:szCs w:val="32"/>
        </w:rPr>
        <w:t>第四篇  合同通用条款（参考格式）</w:t>
      </w:r>
    </w:p>
    <w:p w14:paraId="1D8DE53F">
      <w:pPr>
        <w:spacing w:line="360" w:lineRule="auto"/>
        <w:ind w:firstLine="1935"/>
        <w:jc w:val="center"/>
        <w:rPr>
          <w:rFonts w:asciiTheme="minorEastAsia" w:hAnsiTheme="minorEastAsia" w:eastAsiaTheme="minorEastAsia" w:cstheme="minorEastAsia"/>
          <w:color w:val="auto"/>
        </w:rPr>
      </w:pPr>
    </w:p>
    <w:p w14:paraId="31EB63BB">
      <w:pPr>
        <w:spacing w:line="360" w:lineRule="auto"/>
        <w:ind w:firstLine="1935"/>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合同编号：</w:t>
      </w:r>
    </w:p>
    <w:p w14:paraId="453E49E7">
      <w:pPr>
        <w:spacing w:line="360" w:lineRule="auto"/>
        <w:jc w:val="center"/>
        <w:rPr>
          <w:rFonts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color w:val="auto"/>
        </w:rPr>
        <w:t xml:space="preserve">                                                    签约地点：</w:t>
      </w:r>
    </w:p>
    <w:p w14:paraId="7D031EC4">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甲方（需方）：</w:t>
      </w:r>
    </w:p>
    <w:p w14:paraId="4D460139">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乙方（供方）：</w:t>
      </w:r>
    </w:p>
    <w:p w14:paraId="1685A471">
      <w:pP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根据《中华人民共和国合同法》及年月日</w:t>
      </w:r>
      <w:r>
        <w:rPr>
          <w:rFonts w:hint="eastAsia" w:asciiTheme="minorEastAsia" w:hAnsiTheme="minorEastAsia" w:eastAsiaTheme="minorEastAsia" w:cstheme="minorEastAsia"/>
          <w:color w:val="auto"/>
          <w:lang w:eastAsia="zh-CN"/>
        </w:rPr>
        <w:t>吉林省融合项目管理咨询有限责任公司</w:t>
      </w:r>
      <w:r>
        <w:rPr>
          <w:rFonts w:hint="eastAsia" w:asciiTheme="minorEastAsia" w:hAnsiTheme="minorEastAsia" w:eastAsiaTheme="minorEastAsia" w:cstheme="minorEastAsia"/>
          <w:color w:val="auto"/>
        </w:rPr>
        <w:t>（以下简称采购代理机构）对甲方采购项目招标结果和磋商文件（项目编号：）的要求，经甲乙双方协商一致，签订本合同。</w:t>
      </w:r>
    </w:p>
    <w:p w14:paraId="03BB920A">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1.  </w:t>
      </w:r>
      <w:bookmarkStart w:id="152" w:name="_Toc526932023"/>
      <w:bookmarkStart w:id="153" w:name="_Toc527703761"/>
      <w:bookmarkStart w:id="154" w:name="_Toc14450823"/>
      <w:bookmarkStart w:id="155" w:name="_Toc21151352"/>
      <w:bookmarkStart w:id="156" w:name="_Toc17252684"/>
      <w:r>
        <w:rPr>
          <w:rFonts w:hint="eastAsia" w:asciiTheme="minorEastAsia" w:hAnsiTheme="minorEastAsia" w:eastAsiaTheme="minorEastAsia" w:cstheme="minorEastAsia"/>
          <w:b/>
          <w:bCs/>
          <w:color w:val="auto"/>
        </w:rPr>
        <w:t>合同</w:t>
      </w:r>
      <w:bookmarkEnd w:id="152"/>
      <w:bookmarkEnd w:id="153"/>
      <w:r>
        <w:rPr>
          <w:rFonts w:hint="eastAsia" w:asciiTheme="minorEastAsia" w:hAnsiTheme="minorEastAsia" w:eastAsiaTheme="minorEastAsia" w:cstheme="minorEastAsia"/>
          <w:b/>
          <w:bCs/>
          <w:color w:val="auto"/>
        </w:rPr>
        <w:t>项目</w:t>
      </w:r>
      <w:bookmarkEnd w:id="154"/>
      <w:bookmarkEnd w:id="155"/>
      <w:bookmarkEnd w:id="156"/>
    </w:p>
    <w:p w14:paraId="1EB7E939">
      <w:pPr>
        <w:numPr>
          <w:ilvl w:val="1"/>
          <w:numId w:val="12"/>
        </w:numPr>
        <w:tabs>
          <w:tab w:val="left" w:pos="0"/>
          <w:tab w:val="clear" w:pos="360"/>
        </w:tabs>
        <w:spacing w:line="360" w:lineRule="auto"/>
        <w:ind w:left="0" w:firstLine="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合同服务清单：</w:t>
      </w:r>
    </w:p>
    <w:p w14:paraId="35CAB18B">
      <w:pPr>
        <w:numPr>
          <w:ilvl w:val="255"/>
          <w:numId w:val="0"/>
        </w:numPr>
        <w:tabs>
          <w:tab w:val="left" w:pos="0"/>
        </w:tabs>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p w14:paraId="2C695093">
      <w:pPr>
        <w:numPr>
          <w:ilvl w:val="255"/>
          <w:numId w:val="0"/>
        </w:numPr>
        <w:tabs>
          <w:tab w:val="left" w:pos="0"/>
        </w:tabs>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p w14:paraId="74AF409B">
      <w:pPr>
        <w:numPr>
          <w:ilvl w:val="255"/>
          <w:numId w:val="0"/>
        </w:numPr>
        <w:tabs>
          <w:tab w:val="left" w:pos="0"/>
        </w:tabs>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p w14:paraId="785E53DF">
      <w:pPr>
        <w:spacing w:line="360" w:lineRule="auto"/>
        <w:ind w:firstLine="630" w:firstLineChars="300"/>
        <w:rPr>
          <w:rFonts w:asciiTheme="minorEastAsia" w:hAnsiTheme="minorEastAsia" w:eastAsiaTheme="minorEastAsia" w:cstheme="minorEastAsia"/>
          <w:color w:val="auto"/>
        </w:rPr>
      </w:pPr>
      <w:bookmarkStart w:id="157" w:name="_Toc526932024"/>
      <w:bookmarkStart w:id="158" w:name="_Toc527703762"/>
      <w:r>
        <w:rPr>
          <w:rFonts w:hint="eastAsia" w:asciiTheme="minorEastAsia" w:hAnsiTheme="minorEastAsia" w:eastAsiaTheme="minorEastAsia" w:cstheme="minorEastAsia"/>
          <w:color w:val="auto"/>
        </w:rPr>
        <w:t>本合同总价含合同服务范围内的全部服务。</w:t>
      </w:r>
    </w:p>
    <w:bookmarkEnd w:id="157"/>
    <w:bookmarkEnd w:id="158"/>
    <w:p w14:paraId="20CA9CBD">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2. </w:t>
      </w:r>
      <w:r>
        <w:rPr>
          <w:rFonts w:hint="eastAsia" w:asciiTheme="minorEastAsia" w:hAnsiTheme="minorEastAsia" w:eastAsiaTheme="minorEastAsia" w:cstheme="minorEastAsia"/>
          <w:b/>
          <w:bCs/>
          <w:color w:val="auto"/>
        </w:rPr>
        <w:t xml:space="preserve">  合同总价</w:t>
      </w:r>
    </w:p>
    <w:p w14:paraId="26B73536">
      <w:pPr>
        <w:spacing w:line="360" w:lineRule="auto"/>
        <w:ind w:firstLine="525" w:firstLine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合同含税总价为人民币（大写）：，即RMB￥：元，该合同总金额是服务过程中发生的所有含税费用。本合同执行期间合同总金额不变。</w:t>
      </w:r>
    </w:p>
    <w:p w14:paraId="08026013">
      <w:pPr>
        <w:spacing w:line="360" w:lineRule="auto"/>
        <w:rPr>
          <w:rFonts w:asciiTheme="minorEastAsia" w:hAnsiTheme="minorEastAsia" w:eastAsiaTheme="minorEastAsia" w:cstheme="minorEastAsia"/>
          <w:b/>
          <w:bCs/>
          <w:color w:val="auto"/>
        </w:rPr>
      </w:pPr>
      <w:bookmarkStart w:id="159" w:name="_Toc21151354"/>
      <w:bookmarkStart w:id="160" w:name="_Toc527703763"/>
      <w:bookmarkStart w:id="161" w:name="_Toc17252686"/>
      <w:bookmarkStart w:id="162" w:name="_Toc14450825"/>
      <w:bookmarkStart w:id="163" w:name="_Toc526932025"/>
      <w:r>
        <w:rPr>
          <w:rFonts w:hint="eastAsia" w:asciiTheme="minorEastAsia" w:hAnsiTheme="minorEastAsia" w:eastAsiaTheme="minorEastAsia" w:cstheme="minorEastAsia"/>
          <w:color w:val="auto"/>
        </w:rPr>
        <w:t xml:space="preserve">3. </w:t>
      </w:r>
      <w:r>
        <w:rPr>
          <w:rFonts w:hint="eastAsia" w:asciiTheme="minorEastAsia" w:hAnsiTheme="minorEastAsia" w:eastAsiaTheme="minorEastAsia" w:cstheme="minorEastAsia"/>
          <w:b/>
          <w:bCs/>
          <w:color w:val="auto"/>
        </w:rPr>
        <w:t xml:space="preserve">  合同组成</w:t>
      </w:r>
    </w:p>
    <w:bookmarkEnd w:id="159"/>
    <w:bookmarkEnd w:id="160"/>
    <w:bookmarkEnd w:id="161"/>
    <w:bookmarkEnd w:id="162"/>
    <w:bookmarkEnd w:id="163"/>
    <w:p w14:paraId="69215E7C">
      <w:pPr>
        <w:spacing w:line="360" w:lineRule="auto"/>
        <w:ind w:firstLine="525" w:firstLine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详细价格、服务说明及其它有关合同设备的特定信息由合同附件说明。所有附件及本项目的招响应文件、澄清记要、成交通知书、协议等均为本合同不可分割的部分。</w:t>
      </w:r>
    </w:p>
    <w:p w14:paraId="425BCB7C">
      <w:pPr>
        <w:numPr>
          <w:ilvl w:val="0"/>
          <w:numId w:val="13"/>
        </w:num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服务要求</w:t>
      </w:r>
    </w:p>
    <w:p w14:paraId="0E1F2F7D">
      <w:pPr>
        <w:numPr>
          <w:ilvl w:val="255"/>
          <w:numId w:val="0"/>
        </w:numPr>
        <w:spacing w:line="360" w:lineRule="auto"/>
        <w:rPr>
          <w:rFonts w:asciiTheme="minorEastAsia" w:hAnsiTheme="minorEastAsia" w:eastAsiaTheme="minorEastAsia" w:cstheme="minorEastAsia"/>
          <w:color w:val="auto"/>
        </w:rPr>
      </w:pPr>
      <w:bookmarkStart w:id="164" w:name="_Toc526932027"/>
      <w:bookmarkStart w:id="165" w:name="_Toc17252688"/>
      <w:bookmarkStart w:id="166" w:name="_Toc21151356"/>
      <w:bookmarkStart w:id="167" w:name="_Toc527703765"/>
      <w:bookmarkStart w:id="168" w:name="_Toc14450827"/>
      <w:r>
        <w:rPr>
          <w:rFonts w:hint="eastAsia" w:asciiTheme="minorEastAsia" w:hAnsiTheme="minorEastAsia" w:eastAsiaTheme="minorEastAsia" w:cstheme="minorEastAsia"/>
          <w:color w:val="auto"/>
        </w:rPr>
        <w:t xml:space="preserve">5.  </w:t>
      </w:r>
      <w:r>
        <w:rPr>
          <w:rFonts w:hint="eastAsia" w:asciiTheme="minorEastAsia" w:hAnsiTheme="minorEastAsia" w:eastAsiaTheme="minorEastAsia" w:cstheme="minorEastAsia"/>
          <w:b/>
          <w:bCs/>
          <w:color w:val="auto"/>
        </w:rPr>
        <w:t xml:space="preserve"> 服务的验收</w:t>
      </w:r>
      <w:bookmarkEnd w:id="164"/>
      <w:bookmarkEnd w:id="165"/>
      <w:bookmarkEnd w:id="166"/>
      <w:bookmarkEnd w:id="167"/>
      <w:bookmarkEnd w:id="168"/>
    </w:p>
    <w:p w14:paraId="4AFBD9EA">
      <w:pPr>
        <w:tabs>
          <w:tab w:val="left" w:pos="7845"/>
        </w:tabs>
        <w:spacing w:line="360" w:lineRule="auto"/>
        <w:ind w:left="525" w:hanging="525" w:hangingChars="250"/>
        <w:rPr>
          <w:rFonts w:hint="eastAsia" w:asciiTheme="minorEastAsia" w:hAnsiTheme="minorEastAsia" w:eastAsiaTheme="minorEastAsia" w:cstheme="minorEastAsia"/>
          <w:b/>
          <w:bCs/>
          <w:color w:val="auto"/>
          <w:highlight w:val="green"/>
          <w:lang w:eastAsia="zh-CN"/>
        </w:rPr>
      </w:pPr>
      <w:bookmarkStart w:id="169" w:name="_Toc17252690"/>
      <w:bookmarkStart w:id="170" w:name="_Toc527703767"/>
      <w:bookmarkStart w:id="171" w:name="_Toc526932029"/>
      <w:bookmarkStart w:id="172" w:name="_Toc14450829"/>
      <w:bookmarkStart w:id="173" w:name="_Toc21151358"/>
      <w:bookmarkStart w:id="174" w:name="_Toc527703768"/>
      <w:bookmarkStart w:id="175" w:name="_Toc14450830"/>
      <w:bookmarkStart w:id="176" w:name="_Toc17252691"/>
      <w:bookmarkStart w:id="177" w:name="_Toc21151359"/>
      <w:bookmarkStart w:id="178" w:name="_Toc526932030"/>
      <w:r>
        <w:rPr>
          <w:rFonts w:hint="eastAsia" w:asciiTheme="minorEastAsia" w:hAnsiTheme="minorEastAsia" w:eastAsiaTheme="minorEastAsia" w:cstheme="minorEastAsia"/>
          <w:color w:val="auto"/>
        </w:rPr>
        <w:t xml:space="preserve">6.  </w:t>
      </w:r>
      <w:r>
        <w:rPr>
          <w:rFonts w:hint="eastAsia" w:asciiTheme="minorEastAsia" w:hAnsiTheme="minorEastAsia" w:eastAsiaTheme="minorEastAsia" w:cstheme="minorEastAsia"/>
          <w:b/>
          <w:bCs/>
          <w:color w:val="auto"/>
        </w:rPr>
        <w:t xml:space="preserve"> 付款方式</w:t>
      </w:r>
      <w:bookmarkEnd w:id="169"/>
      <w:bookmarkEnd w:id="170"/>
      <w:bookmarkEnd w:id="171"/>
      <w:bookmarkEnd w:id="172"/>
      <w:bookmarkEnd w:id="173"/>
      <w:r>
        <w:rPr>
          <w:rFonts w:hint="eastAsia" w:asciiTheme="minorEastAsia" w:hAnsiTheme="minorEastAsia" w:eastAsiaTheme="minorEastAsia" w:cstheme="minorEastAsia"/>
          <w:b/>
          <w:bCs/>
          <w:color w:val="auto"/>
        </w:rPr>
        <w:t>：</w:t>
      </w:r>
      <w:r>
        <w:rPr>
          <w:rFonts w:hint="eastAsia" w:asciiTheme="minorEastAsia" w:hAnsiTheme="minorEastAsia" w:eastAsiaTheme="minorEastAsia" w:cstheme="minorEastAsia"/>
          <w:b/>
          <w:bCs/>
          <w:color w:val="auto"/>
          <w:lang w:eastAsia="zh-CN"/>
        </w:rPr>
        <w:t>执行合同</w:t>
      </w:r>
    </w:p>
    <w:bookmarkEnd w:id="174"/>
    <w:bookmarkEnd w:id="175"/>
    <w:bookmarkEnd w:id="176"/>
    <w:bookmarkEnd w:id="177"/>
    <w:bookmarkEnd w:id="178"/>
    <w:p w14:paraId="1590001A">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7.   </w:t>
      </w:r>
      <w:r>
        <w:rPr>
          <w:rFonts w:hint="eastAsia" w:asciiTheme="minorEastAsia" w:hAnsiTheme="minorEastAsia" w:eastAsiaTheme="minorEastAsia" w:cstheme="minorEastAsia"/>
          <w:b/>
          <w:bCs/>
          <w:color w:val="auto"/>
        </w:rPr>
        <w:t>不可抗力</w:t>
      </w:r>
    </w:p>
    <w:p w14:paraId="74376AB1">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7.1  不可抗力指战争、严重火灾、洪水、台风、地震等或其它双方认定的不可抗力事件。</w:t>
      </w:r>
    </w:p>
    <w:p w14:paraId="32B35F9A">
      <w:pPr>
        <w:spacing w:line="360" w:lineRule="auto"/>
        <w:ind w:left="525" w:hanging="525" w:hanging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7.2  签约双方中任何一方由于不可抗力影响合同执行时，发生不可抗力一方应尽快将事故通知另一方。在此情况下，乙方仍然有责任采取必要的措施加快服务，双方应通过友好协商尽快解决本合同的执行问题。</w:t>
      </w:r>
    </w:p>
    <w:p w14:paraId="7769AC6B">
      <w:pPr>
        <w:spacing w:line="360" w:lineRule="auto"/>
        <w:ind w:left="1"/>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9. </w:t>
      </w:r>
      <w:r>
        <w:rPr>
          <w:rFonts w:hint="eastAsia" w:asciiTheme="minorEastAsia" w:hAnsiTheme="minorEastAsia" w:eastAsiaTheme="minorEastAsia" w:cstheme="minorEastAsia"/>
          <w:b/>
          <w:bCs/>
          <w:color w:val="auto"/>
        </w:rPr>
        <w:t xml:space="preserve"> 索赔</w:t>
      </w:r>
    </w:p>
    <w:p w14:paraId="4A575D0C">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9.1 如有异议，甲方有权根据有关政府部门的检验结果向乙方提出索赔。</w:t>
      </w:r>
    </w:p>
    <w:p w14:paraId="6CFE2A7F">
      <w:pPr>
        <w:spacing w:line="360" w:lineRule="auto"/>
        <w:ind w:left="525" w:hanging="525" w:hanging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9.2 在合同执行期间，如果乙方对甲方提出的索赔和差异负有责任，乙方应按照甲方同意的下列一</w:t>
      </w:r>
    </w:p>
    <w:p w14:paraId="1DA3224D">
      <w:pPr>
        <w:spacing w:line="360" w:lineRule="auto"/>
        <w:ind w:left="525" w:left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种或多种方式解决索赔事宜：</w:t>
      </w:r>
    </w:p>
    <w:p w14:paraId="5D119CF5">
      <w:pPr>
        <w:spacing w:line="360" w:lineRule="auto"/>
        <w:ind w:left="945" w:leftChars="250" w:hanging="420" w:hanging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 根据服务低劣程度、损坏程度以及甲方所遭受损失的数额甲乙双方商定降低服务的价格。</w:t>
      </w:r>
    </w:p>
    <w:p w14:paraId="64ADDDD6">
      <w:pPr>
        <w:spacing w:line="360" w:lineRule="auto"/>
        <w:ind w:left="945" w:leftChars="4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 </w:t>
      </w:r>
    </w:p>
    <w:p w14:paraId="7552D3A3">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9.3 如果在甲方发出索赔通知后</w:t>
      </w:r>
      <w:r>
        <w:rPr>
          <w:rFonts w:hint="eastAsia" w:asciiTheme="minorEastAsia" w:hAnsiTheme="minorEastAsia" w:eastAsiaTheme="minorEastAsia" w:cstheme="minorEastAsia"/>
          <w:color w:val="auto"/>
          <w:shd w:val="clear" w:color="auto" w:fill="FFFFFF"/>
        </w:rPr>
        <w:t>30</w:t>
      </w:r>
      <w:r>
        <w:rPr>
          <w:rFonts w:hint="eastAsia" w:asciiTheme="minorEastAsia" w:hAnsiTheme="minorEastAsia" w:eastAsiaTheme="minorEastAsia" w:cstheme="minorEastAsia"/>
          <w:color w:val="auto"/>
        </w:rPr>
        <w:t>天内，乙方未作答复，上述索赔应视为已被乙方接受。甲方将从</w:t>
      </w:r>
    </w:p>
    <w:p w14:paraId="08542C14">
      <w:pPr>
        <w:spacing w:line="360" w:lineRule="auto"/>
        <w:ind w:left="630" w:leftChars="250" w:hanging="105" w:hangingChars="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合同款项中扣回索赔金额。如果这些金额不足以补偿索赔金额，甲方有权向乙方提出不足部分的</w:t>
      </w:r>
    </w:p>
    <w:p w14:paraId="45C8C1F1">
      <w:pPr>
        <w:spacing w:line="360" w:lineRule="auto"/>
        <w:ind w:left="630" w:leftChars="250" w:hanging="105" w:hangingChars="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补偿。</w:t>
      </w:r>
    </w:p>
    <w:p w14:paraId="07991766">
      <w:pPr>
        <w:spacing w:line="360" w:lineRule="auto"/>
        <w:rPr>
          <w:rFonts w:asciiTheme="minorEastAsia" w:hAnsiTheme="minorEastAsia" w:eastAsiaTheme="minorEastAsia" w:cstheme="minorEastAsia"/>
          <w:b/>
          <w:bCs/>
          <w:color w:val="auto"/>
        </w:rPr>
      </w:pPr>
      <w:bookmarkStart w:id="179" w:name="_Toc527703771"/>
      <w:bookmarkStart w:id="180" w:name="_Toc21151362"/>
      <w:bookmarkStart w:id="181" w:name="_Toc14450833"/>
      <w:bookmarkStart w:id="182" w:name="_Toc17252694"/>
      <w:bookmarkStart w:id="183" w:name="_Toc526932033"/>
      <w:r>
        <w:rPr>
          <w:rFonts w:hint="eastAsia" w:asciiTheme="minorEastAsia" w:hAnsiTheme="minorEastAsia" w:eastAsiaTheme="minorEastAsia" w:cstheme="minorEastAsia"/>
          <w:color w:val="auto"/>
        </w:rPr>
        <w:t xml:space="preserve">10. </w:t>
      </w:r>
      <w:r>
        <w:rPr>
          <w:rFonts w:hint="eastAsia" w:asciiTheme="minorEastAsia" w:hAnsiTheme="minorEastAsia" w:eastAsiaTheme="minorEastAsia" w:cstheme="minorEastAsia"/>
          <w:b/>
          <w:bCs/>
          <w:color w:val="auto"/>
        </w:rPr>
        <w:t xml:space="preserve"> 违约与处罚</w:t>
      </w:r>
      <w:bookmarkEnd w:id="179"/>
      <w:bookmarkEnd w:id="180"/>
      <w:bookmarkEnd w:id="181"/>
      <w:bookmarkEnd w:id="182"/>
      <w:bookmarkEnd w:id="183"/>
    </w:p>
    <w:p w14:paraId="034D0FB7">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10.1 甲方应依合同规定时间内，向乙方支付合同款，每拖延一天乙方可向甲方加收合同金额的</w:t>
      </w:r>
      <w:r>
        <w:rPr>
          <w:rFonts w:hint="eastAsia" w:asciiTheme="minorEastAsia" w:hAnsiTheme="minorEastAsia" w:eastAsiaTheme="minorEastAsia" w:cstheme="minorEastAsia"/>
          <w:color w:val="auto"/>
          <w:shd w:val="clear" w:color="auto" w:fill="FFFFFF"/>
        </w:rPr>
        <w:t>3‰</w:t>
      </w:r>
      <w:r>
        <w:rPr>
          <w:rFonts w:hint="eastAsia" w:asciiTheme="minorEastAsia" w:hAnsiTheme="minorEastAsia" w:eastAsiaTheme="minorEastAsia" w:cstheme="minorEastAsia"/>
          <w:color w:val="auto"/>
        </w:rPr>
        <w:t>的</w:t>
      </w:r>
    </w:p>
    <w:p w14:paraId="1AEDE216">
      <w:pPr>
        <w:spacing w:line="360" w:lineRule="auto"/>
        <w:ind w:left="630" w:leftChars="250" w:hanging="105" w:hangingChars="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违约金。</w:t>
      </w:r>
    </w:p>
    <w:p w14:paraId="3AD026FB">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10.2 乙方未能按时提供服务，每拖延一天，须向甲方支付合同金额的</w:t>
      </w:r>
      <w:r>
        <w:rPr>
          <w:rFonts w:hint="eastAsia" w:asciiTheme="minorEastAsia" w:hAnsiTheme="minorEastAsia" w:eastAsiaTheme="minorEastAsia" w:cstheme="minorEastAsia"/>
          <w:color w:val="auto"/>
          <w:shd w:val="clear" w:color="auto" w:fill="FFFFFF"/>
        </w:rPr>
        <w:t>3‰</w:t>
      </w:r>
      <w:r>
        <w:rPr>
          <w:rFonts w:hint="eastAsia" w:asciiTheme="minorEastAsia" w:hAnsiTheme="minorEastAsia" w:eastAsiaTheme="minorEastAsia" w:cstheme="minorEastAsia"/>
          <w:color w:val="auto"/>
        </w:rPr>
        <w:t>的违约金。</w:t>
      </w:r>
    </w:p>
    <w:p w14:paraId="3A4AB450">
      <w:pPr>
        <w:spacing w:line="360" w:lineRule="auto"/>
        <w:ind w:left="630" w:hanging="630" w:hangingChars="3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10.3 乙方提供的服务不符合合同规定的，甲方有权拒绝，乙方向甲方支付合同金额</w:t>
      </w:r>
      <w:r>
        <w:rPr>
          <w:rFonts w:hint="eastAsia" w:asciiTheme="minorEastAsia" w:hAnsiTheme="minorEastAsia" w:eastAsiaTheme="minorEastAsia" w:cstheme="minorEastAsia"/>
          <w:color w:val="auto"/>
          <w:shd w:val="clear" w:color="auto" w:fill="FFFFFF"/>
        </w:rPr>
        <w:t>5%</w:t>
      </w:r>
      <w:r>
        <w:rPr>
          <w:rFonts w:hint="eastAsia" w:asciiTheme="minorEastAsia" w:hAnsiTheme="minorEastAsia" w:eastAsiaTheme="minorEastAsia" w:cstheme="minorEastAsia"/>
          <w:color w:val="auto"/>
        </w:rPr>
        <w:t>的违约金。</w:t>
      </w:r>
    </w:p>
    <w:p w14:paraId="7F1DE501">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10.4 甲方无正当理由拒绝服务的，甲方向乙方支付合同金额的</w:t>
      </w:r>
      <w:r>
        <w:rPr>
          <w:rFonts w:hint="eastAsia" w:asciiTheme="minorEastAsia" w:hAnsiTheme="minorEastAsia" w:eastAsiaTheme="minorEastAsia" w:cstheme="minorEastAsia"/>
          <w:color w:val="auto"/>
          <w:shd w:val="clear" w:color="auto" w:fill="FFFFFF"/>
        </w:rPr>
        <w:t>5%</w:t>
      </w:r>
      <w:r>
        <w:rPr>
          <w:rFonts w:hint="eastAsia" w:asciiTheme="minorEastAsia" w:hAnsiTheme="minorEastAsia" w:eastAsiaTheme="minorEastAsia" w:cstheme="minorEastAsia"/>
          <w:color w:val="auto"/>
        </w:rPr>
        <w:t>的违约金。</w:t>
      </w:r>
    </w:p>
    <w:p w14:paraId="79B44BC2">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10.5 乙方未能提供服务，则向甲方支付合同金额的</w:t>
      </w:r>
      <w:r>
        <w:rPr>
          <w:rFonts w:hint="eastAsia" w:asciiTheme="minorEastAsia" w:hAnsiTheme="minorEastAsia" w:eastAsiaTheme="minorEastAsia" w:cstheme="minorEastAsia"/>
          <w:color w:val="auto"/>
          <w:shd w:val="clear" w:color="auto" w:fill="FFFFFF"/>
        </w:rPr>
        <w:t>7.5%</w:t>
      </w:r>
      <w:r>
        <w:rPr>
          <w:rFonts w:hint="eastAsia" w:asciiTheme="minorEastAsia" w:hAnsiTheme="minorEastAsia" w:eastAsiaTheme="minorEastAsia" w:cstheme="minorEastAsia"/>
          <w:color w:val="auto"/>
        </w:rPr>
        <w:t>的违约金。</w:t>
      </w:r>
      <w:bookmarkStart w:id="184" w:name="_Toc14450834"/>
      <w:bookmarkStart w:id="185" w:name="_Toc527703772"/>
      <w:bookmarkStart w:id="186" w:name="_Toc17252695"/>
      <w:bookmarkStart w:id="187" w:name="_Toc21151363"/>
      <w:bookmarkStart w:id="188" w:name="_Toc526932034"/>
    </w:p>
    <w:p w14:paraId="329E3646">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12.  </w:t>
      </w:r>
      <w:r>
        <w:rPr>
          <w:rFonts w:hint="eastAsia" w:asciiTheme="minorEastAsia" w:hAnsiTheme="minorEastAsia" w:eastAsiaTheme="minorEastAsia" w:cstheme="minorEastAsia"/>
          <w:b/>
          <w:bCs/>
          <w:color w:val="auto"/>
        </w:rPr>
        <w:t>合同终止</w:t>
      </w:r>
      <w:bookmarkEnd w:id="184"/>
      <w:bookmarkEnd w:id="185"/>
      <w:bookmarkEnd w:id="186"/>
      <w:bookmarkEnd w:id="187"/>
      <w:bookmarkEnd w:id="188"/>
    </w:p>
    <w:p w14:paraId="4CC0DA97">
      <w:pPr>
        <w:spacing w:line="360" w:lineRule="auto"/>
        <w:ind w:firstLine="525" w:firstLine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如果一方严重违反合同，并在收到对方违约通知书后在</w:t>
      </w:r>
      <w:r>
        <w:rPr>
          <w:rFonts w:hint="eastAsia" w:asciiTheme="minorEastAsia" w:hAnsiTheme="minorEastAsia" w:eastAsiaTheme="minorEastAsia" w:cstheme="minorEastAsia"/>
          <w:color w:val="auto"/>
          <w:shd w:val="clear" w:color="auto" w:fill="FFFFFF"/>
        </w:rPr>
        <w:t>30</w:t>
      </w:r>
      <w:r>
        <w:rPr>
          <w:rFonts w:hint="eastAsia" w:asciiTheme="minorEastAsia" w:hAnsiTheme="minorEastAsia" w:eastAsiaTheme="minorEastAsia" w:cstheme="minorEastAsia"/>
          <w:color w:val="auto"/>
        </w:rPr>
        <w:t>天内仍未能改正违约的，另一方可立即终止本合同。</w:t>
      </w:r>
    </w:p>
    <w:p w14:paraId="7C798BD4">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13. </w:t>
      </w:r>
      <w:r>
        <w:rPr>
          <w:rFonts w:hint="eastAsia" w:asciiTheme="minorEastAsia" w:hAnsiTheme="minorEastAsia" w:eastAsiaTheme="minorEastAsia" w:cstheme="minorEastAsia"/>
          <w:b/>
          <w:bCs/>
          <w:color w:val="auto"/>
        </w:rPr>
        <w:t xml:space="preserve"> 法律诉讼</w:t>
      </w:r>
    </w:p>
    <w:p w14:paraId="4205E1BC">
      <w:pPr>
        <w:spacing w:line="360" w:lineRule="auto"/>
        <w:ind w:firstLine="525" w:firstLineChars="25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签约双方在履约中发生争执和分歧，双方应通过友好协商解决，若经协商不能达成协议时，则由合同签订所在地仲裁机构仲裁或合同签订所在地人民法院提起诉讼（仲裁或诉讼任选一种）。受理期间，双方应继续执行合同其余部分。</w:t>
      </w:r>
      <w:bookmarkStart w:id="189" w:name="_Toc526932036"/>
      <w:bookmarkStart w:id="190" w:name="_Toc527703774"/>
      <w:bookmarkStart w:id="191" w:name="_Toc21151365"/>
      <w:bookmarkStart w:id="192" w:name="_Toc17252697"/>
      <w:bookmarkStart w:id="193" w:name="_Toc14450836"/>
    </w:p>
    <w:p w14:paraId="5062EBBE">
      <w:p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14. </w:t>
      </w:r>
      <w:r>
        <w:rPr>
          <w:rFonts w:hint="eastAsia" w:asciiTheme="minorEastAsia" w:hAnsiTheme="minorEastAsia" w:eastAsiaTheme="minorEastAsia" w:cstheme="minorEastAsia"/>
          <w:b/>
          <w:bCs/>
          <w:color w:val="auto"/>
        </w:rPr>
        <w:t xml:space="preserve"> 其他</w:t>
      </w:r>
      <w:bookmarkEnd w:id="189"/>
      <w:bookmarkEnd w:id="190"/>
      <w:bookmarkEnd w:id="191"/>
      <w:bookmarkEnd w:id="192"/>
      <w:bookmarkEnd w:id="193"/>
    </w:p>
    <w:p w14:paraId="4080A097">
      <w:pPr>
        <w:numPr>
          <w:ilvl w:val="1"/>
          <w:numId w:val="14"/>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本合同正本两份，具有同等法律效力，甲乙双方各执一份。合同自签字之日起即时生效。</w:t>
      </w:r>
    </w:p>
    <w:p w14:paraId="7EA8C335">
      <w:pPr>
        <w:numPr>
          <w:ilvl w:val="1"/>
          <w:numId w:val="14"/>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本合同未尽事宜，由双方协商处理。</w:t>
      </w:r>
    </w:p>
    <w:p w14:paraId="4490F8BC">
      <w:pPr>
        <w:spacing w:line="360" w:lineRule="auto"/>
        <w:rPr>
          <w:rFonts w:asciiTheme="minorEastAsia" w:hAnsiTheme="minorEastAsia" w:eastAsiaTheme="minorEastAsia" w:cstheme="minorEastAsia"/>
          <w:color w:val="auto"/>
        </w:rPr>
      </w:pPr>
      <w:bookmarkStart w:id="194" w:name="_Hlk35571871"/>
      <w:bookmarkStart w:id="195" w:name="_Hlk36522669"/>
      <w:bookmarkStart w:id="196" w:name="_Hlk36522670"/>
      <w:bookmarkStart w:id="197" w:name="_Hlk35571869"/>
      <w:bookmarkStart w:id="198" w:name="_Hlk36522668"/>
      <w:bookmarkStart w:id="199" w:name="_Hlk35571870"/>
      <w:r>
        <w:rPr>
          <w:rFonts w:hint="eastAsia" w:asciiTheme="minorEastAsia" w:hAnsiTheme="minorEastAsia" w:eastAsiaTheme="minorEastAsia" w:cstheme="minorEastAsia"/>
          <w:color w:val="auto"/>
        </w:rPr>
        <w:t>甲方：                                           乙方：</w:t>
      </w:r>
    </w:p>
    <w:p w14:paraId="1607CC3F">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法定代表人：                                     法定代表人：</w:t>
      </w:r>
    </w:p>
    <w:p w14:paraId="2439F0B5">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签约代表：                                       签约代表：</w:t>
      </w:r>
    </w:p>
    <w:p w14:paraId="6ABFA60C">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地址：                                           地址：</w:t>
      </w:r>
    </w:p>
    <w:p w14:paraId="2E43F8B3">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电话：                                           电话：</w:t>
      </w:r>
    </w:p>
    <w:p w14:paraId="0CD1F915">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传真：                                           传真：</w:t>
      </w:r>
    </w:p>
    <w:p w14:paraId="60744392">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签约日期：                                       签约日期：</w:t>
      </w:r>
    </w:p>
    <w:p w14:paraId="7555EE33">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开户银行：                                       开户银行：</w:t>
      </w:r>
    </w:p>
    <w:p w14:paraId="593748AA">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账户：                                           账户：</w:t>
      </w:r>
    </w:p>
    <w:p w14:paraId="7C459995">
      <w:pPr>
        <w:spacing w:line="360" w:lineRule="auto"/>
        <w:ind w:left="1606" w:hanging="1606" w:hangingChars="500"/>
        <w:jc w:val="center"/>
        <w:rPr>
          <w:rFonts w:asciiTheme="minorEastAsia" w:hAnsiTheme="minorEastAsia" w:eastAsiaTheme="minorEastAsia" w:cstheme="minorEastAsia"/>
          <w:b/>
          <w:bCs/>
          <w:color w:val="auto"/>
          <w:sz w:val="32"/>
          <w:szCs w:val="32"/>
        </w:rPr>
      </w:pPr>
    </w:p>
    <w:bookmarkEnd w:id="151"/>
    <w:p w14:paraId="3602A531">
      <w:pPr>
        <w:spacing w:line="360" w:lineRule="auto"/>
        <w:ind w:left="6" w:leftChars="-762" w:hanging="1606" w:hangingChars="500"/>
        <w:jc w:val="center"/>
        <w:rPr>
          <w:rFonts w:asciiTheme="minorEastAsia" w:hAnsiTheme="minorEastAsia" w:eastAsiaTheme="minorEastAsia" w:cstheme="minorEastAsia"/>
          <w:b/>
          <w:bCs/>
          <w:color w:val="auto"/>
          <w:sz w:val="32"/>
          <w:szCs w:val="32"/>
        </w:rPr>
      </w:pPr>
    </w:p>
    <w:p w14:paraId="2775204C">
      <w:pPr>
        <w:spacing w:line="360" w:lineRule="auto"/>
        <w:rPr>
          <w:rFonts w:asciiTheme="minorEastAsia" w:hAnsiTheme="minorEastAsia" w:eastAsiaTheme="minorEastAsia" w:cstheme="minorEastAsia"/>
          <w:b/>
          <w:bCs/>
          <w:color w:val="auto"/>
          <w:sz w:val="32"/>
          <w:szCs w:val="32"/>
        </w:rPr>
        <w:sectPr>
          <w:pgSz w:w="11907" w:h="16840"/>
          <w:pgMar w:top="1418" w:right="1134" w:bottom="1418" w:left="1531" w:header="851" w:footer="992" w:gutter="0"/>
          <w:cols w:space="720" w:num="1"/>
          <w:titlePg/>
          <w:docGrid w:linePitch="312" w:charSpace="0"/>
        </w:sectPr>
      </w:pPr>
    </w:p>
    <w:p w14:paraId="2ED47FED">
      <w:pPr>
        <w:spacing w:line="360" w:lineRule="auto"/>
        <w:ind w:left="1606" w:hanging="1606" w:hangingChars="500"/>
        <w:jc w:val="center"/>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rPr>
        <w:t>第五篇  合同条款响应一览表</w:t>
      </w:r>
    </w:p>
    <w:p w14:paraId="7ED481C8">
      <w:pPr>
        <w:spacing w:line="360" w:lineRule="auto"/>
        <w:ind w:left="1050" w:hanging="1050" w:hangingChars="5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说明：</w:t>
      </w:r>
    </w:p>
    <w:p w14:paraId="1748975B">
      <w:pPr>
        <w:numPr>
          <w:ilvl w:val="0"/>
          <w:numId w:val="15"/>
        </w:numPr>
        <w:spacing w:line="360" w:lineRule="auto"/>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 服务商必须对应磋商文件的第四章合同通用条款逐条应答并按要求填写下表，</w:t>
      </w:r>
      <w:r>
        <w:rPr>
          <w:rFonts w:hint="eastAsia" w:asciiTheme="minorEastAsia" w:hAnsiTheme="minorEastAsia" w:eastAsiaTheme="minorEastAsia" w:cstheme="minorEastAsia"/>
          <w:b/>
          <w:bCs/>
          <w:color w:val="auto"/>
        </w:rPr>
        <w:t>作为响应文 件的必要组成部分。</w:t>
      </w:r>
    </w:p>
    <w:p w14:paraId="1D760D91">
      <w:pPr>
        <w:numPr>
          <w:ilvl w:val="0"/>
          <w:numId w:val="15"/>
        </w:num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对完全响应的条目在下表相应列成交注“○”。对有偏离的条目在下表相应列成交注“×”，并简述偏离内容。</w:t>
      </w:r>
    </w:p>
    <w:p w14:paraId="079AA419">
      <w:pPr>
        <w:ind w:left="397"/>
        <w:rPr>
          <w:rFonts w:asciiTheme="minorEastAsia" w:hAnsiTheme="minorEastAsia" w:eastAsiaTheme="minorEastAsia" w:cstheme="minorEastAsia"/>
          <w:color w:val="auto"/>
        </w:rPr>
      </w:pPr>
    </w:p>
    <w:tbl>
      <w:tblPr>
        <w:tblStyle w:val="18"/>
        <w:tblW w:w="84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4"/>
        <w:gridCol w:w="3983"/>
        <w:gridCol w:w="1260"/>
        <w:gridCol w:w="1260"/>
        <w:gridCol w:w="1177"/>
      </w:tblGrid>
      <w:tr w14:paraId="13DF1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814" w:type="dxa"/>
            <w:vAlign w:val="center"/>
          </w:tcPr>
          <w:p w14:paraId="6A841C78">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3983" w:type="dxa"/>
            <w:vAlign w:val="center"/>
          </w:tcPr>
          <w:p w14:paraId="04113FD4">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合同条款条目</w:t>
            </w:r>
          </w:p>
        </w:tc>
        <w:tc>
          <w:tcPr>
            <w:tcW w:w="1260" w:type="dxa"/>
            <w:vAlign w:val="center"/>
          </w:tcPr>
          <w:p w14:paraId="240C11A9">
            <w:pPr>
              <w:ind w:left="-108"/>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完全响应</w:t>
            </w:r>
          </w:p>
        </w:tc>
        <w:tc>
          <w:tcPr>
            <w:tcW w:w="1260" w:type="dxa"/>
            <w:vAlign w:val="center"/>
          </w:tcPr>
          <w:p w14:paraId="0AC5E1A8">
            <w:pPr>
              <w:ind w:left="-108"/>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有偏离</w:t>
            </w:r>
          </w:p>
        </w:tc>
        <w:tc>
          <w:tcPr>
            <w:tcW w:w="1177" w:type="dxa"/>
            <w:vAlign w:val="center"/>
          </w:tcPr>
          <w:p w14:paraId="0700335E">
            <w:pPr>
              <w:ind w:left="-108"/>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偏离简述</w:t>
            </w:r>
          </w:p>
        </w:tc>
      </w:tr>
      <w:tr w14:paraId="7FF6C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14" w:type="dxa"/>
            <w:vAlign w:val="center"/>
          </w:tcPr>
          <w:p w14:paraId="4F924811">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3983" w:type="dxa"/>
            <w:vAlign w:val="center"/>
          </w:tcPr>
          <w:p w14:paraId="53E7E24D">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合同项目</w:t>
            </w:r>
          </w:p>
        </w:tc>
        <w:tc>
          <w:tcPr>
            <w:tcW w:w="1260" w:type="dxa"/>
            <w:vAlign w:val="center"/>
          </w:tcPr>
          <w:p w14:paraId="4971A09E">
            <w:pPr>
              <w:ind w:left="-108"/>
              <w:jc w:val="center"/>
              <w:rPr>
                <w:rFonts w:asciiTheme="minorEastAsia" w:hAnsiTheme="minorEastAsia" w:eastAsiaTheme="minorEastAsia" w:cstheme="minorEastAsia"/>
                <w:color w:val="auto"/>
              </w:rPr>
            </w:pPr>
          </w:p>
        </w:tc>
        <w:tc>
          <w:tcPr>
            <w:tcW w:w="1260" w:type="dxa"/>
            <w:vAlign w:val="center"/>
          </w:tcPr>
          <w:p w14:paraId="320C244B">
            <w:pPr>
              <w:ind w:left="-108"/>
              <w:jc w:val="center"/>
              <w:rPr>
                <w:rFonts w:asciiTheme="minorEastAsia" w:hAnsiTheme="minorEastAsia" w:eastAsiaTheme="minorEastAsia" w:cstheme="minorEastAsia"/>
                <w:color w:val="auto"/>
              </w:rPr>
            </w:pPr>
          </w:p>
        </w:tc>
        <w:tc>
          <w:tcPr>
            <w:tcW w:w="1177" w:type="dxa"/>
            <w:vAlign w:val="center"/>
          </w:tcPr>
          <w:p w14:paraId="59A61DF0">
            <w:pPr>
              <w:ind w:left="-108"/>
              <w:jc w:val="center"/>
              <w:rPr>
                <w:rFonts w:asciiTheme="minorEastAsia" w:hAnsiTheme="minorEastAsia" w:eastAsiaTheme="minorEastAsia" w:cstheme="minorEastAsia"/>
                <w:color w:val="auto"/>
              </w:rPr>
            </w:pPr>
          </w:p>
        </w:tc>
      </w:tr>
      <w:tr w14:paraId="5038D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03FD90B8">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tc>
        <w:tc>
          <w:tcPr>
            <w:tcW w:w="3983" w:type="dxa"/>
            <w:vAlign w:val="center"/>
          </w:tcPr>
          <w:p w14:paraId="16B07710">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合同总价</w:t>
            </w:r>
          </w:p>
        </w:tc>
        <w:tc>
          <w:tcPr>
            <w:tcW w:w="1260" w:type="dxa"/>
            <w:vAlign w:val="center"/>
          </w:tcPr>
          <w:p w14:paraId="1559647E">
            <w:pPr>
              <w:ind w:left="-108"/>
              <w:jc w:val="center"/>
              <w:rPr>
                <w:rFonts w:asciiTheme="minorEastAsia" w:hAnsiTheme="minorEastAsia" w:eastAsiaTheme="minorEastAsia" w:cstheme="minorEastAsia"/>
                <w:color w:val="auto"/>
              </w:rPr>
            </w:pPr>
          </w:p>
        </w:tc>
        <w:tc>
          <w:tcPr>
            <w:tcW w:w="1260" w:type="dxa"/>
            <w:vAlign w:val="center"/>
          </w:tcPr>
          <w:p w14:paraId="5876E365">
            <w:pPr>
              <w:ind w:left="-108"/>
              <w:jc w:val="center"/>
              <w:rPr>
                <w:rFonts w:asciiTheme="minorEastAsia" w:hAnsiTheme="minorEastAsia" w:eastAsiaTheme="minorEastAsia" w:cstheme="minorEastAsia"/>
                <w:color w:val="auto"/>
              </w:rPr>
            </w:pPr>
          </w:p>
        </w:tc>
        <w:tc>
          <w:tcPr>
            <w:tcW w:w="1177" w:type="dxa"/>
            <w:vAlign w:val="center"/>
          </w:tcPr>
          <w:p w14:paraId="07573D4F">
            <w:pPr>
              <w:ind w:left="-108"/>
              <w:jc w:val="center"/>
              <w:rPr>
                <w:rFonts w:asciiTheme="minorEastAsia" w:hAnsiTheme="minorEastAsia" w:eastAsiaTheme="minorEastAsia" w:cstheme="minorEastAsia"/>
                <w:color w:val="auto"/>
              </w:rPr>
            </w:pPr>
          </w:p>
        </w:tc>
      </w:tr>
      <w:tr w14:paraId="04B67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4B9A452F">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3983" w:type="dxa"/>
            <w:vAlign w:val="center"/>
          </w:tcPr>
          <w:p w14:paraId="0CFEDB62">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合同组成</w:t>
            </w:r>
          </w:p>
        </w:tc>
        <w:tc>
          <w:tcPr>
            <w:tcW w:w="1260" w:type="dxa"/>
            <w:vAlign w:val="center"/>
          </w:tcPr>
          <w:p w14:paraId="384DDE3D">
            <w:pPr>
              <w:ind w:left="-108"/>
              <w:jc w:val="center"/>
              <w:rPr>
                <w:rFonts w:asciiTheme="minorEastAsia" w:hAnsiTheme="minorEastAsia" w:eastAsiaTheme="minorEastAsia" w:cstheme="minorEastAsia"/>
                <w:color w:val="auto"/>
              </w:rPr>
            </w:pPr>
          </w:p>
        </w:tc>
        <w:tc>
          <w:tcPr>
            <w:tcW w:w="1260" w:type="dxa"/>
            <w:vAlign w:val="center"/>
          </w:tcPr>
          <w:p w14:paraId="32A67628">
            <w:pPr>
              <w:ind w:left="-108"/>
              <w:jc w:val="center"/>
              <w:rPr>
                <w:rFonts w:asciiTheme="minorEastAsia" w:hAnsiTheme="minorEastAsia" w:eastAsiaTheme="minorEastAsia" w:cstheme="minorEastAsia"/>
                <w:color w:val="auto"/>
              </w:rPr>
            </w:pPr>
          </w:p>
        </w:tc>
        <w:tc>
          <w:tcPr>
            <w:tcW w:w="1177" w:type="dxa"/>
            <w:vAlign w:val="center"/>
          </w:tcPr>
          <w:p w14:paraId="36B31323">
            <w:pPr>
              <w:ind w:left="-108"/>
              <w:jc w:val="center"/>
              <w:rPr>
                <w:rFonts w:asciiTheme="minorEastAsia" w:hAnsiTheme="minorEastAsia" w:eastAsiaTheme="minorEastAsia" w:cstheme="minorEastAsia"/>
                <w:color w:val="auto"/>
              </w:rPr>
            </w:pPr>
          </w:p>
        </w:tc>
      </w:tr>
      <w:tr w14:paraId="07666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0AD3C93B">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3983" w:type="dxa"/>
            <w:vAlign w:val="center"/>
          </w:tcPr>
          <w:p w14:paraId="66238F68">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服务内容</w:t>
            </w:r>
          </w:p>
        </w:tc>
        <w:tc>
          <w:tcPr>
            <w:tcW w:w="1260" w:type="dxa"/>
            <w:vAlign w:val="center"/>
          </w:tcPr>
          <w:p w14:paraId="130E0F61">
            <w:pPr>
              <w:ind w:left="-108"/>
              <w:jc w:val="center"/>
              <w:rPr>
                <w:rFonts w:asciiTheme="minorEastAsia" w:hAnsiTheme="minorEastAsia" w:eastAsiaTheme="minorEastAsia" w:cstheme="minorEastAsia"/>
                <w:color w:val="auto"/>
              </w:rPr>
            </w:pPr>
          </w:p>
        </w:tc>
        <w:tc>
          <w:tcPr>
            <w:tcW w:w="1260" w:type="dxa"/>
            <w:vAlign w:val="center"/>
          </w:tcPr>
          <w:p w14:paraId="3A6AFE8F">
            <w:pPr>
              <w:ind w:left="-108"/>
              <w:jc w:val="center"/>
              <w:rPr>
                <w:rFonts w:asciiTheme="minorEastAsia" w:hAnsiTheme="minorEastAsia" w:eastAsiaTheme="minorEastAsia" w:cstheme="minorEastAsia"/>
                <w:color w:val="auto"/>
              </w:rPr>
            </w:pPr>
          </w:p>
        </w:tc>
        <w:tc>
          <w:tcPr>
            <w:tcW w:w="1177" w:type="dxa"/>
            <w:vAlign w:val="center"/>
          </w:tcPr>
          <w:p w14:paraId="1B00AAA3">
            <w:pPr>
              <w:ind w:left="-108"/>
              <w:jc w:val="center"/>
              <w:rPr>
                <w:rFonts w:asciiTheme="minorEastAsia" w:hAnsiTheme="minorEastAsia" w:eastAsiaTheme="minorEastAsia" w:cstheme="minorEastAsia"/>
                <w:color w:val="auto"/>
              </w:rPr>
            </w:pPr>
          </w:p>
        </w:tc>
      </w:tr>
      <w:tr w14:paraId="041B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653834C">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w:t>
            </w:r>
          </w:p>
        </w:tc>
        <w:tc>
          <w:tcPr>
            <w:tcW w:w="3983" w:type="dxa"/>
            <w:vAlign w:val="center"/>
          </w:tcPr>
          <w:p w14:paraId="764B33F6">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商务要求</w:t>
            </w:r>
          </w:p>
        </w:tc>
        <w:tc>
          <w:tcPr>
            <w:tcW w:w="1260" w:type="dxa"/>
            <w:vAlign w:val="center"/>
          </w:tcPr>
          <w:p w14:paraId="6073336B">
            <w:pPr>
              <w:ind w:left="-108"/>
              <w:jc w:val="center"/>
              <w:rPr>
                <w:rFonts w:asciiTheme="minorEastAsia" w:hAnsiTheme="minorEastAsia" w:eastAsiaTheme="minorEastAsia" w:cstheme="minorEastAsia"/>
                <w:color w:val="auto"/>
              </w:rPr>
            </w:pPr>
          </w:p>
        </w:tc>
        <w:tc>
          <w:tcPr>
            <w:tcW w:w="1260" w:type="dxa"/>
            <w:vAlign w:val="center"/>
          </w:tcPr>
          <w:p w14:paraId="4210BC00">
            <w:pPr>
              <w:ind w:left="-108"/>
              <w:jc w:val="center"/>
              <w:rPr>
                <w:rFonts w:asciiTheme="minorEastAsia" w:hAnsiTheme="minorEastAsia" w:eastAsiaTheme="minorEastAsia" w:cstheme="minorEastAsia"/>
                <w:color w:val="auto"/>
              </w:rPr>
            </w:pPr>
          </w:p>
        </w:tc>
        <w:tc>
          <w:tcPr>
            <w:tcW w:w="1177" w:type="dxa"/>
            <w:vAlign w:val="center"/>
          </w:tcPr>
          <w:p w14:paraId="6A82F85F">
            <w:pPr>
              <w:ind w:left="-108"/>
              <w:jc w:val="center"/>
              <w:rPr>
                <w:rFonts w:asciiTheme="minorEastAsia" w:hAnsiTheme="minorEastAsia" w:eastAsiaTheme="minorEastAsia" w:cstheme="minorEastAsia"/>
                <w:color w:val="auto"/>
              </w:rPr>
            </w:pPr>
          </w:p>
        </w:tc>
      </w:tr>
      <w:tr w14:paraId="579A1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BBBF347">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3983" w:type="dxa"/>
            <w:vAlign w:val="center"/>
          </w:tcPr>
          <w:p w14:paraId="29BA176A">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付款方式</w:t>
            </w:r>
          </w:p>
        </w:tc>
        <w:tc>
          <w:tcPr>
            <w:tcW w:w="1260" w:type="dxa"/>
            <w:vAlign w:val="center"/>
          </w:tcPr>
          <w:p w14:paraId="54192361">
            <w:pPr>
              <w:ind w:left="-108"/>
              <w:jc w:val="center"/>
              <w:rPr>
                <w:rFonts w:asciiTheme="minorEastAsia" w:hAnsiTheme="minorEastAsia" w:eastAsiaTheme="minorEastAsia" w:cstheme="minorEastAsia"/>
                <w:color w:val="auto"/>
              </w:rPr>
            </w:pPr>
          </w:p>
        </w:tc>
        <w:tc>
          <w:tcPr>
            <w:tcW w:w="1260" w:type="dxa"/>
            <w:vAlign w:val="center"/>
          </w:tcPr>
          <w:p w14:paraId="468B3107">
            <w:pPr>
              <w:ind w:left="-108"/>
              <w:jc w:val="center"/>
              <w:rPr>
                <w:rFonts w:asciiTheme="minorEastAsia" w:hAnsiTheme="minorEastAsia" w:eastAsiaTheme="minorEastAsia" w:cstheme="minorEastAsia"/>
                <w:color w:val="auto"/>
              </w:rPr>
            </w:pPr>
          </w:p>
        </w:tc>
        <w:tc>
          <w:tcPr>
            <w:tcW w:w="1177" w:type="dxa"/>
            <w:vAlign w:val="center"/>
          </w:tcPr>
          <w:p w14:paraId="172CBF3C">
            <w:pPr>
              <w:ind w:left="-108"/>
              <w:jc w:val="center"/>
              <w:rPr>
                <w:rFonts w:asciiTheme="minorEastAsia" w:hAnsiTheme="minorEastAsia" w:eastAsiaTheme="minorEastAsia" w:cstheme="minorEastAsia"/>
                <w:color w:val="auto"/>
              </w:rPr>
            </w:pPr>
          </w:p>
        </w:tc>
      </w:tr>
      <w:tr w14:paraId="4A94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2EF7C47">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w:t>
            </w:r>
          </w:p>
        </w:tc>
        <w:tc>
          <w:tcPr>
            <w:tcW w:w="3983" w:type="dxa"/>
            <w:vAlign w:val="center"/>
          </w:tcPr>
          <w:p w14:paraId="16483335">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不可抗力</w:t>
            </w:r>
          </w:p>
        </w:tc>
        <w:tc>
          <w:tcPr>
            <w:tcW w:w="1260" w:type="dxa"/>
            <w:vAlign w:val="center"/>
          </w:tcPr>
          <w:p w14:paraId="688BDBFD">
            <w:pPr>
              <w:ind w:left="-108"/>
              <w:jc w:val="center"/>
              <w:rPr>
                <w:rFonts w:asciiTheme="minorEastAsia" w:hAnsiTheme="minorEastAsia" w:eastAsiaTheme="minorEastAsia" w:cstheme="minorEastAsia"/>
                <w:color w:val="auto"/>
              </w:rPr>
            </w:pPr>
          </w:p>
        </w:tc>
        <w:tc>
          <w:tcPr>
            <w:tcW w:w="1260" w:type="dxa"/>
            <w:vAlign w:val="center"/>
          </w:tcPr>
          <w:p w14:paraId="6C60B839">
            <w:pPr>
              <w:ind w:left="-108"/>
              <w:jc w:val="center"/>
              <w:rPr>
                <w:rFonts w:asciiTheme="minorEastAsia" w:hAnsiTheme="minorEastAsia" w:eastAsiaTheme="minorEastAsia" w:cstheme="minorEastAsia"/>
                <w:color w:val="auto"/>
              </w:rPr>
            </w:pPr>
          </w:p>
        </w:tc>
        <w:tc>
          <w:tcPr>
            <w:tcW w:w="1177" w:type="dxa"/>
            <w:vAlign w:val="center"/>
          </w:tcPr>
          <w:p w14:paraId="77DD99C6">
            <w:pPr>
              <w:ind w:left="-108"/>
              <w:jc w:val="center"/>
              <w:rPr>
                <w:rFonts w:asciiTheme="minorEastAsia" w:hAnsiTheme="minorEastAsia" w:eastAsiaTheme="minorEastAsia" w:cstheme="minorEastAsia"/>
                <w:color w:val="auto"/>
              </w:rPr>
            </w:pPr>
          </w:p>
        </w:tc>
      </w:tr>
      <w:tr w14:paraId="1590E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43627E98">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3983" w:type="dxa"/>
            <w:vAlign w:val="center"/>
          </w:tcPr>
          <w:p w14:paraId="54B44443">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索    赔</w:t>
            </w:r>
          </w:p>
        </w:tc>
        <w:tc>
          <w:tcPr>
            <w:tcW w:w="1260" w:type="dxa"/>
            <w:vAlign w:val="center"/>
          </w:tcPr>
          <w:p w14:paraId="221C45ED">
            <w:pPr>
              <w:ind w:left="-108"/>
              <w:jc w:val="center"/>
              <w:rPr>
                <w:rFonts w:asciiTheme="minorEastAsia" w:hAnsiTheme="minorEastAsia" w:eastAsiaTheme="minorEastAsia" w:cstheme="minorEastAsia"/>
                <w:color w:val="auto"/>
              </w:rPr>
            </w:pPr>
          </w:p>
        </w:tc>
        <w:tc>
          <w:tcPr>
            <w:tcW w:w="1260" w:type="dxa"/>
            <w:vAlign w:val="center"/>
          </w:tcPr>
          <w:p w14:paraId="0580E787">
            <w:pPr>
              <w:ind w:left="-108"/>
              <w:jc w:val="center"/>
              <w:rPr>
                <w:rFonts w:asciiTheme="minorEastAsia" w:hAnsiTheme="minorEastAsia" w:eastAsiaTheme="minorEastAsia" w:cstheme="minorEastAsia"/>
                <w:color w:val="auto"/>
              </w:rPr>
            </w:pPr>
          </w:p>
        </w:tc>
        <w:tc>
          <w:tcPr>
            <w:tcW w:w="1177" w:type="dxa"/>
            <w:vAlign w:val="center"/>
          </w:tcPr>
          <w:p w14:paraId="1926CF69">
            <w:pPr>
              <w:ind w:left="-108"/>
              <w:jc w:val="center"/>
              <w:rPr>
                <w:rFonts w:asciiTheme="minorEastAsia" w:hAnsiTheme="minorEastAsia" w:eastAsiaTheme="minorEastAsia" w:cstheme="minorEastAsia"/>
                <w:color w:val="auto"/>
              </w:rPr>
            </w:pPr>
          </w:p>
        </w:tc>
      </w:tr>
      <w:tr w14:paraId="134BB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2C63674">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9</w:t>
            </w:r>
          </w:p>
        </w:tc>
        <w:tc>
          <w:tcPr>
            <w:tcW w:w="3983" w:type="dxa"/>
            <w:vAlign w:val="center"/>
          </w:tcPr>
          <w:p w14:paraId="3AF1F64B">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违约与处罚</w:t>
            </w:r>
          </w:p>
        </w:tc>
        <w:tc>
          <w:tcPr>
            <w:tcW w:w="1260" w:type="dxa"/>
            <w:vAlign w:val="center"/>
          </w:tcPr>
          <w:p w14:paraId="7D6A62F0">
            <w:pPr>
              <w:ind w:left="-108"/>
              <w:jc w:val="center"/>
              <w:rPr>
                <w:rFonts w:asciiTheme="minorEastAsia" w:hAnsiTheme="minorEastAsia" w:eastAsiaTheme="minorEastAsia" w:cstheme="minorEastAsia"/>
                <w:color w:val="auto"/>
              </w:rPr>
            </w:pPr>
          </w:p>
        </w:tc>
        <w:tc>
          <w:tcPr>
            <w:tcW w:w="1260" w:type="dxa"/>
            <w:vAlign w:val="center"/>
          </w:tcPr>
          <w:p w14:paraId="398C5411">
            <w:pPr>
              <w:ind w:left="-108"/>
              <w:jc w:val="center"/>
              <w:rPr>
                <w:rFonts w:asciiTheme="minorEastAsia" w:hAnsiTheme="minorEastAsia" w:eastAsiaTheme="minorEastAsia" w:cstheme="minorEastAsia"/>
                <w:color w:val="auto"/>
              </w:rPr>
            </w:pPr>
          </w:p>
        </w:tc>
        <w:tc>
          <w:tcPr>
            <w:tcW w:w="1177" w:type="dxa"/>
            <w:vAlign w:val="center"/>
          </w:tcPr>
          <w:p w14:paraId="2EBD040F">
            <w:pPr>
              <w:ind w:left="-108"/>
              <w:jc w:val="center"/>
              <w:rPr>
                <w:rFonts w:asciiTheme="minorEastAsia" w:hAnsiTheme="minorEastAsia" w:eastAsiaTheme="minorEastAsia" w:cstheme="minorEastAsia"/>
                <w:color w:val="auto"/>
              </w:rPr>
            </w:pPr>
          </w:p>
        </w:tc>
      </w:tr>
      <w:tr w14:paraId="32D61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00542282">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10</w:t>
            </w:r>
          </w:p>
        </w:tc>
        <w:tc>
          <w:tcPr>
            <w:tcW w:w="3983" w:type="dxa"/>
            <w:vAlign w:val="center"/>
          </w:tcPr>
          <w:p w14:paraId="635AEE45">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合同终止</w:t>
            </w:r>
          </w:p>
        </w:tc>
        <w:tc>
          <w:tcPr>
            <w:tcW w:w="1260" w:type="dxa"/>
            <w:vAlign w:val="center"/>
          </w:tcPr>
          <w:p w14:paraId="6AF01624">
            <w:pPr>
              <w:ind w:left="-108"/>
              <w:jc w:val="center"/>
              <w:rPr>
                <w:rFonts w:asciiTheme="minorEastAsia" w:hAnsiTheme="minorEastAsia" w:eastAsiaTheme="minorEastAsia" w:cstheme="minorEastAsia"/>
                <w:color w:val="auto"/>
              </w:rPr>
            </w:pPr>
          </w:p>
        </w:tc>
        <w:tc>
          <w:tcPr>
            <w:tcW w:w="1260" w:type="dxa"/>
            <w:vAlign w:val="center"/>
          </w:tcPr>
          <w:p w14:paraId="4849BC51">
            <w:pPr>
              <w:ind w:left="-108"/>
              <w:jc w:val="center"/>
              <w:rPr>
                <w:rFonts w:asciiTheme="minorEastAsia" w:hAnsiTheme="minorEastAsia" w:eastAsiaTheme="minorEastAsia" w:cstheme="minorEastAsia"/>
                <w:color w:val="auto"/>
              </w:rPr>
            </w:pPr>
          </w:p>
        </w:tc>
        <w:tc>
          <w:tcPr>
            <w:tcW w:w="1177" w:type="dxa"/>
            <w:vAlign w:val="center"/>
          </w:tcPr>
          <w:p w14:paraId="276D864E">
            <w:pPr>
              <w:ind w:left="-108"/>
              <w:jc w:val="center"/>
              <w:rPr>
                <w:rFonts w:asciiTheme="minorEastAsia" w:hAnsiTheme="minorEastAsia" w:eastAsiaTheme="minorEastAsia" w:cstheme="minorEastAsia"/>
                <w:color w:val="auto"/>
              </w:rPr>
            </w:pPr>
          </w:p>
        </w:tc>
      </w:tr>
      <w:tr w14:paraId="652EF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17264511">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w:t>
            </w:r>
          </w:p>
        </w:tc>
        <w:tc>
          <w:tcPr>
            <w:tcW w:w="3983" w:type="dxa"/>
            <w:vAlign w:val="center"/>
          </w:tcPr>
          <w:p w14:paraId="1A53B711">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法律诉讼</w:t>
            </w:r>
          </w:p>
        </w:tc>
        <w:tc>
          <w:tcPr>
            <w:tcW w:w="1260" w:type="dxa"/>
            <w:vAlign w:val="center"/>
          </w:tcPr>
          <w:p w14:paraId="59AD5664">
            <w:pPr>
              <w:ind w:left="-108"/>
              <w:jc w:val="center"/>
              <w:rPr>
                <w:rFonts w:asciiTheme="minorEastAsia" w:hAnsiTheme="minorEastAsia" w:eastAsiaTheme="minorEastAsia" w:cstheme="minorEastAsia"/>
                <w:color w:val="auto"/>
              </w:rPr>
            </w:pPr>
          </w:p>
        </w:tc>
        <w:tc>
          <w:tcPr>
            <w:tcW w:w="1260" w:type="dxa"/>
            <w:vAlign w:val="center"/>
          </w:tcPr>
          <w:p w14:paraId="37535F74">
            <w:pPr>
              <w:ind w:left="-108"/>
              <w:jc w:val="center"/>
              <w:rPr>
                <w:rFonts w:asciiTheme="minorEastAsia" w:hAnsiTheme="minorEastAsia" w:eastAsiaTheme="minorEastAsia" w:cstheme="minorEastAsia"/>
                <w:color w:val="auto"/>
              </w:rPr>
            </w:pPr>
          </w:p>
        </w:tc>
        <w:tc>
          <w:tcPr>
            <w:tcW w:w="1177" w:type="dxa"/>
            <w:vAlign w:val="center"/>
          </w:tcPr>
          <w:p w14:paraId="76BF6558">
            <w:pPr>
              <w:ind w:left="-108"/>
              <w:jc w:val="center"/>
              <w:rPr>
                <w:rFonts w:asciiTheme="minorEastAsia" w:hAnsiTheme="minorEastAsia" w:eastAsiaTheme="minorEastAsia" w:cstheme="minorEastAsia"/>
                <w:color w:val="auto"/>
              </w:rPr>
            </w:pPr>
          </w:p>
        </w:tc>
      </w:tr>
      <w:tr w14:paraId="13C7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14" w:type="dxa"/>
            <w:vAlign w:val="center"/>
          </w:tcPr>
          <w:p w14:paraId="359E3922">
            <w:pPr>
              <w:ind w:left="-3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12</w:t>
            </w:r>
          </w:p>
        </w:tc>
        <w:tc>
          <w:tcPr>
            <w:tcW w:w="3983" w:type="dxa"/>
            <w:vAlign w:val="center"/>
          </w:tcPr>
          <w:p w14:paraId="304E2B07">
            <w:pPr>
              <w:ind w:left="-93"/>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其    他</w:t>
            </w:r>
          </w:p>
        </w:tc>
        <w:tc>
          <w:tcPr>
            <w:tcW w:w="1260" w:type="dxa"/>
            <w:vAlign w:val="center"/>
          </w:tcPr>
          <w:p w14:paraId="06545C1F">
            <w:pPr>
              <w:ind w:left="-108"/>
              <w:jc w:val="center"/>
              <w:rPr>
                <w:rFonts w:asciiTheme="minorEastAsia" w:hAnsiTheme="minorEastAsia" w:eastAsiaTheme="minorEastAsia" w:cstheme="minorEastAsia"/>
                <w:color w:val="auto"/>
              </w:rPr>
            </w:pPr>
          </w:p>
        </w:tc>
        <w:tc>
          <w:tcPr>
            <w:tcW w:w="1260" w:type="dxa"/>
            <w:vAlign w:val="center"/>
          </w:tcPr>
          <w:p w14:paraId="02824448">
            <w:pPr>
              <w:ind w:left="-108"/>
              <w:jc w:val="center"/>
              <w:rPr>
                <w:rFonts w:asciiTheme="minorEastAsia" w:hAnsiTheme="minorEastAsia" w:eastAsiaTheme="minorEastAsia" w:cstheme="minorEastAsia"/>
                <w:color w:val="auto"/>
              </w:rPr>
            </w:pPr>
          </w:p>
        </w:tc>
        <w:tc>
          <w:tcPr>
            <w:tcW w:w="1177" w:type="dxa"/>
            <w:vAlign w:val="center"/>
          </w:tcPr>
          <w:p w14:paraId="6573B18E">
            <w:pPr>
              <w:ind w:left="-108"/>
              <w:jc w:val="center"/>
              <w:rPr>
                <w:rFonts w:asciiTheme="minorEastAsia" w:hAnsiTheme="minorEastAsia" w:eastAsiaTheme="minorEastAsia" w:cstheme="minorEastAsia"/>
                <w:color w:val="auto"/>
              </w:rPr>
            </w:pPr>
          </w:p>
        </w:tc>
      </w:tr>
    </w:tbl>
    <w:p w14:paraId="64AA5699">
      <w:pPr>
        <w:adjustRightInd w:val="0"/>
        <w:snapToGrid w:val="0"/>
        <w:spacing w:line="360" w:lineRule="auto"/>
        <w:rPr>
          <w:rFonts w:asciiTheme="minorEastAsia" w:hAnsiTheme="minorEastAsia" w:eastAsiaTheme="minorEastAsia" w:cstheme="minorEastAsia"/>
          <w:color w:val="auto"/>
        </w:rPr>
      </w:pPr>
    </w:p>
    <w:p w14:paraId="69B4545D">
      <w:pPr>
        <w:spacing w:line="360" w:lineRule="auto"/>
        <w:ind w:firstLine="420" w:firstLineChars="200"/>
        <w:rPr>
          <w:rFonts w:asciiTheme="minorEastAsia" w:hAnsiTheme="minorEastAsia" w:eastAsiaTheme="minorEastAsia" w:cstheme="minorEastAsia"/>
          <w:color w:val="auto"/>
        </w:rPr>
      </w:pPr>
    </w:p>
    <w:p w14:paraId="146D6FB1">
      <w:pPr>
        <w:spacing w:line="360" w:lineRule="auto"/>
        <w:ind w:firstLine="420" w:firstLine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服务商授权人签字（公章）：</w:t>
      </w:r>
    </w:p>
    <w:p w14:paraId="54496EF8">
      <w:pPr>
        <w:spacing w:line="360" w:lineRule="auto"/>
        <w:ind w:firstLine="2415" w:firstLineChars="1150"/>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日期：</w:t>
      </w:r>
    </w:p>
    <w:p w14:paraId="22292B93">
      <w:pPr>
        <w:spacing w:line="360" w:lineRule="auto"/>
        <w:jc w:val="center"/>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u w:val="single"/>
        </w:rPr>
        <w:br w:type="page"/>
      </w:r>
      <w:r>
        <w:rPr>
          <w:rFonts w:hint="eastAsia" w:asciiTheme="minorEastAsia" w:hAnsiTheme="minorEastAsia" w:eastAsiaTheme="minorEastAsia" w:cstheme="minorEastAsia"/>
          <w:b/>
          <w:bCs/>
          <w:color w:val="auto"/>
          <w:sz w:val="32"/>
          <w:szCs w:val="32"/>
        </w:rPr>
        <w:t>第六篇  合同格式</w:t>
      </w:r>
      <w:bookmarkEnd w:id="194"/>
      <w:bookmarkEnd w:id="195"/>
      <w:bookmarkEnd w:id="196"/>
      <w:bookmarkEnd w:id="197"/>
      <w:bookmarkEnd w:id="198"/>
      <w:bookmarkEnd w:id="199"/>
    </w:p>
    <w:p w14:paraId="0F33AC71">
      <w:pPr>
        <w:widowControl/>
        <w:autoSpaceDE w:val="0"/>
        <w:autoSpaceDN w:val="0"/>
        <w:spacing w:line="360" w:lineRule="auto"/>
        <w:ind w:right="893"/>
        <w:jc w:val="center"/>
        <w:textAlignment w:val="bottom"/>
        <w:rPr>
          <w:rFonts w:asciiTheme="minorEastAsia" w:hAnsiTheme="minorEastAsia" w:eastAsiaTheme="minorEastAsia" w:cstheme="minorEastAsia"/>
          <w:b/>
          <w:bCs/>
          <w:color w:val="auto"/>
          <w:sz w:val="32"/>
          <w:szCs w:val="32"/>
        </w:rPr>
      </w:pPr>
    </w:p>
    <w:p w14:paraId="2DD06F5C">
      <w:pPr>
        <w:widowControl/>
        <w:autoSpaceDE w:val="0"/>
        <w:autoSpaceDN w:val="0"/>
        <w:spacing w:line="360" w:lineRule="auto"/>
        <w:ind w:right="17" w:firstLine="420" w:firstLineChars="2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（以下简称“买方”）为一方和（以下简称“卖方”）同意按以下条款签署本合同（以下简称“合同”）：</w:t>
      </w:r>
    </w:p>
    <w:p w14:paraId="0ABE90A0">
      <w:pPr>
        <w:widowControl/>
        <w:autoSpaceDE w:val="0"/>
        <w:autoSpaceDN w:val="0"/>
        <w:spacing w:line="360" w:lineRule="auto"/>
        <w:ind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 </w:t>
      </w:r>
      <w:r>
        <w:rPr>
          <w:rFonts w:hint="eastAsia" w:asciiTheme="minorEastAsia" w:hAnsiTheme="minorEastAsia" w:eastAsiaTheme="minorEastAsia" w:cstheme="minorEastAsia"/>
          <w:b/>
          <w:bCs/>
          <w:color w:val="auto"/>
        </w:rPr>
        <w:t xml:space="preserve">  本合同所附下列文件是构成本合同不可分割的部分</w:t>
      </w:r>
      <w:r>
        <w:rPr>
          <w:rFonts w:hint="eastAsia" w:asciiTheme="minorEastAsia" w:hAnsiTheme="minorEastAsia" w:eastAsiaTheme="minorEastAsia" w:cstheme="minorEastAsia"/>
          <w:color w:val="auto"/>
        </w:rPr>
        <w:t>：</w:t>
      </w:r>
    </w:p>
    <w:p w14:paraId="73287C15">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合同通用条款</w:t>
      </w:r>
    </w:p>
    <w:p w14:paraId="65B14180">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磋商文件</w:t>
      </w:r>
    </w:p>
    <w:p w14:paraId="4088419B">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服务商提交的响应文件和磋商分项报价表</w:t>
      </w:r>
    </w:p>
    <w:p w14:paraId="6D18D5D2">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服务条款</w:t>
      </w:r>
    </w:p>
    <w:p w14:paraId="21A8C1BD">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服务内容偏离表 </w:t>
      </w:r>
    </w:p>
    <w:p w14:paraId="2E84D759">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商务偏离表</w:t>
      </w:r>
    </w:p>
    <w:p w14:paraId="04BDC549">
      <w:pPr>
        <w:widowControl/>
        <w:numPr>
          <w:ilvl w:val="0"/>
          <w:numId w:val="16"/>
        </w:numPr>
        <w:autoSpaceDE w:val="0"/>
        <w:autoSpaceDN w:val="0"/>
        <w:spacing w:line="360" w:lineRule="auto"/>
        <w:ind w:right="17" w:hanging="22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成交通知书</w:t>
      </w:r>
    </w:p>
    <w:p w14:paraId="4C8A1DA7">
      <w:pPr>
        <w:widowControl/>
        <w:autoSpaceDE w:val="0"/>
        <w:autoSpaceDN w:val="0"/>
        <w:spacing w:line="360" w:lineRule="auto"/>
        <w:ind w:right="17"/>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2. </w:t>
      </w:r>
      <w:r>
        <w:rPr>
          <w:rFonts w:hint="eastAsia" w:asciiTheme="minorEastAsia" w:hAnsiTheme="minorEastAsia" w:eastAsiaTheme="minorEastAsia" w:cstheme="minorEastAsia"/>
          <w:b/>
          <w:bCs/>
          <w:color w:val="auto"/>
        </w:rPr>
        <w:t xml:space="preserve">  合同服务范围和条款 </w:t>
      </w:r>
    </w:p>
    <w:p w14:paraId="321395E3">
      <w:pPr>
        <w:widowControl/>
        <w:autoSpaceDE w:val="0"/>
        <w:autoSpaceDN w:val="0"/>
        <w:spacing w:line="360" w:lineRule="auto"/>
        <w:ind w:right="17" w:firstLine="525" w:firstLine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本合同的范围和条件应与上述合同文件规定的相一致。</w:t>
      </w:r>
    </w:p>
    <w:p w14:paraId="4F766751">
      <w:pPr>
        <w:widowControl/>
        <w:autoSpaceDE w:val="0"/>
        <w:autoSpaceDN w:val="0"/>
        <w:spacing w:line="360" w:lineRule="auto"/>
        <w:ind w:right="17"/>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3. </w:t>
      </w:r>
      <w:r>
        <w:rPr>
          <w:rFonts w:hint="eastAsia" w:asciiTheme="minorEastAsia" w:hAnsiTheme="minorEastAsia" w:eastAsiaTheme="minorEastAsia" w:cstheme="minorEastAsia"/>
          <w:b/>
          <w:bCs/>
          <w:color w:val="auto"/>
        </w:rPr>
        <w:t xml:space="preserve">  服务内容</w:t>
      </w:r>
    </w:p>
    <w:p w14:paraId="27FA4A71">
      <w:pPr>
        <w:widowControl/>
        <w:autoSpaceDE w:val="0"/>
        <w:autoSpaceDN w:val="0"/>
        <w:spacing w:line="360" w:lineRule="auto"/>
        <w:ind w:right="17" w:firstLine="525" w:firstLineChars="25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服务和数量详见“服务说明一览表”。</w:t>
      </w:r>
    </w:p>
    <w:p w14:paraId="0F3D56FE">
      <w:pPr>
        <w:widowControl/>
        <w:autoSpaceDE w:val="0"/>
        <w:autoSpaceDN w:val="0"/>
        <w:spacing w:line="360" w:lineRule="auto"/>
        <w:ind w:right="17"/>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4. </w:t>
      </w:r>
      <w:r>
        <w:rPr>
          <w:rFonts w:hint="eastAsia" w:asciiTheme="minorEastAsia" w:hAnsiTheme="minorEastAsia" w:eastAsiaTheme="minorEastAsia" w:cstheme="minorEastAsia"/>
          <w:b/>
          <w:bCs/>
          <w:color w:val="auto"/>
        </w:rPr>
        <w:t xml:space="preserve">  合同总额</w:t>
      </w:r>
      <w:r>
        <w:rPr>
          <w:rFonts w:hint="eastAsia" w:asciiTheme="minorEastAsia" w:hAnsiTheme="minorEastAsia" w:eastAsiaTheme="minorEastAsia" w:cstheme="minorEastAsia"/>
          <w:color w:val="auto"/>
        </w:rPr>
        <w:t>RMB：  ，详见磋商分项报价表。</w:t>
      </w:r>
    </w:p>
    <w:p w14:paraId="2EFB4818">
      <w:pPr>
        <w:widowControl/>
        <w:autoSpaceDE w:val="0"/>
        <w:autoSpaceDN w:val="0"/>
        <w:spacing w:line="360" w:lineRule="auto"/>
        <w:ind w:right="17"/>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5.  </w:t>
      </w:r>
      <w:r>
        <w:rPr>
          <w:rFonts w:hint="eastAsia" w:asciiTheme="minorEastAsia" w:hAnsiTheme="minorEastAsia" w:eastAsiaTheme="minorEastAsia" w:cstheme="minorEastAsia"/>
          <w:b/>
          <w:bCs/>
          <w:color w:val="auto"/>
        </w:rPr>
        <w:t xml:space="preserve"> 付款条款：</w:t>
      </w:r>
      <w:r>
        <w:rPr>
          <w:rFonts w:hint="eastAsia" w:asciiTheme="minorEastAsia" w:hAnsiTheme="minorEastAsia" w:eastAsiaTheme="minorEastAsia" w:cstheme="minorEastAsia"/>
          <w:color w:val="auto"/>
        </w:rPr>
        <w:t>见合同条款</w:t>
      </w:r>
    </w:p>
    <w:p w14:paraId="31A9E6A5">
      <w:pPr>
        <w:widowControl/>
        <w:autoSpaceDE w:val="0"/>
        <w:autoSpaceDN w:val="0"/>
        <w:spacing w:line="360" w:lineRule="auto"/>
        <w:ind w:right="17"/>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6.</w:t>
      </w:r>
      <w:r>
        <w:rPr>
          <w:rFonts w:hint="eastAsia" w:asciiTheme="minorEastAsia" w:hAnsiTheme="minorEastAsia" w:eastAsiaTheme="minorEastAsia" w:cstheme="minorEastAsia"/>
          <w:b/>
          <w:bCs/>
          <w:color w:val="auto"/>
        </w:rPr>
        <w:t xml:space="preserve">   服务期限和地点：</w:t>
      </w:r>
    </w:p>
    <w:p w14:paraId="210D7785">
      <w:pPr>
        <w:widowControl/>
        <w:autoSpaceDE w:val="0"/>
        <w:autoSpaceDN w:val="0"/>
        <w:spacing w:line="360" w:lineRule="auto"/>
        <w:ind w:right="17"/>
        <w:textAlignment w:val="bottom"/>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 xml:space="preserve">7. </w:t>
      </w:r>
      <w:r>
        <w:rPr>
          <w:rFonts w:hint="eastAsia" w:asciiTheme="minorEastAsia" w:hAnsiTheme="minorEastAsia" w:eastAsiaTheme="minorEastAsia" w:cstheme="minorEastAsia"/>
          <w:b/>
          <w:bCs/>
          <w:color w:val="auto"/>
        </w:rPr>
        <w:t xml:space="preserve">  合同生效</w:t>
      </w:r>
    </w:p>
    <w:p w14:paraId="4F8124B2">
      <w:pPr>
        <w:widowControl/>
        <w:autoSpaceDE w:val="0"/>
        <w:autoSpaceDN w:val="0"/>
        <w:spacing w:line="360" w:lineRule="auto"/>
        <w:ind w:right="17"/>
        <w:textAlignment w:val="bottom"/>
        <w:rPr>
          <w:rFonts w:asciiTheme="minorEastAsia" w:hAnsiTheme="minorEastAsia" w:eastAsiaTheme="minorEastAsia" w:cstheme="minorEastAsia"/>
          <w:color w:val="auto"/>
        </w:rPr>
      </w:pPr>
    </w:p>
    <w:p w14:paraId="7F4B394B">
      <w:pPr>
        <w:widowControl/>
        <w:autoSpaceDE w:val="0"/>
        <w:autoSpaceDN w:val="0"/>
        <w:spacing w:line="360" w:lineRule="auto"/>
        <w:ind w:right="17"/>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买方：             卖方：</w:t>
      </w:r>
    </w:p>
    <w:p w14:paraId="35A93FEF">
      <w:pPr>
        <w:widowControl/>
        <w:autoSpaceDE w:val="0"/>
        <w:autoSpaceDN w:val="0"/>
        <w:spacing w:line="360" w:lineRule="auto"/>
        <w:ind w:right="17"/>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开户银行：             开户银行：</w:t>
      </w:r>
    </w:p>
    <w:p w14:paraId="2E193A9C">
      <w:pPr>
        <w:widowControl/>
        <w:autoSpaceDE w:val="0"/>
        <w:autoSpaceDN w:val="0"/>
        <w:spacing w:line="360" w:lineRule="auto"/>
        <w:ind w:right="17"/>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银行账号：             银行账号：</w:t>
      </w:r>
    </w:p>
    <w:p w14:paraId="31FAACD8">
      <w:pPr>
        <w:widowControl/>
        <w:autoSpaceDE w:val="0"/>
        <w:autoSpaceDN w:val="0"/>
        <w:spacing w:line="360" w:lineRule="auto"/>
        <w:ind w:right="17"/>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买方签字盖章：             卖方签字盖章：</w:t>
      </w:r>
    </w:p>
    <w:p w14:paraId="1F27D8D1">
      <w:pPr>
        <w:widowControl/>
        <w:autoSpaceDE w:val="0"/>
        <w:autoSpaceDN w:val="0"/>
        <w:spacing w:line="360" w:lineRule="auto"/>
        <w:ind w:right="-12"/>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rPr>
        <w:br w:type="page"/>
      </w:r>
      <w:r>
        <w:rPr>
          <w:rFonts w:hint="eastAsia" w:asciiTheme="minorEastAsia" w:hAnsiTheme="minorEastAsia" w:eastAsiaTheme="minorEastAsia" w:cstheme="minorEastAsia"/>
          <w:b/>
          <w:bCs/>
          <w:color w:val="auto"/>
          <w:sz w:val="32"/>
          <w:szCs w:val="32"/>
        </w:rPr>
        <w:t>第七篇  服务需求一览表</w:t>
      </w:r>
    </w:p>
    <w:p w14:paraId="67D60876">
      <w:pPr>
        <w:widowControl/>
        <w:autoSpaceDE w:val="0"/>
        <w:autoSpaceDN w:val="0"/>
        <w:spacing w:line="360" w:lineRule="auto"/>
        <w:ind w:right="890"/>
        <w:textAlignment w:val="bottom"/>
        <w:rPr>
          <w:rFonts w:asciiTheme="minorEastAsia" w:hAnsiTheme="minorEastAsia" w:eastAsiaTheme="minorEastAsia" w:cstheme="minorEastAsia"/>
          <w:color w:val="auto"/>
        </w:rPr>
      </w:pPr>
    </w:p>
    <w:p w14:paraId="0CBA5CFD">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项目名称：</w:t>
      </w:r>
    </w:p>
    <w:p w14:paraId="26BF1B3A">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项目编号： </w:t>
      </w:r>
    </w:p>
    <w:tbl>
      <w:tblPr>
        <w:tblStyle w:val="18"/>
        <w:tblW w:w="93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6"/>
        <w:gridCol w:w="2054"/>
        <w:gridCol w:w="1785"/>
        <w:gridCol w:w="2361"/>
      </w:tblGrid>
      <w:tr w14:paraId="23CA4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707615EC">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服务名称</w:t>
            </w:r>
          </w:p>
        </w:tc>
        <w:tc>
          <w:tcPr>
            <w:tcW w:w="2054" w:type="dxa"/>
            <w:vAlign w:val="center"/>
          </w:tcPr>
          <w:p w14:paraId="691EA897">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w:t>
            </w:r>
          </w:p>
        </w:tc>
        <w:tc>
          <w:tcPr>
            <w:tcW w:w="1785" w:type="dxa"/>
            <w:vAlign w:val="center"/>
          </w:tcPr>
          <w:p w14:paraId="4E2F1B2E">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服务要求</w:t>
            </w:r>
          </w:p>
        </w:tc>
        <w:tc>
          <w:tcPr>
            <w:tcW w:w="2361" w:type="dxa"/>
            <w:vAlign w:val="center"/>
          </w:tcPr>
          <w:p w14:paraId="12A06876">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w:t>
            </w:r>
          </w:p>
        </w:tc>
      </w:tr>
      <w:tr w14:paraId="4BAAC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196" w:type="dxa"/>
            <w:vAlign w:val="center"/>
          </w:tcPr>
          <w:p w14:paraId="4568C637">
            <w:pPr>
              <w:jc w:val="center"/>
              <w:rPr>
                <w:rFonts w:asciiTheme="minorEastAsia" w:hAnsiTheme="minorEastAsia" w:eastAsiaTheme="minorEastAsia" w:cstheme="minorEastAsia"/>
                <w:color w:val="auto"/>
              </w:rPr>
            </w:pPr>
          </w:p>
        </w:tc>
        <w:tc>
          <w:tcPr>
            <w:tcW w:w="2054" w:type="dxa"/>
            <w:vAlign w:val="center"/>
          </w:tcPr>
          <w:p w14:paraId="10DFFBF4">
            <w:pPr>
              <w:jc w:val="center"/>
              <w:rPr>
                <w:rFonts w:asciiTheme="minorEastAsia" w:hAnsiTheme="minorEastAsia" w:eastAsiaTheme="minorEastAsia" w:cstheme="minorEastAsia"/>
                <w:color w:val="auto"/>
              </w:rPr>
            </w:pPr>
          </w:p>
        </w:tc>
        <w:tc>
          <w:tcPr>
            <w:tcW w:w="1785" w:type="dxa"/>
            <w:vAlign w:val="center"/>
          </w:tcPr>
          <w:p w14:paraId="4DF2E238">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详见第八篇</w:t>
            </w:r>
          </w:p>
        </w:tc>
        <w:tc>
          <w:tcPr>
            <w:tcW w:w="2361" w:type="dxa"/>
            <w:vAlign w:val="center"/>
          </w:tcPr>
          <w:p w14:paraId="68FFDF56">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无</w:t>
            </w:r>
          </w:p>
        </w:tc>
      </w:tr>
      <w:tr w14:paraId="6C94F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2" w:hRule="atLeast"/>
          <w:jc w:val="center"/>
        </w:trPr>
        <w:tc>
          <w:tcPr>
            <w:tcW w:w="9396" w:type="dxa"/>
            <w:gridSpan w:val="4"/>
            <w:vAlign w:val="center"/>
          </w:tcPr>
          <w:p w14:paraId="0FE8A03B">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1、付款方式：  以签订合同为准</w:t>
            </w:r>
          </w:p>
          <w:p w14:paraId="08FBEC27">
            <w:pPr>
              <w:spacing w:line="360" w:lineRule="auto"/>
              <w:rPr>
                <w:rFonts w:hint="default"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2、服务期限：</w:t>
            </w:r>
            <w:r>
              <w:rPr>
                <w:rFonts w:hint="eastAsia" w:asciiTheme="minorEastAsia" w:hAnsiTheme="minorEastAsia" w:eastAsiaTheme="minorEastAsia" w:cstheme="minorEastAsia"/>
                <w:color w:val="auto"/>
                <w:lang w:val="en-US" w:eastAsia="zh-CN"/>
              </w:rPr>
              <w:t>自合同签订后一年。</w:t>
            </w:r>
          </w:p>
          <w:p w14:paraId="0A9E58E1">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3、服务地点及方式：采购人指定地点服务</w:t>
            </w:r>
          </w:p>
          <w:p w14:paraId="4FD1E83A">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4、履约保证金及退换：以合同约定为准</w:t>
            </w:r>
          </w:p>
        </w:tc>
      </w:tr>
    </w:tbl>
    <w:p w14:paraId="69E28813">
      <w:pPr>
        <w:jc w:val="center"/>
        <w:rPr>
          <w:rFonts w:asciiTheme="minorEastAsia" w:hAnsiTheme="minorEastAsia" w:eastAsiaTheme="minorEastAsia" w:cstheme="minorEastAsia"/>
          <w:b/>
          <w:bCs/>
          <w:color w:val="auto"/>
          <w:sz w:val="32"/>
          <w:szCs w:val="32"/>
          <w:shd w:val="clear" w:color="FFFFFF" w:fill="D9D9D9"/>
        </w:rPr>
      </w:pPr>
      <w:bookmarkStart w:id="200" w:name="_Hlk35571982"/>
      <w:bookmarkStart w:id="201" w:name="_Hlk35571981"/>
      <w:bookmarkStart w:id="202" w:name="_Hlk35571980"/>
    </w:p>
    <w:p w14:paraId="1B0EB55E">
      <w:pPr>
        <w:jc w:val="center"/>
        <w:rPr>
          <w:rFonts w:asciiTheme="minorEastAsia" w:hAnsiTheme="minorEastAsia" w:eastAsiaTheme="minorEastAsia" w:cstheme="minorEastAsia"/>
          <w:b/>
          <w:bCs/>
          <w:color w:val="auto"/>
          <w:sz w:val="32"/>
          <w:szCs w:val="32"/>
          <w:shd w:val="clear" w:color="FFFFFF" w:fill="D9D9D9"/>
        </w:rPr>
      </w:pPr>
    </w:p>
    <w:p w14:paraId="70A269A3">
      <w:pPr>
        <w:jc w:val="center"/>
        <w:rPr>
          <w:rFonts w:asciiTheme="minorEastAsia" w:hAnsiTheme="minorEastAsia" w:eastAsiaTheme="minorEastAsia" w:cstheme="minorEastAsia"/>
          <w:b/>
          <w:bCs/>
          <w:color w:val="auto"/>
          <w:sz w:val="32"/>
          <w:szCs w:val="32"/>
          <w:shd w:val="clear" w:color="FFFFFF" w:fill="D9D9D9"/>
        </w:rPr>
      </w:pPr>
    </w:p>
    <w:p w14:paraId="35470B90">
      <w:pPr>
        <w:jc w:val="center"/>
        <w:rPr>
          <w:rFonts w:asciiTheme="minorEastAsia" w:hAnsiTheme="minorEastAsia" w:eastAsiaTheme="minorEastAsia" w:cstheme="minorEastAsia"/>
          <w:b/>
          <w:bCs/>
          <w:color w:val="auto"/>
          <w:sz w:val="32"/>
          <w:szCs w:val="32"/>
          <w:shd w:val="clear" w:color="FFFFFF" w:fill="D9D9D9"/>
        </w:rPr>
      </w:pPr>
    </w:p>
    <w:p w14:paraId="177954A7">
      <w:pPr>
        <w:jc w:val="center"/>
        <w:rPr>
          <w:rFonts w:asciiTheme="minorEastAsia" w:hAnsiTheme="minorEastAsia" w:eastAsiaTheme="minorEastAsia" w:cstheme="minorEastAsia"/>
          <w:b/>
          <w:bCs/>
          <w:color w:val="auto"/>
          <w:sz w:val="32"/>
          <w:szCs w:val="32"/>
          <w:shd w:val="clear" w:color="FFFFFF" w:fill="D9D9D9"/>
        </w:rPr>
      </w:pPr>
    </w:p>
    <w:p w14:paraId="70563D49">
      <w:pPr>
        <w:jc w:val="center"/>
        <w:rPr>
          <w:rFonts w:asciiTheme="minorEastAsia" w:hAnsiTheme="minorEastAsia" w:eastAsiaTheme="minorEastAsia" w:cstheme="minorEastAsia"/>
          <w:b/>
          <w:bCs/>
          <w:color w:val="auto"/>
          <w:sz w:val="32"/>
          <w:szCs w:val="32"/>
          <w:shd w:val="clear" w:color="FFFFFF" w:fill="D9D9D9"/>
        </w:rPr>
        <w:sectPr>
          <w:pgSz w:w="11907" w:h="16840"/>
          <w:pgMar w:top="1418" w:right="1134" w:bottom="1418" w:left="1531" w:header="851" w:footer="992" w:gutter="0"/>
          <w:cols w:space="720" w:num="1"/>
          <w:titlePg/>
          <w:docGrid w:linePitch="312" w:charSpace="0"/>
        </w:sectPr>
      </w:pPr>
    </w:p>
    <w:bookmarkEnd w:id="200"/>
    <w:bookmarkEnd w:id="201"/>
    <w:bookmarkEnd w:id="202"/>
    <w:p w14:paraId="114C2592">
      <w:pPr>
        <w:numPr>
          <w:ilvl w:val="0"/>
          <w:numId w:val="17"/>
        </w:numPr>
        <w:ind w:left="2730" w:leftChars="0" w:firstLineChars="0"/>
        <w:rPr>
          <w:rFonts w:asciiTheme="minorEastAsia" w:hAnsiTheme="minorEastAsia" w:eastAsiaTheme="minorEastAsia" w:cstheme="minorEastAsia"/>
          <w:b/>
          <w:bCs/>
          <w:color w:val="auto"/>
          <w:sz w:val="32"/>
          <w:szCs w:val="32"/>
          <w:highlight w:val="none"/>
        </w:rPr>
      </w:pPr>
      <w:bookmarkStart w:id="203" w:name="_Toc2134428"/>
      <w:bookmarkStart w:id="204" w:name="_Toc2135018"/>
      <w:bookmarkStart w:id="205" w:name="_Hlk35572269"/>
      <w:bookmarkStart w:id="206" w:name="_Hlk35572268"/>
      <w:bookmarkStart w:id="207" w:name="_Hlk35572267"/>
      <w:r>
        <w:rPr>
          <w:rFonts w:hint="eastAsia" w:asciiTheme="minorEastAsia" w:hAnsiTheme="minorEastAsia" w:eastAsiaTheme="minorEastAsia" w:cstheme="minorEastAsia"/>
          <w:b/>
          <w:bCs/>
          <w:color w:val="auto"/>
          <w:sz w:val="32"/>
          <w:szCs w:val="32"/>
          <w:highlight w:val="none"/>
        </w:rPr>
        <w:t>服务需求</w:t>
      </w:r>
    </w:p>
    <w:p w14:paraId="66B7794A">
      <w:pPr>
        <w:keepNext w:val="0"/>
        <w:keepLines w:val="0"/>
        <w:pageBreakBefore w:val="0"/>
        <w:kinsoku/>
        <w:wordWrap/>
        <w:overflowPunct/>
        <w:topLinePunct w:val="0"/>
        <w:bidi w:val="0"/>
        <w:adjustRightInd/>
        <w:snapToGrid/>
        <w:spacing w:line="340" w:lineRule="exact"/>
        <w:textAlignment w:val="auto"/>
        <w:rPr>
          <w:rFonts w:hint="eastAsia"/>
          <w:color w:val="auto"/>
          <w:highlight w:val="red"/>
          <w:lang w:val="en-US" w:eastAsia="zh-CN"/>
        </w:rPr>
      </w:pPr>
    </w:p>
    <w:p w14:paraId="08AE16E0">
      <w:pPr>
        <w:rPr>
          <w:rFonts w:hint="eastAsia"/>
          <w:color w:val="auto"/>
          <w:sz w:val="28"/>
          <w:szCs w:val="28"/>
          <w:lang w:eastAsia="zh-CN"/>
        </w:rPr>
      </w:pPr>
    </w:p>
    <w:p w14:paraId="6AA0A5FD">
      <w:pPr>
        <w:jc w:val="center"/>
        <w:rPr>
          <w:sz w:val="44"/>
          <w:szCs w:val="44"/>
        </w:rPr>
      </w:pPr>
      <w:r>
        <w:rPr>
          <w:rFonts w:hint="eastAsia"/>
          <w:sz w:val="44"/>
          <w:szCs w:val="44"/>
        </w:rPr>
        <w:t>采购需求</w:t>
      </w:r>
    </w:p>
    <w:p w14:paraId="6B9B3850">
      <w:pPr>
        <w:pStyle w:val="55"/>
        <w:numPr>
          <w:ilvl w:val="0"/>
          <w:numId w:val="18"/>
        </w:numPr>
        <w:ind w:firstLineChars="0"/>
        <w:rPr>
          <w:rFonts w:hint="eastAsia"/>
          <w:sz w:val="28"/>
          <w:szCs w:val="28"/>
        </w:rPr>
      </w:pPr>
      <w:r>
        <w:rPr>
          <w:rFonts w:hint="eastAsia"/>
          <w:sz w:val="28"/>
          <w:szCs w:val="28"/>
        </w:rPr>
        <w:t>项目概况与总体要求</w:t>
      </w:r>
    </w:p>
    <w:p w14:paraId="30B100D3">
      <w:pPr>
        <w:ind w:firstLine="560" w:firstLineChars="200"/>
        <w:rPr>
          <w:rFonts w:hint="eastAsia"/>
          <w:sz w:val="28"/>
          <w:szCs w:val="28"/>
        </w:rPr>
      </w:pPr>
      <w:r>
        <w:rPr>
          <w:rFonts w:hint="eastAsia"/>
          <w:sz w:val="28"/>
          <w:szCs w:val="28"/>
        </w:rPr>
        <w:t>扶余市公安局根据工作需要，决定开展民、辅警体检服务。</w:t>
      </w:r>
    </w:p>
    <w:p w14:paraId="1C4EC0CD">
      <w:pPr>
        <w:pStyle w:val="55"/>
        <w:numPr>
          <w:ilvl w:val="0"/>
          <w:numId w:val="18"/>
        </w:numPr>
        <w:ind w:firstLineChars="0"/>
        <w:rPr>
          <w:rFonts w:hint="eastAsia"/>
          <w:sz w:val="28"/>
          <w:szCs w:val="28"/>
        </w:rPr>
      </w:pPr>
      <w:r>
        <w:rPr>
          <w:rFonts w:hint="eastAsia"/>
          <w:sz w:val="28"/>
          <w:szCs w:val="28"/>
        </w:rPr>
        <w:t>采购需求基本信息</w:t>
      </w:r>
    </w:p>
    <w:p w14:paraId="7352A61E">
      <w:pPr>
        <w:ind w:firstLine="560" w:firstLineChars="200"/>
        <w:rPr>
          <w:rFonts w:hint="eastAsia"/>
          <w:sz w:val="28"/>
          <w:szCs w:val="28"/>
        </w:rPr>
      </w:pPr>
      <w:r>
        <w:rPr>
          <w:rFonts w:hint="eastAsia"/>
          <w:sz w:val="28"/>
          <w:szCs w:val="28"/>
        </w:rPr>
        <w:t>本项目投标报价以39小项进行报价，报价不得高于每个小项最高限价，供应商的响应报价应当包含单位采购标的所需的一切费用（包括成本、利润、税金等）。</w:t>
      </w:r>
    </w:p>
    <w:p w14:paraId="163F138E">
      <w:pPr>
        <w:pStyle w:val="55"/>
        <w:numPr>
          <w:ilvl w:val="0"/>
          <w:numId w:val="18"/>
        </w:numPr>
        <w:ind w:firstLineChars="0"/>
        <w:rPr>
          <w:rFonts w:hint="eastAsia"/>
          <w:sz w:val="28"/>
          <w:szCs w:val="28"/>
        </w:rPr>
      </w:pPr>
      <w:r>
        <w:rPr>
          <w:rFonts w:hint="eastAsia"/>
          <w:sz w:val="28"/>
          <w:szCs w:val="28"/>
        </w:rPr>
        <w:t>体检场地要求</w:t>
      </w:r>
    </w:p>
    <w:p w14:paraId="1580753C">
      <w:pPr>
        <w:ind w:firstLine="560" w:firstLineChars="200"/>
        <w:rPr>
          <w:rFonts w:hint="eastAsia"/>
          <w:sz w:val="28"/>
          <w:szCs w:val="28"/>
        </w:rPr>
      </w:pPr>
      <w:r>
        <w:rPr>
          <w:rFonts w:hint="eastAsia"/>
          <w:sz w:val="28"/>
          <w:szCs w:val="28"/>
        </w:rPr>
        <w:t>供应商必须具有体检职能，所在地应在扶余市市区内。供应商必须具备宽敞明亮的办公条件，应当功能区明确，引导标志清晰，男女区域分设，并设有专门的导诊人员；供应商应当具有体检项目所需检验场所设施齐全，检验质量应当符合国家相关要求，</w:t>
      </w:r>
    </w:p>
    <w:p w14:paraId="51A6D4A0">
      <w:pPr>
        <w:pStyle w:val="55"/>
        <w:numPr>
          <w:ilvl w:val="0"/>
          <w:numId w:val="18"/>
        </w:numPr>
        <w:ind w:firstLineChars="0"/>
        <w:rPr>
          <w:rFonts w:hint="eastAsia"/>
          <w:sz w:val="28"/>
          <w:szCs w:val="28"/>
        </w:rPr>
      </w:pPr>
      <w:r>
        <w:rPr>
          <w:rFonts w:hint="eastAsia"/>
          <w:sz w:val="28"/>
          <w:szCs w:val="28"/>
        </w:rPr>
        <w:t>体检设备要求</w:t>
      </w:r>
    </w:p>
    <w:p w14:paraId="0DB1E2F7">
      <w:pPr>
        <w:ind w:firstLine="560" w:firstLineChars="200"/>
        <w:rPr>
          <w:rFonts w:hint="eastAsia"/>
          <w:sz w:val="28"/>
          <w:szCs w:val="28"/>
        </w:rPr>
      </w:pPr>
      <w:r>
        <w:rPr>
          <w:rFonts w:hint="eastAsia"/>
          <w:sz w:val="28"/>
          <w:szCs w:val="28"/>
        </w:rPr>
        <w:t>供应商应当具备采购方所检查39小项内容的各项检查设备。</w:t>
      </w:r>
    </w:p>
    <w:p w14:paraId="4618FE39">
      <w:pPr>
        <w:pStyle w:val="55"/>
        <w:numPr>
          <w:ilvl w:val="0"/>
          <w:numId w:val="18"/>
        </w:numPr>
        <w:ind w:firstLineChars="0"/>
        <w:rPr>
          <w:rFonts w:hint="eastAsia"/>
          <w:sz w:val="28"/>
          <w:szCs w:val="28"/>
        </w:rPr>
      </w:pPr>
      <w:r>
        <w:rPr>
          <w:rFonts w:hint="eastAsia"/>
          <w:sz w:val="28"/>
          <w:szCs w:val="28"/>
        </w:rPr>
        <w:t>服务人员要求</w:t>
      </w:r>
    </w:p>
    <w:p w14:paraId="451C1BA1">
      <w:pPr>
        <w:ind w:firstLine="560" w:firstLineChars="200"/>
        <w:rPr>
          <w:rFonts w:hint="eastAsia"/>
          <w:sz w:val="28"/>
          <w:szCs w:val="28"/>
        </w:rPr>
      </w:pPr>
      <w:r>
        <w:rPr>
          <w:rFonts w:hint="eastAsia"/>
          <w:sz w:val="28"/>
          <w:szCs w:val="28"/>
        </w:rPr>
        <w:t>供应商应当保障采购方所检查项目中的医务人员，护士人员的需求。</w:t>
      </w:r>
    </w:p>
    <w:p w14:paraId="264B4A7F">
      <w:pPr>
        <w:pStyle w:val="55"/>
        <w:numPr>
          <w:ilvl w:val="0"/>
          <w:numId w:val="18"/>
        </w:numPr>
        <w:ind w:firstLineChars="0"/>
        <w:rPr>
          <w:rFonts w:hint="eastAsia"/>
          <w:sz w:val="28"/>
          <w:szCs w:val="28"/>
        </w:rPr>
      </w:pPr>
      <w:r>
        <w:rPr>
          <w:rFonts w:hint="eastAsia"/>
          <w:sz w:val="28"/>
          <w:szCs w:val="28"/>
        </w:rPr>
        <w:t>服务过程</w:t>
      </w:r>
    </w:p>
    <w:p w14:paraId="1339F712">
      <w:pPr>
        <w:ind w:firstLine="560" w:firstLineChars="200"/>
        <w:rPr>
          <w:rFonts w:hint="eastAsia"/>
          <w:sz w:val="28"/>
          <w:szCs w:val="28"/>
        </w:rPr>
      </w:pPr>
      <w:r>
        <w:rPr>
          <w:rFonts w:hint="eastAsia"/>
          <w:sz w:val="28"/>
          <w:szCs w:val="28"/>
        </w:rPr>
        <w:t>供应商应当为扶余市公安局提供的体检人员提供体检服务；在体检过程中，供应商应当合理安排体检流程，科学制定排号规则，安排足够的医务人员进行服务，按规程操作，按行业规范确定体检方案和方法，以防止意外发生；供应商应负责做好体检资料的制作，管理和发放，对体检者的电子版检测报告应当长期保存。</w:t>
      </w:r>
    </w:p>
    <w:p w14:paraId="2A60C102">
      <w:pPr>
        <w:pStyle w:val="55"/>
        <w:numPr>
          <w:ilvl w:val="0"/>
          <w:numId w:val="18"/>
        </w:numPr>
        <w:ind w:firstLineChars="0"/>
        <w:rPr>
          <w:rFonts w:hint="eastAsia"/>
          <w:sz w:val="28"/>
          <w:szCs w:val="28"/>
        </w:rPr>
      </w:pPr>
      <w:r>
        <w:rPr>
          <w:rFonts w:hint="eastAsia"/>
          <w:sz w:val="28"/>
          <w:szCs w:val="28"/>
        </w:rPr>
        <w:t>体检报告要求</w:t>
      </w:r>
    </w:p>
    <w:p w14:paraId="1854DED5">
      <w:pPr>
        <w:ind w:firstLine="560" w:firstLineChars="200"/>
        <w:rPr>
          <w:rFonts w:hint="eastAsia"/>
          <w:sz w:val="28"/>
          <w:szCs w:val="28"/>
        </w:rPr>
      </w:pPr>
      <w:r>
        <w:rPr>
          <w:rFonts w:hint="eastAsia"/>
          <w:sz w:val="28"/>
          <w:szCs w:val="28"/>
        </w:rPr>
        <w:t>供应商应当为每名体检人员提供纸质版体检档案包括单项的体检报告，并对体检结果负责（内容包括人员基本信息、检验结果及建议）；供应商应对参加体检人员建立电子档案，并在所有人员体检结束后将电子档案提交到扶余市公安局。</w:t>
      </w:r>
    </w:p>
    <w:p w14:paraId="39FC502D">
      <w:pPr>
        <w:rPr>
          <w:rFonts w:hint="eastAsia"/>
          <w:sz w:val="28"/>
          <w:szCs w:val="28"/>
        </w:rPr>
      </w:pPr>
      <w:r>
        <w:rPr>
          <w:rFonts w:hint="eastAsia"/>
          <w:sz w:val="28"/>
          <w:szCs w:val="28"/>
        </w:rPr>
        <w:t>八、服务期限要求</w:t>
      </w:r>
    </w:p>
    <w:p w14:paraId="4D23F280">
      <w:pPr>
        <w:ind w:firstLine="560" w:firstLineChars="200"/>
        <w:rPr>
          <w:sz w:val="28"/>
          <w:szCs w:val="28"/>
        </w:rPr>
      </w:pPr>
      <w:r>
        <w:rPr>
          <w:rFonts w:hint="eastAsia"/>
          <w:sz w:val="28"/>
          <w:szCs w:val="28"/>
        </w:rPr>
        <w:t>服务期为</w:t>
      </w:r>
      <w:r>
        <w:rPr>
          <w:rFonts w:hint="eastAsia"/>
          <w:sz w:val="28"/>
          <w:szCs w:val="28"/>
          <w:lang w:val="en-US" w:eastAsia="zh-CN"/>
        </w:rPr>
        <w:t>一</w:t>
      </w:r>
      <w:r>
        <w:rPr>
          <w:rFonts w:hint="eastAsia"/>
          <w:sz w:val="28"/>
          <w:szCs w:val="28"/>
        </w:rPr>
        <w:t>年（但是因政府相关规定的要求可以随时终止服务期限）。</w:t>
      </w:r>
    </w:p>
    <w:p w14:paraId="6F157873">
      <w:pPr>
        <w:rPr>
          <w:sz w:val="28"/>
          <w:szCs w:val="28"/>
        </w:rPr>
      </w:pPr>
    </w:p>
    <w:p w14:paraId="152CD842">
      <w:pPr>
        <w:rPr>
          <w:rFonts w:hint="eastAsia"/>
          <w:sz w:val="28"/>
          <w:szCs w:val="28"/>
        </w:rPr>
      </w:pPr>
      <w:r>
        <w:rPr>
          <w:rFonts w:hint="eastAsia"/>
          <w:sz w:val="28"/>
          <w:szCs w:val="28"/>
        </w:rPr>
        <w:t>说明：本部分内容均为实质性条款，供应商的响应文件必须满足。</w:t>
      </w:r>
    </w:p>
    <w:p w14:paraId="0781B6B2">
      <w:pPr>
        <w:rPr>
          <w:sz w:val="28"/>
          <w:szCs w:val="28"/>
        </w:rPr>
      </w:pPr>
    </w:p>
    <w:p w14:paraId="116F0AD7">
      <w:pPr>
        <w:rPr>
          <w:sz w:val="28"/>
          <w:szCs w:val="28"/>
        </w:rPr>
      </w:pPr>
    </w:p>
    <w:p w14:paraId="5A5C1364">
      <w:pPr>
        <w:rPr>
          <w:sz w:val="28"/>
          <w:szCs w:val="28"/>
        </w:rPr>
      </w:pPr>
    </w:p>
    <w:p w14:paraId="4588FED4">
      <w:pPr>
        <w:rPr>
          <w:sz w:val="28"/>
          <w:szCs w:val="28"/>
        </w:rPr>
      </w:pPr>
    </w:p>
    <w:p w14:paraId="6724D052">
      <w:pPr>
        <w:spacing w:before="71" w:line="220" w:lineRule="auto"/>
        <w:ind w:left="1977"/>
        <w:outlineLvl w:val="0"/>
        <w:rPr>
          <w:rFonts w:ascii="宋体" w:hAnsi="宋体" w:eastAsia="宋体" w:cs="宋体"/>
          <w:sz w:val="36"/>
          <w:szCs w:val="36"/>
        </w:rPr>
      </w:pPr>
      <w:r>
        <w:rPr>
          <w:rFonts w:ascii="宋体" w:hAnsi="宋体" w:eastAsia="宋体" w:cs="宋体"/>
          <w:b/>
          <w:bCs/>
          <w:spacing w:val="-3"/>
          <w:sz w:val="36"/>
          <w:szCs w:val="36"/>
        </w:rPr>
        <w:t>扶余市公安局职工2024年度自选体检套餐</w:t>
      </w:r>
    </w:p>
    <w:p w14:paraId="71333DB1">
      <w:pPr>
        <w:spacing w:line="159" w:lineRule="exact"/>
      </w:pPr>
    </w:p>
    <w:tbl>
      <w:tblPr>
        <w:tblStyle w:val="71"/>
        <w:tblW w:w="10427"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83"/>
        <w:gridCol w:w="3639"/>
        <w:gridCol w:w="960"/>
        <w:gridCol w:w="5245"/>
      </w:tblGrid>
      <w:tr w14:paraId="16E67A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4" w:hRule="atLeast"/>
        </w:trPr>
        <w:tc>
          <w:tcPr>
            <w:tcW w:w="583" w:type="dxa"/>
            <w:vAlign w:val="top"/>
          </w:tcPr>
          <w:p w14:paraId="3A295D9F">
            <w:pPr>
              <w:pStyle w:val="70"/>
              <w:spacing w:before="231" w:line="230" w:lineRule="auto"/>
              <w:ind w:left="47"/>
            </w:pPr>
            <w:r>
              <w:rPr>
                <w:b/>
                <w:bCs/>
                <w:spacing w:val="4"/>
              </w:rPr>
              <w:t>序号</w:t>
            </w:r>
          </w:p>
        </w:tc>
        <w:tc>
          <w:tcPr>
            <w:tcW w:w="3639" w:type="dxa"/>
            <w:vAlign w:val="top"/>
          </w:tcPr>
          <w:p w14:paraId="0565CF23">
            <w:pPr>
              <w:pStyle w:val="70"/>
              <w:spacing w:before="231" w:line="231" w:lineRule="auto"/>
              <w:ind w:left="370"/>
            </w:pPr>
            <w:r>
              <w:rPr>
                <w:b/>
                <w:bCs/>
                <w:spacing w:val="3"/>
              </w:rPr>
              <w:t>名称</w:t>
            </w:r>
          </w:p>
        </w:tc>
        <w:tc>
          <w:tcPr>
            <w:tcW w:w="960" w:type="dxa"/>
            <w:vAlign w:val="top"/>
          </w:tcPr>
          <w:p w14:paraId="13BAE027">
            <w:pPr>
              <w:pStyle w:val="70"/>
              <w:spacing w:before="231" w:line="227" w:lineRule="auto"/>
              <w:ind w:left="297"/>
            </w:pPr>
            <w:r>
              <w:rPr>
                <w:b/>
                <w:bCs/>
                <w:spacing w:val="3"/>
              </w:rPr>
              <w:t>单价</w:t>
            </w:r>
          </w:p>
        </w:tc>
        <w:tc>
          <w:tcPr>
            <w:tcW w:w="5245" w:type="dxa"/>
            <w:vAlign w:val="top"/>
          </w:tcPr>
          <w:p w14:paraId="3FC9D6AA">
            <w:pPr>
              <w:pStyle w:val="70"/>
              <w:spacing w:before="232" w:line="228" w:lineRule="auto"/>
              <w:ind w:left="2035"/>
            </w:pPr>
            <w:r>
              <w:rPr>
                <w:b/>
                <w:bCs/>
                <w:spacing w:val="6"/>
              </w:rPr>
              <w:t>临床检查意义</w:t>
            </w:r>
          </w:p>
        </w:tc>
      </w:tr>
      <w:tr w14:paraId="16BD3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5AFB3192">
            <w:pPr>
              <w:pStyle w:val="70"/>
              <w:spacing w:before="196" w:line="188" w:lineRule="auto"/>
              <w:ind w:left="266"/>
            </w:pPr>
            <w:r>
              <w:t>1</w:t>
            </w:r>
          </w:p>
        </w:tc>
        <w:tc>
          <w:tcPr>
            <w:tcW w:w="3639" w:type="dxa"/>
            <w:vAlign w:val="top"/>
          </w:tcPr>
          <w:p w14:paraId="43849CEC">
            <w:pPr>
              <w:pStyle w:val="70"/>
              <w:spacing w:before="164" w:line="229" w:lineRule="auto"/>
              <w:ind w:left="388"/>
            </w:pPr>
            <w:r>
              <w:rPr>
                <w:spacing w:val="-1"/>
              </w:rPr>
              <w:t>□</w:t>
            </w:r>
            <w:r>
              <w:rPr>
                <w:spacing w:val="17"/>
              </w:rPr>
              <w:t xml:space="preserve"> </w:t>
            </w:r>
            <w:r>
              <w:rPr>
                <w:spacing w:val="-1"/>
              </w:rPr>
              <w:t>血常规</w:t>
            </w:r>
          </w:p>
        </w:tc>
        <w:tc>
          <w:tcPr>
            <w:tcW w:w="960" w:type="dxa"/>
            <w:vAlign w:val="top"/>
          </w:tcPr>
          <w:p w14:paraId="4A2E2E9A">
            <w:pPr>
              <w:pStyle w:val="70"/>
              <w:spacing w:before="197" w:line="187" w:lineRule="auto"/>
              <w:ind w:left="240"/>
            </w:pPr>
            <w:r>
              <w:rPr>
                <w:spacing w:val="3"/>
              </w:rPr>
              <w:t>22.38</w:t>
            </w:r>
          </w:p>
        </w:tc>
        <w:tc>
          <w:tcPr>
            <w:tcW w:w="5245" w:type="dxa"/>
            <w:vAlign w:val="top"/>
          </w:tcPr>
          <w:p w14:paraId="5416D6C5">
            <w:pPr>
              <w:pStyle w:val="70"/>
              <w:spacing w:before="164" w:line="228" w:lineRule="auto"/>
              <w:ind w:left="49"/>
            </w:pPr>
            <w:r>
              <w:rPr>
                <w:spacing w:val="8"/>
              </w:rPr>
              <w:t>诊断贫血、炎症、出凝血异常、血液病及各种感染等</w:t>
            </w:r>
          </w:p>
        </w:tc>
      </w:tr>
      <w:tr w14:paraId="285765A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2" w:hRule="atLeast"/>
        </w:trPr>
        <w:tc>
          <w:tcPr>
            <w:tcW w:w="583" w:type="dxa"/>
            <w:vAlign w:val="top"/>
          </w:tcPr>
          <w:p w14:paraId="3F7445DB">
            <w:pPr>
              <w:pStyle w:val="70"/>
              <w:spacing w:before="264" w:line="187" w:lineRule="auto"/>
              <w:ind w:left="254"/>
            </w:pPr>
            <w:r>
              <w:t>2</w:t>
            </w:r>
          </w:p>
        </w:tc>
        <w:tc>
          <w:tcPr>
            <w:tcW w:w="3639" w:type="dxa"/>
            <w:vAlign w:val="top"/>
          </w:tcPr>
          <w:p w14:paraId="3355F47E">
            <w:pPr>
              <w:pStyle w:val="70"/>
              <w:spacing w:before="231" w:line="229" w:lineRule="auto"/>
              <w:ind w:left="388"/>
            </w:pPr>
            <w:r>
              <w:rPr>
                <w:spacing w:val="1"/>
              </w:rPr>
              <w:t>□</w:t>
            </w:r>
            <w:r>
              <w:rPr>
                <w:spacing w:val="17"/>
              </w:rPr>
              <w:t xml:space="preserve"> </w:t>
            </w:r>
            <w:r>
              <w:rPr>
                <w:spacing w:val="1"/>
              </w:rPr>
              <w:t>肝功七项</w:t>
            </w:r>
          </w:p>
        </w:tc>
        <w:tc>
          <w:tcPr>
            <w:tcW w:w="960" w:type="dxa"/>
            <w:vAlign w:val="top"/>
          </w:tcPr>
          <w:p w14:paraId="728E91C5">
            <w:pPr>
              <w:pStyle w:val="70"/>
              <w:spacing w:before="264" w:line="188" w:lineRule="auto"/>
              <w:ind w:left="242"/>
            </w:pPr>
            <w:r>
              <w:rPr>
                <w:spacing w:val="3"/>
              </w:rPr>
              <w:t>31.03</w:t>
            </w:r>
          </w:p>
        </w:tc>
        <w:tc>
          <w:tcPr>
            <w:tcW w:w="5245" w:type="dxa"/>
            <w:vAlign w:val="top"/>
          </w:tcPr>
          <w:p w14:paraId="72BBA43E">
            <w:pPr>
              <w:pStyle w:val="70"/>
              <w:spacing w:before="109" w:line="233" w:lineRule="auto"/>
              <w:ind w:left="49" w:right="208"/>
            </w:pPr>
            <w:r>
              <w:rPr>
                <w:spacing w:val="9"/>
              </w:rPr>
              <w:t>诊断急、慢性肝炎、酒精肝、药物性肝炎、脂</w:t>
            </w:r>
            <w:r>
              <w:rPr>
                <w:spacing w:val="8"/>
              </w:rPr>
              <w:t>肪肝、肝硬</w:t>
            </w:r>
            <w:r>
              <w:t xml:space="preserve"> </w:t>
            </w:r>
            <w:r>
              <w:rPr>
                <w:spacing w:val="5"/>
              </w:rPr>
              <w:t>化等</w:t>
            </w:r>
            <w:r>
              <w:rPr>
                <w:spacing w:val="12"/>
              </w:rPr>
              <w:t xml:space="preserve"> </w:t>
            </w:r>
            <w:r>
              <w:rPr>
                <w:spacing w:val="5"/>
              </w:rPr>
              <w:t>病变</w:t>
            </w:r>
          </w:p>
        </w:tc>
      </w:tr>
      <w:tr w14:paraId="06CADA8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2" w:hRule="atLeast"/>
        </w:trPr>
        <w:tc>
          <w:tcPr>
            <w:tcW w:w="583" w:type="dxa"/>
            <w:vAlign w:val="top"/>
          </w:tcPr>
          <w:p w14:paraId="1E978547">
            <w:pPr>
              <w:pStyle w:val="70"/>
              <w:spacing w:before="266" w:line="187" w:lineRule="auto"/>
              <w:ind w:left="256"/>
            </w:pPr>
            <w:r>
              <w:t>3</w:t>
            </w:r>
          </w:p>
        </w:tc>
        <w:tc>
          <w:tcPr>
            <w:tcW w:w="3639" w:type="dxa"/>
            <w:vAlign w:val="top"/>
          </w:tcPr>
          <w:p w14:paraId="51A3E87A">
            <w:pPr>
              <w:pStyle w:val="70"/>
              <w:spacing w:before="232" w:line="228" w:lineRule="auto"/>
              <w:ind w:left="388"/>
            </w:pPr>
            <w:r>
              <w:rPr>
                <w:spacing w:val="-2"/>
              </w:rPr>
              <w:t>□</w:t>
            </w:r>
            <w:r>
              <w:rPr>
                <w:spacing w:val="32"/>
              </w:rPr>
              <w:t xml:space="preserve"> </w:t>
            </w:r>
            <w:r>
              <w:rPr>
                <w:spacing w:val="-2"/>
              </w:rPr>
              <w:t>肾功三项</w:t>
            </w:r>
          </w:p>
        </w:tc>
        <w:tc>
          <w:tcPr>
            <w:tcW w:w="960" w:type="dxa"/>
            <w:vAlign w:val="top"/>
          </w:tcPr>
          <w:p w14:paraId="5F03104E">
            <w:pPr>
              <w:pStyle w:val="70"/>
              <w:spacing w:before="265" w:line="188" w:lineRule="auto"/>
              <w:ind w:left="253"/>
            </w:pPr>
            <w:r>
              <w:rPr>
                <w:spacing w:val="1"/>
              </w:rPr>
              <w:t>19.43</w:t>
            </w:r>
          </w:p>
        </w:tc>
        <w:tc>
          <w:tcPr>
            <w:tcW w:w="5245" w:type="dxa"/>
            <w:vAlign w:val="top"/>
          </w:tcPr>
          <w:p w14:paraId="5D53C47C">
            <w:pPr>
              <w:pStyle w:val="70"/>
              <w:spacing w:before="110" w:line="233" w:lineRule="auto"/>
              <w:ind w:left="48" w:right="242" w:firstLine="1"/>
            </w:pPr>
            <w:r>
              <w:rPr>
                <w:spacing w:val="7"/>
              </w:rPr>
              <w:t>诊断肾功有无损害、急慢性肾炎、肾病、尿毒症、痛风、</w:t>
            </w:r>
            <w:r>
              <w:rPr>
                <w:spacing w:val="11"/>
              </w:rPr>
              <w:t xml:space="preserve"> </w:t>
            </w:r>
            <w:r>
              <w:rPr>
                <w:spacing w:val="6"/>
              </w:rPr>
              <w:t>痛风</w:t>
            </w:r>
            <w:r>
              <w:rPr>
                <w:spacing w:val="16"/>
              </w:rPr>
              <w:t xml:space="preserve"> </w:t>
            </w:r>
            <w:r>
              <w:rPr>
                <w:spacing w:val="6"/>
              </w:rPr>
              <w:t>关节炎等</w:t>
            </w:r>
          </w:p>
        </w:tc>
      </w:tr>
      <w:tr w14:paraId="29AF63A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3D4BBC4A">
            <w:pPr>
              <w:pStyle w:val="70"/>
              <w:spacing w:before="199" w:line="187" w:lineRule="auto"/>
              <w:ind w:left="251"/>
            </w:pPr>
            <w:r>
              <w:t>4</w:t>
            </w:r>
          </w:p>
        </w:tc>
        <w:tc>
          <w:tcPr>
            <w:tcW w:w="3639" w:type="dxa"/>
            <w:vAlign w:val="top"/>
          </w:tcPr>
          <w:p w14:paraId="295EA267">
            <w:pPr>
              <w:pStyle w:val="70"/>
              <w:spacing w:before="165" w:line="228" w:lineRule="auto"/>
              <w:ind w:left="388"/>
            </w:pPr>
            <w:r>
              <w:rPr>
                <w:spacing w:val="1"/>
              </w:rPr>
              <w:t>□</w:t>
            </w:r>
            <w:r>
              <w:rPr>
                <w:spacing w:val="17"/>
              </w:rPr>
              <w:t xml:space="preserve"> </w:t>
            </w:r>
            <w:r>
              <w:rPr>
                <w:spacing w:val="1"/>
              </w:rPr>
              <w:t>静脉血糖</w:t>
            </w:r>
          </w:p>
        </w:tc>
        <w:tc>
          <w:tcPr>
            <w:tcW w:w="960" w:type="dxa"/>
            <w:vAlign w:val="top"/>
          </w:tcPr>
          <w:p w14:paraId="423A4C71">
            <w:pPr>
              <w:pStyle w:val="70"/>
              <w:spacing w:before="199" w:line="187" w:lineRule="auto"/>
              <w:ind w:left="292"/>
            </w:pPr>
            <w:r>
              <w:rPr>
                <w:spacing w:val="2"/>
              </w:rPr>
              <w:t>5.43</w:t>
            </w:r>
          </w:p>
        </w:tc>
        <w:tc>
          <w:tcPr>
            <w:tcW w:w="5245" w:type="dxa"/>
            <w:vAlign w:val="top"/>
          </w:tcPr>
          <w:p w14:paraId="270A51BB">
            <w:pPr>
              <w:pStyle w:val="70"/>
              <w:spacing w:before="166" w:line="228" w:lineRule="auto"/>
              <w:ind w:left="49"/>
            </w:pPr>
            <w:r>
              <w:rPr>
                <w:spacing w:val="8"/>
              </w:rPr>
              <w:t>糖尿病、低血糖、了解糖代谢情况等</w:t>
            </w:r>
          </w:p>
        </w:tc>
      </w:tr>
      <w:tr w14:paraId="3FFFBD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583" w:type="dxa"/>
            <w:vAlign w:val="top"/>
          </w:tcPr>
          <w:p w14:paraId="2EA640E1">
            <w:pPr>
              <w:pStyle w:val="70"/>
              <w:spacing w:before="246" w:line="186" w:lineRule="auto"/>
              <w:ind w:left="256"/>
            </w:pPr>
            <w:r>
              <w:t>5</w:t>
            </w:r>
          </w:p>
        </w:tc>
        <w:tc>
          <w:tcPr>
            <w:tcW w:w="3639" w:type="dxa"/>
            <w:vAlign w:val="top"/>
          </w:tcPr>
          <w:p w14:paraId="3E9D1165">
            <w:pPr>
              <w:pStyle w:val="70"/>
              <w:spacing w:before="212" w:line="229" w:lineRule="auto"/>
              <w:ind w:left="388"/>
            </w:pPr>
            <w:r>
              <w:rPr>
                <w:spacing w:val="1"/>
              </w:rPr>
              <w:t>□</w:t>
            </w:r>
            <w:r>
              <w:rPr>
                <w:spacing w:val="17"/>
              </w:rPr>
              <w:t xml:space="preserve"> </w:t>
            </w:r>
            <w:r>
              <w:rPr>
                <w:spacing w:val="1"/>
              </w:rPr>
              <w:t>血脂四项</w:t>
            </w:r>
          </w:p>
        </w:tc>
        <w:tc>
          <w:tcPr>
            <w:tcW w:w="960" w:type="dxa"/>
            <w:vAlign w:val="top"/>
          </w:tcPr>
          <w:p w14:paraId="77EA7035">
            <w:pPr>
              <w:pStyle w:val="70"/>
              <w:spacing w:before="245" w:line="187" w:lineRule="auto"/>
              <w:ind w:left="240"/>
            </w:pPr>
            <w:r>
              <w:rPr>
                <w:spacing w:val="3"/>
              </w:rPr>
              <w:t>29.83</w:t>
            </w:r>
          </w:p>
        </w:tc>
        <w:tc>
          <w:tcPr>
            <w:tcW w:w="5245" w:type="dxa"/>
            <w:vAlign w:val="top"/>
          </w:tcPr>
          <w:p w14:paraId="68F199B9">
            <w:pPr>
              <w:pStyle w:val="70"/>
              <w:spacing w:before="86" w:line="233" w:lineRule="auto"/>
              <w:ind w:left="49" w:right="242" w:firstLine="3"/>
            </w:pPr>
            <w:r>
              <w:rPr>
                <w:spacing w:val="7"/>
              </w:rPr>
              <w:t>是检测脂肪肝、动脉硬化、脑中风、胆结石、心肌梗塞、</w:t>
            </w:r>
            <w:r>
              <w:rPr>
                <w:spacing w:val="9"/>
              </w:rPr>
              <w:t xml:space="preserve"> </w:t>
            </w:r>
            <w:r>
              <w:rPr>
                <w:spacing w:val="8"/>
              </w:rPr>
              <w:t>肥胖症等疾病的重要指标</w:t>
            </w:r>
          </w:p>
        </w:tc>
      </w:tr>
      <w:tr w14:paraId="75E5022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563543E8">
            <w:pPr>
              <w:pStyle w:val="70"/>
              <w:spacing w:before="200" w:line="187" w:lineRule="auto"/>
              <w:ind w:left="253"/>
            </w:pPr>
            <w:r>
              <w:t>6</w:t>
            </w:r>
          </w:p>
        </w:tc>
        <w:tc>
          <w:tcPr>
            <w:tcW w:w="3639" w:type="dxa"/>
            <w:vAlign w:val="top"/>
          </w:tcPr>
          <w:p w14:paraId="612B4AB9">
            <w:pPr>
              <w:pStyle w:val="70"/>
              <w:spacing w:before="166" w:line="229" w:lineRule="auto"/>
              <w:ind w:left="388"/>
            </w:pPr>
            <w:r>
              <w:rPr>
                <w:spacing w:val="1"/>
              </w:rPr>
              <w:t>□</w:t>
            </w:r>
            <w:r>
              <w:rPr>
                <w:spacing w:val="40"/>
              </w:rPr>
              <w:t xml:space="preserve"> </w:t>
            </w:r>
            <w:r>
              <w:rPr>
                <w:spacing w:val="1"/>
              </w:rPr>
              <w:t>乙肝两对半（定性）</w:t>
            </w:r>
          </w:p>
        </w:tc>
        <w:tc>
          <w:tcPr>
            <w:tcW w:w="960" w:type="dxa"/>
            <w:vAlign w:val="top"/>
          </w:tcPr>
          <w:p w14:paraId="2577054C">
            <w:pPr>
              <w:pStyle w:val="70"/>
              <w:spacing w:before="200" w:line="187" w:lineRule="auto"/>
              <w:ind w:left="240"/>
            </w:pPr>
            <w:r>
              <w:rPr>
                <w:spacing w:val="3"/>
              </w:rPr>
              <w:t>25.43</w:t>
            </w:r>
          </w:p>
        </w:tc>
        <w:tc>
          <w:tcPr>
            <w:tcW w:w="5245" w:type="dxa"/>
            <w:vAlign w:val="top"/>
          </w:tcPr>
          <w:p w14:paraId="2B9772BE">
            <w:pPr>
              <w:pStyle w:val="70"/>
              <w:spacing w:before="167" w:line="228" w:lineRule="auto"/>
              <w:ind w:left="48"/>
            </w:pPr>
            <w:r>
              <w:rPr>
                <w:spacing w:val="8"/>
              </w:rPr>
              <w:t>初步检测是否患乙型病毒性肝炎、是否有乙肝抗体</w:t>
            </w:r>
          </w:p>
        </w:tc>
      </w:tr>
      <w:tr w14:paraId="750866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6A12F108">
            <w:pPr>
              <w:pStyle w:val="70"/>
              <w:spacing w:before="202" w:line="186" w:lineRule="auto"/>
              <w:ind w:left="256"/>
            </w:pPr>
            <w:r>
              <w:t>7</w:t>
            </w:r>
          </w:p>
        </w:tc>
        <w:tc>
          <w:tcPr>
            <w:tcW w:w="3639" w:type="dxa"/>
            <w:vAlign w:val="top"/>
          </w:tcPr>
          <w:p w14:paraId="29811F47">
            <w:pPr>
              <w:pStyle w:val="70"/>
              <w:spacing w:before="167" w:line="228" w:lineRule="auto"/>
              <w:ind w:left="388"/>
            </w:pPr>
            <w:r>
              <w:rPr>
                <w:spacing w:val="5"/>
              </w:rPr>
              <w:t>□ 丙型肝炎抗体(定性)</w:t>
            </w:r>
          </w:p>
        </w:tc>
        <w:tc>
          <w:tcPr>
            <w:tcW w:w="960" w:type="dxa"/>
            <w:vAlign w:val="top"/>
          </w:tcPr>
          <w:p w14:paraId="5BA69414">
            <w:pPr>
              <w:pStyle w:val="70"/>
              <w:spacing w:before="200" w:line="188" w:lineRule="auto"/>
              <w:ind w:left="253"/>
            </w:pPr>
            <w:r>
              <w:rPr>
                <w:spacing w:val="1"/>
              </w:rPr>
              <w:t>14.43</w:t>
            </w:r>
          </w:p>
        </w:tc>
        <w:tc>
          <w:tcPr>
            <w:tcW w:w="5245" w:type="dxa"/>
            <w:vAlign w:val="top"/>
          </w:tcPr>
          <w:p w14:paraId="04AB02F7">
            <w:pPr>
              <w:pStyle w:val="70"/>
              <w:spacing w:before="167" w:line="228" w:lineRule="auto"/>
              <w:ind w:left="48"/>
            </w:pPr>
            <w:r>
              <w:rPr>
                <w:spacing w:val="8"/>
              </w:rPr>
              <w:t>初步检测是否感染过丙肝病毒性肝炎</w:t>
            </w:r>
          </w:p>
        </w:tc>
      </w:tr>
      <w:tr w14:paraId="5F019E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2" w:hRule="atLeast"/>
        </w:trPr>
        <w:tc>
          <w:tcPr>
            <w:tcW w:w="583" w:type="dxa"/>
            <w:vAlign w:val="top"/>
          </w:tcPr>
          <w:p w14:paraId="4B206B42">
            <w:pPr>
              <w:pStyle w:val="70"/>
              <w:spacing w:before="268" w:line="187" w:lineRule="auto"/>
              <w:ind w:left="252"/>
            </w:pPr>
            <w:r>
              <w:t>8</w:t>
            </w:r>
          </w:p>
        </w:tc>
        <w:tc>
          <w:tcPr>
            <w:tcW w:w="3639" w:type="dxa"/>
            <w:vAlign w:val="top"/>
          </w:tcPr>
          <w:p w14:paraId="143C0DD7">
            <w:pPr>
              <w:pStyle w:val="70"/>
              <w:spacing w:before="235" w:line="228" w:lineRule="auto"/>
              <w:ind w:left="388"/>
            </w:pPr>
            <w:r>
              <w:rPr>
                <w:spacing w:val="-2"/>
              </w:rPr>
              <w:t>□</w:t>
            </w:r>
            <w:r>
              <w:rPr>
                <w:spacing w:val="21"/>
              </w:rPr>
              <w:t xml:space="preserve"> </w:t>
            </w:r>
            <w:r>
              <w:rPr>
                <w:spacing w:val="-2"/>
              </w:rPr>
              <w:t>心肌酶</w:t>
            </w:r>
          </w:p>
        </w:tc>
        <w:tc>
          <w:tcPr>
            <w:tcW w:w="960" w:type="dxa"/>
            <w:vAlign w:val="top"/>
          </w:tcPr>
          <w:p w14:paraId="52AE52F2">
            <w:pPr>
              <w:pStyle w:val="70"/>
              <w:spacing w:before="267" w:line="188" w:lineRule="auto"/>
              <w:ind w:left="240"/>
            </w:pPr>
            <w:r>
              <w:rPr>
                <w:spacing w:val="3"/>
              </w:rPr>
              <w:t>21.80</w:t>
            </w:r>
          </w:p>
        </w:tc>
        <w:tc>
          <w:tcPr>
            <w:tcW w:w="5245" w:type="dxa"/>
            <w:vAlign w:val="top"/>
          </w:tcPr>
          <w:p w14:paraId="5C542040">
            <w:pPr>
              <w:pStyle w:val="70"/>
              <w:spacing w:before="112" w:line="233" w:lineRule="auto"/>
              <w:ind w:left="62" w:right="208" w:hanging="6"/>
            </w:pPr>
            <w:r>
              <w:rPr>
                <w:spacing w:val="8"/>
              </w:rPr>
              <w:t>心肌酶检查主要用来排查心脏相关疾病，如急性心肌梗死</w:t>
            </w:r>
            <w:r>
              <w:rPr>
                <w:spacing w:val="14"/>
              </w:rPr>
              <w:t xml:space="preserve"> </w:t>
            </w:r>
            <w:r>
              <w:rPr>
                <w:spacing w:val="6"/>
              </w:rPr>
              <w:t>、心肌炎、心肌损伤等</w:t>
            </w:r>
          </w:p>
        </w:tc>
      </w:tr>
      <w:tr w14:paraId="54934C5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2CEE61C0">
            <w:pPr>
              <w:pStyle w:val="70"/>
              <w:spacing w:before="202" w:line="187" w:lineRule="auto"/>
              <w:ind w:left="252"/>
            </w:pPr>
            <w:r>
              <w:t>9</w:t>
            </w:r>
          </w:p>
        </w:tc>
        <w:tc>
          <w:tcPr>
            <w:tcW w:w="3639" w:type="dxa"/>
            <w:vAlign w:val="top"/>
          </w:tcPr>
          <w:p w14:paraId="5F0DD359">
            <w:pPr>
              <w:pStyle w:val="70"/>
              <w:spacing w:before="168" w:line="229" w:lineRule="auto"/>
              <w:ind w:left="388"/>
            </w:pPr>
            <w:r>
              <w:rPr>
                <w:spacing w:val="1"/>
              </w:rPr>
              <w:t>□</w:t>
            </w:r>
            <w:r>
              <w:rPr>
                <w:spacing w:val="42"/>
              </w:rPr>
              <w:t xml:space="preserve"> </w:t>
            </w:r>
            <w:r>
              <w:rPr>
                <w:spacing w:val="1"/>
              </w:rPr>
              <w:t>电解质离子测定</w:t>
            </w:r>
          </w:p>
        </w:tc>
        <w:tc>
          <w:tcPr>
            <w:tcW w:w="960" w:type="dxa"/>
            <w:vAlign w:val="top"/>
          </w:tcPr>
          <w:p w14:paraId="506E4302">
            <w:pPr>
              <w:pStyle w:val="70"/>
              <w:spacing w:before="202" w:line="187" w:lineRule="auto"/>
              <w:ind w:left="240"/>
            </w:pPr>
            <w:r>
              <w:rPr>
                <w:spacing w:val="3"/>
              </w:rPr>
              <w:t>28.38</w:t>
            </w:r>
          </w:p>
        </w:tc>
        <w:tc>
          <w:tcPr>
            <w:tcW w:w="5245" w:type="dxa"/>
            <w:vAlign w:val="top"/>
          </w:tcPr>
          <w:p w14:paraId="3BF0B3AF">
            <w:pPr>
              <w:pStyle w:val="70"/>
              <w:spacing w:before="168" w:line="228" w:lineRule="auto"/>
              <w:ind w:left="49"/>
            </w:pPr>
            <w:r>
              <w:rPr>
                <w:spacing w:val="9"/>
              </w:rPr>
              <w:t>检查主要是可以发现体内有没有电解质功能紊</w:t>
            </w:r>
            <w:r>
              <w:rPr>
                <w:spacing w:val="8"/>
              </w:rPr>
              <w:t>乱的现象</w:t>
            </w:r>
          </w:p>
        </w:tc>
      </w:tr>
      <w:tr w14:paraId="13E787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32" w:hRule="atLeast"/>
        </w:trPr>
        <w:tc>
          <w:tcPr>
            <w:tcW w:w="583" w:type="dxa"/>
            <w:vAlign w:val="top"/>
          </w:tcPr>
          <w:p w14:paraId="7B5E8CD9">
            <w:pPr>
              <w:pStyle w:val="70"/>
              <w:spacing w:before="268" w:line="188" w:lineRule="auto"/>
              <w:ind w:left="216"/>
            </w:pPr>
            <w:r>
              <w:rPr>
                <w:spacing w:val="-4"/>
              </w:rPr>
              <w:t>10</w:t>
            </w:r>
          </w:p>
        </w:tc>
        <w:tc>
          <w:tcPr>
            <w:tcW w:w="3639" w:type="dxa"/>
            <w:vAlign w:val="top"/>
          </w:tcPr>
          <w:p w14:paraId="409997F1">
            <w:pPr>
              <w:pStyle w:val="70"/>
              <w:spacing w:before="236" w:line="229" w:lineRule="auto"/>
              <w:ind w:left="388"/>
            </w:pPr>
            <w:r>
              <w:rPr>
                <w:spacing w:val="5"/>
              </w:rPr>
              <w:t>□ 糖化血红蛋白</w:t>
            </w:r>
          </w:p>
        </w:tc>
        <w:tc>
          <w:tcPr>
            <w:tcW w:w="960" w:type="dxa"/>
            <w:vAlign w:val="top"/>
          </w:tcPr>
          <w:p w14:paraId="11F32DD8">
            <w:pPr>
              <w:pStyle w:val="70"/>
              <w:spacing w:before="269" w:line="187" w:lineRule="auto"/>
              <w:ind w:left="240"/>
            </w:pPr>
            <w:r>
              <w:rPr>
                <w:spacing w:val="3"/>
              </w:rPr>
              <w:t>25.38</w:t>
            </w:r>
          </w:p>
        </w:tc>
        <w:tc>
          <w:tcPr>
            <w:tcW w:w="5245" w:type="dxa"/>
            <w:vAlign w:val="top"/>
          </w:tcPr>
          <w:p w14:paraId="42E8DC9A">
            <w:pPr>
              <w:pStyle w:val="70"/>
              <w:spacing w:before="114" w:line="233" w:lineRule="auto"/>
              <w:ind w:left="49" w:right="255"/>
            </w:pPr>
            <w:r>
              <w:rPr>
                <w:spacing w:val="6"/>
              </w:rPr>
              <w:t>有效地反映糖尿病患者过去1～3个月内血糖控制的情况，</w:t>
            </w:r>
            <w:r>
              <w:rPr>
                <w:spacing w:val="17"/>
              </w:rPr>
              <w:t xml:space="preserve"> </w:t>
            </w:r>
            <w:r>
              <w:rPr>
                <w:spacing w:val="8"/>
              </w:rPr>
              <w:t>被用作糖尿病控制的重要监测指标</w:t>
            </w:r>
          </w:p>
        </w:tc>
      </w:tr>
      <w:tr w14:paraId="06A14C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6" w:hRule="atLeast"/>
        </w:trPr>
        <w:tc>
          <w:tcPr>
            <w:tcW w:w="583" w:type="dxa"/>
            <w:vAlign w:val="top"/>
          </w:tcPr>
          <w:p w14:paraId="05EEB838">
            <w:pPr>
              <w:pStyle w:val="70"/>
              <w:spacing w:before="202" w:line="188" w:lineRule="auto"/>
              <w:ind w:left="216"/>
            </w:pPr>
            <w:r>
              <w:rPr>
                <w:spacing w:val="-4"/>
              </w:rPr>
              <w:t>11</w:t>
            </w:r>
          </w:p>
        </w:tc>
        <w:tc>
          <w:tcPr>
            <w:tcW w:w="3639" w:type="dxa"/>
            <w:vAlign w:val="top"/>
          </w:tcPr>
          <w:p w14:paraId="5421C16C">
            <w:pPr>
              <w:pStyle w:val="70"/>
              <w:spacing w:before="170" w:line="228" w:lineRule="auto"/>
              <w:ind w:left="388"/>
            </w:pPr>
            <w:r>
              <w:rPr>
                <w:spacing w:val="2"/>
              </w:rPr>
              <w:t>□</w:t>
            </w:r>
            <w:r>
              <w:rPr>
                <w:spacing w:val="13"/>
              </w:rPr>
              <w:t xml:space="preserve"> </w:t>
            </w:r>
            <w:r>
              <w:rPr>
                <w:spacing w:val="2"/>
              </w:rPr>
              <w:t>微量元素</w:t>
            </w:r>
          </w:p>
        </w:tc>
        <w:tc>
          <w:tcPr>
            <w:tcW w:w="960" w:type="dxa"/>
            <w:vAlign w:val="top"/>
          </w:tcPr>
          <w:p w14:paraId="285A5924">
            <w:pPr>
              <w:pStyle w:val="70"/>
              <w:spacing w:before="203" w:line="187" w:lineRule="auto"/>
              <w:ind w:left="242"/>
            </w:pPr>
            <w:r>
              <w:rPr>
                <w:spacing w:val="3"/>
              </w:rPr>
              <w:t>56.38</w:t>
            </w:r>
          </w:p>
        </w:tc>
        <w:tc>
          <w:tcPr>
            <w:tcW w:w="5245" w:type="dxa"/>
            <w:vAlign w:val="top"/>
          </w:tcPr>
          <w:p w14:paraId="29EA2280">
            <w:pPr>
              <w:pStyle w:val="70"/>
              <w:spacing w:before="170" w:line="228" w:lineRule="auto"/>
              <w:ind w:left="49"/>
            </w:pPr>
            <w:r>
              <w:rPr>
                <w:spacing w:val="8"/>
              </w:rPr>
              <w:t>检测钙、铁、锌、镁、铜、铅元素是否缺乏或超标</w:t>
            </w:r>
          </w:p>
        </w:tc>
      </w:tr>
      <w:tr w14:paraId="60243A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2" w:hRule="atLeast"/>
        </w:trPr>
        <w:tc>
          <w:tcPr>
            <w:tcW w:w="583" w:type="dxa"/>
            <w:vAlign w:val="top"/>
          </w:tcPr>
          <w:p w14:paraId="780C72B1">
            <w:pPr>
              <w:pStyle w:val="70"/>
              <w:spacing w:before="255" w:line="188" w:lineRule="auto"/>
              <w:ind w:left="216"/>
            </w:pPr>
            <w:r>
              <w:rPr>
                <w:spacing w:val="-4"/>
              </w:rPr>
              <w:t>12</w:t>
            </w:r>
          </w:p>
        </w:tc>
        <w:tc>
          <w:tcPr>
            <w:tcW w:w="3639" w:type="dxa"/>
            <w:vAlign w:val="top"/>
          </w:tcPr>
          <w:p w14:paraId="164727B3">
            <w:pPr>
              <w:pStyle w:val="70"/>
              <w:spacing w:before="223" w:line="229" w:lineRule="auto"/>
              <w:ind w:left="388"/>
            </w:pPr>
            <w:r>
              <w:rPr>
                <w:spacing w:val="2"/>
              </w:rPr>
              <w:t>□</w:t>
            </w:r>
            <w:r>
              <w:rPr>
                <w:spacing w:val="12"/>
              </w:rPr>
              <w:t xml:space="preserve"> </w:t>
            </w:r>
            <w:r>
              <w:rPr>
                <w:spacing w:val="2"/>
              </w:rPr>
              <w:t>凝血四项</w:t>
            </w:r>
          </w:p>
        </w:tc>
        <w:tc>
          <w:tcPr>
            <w:tcW w:w="960" w:type="dxa"/>
            <w:vAlign w:val="top"/>
          </w:tcPr>
          <w:p w14:paraId="053B3558">
            <w:pPr>
              <w:pStyle w:val="70"/>
              <w:spacing w:before="256" w:line="187" w:lineRule="auto"/>
              <w:ind w:left="239"/>
            </w:pPr>
            <w:r>
              <w:rPr>
                <w:spacing w:val="3"/>
              </w:rPr>
              <w:t>64.38</w:t>
            </w:r>
          </w:p>
        </w:tc>
        <w:tc>
          <w:tcPr>
            <w:tcW w:w="5245" w:type="dxa"/>
            <w:vAlign w:val="top"/>
          </w:tcPr>
          <w:p w14:paraId="14E17816">
            <w:pPr>
              <w:pStyle w:val="70"/>
              <w:spacing w:before="98" w:line="233" w:lineRule="auto"/>
              <w:ind w:left="58" w:right="208" w:hanging="8"/>
            </w:pPr>
            <w:r>
              <w:rPr>
                <w:spacing w:val="9"/>
              </w:rPr>
              <w:t>可以查是否患有凝血功能障碍性疾病，包括</w:t>
            </w:r>
            <w:r>
              <w:rPr>
                <w:spacing w:val="8"/>
              </w:rPr>
              <w:t>白血病、再生</w:t>
            </w:r>
            <w:r>
              <w:t xml:space="preserve"> </w:t>
            </w:r>
            <w:r>
              <w:rPr>
                <w:spacing w:val="7"/>
              </w:rPr>
              <w:t>障碍性贫血、血小板减少性紫癜</w:t>
            </w:r>
          </w:p>
        </w:tc>
      </w:tr>
      <w:tr w14:paraId="0125D3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7" w:hRule="atLeast"/>
        </w:trPr>
        <w:tc>
          <w:tcPr>
            <w:tcW w:w="583" w:type="dxa"/>
            <w:vAlign w:val="top"/>
          </w:tcPr>
          <w:p w14:paraId="27CC007A">
            <w:pPr>
              <w:pStyle w:val="70"/>
              <w:spacing w:before="217" w:line="188" w:lineRule="auto"/>
              <w:ind w:left="216"/>
            </w:pPr>
            <w:r>
              <w:rPr>
                <w:spacing w:val="-4"/>
              </w:rPr>
              <w:t>13</w:t>
            </w:r>
          </w:p>
        </w:tc>
        <w:tc>
          <w:tcPr>
            <w:tcW w:w="3639" w:type="dxa"/>
            <w:vAlign w:val="top"/>
          </w:tcPr>
          <w:p w14:paraId="2E7BA885">
            <w:pPr>
              <w:pStyle w:val="70"/>
              <w:spacing w:before="184" w:line="229" w:lineRule="auto"/>
              <w:ind w:left="388"/>
            </w:pPr>
            <w:r>
              <w:rPr>
                <w:spacing w:val="6"/>
              </w:rPr>
              <w:t xml:space="preserve">□ </w:t>
            </w:r>
            <w:r>
              <w:t>ABO</w:t>
            </w:r>
            <w:r>
              <w:rPr>
                <w:spacing w:val="6"/>
              </w:rPr>
              <w:t>血型鉴定</w:t>
            </w:r>
          </w:p>
        </w:tc>
        <w:tc>
          <w:tcPr>
            <w:tcW w:w="960" w:type="dxa"/>
            <w:vAlign w:val="top"/>
          </w:tcPr>
          <w:p w14:paraId="238A6672">
            <w:pPr>
              <w:pStyle w:val="70"/>
              <w:spacing w:before="218" w:line="187" w:lineRule="auto"/>
              <w:ind w:left="239"/>
            </w:pPr>
            <w:r>
              <w:rPr>
                <w:spacing w:val="3"/>
              </w:rPr>
              <w:t>68.38</w:t>
            </w:r>
          </w:p>
        </w:tc>
        <w:tc>
          <w:tcPr>
            <w:tcW w:w="5245" w:type="dxa"/>
            <w:vAlign w:val="top"/>
          </w:tcPr>
          <w:p w14:paraId="0DA6CCA7">
            <w:pPr>
              <w:pStyle w:val="70"/>
              <w:spacing w:before="184" w:line="226" w:lineRule="auto"/>
              <w:ind w:left="42"/>
            </w:pPr>
            <w:r>
              <w:rPr>
                <w:spacing w:val="9"/>
              </w:rPr>
              <w:t>A、B、</w:t>
            </w:r>
            <w:r>
              <w:t>AB</w:t>
            </w:r>
            <w:r>
              <w:rPr>
                <w:spacing w:val="9"/>
              </w:rPr>
              <w:t>、O血型鉴定,</w:t>
            </w:r>
            <w:r>
              <w:t>Rh</w:t>
            </w:r>
            <w:r>
              <w:rPr>
                <w:spacing w:val="9"/>
              </w:rPr>
              <w:t>系统中D抗原的检测</w:t>
            </w:r>
          </w:p>
        </w:tc>
      </w:tr>
      <w:tr w14:paraId="5D356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583" w:type="dxa"/>
            <w:vAlign w:val="top"/>
          </w:tcPr>
          <w:p w14:paraId="4CD09B23">
            <w:pPr>
              <w:pStyle w:val="70"/>
              <w:spacing w:before="294" w:line="188" w:lineRule="auto"/>
              <w:ind w:left="216"/>
            </w:pPr>
            <w:r>
              <w:rPr>
                <w:spacing w:val="-4"/>
              </w:rPr>
              <w:t>14</w:t>
            </w:r>
          </w:p>
        </w:tc>
        <w:tc>
          <w:tcPr>
            <w:tcW w:w="3639" w:type="dxa"/>
            <w:vAlign w:val="top"/>
          </w:tcPr>
          <w:p w14:paraId="76B13155">
            <w:pPr>
              <w:pStyle w:val="70"/>
              <w:spacing w:before="261" w:line="232" w:lineRule="auto"/>
              <w:ind w:left="388"/>
            </w:pPr>
            <w:r>
              <w:rPr>
                <w:spacing w:val="-4"/>
              </w:rPr>
              <w:t>□</w:t>
            </w:r>
            <w:r>
              <w:rPr>
                <w:spacing w:val="16"/>
              </w:rPr>
              <w:t xml:space="preserve"> </w:t>
            </w:r>
            <w:r>
              <w:rPr>
                <w:spacing w:val="-4"/>
              </w:rPr>
              <w:t>血压</w:t>
            </w:r>
          </w:p>
        </w:tc>
        <w:tc>
          <w:tcPr>
            <w:tcW w:w="960" w:type="dxa"/>
            <w:vAlign w:val="top"/>
          </w:tcPr>
          <w:p w14:paraId="255C5CC7">
            <w:pPr>
              <w:pStyle w:val="70"/>
              <w:spacing w:before="295" w:line="187" w:lineRule="auto"/>
              <w:ind w:left="292"/>
            </w:pPr>
            <w:r>
              <w:rPr>
                <w:spacing w:val="2"/>
              </w:rPr>
              <w:t>5.00</w:t>
            </w:r>
          </w:p>
        </w:tc>
        <w:tc>
          <w:tcPr>
            <w:tcW w:w="5245" w:type="dxa"/>
            <w:vAlign w:val="top"/>
          </w:tcPr>
          <w:p w14:paraId="0F923813">
            <w:pPr>
              <w:pStyle w:val="70"/>
              <w:spacing w:before="139" w:line="233" w:lineRule="auto"/>
              <w:ind w:left="50" w:right="208" w:hanging="1"/>
            </w:pPr>
            <w:r>
              <w:rPr>
                <w:spacing w:val="9"/>
              </w:rPr>
              <w:t>通过监测血压来发现和治疗预防高血压和并发症</w:t>
            </w:r>
            <w:r>
              <w:rPr>
                <w:spacing w:val="8"/>
              </w:rPr>
              <w:t>，防止高</w:t>
            </w:r>
            <w:r>
              <w:t xml:space="preserve"> </w:t>
            </w:r>
            <w:r>
              <w:rPr>
                <w:spacing w:val="8"/>
              </w:rPr>
              <w:t>血压导致心脑血管疾病的意外发生</w:t>
            </w:r>
          </w:p>
        </w:tc>
      </w:tr>
      <w:tr w14:paraId="1A822CD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583" w:type="dxa"/>
            <w:vAlign w:val="top"/>
          </w:tcPr>
          <w:p w14:paraId="1A2B8C13">
            <w:pPr>
              <w:pStyle w:val="70"/>
              <w:spacing w:before="295" w:line="188" w:lineRule="auto"/>
              <w:ind w:left="216"/>
            </w:pPr>
            <w:r>
              <w:rPr>
                <w:spacing w:val="-4"/>
              </w:rPr>
              <w:t>15</w:t>
            </w:r>
          </w:p>
        </w:tc>
        <w:tc>
          <w:tcPr>
            <w:tcW w:w="3639" w:type="dxa"/>
            <w:vAlign w:val="top"/>
          </w:tcPr>
          <w:p w14:paraId="0AC2FC74">
            <w:pPr>
              <w:pStyle w:val="70"/>
              <w:spacing w:before="263" w:line="229" w:lineRule="auto"/>
              <w:ind w:left="388"/>
            </w:pPr>
            <w:r>
              <w:rPr>
                <w:spacing w:val="2"/>
              </w:rPr>
              <w:t>□</w:t>
            </w:r>
            <w:r>
              <w:rPr>
                <w:spacing w:val="19"/>
              </w:rPr>
              <w:t xml:space="preserve"> </w:t>
            </w:r>
            <w:r>
              <w:rPr>
                <w:spacing w:val="2"/>
              </w:rPr>
              <w:t>常规心电图</w:t>
            </w:r>
          </w:p>
        </w:tc>
        <w:tc>
          <w:tcPr>
            <w:tcW w:w="960" w:type="dxa"/>
            <w:vAlign w:val="top"/>
          </w:tcPr>
          <w:p w14:paraId="332E5914">
            <w:pPr>
              <w:pStyle w:val="70"/>
              <w:spacing w:before="295" w:line="188" w:lineRule="auto"/>
              <w:ind w:left="240"/>
            </w:pPr>
            <w:r>
              <w:rPr>
                <w:spacing w:val="3"/>
              </w:rPr>
              <w:t>21.00</w:t>
            </w:r>
          </w:p>
        </w:tc>
        <w:tc>
          <w:tcPr>
            <w:tcW w:w="5245" w:type="dxa"/>
            <w:vAlign w:val="top"/>
          </w:tcPr>
          <w:p w14:paraId="16D2901F">
            <w:pPr>
              <w:pStyle w:val="70"/>
              <w:spacing w:before="139" w:line="232" w:lineRule="auto"/>
              <w:ind w:left="55" w:right="107" w:hanging="6"/>
            </w:pPr>
            <w:r>
              <w:rPr>
                <w:spacing w:val="8"/>
              </w:rPr>
              <w:t>诊断心律失常,各种心脏病引起的心房或心室肥大,心肌炎,</w:t>
            </w:r>
            <w:r>
              <w:rPr>
                <w:spacing w:val="11"/>
              </w:rPr>
              <w:t xml:space="preserve"> </w:t>
            </w:r>
            <w:r>
              <w:rPr>
                <w:spacing w:val="7"/>
              </w:rPr>
              <w:t>心肌缺血,心肌梗塞等病变</w:t>
            </w:r>
          </w:p>
        </w:tc>
      </w:tr>
      <w:tr w14:paraId="12C0F4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0" w:hRule="atLeast"/>
        </w:trPr>
        <w:tc>
          <w:tcPr>
            <w:tcW w:w="583" w:type="dxa"/>
            <w:vAlign w:val="top"/>
          </w:tcPr>
          <w:p w14:paraId="6FB2FABC">
            <w:pPr>
              <w:pStyle w:val="70"/>
              <w:spacing w:before="296" w:line="188" w:lineRule="auto"/>
              <w:ind w:left="216"/>
            </w:pPr>
            <w:r>
              <w:rPr>
                <w:spacing w:val="-4"/>
              </w:rPr>
              <w:t>16</w:t>
            </w:r>
          </w:p>
        </w:tc>
        <w:tc>
          <w:tcPr>
            <w:tcW w:w="3639" w:type="dxa"/>
            <w:vAlign w:val="top"/>
          </w:tcPr>
          <w:p w14:paraId="73A10ABB">
            <w:pPr>
              <w:pStyle w:val="70"/>
              <w:spacing w:before="264" w:line="228" w:lineRule="auto"/>
              <w:ind w:left="388"/>
            </w:pPr>
            <w:r>
              <w:rPr>
                <w:spacing w:val="4"/>
              </w:rPr>
              <w:t>□ 尿常规检查</w:t>
            </w:r>
          </w:p>
        </w:tc>
        <w:tc>
          <w:tcPr>
            <w:tcW w:w="960" w:type="dxa"/>
            <w:vAlign w:val="top"/>
          </w:tcPr>
          <w:p w14:paraId="2513771F">
            <w:pPr>
              <w:pStyle w:val="70"/>
              <w:spacing w:before="297" w:line="187" w:lineRule="auto"/>
              <w:ind w:left="242"/>
            </w:pPr>
            <w:r>
              <w:rPr>
                <w:spacing w:val="3"/>
              </w:rPr>
              <w:t>30.00</w:t>
            </w:r>
          </w:p>
        </w:tc>
        <w:tc>
          <w:tcPr>
            <w:tcW w:w="5245" w:type="dxa"/>
            <w:vAlign w:val="top"/>
          </w:tcPr>
          <w:p w14:paraId="1620ABB3">
            <w:pPr>
              <w:pStyle w:val="70"/>
              <w:spacing w:before="141" w:line="233" w:lineRule="auto"/>
              <w:ind w:left="49" w:right="141" w:firstLine="17"/>
            </w:pPr>
            <w:r>
              <w:rPr>
                <w:spacing w:val="7"/>
              </w:rPr>
              <w:t>了解泌尿系统是否有感染,是否有结石、肾</w:t>
            </w:r>
            <w:r>
              <w:rPr>
                <w:spacing w:val="6"/>
              </w:rPr>
              <w:t>功能是否受损、</w:t>
            </w:r>
            <w:r>
              <w:t xml:space="preserve"> </w:t>
            </w:r>
            <w:r>
              <w:rPr>
                <w:spacing w:val="8"/>
              </w:rPr>
              <w:t>有无肾炎及糖尿病</w:t>
            </w:r>
          </w:p>
        </w:tc>
      </w:tr>
      <w:tr w14:paraId="0F5ED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7" w:hRule="atLeast"/>
        </w:trPr>
        <w:tc>
          <w:tcPr>
            <w:tcW w:w="583" w:type="dxa"/>
            <w:vAlign w:val="top"/>
          </w:tcPr>
          <w:p w14:paraId="173ED551">
            <w:pPr>
              <w:pStyle w:val="70"/>
              <w:spacing w:before="220" w:line="188" w:lineRule="auto"/>
              <w:ind w:left="216"/>
            </w:pPr>
            <w:r>
              <w:rPr>
                <w:spacing w:val="-4"/>
              </w:rPr>
              <w:t>17</w:t>
            </w:r>
          </w:p>
        </w:tc>
        <w:tc>
          <w:tcPr>
            <w:tcW w:w="3639" w:type="dxa"/>
            <w:vAlign w:val="top"/>
          </w:tcPr>
          <w:p w14:paraId="13C26DDD">
            <w:pPr>
              <w:pStyle w:val="70"/>
              <w:spacing w:before="188" w:line="228" w:lineRule="auto"/>
              <w:ind w:left="388"/>
            </w:pPr>
            <w:r>
              <w:rPr>
                <w:spacing w:val="5"/>
              </w:rPr>
              <w:t>□ 数码阴道镜（已婚女性）</w:t>
            </w:r>
          </w:p>
        </w:tc>
        <w:tc>
          <w:tcPr>
            <w:tcW w:w="960" w:type="dxa"/>
            <w:vAlign w:val="top"/>
          </w:tcPr>
          <w:p w14:paraId="518FBD94">
            <w:pPr>
              <w:pStyle w:val="70"/>
              <w:spacing w:before="221" w:line="187" w:lineRule="auto"/>
              <w:ind w:left="242"/>
            </w:pPr>
            <w:r>
              <w:rPr>
                <w:spacing w:val="3"/>
              </w:rPr>
              <w:t>52.00</w:t>
            </w:r>
          </w:p>
        </w:tc>
        <w:tc>
          <w:tcPr>
            <w:tcW w:w="5245" w:type="dxa"/>
            <w:vAlign w:val="top"/>
          </w:tcPr>
          <w:p w14:paraId="51130FC5">
            <w:pPr>
              <w:pStyle w:val="70"/>
              <w:spacing w:before="188" w:line="228" w:lineRule="auto"/>
              <w:ind w:left="49"/>
            </w:pPr>
            <w:r>
              <w:rPr>
                <w:spacing w:val="8"/>
              </w:rPr>
              <w:t>诊断宫颈炎、宫颈囊肿、宫颈息肉、宫颈糜烂等病变</w:t>
            </w:r>
          </w:p>
        </w:tc>
      </w:tr>
      <w:tr w14:paraId="5B9B9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8" w:hRule="atLeast"/>
        </w:trPr>
        <w:tc>
          <w:tcPr>
            <w:tcW w:w="583" w:type="dxa"/>
            <w:vAlign w:val="top"/>
          </w:tcPr>
          <w:p w14:paraId="2CACFED4">
            <w:pPr>
              <w:pStyle w:val="70"/>
              <w:spacing w:before="221" w:line="188" w:lineRule="auto"/>
              <w:ind w:left="216"/>
            </w:pPr>
            <w:r>
              <w:rPr>
                <w:spacing w:val="-4"/>
              </w:rPr>
              <w:t>18</w:t>
            </w:r>
          </w:p>
        </w:tc>
        <w:tc>
          <w:tcPr>
            <w:tcW w:w="3639" w:type="dxa"/>
            <w:vAlign w:val="top"/>
          </w:tcPr>
          <w:p w14:paraId="06FE5518">
            <w:pPr>
              <w:pStyle w:val="70"/>
              <w:spacing w:before="189" w:line="228" w:lineRule="auto"/>
              <w:ind w:left="388"/>
            </w:pPr>
            <w:r>
              <w:rPr>
                <w:spacing w:val="3"/>
              </w:rPr>
              <w:t>□</w:t>
            </w:r>
            <w:r>
              <w:rPr>
                <w:spacing w:val="33"/>
              </w:rPr>
              <w:t xml:space="preserve"> </w:t>
            </w:r>
            <w:r>
              <w:rPr>
                <w:spacing w:val="3"/>
              </w:rPr>
              <w:t>阴道分泌物（已婚女性）</w:t>
            </w:r>
          </w:p>
        </w:tc>
        <w:tc>
          <w:tcPr>
            <w:tcW w:w="960" w:type="dxa"/>
            <w:vAlign w:val="top"/>
          </w:tcPr>
          <w:p w14:paraId="21EB9C9E">
            <w:pPr>
              <w:pStyle w:val="70"/>
              <w:spacing w:before="222" w:line="187" w:lineRule="auto"/>
              <w:ind w:left="239"/>
            </w:pPr>
            <w:r>
              <w:rPr>
                <w:spacing w:val="3"/>
              </w:rPr>
              <w:t>80.00</w:t>
            </w:r>
          </w:p>
        </w:tc>
        <w:tc>
          <w:tcPr>
            <w:tcW w:w="5245" w:type="dxa"/>
            <w:vAlign w:val="top"/>
          </w:tcPr>
          <w:p w14:paraId="07FBB96B">
            <w:pPr>
              <w:pStyle w:val="70"/>
              <w:spacing w:before="189" w:line="228" w:lineRule="auto"/>
              <w:ind w:left="50"/>
            </w:pPr>
            <w:r>
              <w:rPr>
                <w:spacing w:val="8"/>
              </w:rPr>
              <w:t>可诊断出细菌性阴道炎；念珠菌感染；阴道滴虫感染等</w:t>
            </w:r>
          </w:p>
        </w:tc>
      </w:tr>
      <w:tr w14:paraId="0B7736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63" w:hRule="atLeast"/>
        </w:trPr>
        <w:tc>
          <w:tcPr>
            <w:tcW w:w="583" w:type="dxa"/>
            <w:vAlign w:val="top"/>
          </w:tcPr>
          <w:p w14:paraId="45078863">
            <w:pPr>
              <w:spacing w:line="375" w:lineRule="auto"/>
              <w:rPr>
                <w:rFonts w:ascii="Arial"/>
                <w:sz w:val="21"/>
              </w:rPr>
            </w:pPr>
          </w:p>
          <w:p w14:paraId="22BE9A93">
            <w:pPr>
              <w:pStyle w:val="70"/>
              <w:spacing w:before="62" w:line="188" w:lineRule="auto"/>
              <w:ind w:left="216"/>
            </w:pPr>
            <w:r>
              <w:rPr>
                <w:spacing w:val="-4"/>
              </w:rPr>
              <w:t>19</w:t>
            </w:r>
          </w:p>
        </w:tc>
        <w:tc>
          <w:tcPr>
            <w:tcW w:w="3639" w:type="dxa"/>
            <w:vAlign w:val="top"/>
          </w:tcPr>
          <w:p w14:paraId="5CF589E6">
            <w:pPr>
              <w:spacing w:line="343" w:lineRule="auto"/>
              <w:rPr>
                <w:rFonts w:ascii="Arial"/>
                <w:sz w:val="21"/>
              </w:rPr>
            </w:pPr>
          </w:p>
          <w:p w14:paraId="4B1AA214">
            <w:pPr>
              <w:pStyle w:val="70"/>
              <w:spacing w:before="62" w:line="228" w:lineRule="auto"/>
              <w:ind w:left="388"/>
            </w:pPr>
            <w:r>
              <w:rPr>
                <w:spacing w:val="5"/>
              </w:rPr>
              <w:t>□ 盆底肌筛查（已婚女性）</w:t>
            </w:r>
          </w:p>
        </w:tc>
        <w:tc>
          <w:tcPr>
            <w:tcW w:w="960" w:type="dxa"/>
            <w:vAlign w:val="top"/>
          </w:tcPr>
          <w:p w14:paraId="76F03867">
            <w:pPr>
              <w:spacing w:line="375" w:lineRule="auto"/>
              <w:rPr>
                <w:rFonts w:ascii="Arial"/>
                <w:sz w:val="21"/>
              </w:rPr>
            </w:pPr>
          </w:p>
          <w:p w14:paraId="69BDCF5A">
            <w:pPr>
              <w:pStyle w:val="70"/>
              <w:spacing w:before="62" w:line="188" w:lineRule="auto"/>
              <w:ind w:left="202"/>
            </w:pPr>
            <w:r>
              <w:rPr>
                <w:spacing w:val="1"/>
              </w:rPr>
              <w:t>176.00</w:t>
            </w:r>
          </w:p>
        </w:tc>
        <w:tc>
          <w:tcPr>
            <w:tcW w:w="5245" w:type="dxa"/>
            <w:vAlign w:val="top"/>
          </w:tcPr>
          <w:p w14:paraId="5578EE87">
            <w:pPr>
              <w:pStyle w:val="70"/>
              <w:spacing w:before="39" w:line="222" w:lineRule="auto"/>
              <w:ind w:left="49" w:right="208"/>
              <w:jc w:val="both"/>
            </w:pPr>
            <w:r>
              <w:rPr>
                <w:spacing w:val="9"/>
              </w:rPr>
              <w:t>盆底肌筛查主要用于评估盆底肌肉功能异常的情</w:t>
            </w:r>
            <w:r>
              <w:rPr>
                <w:spacing w:val="8"/>
              </w:rPr>
              <w:t>况，如盆</w:t>
            </w:r>
            <w:r>
              <w:t xml:space="preserve"> </w:t>
            </w:r>
            <w:r>
              <w:rPr>
                <w:spacing w:val="9"/>
              </w:rPr>
              <w:t>腔器官脱垂、尿失禁、便秘等。根据筛查结果，</w:t>
            </w:r>
            <w:r>
              <w:rPr>
                <w:spacing w:val="8"/>
              </w:rPr>
              <w:t>医生可以</w:t>
            </w:r>
            <w:r>
              <w:t xml:space="preserve"> </w:t>
            </w:r>
            <w:r>
              <w:rPr>
                <w:spacing w:val="9"/>
              </w:rPr>
              <w:t>制定相应的治疗方案，如盆底肌肉锻炼、物理治</w:t>
            </w:r>
            <w:r>
              <w:rPr>
                <w:spacing w:val="8"/>
              </w:rPr>
              <w:t>疗、手术</w:t>
            </w:r>
            <w:r>
              <w:t xml:space="preserve"> </w:t>
            </w:r>
            <w:r>
              <w:rPr>
                <w:spacing w:val="-6"/>
              </w:rPr>
              <w:t>等。</w:t>
            </w:r>
          </w:p>
        </w:tc>
      </w:tr>
      <w:tr w14:paraId="2D827D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1" w:hRule="atLeast"/>
        </w:trPr>
        <w:tc>
          <w:tcPr>
            <w:tcW w:w="583" w:type="dxa"/>
            <w:vAlign w:val="top"/>
          </w:tcPr>
          <w:p w14:paraId="65B8C595">
            <w:pPr>
              <w:pStyle w:val="70"/>
              <w:spacing w:before="201" w:line="187" w:lineRule="auto"/>
              <w:ind w:left="204"/>
            </w:pPr>
            <w:r>
              <w:t>20</w:t>
            </w:r>
          </w:p>
        </w:tc>
        <w:tc>
          <w:tcPr>
            <w:tcW w:w="3639" w:type="dxa"/>
            <w:vAlign w:val="top"/>
          </w:tcPr>
          <w:p w14:paraId="40C0DAB5">
            <w:pPr>
              <w:pStyle w:val="70"/>
              <w:spacing w:before="168" w:line="228" w:lineRule="auto"/>
              <w:ind w:left="388"/>
            </w:pPr>
            <w:r>
              <w:rPr>
                <w:spacing w:val="4"/>
              </w:rPr>
              <w:t>□ 胸部正位片</w:t>
            </w:r>
          </w:p>
        </w:tc>
        <w:tc>
          <w:tcPr>
            <w:tcW w:w="960" w:type="dxa"/>
            <w:vAlign w:val="top"/>
          </w:tcPr>
          <w:p w14:paraId="07502FBB">
            <w:pPr>
              <w:pStyle w:val="70"/>
              <w:spacing w:before="201" w:line="187" w:lineRule="auto"/>
              <w:ind w:left="239"/>
            </w:pPr>
            <w:r>
              <w:rPr>
                <w:spacing w:val="3"/>
              </w:rPr>
              <w:t>60.00</w:t>
            </w:r>
          </w:p>
        </w:tc>
        <w:tc>
          <w:tcPr>
            <w:tcW w:w="5245" w:type="dxa"/>
            <w:vAlign w:val="top"/>
          </w:tcPr>
          <w:p w14:paraId="6BDD2047">
            <w:pPr>
              <w:pStyle w:val="70"/>
              <w:spacing w:before="168" w:line="228" w:lineRule="auto"/>
              <w:ind w:left="49"/>
            </w:pPr>
            <w:r>
              <w:rPr>
                <w:spacing w:val="8"/>
              </w:rPr>
              <w:t>诊断支气管炎、肺炎、肺结核、胸膜炎</w:t>
            </w:r>
          </w:p>
        </w:tc>
      </w:tr>
      <w:tr w14:paraId="33190D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81" w:hRule="atLeast"/>
        </w:trPr>
        <w:tc>
          <w:tcPr>
            <w:tcW w:w="583" w:type="dxa"/>
            <w:vAlign w:val="top"/>
          </w:tcPr>
          <w:p w14:paraId="4C487D44">
            <w:pPr>
              <w:pStyle w:val="70"/>
              <w:spacing w:before="201" w:line="188" w:lineRule="auto"/>
              <w:ind w:left="204"/>
            </w:pPr>
            <w:r>
              <w:t>21</w:t>
            </w:r>
          </w:p>
        </w:tc>
        <w:tc>
          <w:tcPr>
            <w:tcW w:w="3639" w:type="dxa"/>
            <w:vAlign w:val="top"/>
          </w:tcPr>
          <w:p w14:paraId="1683A635">
            <w:pPr>
              <w:pStyle w:val="70"/>
              <w:spacing w:before="169" w:line="228" w:lineRule="auto"/>
              <w:ind w:left="388"/>
            </w:pPr>
            <w:r>
              <w:rPr>
                <w:spacing w:val="3"/>
              </w:rPr>
              <w:t>□</w:t>
            </w:r>
            <w:r>
              <w:rPr>
                <w:spacing w:val="14"/>
              </w:rPr>
              <w:t xml:space="preserve"> </w:t>
            </w:r>
            <w:r>
              <w:rPr>
                <w:spacing w:val="3"/>
              </w:rPr>
              <w:t>骨密度测定</w:t>
            </w:r>
          </w:p>
        </w:tc>
        <w:tc>
          <w:tcPr>
            <w:tcW w:w="960" w:type="dxa"/>
            <w:vAlign w:val="top"/>
          </w:tcPr>
          <w:p w14:paraId="1A71737F">
            <w:pPr>
              <w:pStyle w:val="70"/>
              <w:spacing w:before="202" w:line="187" w:lineRule="auto"/>
              <w:ind w:left="239"/>
            </w:pPr>
            <w:r>
              <w:rPr>
                <w:spacing w:val="3"/>
              </w:rPr>
              <w:t>60.00</w:t>
            </w:r>
          </w:p>
        </w:tc>
        <w:tc>
          <w:tcPr>
            <w:tcW w:w="5245" w:type="dxa"/>
            <w:vAlign w:val="top"/>
          </w:tcPr>
          <w:p w14:paraId="1AD2A1D9">
            <w:pPr>
              <w:pStyle w:val="70"/>
              <w:spacing w:before="168" w:line="227" w:lineRule="auto"/>
              <w:ind w:left="49"/>
            </w:pPr>
            <w:r>
              <w:rPr>
                <w:spacing w:val="8"/>
              </w:rPr>
              <w:t>检测骨质疏松，评价骨折风险</w:t>
            </w:r>
          </w:p>
        </w:tc>
      </w:tr>
      <w:tr w14:paraId="48C5EF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1" w:hRule="atLeast"/>
        </w:trPr>
        <w:tc>
          <w:tcPr>
            <w:tcW w:w="583" w:type="dxa"/>
            <w:vAlign w:val="top"/>
          </w:tcPr>
          <w:p w14:paraId="677ACDED">
            <w:pPr>
              <w:pStyle w:val="70"/>
              <w:spacing w:before="292" w:line="187" w:lineRule="auto"/>
              <w:ind w:left="204"/>
            </w:pPr>
            <w:r>
              <w:t>22</w:t>
            </w:r>
          </w:p>
        </w:tc>
        <w:tc>
          <w:tcPr>
            <w:tcW w:w="3639" w:type="dxa"/>
            <w:vAlign w:val="top"/>
          </w:tcPr>
          <w:p w14:paraId="5AD18F78">
            <w:pPr>
              <w:pStyle w:val="70"/>
              <w:spacing w:before="258" w:line="229" w:lineRule="auto"/>
              <w:ind w:left="388"/>
            </w:pPr>
            <w:r>
              <w:rPr>
                <w:spacing w:val="4"/>
              </w:rPr>
              <w:t>□ 碳14呼气试验</w:t>
            </w:r>
          </w:p>
        </w:tc>
        <w:tc>
          <w:tcPr>
            <w:tcW w:w="960" w:type="dxa"/>
            <w:vAlign w:val="top"/>
          </w:tcPr>
          <w:p w14:paraId="395EC00F">
            <w:pPr>
              <w:pStyle w:val="70"/>
              <w:spacing w:before="291" w:line="188" w:lineRule="auto"/>
              <w:ind w:left="202"/>
            </w:pPr>
            <w:r>
              <w:rPr>
                <w:spacing w:val="1"/>
              </w:rPr>
              <w:t>100.00</w:t>
            </w:r>
          </w:p>
        </w:tc>
        <w:tc>
          <w:tcPr>
            <w:tcW w:w="5245" w:type="dxa"/>
            <w:vAlign w:val="top"/>
          </w:tcPr>
          <w:p w14:paraId="063475C5">
            <w:pPr>
              <w:pStyle w:val="70"/>
              <w:spacing w:before="136" w:line="233" w:lineRule="auto"/>
              <w:ind w:left="52" w:right="208" w:hanging="2"/>
            </w:pPr>
            <w:r>
              <w:rPr>
                <w:spacing w:val="9"/>
              </w:rPr>
              <w:t>可诊断是否有幽门螺杆菌感染，阳性患者易</w:t>
            </w:r>
            <w:r>
              <w:rPr>
                <w:spacing w:val="8"/>
              </w:rPr>
              <w:t>患胃溃疡、胃</w:t>
            </w:r>
            <w:r>
              <w:t xml:space="preserve"> </w:t>
            </w:r>
            <w:r>
              <w:rPr>
                <w:spacing w:val="8"/>
              </w:rPr>
              <w:t>炎、十二指肠溃疡等疾病，长期感染还有癌变的潜在可能</w:t>
            </w:r>
          </w:p>
        </w:tc>
      </w:tr>
      <w:tr w14:paraId="5013A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99" w:hRule="atLeast"/>
        </w:trPr>
        <w:tc>
          <w:tcPr>
            <w:tcW w:w="583" w:type="dxa"/>
            <w:vAlign w:val="top"/>
          </w:tcPr>
          <w:p w14:paraId="55367253">
            <w:pPr>
              <w:pStyle w:val="70"/>
              <w:spacing w:before="302" w:line="187" w:lineRule="auto"/>
              <w:ind w:left="204"/>
            </w:pPr>
            <w:r>
              <w:t>23</w:t>
            </w:r>
          </w:p>
        </w:tc>
        <w:tc>
          <w:tcPr>
            <w:tcW w:w="3639" w:type="dxa"/>
            <w:vAlign w:val="top"/>
          </w:tcPr>
          <w:p w14:paraId="40869403">
            <w:pPr>
              <w:pStyle w:val="70"/>
              <w:spacing w:before="269" w:line="228" w:lineRule="auto"/>
              <w:ind w:left="388"/>
            </w:pPr>
            <w:r>
              <w:rPr>
                <w:spacing w:val="5"/>
              </w:rPr>
              <w:t>□ 腹部彩超（肝.胆.胰.脾.双肾）</w:t>
            </w:r>
          </w:p>
        </w:tc>
        <w:tc>
          <w:tcPr>
            <w:tcW w:w="960" w:type="dxa"/>
            <w:vAlign w:val="top"/>
          </w:tcPr>
          <w:p w14:paraId="402250E8">
            <w:pPr>
              <w:pStyle w:val="70"/>
              <w:spacing w:before="302" w:line="187" w:lineRule="auto"/>
              <w:ind w:left="239"/>
            </w:pPr>
            <w:r>
              <w:rPr>
                <w:spacing w:val="3"/>
              </w:rPr>
              <w:t>95.00</w:t>
            </w:r>
          </w:p>
        </w:tc>
        <w:tc>
          <w:tcPr>
            <w:tcW w:w="5245" w:type="dxa"/>
            <w:vAlign w:val="top"/>
          </w:tcPr>
          <w:p w14:paraId="566C4C48">
            <w:pPr>
              <w:pStyle w:val="70"/>
              <w:spacing w:before="147" w:line="233" w:lineRule="auto"/>
              <w:ind w:left="49" w:right="208"/>
            </w:pPr>
            <w:r>
              <w:rPr>
                <w:spacing w:val="9"/>
              </w:rPr>
              <w:t>诊断脂肪肝、肝硬化、肝囊肿、胆囊炎、胆结</w:t>
            </w:r>
            <w:r>
              <w:rPr>
                <w:spacing w:val="8"/>
              </w:rPr>
              <w:t>石、胆息肉</w:t>
            </w:r>
            <w:r>
              <w:t xml:space="preserve"> </w:t>
            </w:r>
            <w:r>
              <w:rPr>
                <w:spacing w:val="8"/>
              </w:rPr>
              <w:t>等。胰腺炎、肾积水、肾囊肿、肾结石等</w:t>
            </w:r>
          </w:p>
        </w:tc>
      </w:tr>
    </w:tbl>
    <w:p w14:paraId="11E3DFA1">
      <w:pPr>
        <w:rPr>
          <w:rFonts w:ascii="Arial"/>
          <w:sz w:val="21"/>
        </w:rPr>
      </w:pPr>
    </w:p>
    <w:p w14:paraId="269D929D">
      <w:pPr>
        <w:rPr>
          <w:rFonts w:ascii="Arial" w:hAnsi="Arial" w:eastAsia="Arial" w:cs="Arial"/>
          <w:sz w:val="21"/>
          <w:szCs w:val="21"/>
        </w:rPr>
        <w:sectPr>
          <w:pgSz w:w="11907" w:h="16839"/>
          <w:pgMar w:top="876" w:right="700" w:bottom="0" w:left="763" w:header="0" w:footer="0" w:gutter="0"/>
          <w:cols w:space="720" w:num="1"/>
        </w:sectPr>
      </w:pPr>
    </w:p>
    <w:p w14:paraId="68C64A66">
      <w:pPr>
        <w:spacing w:before="71" w:line="220" w:lineRule="auto"/>
        <w:ind w:left="1977"/>
        <w:outlineLvl w:val="0"/>
        <w:rPr>
          <w:rFonts w:ascii="宋体" w:hAnsi="宋体" w:eastAsia="宋体" w:cs="宋体"/>
          <w:sz w:val="36"/>
          <w:szCs w:val="36"/>
        </w:rPr>
      </w:pPr>
      <w:r>
        <w:rPr>
          <w:rFonts w:ascii="宋体" w:hAnsi="宋体" w:eastAsia="宋体" w:cs="宋体"/>
          <w:b/>
          <w:bCs/>
          <w:spacing w:val="-3"/>
          <w:sz w:val="36"/>
          <w:szCs w:val="36"/>
        </w:rPr>
        <w:t>扶余市公安局职工2024年度自选体检套餐</w:t>
      </w:r>
    </w:p>
    <w:p w14:paraId="58F0046E">
      <w:pPr>
        <w:spacing w:line="159" w:lineRule="exact"/>
      </w:pPr>
    </w:p>
    <w:tbl>
      <w:tblPr>
        <w:tblStyle w:val="71"/>
        <w:tblW w:w="9398" w:type="dxa"/>
        <w:tblInd w:w="7"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25"/>
        <w:gridCol w:w="3279"/>
        <w:gridCol w:w="865"/>
        <w:gridCol w:w="4729"/>
      </w:tblGrid>
      <w:tr w14:paraId="0D83CB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7" w:hRule="atLeast"/>
        </w:trPr>
        <w:tc>
          <w:tcPr>
            <w:tcW w:w="525" w:type="dxa"/>
            <w:vAlign w:val="top"/>
          </w:tcPr>
          <w:p w14:paraId="0A984CB1">
            <w:pPr>
              <w:pStyle w:val="70"/>
              <w:spacing w:before="231" w:line="230" w:lineRule="auto"/>
              <w:ind w:left="47"/>
            </w:pPr>
            <w:r>
              <w:rPr>
                <w:b/>
                <w:bCs/>
                <w:spacing w:val="4"/>
              </w:rPr>
              <w:t>序号</w:t>
            </w:r>
          </w:p>
        </w:tc>
        <w:tc>
          <w:tcPr>
            <w:tcW w:w="3279" w:type="dxa"/>
            <w:vAlign w:val="top"/>
          </w:tcPr>
          <w:p w14:paraId="23BD6C0C">
            <w:pPr>
              <w:pStyle w:val="70"/>
              <w:spacing w:before="231" w:line="231" w:lineRule="auto"/>
              <w:ind w:left="370"/>
            </w:pPr>
            <w:r>
              <w:rPr>
                <w:b/>
                <w:bCs/>
                <w:spacing w:val="3"/>
              </w:rPr>
              <w:t>名称</w:t>
            </w:r>
          </w:p>
        </w:tc>
        <w:tc>
          <w:tcPr>
            <w:tcW w:w="865" w:type="dxa"/>
            <w:vAlign w:val="top"/>
          </w:tcPr>
          <w:p w14:paraId="776C9A94">
            <w:pPr>
              <w:pStyle w:val="70"/>
              <w:spacing w:before="231" w:line="227" w:lineRule="auto"/>
              <w:ind w:left="298"/>
            </w:pPr>
            <w:r>
              <w:rPr>
                <w:b/>
                <w:bCs/>
                <w:spacing w:val="3"/>
              </w:rPr>
              <w:t>单价</w:t>
            </w:r>
          </w:p>
        </w:tc>
        <w:tc>
          <w:tcPr>
            <w:tcW w:w="4729" w:type="dxa"/>
            <w:vAlign w:val="top"/>
          </w:tcPr>
          <w:p w14:paraId="2B94803A">
            <w:pPr>
              <w:pStyle w:val="70"/>
              <w:spacing w:before="232" w:line="228" w:lineRule="auto"/>
              <w:ind w:left="2036"/>
            </w:pPr>
            <w:r>
              <w:rPr>
                <w:b/>
                <w:bCs/>
                <w:spacing w:val="6"/>
              </w:rPr>
              <w:t>临床检查意义</w:t>
            </w:r>
          </w:p>
        </w:tc>
      </w:tr>
      <w:tr w14:paraId="3BFA77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5981B282">
            <w:pPr>
              <w:pStyle w:val="70"/>
              <w:spacing w:before="288" w:line="187" w:lineRule="auto"/>
              <w:ind w:left="204"/>
            </w:pPr>
            <w:r>
              <w:t>24</w:t>
            </w:r>
          </w:p>
        </w:tc>
        <w:tc>
          <w:tcPr>
            <w:tcW w:w="3279" w:type="dxa"/>
            <w:vAlign w:val="top"/>
          </w:tcPr>
          <w:p w14:paraId="23DAE0BF">
            <w:pPr>
              <w:pStyle w:val="70"/>
              <w:spacing w:before="255" w:line="228" w:lineRule="auto"/>
              <w:ind w:left="388"/>
            </w:pPr>
            <w:r>
              <w:rPr>
                <w:spacing w:val="-2"/>
              </w:rPr>
              <w:t>□</w:t>
            </w:r>
            <w:r>
              <w:rPr>
                <w:spacing w:val="43"/>
              </w:rPr>
              <w:t xml:space="preserve"> </w:t>
            </w:r>
            <w:r>
              <w:rPr>
                <w:spacing w:val="-2"/>
              </w:rPr>
              <w:t>甲状腺彩超</w:t>
            </w:r>
          </w:p>
        </w:tc>
        <w:tc>
          <w:tcPr>
            <w:tcW w:w="865" w:type="dxa"/>
            <w:vAlign w:val="top"/>
          </w:tcPr>
          <w:p w14:paraId="6E22DCC4">
            <w:pPr>
              <w:pStyle w:val="70"/>
              <w:spacing w:before="288" w:line="187" w:lineRule="auto"/>
              <w:ind w:left="240"/>
            </w:pPr>
            <w:r>
              <w:rPr>
                <w:spacing w:val="3"/>
              </w:rPr>
              <w:t>95.00</w:t>
            </w:r>
          </w:p>
        </w:tc>
        <w:tc>
          <w:tcPr>
            <w:tcW w:w="4729" w:type="dxa"/>
            <w:vAlign w:val="top"/>
          </w:tcPr>
          <w:p w14:paraId="0CC61FD1">
            <w:pPr>
              <w:pStyle w:val="70"/>
              <w:spacing w:before="255" w:line="228" w:lineRule="auto"/>
              <w:ind w:left="51"/>
            </w:pPr>
            <w:r>
              <w:rPr>
                <w:spacing w:val="9"/>
              </w:rPr>
              <w:t>可诊断甲状腺结节、甲状腺炎、甲状腺肿瘤</w:t>
            </w:r>
            <w:r>
              <w:rPr>
                <w:spacing w:val="8"/>
              </w:rPr>
              <w:t>、甲状腺癌等</w:t>
            </w:r>
          </w:p>
        </w:tc>
      </w:tr>
      <w:tr w14:paraId="2D573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143A62A8">
            <w:pPr>
              <w:pStyle w:val="70"/>
              <w:spacing w:before="289" w:line="187" w:lineRule="auto"/>
              <w:ind w:left="204"/>
            </w:pPr>
            <w:r>
              <w:t>25</w:t>
            </w:r>
          </w:p>
        </w:tc>
        <w:tc>
          <w:tcPr>
            <w:tcW w:w="3279" w:type="dxa"/>
            <w:vAlign w:val="top"/>
          </w:tcPr>
          <w:p w14:paraId="3222056F">
            <w:pPr>
              <w:pStyle w:val="70"/>
              <w:spacing w:before="256" w:line="228" w:lineRule="auto"/>
              <w:ind w:left="388"/>
            </w:pPr>
            <w:r>
              <w:rPr>
                <w:spacing w:val="5"/>
              </w:rPr>
              <w:t>□ 颈动脉血管彩超</w:t>
            </w:r>
          </w:p>
        </w:tc>
        <w:tc>
          <w:tcPr>
            <w:tcW w:w="865" w:type="dxa"/>
            <w:vAlign w:val="top"/>
          </w:tcPr>
          <w:p w14:paraId="725EFFE7">
            <w:pPr>
              <w:pStyle w:val="70"/>
              <w:spacing w:before="288" w:line="188" w:lineRule="auto"/>
              <w:ind w:left="203"/>
            </w:pPr>
            <w:r>
              <w:rPr>
                <w:spacing w:val="1"/>
              </w:rPr>
              <w:t>188.00</w:t>
            </w:r>
          </w:p>
        </w:tc>
        <w:tc>
          <w:tcPr>
            <w:tcW w:w="4729" w:type="dxa"/>
            <w:vAlign w:val="top"/>
          </w:tcPr>
          <w:p w14:paraId="6C893044">
            <w:pPr>
              <w:pStyle w:val="70"/>
              <w:spacing w:before="133" w:line="232" w:lineRule="auto"/>
              <w:ind w:left="49" w:right="208" w:firstLine="2"/>
            </w:pPr>
            <w:r>
              <w:rPr>
                <w:spacing w:val="9"/>
              </w:rPr>
              <w:t>可诊断血管内有无斑块、斑块的部位、大小</w:t>
            </w:r>
            <w:r>
              <w:rPr>
                <w:spacing w:val="8"/>
              </w:rPr>
              <w:t>；是否有血管</w:t>
            </w:r>
            <w:r>
              <w:t xml:space="preserve"> </w:t>
            </w:r>
            <w:r>
              <w:rPr>
                <w:spacing w:val="8"/>
              </w:rPr>
              <w:t>狭窄、闭塞等情况,可检测早期颈动脉粥样硬化</w:t>
            </w:r>
          </w:p>
        </w:tc>
      </w:tr>
      <w:tr w14:paraId="54FAC6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12C4D90B">
            <w:pPr>
              <w:pStyle w:val="70"/>
              <w:spacing w:before="290" w:line="187" w:lineRule="auto"/>
              <w:ind w:left="204"/>
            </w:pPr>
            <w:r>
              <w:t>26</w:t>
            </w:r>
          </w:p>
        </w:tc>
        <w:tc>
          <w:tcPr>
            <w:tcW w:w="3279" w:type="dxa"/>
            <w:vAlign w:val="top"/>
          </w:tcPr>
          <w:p w14:paraId="762765B5">
            <w:pPr>
              <w:pStyle w:val="70"/>
              <w:spacing w:before="257" w:line="229" w:lineRule="auto"/>
              <w:ind w:left="388"/>
            </w:pPr>
            <w:r>
              <w:t>□</w:t>
            </w:r>
            <w:r>
              <w:rPr>
                <w:spacing w:val="22"/>
              </w:rPr>
              <w:t xml:space="preserve"> </w:t>
            </w:r>
            <w:r>
              <w:t>心脏彩超</w:t>
            </w:r>
          </w:p>
        </w:tc>
        <w:tc>
          <w:tcPr>
            <w:tcW w:w="865" w:type="dxa"/>
            <w:vAlign w:val="top"/>
          </w:tcPr>
          <w:p w14:paraId="4D711E62">
            <w:pPr>
              <w:pStyle w:val="70"/>
              <w:spacing w:before="289" w:line="188" w:lineRule="auto"/>
              <w:ind w:left="203"/>
            </w:pPr>
            <w:r>
              <w:rPr>
                <w:spacing w:val="1"/>
              </w:rPr>
              <w:t>103.00</w:t>
            </w:r>
          </w:p>
        </w:tc>
        <w:tc>
          <w:tcPr>
            <w:tcW w:w="4729" w:type="dxa"/>
            <w:vAlign w:val="top"/>
          </w:tcPr>
          <w:p w14:paraId="3E19C81F">
            <w:pPr>
              <w:pStyle w:val="70"/>
              <w:spacing w:before="135" w:line="233" w:lineRule="auto"/>
              <w:ind w:left="52" w:right="207" w:hanging="1"/>
            </w:pPr>
            <w:r>
              <w:rPr>
                <w:spacing w:val="8"/>
              </w:rPr>
              <w:t>可显示异常心脏畸形,诊断冠心病、心肌缺血、心肌肥厚,</w:t>
            </w:r>
            <w:r>
              <w:rPr>
                <w:spacing w:val="12"/>
              </w:rPr>
              <w:t xml:space="preserve"> </w:t>
            </w:r>
            <w:r>
              <w:rPr>
                <w:spacing w:val="7"/>
              </w:rPr>
              <w:t>二尖瓣功能等等</w:t>
            </w:r>
          </w:p>
        </w:tc>
      </w:tr>
      <w:tr w14:paraId="085BFF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0BEE248C">
            <w:pPr>
              <w:pStyle w:val="70"/>
              <w:spacing w:before="291" w:line="187" w:lineRule="auto"/>
              <w:ind w:left="204"/>
            </w:pPr>
            <w:r>
              <w:t>27</w:t>
            </w:r>
          </w:p>
        </w:tc>
        <w:tc>
          <w:tcPr>
            <w:tcW w:w="3279" w:type="dxa"/>
            <w:vAlign w:val="top"/>
          </w:tcPr>
          <w:p w14:paraId="60FB400B">
            <w:pPr>
              <w:pStyle w:val="70"/>
              <w:spacing w:before="257" w:line="228" w:lineRule="auto"/>
              <w:ind w:left="388"/>
            </w:pPr>
            <w:r>
              <w:rPr>
                <w:spacing w:val="6"/>
              </w:rPr>
              <w:t>□ 妇科彩超（子宫.附件）（女性）</w:t>
            </w:r>
          </w:p>
        </w:tc>
        <w:tc>
          <w:tcPr>
            <w:tcW w:w="865" w:type="dxa"/>
            <w:vAlign w:val="top"/>
          </w:tcPr>
          <w:p w14:paraId="20269902">
            <w:pPr>
              <w:pStyle w:val="70"/>
              <w:spacing w:before="291" w:line="187" w:lineRule="auto"/>
              <w:ind w:left="240"/>
            </w:pPr>
            <w:r>
              <w:rPr>
                <w:spacing w:val="3"/>
              </w:rPr>
              <w:t>95.00</w:t>
            </w:r>
          </w:p>
        </w:tc>
        <w:tc>
          <w:tcPr>
            <w:tcW w:w="4729" w:type="dxa"/>
            <w:vAlign w:val="top"/>
          </w:tcPr>
          <w:p w14:paraId="2448AFE3">
            <w:pPr>
              <w:pStyle w:val="70"/>
              <w:spacing w:before="135" w:line="233" w:lineRule="auto"/>
              <w:ind w:left="64" w:right="139" w:hanging="7"/>
            </w:pPr>
            <w:r>
              <w:rPr>
                <w:spacing w:val="7"/>
              </w:rPr>
              <w:t>能够探查子宫,输卵管,卵巢等部位的病变.可诊断盆腔</w:t>
            </w:r>
            <w:r>
              <w:rPr>
                <w:spacing w:val="6"/>
              </w:rPr>
              <w:t>炎、</w:t>
            </w:r>
            <w:r>
              <w:t xml:space="preserve"> </w:t>
            </w:r>
            <w:r>
              <w:rPr>
                <w:spacing w:val="8"/>
              </w:rPr>
              <w:t>附件炎、子宫肌瘤、子宫内膜异位、卵巢囊肿</w:t>
            </w:r>
          </w:p>
        </w:tc>
      </w:tr>
      <w:tr w14:paraId="1FCC17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5" w:hRule="atLeast"/>
        </w:trPr>
        <w:tc>
          <w:tcPr>
            <w:tcW w:w="525" w:type="dxa"/>
            <w:vAlign w:val="top"/>
          </w:tcPr>
          <w:p w14:paraId="0DEAA237">
            <w:pPr>
              <w:pStyle w:val="70"/>
              <w:spacing w:before="292" w:line="187" w:lineRule="auto"/>
              <w:ind w:left="204"/>
            </w:pPr>
            <w:r>
              <w:t>28</w:t>
            </w:r>
          </w:p>
        </w:tc>
        <w:tc>
          <w:tcPr>
            <w:tcW w:w="3279" w:type="dxa"/>
            <w:vAlign w:val="top"/>
          </w:tcPr>
          <w:p w14:paraId="1504FA0A">
            <w:pPr>
              <w:pStyle w:val="70"/>
              <w:spacing w:before="259" w:line="228" w:lineRule="auto"/>
              <w:ind w:left="388"/>
            </w:pPr>
            <w:r>
              <w:rPr>
                <w:spacing w:val="4"/>
              </w:rPr>
              <w:t>□ 乳腺彩超（女性）</w:t>
            </w:r>
          </w:p>
        </w:tc>
        <w:tc>
          <w:tcPr>
            <w:tcW w:w="865" w:type="dxa"/>
            <w:vAlign w:val="top"/>
          </w:tcPr>
          <w:p w14:paraId="4F610C1D">
            <w:pPr>
              <w:pStyle w:val="70"/>
              <w:spacing w:before="292" w:line="187" w:lineRule="auto"/>
              <w:ind w:left="240"/>
            </w:pPr>
            <w:r>
              <w:rPr>
                <w:spacing w:val="3"/>
              </w:rPr>
              <w:t>95.00</w:t>
            </w:r>
          </w:p>
        </w:tc>
        <w:tc>
          <w:tcPr>
            <w:tcW w:w="4729" w:type="dxa"/>
            <w:vAlign w:val="top"/>
          </w:tcPr>
          <w:p w14:paraId="6418AC47">
            <w:pPr>
              <w:pStyle w:val="70"/>
              <w:spacing w:before="136" w:line="233" w:lineRule="auto"/>
              <w:ind w:left="50" w:right="106" w:hanging="1"/>
            </w:pPr>
            <w:r>
              <w:rPr>
                <w:spacing w:val="8"/>
              </w:rPr>
              <w:t>对乳腺增生,囊肿,纤维瘤,乳腺癌等病变均可提供辅助诊断</w:t>
            </w:r>
            <w:r>
              <w:rPr>
                <w:spacing w:val="13"/>
              </w:rPr>
              <w:t xml:space="preserve"> </w:t>
            </w:r>
            <w:r>
              <w:rPr>
                <w:spacing w:val="4"/>
              </w:rPr>
              <w:t>价值</w:t>
            </w:r>
          </w:p>
        </w:tc>
      </w:tr>
      <w:tr w14:paraId="170AF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4D86307F">
            <w:pPr>
              <w:pStyle w:val="70"/>
              <w:spacing w:before="293" w:line="187" w:lineRule="auto"/>
              <w:ind w:left="204"/>
            </w:pPr>
            <w:r>
              <w:t>29</w:t>
            </w:r>
          </w:p>
        </w:tc>
        <w:tc>
          <w:tcPr>
            <w:tcW w:w="3279" w:type="dxa"/>
            <w:vAlign w:val="top"/>
          </w:tcPr>
          <w:p w14:paraId="1ED3D57F">
            <w:pPr>
              <w:pStyle w:val="70"/>
              <w:spacing w:before="259" w:line="229" w:lineRule="auto"/>
              <w:ind w:left="388"/>
            </w:pPr>
            <w:r>
              <w:rPr>
                <w:spacing w:val="4"/>
              </w:rPr>
              <w:t>□ 前列腺彩超（男性）</w:t>
            </w:r>
          </w:p>
        </w:tc>
        <w:tc>
          <w:tcPr>
            <w:tcW w:w="865" w:type="dxa"/>
            <w:vAlign w:val="top"/>
          </w:tcPr>
          <w:p w14:paraId="7692C2C6">
            <w:pPr>
              <w:pStyle w:val="70"/>
              <w:spacing w:before="293" w:line="187" w:lineRule="auto"/>
              <w:ind w:left="240"/>
            </w:pPr>
            <w:r>
              <w:rPr>
                <w:spacing w:val="3"/>
              </w:rPr>
              <w:t>95.00</w:t>
            </w:r>
          </w:p>
        </w:tc>
        <w:tc>
          <w:tcPr>
            <w:tcW w:w="4729" w:type="dxa"/>
            <w:vAlign w:val="top"/>
          </w:tcPr>
          <w:p w14:paraId="4F1F5CFA">
            <w:pPr>
              <w:pStyle w:val="70"/>
              <w:spacing w:before="136" w:line="232" w:lineRule="auto"/>
              <w:ind w:left="52" w:right="305" w:firstLine="5"/>
            </w:pPr>
            <w:r>
              <w:rPr>
                <w:spacing w:val="8"/>
              </w:rPr>
              <w:t>能较好的显示前列腺的形态,大小,对诊断前列腺增生,肥</w:t>
            </w:r>
            <w:r>
              <w:rPr>
                <w:spacing w:val="3"/>
              </w:rPr>
              <w:t xml:space="preserve"> </w:t>
            </w:r>
            <w:r>
              <w:rPr>
                <w:spacing w:val="8"/>
              </w:rPr>
              <w:t>大,钙化等疾病具有重要意义</w:t>
            </w:r>
          </w:p>
        </w:tc>
      </w:tr>
      <w:tr w14:paraId="4867208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7A405756">
            <w:pPr>
              <w:pStyle w:val="70"/>
              <w:spacing w:before="294" w:line="187" w:lineRule="auto"/>
              <w:ind w:left="205"/>
            </w:pPr>
            <w:r>
              <w:rPr>
                <w:spacing w:val="-1"/>
              </w:rPr>
              <w:t>30</w:t>
            </w:r>
          </w:p>
        </w:tc>
        <w:tc>
          <w:tcPr>
            <w:tcW w:w="3279" w:type="dxa"/>
            <w:vAlign w:val="top"/>
          </w:tcPr>
          <w:p w14:paraId="7480E2A9">
            <w:pPr>
              <w:pStyle w:val="70"/>
              <w:spacing w:before="261" w:line="228" w:lineRule="auto"/>
              <w:ind w:left="388"/>
            </w:pPr>
            <w:r>
              <w:rPr>
                <w:spacing w:val="-1"/>
              </w:rPr>
              <w:t>□</w:t>
            </w:r>
            <w:r>
              <w:rPr>
                <w:spacing w:val="19"/>
              </w:rPr>
              <w:t xml:space="preserve"> </w:t>
            </w:r>
            <w:r>
              <w:rPr>
                <w:spacing w:val="-1"/>
              </w:rPr>
              <w:t>头部CT</w:t>
            </w:r>
          </w:p>
        </w:tc>
        <w:tc>
          <w:tcPr>
            <w:tcW w:w="865" w:type="dxa"/>
            <w:vAlign w:val="top"/>
          </w:tcPr>
          <w:p w14:paraId="1AD31F70">
            <w:pPr>
              <w:pStyle w:val="70"/>
              <w:spacing w:before="293" w:line="188" w:lineRule="auto"/>
              <w:ind w:left="203"/>
            </w:pPr>
            <w:r>
              <w:rPr>
                <w:spacing w:val="1"/>
              </w:rPr>
              <w:t>188.00</w:t>
            </w:r>
          </w:p>
        </w:tc>
        <w:tc>
          <w:tcPr>
            <w:tcW w:w="4729" w:type="dxa"/>
            <w:vAlign w:val="top"/>
          </w:tcPr>
          <w:p w14:paraId="5475BD4D">
            <w:pPr>
              <w:pStyle w:val="70"/>
              <w:spacing w:before="138" w:line="233" w:lineRule="auto"/>
              <w:ind w:left="50" w:right="208"/>
            </w:pPr>
            <w:r>
              <w:rPr>
                <w:spacing w:val="9"/>
              </w:rPr>
              <w:t>诊断颅内肿瘤、脑出血、脑梗塞、蛛网膜下腔</w:t>
            </w:r>
            <w:r>
              <w:rPr>
                <w:spacing w:val="8"/>
              </w:rPr>
              <w:t>出血、颅脑</w:t>
            </w:r>
            <w:r>
              <w:t xml:space="preserve"> </w:t>
            </w:r>
            <w:r>
              <w:rPr>
                <w:spacing w:val="6"/>
              </w:rPr>
              <w:t>损伤等</w:t>
            </w:r>
          </w:p>
        </w:tc>
      </w:tr>
      <w:tr w14:paraId="18AA63C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7E9E8D66">
            <w:pPr>
              <w:pStyle w:val="70"/>
              <w:spacing w:before="294" w:line="188" w:lineRule="auto"/>
              <w:ind w:left="205"/>
            </w:pPr>
            <w:r>
              <w:rPr>
                <w:spacing w:val="-1"/>
              </w:rPr>
              <w:t>31</w:t>
            </w:r>
          </w:p>
        </w:tc>
        <w:tc>
          <w:tcPr>
            <w:tcW w:w="3279" w:type="dxa"/>
            <w:vAlign w:val="top"/>
          </w:tcPr>
          <w:p w14:paraId="3F02FAA3">
            <w:pPr>
              <w:pStyle w:val="70"/>
              <w:spacing w:before="261" w:line="229" w:lineRule="auto"/>
              <w:ind w:left="388"/>
            </w:pPr>
            <w:r>
              <w:t>□</w:t>
            </w:r>
            <w:r>
              <w:rPr>
                <w:spacing w:val="14"/>
              </w:rPr>
              <w:t xml:space="preserve"> </w:t>
            </w:r>
            <w:r>
              <w:t>颈椎CT</w:t>
            </w:r>
          </w:p>
        </w:tc>
        <w:tc>
          <w:tcPr>
            <w:tcW w:w="865" w:type="dxa"/>
            <w:vAlign w:val="top"/>
          </w:tcPr>
          <w:p w14:paraId="451B7C68">
            <w:pPr>
              <w:pStyle w:val="70"/>
              <w:spacing w:before="295" w:line="187" w:lineRule="auto"/>
              <w:ind w:left="191"/>
            </w:pPr>
            <w:r>
              <w:rPr>
                <w:spacing w:val="3"/>
              </w:rPr>
              <w:t>298.00</w:t>
            </w:r>
          </w:p>
        </w:tc>
        <w:tc>
          <w:tcPr>
            <w:tcW w:w="4729" w:type="dxa"/>
            <w:vAlign w:val="top"/>
          </w:tcPr>
          <w:p w14:paraId="12566BB4">
            <w:pPr>
              <w:pStyle w:val="70"/>
              <w:spacing w:before="140" w:line="232" w:lineRule="auto"/>
              <w:ind w:left="53" w:right="206" w:hanging="3"/>
            </w:pPr>
            <w:r>
              <w:rPr>
                <w:spacing w:val="9"/>
              </w:rPr>
              <w:t>颈椎</w:t>
            </w:r>
            <w:r>
              <w:t>CT</w:t>
            </w:r>
            <w:r>
              <w:rPr>
                <w:spacing w:val="9"/>
              </w:rPr>
              <w:t>检查在颈椎退行性疾病及颈椎损伤等方面有很高的</w:t>
            </w:r>
            <w:r>
              <w:rPr>
                <w:spacing w:val="6"/>
              </w:rPr>
              <w:t xml:space="preserve"> </w:t>
            </w:r>
            <w:r>
              <w:rPr>
                <w:spacing w:val="8"/>
              </w:rPr>
              <w:t>实用价值，可诊断颈椎间盘突出</w:t>
            </w:r>
          </w:p>
        </w:tc>
      </w:tr>
      <w:tr w14:paraId="75ABCF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5" w:hRule="atLeast"/>
        </w:trPr>
        <w:tc>
          <w:tcPr>
            <w:tcW w:w="525" w:type="dxa"/>
            <w:vAlign w:val="top"/>
          </w:tcPr>
          <w:p w14:paraId="4B8D00BB">
            <w:pPr>
              <w:pStyle w:val="70"/>
              <w:spacing w:before="296" w:line="187" w:lineRule="auto"/>
              <w:ind w:left="205"/>
            </w:pPr>
            <w:r>
              <w:rPr>
                <w:spacing w:val="-1"/>
              </w:rPr>
              <w:t>32</w:t>
            </w:r>
          </w:p>
        </w:tc>
        <w:tc>
          <w:tcPr>
            <w:tcW w:w="3279" w:type="dxa"/>
            <w:vAlign w:val="top"/>
          </w:tcPr>
          <w:p w14:paraId="43E8177A">
            <w:pPr>
              <w:pStyle w:val="70"/>
              <w:spacing w:before="262" w:line="229" w:lineRule="auto"/>
              <w:ind w:left="388"/>
            </w:pPr>
            <w:r>
              <w:t>□</w:t>
            </w:r>
            <w:r>
              <w:rPr>
                <w:spacing w:val="14"/>
              </w:rPr>
              <w:t xml:space="preserve"> </w:t>
            </w:r>
            <w:r>
              <w:t>腰椎CT</w:t>
            </w:r>
          </w:p>
        </w:tc>
        <w:tc>
          <w:tcPr>
            <w:tcW w:w="865" w:type="dxa"/>
            <w:vAlign w:val="top"/>
          </w:tcPr>
          <w:p w14:paraId="4D1A5D2F">
            <w:pPr>
              <w:pStyle w:val="70"/>
              <w:spacing w:before="296" w:line="187" w:lineRule="auto"/>
              <w:ind w:left="191"/>
            </w:pPr>
            <w:r>
              <w:rPr>
                <w:spacing w:val="3"/>
              </w:rPr>
              <w:t>298.00</w:t>
            </w:r>
          </w:p>
        </w:tc>
        <w:tc>
          <w:tcPr>
            <w:tcW w:w="4729" w:type="dxa"/>
            <w:vAlign w:val="top"/>
          </w:tcPr>
          <w:p w14:paraId="0C4CB33D">
            <w:pPr>
              <w:pStyle w:val="70"/>
              <w:spacing w:before="139" w:line="233" w:lineRule="auto"/>
              <w:ind w:left="51" w:right="208" w:hanging="1"/>
            </w:pPr>
            <w:r>
              <w:rPr>
                <w:spacing w:val="9"/>
              </w:rPr>
              <w:t>诊断腰椎管狭窄、椎间盘退行性病变和椎间盘</w:t>
            </w:r>
            <w:r>
              <w:rPr>
                <w:spacing w:val="8"/>
              </w:rPr>
              <w:t>突出，原发</w:t>
            </w:r>
            <w:r>
              <w:t xml:space="preserve"> </w:t>
            </w:r>
            <w:r>
              <w:rPr>
                <w:spacing w:val="8"/>
              </w:rPr>
              <w:t>性、继发性脊椎骨肿瘤和椎旁肿瘤，椎管内占位病变</w:t>
            </w:r>
          </w:p>
        </w:tc>
      </w:tr>
      <w:tr w14:paraId="1D8A7F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5" w:hRule="atLeast"/>
        </w:trPr>
        <w:tc>
          <w:tcPr>
            <w:tcW w:w="525" w:type="dxa"/>
            <w:vAlign w:val="top"/>
          </w:tcPr>
          <w:p w14:paraId="230B66AB">
            <w:pPr>
              <w:pStyle w:val="70"/>
              <w:spacing w:before="296" w:line="187" w:lineRule="auto"/>
              <w:ind w:left="205"/>
            </w:pPr>
            <w:r>
              <w:rPr>
                <w:spacing w:val="-1"/>
              </w:rPr>
              <w:t>33</w:t>
            </w:r>
          </w:p>
        </w:tc>
        <w:tc>
          <w:tcPr>
            <w:tcW w:w="3279" w:type="dxa"/>
            <w:vAlign w:val="top"/>
          </w:tcPr>
          <w:p w14:paraId="348DC818">
            <w:pPr>
              <w:pStyle w:val="70"/>
              <w:spacing w:before="263" w:line="228" w:lineRule="auto"/>
              <w:ind w:left="388"/>
            </w:pPr>
            <w:r>
              <w:rPr>
                <w:spacing w:val="1"/>
              </w:rPr>
              <w:t>□</w:t>
            </w:r>
            <w:r>
              <w:rPr>
                <w:spacing w:val="11"/>
              </w:rPr>
              <w:t xml:space="preserve"> </w:t>
            </w:r>
            <w:r>
              <w:rPr>
                <w:spacing w:val="1"/>
              </w:rPr>
              <w:t>肺部</w:t>
            </w:r>
            <w:r>
              <w:t>CT</w:t>
            </w:r>
          </w:p>
        </w:tc>
        <w:tc>
          <w:tcPr>
            <w:tcW w:w="865" w:type="dxa"/>
            <w:vAlign w:val="top"/>
          </w:tcPr>
          <w:p w14:paraId="1C5654DA">
            <w:pPr>
              <w:pStyle w:val="70"/>
              <w:spacing w:before="296" w:line="187" w:lineRule="auto"/>
              <w:ind w:left="192"/>
            </w:pPr>
            <w:r>
              <w:rPr>
                <w:spacing w:val="3"/>
              </w:rPr>
              <w:t>358.00</w:t>
            </w:r>
          </w:p>
        </w:tc>
        <w:tc>
          <w:tcPr>
            <w:tcW w:w="4729" w:type="dxa"/>
            <w:vAlign w:val="top"/>
          </w:tcPr>
          <w:p w14:paraId="68D30B24">
            <w:pPr>
              <w:pStyle w:val="70"/>
              <w:spacing w:before="141" w:line="233" w:lineRule="auto"/>
              <w:ind w:left="50" w:right="242" w:hanging="2"/>
            </w:pPr>
            <w:r>
              <w:rPr>
                <w:spacing w:val="7"/>
              </w:rPr>
              <w:t>肺部炎症、肺占位、肺结核，肺结节、胸腔积液，气胸、</w:t>
            </w:r>
            <w:r>
              <w:rPr>
                <w:spacing w:val="14"/>
              </w:rPr>
              <w:t xml:space="preserve"> </w:t>
            </w:r>
            <w:r>
              <w:rPr>
                <w:spacing w:val="8"/>
              </w:rPr>
              <w:t>支气管病变、心室增大等</w:t>
            </w:r>
          </w:p>
        </w:tc>
      </w:tr>
      <w:tr w14:paraId="2E0BAD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52" w:hRule="atLeast"/>
        </w:trPr>
        <w:tc>
          <w:tcPr>
            <w:tcW w:w="525" w:type="dxa"/>
            <w:vAlign w:val="top"/>
          </w:tcPr>
          <w:p w14:paraId="2599F387">
            <w:pPr>
              <w:spacing w:line="405" w:lineRule="auto"/>
              <w:rPr>
                <w:rFonts w:ascii="Arial"/>
                <w:sz w:val="21"/>
              </w:rPr>
            </w:pPr>
          </w:p>
          <w:p w14:paraId="036390A7">
            <w:pPr>
              <w:pStyle w:val="70"/>
              <w:spacing w:before="62" w:line="187" w:lineRule="auto"/>
              <w:ind w:left="205"/>
            </w:pPr>
            <w:r>
              <w:rPr>
                <w:spacing w:val="-1"/>
              </w:rPr>
              <w:t>34</w:t>
            </w:r>
          </w:p>
        </w:tc>
        <w:tc>
          <w:tcPr>
            <w:tcW w:w="3279" w:type="dxa"/>
            <w:vAlign w:val="top"/>
          </w:tcPr>
          <w:p w14:paraId="75587E28">
            <w:pPr>
              <w:spacing w:line="248" w:lineRule="auto"/>
              <w:rPr>
                <w:rFonts w:ascii="Arial"/>
                <w:sz w:val="21"/>
              </w:rPr>
            </w:pPr>
          </w:p>
          <w:p w14:paraId="6AECC1F9">
            <w:pPr>
              <w:pStyle w:val="70"/>
              <w:spacing w:before="62" w:line="228" w:lineRule="auto"/>
              <w:ind w:left="388"/>
            </w:pPr>
            <w:r>
              <w:rPr>
                <w:spacing w:val="2"/>
              </w:rPr>
              <w:t>□</w:t>
            </w:r>
            <w:r>
              <w:rPr>
                <w:spacing w:val="15"/>
              </w:rPr>
              <w:t xml:space="preserve"> </w:t>
            </w:r>
            <w:r>
              <w:rPr>
                <w:spacing w:val="2"/>
              </w:rPr>
              <w:t>上腹部</w:t>
            </w:r>
            <w:r>
              <w:t>CT</w:t>
            </w:r>
          </w:p>
          <w:p w14:paraId="5057313F">
            <w:pPr>
              <w:pStyle w:val="70"/>
              <w:spacing w:before="10" w:line="228" w:lineRule="auto"/>
              <w:ind w:left="579"/>
            </w:pPr>
            <w:r>
              <w:rPr>
                <w:spacing w:val="5"/>
              </w:rPr>
              <w:t>（肝.胆.胰.脾.肾）</w:t>
            </w:r>
          </w:p>
        </w:tc>
        <w:tc>
          <w:tcPr>
            <w:tcW w:w="865" w:type="dxa"/>
            <w:vAlign w:val="top"/>
          </w:tcPr>
          <w:p w14:paraId="3ED47896">
            <w:pPr>
              <w:spacing w:line="405" w:lineRule="auto"/>
              <w:rPr>
                <w:rFonts w:ascii="Arial"/>
                <w:sz w:val="21"/>
              </w:rPr>
            </w:pPr>
          </w:p>
          <w:p w14:paraId="704E4094">
            <w:pPr>
              <w:pStyle w:val="70"/>
              <w:spacing w:before="62" w:line="187" w:lineRule="auto"/>
              <w:ind w:left="192"/>
            </w:pPr>
            <w:r>
              <w:rPr>
                <w:spacing w:val="3"/>
              </w:rPr>
              <w:t>358.00</w:t>
            </w:r>
          </w:p>
        </w:tc>
        <w:tc>
          <w:tcPr>
            <w:tcW w:w="4729" w:type="dxa"/>
            <w:vAlign w:val="top"/>
          </w:tcPr>
          <w:p w14:paraId="15EB8EAD">
            <w:pPr>
              <w:pStyle w:val="70"/>
              <w:spacing w:before="62" w:line="231" w:lineRule="auto"/>
              <w:ind w:left="49" w:right="206" w:firstLine="1"/>
              <w:jc w:val="both"/>
            </w:pPr>
            <w:r>
              <w:rPr>
                <w:spacing w:val="9"/>
              </w:rPr>
              <w:t>诊断是否有肝癌、肝血管瘤、肝囊肿、胆囊癌</w:t>
            </w:r>
            <w:r>
              <w:rPr>
                <w:spacing w:val="8"/>
              </w:rPr>
              <w:t>、脾脏脉管</w:t>
            </w:r>
            <w:r>
              <w:t xml:space="preserve"> </w:t>
            </w:r>
            <w:r>
              <w:rPr>
                <w:spacing w:val="9"/>
              </w:rPr>
              <w:t>瘤、脾脏淋巴瘤、胰腺癌、肾结石等。上腹部</w:t>
            </w:r>
            <w:r>
              <w:t>CT</w:t>
            </w:r>
            <w:r>
              <w:rPr>
                <w:spacing w:val="9"/>
              </w:rPr>
              <w:t>还可以检</w:t>
            </w:r>
            <w:r>
              <w:rPr>
                <w:spacing w:val="8"/>
              </w:rPr>
              <w:t xml:space="preserve"> </w:t>
            </w:r>
            <w:r>
              <w:rPr>
                <w:spacing w:val="9"/>
              </w:rPr>
              <w:t>查是否有胆囊结石、胆囊炎，是否有胰腺炎及肝内</w:t>
            </w:r>
            <w:r>
              <w:rPr>
                <w:spacing w:val="8"/>
              </w:rPr>
              <w:t>外胆管</w:t>
            </w:r>
            <w:r>
              <w:t xml:space="preserve"> </w:t>
            </w:r>
            <w:r>
              <w:rPr>
                <w:spacing w:val="7"/>
              </w:rPr>
              <w:t>结石等疾病</w:t>
            </w:r>
          </w:p>
        </w:tc>
      </w:tr>
      <w:tr w14:paraId="23A84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52" w:hRule="atLeast"/>
        </w:trPr>
        <w:tc>
          <w:tcPr>
            <w:tcW w:w="525" w:type="dxa"/>
            <w:vAlign w:val="top"/>
          </w:tcPr>
          <w:p w14:paraId="139DBEEF">
            <w:pPr>
              <w:spacing w:line="406" w:lineRule="auto"/>
              <w:rPr>
                <w:rFonts w:ascii="Arial"/>
                <w:sz w:val="21"/>
              </w:rPr>
            </w:pPr>
          </w:p>
          <w:p w14:paraId="1F1A9586">
            <w:pPr>
              <w:pStyle w:val="70"/>
              <w:spacing w:before="62" w:line="187" w:lineRule="auto"/>
              <w:ind w:left="205"/>
            </w:pPr>
            <w:r>
              <w:rPr>
                <w:spacing w:val="-1"/>
              </w:rPr>
              <w:t>35</w:t>
            </w:r>
          </w:p>
        </w:tc>
        <w:tc>
          <w:tcPr>
            <w:tcW w:w="3279" w:type="dxa"/>
            <w:vAlign w:val="top"/>
          </w:tcPr>
          <w:p w14:paraId="77F2C874">
            <w:pPr>
              <w:pStyle w:val="70"/>
              <w:spacing w:before="190" w:line="228" w:lineRule="auto"/>
              <w:ind w:left="388"/>
            </w:pPr>
            <w:r>
              <w:rPr>
                <w:spacing w:val="1"/>
              </w:rPr>
              <w:t>□</w:t>
            </w:r>
            <w:r>
              <w:rPr>
                <w:spacing w:val="19"/>
              </w:rPr>
              <w:t xml:space="preserve"> </w:t>
            </w:r>
            <w:r>
              <w:rPr>
                <w:spacing w:val="1"/>
              </w:rPr>
              <w:t>下腹部</w:t>
            </w:r>
            <w:r>
              <w:t>CT</w:t>
            </w:r>
          </w:p>
          <w:p w14:paraId="59D1FD66">
            <w:pPr>
              <w:pStyle w:val="70"/>
              <w:spacing w:before="10" w:line="234" w:lineRule="auto"/>
              <w:ind w:left="672" w:right="1183" w:hanging="93"/>
            </w:pPr>
            <w:r>
              <w:rPr>
                <w:spacing w:val="6"/>
              </w:rPr>
              <w:t>（肾.输尿管.膀胱.</w:t>
            </w:r>
            <w:r>
              <w:t xml:space="preserve">   </w:t>
            </w:r>
            <w:r>
              <w:rPr>
                <w:spacing w:val="5"/>
              </w:rPr>
              <w:t>前列腺.子宫.卵巢）</w:t>
            </w:r>
          </w:p>
        </w:tc>
        <w:tc>
          <w:tcPr>
            <w:tcW w:w="865" w:type="dxa"/>
            <w:vAlign w:val="top"/>
          </w:tcPr>
          <w:p w14:paraId="4E2A8B1B">
            <w:pPr>
              <w:spacing w:line="406" w:lineRule="auto"/>
              <w:rPr>
                <w:rFonts w:ascii="Arial"/>
                <w:sz w:val="21"/>
              </w:rPr>
            </w:pPr>
          </w:p>
          <w:p w14:paraId="0F42116E">
            <w:pPr>
              <w:pStyle w:val="70"/>
              <w:spacing w:before="62" w:line="187" w:lineRule="auto"/>
              <w:ind w:left="192"/>
            </w:pPr>
            <w:r>
              <w:rPr>
                <w:spacing w:val="3"/>
              </w:rPr>
              <w:t>358.00</w:t>
            </w:r>
          </w:p>
        </w:tc>
        <w:tc>
          <w:tcPr>
            <w:tcW w:w="4729" w:type="dxa"/>
            <w:vAlign w:val="top"/>
          </w:tcPr>
          <w:p w14:paraId="2000B0FA">
            <w:pPr>
              <w:pStyle w:val="70"/>
              <w:spacing w:before="189" w:line="236" w:lineRule="auto"/>
              <w:ind w:left="49" w:right="206" w:firstLine="6"/>
              <w:jc w:val="both"/>
            </w:pPr>
            <w:r>
              <w:rPr>
                <w:spacing w:val="9"/>
              </w:rPr>
              <w:t>下腹部</w:t>
            </w:r>
            <w:r>
              <w:t>CT</w:t>
            </w:r>
            <w:r>
              <w:rPr>
                <w:spacing w:val="9"/>
              </w:rPr>
              <w:t>常用于诊断肾结石、肠梗阻、阑尾炎、膀胱肿瘤</w:t>
            </w:r>
            <w:r>
              <w:rPr>
                <w:spacing w:val="1"/>
              </w:rPr>
              <w:t xml:space="preserve"> </w:t>
            </w:r>
            <w:r>
              <w:rPr>
                <w:spacing w:val="8"/>
              </w:rPr>
              <w:t>、膀胱结石、前列腺增生肥大、子宫肌瘤、卵巢囊肿等疾</w:t>
            </w:r>
            <w:r>
              <w:rPr>
                <w:spacing w:val="13"/>
              </w:rPr>
              <w:t xml:space="preserve"> </w:t>
            </w:r>
            <w:r>
              <w:rPr>
                <w:spacing w:val="-6"/>
              </w:rPr>
              <w:t>病。</w:t>
            </w:r>
          </w:p>
        </w:tc>
      </w:tr>
      <w:tr w14:paraId="5BE490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4" w:hRule="atLeast"/>
        </w:trPr>
        <w:tc>
          <w:tcPr>
            <w:tcW w:w="525" w:type="dxa"/>
            <w:vAlign w:val="top"/>
          </w:tcPr>
          <w:p w14:paraId="28E3D25B">
            <w:pPr>
              <w:pStyle w:val="70"/>
              <w:spacing w:before="299" w:line="187" w:lineRule="auto"/>
              <w:ind w:left="205"/>
            </w:pPr>
            <w:r>
              <w:rPr>
                <w:spacing w:val="-1"/>
              </w:rPr>
              <w:t>36</w:t>
            </w:r>
          </w:p>
        </w:tc>
        <w:tc>
          <w:tcPr>
            <w:tcW w:w="3279" w:type="dxa"/>
            <w:vAlign w:val="top"/>
          </w:tcPr>
          <w:p w14:paraId="3FBB00F4">
            <w:pPr>
              <w:pStyle w:val="70"/>
              <w:spacing w:before="265" w:line="228" w:lineRule="auto"/>
              <w:ind w:left="388"/>
            </w:pPr>
            <w:r>
              <w:rPr>
                <w:spacing w:val="5"/>
              </w:rPr>
              <w:t>□ 髋关节</w:t>
            </w:r>
            <w:r>
              <w:t>CT</w:t>
            </w:r>
            <w:r>
              <w:rPr>
                <w:spacing w:val="5"/>
              </w:rPr>
              <w:t>（股骨头）</w:t>
            </w:r>
          </w:p>
        </w:tc>
        <w:tc>
          <w:tcPr>
            <w:tcW w:w="865" w:type="dxa"/>
            <w:vAlign w:val="top"/>
          </w:tcPr>
          <w:p w14:paraId="45A141C2">
            <w:pPr>
              <w:pStyle w:val="70"/>
              <w:spacing w:before="299" w:line="187" w:lineRule="auto"/>
              <w:ind w:left="191"/>
            </w:pPr>
            <w:r>
              <w:rPr>
                <w:spacing w:val="3"/>
              </w:rPr>
              <w:t>298.00</w:t>
            </w:r>
          </w:p>
        </w:tc>
        <w:tc>
          <w:tcPr>
            <w:tcW w:w="4729" w:type="dxa"/>
            <w:vAlign w:val="top"/>
          </w:tcPr>
          <w:p w14:paraId="501C3E74">
            <w:pPr>
              <w:pStyle w:val="70"/>
              <w:spacing w:before="143" w:line="233" w:lineRule="auto"/>
              <w:ind w:left="63" w:right="208" w:hanging="6"/>
            </w:pPr>
            <w:r>
              <w:rPr>
                <w:spacing w:val="8"/>
              </w:rPr>
              <w:t>能够观察髋关节的病变，如股骨头坏死、髋关节骨关节炎</w:t>
            </w:r>
            <w:r>
              <w:rPr>
                <w:spacing w:val="13"/>
              </w:rPr>
              <w:t xml:space="preserve"> </w:t>
            </w:r>
            <w:r>
              <w:rPr>
                <w:spacing w:val="4"/>
              </w:rPr>
              <w:t>、髋关节骨折等</w:t>
            </w:r>
          </w:p>
        </w:tc>
      </w:tr>
      <w:tr w14:paraId="288457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5" w:hRule="atLeast"/>
        </w:trPr>
        <w:tc>
          <w:tcPr>
            <w:tcW w:w="525" w:type="dxa"/>
            <w:vAlign w:val="top"/>
          </w:tcPr>
          <w:p w14:paraId="38E526F7">
            <w:pPr>
              <w:pStyle w:val="70"/>
              <w:spacing w:before="300" w:line="187" w:lineRule="auto"/>
              <w:ind w:left="205"/>
            </w:pPr>
            <w:r>
              <w:rPr>
                <w:spacing w:val="-1"/>
              </w:rPr>
              <w:t>37</w:t>
            </w:r>
          </w:p>
        </w:tc>
        <w:tc>
          <w:tcPr>
            <w:tcW w:w="3279" w:type="dxa"/>
            <w:vAlign w:val="top"/>
          </w:tcPr>
          <w:p w14:paraId="0B006708">
            <w:pPr>
              <w:pStyle w:val="70"/>
              <w:spacing w:before="266" w:line="229" w:lineRule="auto"/>
              <w:ind w:left="388"/>
            </w:pPr>
            <w:r>
              <w:rPr>
                <w:spacing w:val="4"/>
              </w:rPr>
              <w:t>□ 膝关节</w:t>
            </w:r>
            <w:r>
              <w:t>CT</w:t>
            </w:r>
            <w:r>
              <w:rPr>
                <w:spacing w:val="4"/>
              </w:rPr>
              <w:t>（膝盖）</w:t>
            </w:r>
          </w:p>
        </w:tc>
        <w:tc>
          <w:tcPr>
            <w:tcW w:w="865" w:type="dxa"/>
            <w:vAlign w:val="top"/>
          </w:tcPr>
          <w:p w14:paraId="40F6CA9B">
            <w:pPr>
              <w:pStyle w:val="70"/>
              <w:spacing w:before="300" w:line="187" w:lineRule="auto"/>
              <w:ind w:left="191"/>
            </w:pPr>
            <w:r>
              <w:rPr>
                <w:spacing w:val="3"/>
              </w:rPr>
              <w:t>298.00</w:t>
            </w:r>
          </w:p>
        </w:tc>
        <w:tc>
          <w:tcPr>
            <w:tcW w:w="4729" w:type="dxa"/>
            <w:vAlign w:val="top"/>
          </w:tcPr>
          <w:p w14:paraId="1DB4C55A">
            <w:pPr>
              <w:pStyle w:val="70"/>
              <w:spacing w:before="145" w:line="233" w:lineRule="auto"/>
              <w:ind w:left="49" w:right="407" w:firstLine="2"/>
            </w:pPr>
            <w:r>
              <w:rPr>
                <w:spacing w:val="8"/>
              </w:rPr>
              <w:t>可以明确是否有骨质的损伤，是否有骨折，是否患骨肿</w:t>
            </w:r>
            <w:r>
              <w:rPr>
                <w:spacing w:val="18"/>
              </w:rPr>
              <w:t xml:space="preserve"> </w:t>
            </w:r>
            <w:r>
              <w:rPr>
                <w:spacing w:val="8"/>
              </w:rPr>
              <w:t>瘤，是否患骨膜炎、是否有关节积液</w:t>
            </w:r>
          </w:p>
        </w:tc>
      </w:tr>
      <w:tr w14:paraId="6A9DFA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06" w:hRule="atLeast"/>
        </w:trPr>
        <w:tc>
          <w:tcPr>
            <w:tcW w:w="525" w:type="dxa"/>
            <w:vAlign w:val="top"/>
          </w:tcPr>
          <w:p w14:paraId="1272F033">
            <w:pPr>
              <w:spacing w:line="385" w:lineRule="auto"/>
              <w:rPr>
                <w:rFonts w:ascii="Arial"/>
                <w:sz w:val="21"/>
              </w:rPr>
            </w:pPr>
          </w:p>
          <w:p w14:paraId="221686C5">
            <w:pPr>
              <w:pStyle w:val="70"/>
              <w:spacing w:before="62" w:line="187" w:lineRule="auto"/>
              <w:ind w:left="205"/>
            </w:pPr>
            <w:r>
              <w:rPr>
                <w:spacing w:val="-1"/>
              </w:rPr>
              <w:t>38</w:t>
            </w:r>
          </w:p>
        </w:tc>
        <w:tc>
          <w:tcPr>
            <w:tcW w:w="3279" w:type="dxa"/>
            <w:vAlign w:val="top"/>
          </w:tcPr>
          <w:p w14:paraId="03C94723">
            <w:pPr>
              <w:spacing w:line="352" w:lineRule="auto"/>
              <w:rPr>
                <w:rFonts w:ascii="Arial"/>
                <w:sz w:val="21"/>
              </w:rPr>
            </w:pPr>
          </w:p>
          <w:p w14:paraId="2E4B3859">
            <w:pPr>
              <w:pStyle w:val="70"/>
              <w:spacing w:before="62" w:line="228" w:lineRule="auto"/>
              <w:ind w:left="388"/>
            </w:pPr>
            <w:r>
              <w:rPr>
                <w:spacing w:val="6"/>
              </w:rPr>
              <w:t>□</w:t>
            </w:r>
            <w:r>
              <w:rPr>
                <w:spacing w:val="30"/>
              </w:rPr>
              <w:t xml:space="preserve"> </w:t>
            </w:r>
            <w:r>
              <w:rPr>
                <w:spacing w:val="6"/>
              </w:rPr>
              <w:t>宫颈癌筛查（</w:t>
            </w:r>
            <w:r>
              <w:t>TCT</w:t>
            </w:r>
            <w:r>
              <w:rPr>
                <w:spacing w:val="6"/>
              </w:rPr>
              <w:t>+</w:t>
            </w:r>
            <w:r>
              <w:t>HPV</w:t>
            </w:r>
            <w:r>
              <w:rPr>
                <w:spacing w:val="6"/>
              </w:rPr>
              <w:t>)</w:t>
            </w:r>
          </w:p>
        </w:tc>
        <w:tc>
          <w:tcPr>
            <w:tcW w:w="865" w:type="dxa"/>
            <w:vAlign w:val="top"/>
          </w:tcPr>
          <w:p w14:paraId="78F06C1D">
            <w:pPr>
              <w:spacing w:line="385" w:lineRule="auto"/>
              <w:rPr>
                <w:rFonts w:ascii="Arial"/>
                <w:sz w:val="21"/>
              </w:rPr>
            </w:pPr>
          </w:p>
          <w:p w14:paraId="67E2DD4D">
            <w:pPr>
              <w:pStyle w:val="70"/>
              <w:spacing w:before="62" w:line="187" w:lineRule="auto"/>
              <w:ind w:left="192"/>
            </w:pPr>
            <w:r>
              <w:rPr>
                <w:spacing w:val="3"/>
              </w:rPr>
              <w:t>520.00</w:t>
            </w:r>
          </w:p>
        </w:tc>
        <w:tc>
          <w:tcPr>
            <w:tcW w:w="4729" w:type="dxa"/>
            <w:vAlign w:val="top"/>
          </w:tcPr>
          <w:p w14:paraId="15C492D9">
            <w:pPr>
              <w:pStyle w:val="70"/>
              <w:spacing w:before="167" w:line="236" w:lineRule="auto"/>
              <w:ind w:left="50" w:right="106" w:hanging="3"/>
              <w:jc w:val="both"/>
            </w:pPr>
            <w:r>
              <w:t>TCT</w:t>
            </w:r>
            <w:r>
              <w:rPr>
                <w:spacing w:val="9"/>
              </w:rPr>
              <w:t>可以检测到异常的宫颈细胞形态和结构，从而识别潜在</w:t>
            </w:r>
            <w:r>
              <w:rPr>
                <w:spacing w:val="15"/>
              </w:rPr>
              <w:t xml:space="preserve"> </w:t>
            </w:r>
            <w:r>
              <w:rPr>
                <w:spacing w:val="10"/>
              </w:rPr>
              <w:t>的癌前病变。</w:t>
            </w:r>
            <w:r>
              <w:t>HPV</w:t>
            </w:r>
            <w:r>
              <w:rPr>
                <w:spacing w:val="10"/>
              </w:rPr>
              <w:t>检测可以检测到高风险型</w:t>
            </w:r>
            <w:r>
              <w:t>HPV</w:t>
            </w:r>
            <w:r>
              <w:rPr>
                <w:spacing w:val="10"/>
              </w:rPr>
              <w:t>感染，从而</w:t>
            </w:r>
            <w:r>
              <w:rPr>
                <w:spacing w:val="3"/>
              </w:rPr>
              <w:t xml:space="preserve">  </w:t>
            </w:r>
            <w:r>
              <w:rPr>
                <w:spacing w:val="5"/>
              </w:rPr>
              <w:t>提前发现潜在的宫颈癌风险。</w:t>
            </w:r>
          </w:p>
        </w:tc>
      </w:tr>
      <w:tr w14:paraId="439E96B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556" w:hRule="atLeast"/>
        </w:trPr>
        <w:tc>
          <w:tcPr>
            <w:tcW w:w="525" w:type="dxa"/>
            <w:vAlign w:val="top"/>
          </w:tcPr>
          <w:p w14:paraId="6D769AD8">
            <w:pPr>
              <w:spacing w:line="327" w:lineRule="auto"/>
              <w:rPr>
                <w:rFonts w:ascii="Arial"/>
                <w:sz w:val="21"/>
              </w:rPr>
            </w:pPr>
          </w:p>
          <w:p w14:paraId="47E187FB">
            <w:pPr>
              <w:spacing w:line="328" w:lineRule="auto"/>
              <w:rPr>
                <w:rFonts w:ascii="Arial"/>
                <w:sz w:val="21"/>
              </w:rPr>
            </w:pPr>
          </w:p>
          <w:p w14:paraId="23BAA4EC">
            <w:pPr>
              <w:pStyle w:val="70"/>
              <w:spacing w:before="62" w:line="187" w:lineRule="auto"/>
              <w:ind w:left="205"/>
            </w:pPr>
            <w:r>
              <w:rPr>
                <w:spacing w:val="-1"/>
              </w:rPr>
              <w:t>39</w:t>
            </w:r>
          </w:p>
        </w:tc>
        <w:tc>
          <w:tcPr>
            <w:tcW w:w="3279" w:type="dxa"/>
            <w:vAlign w:val="top"/>
          </w:tcPr>
          <w:p w14:paraId="321A9809">
            <w:pPr>
              <w:spacing w:line="310" w:lineRule="auto"/>
              <w:rPr>
                <w:rFonts w:ascii="Arial"/>
                <w:sz w:val="21"/>
              </w:rPr>
            </w:pPr>
          </w:p>
          <w:p w14:paraId="44BD776D">
            <w:pPr>
              <w:spacing w:line="311" w:lineRule="auto"/>
              <w:rPr>
                <w:rFonts w:ascii="Arial"/>
                <w:sz w:val="21"/>
              </w:rPr>
            </w:pPr>
          </w:p>
          <w:p w14:paraId="262B0AF4">
            <w:pPr>
              <w:pStyle w:val="70"/>
              <w:spacing w:before="62" w:line="228" w:lineRule="auto"/>
              <w:ind w:left="388"/>
            </w:pPr>
            <w:r>
              <w:rPr>
                <w:spacing w:val="5"/>
              </w:rPr>
              <w:t>□ 无痛胃肠镜检查</w:t>
            </w:r>
          </w:p>
        </w:tc>
        <w:tc>
          <w:tcPr>
            <w:tcW w:w="865" w:type="dxa"/>
            <w:vAlign w:val="top"/>
          </w:tcPr>
          <w:p w14:paraId="0B506D26">
            <w:pPr>
              <w:spacing w:line="327" w:lineRule="auto"/>
              <w:rPr>
                <w:rFonts w:ascii="Arial"/>
                <w:sz w:val="21"/>
              </w:rPr>
            </w:pPr>
          </w:p>
          <w:p w14:paraId="05F7FE58">
            <w:pPr>
              <w:spacing w:line="328" w:lineRule="auto"/>
              <w:rPr>
                <w:rFonts w:ascii="Arial"/>
                <w:sz w:val="21"/>
              </w:rPr>
            </w:pPr>
          </w:p>
          <w:p w14:paraId="1331F649">
            <w:pPr>
              <w:pStyle w:val="70"/>
              <w:spacing w:before="62" w:line="187" w:lineRule="auto"/>
              <w:ind w:left="150"/>
            </w:pPr>
            <w:r>
              <w:rPr>
                <w:spacing w:val="3"/>
              </w:rPr>
              <w:t>700.00</w:t>
            </w:r>
          </w:p>
        </w:tc>
        <w:tc>
          <w:tcPr>
            <w:tcW w:w="4729" w:type="dxa"/>
            <w:vAlign w:val="top"/>
          </w:tcPr>
          <w:p w14:paraId="515C8972">
            <w:pPr>
              <w:spacing w:line="254" w:lineRule="auto"/>
              <w:rPr>
                <w:rFonts w:ascii="Arial"/>
                <w:sz w:val="21"/>
              </w:rPr>
            </w:pPr>
          </w:p>
          <w:p w14:paraId="555E6AFD">
            <w:pPr>
              <w:pStyle w:val="70"/>
              <w:spacing w:before="61" w:line="237" w:lineRule="auto"/>
              <w:ind w:left="49" w:right="208"/>
              <w:jc w:val="both"/>
            </w:pPr>
            <w:r>
              <w:rPr>
                <w:spacing w:val="9"/>
              </w:rPr>
              <w:t>检查采用全身麻醉，检查过程中不会感到疼痛或</w:t>
            </w:r>
            <w:r>
              <w:rPr>
                <w:spacing w:val="8"/>
              </w:rPr>
              <w:t>不适，安</w:t>
            </w:r>
            <w:r>
              <w:t xml:space="preserve"> </w:t>
            </w:r>
            <w:r>
              <w:rPr>
                <w:spacing w:val="9"/>
              </w:rPr>
              <w:t>全无痛，随治随走。可诊断食管炎、胃溃疡、十二</w:t>
            </w:r>
            <w:r>
              <w:rPr>
                <w:spacing w:val="8"/>
              </w:rPr>
              <w:t>指肠溃</w:t>
            </w:r>
            <w:r>
              <w:t xml:space="preserve"> </w:t>
            </w:r>
            <w:r>
              <w:rPr>
                <w:spacing w:val="9"/>
              </w:rPr>
              <w:t>疡、慢性胃炎、胃息肉、胃癌等；结肠息肉、结肠</w:t>
            </w:r>
            <w:r>
              <w:rPr>
                <w:spacing w:val="8"/>
              </w:rPr>
              <w:t>炎、结</w:t>
            </w:r>
            <w:r>
              <w:t xml:space="preserve"> </w:t>
            </w:r>
            <w:r>
              <w:rPr>
                <w:spacing w:val="7"/>
              </w:rPr>
              <w:t>肠癌、结直肠出血或肿瘤，溃疡性结肠炎。</w:t>
            </w:r>
          </w:p>
        </w:tc>
      </w:tr>
      <w:tr w14:paraId="0F2676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22" w:hRule="atLeast"/>
        </w:trPr>
        <w:tc>
          <w:tcPr>
            <w:tcW w:w="9398" w:type="dxa"/>
            <w:gridSpan w:val="4"/>
            <w:vAlign w:val="top"/>
          </w:tcPr>
          <w:p w14:paraId="15003970">
            <w:pPr>
              <w:pStyle w:val="70"/>
              <w:spacing w:before="127" w:line="229" w:lineRule="auto"/>
              <w:ind w:left="40"/>
            </w:pPr>
            <w:r>
              <w:rPr>
                <w:color w:val="FF0000"/>
                <w:spacing w:val="-3"/>
              </w:rPr>
              <w:t>温馨提示：</w:t>
            </w:r>
          </w:p>
          <w:p w14:paraId="08137245">
            <w:pPr>
              <w:pStyle w:val="70"/>
              <w:spacing w:before="9" w:line="228" w:lineRule="auto"/>
              <w:ind w:left="53"/>
            </w:pPr>
            <w:r>
              <w:rPr>
                <w:color w:val="FF0000"/>
                <w:spacing w:val="8"/>
              </w:rPr>
              <w:t>1.每人根据自身需求，选检以上体检项目，要求每人体检总费用不超过</w:t>
            </w:r>
            <w:r>
              <w:rPr>
                <w:color w:val="FF0000"/>
                <w:spacing w:val="7"/>
              </w:rPr>
              <w:t>1200.00元</w:t>
            </w:r>
          </w:p>
          <w:p w14:paraId="0C1835EA">
            <w:pPr>
              <w:pStyle w:val="70"/>
              <w:spacing w:before="13" w:line="234" w:lineRule="auto"/>
              <w:ind w:left="37" w:right="218" w:firstLine="3"/>
            </w:pPr>
            <w:r>
              <w:rPr>
                <w:color w:val="FF0000"/>
                <w:spacing w:val="9"/>
              </w:rPr>
              <w:t>2.每位职工免费赠送：疼痛治疗卡1张，可免费体验1次，用于治疗颈椎病、肩周炎</w:t>
            </w:r>
            <w:r>
              <w:rPr>
                <w:color w:val="FF0000"/>
                <w:spacing w:val="8"/>
              </w:rPr>
              <w:t>、腰间盘突出、滑膜炎等疼痛性疾</w:t>
            </w:r>
            <w:r>
              <w:rPr>
                <w:color w:val="FF0000"/>
              </w:rPr>
              <w:t xml:space="preserve"> </w:t>
            </w:r>
            <w:r>
              <w:rPr>
                <w:color w:val="FF0000"/>
                <w:spacing w:val="7"/>
              </w:rPr>
              <w:t>病，治疗方法有针灸、推拿、物理治疗等。</w:t>
            </w:r>
          </w:p>
        </w:tc>
      </w:tr>
    </w:tbl>
    <w:p w14:paraId="14764ACC">
      <w:pPr>
        <w:rPr>
          <w:rFonts w:ascii="Arial"/>
          <w:sz w:val="21"/>
        </w:rPr>
      </w:pPr>
    </w:p>
    <w:p w14:paraId="5A5F0856">
      <w:pPr>
        <w:rPr>
          <w:sz w:val="28"/>
          <w:szCs w:val="28"/>
        </w:rPr>
      </w:pPr>
    </w:p>
    <w:p w14:paraId="35A5F6F4">
      <w:pPr>
        <w:rPr>
          <w:sz w:val="28"/>
          <w:szCs w:val="28"/>
        </w:rPr>
      </w:pPr>
    </w:p>
    <w:p w14:paraId="254A8039">
      <w:pPr>
        <w:rPr>
          <w:sz w:val="28"/>
          <w:szCs w:val="28"/>
        </w:rPr>
      </w:pPr>
    </w:p>
    <w:p w14:paraId="20812A6C">
      <w:pPr>
        <w:pStyle w:val="15"/>
        <w:rPr>
          <w:color w:val="auto"/>
        </w:rPr>
      </w:pPr>
    </w:p>
    <w:p w14:paraId="27C00BA2">
      <w:pPr>
        <w:pStyle w:val="15"/>
        <w:rPr>
          <w:color w:val="auto"/>
        </w:rPr>
      </w:pPr>
    </w:p>
    <w:p w14:paraId="04001217">
      <w:pPr>
        <w:pStyle w:val="15"/>
        <w:rPr>
          <w:color w:val="auto"/>
        </w:rPr>
      </w:pPr>
    </w:p>
    <w:p w14:paraId="595CE830">
      <w:pPr>
        <w:pStyle w:val="15"/>
        <w:rPr>
          <w:color w:val="auto"/>
        </w:rPr>
      </w:pPr>
    </w:p>
    <w:p w14:paraId="0B004C18">
      <w:pPr>
        <w:pStyle w:val="15"/>
        <w:rPr>
          <w:color w:val="auto"/>
        </w:rPr>
      </w:pPr>
    </w:p>
    <w:p w14:paraId="7618E478">
      <w:pPr>
        <w:pStyle w:val="15"/>
        <w:rPr>
          <w:color w:val="auto"/>
        </w:rPr>
      </w:pPr>
    </w:p>
    <w:p w14:paraId="3553DA78">
      <w:pPr>
        <w:pStyle w:val="15"/>
        <w:rPr>
          <w:color w:val="auto"/>
        </w:rPr>
      </w:pPr>
    </w:p>
    <w:p w14:paraId="1169AFD5">
      <w:pPr>
        <w:pStyle w:val="15"/>
        <w:rPr>
          <w:color w:val="auto"/>
        </w:rPr>
      </w:pPr>
    </w:p>
    <w:p w14:paraId="67CA5AA9">
      <w:pPr>
        <w:pStyle w:val="15"/>
        <w:rPr>
          <w:color w:val="auto"/>
        </w:rPr>
      </w:pPr>
    </w:p>
    <w:p w14:paraId="15E5A237">
      <w:pPr>
        <w:pStyle w:val="15"/>
        <w:rPr>
          <w:color w:val="auto"/>
        </w:rPr>
      </w:pPr>
    </w:p>
    <w:p w14:paraId="33D20621">
      <w:pPr>
        <w:pStyle w:val="15"/>
        <w:rPr>
          <w:color w:val="auto"/>
        </w:rPr>
      </w:pPr>
    </w:p>
    <w:p w14:paraId="42821E42">
      <w:pPr>
        <w:pStyle w:val="15"/>
        <w:rPr>
          <w:color w:val="auto"/>
        </w:rPr>
      </w:pPr>
    </w:p>
    <w:p w14:paraId="4561B2A9">
      <w:pPr>
        <w:pStyle w:val="15"/>
        <w:rPr>
          <w:color w:val="auto"/>
        </w:rPr>
      </w:pPr>
    </w:p>
    <w:p w14:paraId="280D1252">
      <w:pPr>
        <w:pStyle w:val="15"/>
        <w:rPr>
          <w:color w:val="auto"/>
        </w:rPr>
      </w:pPr>
    </w:p>
    <w:p w14:paraId="0F1BBB20">
      <w:pPr>
        <w:pStyle w:val="15"/>
        <w:rPr>
          <w:color w:val="auto"/>
        </w:rPr>
      </w:pPr>
    </w:p>
    <w:p w14:paraId="6F3571CD">
      <w:pPr>
        <w:pStyle w:val="15"/>
        <w:rPr>
          <w:color w:val="auto"/>
        </w:rPr>
      </w:pPr>
    </w:p>
    <w:p w14:paraId="70A1E6C6">
      <w:pPr>
        <w:pStyle w:val="15"/>
        <w:rPr>
          <w:color w:val="auto"/>
        </w:rPr>
      </w:pPr>
    </w:p>
    <w:p w14:paraId="0B4A205B">
      <w:pPr>
        <w:pStyle w:val="15"/>
        <w:rPr>
          <w:color w:val="auto"/>
        </w:rPr>
      </w:pPr>
    </w:p>
    <w:p w14:paraId="65752156">
      <w:pPr>
        <w:pStyle w:val="15"/>
        <w:rPr>
          <w:color w:val="auto"/>
        </w:rPr>
      </w:pPr>
    </w:p>
    <w:p w14:paraId="6AD2995D">
      <w:pPr>
        <w:pStyle w:val="15"/>
        <w:rPr>
          <w:color w:val="auto"/>
        </w:rPr>
      </w:pPr>
    </w:p>
    <w:p w14:paraId="179D7DA0">
      <w:pPr>
        <w:pStyle w:val="15"/>
        <w:rPr>
          <w:color w:val="auto"/>
        </w:rPr>
      </w:pPr>
    </w:p>
    <w:p w14:paraId="1482C71D">
      <w:pPr>
        <w:pStyle w:val="15"/>
        <w:rPr>
          <w:color w:val="auto"/>
        </w:rPr>
      </w:pPr>
    </w:p>
    <w:p w14:paraId="6BF923FF">
      <w:pPr>
        <w:pStyle w:val="15"/>
        <w:rPr>
          <w:color w:val="auto"/>
        </w:rPr>
      </w:pPr>
    </w:p>
    <w:p w14:paraId="421F40DB">
      <w:pPr>
        <w:pStyle w:val="15"/>
        <w:rPr>
          <w:color w:val="auto"/>
        </w:rPr>
      </w:pPr>
    </w:p>
    <w:p w14:paraId="494F1596">
      <w:pPr>
        <w:pStyle w:val="15"/>
        <w:rPr>
          <w:color w:val="auto"/>
        </w:rPr>
      </w:pPr>
    </w:p>
    <w:p w14:paraId="7D9C0B8C">
      <w:pPr>
        <w:pStyle w:val="15"/>
        <w:rPr>
          <w:color w:val="auto"/>
        </w:rPr>
      </w:pPr>
    </w:p>
    <w:p w14:paraId="1875981D">
      <w:pPr>
        <w:pStyle w:val="15"/>
        <w:rPr>
          <w:color w:val="auto"/>
        </w:rPr>
      </w:pPr>
    </w:p>
    <w:p w14:paraId="0EC8447B">
      <w:pPr>
        <w:pStyle w:val="15"/>
        <w:rPr>
          <w:color w:val="auto"/>
        </w:rPr>
      </w:pPr>
    </w:p>
    <w:p w14:paraId="1CFF3B3C">
      <w:pPr>
        <w:pStyle w:val="15"/>
        <w:rPr>
          <w:color w:val="auto"/>
        </w:rPr>
      </w:pPr>
    </w:p>
    <w:p w14:paraId="705869A7">
      <w:pPr>
        <w:pStyle w:val="15"/>
        <w:rPr>
          <w:color w:val="auto"/>
        </w:rPr>
      </w:pPr>
    </w:p>
    <w:p w14:paraId="664C4539">
      <w:pPr>
        <w:pStyle w:val="15"/>
        <w:rPr>
          <w:color w:val="auto"/>
        </w:rPr>
      </w:pPr>
    </w:p>
    <w:p w14:paraId="2D50AF60">
      <w:pPr>
        <w:pStyle w:val="15"/>
        <w:rPr>
          <w:color w:val="auto"/>
        </w:rPr>
      </w:pPr>
    </w:p>
    <w:p w14:paraId="03B11370">
      <w:pPr>
        <w:pStyle w:val="15"/>
        <w:rPr>
          <w:color w:val="auto"/>
        </w:rPr>
      </w:pPr>
    </w:p>
    <w:p w14:paraId="2DF800E6">
      <w:pPr>
        <w:pStyle w:val="15"/>
        <w:rPr>
          <w:color w:val="auto"/>
        </w:rPr>
      </w:pPr>
    </w:p>
    <w:p w14:paraId="104DB1D3">
      <w:pPr>
        <w:pStyle w:val="15"/>
        <w:rPr>
          <w:color w:val="auto"/>
        </w:rPr>
      </w:pPr>
    </w:p>
    <w:p w14:paraId="07AE978A">
      <w:pPr>
        <w:pStyle w:val="15"/>
        <w:rPr>
          <w:color w:val="auto"/>
        </w:rPr>
      </w:pPr>
    </w:p>
    <w:p w14:paraId="1FEFC33A">
      <w:pPr>
        <w:pStyle w:val="15"/>
        <w:rPr>
          <w:color w:val="auto"/>
        </w:rPr>
      </w:pPr>
    </w:p>
    <w:p w14:paraId="7B4A9718">
      <w:pPr>
        <w:pStyle w:val="15"/>
        <w:rPr>
          <w:color w:val="auto"/>
        </w:rPr>
      </w:pPr>
    </w:p>
    <w:p w14:paraId="3D0415C3">
      <w:pPr>
        <w:pStyle w:val="15"/>
        <w:rPr>
          <w:color w:val="auto"/>
        </w:rPr>
      </w:pPr>
    </w:p>
    <w:p w14:paraId="705733EF">
      <w:pPr>
        <w:numPr>
          <w:ilvl w:val="255"/>
          <w:numId w:val="0"/>
        </w:numPr>
        <w:rPr>
          <w:rFonts w:asciiTheme="minorEastAsia" w:hAnsiTheme="minorEastAsia" w:eastAsiaTheme="minorEastAsia" w:cstheme="minorEastAsia"/>
          <w:b/>
          <w:bCs/>
          <w:color w:val="auto"/>
          <w:sz w:val="32"/>
          <w:szCs w:val="32"/>
        </w:rPr>
      </w:pPr>
    </w:p>
    <w:bookmarkEnd w:id="203"/>
    <w:bookmarkEnd w:id="204"/>
    <w:p w14:paraId="343D8D55">
      <w:pPr>
        <w:ind w:firstLine="643" w:firstLineChars="200"/>
        <w:jc w:val="center"/>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rPr>
        <w:t>第九篇  附表</w:t>
      </w:r>
    </w:p>
    <w:p w14:paraId="5FC2883B">
      <w:pPr>
        <w:jc w:val="center"/>
        <w:rPr>
          <w:rFonts w:asciiTheme="minorEastAsia" w:hAnsiTheme="minorEastAsia" w:eastAsiaTheme="minorEastAsia" w:cstheme="minorEastAsia"/>
          <w:b/>
          <w:bCs/>
          <w:color w:val="auto"/>
        </w:rPr>
      </w:pPr>
    </w:p>
    <w:bookmarkEnd w:id="205"/>
    <w:bookmarkEnd w:id="206"/>
    <w:bookmarkEnd w:id="207"/>
    <w:p w14:paraId="0DF26895">
      <w:pPr>
        <w:widowControl/>
        <w:autoSpaceDE w:val="0"/>
        <w:autoSpaceDN w:val="0"/>
        <w:ind w:right="-12"/>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sz w:val="32"/>
          <w:szCs w:val="32"/>
        </w:rPr>
        <w:t>1.</w:t>
      </w:r>
      <w:r>
        <w:rPr>
          <w:rFonts w:hint="eastAsia" w:asciiTheme="minorEastAsia" w:hAnsiTheme="minorEastAsia" w:eastAsiaTheme="minorEastAsia" w:cstheme="minorEastAsia"/>
          <w:b/>
          <w:bCs/>
          <w:color w:val="auto"/>
          <w:sz w:val="32"/>
          <w:szCs w:val="32"/>
        </w:rPr>
        <w:t xml:space="preserve"> 响应文件格式</w:t>
      </w:r>
    </w:p>
    <w:p w14:paraId="6F241941">
      <w:pPr>
        <w:widowControl/>
        <w:autoSpaceDE w:val="0"/>
        <w:autoSpaceDN w:val="0"/>
        <w:spacing w:line="360" w:lineRule="auto"/>
        <w:ind w:right="-12"/>
        <w:textAlignment w:val="bottom"/>
        <w:rPr>
          <w:rFonts w:asciiTheme="minorEastAsia" w:hAnsiTheme="minorEastAsia" w:eastAsiaTheme="minorEastAsia" w:cstheme="minorEastAsia"/>
          <w:color w:val="auto"/>
        </w:rPr>
      </w:pPr>
    </w:p>
    <w:p w14:paraId="133BFB9A">
      <w:pPr>
        <w:widowControl/>
        <w:autoSpaceDE w:val="0"/>
        <w:autoSpaceDN w:val="0"/>
        <w:spacing w:line="360" w:lineRule="auto"/>
        <w:ind w:right="-12"/>
        <w:textAlignment w:val="bottom"/>
        <w:rPr>
          <w:rFonts w:asciiTheme="minorEastAsia" w:hAnsiTheme="minorEastAsia" w:eastAsiaTheme="minorEastAsia" w:cstheme="minorEastAsia"/>
          <w:color w:val="auto"/>
        </w:rPr>
      </w:pPr>
    </w:p>
    <w:p w14:paraId="706AB187">
      <w:pPr>
        <w:widowControl/>
        <w:autoSpaceDE w:val="0"/>
        <w:autoSpaceDN w:val="0"/>
        <w:spacing w:line="360" w:lineRule="auto"/>
        <w:ind w:right="-12"/>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致：采购代理机构</w:t>
      </w:r>
    </w:p>
    <w:p w14:paraId="41C54D40">
      <w:pPr>
        <w:widowControl/>
        <w:autoSpaceDE w:val="0"/>
        <w:autoSpaceDN w:val="0"/>
        <w:spacing w:line="360" w:lineRule="auto"/>
        <w:ind w:right="17" w:firstLine="420" w:firstLineChars="2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根据贵方为项目招标采购的服务的竞争性磋商邀请（项目编号和包号），签字代表 （职务）经正式授权并代表服务商（服务商名称、地址）提交下述文件</w:t>
      </w:r>
      <w:r>
        <w:rPr>
          <w:rFonts w:hint="eastAsia" w:asciiTheme="minorEastAsia" w:hAnsiTheme="minorEastAsia" w:eastAsiaTheme="minorEastAsia" w:cstheme="minorEastAsia"/>
          <w:b/>
          <w:bCs/>
          <w:color w:val="auto"/>
        </w:rPr>
        <w:t>正本一份</w:t>
      </w:r>
      <w:r>
        <w:rPr>
          <w:rFonts w:hint="eastAsia" w:asciiTheme="minorEastAsia" w:hAnsiTheme="minorEastAsia" w:eastAsiaTheme="minorEastAsia" w:cstheme="minorEastAsia"/>
          <w:color w:val="auto"/>
        </w:rPr>
        <w:t>：</w:t>
      </w:r>
    </w:p>
    <w:p w14:paraId="06B1D09D">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首次报价一览表；</w:t>
      </w:r>
    </w:p>
    <w:p w14:paraId="4D65FA51">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磋商分项报价表；</w:t>
      </w:r>
    </w:p>
    <w:p w14:paraId="24A288DF">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服务内容偏离表；</w:t>
      </w:r>
    </w:p>
    <w:p w14:paraId="535661CE">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商务条款偏离表；</w:t>
      </w:r>
    </w:p>
    <w:p w14:paraId="5FA5F1EA">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合同条款响应一览表；</w:t>
      </w:r>
    </w:p>
    <w:p w14:paraId="04A1C740">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成交服务费承诺书；</w:t>
      </w:r>
    </w:p>
    <w:p w14:paraId="24C89256">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资格证明文件；</w:t>
      </w:r>
    </w:p>
    <w:p w14:paraId="2B2E2B7B">
      <w:pPr>
        <w:widowControl/>
        <w:numPr>
          <w:ilvl w:val="0"/>
          <w:numId w:val="19"/>
        </w:numPr>
        <w:autoSpaceDE w:val="0"/>
        <w:autoSpaceDN w:val="0"/>
        <w:spacing w:line="360" w:lineRule="auto"/>
        <w:ind w:right="17" w:hanging="431"/>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磋商文件中服务商须知要求的所有文件；</w:t>
      </w:r>
    </w:p>
    <w:p w14:paraId="0C831037">
      <w:pPr>
        <w:widowControl/>
        <w:numPr>
          <w:ilvl w:val="0"/>
          <w:numId w:val="19"/>
        </w:numPr>
        <w:autoSpaceDE w:val="0"/>
        <w:autoSpaceDN w:val="0"/>
        <w:spacing w:line="360" w:lineRule="auto"/>
        <w:ind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金额为</w:t>
      </w:r>
      <w:r>
        <w:rPr>
          <w:rFonts w:hint="eastAsia" w:asciiTheme="minorEastAsia" w:hAnsiTheme="minorEastAsia" w:eastAsiaTheme="minorEastAsia" w:cstheme="minorEastAsia"/>
          <w:color w:val="auto"/>
          <w:lang w:val="en-US" w:eastAsia="zh-CN"/>
        </w:rPr>
        <w:t>0</w:t>
      </w:r>
      <w:r>
        <w:rPr>
          <w:rFonts w:hint="eastAsia" w:asciiTheme="minorEastAsia" w:hAnsiTheme="minorEastAsia" w:eastAsiaTheme="minorEastAsia" w:cstheme="minorEastAsia"/>
          <w:color w:val="auto"/>
        </w:rPr>
        <w:t>的磋商保证金（金额根据国家相关规定执行）。</w:t>
      </w:r>
    </w:p>
    <w:p w14:paraId="7207E38A">
      <w:pPr>
        <w:widowControl/>
        <w:autoSpaceDE w:val="0"/>
        <w:autoSpaceDN w:val="0"/>
        <w:spacing w:line="360" w:lineRule="auto"/>
        <w:ind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据此函，签字代表宣布同意如下：</w:t>
      </w:r>
    </w:p>
    <w:p w14:paraId="0C941B5E">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10）所附服务分项价格表中规定的应提供全部服务的总价为_______（大写）。        </w:t>
      </w:r>
    </w:p>
    <w:p w14:paraId="62F9CBB8">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11）服务商将按磋商文件的规定履行合同责任和义务。</w:t>
      </w:r>
    </w:p>
    <w:p w14:paraId="0F40223E">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12）服务商已详细审查全部磋商文件，包括澄清函和修改文件（若有）以及全部参考资料和有关附件。服务商完全清楚其应放弃提出一切引起含糊不清或误解的权利。</w:t>
      </w:r>
    </w:p>
    <w:p w14:paraId="7CC7B022">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13) 自响应文件开启日起有效期为日历日。</w:t>
      </w:r>
    </w:p>
    <w:p w14:paraId="669095B1">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14) 如果在响应文件开启规定时间和日期后，服务商在响应文件有效期内撤回响应文件，其磋商保证金将被采购代理机构方没收。</w:t>
      </w:r>
    </w:p>
    <w:p w14:paraId="50F18611">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15)服务商同意提供按照采购人要求的与其投标有关的一切数字或资料，并对采购人可能不接受最低价成交及任何服务商表示理解。</w:t>
      </w:r>
    </w:p>
    <w:p w14:paraId="3105EE00">
      <w:pPr>
        <w:widowControl/>
        <w:autoSpaceDE w:val="0"/>
        <w:autoSpaceDN w:val="0"/>
        <w:spacing w:line="360" w:lineRule="auto"/>
        <w:ind w:left="397"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16)与本磋商有关的一切正式往来通讯请寄：</w:t>
      </w:r>
    </w:p>
    <w:p w14:paraId="08C0C7D6">
      <w:pPr>
        <w:widowControl/>
        <w:autoSpaceDE w:val="0"/>
        <w:autoSpaceDN w:val="0"/>
        <w:spacing w:line="360" w:lineRule="auto"/>
        <w:ind w:right="-154"/>
        <w:textAlignment w:val="bottom"/>
        <w:rPr>
          <w:rFonts w:asciiTheme="minorEastAsia" w:hAnsiTheme="minorEastAsia" w:eastAsiaTheme="minorEastAsia" w:cstheme="minorEastAsia"/>
          <w:color w:val="auto"/>
        </w:rPr>
      </w:pPr>
    </w:p>
    <w:p w14:paraId="68193B4A">
      <w:pPr>
        <w:widowControl/>
        <w:autoSpaceDE w:val="0"/>
        <w:autoSpaceDN w:val="0"/>
        <w:spacing w:line="360" w:lineRule="auto"/>
        <w:ind w:right="-154"/>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服务商名称（公章）：         </w:t>
      </w:r>
    </w:p>
    <w:p w14:paraId="1BFA6A69">
      <w:pPr>
        <w:widowControl/>
        <w:autoSpaceDE w:val="0"/>
        <w:autoSpaceDN w:val="0"/>
        <w:spacing w:line="360" w:lineRule="auto"/>
        <w:ind w:right="-154"/>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地址：</w:t>
      </w:r>
    </w:p>
    <w:p w14:paraId="5EF4A449">
      <w:pPr>
        <w:widowControl/>
        <w:autoSpaceDE w:val="0"/>
        <w:autoSpaceDN w:val="0"/>
        <w:spacing w:line="360" w:lineRule="auto"/>
        <w:ind w:right="-154"/>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电话：         </w:t>
      </w:r>
    </w:p>
    <w:p w14:paraId="08BB75D1">
      <w:pPr>
        <w:widowControl/>
        <w:autoSpaceDE w:val="0"/>
        <w:autoSpaceDN w:val="0"/>
        <w:spacing w:line="360" w:lineRule="auto"/>
        <w:ind w:right="-154"/>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授权人签字：</w:t>
      </w:r>
    </w:p>
    <w:p w14:paraId="73CAF6AF">
      <w:pPr>
        <w:widowControl/>
        <w:autoSpaceDE w:val="0"/>
        <w:autoSpaceDN w:val="0"/>
        <w:spacing w:line="360" w:lineRule="auto"/>
        <w:ind w:right="893"/>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rPr>
        <w:br w:type="page"/>
      </w:r>
      <w:r>
        <w:rPr>
          <w:rFonts w:hint="eastAsia" w:asciiTheme="minorEastAsia" w:hAnsiTheme="minorEastAsia" w:eastAsiaTheme="minorEastAsia" w:cstheme="minorEastAsia"/>
          <w:color w:val="auto"/>
          <w:sz w:val="32"/>
          <w:szCs w:val="32"/>
        </w:rPr>
        <w:t>2.</w:t>
      </w:r>
      <w:r>
        <w:rPr>
          <w:rFonts w:hint="eastAsia" w:asciiTheme="minorEastAsia" w:hAnsiTheme="minorEastAsia" w:eastAsiaTheme="minorEastAsia" w:cstheme="minorEastAsia"/>
          <w:b/>
          <w:bCs/>
          <w:color w:val="auto"/>
          <w:sz w:val="32"/>
          <w:szCs w:val="32"/>
        </w:rPr>
        <w:t xml:space="preserve"> 首次报价一览表格式</w:t>
      </w:r>
    </w:p>
    <w:p w14:paraId="5B9ACD76">
      <w:pPr>
        <w:widowControl/>
        <w:autoSpaceDE w:val="0"/>
        <w:autoSpaceDN w:val="0"/>
        <w:spacing w:line="360" w:lineRule="auto"/>
        <w:ind w:right="893"/>
        <w:jc w:val="center"/>
        <w:textAlignment w:val="bottom"/>
        <w:rPr>
          <w:rFonts w:asciiTheme="minorEastAsia" w:hAnsiTheme="minorEastAsia" w:eastAsiaTheme="minorEastAsia" w:cstheme="minorEastAsia"/>
          <w:color w:val="auto"/>
          <w:sz w:val="32"/>
          <w:szCs w:val="32"/>
        </w:rPr>
      </w:pPr>
    </w:p>
    <w:p w14:paraId="0C068D2D">
      <w:pPr>
        <w:widowControl/>
        <w:autoSpaceDE w:val="0"/>
        <w:autoSpaceDN w:val="0"/>
        <w:spacing w:line="360" w:lineRule="auto"/>
        <w:ind w:right="893"/>
        <w:jc w:val="center"/>
        <w:textAlignment w:val="bottom"/>
        <w:rPr>
          <w:rFonts w:asciiTheme="minorEastAsia" w:hAnsiTheme="minorEastAsia" w:eastAsiaTheme="minorEastAsia" w:cstheme="minorEastAsia"/>
          <w:color w:val="auto"/>
          <w:sz w:val="32"/>
          <w:szCs w:val="32"/>
        </w:rPr>
      </w:pPr>
    </w:p>
    <w:p w14:paraId="22D38595">
      <w:pPr>
        <w:widowControl/>
        <w:autoSpaceDE w:val="0"/>
        <w:autoSpaceDN w:val="0"/>
        <w:spacing w:line="360" w:lineRule="auto"/>
        <w:ind w:right="890"/>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项目名称：   </w:t>
      </w:r>
    </w:p>
    <w:p w14:paraId="5ED36623">
      <w:pPr>
        <w:widowControl/>
        <w:autoSpaceDE w:val="0"/>
        <w:autoSpaceDN w:val="0"/>
        <w:spacing w:line="360" w:lineRule="auto"/>
        <w:ind w:right="89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项目编号：</w:t>
      </w:r>
    </w:p>
    <w:p w14:paraId="202D8393">
      <w:pPr>
        <w:widowControl/>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服务商名称（公章）：</w:t>
      </w:r>
    </w:p>
    <w:p w14:paraId="2604D40D">
      <w:pPr>
        <w:widowControl/>
        <w:autoSpaceDE w:val="0"/>
        <w:autoSpaceDN w:val="0"/>
        <w:spacing w:line="360" w:lineRule="auto"/>
        <w:ind w:right="893"/>
        <w:textAlignment w:val="bottom"/>
        <w:rPr>
          <w:rFonts w:asciiTheme="minorEastAsia" w:hAnsiTheme="minorEastAsia" w:eastAsiaTheme="minorEastAsia" w:cstheme="minorEastAsia"/>
          <w:color w:val="auto"/>
          <w:u w:val="single"/>
        </w:rPr>
      </w:pPr>
    </w:p>
    <w:p w14:paraId="7E0EB5F6">
      <w:pPr>
        <w:widowControl/>
        <w:autoSpaceDE w:val="0"/>
        <w:autoSpaceDN w:val="0"/>
        <w:spacing w:line="360" w:lineRule="auto"/>
        <w:ind w:right="893"/>
        <w:textAlignment w:val="bottom"/>
        <w:rPr>
          <w:rFonts w:asciiTheme="minorEastAsia" w:hAnsiTheme="minorEastAsia" w:eastAsiaTheme="minorEastAsia" w:cstheme="minorEastAsia"/>
          <w:color w:val="auto"/>
          <w:u w:val="single"/>
        </w:rPr>
      </w:pPr>
    </w:p>
    <w:tbl>
      <w:tblPr>
        <w:tblStyle w:val="18"/>
        <w:tblW w:w="94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4"/>
        <w:gridCol w:w="1355"/>
        <w:gridCol w:w="3701"/>
        <w:gridCol w:w="945"/>
        <w:gridCol w:w="840"/>
      </w:tblGrid>
      <w:tr w14:paraId="7390F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exact"/>
          <w:jc w:val="center"/>
        </w:trPr>
        <w:tc>
          <w:tcPr>
            <w:tcW w:w="2564" w:type="dxa"/>
            <w:vAlign w:val="center"/>
          </w:tcPr>
          <w:p w14:paraId="4F8D185C">
            <w:pPr>
              <w:widowControl/>
              <w:autoSpaceDE w:val="0"/>
              <w:autoSpaceDN w:val="0"/>
              <w:spacing w:line="360" w:lineRule="auto"/>
              <w:jc w:val="center"/>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服务名称</w:t>
            </w:r>
          </w:p>
          <w:p w14:paraId="17A9C63B">
            <w:pPr>
              <w:widowControl/>
              <w:tabs>
                <w:tab w:val="left" w:pos="1197"/>
              </w:tabs>
              <w:autoSpaceDE w:val="0"/>
              <w:autoSpaceDN w:val="0"/>
              <w:spacing w:line="360" w:lineRule="auto"/>
              <w:ind w:right="215"/>
              <w:jc w:val="center"/>
              <w:textAlignment w:val="bottom"/>
              <w:rPr>
                <w:rFonts w:asciiTheme="minorEastAsia" w:hAnsiTheme="minorEastAsia" w:eastAsiaTheme="minorEastAsia" w:cstheme="minorEastAsia"/>
                <w:color w:val="auto"/>
              </w:rPr>
            </w:pPr>
          </w:p>
          <w:p w14:paraId="2BB001BC">
            <w:pPr>
              <w:widowControl/>
              <w:autoSpaceDE w:val="0"/>
              <w:autoSpaceDN w:val="0"/>
              <w:spacing w:line="360" w:lineRule="auto"/>
              <w:ind w:right="-19"/>
              <w:jc w:val="center"/>
              <w:textAlignment w:val="bottom"/>
              <w:rPr>
                <w:rFonts w:asciiTheme="minorEastAsia" w:hAnsiTheme="minorEastAsia" w:eastAsiaTheme="minorEastAsia" w:cstheme="minorEastAsia"/>
                <w:color w:val="auto"/>
              </w:rPr>
            </w:pPr>
          </w:p>
        </w:tc>
        <w:tc>
          <w:tcPr>
            <w:tcW w:w="1355" w:type="dxa"/>
            <w:vAlign w:val="center"/>
          </w:tcPr>
          <w:p w14:paraId="1C4AA2B8">
            <w:pPr>
              <w:widowControl/>
              <w:autoSpaceDE w:val="0"/>
              <w:autoSpaceDN w:val="0"/>
              <w:spacing w:line="360" w:lineRule="auto"/>
              <w:jc w:val="center"/>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数量</w:t>
            </w:r>
          </w:p>
        </w:tc>
        <w:tc>
          <w:tcPr>
            <w:tcW w:w="3701" w:type="dxa"/>
            <w:vAlign w:val="center"/>
          </w:tcPr>
          <w:p w14:paraId="4D91E0D8">
            <w:pPr>
              <w:widowControl/>
              <w:autoSpaceDE w:val="0"/>
              <w:autoSpaceDN w:val="0"/>
              <w:spacing w:line="360" w:lineRule="auto"/>
              <w:jc w:val="center"/>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总价</w:t>
            </w:r>
          </w:p>
        </w:tc>
        <w:tc>
          <w:tcPr>
            <w:tcW w:w="945" w:type="dxa"/>
            <w:vAlign w:val="center"/>
          </w:tcPr>
          <w:p w14:paraId="4E807AC9">
            <w:pPr>
              <w:widowControl/>
              <w:autoSpaceDE w:val="0"/>
              <w:autoSpaceDN w:val="0"/>
              <w:spacing w:line="360" w:lineRule="auto"/>
              <w:jc w:val="center"/>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服务期限</w:t>
            </w:r>
          </w:p>
        </w:tc>
        <w:tc>
          <w:tcPr>
            <w:tcW w:w="840" w:type="dxa"/>
            <w:vAlign w:val="center"/>
          </w:tcPr>
          <w:p w14:paraId="6859C984">
            <w:pPr>
              <w:widowControl/>
              <w:autoSpaceDE w:val="0"/>
              <w:autoSpaceDN w:val="0"/>
              <w:spacing w:line="360" w:lineRule="auto"/>
              <w:jc w:val="center"/>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w:t>
            </w:r>
          </w:p>
        </w:tc>
      </w:tr>
      <w:tr w14:paraId="67E57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564" w:type="dxa"/>
            <w:vAlign w:val="center"/>
          </w:tcPr>
          <w:p w14:paraId="30E1669E">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1355" w:type="dxa"/>
            <w:vAlign w:val="center"/>
          </w:tcPr>
          <w:p w14:paraId="573132F0">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3701" w:type="dxa"/>
            <w:vAlign w:val="center"/>
          </w:tcPr>
          <w:p w14:paraId="6D71C2A5">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945" w:type="dxa"/>
            <w:vAlign w:val="center"/>
          </w:tcPr>
          <w:p w14:paraId="0D3E0C49">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840" w:type="dxa"/>
            <w:vAlign w:val="center"/>
          </w:tcPr>
          <w:p w14:paraId="14CE72B3">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r>
      <w:tr w14:paraId="5E1356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564" w:type="dxa"/>
            <w:vAlign w:val="center"/>
          </w:tcPr>
          <w:p w14:paraId="2F46E218">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1355" w:type="dxa"/>
            <w:vAlign w:val="center"/>
          </w:tcPr>
          <w:p w14:paraId="4BFDEA8C">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3701" w:type="dxa"/>
            <w:vAlign w:val="center"/>
          </w:tcPr>
          <w:p w14:paraId="0CB7E454">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945" w:type="dxa"/>
            <w:vAlign w:val="center"/>
          </w:tcPr>
          <w:p w14:paraId="3168FB37">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840" w:type="dxa"/>
            <w:vAlign w:val="center"/>
          </w:tcPr>
          <w:p w14:paraId="4C386E18">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r>
      <w:tr w14:paraId="6C976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564" w:type="dxa"/>
            <w:vAlign w:val="center"/>
          </w:tcPr>
          <w:p w14:paraId="3A58DE1B">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1355" w:type="dxa"/>
            <w:vAlign w:val="center"/>
          </w:tcPr>
          <w:p w14:paraId="7829BFBB">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3701" w:type="dxa"/>
            <w:vAlign w:val="center"/>
          </w:tcPr>
          <w:p w14:paraId="6C9571BC">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945" w:type="dxa"/>
            <w:vAlign w:val="center"/>
          </w:tcPr>
          <w:p w14:paraId="76CE8006">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840" w:type="dxa"/>
            <w:vAlign w:val="center"/>
          </w:tcPr>
          <w:p w14:paraId="3A547375">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r>
      <w:tr w14:paraId="4E104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2564" w:type="dxa"/>
            <w:vAlign w:val="center"/>
          </w:tcPr>
          <w:p w14:paraId="1357BCF2">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1355" w:type="dxa"/>
            <w:vAlign w:val="center"/>
          </w:tcPr>
          <w:p w14:paraId="281EDAB2">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3701" w:type="dxa"/>
            <w:vAlign w:val="center"/>
          </w:tcPr>
          <w:p w14:paraId="29F60C59">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945" w:type="dxa"/>
            <w:vAlign w:val="center"/>
          </w:tcPr>
          <w:p w14:paraId="61A83779">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c>
          <w:tcPr>
            <w:tcW w:w="840" w:type="dxa"/>
            <w:vAlign w:val="center"/>
          </w:tcPr>
          <w:p w14:paraId="4C0495AE">
            <w:pPr>
              <w:widowControl/>
              <w:autoSpaceDE w:val="0"/>
              <w:autoSpaceDN w:val="0"/>
              <w:spacing w:line="360" w:lineRule="auto"/>
              <w:ind w:right="893"/>
              <w:jc w:val="center"/>
              <w:textAlignment w:val="bottom"/>
              <w:rPr>
                <w:rFonts w:asciiTheme="minorEastAsia" w:hAnsiTheme="minorEastAsia" w:eastAsiaTheme="minorEastAsia" w:cstheme="minorEastAsia"/>
                <w:color w:val="auto"/>
              </w:rPr>
            </w:pPr>
          </w:p>
        </w:tc>
      </w:tr>
      <w:tr w14:paraId="2E10D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405" w:type="dxa"/>
            <w:gridSpan w:val="5"/>
            <w:vAlign w:val="center"/>
          </w:tcPr>
          <w:p w14:paraId="67BBA6A2">
            <w:pPr>
              <w:widowControl/>
              <w:autoSpaceDE w:val="0"/>
              <w:autoSpaceDN w:val="0"/>
              <w:spacing w:line="360" w:lineRule="auto"/>
              <w:ind w:right="893"/>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合计：大写                   ；小写￥</w:t>
            </w:r>
          </w:p>
        </w:tc>
      </w:tr>
    </w:tbl>
    <w:p w14:paraId="50271209">
      <w:pPr>
        <w:widowControl/>
        <w:autoSpaceDE w:val="0"/>
        <w:autoSpaceDN w:val="0"/>
        <w:spacing w:line="360" w:lineRule="auto"/>
        <w:ind w:right="893" w:firstLine="960" w:firstLineChars="300"/>
        <w:jc w:val="center"/>
        <w:textAlignment w:val="bottom"/>
        <w:rPr>
          <w:rFonts w:asciiTheme="minorEastAsia" w:hAnsiTheme="minorEastAsia" w:eastAsiaTheme="minorEastAsia" w:cstheme="minorEastAsia"/>
          <w:color w:val="auto"/>
          <w:sz w:val="32"/>
          <w:szCs w:val="32"/>
        </w:rPr>
      </w:pPr>
    </w:p>
    <w:p w14:paraId="570A4A2D">
      <w:pPr>
        <w:widowControl/>
        <w:autoSpaceDE w:val="0"/>
        <w:autoSpaceDN w:val="0"/>
        <w:spacing w:line="360" w:lineRule="auto"/>
        <w:ind w:right="893"/>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注：</w:t>
      </w:r>
    </w:p>
    <w:p w14:paraId="1CB49AE8">
      <w:pPr>
        <w:widowControl/>
        <w:numPr>
          <w:ilvl w:val="3"/>
          <w:numId w:val="15"/>
        </w:numPr>
        <w:tabs>
          <w:tab w:val="left" w:pos="525"/>
        </w:tabs>
        <w:autoSpaceDE w:val="0"/>
        <w:autoSpaceDN w:val="0"/>
        <w:spacing w:line="360" w:lineRule="auto"/>
        <w:ind w:left="527" w:right="893" w:hanging="52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首次报价一览表一式一份；</w:t>
      </w:r>
    </w:p>
    <w:p w14:paraId="780CB09F">
      <w:pPr>
        <w:widowControl/>
        <w:numPr>
          <w:ilvl w:val="3"/>
          <w:numId w:val="15"/>
        </w:numPr>
        <w:tabs>
          <w:tab w:val="left" w:pos="525"/>
        </w:tabs>
        <w:autoSpaceDE w:val="0"/>
        <w:autoSpaceDN w:val="0"/>
        <w:spacing w:line="360" w:lineRule="auto"/>
        <w:ind w:left="527" w:right="893" w:hanging="52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货币为人民币；如果单价与总价不符，以单价为准；</w:t>
      </w:r>
    </w:p>
    <w:p w14:paraId="6CA23A2C">
      <w:pPr>
        <w:widowControl/>
        <w:numPr>
          <w:ilvl w:val="3"/>
          <w:numId w:val="15"/>
        </w:numPr>
        <w:tabs>
          <w:tab w:val="left" w:pos="525"/>
        </w:tabs>
        <w:autoSpaceDE w:val="0"/>
        <w:autoSpaceDN w:val="0"/>
        <w:spacing w:line="360" w:lineRule="auto"/>
        <w:ind w:left="527" w:right="1" w:hanging="52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服务单价及服务总价的报价方式为服务送交合同指定的最终服务地点，含安装费等在内的综合价；</w:t>
      </w:r>
    </w:p>
    <w:p w14:paraId="24EA1445">
      <w:pPr>
        <w:widowControl/>
        <w:numPr>
          <w:ilvl w:val="3"/>
          <w:numId w:val="15"/>
        </w:numPr>
        <w:tabs>
          <w:tab w:val="left" w:pos="525"/>
        </w:tabs>
        <w:autoSpaceDE w:val="0"/>
        <w:autoSpaceDN w:val="0"/>
        <w:spacing w:line="360" w:lineRule="auto"/>
        <w:ind w:left="527" w:right="1" w:hanging="52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报价（服务总价）应包括如果授予合同将要缴纳的包括增值税在内的销售税和其他税；</w:t>
      </w:r>
    </w:p>
    <w:p w14:paraId="4B249EA3">
      <w:pPr>
        <w:widowControl/>
        <w:numPr>
          <w:ilvl w:val="3"/>
          <w:numId w:val="15"/>
        </w:numPr>
        <w:tabs>
          <w:tab w:val="left" w:pos="525"/>
        </w:tabs>
        <w:autoSpaceDE w:val="0"/>
        <w:autoSpaceDN w:val="0"/>
        <w:spacing w:line="360" w:lineRule="auto"/>
        <w:ind w:left="527" w:right="893" w:hanging="52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此表应按“服务商须知”的规定密封标记。</w:t>
      </w:r>
    </w:p>
    <w:p w14:paraId="7ABF7514">
      <w:pPr>
        <w:widowControl/>
        <w:autoSpaceDE w:val="0"/>
        <w:autoSpaceDN w:val="0"/>
        <w:spacing w:line="360" w:lineRule="auto"/>
        <w:ind w:right="893"/>
        <w:textAlignment w:val="bottom"/>
        <w:rPr>
          <w:rFonts w:asciiTheme="minorEastAsia" w:hAnsiTheme="minorEastAsia" w:eastAsiaTheme="minorEastAsia" w:cstheme="minorEastAsia"/>
          <w:color w:val="auto"/>
        </w:rPr>
      </w:pPr>
    </w:p>
    <w:p w14:paraId="6642CDFD">
      <w:pPr>
        <w:widowControl/>
        <w:autoSpaceDE w:val="0"/>
        <w:autoSpaceDN w:val="0"/>
        <w:spacing w:line="360" w:lineRule="auto"/>
        <w:ind w:right="893"/>
        <w:textAlignment w:val="bottom"/>
        <w:rPr>
          <w:rFonts w:asciiTheme="minorEastAsia" w:hAnsiTheme="minorEastAsia" w:eastAsiaTheme="minorEastAsia" w:cstheme="minorEastAsia"/>
          <w:color w:val="auto"/>
        </w:rPr>
      </w:pPr>
    </w:p>
    <w:p w14:paraId="5CAC0FCC">
      <w:pPr>
        <w:widowControl/>
        <w:autoSpaceDE w:val="0"/>
        <w:autoSpaceDN w:val="0"/>
        <w:spacing w:line="360" w:lineRule="auto"/>
        <w:ind w:right="893"/>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服务商授权人签字：</w:t>
      </w:r>
    </w:p>
    <w:p w14:paraId="491625E4">
      <w:pPr>
        <w:widowControl/>
        <w:autoSpaceDE w:val="0"/>
        <w:autoSpaceDN w:val="0"/>
        <w:spacing w:line="360" w:lineRule="auto"/>
        <w:ind w:right="893" w:firstLine="1260" w:firstLineChars="6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日期：</w:t>
      </w:r>
    </w:p>
    <w:p w14:paraId="237ABFD4">
      <w:pPr>
        <w:widowControl/>
        <w:autoSpaceDE w:val="0"/>
        <w:autoSpaceDN w:val="0"/>
        <w:spacing w:line="360" w:lineRule="auto"/>
        <w:ind w:right="893"/>
        <w:jc w:val="center"/>
        <w:textAlignment w:val="bottom"/>
        <w:rPr>
          <w:rFonts w:asciiTheme="minorEastAsia" w:hAnsiTheme="minorEastAsia" w:eastAsiaTheme="minorEastAsia" w:cstheme="minorEastAsia"/>
          <w:b/>
          <w:bCs/>
          <w:color w:val="auto"/>
          <w:sz w:val="32"/>
          <w:szCs w:val="32"/>
        </w:rPr>
      </w:pPr>
    </w:p>
    <w:p w14:paraId="27441F8A">
      <w:pPr>
        <w:widowControl/>
        <w:autoSpaceDE w:val="0"/>
        <w:autoSpaceDN w:val="0"/>
        <w:spacing w:line="360" w:lineRule="auto"/>
        <w:ind w:right="-154"/>
        <w:textAlignment w:val="bottom"/>
        <w:rPr>
          <w:rFonts w:asciiTheme="minorEastAsia" w:hAnsiTheme="minorEastAsia" w:eastAsiaTheme="minorEastAsia" w:cstheme="minorEastAsia"/>
          <w:b/>
          <w:bCs/>
          <w:color w:val="auto"/>
          <w:sz w:val="28"/>
          <w:szCs w:val="28"/>
        </w:rPr>
      </w:pPr>
    </w:p>
    <w:p w14:paraId="45D93AF1">
      <w:pPr>
        <w:widowControl/>
        <w:autoSpaceDE w:val="0"/>
        <w:autoSpaceDN w:val="0"/>
        <w:ind w:right="-12"/>
        <w:jc w:val="center"/>
        <w:textAlignment w:val="bottom"/>
        <w:rPr>
          <w:rFonts w:asciiTheme="minorEastAsia" w:hAnsiTheme="minorEastAsia" w:eastAsiaTheme="minorEastAsia" w:cstheme="minorEastAsia"/>
          <w:b/>
          <w:bCs/>
          <w:color w:val="auto"/>
          <w:sz w:val="32"/>
          <w:szCs w:val="32"/>
        </w:rPr>
      </w:pPr>
    </w:p>
    <w:p w14:paraId="2A099ECC">
      <w:pPr>
        <w:widowControl/>
        <w:autoSpaceDE w:val="0"/>
        <w:autoSpaceDN w:val="0"/>
        <w:ind w:right="-12"/>
        <w:jc w:val="center"/>
        <w:textAlignment w:val="bottom"/>
        <w:rPr>
          <w:rFonts w:asciiTheme="minorEastAsia" w:hAnsiTheme="minorEastAsia" w:eastAsiaTheme="minorEastAsia" w:cstheme="minorEastAsia"/>
          <w:b/>
          <w:bCs/>
          <w:color w:val="auto"/>
          <w:sz w:val="32"/>
          <w:szCs w:val="32"/>
        </w:rPr>
      </w:pPr>
    </w:p>
    <w:p w14:paraId="7295E06F">
      <w:pPr>
        <w:widowControl/>
        <w:autoSpaceDE w:val="0"/>
        <w:autoSpaceDN w:val="0"/>
        <w:ind w:right="-12"/>
        <w:textAlignment w:val="bottom"/>
        <w:rPr>
          <w:rFonts w:asciiTheme="minorEastAsia" w:hAnsiTheme="minorEastAsia" w:eastAsiaTheme="minorEastAsia" w:cstheme="minorEastAsia"/>
          <w:b/>
          <w:bCs/>
          <w:color w:val="auto"/>
          <w:sz w:val="32"/>
          <w:szCs w:val="32"/>
        </w:rPr>
      </w:pPr>
    </w:p>
    <w:p w14:paraId="00CB1295">
      <w:pPr>
        <w:widowControl/>
        <w:autoSpaceDE w:val="0"/>
        <w:autoSpaceDN w:val="0"/>
        <w:ind w:right="893"/>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sz w:val="32"/>
          <w:szCs w:val="32"/>
        </w:rPr>
        <w:t xml:space="preserve">3. </w:t>
      </w:r>
      <w:r>
        <w:rPr>
          <w:rFonts w:hint="eastAsia" w:asciiTheme="minorEastAsia" w:hAnsiTheme="minorEastAsia" w:eastAsiaTheme="minorEastAsia" w:cstheme="minorEastAsia"/>
          <w:b/>
          <w:bCs/>
          <w:color w:val="auto"/>
          <w:sz w:val="32"/>
          <w:szCs w:val="32"/>
        </w:rPr>
        <w:t>磋商分项报价表格式</w:t>
      </w:r>
    </w:p>
    <w:p w14:paraId="5D5BB6FA">
      <w:pPr>
        <w:widowControl/>
        <w:autoSpaceDE w:val="0"/>
        <w:autoSpaceDN w:val="0"/>
        <w:spacing w:line="360" w:lineRule="auto"/>
        <w:ind w:right="890"/>
        <w:jc w:val="center"/>
        <w:textAlignment w:val="bottom"/>
        <w:rPr>
          <w:rFonts w:asciiTheme="minorEastAsia" w:hAnsiTheme="minorEastAsia" w:eastAsiaTheme="minorEastAsia" w:cstheme="minorEastAsia"/>
          <w:color w:val="auto"/>
        </w:rPr>
      </w:pPr>
    </w:p>
    <w:p w14:paraId="71703A26">
      <w:pPr>
        <w:widowControl/>
        <w:autoSpaceDE w:val="0"/>
        <w:autoSpaceDN w:val="0"/>
        <w:spacing w:line="360" w:lineRule="auto"/>
        <w:ind w:right="890"/>
        <w:textAlignment w:val="bottom"/>
        <w:rPr>
          <w:rFonts w:asciiTheme="minorEastAsia" w:hAnsiTheme="minorEastAsia" w:eastAsiaTheme="minorEastAsia" w:cstheme="minorEastAsia"/>
          <w:color w:val="auto"/>
        </w:rPr>
      </w:pPr>
    </w:p>
    <w:p w14:paraId="4123F70E">
      <w:pPr>
        <w:widowControl/>
        <w:autoSpaceDE w:val="0"/>
        <w:autoSpaceDN w:val="0"/>
        <w:spacing w:line="360" w:lineRule="auto"/>
        <w:ind w:right="890"/>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项目名称：   </w:t>
      </w:r>
    </w:p>
    <w:p w14:paraId="7CEE3FA3">
      <w:pPr>
        <w:widowControl/>
        <w:autoSpaceDE w:val="0"/>
        <w:autoSpaceDN w:val="0"/>
        <w:spacing w:line="360" w:lineRule="auto"/>
        <w:ind w:right="89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项目编号：</w:t>
      </w:r>
    </w:p>
    <w:p w14:paraId="7B398DD4">
      <w:pPr>
        <w:widowControl/>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服务商名称（公章）：</w:t>
      </w:r>
    </w:p>
    <w:tbl>
      <w:tblPr>
        <w:tblStyle w:val="18"/>
        <w:tblW w:w="89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2390"/>
        <w:gridCol w:w="3434"/>
        <w:gridCol w:w="1631"/>
        <w:gridCol w:w="695"/>
      </w:tblGrid>
      <w:tr w14:paraId="7C9BF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5BC66153">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2390" w:type="dxa"/>
            <w:vAlign w:val="center"/>
          </w:tcPr>
          <w:p w14:paraId="1BAC28FF">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报价项目</w:t>
            </w:r>
          </w:p>
        </w:tc>
        <w:tc>
          <w:tcPr>
            <w:tcW w:w="3434" w:type="dxa"/>
            <w:vAlign w:val="center"/>
          </w:tcPr>
          <w:p w14:paraId="50C4F47B">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内容和标准</w:t>
            </w:r>
          </w:p>
        </w:tc>
        <w:tc>
          <w:tcPr>
            <w:tcW w:w="1631" w:type="dxa"/>
            <w:vAlign w:val="center"/>
          </w:tcPr>
          <w:p w14:paraId="2E23F094">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报价</w:t>
            </w:r>
          </w:p>
        </w:tc>
        <w:tc>
          <w:tcPr>
            <w:tcW w:w="695" w:type="dxa"/>
            <w:vAlign w:val="center"/>
          </w:tcPr>
          <w:p w14:paraId="4A4EF4E5">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w:t>
            </w:r>
          </w:p>
        </w:tc>
      </w:tr>
      <w:tr w14:paraId="06F6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332A131B">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2390" w:type="dxa"/>
            <w:vAlign w:val="center"/>
          </w:tcPr>
          <w:p w14:paraId="386F9824">
            <w:pPr>
              <w:jc w:val="center"/>
              <w:rPr>
                <w:rFonts w:asciiTheme="minorEastAsia" w:hAnsiTheme="minorEastAsia" w:eastAsiaTheme="minorEastAsia" w:cstheme="minorEastAsia"/>
                <w:color w:val="auto"/>
              </w:rPr>
            </w:pPr>
          </w:p>
        </w:tc>
        <w:tc>
          <w:tcPr>
            <w:tcW w:w="3434" w:type="dxa"/>
            <w:vAlign w:val="center"/>
          </w:tcPr>
          <w:p w14:paraId="15520CEA">
            <w:pPr>
              <w:jc w:val="center"/>
              <w:rPr>
                <w:rFonts w:asciiTheme="minorEastAsia" w:hAnsiTheme="minorEastAsia" w:eastAsiaTheme="minorEastAsia" w:cstheme="minorEastAsia"/>
                <w:b/>
                <w:bCs/>
                <w:color w:val="auto"/>
              </w:rPr>
            </w:pPr>
          </w:p>
        </w:tc>
        <w:tc>
          <w:tcPr>
            <w:tcW w:w="1631" w:type="dxa"/>
            <w:vAlign w:val="center"/>
          </w:tcPr>
          <w:p w14:paraId="22D00604">
            <w:pPr>
              <w:jc w:val="center"/>
              <w:rPr>
                <w:rFonts w:asciiTheme="minorEastAsia" w:hAnsiTheme="minorEastAsia" w:eastAsiaTheme="minorEastAsia" w:cstheme="minorEastAsia"/>
                <w:color w:val="auto"/>
              </w:rPr>
            </w:pPr>
          </w:p>
        </w:tc>
        <w:tc>
          <w:tcPr>
            <w:tcW w:w="695" w:type="dxa"/>
            <w:vAlign w:val="center"/>
          </w:tcPr>
          <w:p w14:paraId="3F0A0279">
            <w:pPr>
              <w:jc w:val="center"/>
              <w:rPr>
                <w:rFonts w:asciiTheme="minorEastAsia" w:hAnsiTheme="minorEastAsia" w:eastAsiaTheme="minorEastAsia" w:cstheme="minorEastAsia"/>
                <w:color w:val="auto"/>
              </w:rPr>
            </w:pPr>
          </w:p>
        </w:tc>
      </w:tr>
      <w:tr w14:paraId="2C05B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340DB9A2">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tc>
        <w:tc>
          <w:tcPr>
            <w:tcW w:w="2390" w:type="dxa"/>
            <w:vAlign w:val="center"/>
          </w:tcPr>
          <w:p w14:paraId="3E153911">
            <w:pPr>
              <w:jc w:val="center"/>
              <w:rPr>
                <w:rFonts w:asciiTheme="minorEastAsia" w:hAnsiTheme="minorEastAsia" w:eastAsiaTheme="minorEastAsia" w:cstheme="minorEastAsia"/>
                <w:color w:val="auto"/>
              </w:rPr>
            </w:pPr>
          </w:p>
        </w:tc>
        <w:tc>
          <w:tcPr>
            <w:tcW w:w="3434" w:type="dxa"/>
            <w:vAlign w:val="center"/>
          </w:tcPr>
          <w:p w14:paraId="5E9769BC">
            <w:pPr>
              <w:jc w:val="center"/>
              <w:rPr>
                <w:rFonts w:asciiTheme="minorEastAsia" w:hAnsiTheme="minorEastAsia" w:eastAsiaTheme="minorEastAsia" w:cstheme="minorEastAsia"/>
                <w:b/>
                <w:bCs/>
                <w:color w:val="auto"/>
              </w:rPr>
            </w:pPr>
          </w:p>
        </w:tc>
        <w:tc>
          <w:tcPr>
            <w:tcW w:w="1631" w:type="dxa"/>
            <w:vAlign w:val="center"/>
          </w:tcPr>
          <w:p w14:paraId="4CE649CF">
            <w:pPr>
              <w:jc w:val="center"/>
              <w:rPr>
                <w:rFonts w:asciiTheme="minorEastAsia" w:hAnsiTheme="minorEastAsia" w:eastAsiaTheme="minorEastAsia" w:cstheme="minorEastAsia"/>
                <w:color w:val="auto"/>
              </w:rPr>
            </w:pPr>
          </w:p>
        </w:tc>
        <w:tc>
          <w:tcPr>
            <w:tcW w:w="695" w:type="dxa"/>
            <w:vAlign w:val="center"/>
          </w:tcPr>
          <w:p w14:paraId="012A9E91">
            <w:pPr>
              <w:jc w:val="center"/>
              <w:rPr>
                <w:rFonts w:asciiTheme="minorEastAsia" w:hAnsiTheme="minorEastAsia" w:eastAsiaTheme="minorEastAsia" w:cstheme="minorEastAsia"/>
                <w:color w:val="auto"/>
              </w:rPr>
            </w:pPr>
          </w:p>
        </w:tc>
      </w:tr>
      <w:tr w14:paraId="4DD57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7A9BF410">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2390" w:type="dxa"/>
            <w:vAlign w:val="center"/>
          </w:tcPr>
          <w:p w14:paraId="205AC040">
            <w:pPr>
              <w:jc w:val="center"/>
              <w:rPr>
                <w:rFonts w:asciiTheme="minorEastAsia" w:hAnsiTheme="minorEastAsia" w:eastAsiaTheme="minorEastAsia" w:cstheme="minorEastAsia"/>
                <w:color w:val="auto"/>
              </w:rPr>
            </w:pPr>
          </w:p>
        </w:tc>
        <w:tc>
          <w:tcPr>
            <w:tcW w:w="3434" w:type="dxa"/>
            <w:vAlign w:val="center"/>
          </w:tcPr>
          <w:p w14:paraId="783E5246">
            <w:pPr>
              <w:jc w:val="center"/>
              <w:rPr>
                <w:rFonts w:asciiTheme="minorEastAsia" w:hAnsiTheme="minorEastAsia" w:eastAsiaTheme="minorEastAsia" w:cstheme="minorEastAsia"/>
                <w:b/>
                <w:bCs/>
                <w:color w:val="auto"/>
              </w:rPr>
            </w:pPr>
          </w:p>
        </w:tc>
        <w:tc>
          <w:tcPr>
            <w:tcW w:w="1631" w:type="dxa"/>
            <w:vAlign w:val="center"/>
          </w:tcPr>
          <w:p w14:paraId="6A71ADBA">
            <w:pPr>
              <w:jc w:val="center"/>
              <w:rPr>
                <w:rFonts w:asciiTheme="minorEastAsia" w:hAnsiTheme="minorEastAsia" w:eastAsiaTheme="minorEastAsia" w:cstheme="minorEastAsia"/>
                <w:color w:val="auto"/>
              </w:rPr>
            </w:pPr>
          </w:p>
        </w:tc>
        <w:tc>
          <w:tcPr>
            <w:tcW w:w="695" w:type="dxa"/>
            <w:vAlign w:val="center"/>
          </w:tcPr>
          <w:p w14:paraId="6827161B">
            <w:pPr>
              <w:jc w:val="center"/>
              <w:rPr>
                <w:rFonts w:asciiTheme="minorEastAsia" w:hAnsiTheme="minorEastAsia" w:eastAsiaTheme="minorEastAsia" w:cstheme="minorEastAsia"/>
                <w:color w:val="auto"/>
              </w:rPr>
            </w:pPr>
          </w:p>
        </w:tc>
      </w:tr>
      <w:tr w14:paraId="07D04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10924FB0">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2390" w:type="dxa"/>
            <w:vAlign w:val="center"/>
          </w:tcPr>
          <w:p w14:paraId="16C18D07">
            <w:pPr>
              <w:jc w:val="center"/>
              <w:rPr>
                <w:rFonts w:asciiTheme="minorEastAsia" w:hAnsiTheme="minorEastAsia" w:eastAsiaTheme="minorEastAsia" w:cstheme="minorEastAsia"/>
                <w:color w:val="auto"/>
              </w:rPr>
            </w:pPr>
          </w:p>
        </w:tc>
        <w:tc>
          <w:tcPr>
            <w:tcW w:w="3434" w:type="dxa"/>
            <w:vAlign w:val="center"/>
          </w:tcPr>
          <w:p w14:paraId="4ED2B9CB">
            <w:pPr>
              <w:jc w:val="center"/>
              <w:rPr>
                <w:rFonts w:asciiTheme="minorEastAsia" w:hAnsiTheme="minorEastAsia" w:eastAsiaTheme="minorEastAsia" w:cstheme="minorEastAsia"/>
                <w:b/>
                <w:bCs/>
                <w:color w:val="auto"/>
              </w:rPr>
            </w:pPr>
          </w:p>
        </w:tc>
        <w:tc>
          <w:tcPr>
            <w:tcW w:w="1631" w:type="dxa"/>
            <w:vAlign w:val="center"/>
          </w:tcPr>
          <w:p w14:paraId="56804C65">
            <w:pPr>
              <w:jc w:val="center"/>
              <w:rPr>
                <w:rFonts w:asciiTheme="minorEastAsia" w:hAnsiTheme="minorEastAsia" w:eastAsiaTheme="minorEastAsia" w:cstheme="minorEastAsia"/>
                <w:color w:val="auto"/>
              </w:rPr>
            </w:pPr>
          </w:p>
        </w:tc>
        <w:tc>
          <w:tcPr>
            <w:tcW w:w="695" w:type="dxa"/>
            <w:vAlign w:val="center"/>
          </w:tcPr>
          <w:p w14:paraId="1550F46C">
            <w:pPr>
              <w:jc w:val="center"/>
              <w:rPr>
                <w:rFonts w:asciiTheme="minorEastAsia" w:hAnsiTheme="minorEastAsia" w:eastAsiaTheme="minorEastAsia" w:cstheme="minorEastAsia"/>
                <w:color w:val="auto"/>
              </w:rPr>
            </w:pPr>
          </w:p>
        </w:tc>
      </w:tr>
      <w:tr w14:paraId="70616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6CD95A58">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w:t>
            </w:r>
          </w:p>
        </w:tc>
        <w:tc>
          <w:tcPr>
            <w:tcW w:w="2390" w:type="dxa"/>
            <w:vAlign w:val="center"/>
          </w:tcPr>
          <w:p w14:paraId="7D75D612">
            <w:pPr>
              <w:jc w:val="center"/>
              <w:rPr>
                <w:rFonts w:asciiTheme="minorEastAsia" w:hAnsiTheme="minorEastAsia" w:eastAsiaTheme="minorEastAsia" w:cstheme="minorEastAsia"/>
                <w:color w:val="auto"/>
              </w:rPr>
            </w:pPr>
          </w:p>
        </w:tc>
        <w:tc>
          <w:tcPr>
            <w:tcW w:w="3434" w:type="dxa"/>
            <w:vAlign w:val="center"/>
          </w:tcPr>
          <w:p w14:paraId="79A58A09">
            <w:pPr>
              <w:jc w:val="center"/>
              <w:rPr>
                <w:rFonts w:asciiTheme="minorEastAsia" w:hAnsiTheme="minorEastAsia" w:eastAsiaTheme="minorEastAsia" w:cstheme="minorEastAsia"/>
                <w:b/>
                <w:bCs/>
                <w:color w:val="auto"/>
              </w:rPr>
            </w:pPr>
          </w:p>
        </w:tc>
        <w:tc>
          <w:tcPr>
            <w:tcW w:w="1631" w:type="dxa"/>
            <w:vAlign w:val="center"/>
          </w:tcPr>
          <w:p w14:paraId="46873D31">
            <w:pPr>
              <w:jc w:val="center"/>
              <w:rPr>
                <w:rFonts w:asciiTheme="minorEastAsia" w:hAnsiTheme="minorEastAsia" w:eastAsiaTheme="minorEastAsia" w:cstheme="minorEastAsia"/>
                <w:color w:val="auto"/>
              </w:rPr>
            </w:pPr>
          </w:p>
        </w:tc>
        <w:tc>
          <w:tcPr>
            <w:tcW w:w="695" w:type="dxa"/>
            <w:vAlign w:val="center"/>
          </w:tcPr>
          <w:p w14:paraId="7E1C60D4">
            <w:pPr>
              <w:jc w:val="center"/>
              <w:rPr>
                <w:rFonts w:asciiTheme="minorEastAsia" w:hAnsiTheme="minorEastAsia" w:eastAsiaTheme="minorEastAsia" w:cstheme="minorEastAsia"/>
                <w:color w:val="auto"/>
              </w:rPr>
            </w:pPr>
          </w:p>
        </w:tc>
      </w:tr>
      <w:tr w14:paraId="0333C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3ED28BC3">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2390" w:type="dxa"/>
            <w:vAlign w:val="center"/>
          </w:tcPr>
          <w:p w14:paraId="1CA416F3">
            <w:pPr>
              <w:jc w:val="center"/>
              <w:rPr>
                <w:rFonts w:asciiTheme="minorEastAsia" w:hAnsiTheme="minorEastAsia" w:eastAsiaTheme="minorEastAsia" w:cstheme="minorEastAsia"/>
                <w:color w:val="auto"/>
              </w:rPr>
            </w:pPr>
          </w:p>
        </w:tc>
        <w:tc>
          <w:tcPr>
            <w:tcW w:w="3434" w:type="dxa"/>
            <w:vAlign w:val="center"/>
          </w:tcPr>
          <w:p w14:paraId="0475AA35">
            <w:pPr>
              <w:jc w:val="center"/>
              <w:rPr>
                <w:rFonts w:asciiTheme="minorEastAsia" w:hAnsiTheme="minorEastAsia" w:eastAsiaTheme="minorEastAsia" w:cstheme="minorEastAsia"/>
                <w:b/>
                <w:bCs/>
                <w:color w:val="auto"/>
              </w:rPr>
            </w:pPr>
          </w:p>
        </w:tc>
        <w:tc>
          <w:tcPr>
            <w:tcW w:w="1631" w:type="dxa"/>
            <w:vAlign w:val="center"/>
          </w:tcPr>
          <w:p w14:paraId="7C09E778">
            <w:pPr>
              <w:jc w:val="center"/>
              <w:rPr>
                <w:rFonts w:asciiTheme="minorEastAsia" w:hAnsiTheme="minorEastAsia" w:eastAsiaTheme="minorEastAsia" w:cstheme="minorEastAsia"/>
                <w:color w:val="auto"/>
              </w:rPr>
            </w:pPr>
          </w:p>
        </w:tc>
        <w:tc>
          <w:tcPr>
            <w:tcW w:w="695" w:type="dxa"/>
            <w:vAlign w:val="center"/>
          </w:tcPr>
          <w:p w14:paraId="523FDFC2">
            <w:pPr>
              <w:jc w:val="center"/>
              <w:rPr>
                <w:rFonts w:asciiTheme="minorEastAsia" w:hAnsiTheme="minorEastAsia" w:eastAsiaTheme="minorEastAsia" w:cstheme="minorEastAsia"/>
                <w:color w:val="auto"/>
              </w:rPr>
            </w:pPr>
          </w:p>
        </w:tc>
      </w:tr>
      <w:tr w14:paraId="04345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319031E7">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w:t>
            </w:r>
          </w:p>
        </w:tc>
        <w:tc>
          <w:tcPr>
            <w:tcW w:w="2390" w:type="dxa"/>
            <w:vAlign w:val="center"/>
          </w:tcPr>
          <w:p w14:paraId="0EA302DE">
            <w:pPr>
              <w:jc w:val="center"/>
              <w:rPr>
                <w:rFonts w:asciiTheme="minorEastAsia" w:hAnsiTheme="minorEastAsia" w:eastAsiaTheme="minorEastAsia" w:cstheme="minorEastAsia"/>
                <w:color w:val="auto"/>
              </w:rPr>
            </w:pPr>
          </w:p>
        </w:tc>
        <w:tc>
          <w:tcPr>
            <w:tcW w:w="3434" w:type="dxa"/>
            <w:vAlign w:val="center"/>
          </w:tcPr>
          <w:p w14:paraId="33E71661">
            <w:pPr>
              <w:jc w:val="center"/>
              <w:rPr>
                <w:rFonts w:asciiTheme="minorEastAsia" w:hAnsiTheme="minorEastAsia" w:eastAsiaTheme="minorEastAsia" w:cstheme="minorEastAsia"/>
                <w:b/>
                <w:bCs/>
                <w:color w:val="auto"/>
              </w:rPr>
            </w:pPr>
          </w:p>
        </w:tc>
        <w:tc>
          <w:tcPr>
            <w:tcW w:w="1631" w:type="dxa"/>
            <w:vAlign w:val="center"/>
          </w:tcPr>
          <w:p w14:paraId="67369CF4">
            <w:pPr>
              <w:jc w:val="center"/>
              <w:rPr>
                <w:rFonts w:asciiTheme="minorEastAsia" w:hAnsiTheme="minorEastAsia" w:eastAsiaTheme="minorEastAsia" w:cstheme="minorEastAsia"/>
                <w:color w:val="auto"/>
              </w:rPr>
            </w:pPr>
          </w:p>
        </w:tc>
        <w:tc>
          <w:tcPr>
            <w:tcW w:w="695" w:type="dxa"/>
            <w:vAlign w:val="center"/>
          </w:tcPr>
          <w:p w14:paraId="158A95D4">
            <w:pPr>
              <w:jc w:val="center"/>
              <w:rPr>
                <w:rFonts w:asciiTheme="minorEastAsia" w:hAnsiTheme="minorEastAsia" w:eastAsiaTheme="minorEastAsia" w:cstheme="minorEastAsia"/>
                <w:color w:val="auto"/>
              </w:rPr>
            </w:pPr>
          </w:p>
        </w:tc>
      </w:tr>
      <w:tr w14:paraId="4484D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6578554B">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2390" w:type="dxa"/>
            <w:vAlign w:val="center"/>
          </w:tcPr>
          <w:p w14:paraId="4EA9C588">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其它费用</w:t>
            </w:r>
          </w:p>
        </w:tc>
        <w:tc>
          <w:tcPr>
            <w:tcW w:w="3434" w:type="dxa"/>
            <w:vAlign w:val="center"/>
          </w:tcPr>
          <w:p w14:paraId="1B196A0C">
            <w:pPr>
              <w:jc w:val="center"/>
              <w:rPr>
                <w:rFonts w:asciiTheme="minorEastAsia" w:hAnsiTheme="minorEastAsia" w:eastAsiaTheme="minorEastAsia" w:cstheme="minorEastAsia"/>
                <w:b/>
                <w:bCs/>
                <w:color w:val="auto"/>
              </w:rPr>
            </w:pPr>
          </w:p>
        </w:tc>
        <w:tc>
          <w:tcPr>
            <w:tcW w:w="1631" w:type="dxa"/>
            <w:vAlign w:val="center"/>
          </w:tcPr>
          <w:p w14:paraId="7EC38C44">
            <w:pPr>
              <w:jc w:val="center"/>
              <w:rPr>
                <w:rFonts w:asciiTheme="minorEastAsia" w:hAnsiTheme="minorEastAsia" w:eastAsiaTheme="minorEastAsia" w:cstheme="minorEastAsia"/>
                <w:color w:val="auto"/>
              </w:rPr>
            </w:pPr>
          </w:p>
        </w:tc>
        <w:tc>
          <w:tcPr>
            <w:tcW w:w="695" w:type="dxa"/>
            <w:vAlign w:val="center"/>
          </w:tcPr>
          <w:p w14:paraId="2D02D0EE">
            <w:pPr>
              <w:jc w:val="center"/>
              <w:rPr>
                <w:rFonts w:asciiTheme="minorEastAsia" w:hAnsiTheme="minorEastAsia" w:eastAsiaTheme="minorEastAsia" w:cstheme="minorEastAsia"/>
                <w:color w:val="auto"/>
              </w:rPr>
            </w:pPr>
          </w:p>
        </w:tc>
      </w:tr>
      <w:tr w14:paraId="188E1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800" w:type="dxa"/>
            <w:vAlign w:val="center"/>
          </w:tcPr>
          <w:p w14:paraId="4A598D89">
            <w:pPr>
              <w:jc w:val="center"/>
              <w:rPr>
                <w:rFonts w:asciiTheme="minorEastAsia" w:hAnsiTheme="minorEastAsia" w:eastAsiaTheme="minorEastAsia" w:cstheme="minorEastAsia"/>
                <w:color w:val="auto"/>
              </w:rPr>
            </w:pPr>
          </w:p>
        </w:tc>
        <w:tc>
          <w:tcPr>
            <w:tcW w:w="2390" w:type="dxa"/>
            <w:vAlign w:val="center"/>
          </w:tcPr>
          <w:p w14:paraId="2B847E5A">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合计</w:t>
            </w:r>
          </w:p>
        </w:tc>
        <w:tc>
          <w:tcPr>
            <w:tcW w:w="3434" w:type="dxa"/>
            <w:vAlign w:val="center"/>
          </w:tcPr>
          <w:p w14:paraId="3C9E5F78">
            <w:pPr>
              <w:jc w:val="center"/>
              <w:rPr>
                <w:rFonts w:asciiTheme="minorEastAsia" w:hAnsiTheme="minorEastAsia" w:eastAsiaTheme="minorEastAsia" w:cstheme="minorEastAsia"/>
                <w:b/>
                <w:bCs/>
                <w:color w:val="auto"/>
              </w:rPr>
            </w:pPr>
          </w:p>
        </w:tc>
        <w:tc>
          <w:tcPr>
            <w:tcW w:w="1631" w:type="dxa"/>
            <w:vAlign w:val="center"/>
          </w:tcPr>
          <w:p w14:paraId="5B1BC825">
            <w:pPr>
              <w:jc w:val="center"/>
              <w:rPr>
                <w:rFonts w:asciiTheme="minorEastAsia" w:hAnsiTheme="minorEastAsia" w:eastAsiaTheme="minorEastAsia" w:cstheme="minorEastAsia"/>
                <w:color w:val="auto"/>
              </w:rPr>
            </w:pPr>
          </w:p>
        </w:tc>
        <w:tc>
          <w:tcPr>
            <w:tcW w:w="695" w:type="dxa"/>
            <w:vAlign w:val="center"/>
          </w:tcPr>
          <w:p w14:paraId="4DCFE8C4">
            <w:pPr>
              <w:jc w:val="center"/>
              <w:rPr>
                <w:rFonts w:asciiTheme="minorEastAsia" w:hAnsiTheme="minorEastAsia" w:eastAsiaTheme="minorEastAsia" w:cstheme="minorEastAsia"/>
                <w:color w:val="auto"/>
              </w:rPr>
            </w:pPr>
          </w:p>
        </w:tc>
      </w:tr>
      <w:tr w14:paraId="286D9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4" w:hRule="atLeast"/>
          <w:jc w:val="center"/>
        </w:trPr>
        <w:tc>
          <w:tcPr>
            <w:tcW w:w="6624" w:type="dxa"/>
            <w:gridSpan w:val="3"/>
            <w:vAlign w:val="center"/>
          </w:tcPr>
          <w:p w14:paraId="47EBEB03">
            <w:pPr>
              <w:jc w:val="center"/>
              <w:rPr>
                <w:rFonts w:asciiTheme="minorEastAsia" w:hAnsiTheme="minorEastAsia" w:eastAsiaTheme="minorEastAsia" w:cstheme="minorEastAsia"/>
                <w:b/>
                <w:bCs/>
                <w:color w:val="auto"/>
              </w:rPr>
            </w:pPr>
            <w:r>
              <w:rPr>
                <w:rFonts w:hint="eastAsia" w:asciiTheme="minorEastAsia" w:hAnsiTheme="minorEastAsia" w:eastAsiaTheme="minorEastAsia" w:cstheme="minorEastAsia"/>
                <w:color w:val="auto"/>
              </w:rPr>
              <w:t>服务总价</w:t>
            </w:r>
          </w:p>
        </w:tc>
        <w:tc>
          <w:tcPr>
            <w:tcW w:w="1631" w:type="dxa"/>
            <w:vAlign w:val="center"/>
          </w:tcPr>
          <w:p w14:paraId="4237DE1C">
            <w:pPr>
              <w:jc w:val="center"/>
              <w:rPr>
                <w:rFonts w:asciiTheme="minorEastAsia" w:hAnsiTheme="minorEastAsia" w:eastAsiaTheme="minorEastAsia" w:cstheme="minorEastAsia"/>
                <w:color w:val="auto"/>
              </w:rPr>
            </w:pPr>
          </w:p>
        </w:tc>
        <w:tc>
          <w:tcPr>
            <w:tcW w:w="695" w:type="dxa"/>
            <w:vAlign w:val="center"/>
          </w:tcPr>
          <w:p w14:paraId="664631CF">
            <w:pPr>
              <w:jc w:val="center"/>
              <w:rPr>
                <w:rFonts w:asciiTheme="minorEastAsia" w:hAnsiTheme="minorEastAsia" w:eastAsiaTheme="minorEastAsia" w:cstheme="minorEastAsia"/>
                <w:color w:val="auto"/>
              </w:rPr>
            </w:pPr>
          </w:p>
        </w:tc>
      </w:tr>
    </w:tbl>
    <w:p w14:paraId="7966B1FA">
      <w:pPr>
        <w:widowControl/>
        <w:autoSpaceDE w:val="0"/>
        <w:autoSpaceDN w:val="0"/>
        <w:spacing w:line="360" w:lineRule="auto"/>
        <w:ind w:right="17"/>
        <w:textAlignment w:val="bottom"/>
        <w:rPr>
          <w:rFonts w:asciiTheme="minorEastAsia" w:hAnsiTheme="minorEastAsia" w:eastAsiaTheme="minorEastAsia" w:cstheme="minorEastAsia"/>
          <w:color w:val="auto"/>
        </w:rPr>
      </w:pPr>
    </w:p>
    <w:p w14:paraId="4CE15DC7">
      <w:pPr>
        <w:widowControl/>
        <w:autoSpaceDE w:val="0"/>
        <w:autoSpaceDN w:val="0"/>
        <w:spacing w:line="360" w:lineRule="auto"/>
        <w:ind w:right="17"/>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注：1.价格应按照服务商须知第11款的要求报价。</w:t>
      </w:r>
    </w:p>
    <w:p w14:paraId="3EDD9218">
      <w:pPr>
        <w:widowControl/>
        <w:autoSpaceDE w:val="0"/>
        <w:autoSpaceDN w:val="0"/>
        <w:spacing w:line="360" w:lineRule="auto"/>
        <w:ind w:left="630" w:leftChars="200" w:right="17" w:hanging="210" w:hangingChars="1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2.设备列表中的报价请参照磋商文件第八篇服务需求列出的清单，按给出的格式报价。 </w:t>
      </w:r>
    </w:p>
    <w:p w14:paraId="0F2F2F13">
      <w:pPr>
        <w:widowControl/>
        <w:autoSpaceDE w:val="0"/>
        <w:autoSpaceDN w:val="0"/>
        <w:spacing w:line="360" w:lineRule="auto"/>
        <w:ind w:left="630" w:leftChars="200" w:right="17" w:hanging="210" w:hangingChars="1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服务商应承担全部服务及磋商过程中所发生的一切费用。磋商过程中全部以人民币报价，本磋商文件所列的全部条款凡涉及报价的，服务商都应在报价中计列，服务商的报价，采购代理机构认为是各项费用和含税综合计算的结果，且该报价为固定价，成交后在响应文件有效期内价格不变。</w:t>
      </w:r>
    </w:p>
    <w:p w14:paraId="50774F58">
      <w:pPr>
        <w:widowControl/>
        <w:tabs>
          <w:tab w:val="left" w:pos="851"/>
        </w:tabs>
        <w:autoSpaceDE w:val="0"/>
        <w:autoSpaceDN w:val="0"/>
        <w:spacing w:line="360" w:lineRule="auto"/>
        <w:ind w:right="17" w:firstLine="420" w:firstLineChars="2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4.分项报价的单价为服务到合同指定地点，含所有费用在内的综合单价。</w:t>
      </w:r>
    </w:p>
    <w:p w14:paraId="0D9BC882">
      <w:pPr>
        <w:widowControl/>
        <w:autoSpaceDE w:val="0"/>
        <w:autoSpaceDN w:val="0"/>
        <w:spacing w:line="360" w:lineRule="auto"/>
        <w:ind w:right="890"/>
        <w:textAlignment w:val="bottom"/>
        <w:rPr>
          <w:rFonts w:asciiTheme="minorEastAsia" w:hAnsiTheme="minorEastAsia" w:eastAsiaTheme="minorEastAsia" w:cstheme="minorEastAsia"/>
          <w:color w:val="auto"/>
        </w:rPr>
      </w:pPr>
    </w:p>
    <w:p w14:paraId="04D1812D">
      <w:pPr>
        <w:widowControl/>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服务商授权人签字：</w:t>
      </w:r>
    </w:p>
    <w:p w14:paraId="2F492DAF">
      <w:pPr>
        <w:widowControl/>
        <w:autoSpaceDE w:val="0"/>
        <w:autoSpaceDN w:val="0"/>
        <w:spacing w:line="360" w:lineRule="auto"/>
        <w:ind w:right="890" w:firstLine="1260" w:firstLineChars="60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日期：</w:t>
      </w:r>
    </w:p>
    <w:p w14:paraId="66ABA74B">
      <w:pPr>
        <w:jc w:val="center"/>
        <w:rPr>
          <w:rFonts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page"/>
      </w:r>
    </w:p>
    <w:p w14:paraId="462E92AC">
      <w:pPr>
        <w:jc w:val="center"/>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sz w:val="32"/>
          <w:szCs w:val="32"/>
        </w:rPr>
        <w:t xml:space="preserve">4. </w:t>
      </w:r>
      <w:r>
        <w:rPr>
          <w:rFonts w:hint="eastAsia" w:asciiTheme="minorEastAsia" w:hAnsiTheme="minorEastAsia" w:eastAsiaTheme="minorEastAsia" w:cstheme="minorEastAsia"/>
          <w:b/>
          <w:bCs/>
          <w:color w:val="auto"/>
          <w:sz w:val="32"/>
          <w:szCs w:val="32"/>
        </w:rPr>
        <w:t>商务条款偏离表格式</w:t>
      </w:r>
    </w:p>
    <w:p w14:paraId="0BB45D0B">
      <w:pPr>
        <w:spacing w:line="360" w:lineRule="auto"/>
        <w:jc w:val="center"/>
        <w:rPr>
          <w:rFonts w:asciiTheme="minorEastAsia" w:hAnsiTheme="minorEastAsia" w:eastAsiaTheme="minorEastAsia" w:cstheme="minorEastAsia"/>
          <w:b/>
          <w:bCs/>
          <w:color w:val="auto"/>
          <w:sz w:val="32"/>
          <w:szCs w:val="32"/>
        </w:rPr>
      </w:pPr>
    </w:p>
    <w:p w14:paraId="600DD2C3">
      <w:pPr>
        <w:widowControl/>
        <w:autoSpaceDE w:val="0"/>
        <w:autoSpaceDN w:val="0"/>
        <w:spacing w:line="360" w:lineRule="auto"/>
        <w:ind w:right="893"/>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项目名称：   </w:t>
      </w:r>
    </w:p>
    <w:p w14:paraId="3B8D8BD8">
      <w:pPr>
        <w:widowControl/>
        <w:autoSpaceDE w:val="0"/>
        <w:autoSpaceDN w:val="0"/>
        <w:spacing w:line="360" w:lineRule="auto"/>
        <w:ind w:right="893"/>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项目编号：           </w:t>
      </w:r>
    </w:p>
    <w:p w14:paraId="226A08B3">
      <w:pPr>
        <w:widowControl/>
        <w:autoSpaceDE w:val="0"/>
        <w:autoSpaceDN w:val="0"/>
        <w:spacing w:line="360" w:lineRule="auto"/>
        <w:ind w:right="893"/>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服务商名称(公章)：</w:t>
      </w:r>
    </w:p>
    <w:p w14:paraId="133A4DE4">
      <w:pPr>
        <w:widowControl/>
        <w:tabs>
          <w:tab w:val="left" w:pos="885"/>
        </w:tabs>
        <w:autoSpaceDE w:val="0"/>
        <w:autoSpaceDN w:val="0"/>
        <w:ind w:right="893"/>
        <w:textAlignment w:val="bottom"/>
        <w:rPr>
          <w:rFonts w:asciiTheme="minorEastAsia" w:hAnsiTheme="minorEastAsia" w:eastAsiaTheme="minorEastAsia" w:cstheme="minorEastAsia"/>
          <w:color w:val="auto"/>
        </w:rPr>
      </w:pPr>
    </w:p>
    <w:p w14:paraId="12592B45">
      <w:pPr>
        <w:rPr>
          <w:rFonts w:asciiTheme="minorEastAsia" w:hAnsiTheme="minorEastAsia" w:eastAsiaTheme="minorEastAsia" w:cstheme="minorEastAsia"/>
          <w:color w:val="auto"/>
        </w:rPr>
      </w:pPr>
    </w:p>
    <w:tbl>
      <w:tblPr>
        <w:tblStyle w:val="18"/>
        <w:tblW w:w="841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43"/>
        <w:gridCol w:w="945"/>
        <w:gridCol w:w="2730"/>
        <w:gridCol w:w="945"/>
        <w:gridCol w:w="3054"/>
      </w:tblGrid>
      <w:tr w14:paraId="300450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557" w:hRule="atLeast"/>
          <w:jc w:val="center"/>
        </w:trPr>
        <w:tc>
          <w:tcPr>
            <w:tcW w:w="743" w:type="dxa"/>
            <w:vMerge w:val="restart"/>
            <w:vAlign w:val="center"/>
          </w:tcPr>
          <w:p w14:paraId="332BC086">
            <w:pPr>
              <w:jc w:val="center"/>
              <w:rPr>
                <w:rFonts w:asciiTheme="minorEastAsia" w:hAnsiTheme="minorEastAsia" w:eastAsiaTheme="minorEastAsia" w:cstheme="minorEastAsia"/>
                <w:caps/>
                <w:color w:val="auto"/>
              </w:rPr>
            </w:pPr>
            <w:r>
              <w:rPr>
                <w:rFonts w:hint="eastAsia" w:asciiTheme="minorEastAsia" w:hAnsiTheme="minorEastAsia" w:eastAsiaTheme="minorEastAsia" w:cstheme="minorEastAsia"/>
                <w:caps/>
                <w:color w:val="auto"/>
              </w:rPr>
              <w:t>序号</w:t>
            </w:r>
          </w:p>
        </w:tc>
        <w:tc>
          <w:tcPr>
            <w:tcW w:w="3675" w:type="dxa"/>
            <w:gridSpan w:val="2"/>
            <w:vAlign w:val="center"/>
          </w:tcPr>
          <w:p w14:paraId="76F9D2A3">
            <w:pPr>
              <w:jc w:val="center"/>
              <w:rPr>
                <w:rFonts w:asciiTheme="minorEastAsia" w:hAnsiTheme="minorEastAsia" w:eastAsiaTheme="minorEastAsia" w:cstheme="minorEastAsia"/>
                <w:caps/>
                <w:color w:val="auto"/>
              </w:rPr>
            </w:pPr>
            <w:r>
              <w:rPr>
                <w:rFonts w:hint="eastAsia" w:asciiTheme="minorEastAsia" w:hAnsiTheme="minorEastAsia" w:eastAsiaTheme="minorEastAsia" w:cstheme="minorEastAsia"/>
                <w:caps/>
                <w:color w:val="auto"/>
              </w:rPr>
              <w:t>磋商文件</w:t>
            </w:r>
          </w:p>
        </w:tc>
        <w:tc>
          <w:tcPr>
            <w:tcW w:w="3999" w:type="dxa"/>
            <w:gridSpan w:val="2"/>
            <w:vAlign w:val="center"/>
          </w:tcPr>
          <w:p w14:paraId="5997584E">
            <w:pPr>
              <w:jc w:val="center"/>
              <w:rPr>
                <w:rFonts w:asciiTheme="minorEastAsia" w:hAnsiTheme="minorEastAsia" w:eastAsiaTheme="minorEastAsia" w:cstheme="minorEastAsia"/>
                <w:caps/>
                <w:color w:val="auto"/>
              </w:rPr>
            </w:pPr>
            <w:r>
              <w:rPr>
                <w:rFonts w:hint="eastAsia" w:asciiTheme="minorEastAsia" w:hAnsiTheme="minorEastAsia" w:eastAsiaTheme="minorEastAsia" w:cstheme="minorEastAsia"/>
                <w:caps/>
                <w:color w:val="auto"/>
              </w:rPr>
              <w:t>响应文件</w:t>
            </w:r>
          </w:p>
        </w:tc>
      </w:tr>
      <w:tr w14:paraId="6A5B32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cantSplit/>
          <w:trHeight w:val="734" w:hRule="atLeast"/>
          <w:jc w:val="center"/>
        </w:trPr>
        <w:tc>
          <w:tcPr>
            <w:tcW w:w="743" w:type="dxa"/>
            <w:vMerge w:val="continue"/>
            <w:vAlign w:val="center"/>
          </w:tcPr>
          <w:p w14:paraId="064BDD90">
            <w:pPr>
              <w:jc w:val="center"/>
              <w:rPr>
                <w:rFonts w:asciiTheme="minorEastAsia" w:hAnsiTheme="minorEastAsia" w:eastAsiaTheme="minorEastAsia" w:cstheme="minorEastAsia"/>
                <w:color w:val="auto"/>
              </w:rPr>
            </w:pPr>
          </w:p>
        </w:tc>
        <w:tc>
          <w:tcPr>
            <w:tcW w:w="945" w:type="dxa"/>
            <w:vAlign w:val="center"/>
          </w:tcPr>
          <w:p w14:paraId="428A9BD1">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条目</w:t>
            </w:r>
          </w:p>
        </w:tc>
        <w:tc>
          <w:tcPr>
            <w:tcW w:w="2730" w:type="dxa"/>
            <w:vAlign w:val="center"/>
          </w:tcPr>
          <w:p w14:paraId="4F96875F">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简要内容</w:t>
            </w:r>
          </w:p>
        </w:tc>
        <w:tc>
          <w:tcPr>
            <w:tcW w:w="945" w:type="dxa"/>
            <w:vAlign w:val="center"/>
          </w:tcPr>
          <w:p w14:paraId="30D8E1AE">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条目</w:t>
            </w:r>
          </w:p>
        </w:tc>
        <w:tc>
          <w:tcPr>
            <w:tcW w:w="3054" w:type="dxa"/>
            <w:vAlign w:val="center"/>
          </w:tcPr>
          <w:p w14:paraId="2046B15E">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简要内容</w:t>
            </w:r>
          </w:p>
        </w:tc>
      </w:tr>
      <w:tr w14:paraId="4585B4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111AB137">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w:t>
            </w:r>
          </w:p>
        </w:tc>
        <w:tc>
          <w:tcPr>
            <w:tcW w:w="945" w:type="dxa"/>
            <w:vAlign w:val="center"/>
          </w:tcPr>
          <w:p w14:paraId="6F788839">
            <w:pPr>
              <w:jc w:val="center"/>
              <w:rPr>
                <w:rFonts w:asciiTheme="minorEastAsia" w:hAnsiTheme="minorEastAsia" w:eastAsiaTheme="minorEastAsia" w:cstheme="minorEastAsia"/>
                <w:color w:val="auto"/>
              </w:rPr>
            </w:pPr>
          </w:p>
        </w:tc>
        <w:tc>
          <w:tcPr>
            <w:tcW w:w="2730" w:type="dxa"/>
            <w:vAlign w:val="center"/>
          </w:tcPr>
          <w:p w14:paraId="6DA8C6A8">
            <w:pPr>
              <w:jc w:val="center"/>
              <w:rPr>
                <w:rFonts w:asciiTheme="minorEastAsia" w:hAnsiTheme="minorEastAsia" w:eastAsiaTheme="minorEastAsia" w:cstheme="minorEastAsia"/>
                <w:color w:val="auto"/>
              </w:rPr>
            </w:pPr>
          </w:p>
        </w:tc>
        <w:tc>
          <w:tcPr>
            <w:tcW w:w="945" w:type="dxa"/>
            <w:vAlign w:val="center"/>
          </w:tcPr>
          <w:p w14:paraId="403ECB84">
            <w:pPr>
              <w:jc w:val="center"/>
              <w:rPr>
                <w:rFonts w:asciiTheme="minorEastAsia" w:hAnsiTheme="minorEastAsia" w:eastAsiaTheme="minorEastAsia" w:cstheme="minorEastAsia"/>
                <w:color w:val="auto"/>
              </w:rPr>
            </w:pPr>
          </w:p>
        </w:tc>
        <w:tc>
          <w:tcPr>
            <w:tcW w:w="3054" w:type="dxa"/>
            <w:vAlign w:val="center"/>
          </w:tcPr>
          <w:p w14:paraId="7E84A345">
            <w:pPr>
              <w:jc w:val="center"/>
              <w:rPr>
                <w:rFonts w:asciiTheme="minorEastAsia" w:hAnsiTheme="minorEastAsia" w:eastAsiaTheme="minorEastAsia" w:cstheme="minorEastAsia"/>
                <w:color w:val="auto"/>
              </w:rPr>
            </w:pPr>
          </w:p>
        </w:tc>
      </w:tr>
      <w:tr w14:paraId="1747BC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7ADC3ACB">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p>
        </w:tc>
        <w:tc>
          <w:tcPr>
            <w:tcW w:w="945" w:type="dxa"/>
            <w:vAlign w:val="center"/>
          </w:tcPr>
          <w:p w14:paraId="5FF26924">
            <w:pPr>
              <w:jc w:val="center"/>
              <w:rPr>
                <w:rFonts w:asciiTheme="minorEastAsia" w:hAnsiTheme="minorEastAsia" w:eastAsiaTheme="minorEastAsia" w:cstheme="minorEastAsia"/>
                <w:color w:val="auto"/>
              </w:rPr>
            </w:pPr>
          </w:p>
        </w:tc>
        <w:tc>
          <w:tcPr>
            <w:tcW w:w="2730" w:type="dxa"/>
            <w:vAlign w:val="center"/>
          </w:tcPr>
          <w:p w14:paraId="3D05F53D">
            <w:pPr>
              <w:jc w:val="center"/>
              <w:rPr>
                <w:rFonts w:asciiTheme="minorEastAsia" w:hAnsiTheme="minorEastAsia" w:eastAsiaTheme="minorEastAsia" w:cstheme="minorEastAsia"/>
                <w:color w:val="auto"/>
              </w:rPr>
            </w:pPr>
          </w:p>
        </w:tc>
        <w:tc>
          <w:tcPr>
            <w:tcW w:w="945" w:type="dxa"/>
            <w:vAlign w:val="center"/>
          </w:tcPr>
          <w:p w14:paraId="72BB48A0">
            <w:pPr>
              <w:jc w:val="center"/>
              <w:rPr>
                <w:rFonts w:asciiTheme="minorEastAsia" w:hAnsiTheme="minorEastAsia" w:eastAsiaTheme="minorEastAsia" w:cstheme="minorEastAsia"/>
                <w:color w:val="auto"/>
              </w:rPr>
            </w:pPr>
          </w:p>
        </w:tc>
        <w:tc>
          <w:tcPr>
            <w:tcW w:w="3054" w:type="dxa"/>
            <w:vAlign w:val="center"/>
          </w:tcPr>
          <w:p w14:paraId="77135AC9">
            <w:pPr>
              <w:jc w:val="center"/>
              <w:rPr>
                <w:rFonts w:asciiTheme="minorEastAsia" w:hAnsiTheme="minorEastAsia" w:eastAsiaTheme="minorEastAsia" w:cstheme="minorEastAsia"/>
                <w:color w:val="auto"/>
              </w:rPr>
            </w:pPr>
          </w:p>
        </w:tc>
      </w:tr>
      <w:tr w14:paraId="7FB14E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36993460">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p>
        </w:tc>
        <w:tc>
          <w:tcPr>
            <w:tcW w:w="945" w:type="dxa"/>
            <w:vAlign w:val="center"/>
          </w:tcPr>
          <w:p w14:paraId="03CAA60B">
            <w:pPr>
              <w:jc w:val="center"/>
              <w:rPr>
                <w:rFonts w:asciiTheme="minorEastAsia" w:hAnsiTheme="minorEastAsia" w:eastAsiaTheme="minorEastAsia" w:cstheme="minorEastAsia"/>
                <w:color w:val="auto"/>
              </w:rPr>
            </w:pPr>
          </w:p>
        </w:tc>
        <w:tc>
          <w:tcPr>
            <w:tcW w:w="2730" w:type="dxa"/>
            <w:vAlign w:val="center"/>
          </w:tcPr>
          <w:p w14:paraId="7B3D8AE4">
            <w:pPr>
              <w:jc w:val="center"/>
              <w:rPr>
                <w:rFonts w:asciiTheme="minorEastAsia" w:hAnsiTheme="minorEastAsia" w:eastAsiaTheme="minorEastAsia" w:cstheme="minorEastAsia"/>
                <w:color w:val="auto"/>
              </w:rPr>
            </w:pPr>
          </w:p>
        </w:tc>
        <w:tc>
          <w:tcPr>
            <w:tcW w:w="945" w:type="dxa"/>
            <w:vAlign w:val="center"/>
          </w:tcPr>
          <w:p w14:paraId="15639A93">
            <w:pPr>
              <w:jc w:val="center"/>
              <w:rPr>
                <w:rFonts w:asciiTheme="minorEastAsia" w:hAnsiTheme="minorEastAsia" w:eastAsiaTheme="minorEastAsia" w:cstheme="minorEastAsia"/>
                <w:color w:val="auto"/>
              </w:rPr>
            </w:pPr>
          </w:p>
        </w:tc>
        <w:tc>
          <w:tcPr>
            <w:tcW w:w="3054" w:type="dxa"/>
            <w:vAlign w:val="center"/>
          </w:tcPr>
          <w:p w14:paraId="56B2DE77">
            <w:pPr>
              <w:jc w:val="center"/>
              <w:rPr>
                <w:rFonts w:asciiTheme="minorEastAsia" w:hAnsiTheme="minorEastAsia" w:eastAsiaTheme="minorEastAsia" w:cstheme="minorEastAsia"/>
                <w:color w:val="auto"/>
              </w:rPr>
            </w:pPr>
          </w:p>
        </w:tc>
      </w:tr>
      <w:tr w14:paraId="657C6AC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689CC9F4">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w:t>
            </w:r>
          </w:p>
        </w:tc>
        <w:tc>
          <w:tcPr>
            <w:tcW w:w="945" w:type="dxa"/>
            <w:vAlign w:val="center"/>
          </w:tcPr>
          <w:p w14:paraId="645E8C2F">
            <w:pPr>
              <w:jc w:val="center"/>
              <w:rPr>
                <w:rFonts w:asciiTheme="minorEastAsia" w:hAnsiTheme="minorEastAsia" w:eastAsiaTheme="minorEastAsia" w:cstheme="minorEastAsia"/>
                <w:color w:val="auto"/>
              </w:rPr>
            </w:pPr>
          </w:p>
        </w:tc>
        <w:tc>
          <w:tcPr>
            <w:tcW w:w="2730" w:type="dxa"/>
            <w:vAlign w:val="center"/>
          </w:tcPr>
          <w:p w14:paraId="1E7286E0">
            <w:pPr>
              <w:jc w:val="center"/>
              <w:rPr>
                <w:rFonts w:asciiTheme="minorEastAsia" w:hAnsiTheme="minorEastAsia" w:eastAsiaTheme="minorEastAsia" w:cstheme="minorEastAsia"/>
                <w:color w:val="auto"/>
              </w:rPr>
            </w:pPr>
          </w:p>
        </w:tc>
        <w:tc>
          <w:tcPr>
            <w:tcW w:w="945" w:type="dxa"/>
            <w:vAlign w:val="center"/>
          </w:tcPr>
          <w:p w14:paraId="50A96B0F">
            <w:pPr>
              <w:jc w:val="center"/>
              <w:rPr>
                <w:rFonts w:asciiTheme="minorEastAsia" w:hAnsiTheme="minorEastAsia" w:eastAsiaTheme="minorEastAsia" w:cstheme="minorEastAsia"/>
                <w:color w:val="auto"/>
              </w:rPr>
            </w:pPr>
          </w:p>
        </w:tc>
        <w:tc>
          <w:tcPr>
            <w:tcW w:w="3054" w:type="dxa"/>
            <w:vAlign w:val="center"/>
          </w:tcPr>
          <w:p w14:paraId="641D4C2E">
            <w:pPr>
              <w:jc w:val="center"/>
              <w:rPr>
                <w:rFonts w:asciiTheme="minorEastAsia" w:hAnsiTheme="minorEastAsia" w:eastAsiaTheme="minorEastAsia" w:cstheme="minorEastAsia"/>
                <w:color w:val="auto"/>
              </w:rPr>
            </w:pPr>
          </w:p>
        </w:tc>
      </w:tr>
      <w:tr w14:paraId="34D6E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339366D4">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w:t>
            </w:r>
          </w:p>
        </w:tc>
        <w:tc>
          <w:tcPr>
            <w:tcW w:w="945" w:type="dxa"/>
            <w:vAlign w:val="center"/>
          </w:tcPr>
          <w:p w14:paraId="03F9AEB7">
            <w:pPr>
              <w:jc w:val="center"/>
              <w:rPr>
                <w:rFonts w:asciiTheme="minorEastAsia" w:hAnsiTheme="minorEastAsia" w:eastAsiaTheme="minorEastAsia" w:cstheme="minorEastAsia"/>
                <w:color w:val="auto"/>
              </w:rPr>
            </w:pPr>
          </w:p>
        </w:tc>
        <w:tc>
          <w:tcPr>
            <w:tcW w:w="2730" w:type="dxa"/>
            <w:vAlign w:val="center"/>
          </w:tcPr>
          <w:p w14:paraId="0E9492B7">
            <w:pPr>
              <w:jc w:val="center"/>
              <w:rPr>
                <w:rFonts w:asciiTheme="minorEastAsia" w:hAnsiTheme="minorEastAsia" w:eastAsiaTheme="minorEastAsia" w:cstheme="minorEastAsia"/>
                <w:color w:val="auto"/>
              </w:rPr>
            </w:pPr>
          </w:p>
        </w:tc>
        <w:tc>
          <w:tcPr>
            <w:tcW w:w="945" w:type="dxa"/>
            <w:vAlign w:val="center"/>
          </w:tcPr>
          <w:p w14:paraId="61A30B3E">
            <w:pPr>
              <w:jc w:val="center"/>
              <w:rPr>
                <w:rFonts w:asciiTheme="minorEastAsia" w:hAnsiTheme="minorEastAsia" w:eastAsiaTheme="minorEastAsia" w:cstheme="minorEastAsia"/>
                <w:color w:val="auto"/>
              </w:rPr>
            </w:pPr>
          </w:p>
        </w:tc>
        <w:tc>
          <w:tcPr>
            <w:tcW w:w="3054" w:type="dxa"/>
            <w:vAlign w:val="center"/>
          </w:tcPr>
          <w:p w14:paraId="30C0155A">
            <w:pPr>
              <w:jc w:val="center"/>
              <w:rPr>
                <w:rFonts w:asciiTheme="minorEastAsia" w:hAnsiTheme="minorEastAsia" w:eastAsiaTheme="minorEastAsia" w:cstheme="minorEastAsia"/>
                <w:color w:val="auto"/>
              </w:rPr>
            </w:pPr>
          </w:p>
        </w:tc>
      </w:tr>
      <w:tr w14:paraId="39ACC2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4266968B">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w:t>
            </w:r>
          </w:p>
        </w:tc>
        <w:tc>
          <w:tcPr>
            <w:tcW w:w="945" w:type="dxa"/>
            <w:vAlign w:val="center"/>
          </w:tcPr>
          <w:p w14:paraId="0B5C3127">
            <w:pPr>
              <w:jc w:val="center"/>
              <w:rPr>
                <w:rFonts w:asciiTheme="minorEastAsia" w:hAnsiTheme="minorEastAsia" w:eastAsiaTheme="minorEastAsia" w:cstheme="minorEastAsia"/>
                <w:color w:val="auto"/>
              </w:rPr>
            </w:pPr>
          </w:p>
        </w:tc>
        <w:tc>
          <w:tcPr>
            <w:tcW w:w="2730" w:type="dxa"/>
            <w:vAlign w:val="center"/>
          </w:tcPr>
          <w:p w14:paraId="566C3252">
            <w:pPr>
              <w:jc w:val="center"/>
              <w:rPr>
                <w:rFonts w:asciiTheme="minorEastAsia" w:hAnsiTheme="minorEastAsia" w:eastAsiaTheme="minorEastAsia" w:cstheme="minorEastAsia"/>
                <w:color w:val="auto"/>
              </w:rPr>
            </w:pPr>
          </w:p>
        </w:tc>
        <w:tc>
          <w:tcPr>
            <w:tcW w:w="945" w:type="dxa"/>
            <w:vAlign w:val="center"/>
          </w:tcPr>
          <w:p w14:paraId="514B8FEF">
            <w:pPr>
              <w:jc w:val="center"/>
              <w:rPr>
                <w:rFonts w:asciiTheme="minorEastAsia" w:hAnsiTheme="minorEastAsia" w:eastAsiaTheme="minorEastAsia" w:cstheme="minorEastAsia"/>
                <w:color w:val="auto"/>
              </w:rPr>
            </w:pPr>
          </w:p>
        </w:tc>
        <w:tc>
          <w:tcPr>
            <w:tcW w:w="3054" w:type="dxa"/>
            <w:vAlign w:val="center"/>
          </w:tcPr>
          <w:p w14:paraId="67DA4707">
            <w:pPr>
              <w:jc w:val="center"/>
              <w:rPr>
                <w:rFonts w:asciiTheme="minorEastAsia" w:hAnsiTheme="minorEastAsia" w:eastAsiaTheme="minorEastAsia" w:cstheme="minorEastAsia"/>
                <w:color w:val="auto"/>
              </w:rPr>
            </w:pPr>
          </w:p>
        </w:tc>
      </w:tr>
      <w:tr w14:paraId="1F5460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7E863F3A">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w:t>
            </w:r>
          </w:p>
        </w:tc>
        <w:tc>
          <w:tcPr>
            <w:tcW w:w="945" w:type="dxa"/>
            <w:vAlign w:val="center"/>
          </w:tcPr>
          <w:p w14:paraId="0A6EFA08">
            <w:pPr>
              <w:jc w:val="center"/>
              <w:rPr>
                <w:rFonts w:asciiTheme="minorEastAsia" w:hAnsiTheme="minorEastAsia" w:eastAsiaTheme="minorEastAsia" w:cstheme="minorEastAsia"/>
                <w:color w:val="auto"/>
              </w:rPr>
            </w:pPr>
          </w:p>
        </w:tc>
        <w:tc>
          <w:tcPr>
            <w:tcW w:w="2730" w:type="dxa"/>
            <w:vAlign w:val="center"/>
          </w:tcPr>
          <w:p w14:paraId="0F6702B1">
            <w:pPr>
              <w:jc w:val="center"/>
              <w:rPr>
                <w:rFonts w:asciiTheme="minorEastAsia" w:hAnsiTheme="minorEastAsia" w:eastAsiaTheme="minorEastAsia" w:cstheme="minorEastAsia"/>
                <w:color w:val="auto"/>
              </w:rPr>
            </w:pPr>
          </w:p>
        </w:tc>
        <w:tc>
          <w:tcPr>
            <w:tcW w:w="945" w:type="dxa"/>
            <w:vAlign w:val="center"/>
          </w:tcPr>
          <w:p w14:paraId="1A3AE2BB">
            <w:pPr>
              <w:jc w:val="center"/>
              <w:rPr>
                <w:rFonts w:asciiTheme="minorEastAsia" w:hAnsiTheme="minorEastAsia" w:eastAsiaTheme="minorEastAsia" w:cstheme="minorEastAsia"/>
                <w:color w:val="auto"/>
              </w:rPr>
            </w:pPr>
          </w:p>
        </w:tc>
        <w:tc>
          <w:tcPr>
            <w:tcW w:w="3054" w:type="dxa"/>
            <w:vAlign w:val="center"/>
          </w:tcPr>
          <w:p w14:paraId="04D95757">
            <w:pPr>
              <w:jc w:val="center"/>
              <w:rPr>
                <w:rFonts w:asciiTheme="minorEastAsia" w:hAnsiTheme="minorEastAsia" w:eastAsiaTheme="minorEastAsia" w:cstheme="minorEastAsia"/>
                <w:color w:val="auto"/>
              </w:rPr>
            </w:pPr>
          </w:p>
        </w:tc>
      </w:tr>
      <w:tr w14:paraId="24AAF6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43" w:type="dxa"/>
            <w:vAlign w:val="center"/>
          </w:tcPr>
          <w:p w14:paraId="75541BB9">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8</w:t>
            </w:r>
          </w:p>
        </w:tc>
        <w:tc>
          <w:tcPr>
            <w:tcW w:w="945" w:type="dxa"/>
            <w:vAlign w:val="center"/>
          </w:tcPr>
          <w:p w14:paraId="6D8B2C7A">
            <w:pPr>
              <w:jc w:val="center"/>
              <w:rPr>
                <w:rFonts w:asciiTheme="minorEastAsia" w:hAnsiTheme="minorEastAsia" w:eastAsiaTheme="minorEastAsia" w:cstheme="minorEastAsia"/>
                <w:color w:val="auto"/>
              </w:rPr>
            </w:pPr>
          </w:p>
        </w:tc>
        <w:tc>
          <w:tcPr>
            <w:tcW w:w="2730" w:type="dxa"/>
            <w:vAlign w:val="center"/>
          </w:tcPr>
          <w:p w14:paraId="39A4E7AF">
            <w:pPr>
              <w:jc w:val="center"/>
              <w:rPr>
                <w:rFonts w:asciiTheme="minorEastAsia" w:hAnsiTheme="minorEastAsia" w:eastAsiaTheme="minorEastAsia" w:cstheme="minorEastAsia"/>
                <w:color w:val="auto"/>
              </w:rPr>
            </w:pPr>
          </w:p>
        </w:tc>
        <w:tc>
          <w:tcPr>
            <w:tcW w:w="945" w:type="dxa"/>
            <w:vAlign w:val="center"/>
          </w:tcPr>
          <w:p w14:paraId="47D2ECA2">
            <w:pPr>
              <w:jc w:val="center"/>
              <w:rPr>
                <w:rFonts w:asciiTheme="minorEastAsia" w:hAnsiTheme="minorEastAsia" w:eastAsiaTheme="minorEastAsia" w:cstheme="minorEastAsia"/>
                <w:color w:val="auto"/>
              </w:rPr>
            </w:pPr>
          </w:p>
        </w:tc>
        <w:tc>
          <w:tcPr>
            <w:tcW w:w="3054" w:type="dxa"/>
            <w:vAlign w:val="center"/>
          </w:tcPr>
          <w:p w14:paraId="40EC2283">
            <w:pPr>
              <w:jc w:val="center"/>
              <w:rPr>
                <w:rFonts w:asciiTheme="minorEastAsia" w:hAnsiTheme="minorEastAsia" w:eastAsiaTheme="minorEastAsia" w:cstheme="minorEastAsia"/>
                <w:color w:val="auto"/>
              </w:rPr>
            </w:pPr>
          </w:p>
        </w:tc>
      </w:tr>
    </w:tbl>
    <w:p w14:paraId="7780C7C5">
      <w:pPr>
        <w:spacing w:line="360" w:lineRule="auto"/>
        <w:rPr>
          <w:rFonts w:asciiTheme="minorEastAsia" w:hAnsiTheme="minorEastAsia" w:eastAsiaTheme="minorEastAsia" w:cstheme="minorEastAsia"/>
          <w:color w:val="auto"/>
        </w:rPr>
      </w:pPr>
    </w:p>
    <w:p w14:paraId="215ECA0E">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说明：</w:t>
      </w:r>
    </w:p>
    <w:p w14:paraId="48D9B484">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1.商务条款均应根据响应文件对磋商文件的偏离情况相对应地填列。</w:t>
      </w:r>
    </w:p>
    <w:p w14:paraId="4340CE4F">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2.商务条款主要填列付款条件、服务期限、服务方式、违约赔偿等重要条款方面的偏离情况。</w:t>
      </w:r>
    </w:p>
    <w:p w14:paraId="6C69B153">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3.表内如果填列不全，可另外附页说明并按规定签字和加盖公章。             </w:t>
      </w:r>
    </w:p>
    <w:p w14:paraId="3DCCB184">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4.采购人要求服务商认真填写本表。</w:t>
      </w:r>
    </w:p>
    <w:p w14:paraId="6D395912">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5.此表可根据需要自行拉长加宽。</w:t>
      </w:r>
    </w:p>
    <w:p w14:paraId="4AF6EA4A">
      <w:pPr>
        <w:spacing w:line="360" w:lineRule="auto"/>
        <w:ind w:left="420" w:leftChars="200"/>
        <w:rPr>
          <w:rFonts w:asciiTheme="minorEastAsia" w:hAnsiTheme="minorEastAsia" w:eastAsiaTheme="minorEastAsia" w:cstheme="minorEastAsia"/>
          <w:color w:val="auto"/>
        </w:rPr>
      </w:pPr>
    </w:p>
    <w:p w14:paraId="26EA6E2B">
      <w:pPr>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 xml:space="preserve">    服务商授权人签字：</w:t>
      </w:r>
    </w:p>
    <w:p w14:paraId="2C6A404A">
      <w:pPr>
        <w:autoSpaceDE w:val="0"/>
        <w:autoSpaceDN w:val="0"/>
        <w:spacing w:line="360" w:lineRule="auto"/>
        <w:ind w:right="89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                日期：</w:t>
      </w:r>
    </w:p>
    <w:p w14:paraId="39EDBC0B">
      <w:pPr>
        <w:widowControl/>
        <w:autoSpaceDE w:val="0"/>
        <w:autoSpaceDN w:val="0"/>
        <w:ind w:right="-12"/>
        <w:jc w:val="center"/>
        <w:textAlignment w:val="bottom"/>
        <w:rPr>
          <w:rFonts w:asciiTheme="minorEastAsia" w:hAnsiTheme="minorEastAsia" w:eastAsiaTheme="minorEastAsia" w:cstheme="minorEastAsia"/>
          <w:b/>
          <w:bCs/>
          <w:color w:val="auto"/>
          <w:sz w:val="32"/>
          <w:szCs w:val="32"/>
        </w:rPr>
      </w:pPr>
    </w:p>
    <w:p w14:paraId="57D0B796">
      <w:pPr>
        <w:autoSpaceDE w:val="0"/>
        <w:autoSpaceDN w:val="0"/>
        <w:ind w:right="893"/>
        <w:textAlignment w:val="bottom"/>
        <w:rPr>
          <w:rFonts w:asciiTheme="minorEastAsia" w:hAnsiTheme="minorEastAsia" w:eastAsiaTheme="minorEastAsia" w:cstheme="minorEastAsia"/>
          <w:color w:val="auto"/>
          <w:sz w:val="32"/>
          <w:szCs w:val="32"/>
        </w:rPr>
      </w:pPr>
    </w:p>
    <w:p w14:paraId="03AB8568">
      <w:pPr>
        <w:pStyle w:val="14"/>
        <w:rPr>
          <w:color w:val="auto"/>
        </w:rPr>
      </w:pPr>
    </w:p>
    <w:p w14:paraId="23269A8E">
      <w:pPr>
        <w:autoSpaceDE w:val="0"/>
        <w:autoSpaceDN w:val="0"/>
        <w:ind w:right="893"/>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sz w:val="32"/>
          <w:szCs w:val="32"/>
        </w:rPr>
        <w:t xml:space="preserve">5. </w:t>
      </w:r>
      <w:r>
        <w:rPr>
          <w:rFonts w:hint="eastAsia" w:asciiTheme="minorEastAsia" w:hAnsiTheme="minorEastAsia" w:eastAsiaTheme="minorEastAsia" w:cstheme="minorEastAsia"/>
          <w:b/>
          <w:bCs/>
          <w:color w:val="auto"/>
          <w:sz w:val="32"/>
          <w:szCs w:val="32"/>
        </w:rPr>
        <w:t>服务内容偏离表格式</w:t>
      </w:r>
    </w:p>
    <w:p w14:paraId="5CD920D9">
      <w:pPr>
        <w:autoSpaceDE w:val="0"/>
        <w:autoSpaceDN w:val="0"/>
        <w:spacing w:line="360" w:lineRule="auto"/>
        <w:ind w:right="890"/>
        <w:jc w:val="center"/>
        <w:textAlignment w:val="bottom"/>
        <w:rPr>
          <w:rFonts w:asciiTheme="minorEastAsia" w:hAnsiTheme="minorEastAsia" w:eastAsiaTheme="minorEastAsia" w:cstheme="minorEastAsia"/>
          <w:b/>
          <w:bCs/>
          <w:color w:val="auto"/>
          <w:sz w:val="32"/>
          <w:szCs w:val="32"/>
        </w:rPr>
      </w:pPr>
    </w:p>
    <w:p w14:paraId="64D1C025">
      <w:pPr>
        <w:autoSpaceDE w:val="0"/>
        <w:autoSpaceDN w:val="0"/>
        <w:spacing w:line="360" w:lineRule="auto"/>
        <w:ind w:right="890"/>
        <w:textAlignment w:val="bottom"/>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项目名称：   </w:t>
      </w:r>
    </w:p>
    <w:p w14:paraId="44D337A8">
      <w:pPr>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项目编号：</w:t>
      </w:r>
    </w:p>
    <w:p w14:paraId="4750C794">
      <w:pPr>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服务商名称(公章)：</w:t>
      </w:r>
    </w:p>
    <w:p w14:paraId="25A39A7D">
      <w:pPr>
        <w:autoSpaceDE w:val="0"/>
        <w:autoSpaceDN w:val="0"/>
        <w:ind w:right="893"/>
        <w:textAlignment w:val="bottom"/>
        <w:rPr>
          <w:rFonts w:asciiTheme="minorEastAsia" w:hAnsiTheme="minorEastAsia" w:eastAsiaTheme="minorEastAsia" w:cstheme="minorEastAsia"/>
          <w:color w:val="auto"/>
          <w:u w:val="single"/>
        </w:rPr>
      </w:pPr>
    </w:p>
    <w:p w14:paraId="3FF3327D">
      <w:pPr>
        <w:autoSpaceDE w:val="0"/>
        <w:autoSpaceDN w:val="0"/>
        <w:ind w:right="893"/>
        <w:textAlignment w:val="bottom"/>
        <w:rPr>
          <w:rFonts w:asciiTheme="minorEastAsia" w:hAnsiTheme="minorEastAsia" w:eastAsiaTheme="minorEastAsia" w:cstheme="minorEastAsia"/>
          <w:color w:val="auto"/>
        </w:rPr>
      </w:pPr>
    </w:p>
    <w:tbl>
      <w:tblPr>
        <w:tblStyle w:val="18"/>
        <w:tblW w:w="945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155"/>
        <w:gridCol w:w="1995"/>
        <w:gridCol w:w="2416"/>
        <w:gridCol w:w="1576"/>
        <w:gridCol w:w="1577"/>
      </w:tblGrid>
      <w:tr w14:paraId="4574F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455B0591">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序号</w:t>
            </w:r>
          </w:p>
        </w:tc>
        <w:tc>
          <w:tcPr>
            <w:tcW w:w="1155" w:type="dxa"/>
            <w:vAlign w:val="center"/>
          </w:tcPr>
          <w:p w14:paraId="5ACC2C19">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品目号</w:t>
            </w:r>
          </w:p>
        </w:tc>
        <w:tc>
          <w:tcPr>
            <w:tcW w:w="1995" w:type="dxa"/>
            <w:vAlign w:val="center"/>
          </w:tcPr>
          <w:p w14:paraId="6A862CA8">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采购需求</w:t>
            </w:r>
          </w:p>
        </w:tc>
        <w:tc>
          <w:tcPr>
            <w:tcW w:w="2416" w:type="dxa"/>
            <w:vAlign w:val="center"/>
          </w:tcPr>
          <w:p w14:paraId="0323660F">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提供服务</w:t>
            </w:r>
          </w:p>
        </w:tc>
        <w:tc>
          <w:tcPr>
            <w:tcW w:w="1576" w:type="dxa"/>
            <w:vAlign w:val="center"/>
          </w:tcPr>
          <w:p w14:paraId="3C41E76C">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偏离</w:t>
            </w:r>
          </w:p>
        </w:tc>
        <w:tc>
          <w:tcPr>
            <w:tcW w:w="1577" w:type="dxa"/>
            <w:vAlign w:val="center"/>
          </w:tcPr>
          <w:p w14:paraId="38451B35">
            <w:pPr>
              <w:jc w:val="center"/>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偏离说明</w:t>
            </w:r>
          </w:p>
        </w:tc>
      </w:tr>
      <w:tr w14:paraId="21399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3D3EE2CF">
            <w:pPr>
              <w:jc w:val="center"/>
              <w:rPr>
                <w:rFonts w:asciiTheme="minorEastAsia" w:hAnsiTheme="minorEastAsia" w:eastAsiaTheme="minorEastAsia" w:cstheme="minorEastAsia"/>
                <w:color w:val="auto"/>
              </w:rPr>
            </w:pPr>
          </w:p>
        </w:tc>
        <w:tc>
          <w:tcPr>
            <w:tcW w:w="1155" w:type="dxa"/>
            <w:vAlign w:val="center"/>
          </w:tcPr>
          <w:p w14:paraId="239E311F">
            <w:pPr>
              <w:jc w:val="center"/>
              <w:rPr>
                <w:rFonts w:asciiTheme="minorEastAsia" w:hAnsiTheme="minorEastAsia" w:eastAsiaTheme="minorEastAsia" w:cstheme="minorEastAsia"/>
                <w:color w:val="auto"/>
              </w:rPr>
            </w:pPr>
          </w:p>
        </w:tc>
        <w:tc>
          <w:tcPr>
            <w:tcW w:w="1995" w:type="dxa"/>
            <w:vAlign w:val="center"/>
          </w:tcPr>
          <w:p w14:paraId="7003B6F1">
            <w:pPr>
              <w:jc w:val="center"/>
              <w:rPr>
                <w:rFonts w:asciiTheme="minorEastAsia" w:hAnsiTheme="minorEastAsia" w:eastAsiaTheme="minorEastAsia" w:cstheme="minorEastAsia"/>
                <w:color w:val="auto"/>
              </w:rPr>
            </w:pPr>
          </w:p>
        </w:tc>
        <w:tc>
          <w:tcPr>
            <w:tcW w:w="2416" w:type="dxa"/>
            <w:vAlign w:val="center"/>
          </w:tcPr>
          <w:p w14:paraId="23188F9F">
            <w:pPr>
              <w:jc w:val="center"/>
              <w:rPr>
                <w:rFonts w:asciiTheme="minorEastAsia" w:hAnsiTheme="minorEastAsia" w:eastAsiaTheme="minorEastAsia" w:cstheme="minorEastAsia"/>
                <w:color w:val="auto"/>
              </w:rPr>
            </w:pPr>
          </w:p>
        </w:tc>
        <w:tc>
          <w:tcPr>
            <w:tcW w:w="1576" w:type="dxa"/>
            <w:vAlign w:val="center"/>
          </w:tcPr>
          <w:p w14:paraId="2B87CC3B">
            <w:pPr>
              <w:jc w:val="center"/>
              <w:rPr>
                <w:rFonts w:asciiTheme="minorEastAsia" w:hAnsiTheme="minorEastAsia" w:eastAsiaTheme="minorEastAsia" w:cstheme="minorEastAsia"/>
                <w:color w:val="auto"/>
              </w:rPr>
            </w:pPr>
          </w:p>
        </w:tc>
        <w:tc>
          <w:tcPr>
            <w:tcW w:w="1577" w:type="dxa"/>
            <w:vAlign w:val="center"/>
          </w:tcPr>
          <w:p w14:paraId="1999B35D">
            <w:pPr>
              <w:jc w:val="center"/>
              <w:rPr>
                <w:rFonts w:asciiTheme="minorEastAsia" w:hAnsiTheme="minorEastAsia" w:eastAsiaTheme="minorEastAsia" w:cstheme="minorEastAsia"/>
                <w:color w:val="auto"/>
              </w:rPr>
            </w:pPr>
          </w:p>
        </w:tc>
      </w:tr>
      <w:tr w14:paraId="1B54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75285D0D">
            <w:pPr>
              <w:jc w:val="center"/>
              <w:rPr>
                <w:rFonts w:asciiTheme="minorEastAsia" w:hAnsiTheme="minorEastAsia" w:eastAsiaTheme="minorEastAsia" w:cstheme="minorEastAsia"/>
                <w:color w:val="auto"/>
              </w:rPr>
            </w:pPr>
          </w:p>
        </w:tc>
        <w:tc>
          <w:tcPr>
            <w:tcW w:w="1155" w:type="dxa"/>
            <w:vAlign w:val="center"/>
          </w:tcPr>
          <w:p w14:paraId="3142884D">
            <w:pPr>
              <w:jc w:val="center"/>
              <w:rPr>
                <w:rFonts w:asciiTheme="minorEastAsia" w:hAnsiTheme="minorEastAsia" w:eastAsiaTheme="minorEastAsia" w:cstheme="minorEastAsia"/>
                <w:color w:val="auto"/>
              </w:rPr>
            </w:pPr>
          </w:p>
        </w:tc>
        <w:tc>
          <w:tcPr>
            <w:tcW w:w="1995" w:type="dxa"/>
            <w:vAlign w:val="center"/>
          </w:tcPr>
          <w:p w14:paraId="79D52C33">
            <w:pPr>
              <w:jc w:val="center"/>
              <w:rPr>
                <w:rFonts w:asciiTheme="minorEastAsia" w:hAnsiTheme="minorEastAsia" w:eastAsiaTheme="minorEastAsia" w:cstheme="minorEastAsia"/>
                <w:color w:val="auto"/>
              </w:rPr>
            </w:pPr>
          </w:p>
        </w:tc>
        <w:tc>
          <w:tcPr>
            <w:tcW w:w="2416" w:type="dxa"/>
            <w:vAlign w:val="center"/>
          </w:tcPr>
          <w:p w14:paraId="1B4D20A1">
            <w:pPr>
              <w:jc w:val="center"/>
              <w:rPr>
                <w:rFonts w:asciiTheme="minorEastAsia" w:hAnsiTheme="minorEastAsia" w:eastAsiaTheme="minorEastAsia" w:cstheme="minorEastAsia"/>
                <w:color w:val="auto"/>
              </w:rPr>
            </w:pPr>
          </w:p>
        </w:tc>
        <w:tc>
          <w:tcPr>
            <w:tcW w:w="1576" w:type="dxa"/>
            <w:vAlign w:val="center"/>
          </w:tcPr>
          <w:p w14:paraId="00D60334">
            <w:pPr>
              <w:jc w:val="center"/>
              <w:rPr>
                <w:rFonts w:asciiTheme="minorEastAsia" w:hAnsiTheme="minorEastAsia" w:eastAsiaTheme="minorEastAsia" w:cstheme="minorEastAsia"/>
                <w:color w:val="auto"/>
              </w:rPr>
            </w:pPr>
          </w:p>
        </w:tc>
        <w:tc>
          <w:tcPr>
            <w:tcW w:w="1577" w:type="dxa"/>
            <w:vAlign w:val="center"/>
          </w:tcPr>
          <w:p w14:paraId="22164739">
            <w:pPr>
              <w:jc w:val="center"/>
              <w:rPr>
                <w:rFonts w:asciiTheme="minorEastAsia" w:hAnsiTheme="minorEastAsia" w:eastAsiaTheme="minorEastAsia" w:cstheme="minorEastAsia"/>
                <w:color w:val="auto"/>
              </w:rPr>
            </w:pPr>
          </w:p>
        </w:tc>
      </w:tr>
      <w:tr w14:paraId="5915C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1436F6D6">
            <w:pPr>
              <w:jc w:val="center"/>
              <w:rPr>
                <w:rFonts w:asciiTheme="minorEastAsia" w:hAnsiTheme="minorEastAsia" w:eastAsiaTheme="minorEastAsia" w:cstheme="minorEastAsia"/>
                <w:color w:val="auto"/>
              </w:rPr>
            </w:pPr>
          </w:p>
        </w:tc>
        <w:tc>
          <w:tcPr>
            <w:tcW w:w="1155" w:type="dxa"/>
            <w:vAlign w:val="center"/>
          </w:tcPr>
          <w:p w14:paraId="2482F765">
            <w:pPr>
              <w:jc w:val="center"/>
              <w:rPr>
                <w:rFonts w:asciiTheme="minorEastAsia" w:hAnsiTheme="minorEastAsia" w:eastAsiaTheme="minorEastAsia" w:cstheme="minorEastAsia"/>
                <w:color w:val="auto"/>
              </w:rPr>
            </w:pPr>
          </w:p>
        </w:tc>
        <w:tc>
          <w:tcPr>
            <w:tcW w:w="1995" w:type="dxa"/>
            <w:vAlign w:val="center"/>
          </w:tcPr>
          <w:p w14:paraId="7ABF3830">
            <w:pPr>
              <w:jc w:val="center"/>
              <w:rPr>
                <w:rFonts w:asciiTheme="minorEastAsia" w:hAnsiTheme="minorEastAsia" w:eastAsiaTheme="minorEastAsia" w:cstheme="minorEastAsia"/>
                <w:color w:val="auto"/>
              </w:rPr>
            </w:pPr>
          </w:p>
        </w:tc>
        <w:tc>
          <w:tcPr>
            <w:tcW w:w="2416" w:type="dxa"/>
            <w:vAlign w:val="center"/>
          </w:tcPr>
          <w:p w14:paraId="177E4B1B">
            <w:pPr>
              <w:jc w:val="center"/>
              <w:rPr>
                <w:rFonts w:asciiTheme="minorEastAsia" w:hAnsiTheme="minorEastAsia" w:eastAsiaTheme="minorEastAsia" w:cstheme="minorEastAsia"/>
                <w:color w:val="auto"/>
              </w:rPr>
            </w:pPr>
          </w:p>
        </w:tc>
        <w:tc>
          <w:tcPr>
            <w:tcW w:w="1576" w:type="dxa"/>
            <w:vAlign w:val="center"/>
          </w:tcPr>
          <w:p w14:paraId="0E1027BB">
            <w:pPr>
              <w:jc w:val="center"/>
              <w:rPr>
                <w:rFonts w:asciiTheme="minorEastAsia" w:hAnsiTheme="minorEastAsia" w:eastAsiaTheme="minorEastAsia" w:cstheme="minorEastAsia"/>
                <w:color w:val="auto"/>
              </w:rPr>
            </w:pPr>
          </w:p>
        </w:tc>
        <w:tc>
          <w:tcPr>
            <w:tcW w:w="1577" w:type="dxa"/>
            <w:vAlign w:val="center"/>
          </w:tcPr>
          <w:p w14:paraId="11699210">
            <w:pPr>
              <w:jc w:val="center"/>
              <w:rPr>
                <w:rFonts w:asciiTheme="minorEastAsia" w:hAnsiTheme="minorEastAsia" w:eastAsiaTheme="minorEastAsia" w:cstheme="minorEastAsia"/>
                <w:color w:val="auto"/>
              </w:rPr>
            </w:pPr>
          </w:p>
        </w:tc>
      </w:tr>
      <w:tr w14:paraId="0F106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3E89647C">
            <w:pPr>
              <w:jc w:val="center"/>
              <w:rPr>
                <w:rFonts w:asciiTheme="minorEastAsia" w:hAnsiTheme="minorEastAsia" w:eastAsiaTheme="minorEastAsia" w:cstheme="minorEastAsia"/>
                <w:color w:val="auto"/>
              </w:rPr>
            </w:pPr>
          </w:p>
        </w:tc>
        <w:tc>
          <w:tcPr>
            <w:tcW w:w="1155" w:type="dxa"/>
            <w:vAlign w:val="center"/>
          </w:tcPr>
          <w:p w14:paraId="1383493B">
            <w:pPr>
              <w:jc w:val="center"/>
              <w:rPr>
                <w:rFonts w:asciiTheme="minorEastAsia" w:hAnsiTheme="minorEastAsia" w:eastAsiaTheme="minorEastAsia" w:cstheme="minorEastAsia"/>
                <w:color w:val="auto"/>
              </w:rPr>
            </w:pPr>
          </w:p>
        </w:tc>
        <w:tc>
          <w:tcPr>
            <w:tcW w:w="1995" w:type="dxa"/>
            <w:vAlign w:val="center"/>
          </w:tcPr>
          <w:p w14:paraId="5AA4ACFF">
            <w:pPr>
              <w:jc w:val="center"/>
              <w:rPr>
                <w:rFonts w:asciiTheme="minorEastAsia" w:hAnsiTheme="minorEastAsia" w:eastAsiaTheme="minorEastAsia" w:cstheme="minorEastAsia"/>
                <w:color w:val="auto"/>
              </w:rPr>
            </w:pPr>
          </w:p>
        </w:tc>
        <w:tc>
          <w:tcPr>
            <w:tcW w:w="2416" w:type="dxa"/>
            <w:vAlign w:val="center"/>
          </w:tcPr>
          <w:p w14:paraId="2726F3F7">
            <w:pPr>
              <w:jc w:val="center"/>
              <w:rPr>
                <w:rFonts w:asciiTheme="minorEastAsia" w:hAnsiTheme="minorEastAsia" w:eastAsiaTheme="minorEastAsia" w:cstheme="minorEastAsia"/>
                <w:color w:val="auto"/>
              </w:rPr>
            </w:pPr>
          </w:p>
        </w:tc>
        <w:tc>
          <w:tcPr>
            <w:tcW w:w="1576" w:type="dxa"/>
            <w:vAlign w:val="center"/>
          </w:tcPr>
          <w:p w14:paraId="5191DCFF">
            <w:pPr>
              <w:jc w:val="center"/>
              <w:rPr>
                <w:rFonts w:asciiTheme="minorEastAsia" w:hAnsiTheme="minorEastAsia" w:eastAsiaTheme="minorEastAsia" w:cstheme="minorEastAsia"/>
                <w:color w:val="auto"/>
              </w:rPr>
            </w:pPr>
          </w:p>
        </w:tc>
        <w:tc>
          <w:tcPr>
            <w:tcW w:w="1577" w:type="dxa"/>
            <w:vAlign w:val="center"/>
          </w:tcPr>
          <w:p w14:paraId="10EFC2D3">
            <w:pPr>
              <w:jc w:val="center"/>
              <w:rPr>
                <w:rFonts w:asciiTheme="minorEastAsia" w:hAnsiTheme="minorEastAsia" w:eastAsiaTheme="minorEastAsia" w:cstheme="minorEastAsia"/>
                <w:color w:val="auto"/>
              </w:rPr>
            </w:pPr>
          </w:p>
        </w:tc>
      </w:tr>
      <w:tr w14:paraId="090CB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38" w:type="dxa"/>
            <w:vAlign w:val="center"/>
          </w:tcPr>
          <w:p w14:paraId="79BE47A8">
            <w:pPr>
              <w:jc w:val="center"/>
              <w:rPr>
                <w:rFonts w:asciiTheme="minorEastAsia" w:hAnsiTheme="minorEastAsia" w:eastAsiaTheme="minorEastAsia" w:cstheme="minorEastAsia"/>
                <w:color w:val="auto"/>
              </w:rPr>
            </w:pPr>
          </w:p>
        </w:tc>
        <w:tc>
          <w:tcPr>
            <w:tcW w:w="1155" w:type="dxa"/>
            <w:vAlign w:val="center"/>
          </w:tcPr>
          <w:p w14:paraId="5AFF2F38">
            <w:pPr>
              <w:jc w:val="center"/>
              <w:rPr>
                <w:rFonts w:asciiTheme="minorEastAsia" w:hAnsiTheme="minorEastAsia" w:eastAsiaTheme="minorEastAsia" w:cstheme="minorEastAsia"/>
                <w:color w:val="auto"/>
              </w:rPr>
            </w:pPr>
          </w:p>
        </w:tc>
        <w:tc>
          <w:tcPr>
            <w:tcW w:w="1995" w:type="dxa"/>
            <w:vAlign w:val="center"/>
          </w:tcPr>
          <w:p w14:paraId="54DBE118">
            <w:pPr>
              <w:jc w:val="center"/>
              <w:rPr>
                <w:rFonts w:asciiTheme="minorEastAsia" w:hAnsiTheme="minorEastAsia" w:eastAsiaTheme="minorEastAsia" w:cstheme="minorEastAsia"/>
                <w:color w:val="auto"/>
              </w:rPr>
            </w:pPr>
          </w:p>
        </w:tc>
        <w:tc>
          <w:tcPr>
            <w:tcW w:w="2416" w:type="dxa"/>
            <w:vAlign w:val="center"/>
          </w:tcPr>
          <w:p w14:paraId="3DCB913B">
            <w:pPr>
              <w:jc w:val="center"/>
              <w:rPr>
                <w:rFonts w:asciiTheme="minorEastAsia" w:hAnsiTheme="minorEastAsia" w:eastAsiaTheme="minorEastAsia" w:cstheme="minorEastAsia"/>
                <w:color w:val="auto"/>
              </w:rPr>
            </w:pPr>
          </w:p>
        </w:tc>
        <w:tc>
          <w:tcPr>
            <w:tcW w:w="1576" w:type="dxa"/>
            <w:vAlign w:val="center"/>
          </w:tcPr>
          <w:p w14:paraId="6E206452">
            <w:pPr>
              <w:jc w:val="center"/>
              <w:rPr>
                <w:rFonts w:asciiTheme="minorEastAsia" w:hAnsiTheme="minorEastAsia" w:eastAsiaTheme="minorEastAsia" w:cstheme="minorEastAsia"/>
                <w:color w:val="auto"/>
              </w:rPr>
            </w:pPr>
          </w:p>
        </w:tc>
        <w:tc>
          <w:tcPr>
            <w:tcW w:w="1577" w:type="dxa"/>
            <w:vAlign w:val="center"/>
          </w:tcPr>
          <w:p w14:paraId="6D45B674">
            <w:pPr>
              <w:jc w:val="center"/>
              <w:rPr>
                <w:rFonts w:asciiTheme="minorEastAsia" w:hAnsiTheme="minorEastAsia" w:eastAsiaTheme="minorEastAsia" w:cstheme="minorEastAsia"/>
                <w:color w:val="auto"/>
              </w:rPr>
            </w:pPr>
          </w:p>
        </w:tc>
      </w:tr>
    </w:tbl>
    <w:p w14:paraId="1C491466">
      <w:pPr>
        <w:rPr>
          <w:rFonts w:asciiTheme="minorEastAsia" w:hAnsiTheme="minorEastAsia" w:eastAsiaTheme="minorEastAsia" w:cstheme="minorEastAsia"/>
          <w:color w:val="auto"/>
        </w:rPr>
      </w:pPr>
    </w:p>
    <w:p w14:paraId="193696FB">
      <w:pPr>
        <w:rPr>
          <w:rFonts w:asciiTheme="minorEastAsia" w:hAnsiTheme="minorEastAsia" w:eastAsiaTheme="minorEastAsia" w:cstheme="minorEastAsia"/>
          <w:color w:val="auto"/>
        </w:rPr>
      </w:pPr>
    </w:p>
    <w:p w14:paraId="755DD4AD">
      <w:pPr>
        <w:spacing w:line="360" w:lineRule="auto"/>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注：</w:t>
      </w:r>
    </w:p>
    <w:p w14:paraId="6EFD41F6">
      <w:pPr>
        <w:spacing w:line="360" w:lineRule="auto"/>
        <w:ind w:left="420" w:leftChars="200"/>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响应文件与磋商文件有差异之处，均应统一汇总说明到“偏离表”中。服务商应对照磋商文件服务内容，逐条说明所提供服务已对磋商文件的服务需求做出了实质性的响应，并申明与服务内容条文的偏差和例外。</w:t>
      </w:r>
    </w:p>
    <w:p w14:paraId="391D61B7">
      <w:pPr>
        <w:spacing w:line="360" w:lineRule="auto"/>
        <w:ind w:left="420" w:leftChars="200"/>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响应文件中未对磋商文件另作偏离说明，或者说明中未涉及的内容，即视为服务商完全接受，一旦成交即成为双方签订的合同文件的组成部分，不得以任何理由另行提出附加条件。</w:t>
      </w:r>
    </w:p>
    <w:p w14:paraId="249D538E">
      <w:pPr>
        <w:autoSpaceDE w:val="0"/>
        <w:autoSpaceDN w:val="0"/>
        <w:spacing w:line="360" w:lineRule="auto"/>
        <w:ind w:right="893"/>
        <w:textAlignment w:val="bottom"/>
        <w:rPr>
          <w:rFonts w:asciiTheme="minorEastAsia" w:hAnsiTheme="minorEastAsia" w:eastAsiaTheme="minorEastAsia" w:cstheme="minorEastAsia"/>
          <w:b/>
          <w:bCs/>
          <w:color w:val="auto"/>
          <w:sz w:val="30"/>
          <w:szCs w:val="30"/>
        </w:rPr>
      </w:pPr>
    </w:p>
    <w:p w14:paraId="488CBF76">
      <w:pPr>
        <w:autoSpaceDE w:val="0"/>
        <w:autoSpaceDN w:val="0"/>
        <w:spacing w:line="360" w:lineRule="auto"/>
        <w:ind w:right="890"/>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服务商授权人签字：</w:t>
      </w:r>
    </w:p>
    <w:p w14:paraId="1F1BC989">
      <w:pPr>
        <w:autoSpaceDE w:val="0"/>
        <w:autoSpaceDN w:val="0"/>
        <w:spacing w:line="360" w:lineRule="auto"/>
        <w:ind w:right="890" w:firstLine="1260" w:firstLineChars="6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日期：</w:t>
      </w:r>
    </w:p>
    <w:p w14:paraId="385FE1C2">
      <w:pPr>
        <w:widowControl/>
        <w:autoSpaceDE w:val="0"/>
        <w:autoSpaceDN w:val="0"/>
        <w:ind w:right="-12"/>
        <w:jc w:val="center"/>
        <w:textAlignment w:val="bottom"/>
        <w:rPr>
          <w:rFonts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color w:val="auto"/>
        </w:rPr>
        <w:br w:type="page"/>
      </w:r>
      <w:r>
        <w:rPr>
          <w:rFonts w:hint="eastAsia" w:asciiTheme="minorEastAsia" w:hAnsiTheme="minorEastAsia" w:eastAsiaTheme="minorEastAsia" w:cstheme="minorEastAsia"/>
          <w:color w:val="auto"/>
          <w:sz w:val="32"/>
          <w:szCs w:val="32"/>
        </w:rPr>
        <w:t xml:space="preserve">6. </w:t>
      </w:r>
      <w:r>
        <w:rPr>
          <w:rFonts w:hint="eastAsia" w:asciiTheme="minorEastAsia" w:hAnsiTheme="minorEastAsia" w:eastAsiaTheme="minorEastAsia" w:cstheme="minorEastAsia"/>
          <w:b/>
          <w:bCs/>
          <w:color w:val="auto"/>
          <w:sz w:val="32"/>
          <w:szCs w:val="32"/>
        </w:rPr>
        <w:t>单位负责人</w:t>
      </w:r>
      <w:r>
        <w:rPr>
          <w:rFonts w:hint="eastAsia" w:asciiTheme="minorEastAsia" w:hAnsiTheme="minorEastAsia" w:eastAsiaTheme="minorEastAsia" w:cstheme="minorEastAsia"/>
          <w:b/>
          <w:bCs/>
          <w:color w:val="auto"/>
          <w:sz w:val="32"/>
          <w:szCs w:val="32"/>
          <w:lang w:val="en-US" w:eastAsia="zh-CN"/>
        </w:rPr>
        <w:t>证明</w:t>
      </w:r>
      <w:r>
        <w:rPr>
          <w:rFonts w:hint="eastAsia" w:asciiTheme="minorEastAsia" w:hAnsiTheme="minorEastAsia" w:eastAsiaTheme="minorEastAsia" w:cstheme="minorEastAsia"/>
          <w:b/>
          <w:bCs/>
          <w:color w:val="auto"/>
          <w:sz w:val="32"/>
          <w:szCs w:val="32"/>
        </w:rPr>
        <w:t>书格式</w:t>
      </w:r>
    </w:p>
    <w:p w14:paraId="2D63FB59">
      <w:pPr>
        <w:widowControl/>
        <w:autoSpaceDE w:val="0"/>
        <w:autoSpaceDN w:val="0"/>
        <w:ind w:right="-12"/>
        <w:textAlignment w:val="bottom"/>
        <w:rPr>
          <w:rFonts w:asciiTheme="minorEastAsia" w:hAnsiTheme="minorEastAsia" w:eastAsiaTheme="minorEastAsia" w:cstheme="minorEastAsia"/>
          <w:b/>
          <w:bCs/>
          <w:color w:val="auto"/>
          <w:sz w:val="36"/>
          <w:szCs w:val="36"/>
        </w:rPr>
      </w:pPr>
    </w:p>
    <w:p w14:paraId="563FAB9A">
      <w:pPr>
        <w:widowControl/>
        <w:autoSpaceDE w:val="0"/>
        <w:autoSpaceDN w:val="0"/>
        <w:ind w:right="-12"/>
        <w:textAlignment w:val="bottom"/>
        <w:rPr>
          <w:rFonts w:asciiTheme="minorEastAsia" w:hAnsiTheme="minorEastAsia" w:eastAsiaTheme="minorEastAsia" w:cstheme="minorEastAsia"/>
          <w:b/>
          <w:bCs/>
          <w:color w:val="auto"/>
          <w:sz w:val="36"/>
          <w:szCs w:val="36"/>
        </w:rPr>
      </w:pPr>
    </w:p>
    <w:p w14:paraId="5701F91E">
      <w:pPr>
        <w:widowControl/>
        <w:autoSpaceDE w:val="0"/>
        <w:autoSpaceDN w:val="0"/>
        <w:spacing w:line="360" w:lineRule="auto"/>
        <w:ind w:right="-12"/>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本授权书声明：注册于的公司的在下面签字的（单位负责人姓名、职务）为本公司的合法代理人，就项目的合同磋商及合同的执行、完成和保修，以本公司名义处理一切与之有关的事务。</w:t>
      </w:r>
    </w:p>
    <w:p w14:paraId="7DC4747A">
      <w:pPr>
        <w:widowControl/>
        <w:autoSpaceDE w:val="0"/>
        <w:autoSpaceDN w:val="0"/>
        <w:spacing w:line="360" w:lineRule="auto"/>
        <w:ind w:right="-12" w:firstLine="420" w:firstLineChars="200"/>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本授权书于年月日签字生效，特此声明。  </w:t>
      </w:r>
    </w:p>
    <w:p w14:paraId="1731CC7C">
      <w:pPr>
        <w:widowControl/>
        <w:autoSpaceDE w:val="0"/>
        <w:autoSpaceDN w:val="0"/>
        <w:spacing w:line="360" w:lineRule="auto"/>
        <w:ind w:right="893"/>
        <w:textAlignment w:val="bottom"/>
        <w:rPr>
          <w:rFonts w:asciiTheme="minorEastAsia" w:hAnsiTheme="minorEastAsia" w:eastAsiaTheme="minorEastAsia" w:cstheme="minorEastAsia"/>
          <w:color w:val="auto"/>
        </w:rPr>
      </w:pPr>
    </w:p>
    <w:p w14:paraId="11C2C7EB">
      <w:pPr>
        <w:widowControl/>
        <w:autoSpaceDE w:val="0"/>
        <w:autoSpaceDN w:val="0"/>
        <w:ind w:right="893"/>
        <w:textAlignment w:val="bottom"/>
        <w:rPr>
          <w:rFonts w:asciiTheme="minorEastAsia" w:hAnsiTheme="minorEastAsia" w:eastAsiaTheme="minorEastAsia" w:cstheme="minorEastAsia"/>
          <w:color w:val="auto"/>
        </w:rPr>
      </w:pPr>
    </w:p>
    <w:p w14:paraId="2B9D3951">
      <w:pPr>
        <w:widowControl/>
        <w:autoSpaceDE w:val="0"/>
        <w:autoSpaceDN w:val="0"/>
        <w:ind w:right="893"/>
        <w:textAlignment w:val="bottom"/>
        <w:rPr>
          <w:rFonts w:asciiTheme="minorEastAsia" w:hAnsiTheme="minorEastAsia" w:eastAsiaTheme="minorEastAsia" w:cstheme="minorEastAsia"/>
          <w:color w:val="auto"/>
        </w:rPr>
      </w:pPr>
    </w:p>
    <w:p w14:paraId="13E3CEA6">
      <w:pPr>
        <w:widowControl/>
        <w:autoSpaceDE w:val="0"/>
        <w:autoSpaceDN w:val="0"/>
        <w:ind w:right="893"/>
        <w:textAlignment w:val="bottom"/>
        <w:rPr>
          <w:rFonts w:asciiTheme="minorEastAsia" w:hAnsiTheme="minorEastAsia" w:eastAsiaTheme="minorEastAsia" w:cstheme="minorEastAsia"/>
          <w:color w:val="auto"/>
        </w:rPr>
      </w:pPr>
    </w:p>
    <w:p w14:paraId="61486C8E">
      <w:pPr>
        <w:widowControl/>
        <w:autoSpaceDE w:val="0"/>
        <w:autoSpaceDN w:val="0"/>
        <w:ind w:right="893"/>
        <w:textAlignment w:val="bottom"/>
        <w:rPr>
          <w:rFonts w:asciiTheme="minorEastAsia" w:hAnsiTheme="minorEastAsia" w:eastAsiaTheme="minorEastAsia" w:cstheme="minorEastAsia"/>
          <w:color w:val="auto"/>
        </w:rPr>
      </w:pPr>
    </w:p>
    <w:p w14:paraId="375F7299">
      <w:pPr>
        <w:widowControl/>
        <w:autoSpaceDE w:val="0"/>
        <w:autoSpaceDN w:val="0"/>
        <w:ind w:right="893"/>
        <w:textAlignment w:val="bottom"/>
        <w:rPr>
          <w:rFonts w:asciiTheme="minorEastAsia" w:hAnsiTheme="minorEastAsia" w:eastAsiaTheme="minorEastAsia" w:cstheme="minorEastAsia"/>
          <w:color w:val="auto"/>
        </w:rPr>
      </w:pPr>
    </w:p>
    <w:p w14:paraId="53D46FB2">
      <w:pPr>
        <w:widowControl/>
        <w:wordWrap w:val="0"/>
        <w:autoSpaceDE w:val="0"/>
        <w:autoSpaceDN w:val="0"/>
        <w:ind w:right="893"/>
        <w:jc w:val="right"/>
        <w:textAlignment w:val="bottom"/>
        <w:rPr>
          <w:rFonts w:asciiTheme="minorEastAsia" w:hAnsiTheme="minorEastAsia" w:eastAsiaTheme="minorEastAsia" w:cstheme="minorEastAsia"/>
          <w:color w:val="auto"/>
        </w:rPr>
      </w:pPr>
    </w:p>
    <w:p w14:paraId="4C616A0A">
      <w:pPr>
        <w:widowControl/>
        <w:autoSpaceDE w:val="0"/>
        <w:autoSpaceDN w:val="0"/>
        <w:spacing w:line="360" w:lineRule="auto"/>
        <w:ind w:right="1106"/>
        <w:textAlignment w:val="bottom"/>
        <w:rPr>
          <w:rFonts w:asciiTheme="minorEastAsia" w:hAnsiTheme="minorEastAsia" w:eastAsiaTheme="minorEastAsia" w:cstheme="minorEastAsia"/>
          <w:color w:val="auto"/>
          <w:u w:val="single"/>
        </w:rPr>
      </w:pPr>
      <w:r>
        <w:rPr>
          <w:rFonts w:hint="eastAsia" w:asciiTheme="minorEastAsia" w:hAnsiTheme="minorEastAsia" w:eastAsiaTheme="minorEastAsia" w:cstheme="minorEastAsia"/>
          <w:color w:val="auto"/>
        </w:rPr>
        <w:t>单位负责人签字盖章：</w:t>
      </w:r>
    </w:p>
    <w:p w14:paraId="7A4625D5">
      <w:pPr>
        <w:widowControl/>
        <w:autoSpaceDE w:val="0"/>
        <w:autoSpaceDN w:val="0"/>
        <w:spacing w:line="360" w:lineRule="auto"/>
        <w:ind w:right="1106"/>
        <w:textAlignment w:val="bottom"/>
        <w:rPr>
          <w:rFonts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单位名称： </w:t>
      </w:r>
    </w:p>
    <w:p w14:paraId="6D5E2029">
      <w:pPr>
        <w:widowControl/>
        <w:autoSpaceDE w:val="0"/>
        <w:autoSpaceDN w:val="0"/>
        <w:spacing w:line="360" w:lineRule="auto"/>
        <w:ind w:right="-11"/>
        <w:jc w:val="center"/>
        <w:textAlignment w:val="bottom"/>
        <w:rPr>
          <w:rFonts w:asciiTheme="minorEastAsia" w:hAnsiTheme="minorEastAsia" w:eastAsiaTheme="minorEastAsia" w:cstheme="minorEastAsia"/>
          <w:color w:val="auto"/>
          <w:u w:val="single"/>
        </w:rPr>
      </w:pPr>
    </w:p>
    <w:p w14:paraId="6B9532E1">
      <w:pPr>
        <w:widowControl/>
        <w:autoSpaceDE w:val="0"/>
        <w:autoSpaceDN w:val="0"/>
        <w:spacing w:line="360" w:lineRule="auto"/>
        <w:ind w:right="-11"/>
        <w:jc w:val="right"/>
        <w:textAlignment w:val="bottom"/>
        <w:rPr>
          <w:rFonts w:asciiTheme="minorEastAsia" w:hAnsiTheme="minorEastAsia" w:eastAsiaTheme="minorEastAsia" w:cstheme="minorEastAsia"/>
          <w:color w:val="auto"/>
        </w:rPr>
      </w:pPr>
    </w:p>
    <w:p w14:paraId="285D88E8">
      <w:pPr>
        <w:widowControl/>
        <w:autoSpaceDE w:val="0"/>
        <w:autoSpaceDN w:val="0"/>
        <w:ind w:right="-12"/>
        <w:jc w:val="right"/>
        <w:textAlignment w:val="bottom"/>
        <w:rPr>
          <w:rFonts w:asciiTheme="minorEastAsia" w:hAnsiTheme="minorEastAsia" w:eastAsiaTheme="minorEastAsia" w:cstheme="minorEastAsia"/>
          <w:color w:val="auto"/>
        </w:rPr>
      </w:pPr>
    </w:p>
    <w:p w14:paraId="30B9090A">
      <w:pPr>
        <w:widowControl/>
        <w:autoSpaceDE w:val="0"/>
        <w:autoSpaceDN w:val="0"/>
        <w:ind w:right="-12"/>
        <w:jc w:val="center"/>
        <w:textAlignment w:val="bottom"/>
        <w:rPr>
          <w:rFonts w:asciiTheme="minorEastAsia" w:hAnsiTheme="minorEastAsia" w:eastAsiaTheme="minorEastAsia" w:cstheme="minorEastAsia"/>
          <w:color w:val="auto"/>
        </w:rPr>
      </w:pPr>
    </w:p>
    <w:p w14:paraId="720E8AE6">
      <w:pPr>
        <w:pStyle w:val="15"/>
        <w:rPr>
          <w:rFonts w:asciiTheme="minorEastAsia" w:hAnsiTheme="minorEastAsia" w:eastAsiaTheme="minorEastAsia" w:cstheme="minorEastAsia"/>
          <w:color w:val="auto"/>
        </w:rPr>
      </w:pPr>
    </w:p>
    <w:p w14:paraId="534142E4">
      <w:pPr>
        <w:pStyle w:val="15"/>
        <w:rPr>
          <w:rFonts w:asciiTheme="minorEastAsia" w:hAnsiTheme="minorEastAsia" w:eastAsiaTheme="minorEastAsia" w:cstheme="minorEastAsia"/>
          <w:color w:val="auto"/>
        </w:rPr>
      </w:pPr>
    </w:p>
    <w:p w14:paraId="54924571">
      <w:pPr>
        <w:pStyle w:val="15"/>
        <w:rPr>
          <w:rFonts w:asciiTheme="minorEastAsia" w:hAnsiTheme="minorEastAsia" w:eastAsiaTheme="minorEastAsia" w:cstheme="minorEastAsia"/>
          <w:color w:val="auto"/>
        </w:rPr>
      </w:pPr>
    </w:p>
    <w:p w14:paraId="4749A0A2">
      <w:pPr>
        <w:pStyle w:val="15"/>
        <w:rPr>
          <w:rFonts w:asciiTheme="minorEastAsia" w:hAnsiTheme="minorEastAsia" w:eastAsiaTheme="minorEastAsia" w:cstheme="minorEastAsia"/>
          <w:color w:val="auto"/>
        </w:rPr>
      </w:pPr>
    </w:p>
    <w:p w14:paraId="67333AF8">
      <w:pPr>
        <w:pStyle w:val="15"/>
        <w:rPr>
          <w:rFonts w:asciiTheme="minorEastAsia" w:hAnsiTheme="minorEastAsia" w:eastAsiaTheme="minorEastAsia" w:cstheme="minorEastAsia"/>
          <w:color w:val="auto"/>
        </w:rPr>
      </w:pPr>
    </w:p>
    <w:p w14:paraId="1A3E7315">
      <w:pPr>
        <w:pStyle w:val="15"/>
        <w:rPr>
          <w:rFonts w:asciiTheme="minorEastAsia" w:hAnsiTheme="minorEastAsia" w:eastAsiaTheme="minorEastAsia" w:cstheme="minorEastAsia"/>
          <w:color w:val="auto"/>
        </w:rPr>
      </w:pPr>
    </w:p>
    <w:p w14:paraId="13AC09A5">
      <w:pPr>
        <w:pStyle w:val="15"/>
        <w:rPr>
          <w:rFonts w:asciiTheme="minorEastAsia" w:hAnsiTheme="minorEastAsia" w:eastAsiaTheme="minorEastAsia" w:cstheme="minorEastAsia"/>
          <w:color w:val="auto"/>
        </w:rPr>
      </w:pPr>
    </w:p>
    <w:p w14:paraId="43C07A9C">
      <w:pPr>
        <w:pStyle w:val="15"/>
        <w:rPr>
          <w:rFonts w:asciiTheme="minorEastAsia" w:hAnsiTheme="minorEastAsia" w:eastAsiaTheme="minorEastAsia" w:cstheme="minorEastAsia"/>
          <w:color w:val="auto"/>
        </w:rPr>
      </w:pPr>
    </w:p>
    <w:p w14:paraId="3982C2F5">
      <w:pPr>
        <w:pStyle w:val="15"/>
        <w:rPr>
          <w:rFonts w:asciiTheme="minorEastAsia" w:hAnsiTheme="minorEastAsia" w:eastAsiaTheme="minorEastAsia" w:cstheme="minorEastAsia"/>
          <w:color w:val="auto"/>
        </w:rPr>
      </w:pPr>
    </w:p>
    <w:p w14:paraId="24CADBC7">
      <w:pPr>
        <w:pStyle w:val="15"/>
        <w:rPr>
          <w:rFonts w:asciiTheme="minorEastAsia" w:hAnsiTheme="minorEastAsia" w:eastAsiaTheme="minorEastAsia" w:cstheme="minorEastAsia"/>
          <w:color w:val="auto"/>
        </w:rPr>
      </w:pPr>
    </w:p>
    <w:p w14:paraId="0181B804">
      <w:pPr>
        <w:pStyle w:val="15"/>
        <w:rPr>
          <w:rFonts w:asciiTheme="minorEastAsia" w:hAnsiTheme="minorEastAsia" w:eastAsiaTheme="minorEastAsia" w:cstheme="minorEastAsia"/>
          <w:color w:val="auto"/>
        </w:rPr>
      </w:pPr>
    </w:p>
    <w:p w14:paraId="1E6B779A">
      <w:pPr>
        <w:pStyle w:val="15"/>
        <w:rPr>
          <w:rFonts w:asciiTheme="minorEastAsia" w:hAnsiTheme="minorEastAsia" w:eastAsiaTheme="minorEastAsia" w:cstheme="minorEastAsia"/>
          <w:color w:val="auto"/>
        </w:rPr>
      </w:pPr>
    </w:p>
    <w:p w14:paraId="4B26C314">
      <w:pPr>
        <w:pStyle w:val="15"/>
        <w:rPr>
          <w:rFonts w:asciiTheme="minorEastAsia" w:hAnsiTheme="minorEastAsia" w:eastAsiaTheme="minorEastAsia" w:cstheme="minorEastAsia"/>
          <w:color w:val="auto"/>
        </w:rPr>
      </w:pPr>
    </w:p>
    <w:p w14:paraId="74284E53">
      <w:pPr>
        <w:pStyle w:val="15"/>
        <w:rPr>
          <w:rFonts w:asciiTheme="minorEastAsia" w:hAnsiTheme="minorEastAsia" w:eastAsiaTheme="minorEastAsia" w:cstheme="minorEastAsia"/>
          <w:color w:val="auto"/>
        </w:rPr>
      </w:pPr>
    </w:p>
    <w:p w14:paraId="67567057">
      <w:pPr>
        <w:pStyle w:val="15"/>
        <w:rPr>
          <w:rFonts w:asciiTheme="minorEastAsia" w:hAnsiTheme="minorEastAsia" w:eastAsiaTheme="minorEastAsia" w:cstheme="minorEastAsia"/>
          <w:color w:val="auto"/>
        </w:rPr>
      </w:pPr>
    </w:p>
    <w:p w14:paraId="1C8B03FB">
      <w:pPr>
        <w:pStyle w:val="15"/>
        <w:rPr>
          <w:rFonts w:asciiTheme="minorEastAsia" w:hAnsiTheme="minorEastAsia" w:eastAsiaTheme="minorEastAsia" w:cstheme="minorEastAsia"/>
          <w:color w:val="auto"/>
        </w:rPr>
      </w:pPr>
    </w:p>
    <w:p w14:paraId="7A34CE0F">
      <w:pPr>
        <w:pStyle w:val="15"/>
        <w:rPr>
          <w:rFonts w:asciiTheme="minorEastAsia" w:hAnsiTheme="minorEastAsia" w:eastAsiaTheme="minorEastAsia" w:cstheme="minorEastAsia"/>
          <w:color w:val="auto"/>
        </w:rPr>
      </w:pPr>
    </w:p>
    <w:p w14:paraId="4F1BA6A5">
      <w:pPr>
        <w:pStyle w:val="15"/>
        <w:rPr>
          <w:rFonts w:asciiTheme="minorEastAsia" w:hAnsiTheme="minorEastAsia" w:eastAsiaTheme="minorEastAsia" w:cstheme="minorEastAsia"/>
          <w:color w:val="auto"/>
        </w:rPr>
      </w:pPr>
    </w:p>
    <w:p w14:paraId="56505E8C">
      <w:pPr>
        <w:pStyle w:val="15"/>
        <w:rPr>
          <w:rFonts w:asciiTheme="minorEastAsia" w:hAnsiTheme="minorEastAsia" w:eastAsiaTheme="minorEastAsia" w:cstheme="minorEastAsia"/>
          <w:color w:val="auto"/>
        </w:rPr>
      </w:pPr>
    </w:p>
    <w:p w14:paraId="3F646EEE">
      <w:pPr>
        <w:pStyle w:val="15"/>
        <w:rPr>
          <w:rFonts w:asciiTheme="minorEastAsia" w:hAnsiTheme="minorEastAsia" w:eastAsiaTheme="minorEastAsia" w:cstheme="minorEastAsia"/>
          <w:color w:val="auto"/>
        </w:rPr>
      </w:pPr>
    </w:p>
    <w:p w14:paraId="3603ABBA">
      <w:pPr>
        <w:ind w:firstLine="1920" w:firstLineChars="600"/>
        <w:rPr>
          <w:rFonts w:ascii="方正小标宋简体" w:eastAsia="方正小标宋简体"/>
          <w:color w:val="auto"/>
          <w:sz w:val="32"/>
          <w:szCs w:val="32"/>
        </w:rPr>
      </w:pPr>
    </w:p>
    <w:p w14:paraId="18ECAABC">
      <w:pPr>
        <w:ind w:firstLine="2560" w:firstLineChars="800"/>
        <w:rPr>
          <w:rFonts w:ascii="方正小标宋简体" w:eastAsia="方正小标宋简体"/>
          <w:color w:val="auto"/>
          <w:sz w:val="32"/>
          <w:szCs w:val="32"/>
        </w:rPr>
      </w:pPr>
      <w:r>
        <w:rPr>
          <w:rFonts w:hint="eastAsia" w:ascii="方正小标宋简体" w:eastAsia="方正小标宋简体"/>
          <w:color w:val="auto"/>
          <w:sz w:val="32"/>
          <w:szCs w:val="32"/>
        </w:rPr>
        <w:t xml:space="preserve">7.中小企业声明函（服务） </w:t>
      </w:r>
    </w:p>
    <w:p w14:paraId="410B3BBA">
      <w:pPr>
        <w:spacing w:line="500" w:lineRule="exact"/>
        <w:ind w:firstLine="560" w:firstLineChars="200"/>
        <w:rPr>
          <w:rFonts w:ascii="仿宋_GB2312" w:eastAsia="仿宋_GB2312"/>
          <w:color w:val="auto"/>
          <w:sz w:val="28"/>
          <w:szCs w:val="28"/>
        </w:rPr>
      </w:pPr>
    </w:p>
    <w:p w14:paraId="2E91508C">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本公司（联合体）郑重声明，根据《政府采购促进中小企业发展管理办法》（财库</w:t>
      </w:r>
      <w:r>
        <w:rPr>
          <w:rFonts w:hint="eastAsia" w:ascii="仿宋_GB2312"/>
          <w:color w:val="auto"/>
          <w:sz w:val="28"/>
          <w:szCs w:val="28"/>
        </w:rPr>
        <w:t>﹝</w:t>
      </w:r>
      <w:r>
        <w:rPr>
          <w:rFonts w:hint="eastAsia" w:ascii="仿宋_GB2312" w:eastAsia="仿宋_GB2312"/>
          <w:color w:val="auto"/>
          <w:sz w:val="28"/>
          <w:szCs w:val="28"/>
        </w:rPr>
        <w:t>2020</w:t>
      </w:r>
      <w:r>
        <w:rPr>
          <w:rFonts w:hint="eastAsia" w:ascii="仿宋_GB2312"/>
          <w:color w:val="auto"/>
          <w:sz w:val="28"/>
          <w:szCs w:val="28"/>
        </w:rPr>
        <w:t>﹞</w:t>
      </w:r>
      <w:r>
        <w:rPr>
          <w:rFonts w:hint="eastAsia" w:ascii="仿宋_GB2312" w:eastAsia="仿宋_GB2312"/>
          <w:color w:val="auto"/>
          <w:sz w:val="28"/>
          <w:szCs w:val="28"/>
        </w:rPr>
        <w:t>46 号）的规定，本公司（联合体）参加</w:t>
      </w:r>
      <w:r>
        <w:rPr>
          <w:rFonts w:hint="eastAsia" w:ascii="仿宋_GB2312" w:eastAsia="仿宋_GB2312"/>
          <w:color w:val="auto"/>
          <w:sz w:val="28"/>
          <w:szCs w:val="28"/>
          <w:u w:val="single"/>
        </w:rPr>
        <w:t>（单位名称）</w:t>
      </w:r>
      <w:r>
        <w:rPr>
          <w:rFonts w:hint="eastAsia" w:ascii="仿宋_GB2312" w:eastAsia="仿宋_GB2312"/>
          <w:color w:val="auto"/>
          <w:sz w:val="28"/>
          <w:szCs w:val="28"/>
        </w:rPr>
        <w:t>的</w:t>
      </w:r>
      <w:r>
        <w:rPr>
          <w:rFonts w:hint="eastAsia" w:ascii="仿宋_GB2312" w:eastAsia="仿宋_GB2312"/>
          <w:color w:val="auto"/>
          <w:sz w:val="28"/>
          <w:szCs w:val="28"/>
          <w:u w:val="single"/>
        </w:rPr>
        <w:t>（项目名称）</w:t>
      </w:r>
      <w:r>
        <w:rPr>
          <w:rFonts w:hint="eastAsia" w:ascii="仿宋_GB2312" w:eastAsia="仿宋_GB2312"/>
          <w:color w:val="auto"/>
          <w:sz w:val="28"/>
          <w:szCs w:val="28"/>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5F3DC8CD">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 xml:space="preserve">1. </w:t>
      </w:r>
      <w:r>
        <w:rPr>
          <w:rFonts w:hint="eastAsia" w:ascii="仿宋_GB2312" w:eastAsia="仿宋_GB2312"/>
          <w:color w:val="auto"/>
          <w:sz w:val="28"/>
          <w:szCs w:val="28"/>
          <w:u w:val="single"/>
        </w:rPr>
        <w:t>（标的名称）</w:t>
      </w:r>
      <w:r>
        <w:rPr>
          <w:rFonts w:hint="eastAsia" w:ascii="仿宋_GB2312" w:eastAsia="仿宋_GB2312"/>
          <w:color w:val="auto"/>
          <w:sz w:val="28"/>
          <w:szCs w:val="28"/>
        </w:rPr>
        <w:t>，属于</w:t>
      </w:r>
      <w:r>
        <w:rPr>
          <w:rFonts w:hint="eastAsia" w:ascii="仿宋_GB2312" w:eastAsia="仿宋_GB2312"/>
          <w:color w:val="auto"/>
          <w:sz w:val="28"/>
          <w:szCs w:val="28"/>
          <w:u w:val="single"/>
        </w:rPr>
        <w:t>（采购文件中明确的所属行业）</w:t>
      </w:r>
      <w:r>
        <w:rPr>
          <w:rFonts w:hint="eastAsia" w:ascii="仿宋_GB2312" w:eastAsia="仿宋_GB2312"/>
          <w:color w:val="auto"/>
          <w:sz w:val="28"/>
          <w:szCs w:val="28"/>
        </w:rPr>
        <w:t>； 承建（承接）企业为</w:t>
      </w:r>
      <w:r>
        <w:rPr>
          <w:rFonts w:hint="eastAsia" w:ascii="仿宋_GB2312" w:eastAsia="仿宋_GB2312"/>
          <w:color w:val="auto"/>
          <w:sz w:val="28"/>
          <w:szCs w:val="28"/>
          <w:u w:val="single"/>
        </w:rPr>
        <w:t>（企业名称）</w:t>
      </w:r>
      <w:r>
        <w:rPr>
          <w:rFonts w:hint="eastAsia" w:ascii="仿宋_GB2312" w:eastAsia="仿宋_GB2312"/>
          <w:color w:val="auto"/>
          <w:sz w:val="28"/>
          <w:szCs w:val="28"/>
        </w:rPr>
        <w:t>，从业人员人，营业收入为万元，资产总额为万元 ，属于</w:t>
      </w:r>
      <w:r>
        <w:rPr>
          <w:rFonts w:hint="eastAsia" w:ascii="仿宋_GB2312" w:eastAsia="仿宋_GB2312"/>
          <w:color w:val="auto"/>
          <w:sz w:val="28"/>
          <w:szCs w:val="28"/>
          <w:u w:val="single"/>
        </w:rPr>
        <w:t>（中型企业、 小型企业、微型企业）</w:t>
      </w:r>
      <w:r>
        <w:rPr>
          <w:rFonts w:hint="eastAsia" w:ascii="仿宋_GB2312" w:eastAsia="仿宋_GB2312"/>
          <w:color w:val="auto"/>
          <w:sz w:val="28"/>
          <w:szCs w:val="28"/>
        </w:rPr>
        <w:t xml:space="preserve">； </w:t>
      </w:r>
    </w:p>
    <w:p w14:paraId="75353E5A">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 xml:space="preserve">2. </w:t>
      </w:r>
      <w:r>
        <w:rPr>
          <w:rFonts w:hint="eastAsia" w:ascii="仿宋_GB2312" w:eastAsia="仿宋_GB2312"/>
          <w:color w:val="auto"/>
          <w:sz w:val="28"/>
          <w:szCs w:val="28"/>
          <w:u w:val="single"/>
        </w:rPr>
        <w:t>（标的名称）</w:t>
      </w:r>
      <w:r>
        <w:rPr>
          <w:rFonts w:hint="eastAsia" w:ascii="仿宋_GB2312" w:eastAsia="仿宋_GB2312"/>
          <w:color w:val="auto"/>
          <w:sz w:val="28"/>
          <w:szCs w:val="28"/>
        </w:rPr>
        <w:t>，属于</w:t>
      </w:r>
      <w:r>
        <w:rPr>
          <w:rFonts w:hint="eastAsia" w:ascii="仿宋_GB2312" w:eastAsia="仿宋_GB2312"/>
          <w:color w:val="auto"/>
          <w:sz w:val="28"/>
          <w:szCs w:val="28"/>
          <w:u w:val="single"/>
        </w:rPr>
        <w:t>（采购文件中明确的所属行业）</w:t>
      </w:r>
      <w:r>
        <w:rPr>
          <w:rFonts w:hint="eastAsia" w:ascii="仿宋_GB2312" w:eastAsia="仿宋_GB2312"/>
          <w:color w:val="auto"/>
          <w:sz w:val="28"/>
          <w:szCs w:val="28"/>
        </w:rPr>
        <w:t>； 承建（承接）企业为</w:t>
      </w:r>
      <w:r>
        <w:rPr>
          <w:rFonts w:hint="eastAsia" w:ascii="仿宋_GB2312" w:eastAsia="仿宋_GB2312"/>
          <w:color w:val="auto"/>
          <w:sz w:val="28"/>
          <w:szCs w:val="28"/>
          <w:u w:val="single"/>
        </w:rPr>
        <w:t>（企业名称）</w:t>
      </w:r>
      <w:r>
        <w:rPr>
          <w:rFonts w:hint="eastAsia" w:ascii="仿宋_GB2312" w:eastAsia="仿宋_GB2312"/>
          <w:color w:val="auto"/>
          <w:sz w:val="28"/>
          <w:szCs w:val="28"/>
        </w:rPr>
        <w:t>，从业人员人，营业收入为万元，资产总额为万元，属于</w:t>
      </w:r>
      <w:r>
        <w:rPr>
          <w:rFonts w:hint="eastAsia" w:ascii="仿宋_GB2312" w:eastAsia="仿宋_GB2312"/>
          <w:color w:val="auto"/>
          <w:sz w:val="28"/>
          <w:szCs w:val="28"/>
          <w:u w:val="single"/>
        </w:rPr>
        <w:t>（中型企业、 小型企业、微型企业）</w:t>
      </w:r>
      <w:r>
        <w:rPr>
          <w:rFonts w:hint="eastAsia" w:ascii="仿宋_GB2312" w:eastAsia="仿宋_GB2312"/>
          <w:color w:val="auto"/>
          <w:sz w:val="28"/>
          <w:szCs w:val="28"/>
        </w:rPr>
        <w:t>；</w:t>
      </w:r>
    </w:p>
    <w:p w14:paraId="36E6009B">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 xml:space="preserve"> …… </w:t>
      </w:r>
    </w:p>
    <w:p w14:paraId="37E760C2">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 xml:space="preserve">以上企业，不属于大企业的分支机构，不存在控股股东为大企业的情形，也不存在与大企业的负责人为同一人的情形。 </w:t>
      </w:r>
    </w:p>
    <w:p w14:paraId="6FAFD056">
      <w:pPr>
        <w:spacing w:line="500" w:lineRule="exact"/>
        <w:ind w:firstLine="560" w:firstLineChars="200"/>
        <w:rPr>
          <w:rFonts w:ascii="仿宋_GB2312" w:eastAsia="仿宋_GB2312"/>
          <w:color w:val="auto"/>
          <w:sz w:val="28"/>
          <w:szCs w:val="28"/>
        </w:rPr>
      </w:pPr>
      <w:r>
        <w:rPr>
          <w:rFonts w:hint="eastAsia" w:ascii="仿宋_GB2312" w:eastAsia="仿宋_GB2312"/>
          <w:color w:val="auto"/>
          <w:sz w:val="28"/>
          <w:szCs w:val="28"/>
        </w:rPr>
        <w:t>本企业对上述声明内容的真实性负责。如有虚假，将依法承担相应责任。</w:t>
      </w:r>
    </w:p>
    <w:p w14:paraId="712A21D4">
      <w:pPr>
        <w:spacing w:line="400" w:lineRule="exact"/>
        <w:ind w:firstLine="560" w:firstLineChars="200"/>
        <w:rPr>
          <w:rFonts w:ascii="仿宋_GB2312" w:eastAsia="仿宋_GB2312"/>
          <w:color w:val="auto"/>
          <w:sz w:val="28"/>
          <w:szCs w:val="28"/>
        </w:rPr>
      </w:pPr>
    </w:p>
    <w:p w14:paraId="5D0E735D">
      <w:pPr>
        <w:spacing w:line="400" w:lineRule="exact"/>
        <w:ind w:firstLine="4200" w:firstLineChars="1500"/>
        <w:rPr>
          <w:rFonts w:ascii="仿宋_GB2312" w:eastAsia="仿宋_GB2312"/>
          <w:color w:val="auto"/>
          <w:sz w:val="28"/>
          <w:szCs w:val="28"/>
        </w:rPr>
      </w:pPr>
    </w:p>
    <w:p w14:paraId="0E71F767">
      <w:pPr>
        <w:spacing w:line="400" w:lineRule="exact"/>
        <w:ind w:firstLine="4200" w:firstLineChars="1500"/>
        <w:rPr>
          <w:rFonts w:ascii="仿宋_GB2312" w:eastAsia="仿宋_GB2312"/>
          <w:color w:val="auto"/>
          <w:sz w:val="28"/>
          <w:szCs w:val="28"/>
        </w:rPr>
      </w:pPr>
    </w:p>
    <w:p w14:paraId="2D04DE06">
      <w:pPr>
        <w:spacing w:line="400" w:lineRule="exact"/>
        <w:ind w:firstLine="4200" w:firstLineChars="1500"/>
        <w:rPr>
          <w:rFonts w:ascii="仿宋_GB2312" w:eastAsia="仿宋_GB2312"/>
          <w:color w:val="auto"/>
          <w:sz w:val="28"/>
          <w:szCs w:val="28"/>
        </w:rPr>
      </w:pPr>
    </w:p>
    <w:p w14:paraId="549AE8C1">
      <w:pPr>
        <w:spacing w:line="400" w:lineRule="exact"/>
        <w:ind w:firstLine="4200" w:firstLineChars="1500"/>
        <w:rPr>
          <w:rFonts w:ascii="仿宋_GB2312" w:eastAsia="仿宋_GB2312"/>
          <w:color w:val="auto"/>
          <w:sz w:val="28"/>
          <w:szCs w:val="28"/>
        </w:rPr>
      </w:pPr>
      <w:r>
        <w:rPr>
          <w:rFonts w:hint="eastAsia" w:ascii="仿宋_GB2312" w:eastAsia="仿宋_GB2312"/>
          <w:color w:val="auto"/>
          <w:sz w:val="28"/>
          <w:szCs w:val="28"/>
        </w:rPr>
        <w:t>企业名称（盖章）：</w:t>
      </w:r>
    </w:p>
    <w:p w14:paraId="23F657AE">
      <w:pPr>
        <w:spacing w:line="400" w:lineRule="exact"/>
        <w:ind w:firstLine="3640" w:firstLineChars="1300"/>
        <w:rPr>
          <w:rFonts w:ascii="仿宋_GB2312" w:eastAsia="仿宋_GB2312"/>
          <w:color w:val="auto"/>
          <w:sz w:val="28"/>
          <w:szCs w:val="28"/>
        </w:rPr>
      </w:pPr>
    </w:p>
    <w:p w14:paraId="3294C300">
      <w:pPr>
        <w:spacing w:line="400" w:lineRule="exact"/>
        <w:ind w:firstLine="4200" w:firstLineChars="1500"/>
        <w:rPr>
          <w:rFonts w:ascii="仿宋_GB2312" w:eastAsia="仿宋_GB2312"/>
          <w:color w:val="auto"/>
          <w:sz w:val="28"/>
          <w:szCs w:val="28"/>
        </w:rPr>
      </w:pPr>
      <w:r>
        <w:rPr>
          <w:rFonts w:hint="eastAsia" w:ascii="仿宋_GB2312" w:eastAsia="仿宋_GB2312"/>
          <w:color w:val="auto"/>
          <w:sz w:val="28"/>
          <w:szCs w:val="28"/>
        </w:rPr>
        <w:t xml:space="preserve">日期： </w:t>
      </w:r>
    </w:p>
    <w:p w14:paraId="00B791E4">
      <w:pPr>
        <w:rPr>
          <w:color w:val="auto"/>
          <w:u w:val="single"/>
        </w:rPr>
      </w:pPr>
    </w:p>
    <w:p w14:paraId="73EF0C9C">
      <w:pPr>
        <w:rPr>
          <w:color w:val="auto"/>
          <w:u w:val="single"/>
        </w:rPr>
      </w:pPr>
    </w:p>
    <w:p w14:paraId="0953548A">
      <w:pPr>
        <w:rPr>
          <w:color w:val="auto"/>
          <w:u w:val="single"/>
        </w:rPr>
      </w:pPr>
    </w:p>
    <w:p w14:paraId="51D0B431">
      <w:pPr>
        <w:rPr>
          <w:rFonts w:ascii="仿宋_GB2312" w:eastAsia="仿宋_GB2312"/>
          <w:color w:val="auto"/>
        </w:rPr>
      </w:pPr>
      <w:r>
        <w:rPr>
          <w:rFonts w:hint="eastAsia" w:ascii="仿宋_GB2312" w:eastAsia="仿宋_GB2312"/>
          <w:color w:val="auto"/>
        </w:rPr>
        <w:t xml:space="preserve">从业人员、营业收入、资产总额填报上一年度数据，无上一年度数据的新成立企业可不填报。 </w:t>
      </w:r>
    </w:p>
    <w:p w14:paraId="31CD8B6F">
      <w:pPr>
        <w:pStyle w:val="15"/>
        <w:rPr>
          <w:rFonts w:asciiTheme="minorEastAsia" w:hAnsiTheme="minorEastAsia" w:eastAsiaTheme="minorEastAsia" w:cstheme="minorEastAsia"/>
          <w:color w:val="auto"/>
        </w:rPr>
      </w:pPr>
    </w:p>
    <w:p w14:paraId="70AA24A8">
      <w:pPr>
        <w:pStyle w:val="15"/>
        <w:rPr>
          <w:rFonts w:asciiTheme="minorEastAsia" w:hAnsiTheme="minorEastAsia" w:eastAsiaTheme="minorEastAsia" w:cstheme="minorEastAsia"/>
          <w:color w:val="auto"/>
        </w:rPr>
      </w:pPr>
    </w:p>
    <w:p w14:paraId="2910E033">
      <w:pPr>
        <w:pStyle w:val="15"/>
        <w:rPr>
          <w:rFonts w:asciiTheme="minorEastAsia" w:hAnsiTheme="minorEastAsia" w:eastAsiaTheme="minorEastAsia" w:cstheme="minorEastAsia"/>
          <w:color w:val="auto"/>
        </w:rPr>
      </w:pPr>
    </w:p>
    <w:p w14:paraId="31771868">
      <w:pPr>
        <w:pStyle w:val="15"/>
        <w:rPr>
          <w:rFonts w:asciiTheme="minorEastAsia" w:hAnsiTheme="minorEastAsia" w:eastAsiaTheme="minorEastAsia" w:cstheme="minorEastAsia"/>
          <w:color w:val="auto"/>
        </w:rPr>
      </w:pPr>
    </w:p>
    <w:p w14:paraId="76E100CE">
      <w:pPr>
        <w:pStyle w:val="15"/>
        <w:rPr>
          <w:rFonts w:asciiTheme="minorEastAsia" w:hAnsiTheme="minorEastAsia" w:eastAsiaTheme="minorEastAsia" w:cstheme="minorEastAsia"/>
          <w:color w:val="auto"/>
        </w:rPr>
      </w:pPr>
    </w:p>
    <w:p w14:paraId="5E6D5B60">
      <w:pPr>
        <w:pStyle w:val="15"/>
        <w:rPr>
          <w:rFonts w:asciiTheme="minorEastAsia" w:hAnsiTheme="minorEastAsia" w:eastAsiaTheme="minorEastAsia" w:cstheme="minorEastAsia"/>
          <w:color w:val="auto"/>
        </w:rPr>
      </w:pPr>
    </w:p>
    <w:p w14:paraId="13E5CD0F">
      <w:pPr>
        <w:pStyle w:val="15"/>
        <w:numPr>
          <w:ilvl w:val="0"/>
          <w:numId w:val="20"/>
        </w:numPr>
        <w:ind w:firstLine="2880" w:firstLineChars="900"/>
        <w:rPr>
          <w:rFonts w:hint="eastAsia" w:ascii="方正小标宋简体" w:eastAsia="方正小标宋简体"/>
          <w:color w:val="auto"/>
          <w:sz w:val="32"/>
          <w:szCs w:val="32"/>
          <w:lang w:val="en-US" w:eastAsia="zh-CN"/>
        </w:rPr>
      </w:pPr>
      <w:r>
        <w:rPr>
          <w:rFonts w:hint="eastAsia" w:ascii="方正小标宋简体" w:eastAsia="方正小标宋简体"/>
          <w:color w:val="auto"/>
          <w:sz w:val="32"/>
          <w:szCs w:val="32"/>
          <w:lang w:val="en-US" w:eastAsia="zh-CN"/>
        </w:rPr>
        <w:t>资格证明文件</w:t>
      </w:r>
    </w:p>
    <w:p w14:paraId="50AA2600">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57393E63">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25E45376">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74D88353">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108C1086">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139CFDB1">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41D9B7DA">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79E797B2">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0F041E06">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587A1CA4">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540A62FB">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249752F7">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61F3B5D8">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12328A26">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2F3CC453">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6E8DA0BE">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07778470">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422CE75F">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2652E5B8">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6B7FE756">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39D2270A">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48B71395">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10DBA405">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467D779C">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64EAFAF1">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312D626B">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11CD7E4B">
      <w:pPr>
        <w:pStyle w:val="15"/>
        <w:widowControl/>
        <w:numPr>
          <w:ilvl w:val="0"/>
          <w:numId w:val="0"/>
        </w:numPr>
        <w:adjustRightInd w:val="0"/>
        <w:spacing w:line="315" w:lineRule="atLeast"/>
        <w:jc w:val="both"/>
        <w:textAlignment w:val="baseline"/>
        <w:rPr>
          <w:rFonts w:hint="default" w:ascii="方正小标宋简体" w:eastAsia="方正小标宋简体"/>
          <w:color w:val="auto"/>
          <w:sz w:val="32"/>
          <w:szCs w:val="32"/>
          <w:lang w:val="en-US" w:eastAsia="zh-CN"/>
        </w:rPr>
      </w:pPr>
    </w:p>
    <w:p w14:paraId="35E95DEE">
      <w:pPr>
        <w:pStyle w:val="15"/>
        <w:rPr>
          <w:rFonts w:asciiTheme="minorEastAsia" w:hAnsiTheme="minorEastAsia" w:eastAsiaTheme="minorEastAsia" w:cstheme="minorEastAsia"/>
          <w:color w:val="auto"/>
        </w:rPr>
      </w:pPr>
    </w:p>
    <w:p w14:paraId="50BBCA6D">
      <w:pPr>
        <w:rPr>
          <w:rFonts w:ascii="宋体" w:hAnsi="宋体" w:cs="宋体"/>
          <w:color w:val="auto"/>
          <w:sz w:val="24"/>
          <w:szCs w:val="24"/>
        </w:rPr>
      </w:pPr>
      <w:r>
        <w:rPr>
          <w:rFonts w:hint="eastAsia" w:ascii="宋体" w:hAnsi="宋体" w:cs="宋体"/>
          <w:color w:val="auto"/>
          <w:sz w:val="24"/>
          <w:szCs w:val="24"/>
        </w:rPr>
        <w:t xml:space="preserve">附表 </w:t>
      </w:r>
    </w:p>
    <w:p w14:paraId="3CB07145">
      <w:pPr>
        <w:jc w:val="center"/>
        <w:rPr>
          <w:rFonts w:ascii="宋体" w:hAnsi="宋体" w:cs="宋体"/>
          <w:color w:val="auto"/>
          <w:sz w:val="32"/>
          <w:szCs w:val="32"/>
        </w:rPr>
      </w:pPr>
      <w:r>
        <w:rPr>
          <w:rFonts w:hint="eastAsia" w:ascii="宋体" w:hAnsi="宋体" w:cs="宋体"/>
          <w:color w:val="auto"/>
          <w:sz w:val="32"/>
          <w:szCs w:val="32"/>
        </w:rPr>
        <w:t>最后报价表</w:t>
      </w:r>
    </w:p>
    <w:p w14:paraId="77A4B367">
      <w:pPr>
        <w:snapToGrid w:val="0"/>
        <w:rPr>
          <w:rFonts w:ascii="宋体" w:hAnsi="宋体"/>
          <w:color w:val="auto"/>
        </w:rPr>
      </w:pPr>
      <w:r>
        <w:rPr>
          <w:rFonts w:hint="eastAsia" w:ascii="宋体" w:hAnsi="宋体"/>
          <w:color w:val="auto"/>
        </w:rPr>
        <w:t xml:space="preserve">项目名称：                       </w:t>
      </w:r>
    </w:p>
    <w:p w14:paraId="229C7FE7">
      <w:pPr>
        <w:jc w:val="left"/>
        <w:rPr>
          <w:rFonts w:ascii="宋体" w:hAnsi="宋体"/>
          <w:color w:val="auto"/>
        </w:rPr>
      </w:pPr>
      <w:r>
        <w:rPr>
          <w:rFonts w:hint="eastAsia" w:ascii="宋体" w:hAnsi="宋体"/>
          <w:color w:val="auto"/>
        </w:rPr>
        <w:t>招标编号：</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5523"/>
      </w:tblGrid>
      <w:tr w14:paraId="6CBA7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2" w:hRule="exact"/>
          <w:jc w:val="center"/>
        </w:trPr>
        <w:tc>
          <w:tcPr>
            <w:tcW w:w="2988" w:type="dxa"/>
            <w:vAlign w:val="center"/>
          </w:tcPr>
          <w:p w14:paraId="48808534">
            <w:pPr>
              <w:jc w:val="center"/>
              <w:rPr>
                <w:rFonts w:ascii="宋体" w:hAnsi="宋体"/>
                <w:color w:val="auto"/>
              </w:rPr>
            </w:pPr>
            <w:r>
              <w:rPr>
                <w:rFonts w:hint="eastAsia" w:ascii="宋体" w:hAnsi="宋体" w:cs="宋体"/>
                <w:color w:val="auto"/>
                <w:sz w:val="24"/>
                <w:szCs w:val="24"/>
              </w:rPr>
              <w:t>供应商名称</w:t>
            </w:r>
          </w:p>
        </w:tc>
        <w:tc>
          <w:tcPr>
            <w:tcW w:w="5523" w:type="dxa"/>
            <w:tcBorders>
              <w:right w:val="single" w:color="auto" w:sz="4" w:space="0"/>
            </w:tcBorders>
            <w:vAlign w:val="center"/>
          </w:tcPr>
          <w:p w14:paraId="769E35D6">
            <w:pPr>
              <w:jc w:val="center"/>
              <w:rPr>
                <w:rFonts w:ascii="宋体" w:hAnsi="宋体"/>
                <w:color w:val="auto"/>
              </w:rPr>
            </w:pPr>
            <w:r>
              <w:rPr>
                <w:rFonts w:hint="eastAsia" w:ascii="宋体" w:hAnsi="宋体"/>
                <w:color w:val="auto"/>
              </w:rPr>
              <w:t xml:space="preserve">最后报价  </w:t>
            </w:r>
          </w:p>
        </w:tc>
      </w:tr>
      <w:tr w14:paraId="1AF71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1" w:hRule="exact"/>
          <w:jc w:val="center"/>
        </w:trPr>
        <w:tc>
          <w:tcPr>
            <w:tcW w:w="2988" w:type="dxa"/>
            <w:vAlign w:val="center"/>
          </w:tcPr>
          <w:p w14:paraId="4D55B8AF">
            <w:pPr>
              <w:rPr>
                <w:rFonts w:ascii="宋体" w:hAnsi="宋体"/>
                <w:color w:val="auto"/>
              </w:rPr>
            </w:pPr>
          </w:p>
        </w:tc>
        <w:tc>
          <w:tcPr>
            <w:tcW w:w="5523" w:type="dxa"/>
            <w:tcBorders>
              <w:right w:val="single" w:color="auto" w:sz="4" w:space="0"/>
            </w:tcBorders>
            <w:vAlign w:val="center"/>
          </w:tcPr>
          <w:p w14:paraId="09FED992">
            <w:pPr>
              <w:jc w:val="center"/>
              <w:rPr>
                <w:rFonts w:ascii="宋体" w:hAnsi="宋体"/>
                <w:color w:val="auto"/>
              </w:rPr>
            </w:pPr>
          </w:p>
        </w:tc>
      </w:tr>
    </w:tbl>
    <w:p w14:paraId="5579CC9F">
      <w:pPr>
        <w:jc w:val="left"/>
        <w:rPr>
          <w:rFonts w:ascii="宋体" w:hAnsi="宋体"/>
          <w:color w:val="auto"/>
        </w:rPr>
      </w:pPr>
      <w:r>
        <w:rPr>
          <w:rFonts w:hint="eastAsia" w:ascii="宋体" w:hAnsi="宋体"/>
          <w:color w:val="auto"/>
        </w:rPr>
        <w:t>备注：1、此表不需填写，不需放入响应文件格式内。</w:t>
      </w:r>
    </w:p>
    <w:p w14:paraId="45D30789">
      <w:pPr>
        <w:ind w:firstLine="617" w:firstLineChars="294"/>
        <w:jc w:val="left"/>
        <w:rPr>
          <w:rFonts w:ascii="宋体" w:hAnsi="宋体"/>
          <w:color w:val="auto"/>
        </w:rPr>
      </w:pPr>
      <w:r>
        <w:rPr>
          <w:rFonts w:hint="eastAsia" w:ascii="宋体" w:hAnsi="宋体"/>
          <w:color w:val="auto"/>
        </w:rPr>
        <w:t>2、此表为通过初步审查合格的供应商按照磋商要求，现场填写。</w:t>
      </w:r>
    </w:p>
    <w:p w14:paraId="111C8218">
      <w:pPr>
        <w:pStyle w:val="15"/>
        <w:numPr>
          <w:ilvl w:val="0"/>
          <w:numId w:val="0"/>
        </w:numPr>
        <w:ind w:leftChars="200" w:firstLine="210" w:firstLineChars="100"/>
        <w:rPr>
          <w:lang w:val="en-US" w:eastAsia="zh-CN"/>
        </w:rPr>
      </w:pPr>
      <w:r>
        <w:rPr>
          <w:rFonts w:hint="eastAsia"/>
          <w:lang w:val="en-US" w:eastAsia="zh-CN"/>
        </w:rPr>
        <w:t>3、如供应商未在规定的时间内进行二次报价，视为认同维持一次报价，由代理机构手动录入系统。</w:t>
      </w:r>
    </w:p>
    <w:p w14:paraId="7FF92180">
      <w:pPr>
        <w:ind w:firstLine="480" w:firstLineChars="200"/>
        <w:rPr>
          <w:rFonts w:ascii="宋体" w:hAnsi="宋体" w:cs="宋体"/>
          <w:color w:val="auto"/>
          <w:sz w:val="24"/>
          <w:szCs w:val="24"/>
        </w:rPr>
      </w:pPr>
    </w:p>
    <w:p w14:paraId="44FBA5CC">
      <w:pPr>
        <w:ind w:firstLine="705" w:firstLineChars="294"/>
        <w:jc w:val="left"/>
        <w:rPr>
          <w:rFonts w:hint="eastAsia" w:ascii="宋体" w:hAnsi="宋体"/>
          <w:color w:val="auto"/>
        </w:rPr>
      </w:pPr>
      <w:r>
        <w:rPr>
          <w:rFonts w:hint="eastAsia" w:ascii="宋体" w:hAnsi="宋体" w:cs="宋体"/>
          <w:color w:val="auto"/>
          <w:sz w:val="24"/>
          <w:szCs w:val="24"/>
        </w:rPr>
        <w:t xml:space="preserve">                  </w:t>
      </w:r>
      <w:r>
        <w:rPr>
          <w:rFonts w:hint="eastAsia" w:ascii="宋体" w:hAnsi="宋体"/>
          <w:color w:val="auto"/>
        </w:rPr>
        <w:t xml:space="preserve"> </w:t>
      </w:r>
    </w:p>
    <w:p w14:paraId="02EC7116">
      <w:pPr>
        <w:ind w:firstLine="3555" w:firstLineChars="1693"/>
        <w:jc w:val="left"/>
        <w:rPr>
          <w:rFonts w:hint="eastAsia" w:ascii="宋体" w:hAnsi="宋体"/>
          <w:color w:val="auto"/>
        </w:rPr>
      </w:pPr>
      <w:r>
        <w:rPr>
          <w:rFonts w:hint="eastAsia" w:ascii="宋体" w:hAnsi="宋体"/>
          <w:color w:val="auto"/>
        </w:rPr>
        <w:t>供应商授权代表签字：　　　　　　　　　                 　　　</w:t>
      </w:r>
    </w:p>
    <w:p w14:paraId="4FC04222">
      <w:pPr>
        <w:ind w:firstLine="617" w:firstLineChars="294"/>
        <w:jc w:val="left"/>
        <w:rPr>
          <w:rFonts w:hint="eastAsia" w:ascii="宋体" w:hAnsi="宋体"/>
          <w:color w:val="auto"/>
        </w:rPr>
      </w:pPr>
      <w:r>
        <w:rPr>
          <w:rFonts w:hint="eastAsia" w:ascii="宋体" w:hAnsi="宋体"/>
          <w:color w:val="auto"/>
        </w:rPr>
        <w:t xml:space="preserve">                                   </w:t>
      </w:r>
    </w:p>
    <w:p w14:paraId="0B47CC52">
      <w:pPr>
        <w:ind w:firstLine="617" w:firstLineChars="294"/>
        <w:jc w:val="left"/>
        <w:rPr>
          <w:rFonts w:ascii="宋体" w:hAnsi="宋体" w:cs="宋体"/>
          <w:color w:val="auto"/>
          <w:sz w:val="24"/>
          <w:szCs w:val="24"/>
          <w:u w:val="single"/>
        </w:rPr>
      </w:pPr>
      <w:r>
        <w:rPr>
          <w:rFonts w:hint="eastAsia" w:ascii="宋体" w:hAnsi="宋体"/>
          <w:color w:val="auto"/>
        </w:rPr>
        <w:t xml:space="preserve">  </w:t>
      </w:r>
      <w:r>
        <w:rPr>
          <w:rFonts w:hint="eastAsia" w:ascii="宋体" w:hAnsi="宋体"/>
          <w:color w:val="auto"/>
          <w:lang w:val="en-US" w:eastAsia="zh-CN"/>
        </w:rPr>
        <w:t xml:space="preserve">                                 </w:t>
      </w:r>
      <w:r>
        <w:rPr>
          <w:rFonts w:hint="eastAsia" w:ascii="宋体" w:hAnsi="宋体"/>
          <w:color w:val="auto"/>
        </w:rPr>
        <w:t>日       期：　　　　　　　　　　　　　　</w:t>
      </w:r>
      <w:r>
        <w:rPr>
          <w:rFonts w:hint="eastAsia" w:ascii="宋体" w:hAnsi="宋体" w:cs="宋体"/>
          <w:color w:val="auto"/>
          <w:sz w:val="24"/>
          <w:szCs w:val="24"/>
          <w:u w:val="single"/>
        </w:rPr>
        <w:t xml:space="preserve">  </w:t>
      </w:r>
    </w:p>
    <w:p w14:paraId="3AFE2AC4">
      <w:pPr>
        <w:ind w:firstLine="480" w:firstLineChars="200"/>
        <w:rPr>
          <w:rFonts w:ascii="宋体" w:hAnsi="宋体" w:cs="宋体"/>
          <w:color w:val="auto"/>
          <w:sz w:val="24"/>
          <w:szCs w:val="24"/>
          <w:u w:val="single"/>
        </w:rPr>
      </w:pPr>
    </w:p>
    <w:p w14:paraId="4D1C75EF">
      <w:pPr>
        <w:pStyle w:val="15"/>
        <w:rPr>
          <w:rFonts w:asciiTheme="minorEastAsia" w:hAnsiTheme="minorEastAsia" w:eastAsiaTheme="minorEastAsia" w:cstheme="minorEastAsia"/>
          <w:color w:val="auto"/>
        </w:rPr>
      </w:pPr>
    </w:p>
    <w:p w14:paraId="1FC6DD32">
      <w:pPr>
        <w:pStyle w:val="15"/>
        <w:rPr>
          <w:rFonts w:asciiTheme="minorEastAsia" w:hAnsiTheme="minorEastAsia" w:eastAsiaTheme="minorEastAsia" w:cstheme="minorEastAsia"/>
          <w:color w:val="auto"/>
        </w:rPr>
      </w:pPr>
    </w:p>
    <w:p w14:paraId="114BAD33">
      <w:pPr>
        <w:pStyle w:val="15"/>
        <w:rPr>
          <w:rFonts w:asciiTheme="minorEastAsia" w:hAnsiTheme="minorEastAsia" w:eastAsiaTheme="minorEastAsia" w:cstheme="minorEastAsia"/>
          <w:color w:val="auto"/>
        </w:rPr>
      </w:pPr>
    </w:p>
    <w:p w14:paraId="27114263">
      <w:pPr>
        <w:pStyle w:val="15"/>
        <w:rPr>
          <w:rFonts w:asciiTheme="minorEastAsia" w:hAnsiTheme="minorEastAsia" w:eastAsiaTheme="minorEastAsia" w:cstheme="minorEastAsia"/>
          <w:color w:val="auto"/>
        </w:rPr>
      </w:pPr>
    </w:p>
    <w:p w14:paraId="4A639D24">
      <w:pPr>
        <w:pStyle w:val="15"/>
        <w:rPr>
          <w:rFonts w:asciiTheme="minorEastAsia" w:hAnsiTheme="minorEastAsia" w:eastAsiaTheme="minorEastAsia" w:cstheme="minorEastAsia"/>
          <w:color w:val="auto"/>
        </w:rPr>
      </w:pPr>
    </w:p>
    <w:p w14:paraId="7407C919">
      <w:pPr>
        <w:pStyle w:val="15"/>
        <w:rPr>
          <w:rFonts w:asciiTheme="minorEastAsia" w:hAnsiTheme="minorEastAsia" w:eastAsiaTheme="minorEastAsia" w:cstheme="minorEastAsia"/>
          <w:color w:val="auto"/>
        </w:rPr>
      </w:pPr>
    </w:p>
    <w:p w14:paraId="2A7ABC9B">
      <w:pPr>
        <w:pStyle w:val="15"/>
        <w:rPr>
          <w:rFonts w:asciiTheme="minorEastAsia" w:hAnsiTheme="minorEastAsia" w:eastAsiaTheme="minorEastAsia" w:cstheme="minorEastAsia"/>
          <w:color w:val="auto"/>
        </w:rPr>
      </w:pPr>
    </w:p>
    <w:p w14:paraId="7281CAB7">
      <w:pPr>
        <w:pStyle w:val="15"/>
        <w:rPr>
          <w:rFonts w:asciiTheme="minorEastAsia" w:hAnsiTheme="minorEastAsia" w:eastAsiaTheme="minorEastAsia" w:cstheme="minorEastAsia"/>
          <w:color w:val="auto"/>
        </w:rPr>
      </w:pPr>
    </w:p>
    <w:p w14:paraId="0DDDAB11">
      <w:pPr>
        <w:pStyle w:val="15"/>
        <w:rPr>
          <w:rFonts w:asciiTheme="minorEastAsia" w:hAnsiTheme="minorEastAsia" w:eastAsiaTheme="minorEastAsia" w:cstheme="minorEastAsia"/>
          <w:color w:val="auto"/>
        </w:rPr>
      </w:pPr>
    </w:p>
    <w:p w14:paraId="1C601098">
      <w:pPr>
        <w:pStyle w:val="15"/>
        <w:rPr>
          <w:rFonts w:asciiTheme="minorEastAsia" w:hAnsiTheme="minorEastAsia" w:eastAsiaTheme="minorEastAsia" w:cstheme="minorEastAsia"/>
          <w:color w:val="auto"/>
        </w:rPr>
      </w:pPr>
    </w:p>
    <w:p w14:paraId="58008171">
      <w:pPr>
        <w:pStyle w:val="15"/>
        <w:rPr>
          <w:rFonts w:asciiTheme="minorEastAsia" w:hAnsiTheme="minorEastAsia" w:eastAsiaTheme="minorEastAsia" w:cstheme="minorEastAsia"/>
          <w:color w:val="auto"/>
        </w:rPr>
      </w:pPr>
    </w:p>
    <w:p w14:paraId="04DB545A">
      <w:pPr>
        <w:pStyle w:val="15"/>
        <w:rPr>
          <w:rFonts w:asciiTheme="minorEastAsia" w:hAnsiTheme="minorEastAsia" w:eastAsiaTheme="minorEastAsia" w:cstheme="minorEastAsia"/>
          <w:color w:val="auto"/>
        </w:rPr>
      </w:pPr>
    </w:p>
    <w:p w14:paraId="76A4756B">
      <w:pPr>
        <w:pStyle w:val="15"/>
        <w:rPr>
          <w:rFonts w:asciiTheme="minorEastAsia" w:hAnsiTheme="minorEastAsia" w:eastAsiaTheme="minorEastAsia" w:cstheme="minorEastAsia"/>
          <w:color w:val="auto"/>
        </w:rPr>
      </w:pPr>
    </w:p>
    <w:p w14:paraId="218D921F">
      <w:pPr>
        <w:pStyle w:val="15"/>
        <w:rPr>
          <w:rFonts w:asciiTheme="minorEastAsia" w:hAnsiTheme="minorEastAsia" w:eastAsiaTheme="minorEastAsia" w:cstheme="minorEastAsia"/>
          <w:color w:val="auto"/>
        </w:rPr>
      </w:pPr>
    </w:p>
    <w:p w14:paraId="232EA5E6">
      <w:pPr>
        <w:pStyle w:val="15"/>
        <w:rPr>
          <w:rFonts w:asciiTheme="minorEastAsia" w:hAnsiTheme="minorEastAsia" w:eastAsiaTheme="minorEastAsia" w:cstheme="minorEastAsia"/>
          <w:color w:val="auto"/>
        </w:rPr>
      </w:pPr>
    </w:p>
    <w:p w14:paraId="5E4605A8">
      <w:pPr>
        <w:pStyle w:val="15"/>
        <w:rPr>
          <w:rFonts w:asciiTheme="minorEastAsia" w:hAnsiTheme="minorEastAsia" w:eastAsiaTheme="minorEastAsia" w:cstheme="minorEastAsia"/>
          <w:color w:val="auto"/>
        </w:rPr>
      </w:pPr>
    </w:p>
    <w:p w14:paraId="39FBC0BE">
      <w:pPr>
        <w:pStyle w:val="15"/>
        <w:rPr>
          <w:rFonts w:asciiTheme="minorEastAsia" w:hAnsiTheme="minorEastAsia" w:eastAsiaTheme="minorEastAsia" w:cstheme="minorEastAsia"/>
          <w:color w:val="auto"/>
        </w:rPr>
      </w:pPr>
    </w:p>
    <w:p w14:paraId="0CBF382F">
      <w:pPr>
        <w:pStyle w:val="15"/>
        <w:rPr>
          <w:rFonts w:asciiTheme="minorEastAsia" w:hAnsiTheme="minorEastAsia" w:eastAsiaTheme="minorEastAsia" w:cstheme="minorEastAsia"/>
          <w:color w:val="auto"/>
        </w:rPr>
      </w:pPr>
    </w:p>
    <w:p w14:paraId="61D31322">
      <w:pPr>
        <w:pStyle w:val="15"/>
        <w:rPr>
          <w:rFonts w:asciiTheme="minorEastAsia" w:hAnsiTheme="minorEastAsia" w:eastAsiaTheme="minorEastAsia" w:cstheme="minorEastAsia"/>
          <w:color w:val="auto"/>
        </w:rPr>
      </w:pPr>
    </w:p>
    <w:p w14:paraId="3E680051">
      <w:pPr>
        <w:rPr>
          <w:rFonts w:asciiTheme="minorEastAsia" w:hAnsiTheme="minorEastAsia" w:eastAsiaTheme="minorEastAsia" w:cstheme="minorEastAsia"/>
          <w:color w:val="auto"/>
        </w:rPr>
      </w:pPr>
      <w:r>
        <w:rPr>
          <w:rFonts w:asciiTheme="minorEastAsia" w:hAnsiTheme="minorEastAsia" w:eastAsiaTheme="minorEastAsia" w:cstheme="minorEastAsia"/>
          <w:color w:val="auto"/>
        </w:rPr>
        <w:br w:type="page"/>
      </w:r>
    </w:p>
    <w:p w14:paraId="7699B0EF">
      <w:pPr>
        <w:pStyle w:val="15"/>
        <w:rPr>
          <w:rFonts w:asciiTheme="minorEastAsia" w:hAnsiTheme="minorEastAsia" w:eastAsiaTheme="minorEastAsia" w:cstheme="minorEastAsia"/>
          <w:color w:val="auto"/>
        </w:rPr>
        <w:sectPr>
          <w:pgSz w:w="11907" w:h="16840"/>
          <w:pgMar w:top="1418" w:right="1134" w:bottom="1418" w:left="1531" w:header="851" w:footer="992" w:gutter="0"/>
          <w:cols w:space="720" w:num="1"/>
          <w:titlePg/>
          <w:docGrid w:linePitch="312" w:charSpace="0"/>
        </w:sectPr>
      </w:pPr>
    </w:p>
    <w:p w14:paraId="7316DFC1">
      <w:pPr>
        <w:ind w:right="-65" w:rightChars="-31"/>
        <w:jc w:val="center"/>
        <w:rPr>
          <w:rFonts w:ascii="宋体" w:hAnsi="宋体"/>
          <w:b/>
          <w:color w:val="auto"/>
          <w:sz w:val="30"/>
          <w:szCs w:val="30"/>
        </w:rPr>
      </w:pPr>
      <w:r>
        <w:rPr>
          <w:rFonts w:hint="eastAsia" w:ascii="宋体" w:hAnsi="宋体"/>
          <w:b/>
          <w:color w:val="auto"/>
          <w:sz w:val="30"/>
          <w:szCs w:val="30"/>
        </w:rPr>
        <w:t>中小企业划型标准</w:t>
      </w:r>
    </w:p>
    <w:tbl>
      <w:tblPr>
        <w:tblStyle w:val="18"/>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5F31101E">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noWrap w:val="0"/>
            <w:vAlign w:val="center"/>
          </w:tcPr>
          <w:p w14:paraId="3997D759">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序号</w:t>
            </w:r>
          </w:p>
        </w:tc>
        <w:tc>
          <w:tcPr>
            <w:tcW w:w="1872" w:type="dxa"/>
            <w:vMerge w:val="restart"/>
            <w:tcBorders>
              <w:top w:val="single" w:color="auto" w:sz="4" w:space="0"/>
              <w:left w:val="nil"/>
              <w:right w:val="single" w:color="auto" w:sz="4" w:space="0"/>
            </w:tcBorders>
            <w:noWrap w:val="0"/>
            <w:vAlign w:val="center"/>
          </w:tcPr>
          <w:p w14:paraId="1B40303A">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行业</w:t>
            </w:r>
          </w:p>
        </w:tc>
        <w:tc>
          <w:tcPr>
            <w:tcW w:w="2936" w:type="dxa"/>
            <w:gridSpan w:val="3"/>
            <w:tcBorders>
              <w:top w:val="single" w:color="auto" w:sz="4" w:space="0"/>
              <w:left w:val="nil"/>
              <w:bottom w:val="single" w:color="auto" w:sz="4" w:space="0"/>
              <w:right w:val="single" w:color="auto" w:sz="4" w:space="0"/>
            </w:tcBorders>
            <w:noWrap w:val="0"/>
            <w:vAlign w:val="center"/>
          </w:tcPr>
          <w:p w14:paraId="3907C8AD">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大型企业</w:t>
            </w:r>
          </w:p>
        </w:tc>
        <w:tc>
          <w:tcPr>
            <w:tcW w:w="2925" w:type="dxa"/>
            <w:gridSpan w:val="3"/>
            <w:tcBorders>
              <w:top w:val="single" w:color="auto" w:sz="4" w:space="0"/>
              <w:left w:val="nil"/>
              <w:bottom w:val="single" w:color="auto" w:sz="4" w:space="0"/>
              <w:right w:val="single" w:color="auto" w:sz="4" w:space="0"/>
            </w:tcBorders>
            <w:noWrap w:val="0"/>
            <w:vAlign w:val="center"/>
          </w:tcPr>
          <w:p w14:paraId="53B0748C">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中型企业</w:t>
            </w:r>
          </w:p>
        </w:tc>
        <w:tc>
          <w:tcPr>
            <w:tcW w:w="2947" w:type="dxa"/>
            <w:gridSpan w:val="3"/>
            <w:tcBorders>
              <w:top w:val="single" w:color="auto" w:sz="4" w:space="0"/>
              <w:left w:val="nil"/>
              <w:bottom w:val="single" w:color="auto" w:sz="4" w:space="0"/>
              <w:right w:val="single" w:color="auto" w:sz="4" w:space="0"/>
            </w:tcBorders>
            <w:noWrap w:val="0"/>
            <w:vAlign w:val="center"/>
          </w:tcPr>
          <w:p w14:paraId="5745D972">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小型企业</w:t>
            </w:r>
          </w:p>
        </w:tc>
        <w:tc>
          <w:tcPr>
            <w:tcW w:w="2725" w:type="dxa"/>
            <w:gridSpan w:val="3"/>
            <w:tcBorders>
              <w:top w:val="single" w:color="auto" w:sz="4" w:space="0"/>
              <w:left w:val="nil"/>
              <w:bottom w:val="single" w:color="auto" w:sz="4" w:space="0"/>
              <w:right w:val="single" w:color="auto" w:sz="4" w:space="0"/>
            </w:tcBorders>
            <w:noWrap w:val="0"/>
            <w:vAlign w:val="center"/>
          </w:tcPr>
          <w:p w14:paraId="5DA7640A">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微型企业</w:t>
            </w:r>
          </w:p>
        </w:tc>
      </w:tr>
      <w:tr w14:paraId="069EAF27">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noWrap w:val="0"/>
            <w:vAlign w:val="center"/>
          </w:tcPr>
          <w:p w14:paraId="74B6F860">
            <w:pPr>
              <w:ind w:left="-48" w:leftChars="-23" w:right="-65" w:rightChars="-31"/>
              <w:jc w:val="center"/>
              <w:rPr>
                <w:rFonts w:ascii="宋体" w:hAnsi="宋体" w:cs="宋体"/>
                <w:b/>
                <w:color w:val="auto"/>
                <w:kern w:val="0"/>
                <w:szCs w:val="21"/>
              </w:rPr>
            </w:pPr>
          </w:p>
        </w:tc>
        <w:tc>
          <w:tcPr>
            <w:tcW w:w="1872" w:type="dxa"/>
            <w:vMerge w:val="continue"/>
            <w:tcBorders>
              <w:left w:val="nil"/>
              <w:bottom w:val="single" w:color="auto" w:sz="4" w:space="0"/>
              <w:right w:val="single" w:color="auto" w:sz="4" w:space="0"/>
            </w:tcBorders>
            <w:noWrap w:val="0"/>
            <w:vAlign w:val="center"/>
          </w:tcPr>
          <w:p w14:paraId="43D175E1">
            <w:pPr>
              <w:ind w:left="-48" w:leftChars="-23" w:right="-65" w:rightChars="-31"/>
              <w:jc w:val="left"/>
              <w:rPr>
                <w:rFonts w:ascii="宋体" w:hAnsi="宋体" w:cs="宋体"/>
                <w:b/>
                <w:color w:val="auto"/>
                <w:kern w:val="0"/>
                <w:szCs w:val="21"/>
              </w:rPr>
            </w:pPr>
          </w:p>
        </w:tc>
        <w:tc>
          <w:tcPr>
            <w:tcW w:w="1149" w:type="dxa"/>
            <w:tcBorders>
              <w:top w:val="nil"/>
              <w:left w:val="nil"/>
              <w:bottom w:val="single" w:color="auto" w:sz="4" w:space="0"/>
              <w:right w:val="single" w:color="auto" w:sz="4" w:space="0"/>
            </w:tcBorders>
            <w:noWrap w:val="0"/>
            <w:vAlign w:val="center"/>
          </w:tcPr>
          <w:p w14:paraId="1EAAF4D1">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营业收入</w:t>
            </w:r>
          </w:p>
          <w:p w14:paraId="0FE1A34E">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885" w:type="dxa"/>
            <w:tcBorders>
              <w:top w:val="nil"/>
              <w:left w:val="nil"/>
              <w:bottom w:val="single" w:color="auto" w:sz="4" w:space="0"/>
              <w:right w:val="single" w:color="auto" w:sz="4" w:space="0"/>
            </w:tcBorders>
            <w:noWrap w:val="0"/>
            <w:vAlign w:val="center"/>
          </w:tcPr>
          <w:p w14:paraId="72EBB706">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从业人员</w:t>
            </w:r>
          </w:p>
          <w:p w14:paraId="58F72252">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(人)</w:t>
            </w:r>
          </w:p>
        </w:tc>
        <w:tc>
          <w:tcPr>
            <w:tcW w:w="902" w:type="dxa"/>
            <w:tcBorders>
              <w:top w:val="nil"/>
              <w:left w:val="nil"/>
              <w:bottom w:val="single" w:color="auto" w:sz="4" w:space="0"/>
              <w:right w:val="single" w:color="auto" w:sz="4" w:space="0"/>
            </w:tcBorders>
            <w:noWrap w:val="0"/>
            <w:vAlign w:val="center"/>
          </w:tcPr>
          <w:p w14:paraId="72F0B781">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总资产</w:t>
            </w:r>
          </w:p>
          <w:p w14:paraId="5FB32B62">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1063" w:type="dxa"/>
            <w:tcBorders>
              <w:top w:val="nil"/>
              <w:left w:val="nil"/>
              <w:bottom w:val="single" w:color="auto" w:sz="4" w:space="0"/>
              <w:right w:val="single" w:color="auto" w:sz="4" w:space="0"/>
            </w:tcBorders>
            <w:noWrap w:val="0"/>
            <w:vAlign w:val="center"/>
          </w:tcPr>
          <w:p w14:paraId="05D5DCE3">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营业收入</w:t>
            </w:r>
          </w:p>
          <w:p w14:paraId="2028CF0F">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905" w:type="dxa"/>
            <w:tcBorders>
              <w:top w:val="nil"/>
              <w:left w:val="nil"/>
              <w:bottom w:val="single" w:color="auto" w:sz="4" w:space="0"/>
              <w:right w:val="single" w:color="auto" w:sz="4" w:space="0"/>
            </w:tcBorders>
            <w:noWrap w:val="0"/>
            <w:vAlign w:val="center"/>
          </w:tcPr>
          <w:p w14:paraId="35E9C536">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从业人员</w:t>
            </w:r>
          </w:p>
          <w:p w14:paraId="7D8413EE">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(人)</w:t>
            </w:r>
          </w:p>
        </w:tc>
        <w:tc>
          <w:tcPr>
            <w:tcW w:w="957" w:type="dxa"/>
            <w:tcBorders>
              <w:top w:val="nil"/>
              <w:left w:val="nil"/>
              <w:bottom w:val="single" w:color="auto" w:sz="4" w:space="0"/>
              <w:right w:val="single" w:color="auto" w:sz="4" w:space="0"/>
            </w:tcBorders>
            <w:noWrap w:val="0"/>
            <w:vAlign w:val="center"/>
          </w:tcPr>
          <w:p w14:paraId="168439D2">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总资产</w:t>
            </w:r>
          </w:p>
          <w:p w14:paraId="350ECEF0">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1063" w:type="dxa"/>
            <w:tcBorders>
              <w:top w:val="nil"/>
              <w:left w:val="nil"/>
              <w:bottom w:val="single" w:color="auto" w:sz="4" w:space="0"/>
              <w:right w:val="single" w:color="auto" w:sz="4" w:space="0"/>
            </w:tcBorders>
            <w:noWrap w:val="0"/>
            <w:vAlign w:val="center"/>
          </w:tcPr>
          <w:p w14:paraId="0E9F9B46">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营业收入</w:t>
            </w:r>
          </w:p>
          <w:p w14:paraId="48A2DFC6">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921" w:type="dxa"/>
            <w:tcBorders>
              <w:top w:val="nil"/>
              <w:left w:val="nil"/>
              <w:bottom w:val="single" w:color="auto" w:sz="4" w:space="0"/>
              <w:right w:val="single" w:color="auto" w:sz="4" w:space="0"/>
            </w:tcBorders>
            <w:noWrap w:val="0"/>
            <w:vAlign w:val="center"/>
          </w:tcPr>
          <w:p w14:paraId="58C05C76">
            <w:pPr>
              <w:ind w:left="119" w:leftChars="-23" w:right="-65" w:rightChars="-31" w:hanging="167" w:hangingChars="79"/>
              <w:jc w:val="center"/>
              <w:rPr>
                <w:rFonts w:ascii="宋体" w:hAnsi="宋体" w:cs="宋体"/>
                <w:b/>
                <w:color w:val="auto"/>
                <w:kern w:val="0"/>
                <w:szCs w:val="21"/>
              </w:rPr>
            </w:pPr>
            <w:r>
              <w:rPr>
                <w:rFonts w:hint="eastAsia" w:ascii="宋体" w:hAnsi="宋体" w:cs="宋体"/>
                <w:b/>
                <w:color w:val="auto"/>
                <w:kern w:val="0"/>
                <w:szCs w:val="21"/>
              </w:rPr>
              <w:t>从业人员</w:t>
            </w:r>
          </w:p>
          <w:p w14:paraId="4925CA61">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(人)</w:t>
            </w:r>
          </w:p>
        </w:tc>
        <w:tc>
          <w:tcPr>
            <w:tcW w:w="963" w:type="dxa"/>
            <w:tcBorders>
              <w:top w:val="nil"/>
              <w:left w:val="nil"/>
              <w:bottom w:val="single" w:color="auto" w:sz="4" w:space="0"/>
              <w:right w:val="single" w:color="auto" w:sz="4" w:space="0"/>
            </w:tcBorders>
            <w:noWrap w:val="0"/>
            <w:vAlign w:val="center"/>
          </w:tcPr>
          <w:p w14:paraId="12918C01">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总资产</w:t>
            </w:r>
          </w:p>
          <w:p w14:paraId="1A02666D">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1063" w:type="dxa"/>
            <w:tcBorders>
              <w:top w:val="nil"/>
              <w:left w:val="nil"/>
              <w:bottom w:val="single" w:color="auto" w:sz="4" w:space="0"/>
              <w:right w:val="single" w:color="auto" w:sz="4" w:space="0"/>
            </w:tcBorders>
            <w:noWrap w:val="0"/>
            <w:vAlign w:val="center"/>
          </w:tcPr>
          <w:p w14:paraId="54E025AB">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营业收入</w:t>
            </w:r>
          </w:p>
          <w:p w14:paraId="3EC70AD8">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c>
          <w:tcPr>
            <w:tcW w:w="846" w:type="dxa"/>
            <w:tcBorders>
              <w:top w:val="nil"/>
              <w:left w:val="nil"/>
              <w:bottom w:val="single" w:color="auto" w:sz="4" w:space="0"/>
              <w:right w:val="single" w:color="auto" w:sz="4" w:space="0"/>
            </w:tcBorders>
            <w:noWrap w:val="0"/>
            <w:vAlign w:val="center"/>
          </w:tcPr>
          <w:p w14:paraId="63DE83F5">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从业人员</w:t>
            </w:r>
          </w:p>
          <w:p w14:paraId="2960AF72">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(人)</w:t>
            </w:r>
          </w:p>
        </w:tc>
        <w:tc>
          <w:tcPr>
            <w:tcW w:w="816" w:type="dxa"/>
            <w:tcBorders>
              <w:top w:val="nil"/>
              <w:left w:val="nil"/>
              <w:bottom w:val="single" w:color="auto" w:sz="4" w:space="0"/>
              <w:right w:val="single" w:color="auto" w:sz="4" w:space="0"/>
            </w:tcBorders>
            <w:noWrap w:val="0"/>
            <w:vAlign w:val="center"/>
          </w:tcPr>
          <w:p w14:paraId="011CE16B">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总资产</w:t>
            </w:r>
          </w:p>
          <w:p w14:paraId="528B10B8">
            <w:pPr>
              <w:ind w:left="-48" w:leftChars="-23" w:right="-65" w:rightChars="-31"/>
              <w:jc w:val="center"/>
              <w:rPr>
                <w:rFonts w:ascii="宋体" w:hAnsi="宋体" w:cs="宋体"/>
                <w:b/>
                <w:color w:val="auto"/>
                <w:kern w:val="0"/>
                <w:szCs w:val="21"/>
              </w:rPr>
            </w:pPr>
            <w:r>
              <w:rPr>
                <w:rFonts w:hint="eastAsia" w:ascii="宋体" w:hAnsi="宋体" w:cs="宋体"/>
                <w:b/>
                <w:color w:val="auto"/>
                <w:kern w:val="0"/>
                <w:szCs w:val="21"/>
              </w:rPr>
              <w:t>(万元)</w:t>
            </w:r>
          </w:p>
        </w:tc>
      </w:tr>
      <w:tr w14:paraId="18F43388">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noWrap w:val="0"/>
            <w:vAlign w:val="center"/>
          </w:tcPr>
          <w:p w14:paraId="4BF26EA9">
            <w:pPr>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w:t>
            </w:r>
          </w:p>
        </w:tc>
        <w:tc>
          <w:tcPr>
            <w:tcW w:w="1872" w:type="dxa"/>
            <w:tcBorders>
              <w:top w:val="single" w:color="auto" w:sz="4" w:space="0"/>
              <w:left w:val="nil"/>
              <w:bottom w:val="single" w:color="auto" w:sz="4" w:space="0"/>
              <w:right w:val="single" w:color="auto" w:sz="4" w:space="0"/>
            </w:tcBorders>
            <w:noWrap w:val="0"/>
            <w:vAlign w:val="center"/>
          </w:tcPr>
          <w:p w14:paraId="41BCD241">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农、林、牧、渔业</w:t>
            </w:r>
          </w:p>
        </w:tc>
        <w:tc>
          <w:tcPr>
            <w:tcW w:w="1149" w:type="dxa"/>
            <w:tcBorders>
              <w:top w:val="single" w:color="auto" w:sz="4" w:space="0"/>
              <w:left w:val="nil"/>
              <w:bottom w:val="single" w:color="auto" w:sz="4" w:space="0"/>
              <w:right w:val="single" w:color="auto" w:sz="4" w:space="0"/>
            </w:tcBorders>
            <w:noWrap w:val="0"/>
            <w:vAlign w:val="center"/>
          </w:tcPr>
          <w:p w14:paraId="3D2C211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≥20000</w:t>
            </w:r>
          </w:p>
        </w:tc>
        <w:tc>
          <w:tcPr>
            <w:tcW w:w="885" w:type="dxa"/>
            <w:tcBorders>
              <w:top w:val="nil"/>
              <w:left w:val="nil"/>
              <w:bottom w:val="single" w:color="auto" w:sz="4" w:space="0"/>
              <w:right w:val="single" w:color="auto" w:sz="4" w:space="0"/>
            </w:tcBorders>
            <w:noWrap w:val="0"/>
            <w:vAlign w:val="center"/>
          </w:tcPr>
          <w:p w14:paraId="498FA87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02" w:type="dxa"/>
            <w:tcBorders>
              <w:top w:val="nil"/>
              <w:left w:val="nil"/>
              <w:bottom w:val="single" w:color="auto" w:sz="4" w:space="0"/>
              <w:right w:val="single" w:color="auto" w:sz="4" w:space="0"/>
            </w:tcBorders>
            <w:noWrap w:val="0"/>
            <w:vAlign w:val="center"/>
          </w:tcPr>
          <w:p w14:paraId="290AAF8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809F0EA">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≥500</w:t>
            </w:r>
          </w:p>
        </w:tc>
        <w:tc>
          <w:tcPr>
            <w:tcW w:w="905" w:type="dxa"/>
            <w:tcBorders>
              <w:top w:val="nil"/>
              <w:left w:val="nil"/>
              <w:bottom w:val="single" w:color="auto" w:sz="4" w:space="0"/>
              <w:right w:val="single" w:color="auto" w:sz="4" w:space="0"/>
            </w:tcBorders>
            <w:noWrap w:val="0"/>
            <w:vAlign w:val="center"/>
          </w:tcPr>
          <w:p w14:paraId="6707A2C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57" w:type="dxa"/>
            <w:tcBorders>
              <w:top w:val="nil"/>
              <w:left w:val="nil"/>
              <w:bottom w:val="single" w:color="auto" w:sz="4" w:space="0"/>
              <w:right w:val="single" w:color="auto" w:sz="4" w:space="0"/>
            </w:tcBorders>
            <w:noWrap w:val="0"/>
            <w:vAlign w:val="center"/>
          </w:tcPr>
          <w:p w14:paraId="2F7B2311">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7D14C707">
            <w:pPr>
              <w:widowControl/>
              <w:jc w:val="center"/>
              <w:rPr>
                <w:rFonts w:ascii="宋体" w:hAnsi="宋体" w:cs="宋体"/>
                <w:color w:val="auto"/>
                <w:kern w:val="0"/>
                <w:szCs w:val="21"/>
              </w:rPr>
            </w:pPr>
            <w:r>
              <w:rPr>
                <w:rFonts w:hint="eastAsia" w:ascii="宋体" w:hAnsi="宋体" w:cs="宋体"/>
                <w:color w:val="auto"/>
                <w:kern w:val="0"/>
                <w:szCs w:val="21"/>
              </w:rPr>
              <w:t>≥50</w:t>
            </w:r>
          </w:p>
        </w:tc>
        <w:tc>
          <w:tcPr>
            <w:tcW w:w="921" w:type="dxa"/>
            <w:tcBorders>
              <w:top w:val="nil"/>
              <w:left w:val="nil"/>
              <w:bottom w:val="single" w:color="auto" w:sz="4" w:space="0"/>
              <w:right w:val="single" w:color="auto" w:sz="4" w:space="0"/>
            </w:tcBorders>
            <w:noWrap w:val="0"/>
            <w:vAlign w:val="center"/>
          </w:tcPr>
          <w:p w14:paraId="7D235B7D">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63" w:type="dxa"/>
            <w:tcBorders>
              <w:top w:val="nil"/>
              <w:left w:val="nil"/>
              <w:bottom w:val="single" w:color="auto" w:sz="4" w:space="0"/>
              <w:right w:val="single" w:color="auto" w:sz="4" w:space="0"/>
            </w:tcBorders>
            <w:noWrap w:val="0"/>
            <w:vAlign w:val="center"/>
          </w:tcPr>
          <w:p w14:paraId="6712A61C">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0E71A664">
            <w:pPr>
              <w:widowControl/>
              <w:jc w:val="center"/>
              <w:rPr>
                <w:rFonts w:ascii="宋体" w:hAnsi="宋体" w:cs="宋体"/>
                <w:color w:val="auto"/>
                <w:kern w:val="0"/>
                <w:szCs w:val="21"/>
              </w:rPr>
            </w:pPr>
            <w:r>
              <w:rPr>
                <w:rFonts w:hint="eastAsia" w:ascii="宋体" w:hAnsi="宋体" w:cs="宋体"/>
                <w:color w:val="auto"/>
                <w:kern w:val="0"/>
                <w:szCs w:val="21"/>
              </w:rPr>
              <w:t>＜50</w:t>
            </w:r>
          </w:p>
        </w:tc>
        <w:tc>
          <w:tcPr>
            <w:tcW w:w="846" w:type="dxa"/>
            <w:tcBorders>
              <w:top w:val="nil"/>
              <w:left w:val="nil"/>
              <w:bottom w:val="single" w:color="auto" w:sz="4" w:space="0"/>
              <w:right w:val="single" w:color="auto" w:sz="4" w:space="0"/>
            </w:tcBorders>
            <w:noWrap w:val="0"/>
            <w:vAlign w:val="center"/>
          </w:tcPr>
          <w:p w14:paraId="30748BB5">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816" w:type="dxa"/>
            <w:tcBorders>
              <w:top w:val="nil"/>
              <w:left w:val="nil"/>
              <w:bottom w:val="single" w:color="auto" w:sz="4" w:space="0"/>
              <w:right w:val="single" w:color="auto" w:sz="4" w:space="0"/>
            </w:tcBorders>
            <w:noWrap w:val="0"/>
            <w:vAlign w:val="center"/>
          </w:tcPr>
          <w:p w14:paraId="41DD067E">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5CF6363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3FF428A3">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2</w:t>
            </w:r>
          </w:p>
        </w:tc>
        <w:tc>
          <w:tcPr>
            <w:tcW w:w="1872" w:type="dxa"/>
            <w:tcBorders>
              <w:top w:val="nil"/>
              <w:left w:val="nil"/>
              <w:bottom w:val="single" w:color="auto" w:sz="4" w:space="0"/>
              <w:right w:val="single" w:color="auto" w:sz="4" w:space="0"/>
            </w:tcBorders>
            <w:noWrap w:val="0"/>
            <w:vAlign w:val="center"/>
          </w:tcPr>
          <w:p w14:paraId="48C9D357">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工业</w:t>
            </w:r>
          </w:p>
        </w:tc>
        <w:tc>
          <w:tcPr>
            <w:tcW w:w="1149" w:type="dxa"/>
            <w:tcBorders>
              <w:top w:val="nil"/>
              <w:left w:val="nil"/>
              <w:bottom w:val="single" w:color="auto" w:sz="4" w:space="0"/>
              <w:right w:val="single" w:color="auto" w:sz="4" w:space="0"/>
            </w:tcBorders>
            <w:noWrap w:val="0"/>
            <w:vAlign w:val="center"/>
          </w:tcPr>
          <w:p w14:paraId="47C08BF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≥40000</w:t>
            </w:r>
          </w:p>
        </w:tc>
        <w:tc>
          <w:tcPr>
            <w:tcW w:w="885" w:type="dxa"/>
            <w:tcBorders>
              <w:top w:val="nil"/>
              <w:left w:val="nil"/>
              <w:bottom w:val="single" w:color="auto" w:sz="4" w:space="0"/>
              <w:right w:val="single" w:color="auto" w:sz="4" w:space="0"/>
            </w:tcBorders>
            <w:noWrap w:val="0"/>
            <w:vAlign w:val="center"/>
          </w:tcPr>
          <w:p w14:paraId="60EF459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2" w:type="dxa"/>
            <w:tcBorders>
              <w:top w:val="nil"/>
              <w:left w:val="nil"/>
              <w:bottom w:val="single" w:color="auto" w:sz="4" w:space="0"/>
              <w:right w:val="single" w:color="auto" w:sz="4" w:space="0"/>
            </w:tcBorders>
            <w:noWrap w:val="0"/>
            <w:vAlign w:val="center"/>
          </w:tcPr>
          <w:p w14:paraId="33C8EA5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7B99072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w:t>
            </w:r>
          </w:p>
        </w:tc>
        <w:tc>
          <w:tcPr>
            <w:tcW w:w="905" w:type="dxa"/>
            <w:tcBorders>
              <w:top w:val="nil"/>
              <w:left w:val="nil"/>
              <w:bottom w:val="single" w:color="auto" w:sz="4" w:space="0"/>
              <w:right w:val="single" w:color="auto" w:sz="4" w:space="0"/>
            </w:tcBorders>
            <w:noWrap w:val="0"/>
            <w:vAlign w:val="center"/>
          </w:tcPr>
          <w:p w14:paraId="5DF479F3">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57" w:type="dxa"/>
            <w:tcBorders>
              <w:top w:val="nil"/>
              <w:left w:val="nil"/>
              <w:bottom w:val="single" w:color="auto" w:sz="4" w:space="0"/>
              <w:right w:val="single" w:color="auto" w:sz="4" w:space="0"/>
            </w:tcBorders>
            <w:noWrap w:val="0"/>
            <w:vAlign w:val="center"/>
          </w:tcPr>
          <w:p w14:paraId="13957E08">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9634532">
            <w:pPr>
              <w:widowControl/>
              <w:jc w:val="center"/>
              <w:rPr>
                <w:rFonts w:ascii="宋体" w:hAnsi="宋体" w:cs="宋体"/>
                <w:color w:val="auto"/>
                <w:kern w:val="0"/>
                <w:szCs w:val="21"/>
              </w:rPr>
            </w:pPr>
            <w:r>
              <w:rPr>
                <w:rFonts w:hint="eastAsia" w:ascii="宋体" w:hAnsi="宋体" w:cs="宋体"/>
                <w:color w:val="auto"/>
                <w:kern w:val="0"/>
                <w:szCs w:val="21"/>
              </w:rPr>
              <w:t>≥300</w:t>
            </w:r>
          </w:p>
        </w:tc>
        <w:tc>
          <w:tcPr>
            <w:tcW w:w="921" w:type="dxa"/>
            <w:tcBorders>
              <w:top w:val="nil"/>
              <w:left w:val="nil"/>
              <w:bottom w:val="single" w:color="auto" w:sz="4" w:space="0"/>
              <w:right w:val="single" w:color="auto" w:sz="4" w:space="0"/>
            </w:tcBorders>
            <w:noWrap w:val="0"/>
            <w:vAlign w:val="center"/>
          </w:tcPr>
          <w:p w14:paraId="55C9958A">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963" w:type="dxa"/>
            <w:tcBorders>
              <w:top w:val="nil"/>
              <w:left w:val="nil"/>
              <w:bottom w:val="single" w:color="auto" w:sz="4" w:space="0"/>
              <w:right w:val="single" w:color="auto" w:sz="4" w:space="0"/>
            </w:tcBorders>
            <w:noWrap w:val="0"/>
            <w:vAlign w:val="center"/>
          </w:tcPr>
          <w:p w14:paraId="20CAE6D6">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3269B198">
            <w:pPr>
              <w:widowControl/>
              <w:jc w:val="center"/>
              <w:rPr>
                <w:rFonts w:ascii="宋体" w:hAnsi="宋体" w:cs="宋体"/>
                <w:color w:val="auto"/>
                <w:kern w:val="0"/>
                <w:szCs w:val="21"/>
              </w:rPr>
            </w:pPr>
            <w:r>
              <w:rPr>
                <w:rFonts w:hint="eastAsia" w:ascii="宋体" w:hAnsi="宋体" w:cs="宋体"/>
                <w:color w:val="auto"/>
                <w:kern w:val="0"/>
                <w:szCs w:val="21"/>
              </w:rPr>
              <w:t>＜300</w:t>
            </w:r>
          </w:p>
        </w:tc>
        <w:tc>
          <w:tcPr>
            <w:tcW w:w="846" w:type="dxa"/>
            <w:tcBorders>
              <w:top w:val="nil"/>
              <w:left w:val="nil"/>
              <w:bottom w:val="single" w:color="auto" w:sz="4" w:space="0"/>
              <w:right w:val="single" w:color="auto" w:sz="4" w:space="0"/>
            </w:tcBorders>
            <w:noWrap w:val="0"/>
            <w:vAlign w:val="center"/>
          </w:tcPr>
          <w:p w14:paraId="5E0EF3C7">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816" w:type="dxa"/>
            <w:tcBorders>
              <w:top w:val="nil"/>
              <w:left w:val="nil"/>
              <w:bottom w:val="single" w:color="auto" w:sz="4" w:space="0"/>
              <w:right w:val="single" w:color="auto" w:sz="4" w:space="0"/>
            </w:tcBorders>
            <w:noWrap w:val="0"/>
            <w:vAlign w:val="center"/>
          </w:tcPr>
          <w:p w14:paraId="5371416E">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4CC8694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5377883">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3</w:t>
            </w:r>
          </w:p>
        </w:tc>
        <w:tc>
          <w:tcPr>
            <w:tcW w:w="1872" w:type="dxa"/>
            <w:tcBorders>
              <w:top w:val="nil"/>
              <w:left w:val="nil"/>
              <w:bottom w:val="single" w:color="auto" w:sz="4" w:space="0"/>
              <w:right w:val="single" w:color="auto" w:sz="4" w:space="0"/>
            </w:tcBorders>
            <w:noWrap w:val="0"/>
            <w:vAlign w:val="center"/>
          </w:tcPr>
          <w:p w14:paraId="13AE778C">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建筑业</w:t>
            </w:r>
          </w:p>
        </w:tc>
        <w:tc>
          <w:tcPr>
            <w:tcW w:w="1149" w:type="dxa"/>
            <w:tcBorders>
              <w:top w:val="nil"/>
              <w:left w:val="nil"/>
              <w:bottom w:val="single" w:color="auto" w:sz="4" w:space="0"/>
              <w:right w:val="single" w:color="auto" w:sz="4" w:space="0"/>
            </w:tcBorders>
            <w:noWrap w:val="0"/>
            <w:vAlign w:val="center"/>
          </w:tcPr>
          <w:p w14:paraId="448AA30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≥80000</w:t>
            </w:r>
          </w:p>
        </w:tc>
        <w:tc>
          <w:tcPr>
            <w:tcW w:w="885" w:type="dxa"/>
            <w:tcBorders>
              <w:top w:val="nil"/>
              <w:left w:val="nil"/>
              <w:bottom w:val="single" w:color="auto" w:sz="4" w:space="0"/>
              <w:right w:val="single" w:color="auto" w:sz="4" w:space="0"/>
            </w:tcBorders>
            <w:noWrap w:val="0"/>
            <w:vAlign w:val="center"/>
          </w:tcPr>
          <w:p w14:paraId="3814306B">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02" w:type="dxa"/>
            <w:tcBorders>
              <w:top w:val="nil"/>
              <w:left w:val="nil"/>
              <w:bottom w:val="single" w:color="auto" w:sz="4" w:space="0"/>
              <w:right w:val="single" w:color="auto" w:sz="4" w:space="0"/>
            </w:tcBorders>
            <w:noWrap w:val="0"/>
            <w:vAlign w:val="center"/>
          </w:tcPr>
          <w:p w14:paraId="20BB456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≥80000</w:t>
            </w:r>
          </w:p>
        </w:tc>
        <w:tc>
          <w:tcPr>
            <w:tcW w:w="1063" w:type="dxa"/>
            <w:tcBorders>
              <w:top w:val="nil"/>
              <w:left w:val="nil"/>
              <w:bottom w:val="single" w:color="auto" w:sz="4" w:space="0"/>
              <w:right w:val="single" w:color="auto" w:sz="4" w:space="0"/>
            </w:tcBorders>
            <w:noWrap w:val="0"/>
            <w:vAlign w:val="center"/>
          </w:tcPr>
          <w:p w14:paraId="1D4CD4A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≥5000</w:t>
            </w:r>
          </w:p>
        </w:tc>
        <w:tc>
          <w:tcPr>
            <w:tcW w:w="905" w:type="dxa"/>
            <w:tcBorders>
              <w:top w:val="nil"/>
              <w:left w:val="nil"/>
              <w:bottom w:val="single" w:color="auto" w:sz="4" w:space="0"/>
              <w:right w:val="single" w:color="auto" w:sz="4" w:space="0"/>
            </w:tcBorders>
            <w:noWrap w:val="0"/>
            <w:vAlign w:val="center"/>
          </w:tcPr>
          <w:p w14:paraId="50AC948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57" w:type="dxa"/>
            <w:tcBorders>
              <w:top w:val="nil"/>
              <w:left w:val="nil"/>
              <w:bottom w:val="single" w:color="auto" w:sz="4" w:space="0"/>
              <w:right w:val="single" w:color="auto" w:sz="4" w:space="0"/>
            </w:tcBorders>
            <w:noWrap w:val="0"/>
            <w:vAlign w:val="center"/>
          </w:tcPr>
          <w:p w14:paraId="17BF43BB">
            <w:pPr>
              <w:widowControl/>
              <w:jc w:val="center"/>
              <w:rPr>
                <w:rFonts w:ascii="宋体" w:hAnsi="宋体" w:cs="宋体"/>
                <w:color w:val="auto"/>
                <w:kern w:val="0"/>
                <w:szCs w:val="21"/>
              </w:rPr>
            </w:pPr>
            <w:r>
              <w:rPr>
                <w:rFonts w:hint="eastAsia" w:ascii="宋体" w:hAnsi="宋体" w:cs="宋体"/>
                <w:color w:val="auto"/>
                <w:kern w:val="0"/>
                <w:szCs w:val="21"/>
              </w:rPr>
              <w:t>≥5000</w:t>
            </w:r>
          </w:p>
        </w:tc>
        <w:tc>
          <w:tcPr>
            <w:tcW w:w="1063" w:type="dxa"/>
            <w:tcBorders>
              <w:top w:val="nil"/>
              <w:left w:val="nil"/>
              <w:bottom w:val="single" w:color="auto" w:sz="4" w:space="0"/>
              <w:right w:val="single" w:color="auto" w:sz="4" w:space="0"/>
            </w:tcBorders>
            <w:noWrap w:val="0"/>
            <w:vAlign w:val="center"/>
          </w:tcPr>
          <w:p w14:paraId="2E4CA90D">
            <w:pPr>
              <w:widowControl/>
              <w:jc w:val="center"/>
              <w:rPr>
                <w:rFonts w:ascii="宋体" w:hAnsi="宋体" w:cs="宋体"/>
                <w:color w:val="auto"/>
                <w:kern w:val="0"/>
                <w:szCs w:val="21"/>
              </w:rPr>
            </w:pPr>
            <w:r>
              <w:rPr>
                <w:rFonts w:hint="eastAsia" w:ascii="宋体" w:hAnsi="宋体" w:cs="宋体"/>
                <w:color w:val="auto"/>
                <w:kern w:val="0"/>
                <w:szCs w:val="21"/>
              </w:rPr>
              <w:t>≥300</w:t>
            </w:r>
          </w:p>
        </w:tc>
        <w:tc>
          <w:tcPr>
            <w:tcW w:w="921" w:type="dxa"/>
            <w:tcBorders>
              <w:top w:val="nil"/>
              <w:left w:val="nil"/>
              <w:bottom w:val="single" w:color="auto" w:sz="4" w:space="0"/>
              <w:right w:val="single" w:color="auto" w:sz="4" w:space="0"/>
            </w:tcBorders>
            <w:noWrap w:val="0"/>
            <w:vAlign w:val="center"/>
          </w:tcPr>
          <w:p w14:paraId="5532B01A">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63" w:type="dxa"/>
            <w:tcBorders>
              <w:top w:val="nil"/>
              <w:left w:val="nil"/>
              <w:bottom w:val="single" w:color="auto" w:sz="4" w:space="0"/>
              <w:right w:val="single" w:color="auto" w:sz="4" w:space="0"/>
            </w:tcBorders>
            <w:noWrap w:val="0"/>
            <w:vAlign w:val="center"/>
          </w:tcPr>
          <w:p w14:paraId="6D31CAAA">
            <w:pPr>
              <w:widowControl/>
              <w:jc w:val="center"/>
              <w:rPr>
                <w:rFonts w:ascii="宋体" w:hAnsi="宋体" w:cs="宋体"/>
                <w:color w:val="auto"/>
                <w:kern w:val="0"/>
                <w:szCs w:val="21"/>
              </w:rPr>
            </w:pPr>
            <w:r>
              <w:rPr>
                <w:rFonts w:hint="eastAsia" w:ascii="宋体" w:hAnsi="宋体" w:cs="宋体"/>
                <w:color w:val="auto"/>
                <w:kern w:val="0"/>
                <w:szCs w:val="21"/>
              </w:rPr>
              <w:t>≥300</w:t>
            </w:r>
          </w:p>
        </w:tc>
        <w:tc>
          <w:tcPr>
            <w:tcW w:w="1063" w:type="dxa"/>
            <w:tcBorders>
              <w:top w:val="nil"/>
              <w:left w:val="nil"/>
              <w:bottom w:val="single" w:color="auto" w:sz="4" w:space="0"/>
              <w:right w:val="single" w:color="auto" w:sz="4" w:space="0"/>
            </w:tcBorders>
            <w:noWrap w:val="0"/>
            <w:vAlign w:val="center"/>
          </w:tcPr>
          <w:p w14:paraId="0531D6BF">
            <w:pPr>
              <w:widowControl/>
              <w:jc w:val="center"/>
              <w:rPr>
                <w:rFonts w:ascii="宋体" w:hAnsi="宋体" w:cs="宋体"/>
                <w:color w:val="auto"/>
                <w:kern w:val="0"/>
                <w:szCs w:val="21"/>
              </w:rPr>
            </w:pPr>
            <w:r>
              <w:rPr>
                <w:rFonts w:hint="eastAsia" w:ascii="宋体" w:hAnsi="宋体" w:cs="宋体"/>
                <w:color w:val="auto"/>
                <w:kern w:val="0"/>
                <w:szCs w:val="21"/>
              </w:rPr>
              <w:t>＜300</w:t>
            </w:r>
          </w:p>
        </w:tc>
        <w:tc>
          <w:tcPr>
            <w:tcW w:w="846" w:type="dxa"/>
            <w:tcBorders>
              <w:top w:val="nil"/>
              <w:left w:val="nil"/>
              <w:bottom w:val="single" w:color="auto" w:sz="4" w:space="0"/>
              <w:right w:val="single" w:color="auto" w:sz="4" w:space="0"/>
            </w:tcBorders>
            <w:noWrap w:val="0"/>
            <w:vAlign w:val="center"/>
          </w:tcPr>
          <w:p w14:paraId="78C9FD4A">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816" w:type="dxa"/>
            <w:tcBorders>
              <w:top w:val="nil"/>
              <w:left w:val="nil"/>
              <w:bottom w:val="single" w:color="auto" w:sz="4" w:space="0"/>
              <w:right w:val="single" w:color="auto" w:sz="4" w:space="0"/>
            </w:tcBorders>
            <w:noWrap w:val="0"/>
            <w:vAlign w:val="center"/>
          </w:tcPr>
          <w:p w14:paraId="2D965F33">
            <w:pPr>
              <w:widowControl/>
              <w:jc w:val="center"/>
              <w:rPr>
                <w:rFonts w:ascii="宋体" w:hAnsi="宋体" w:cs="宋体"/>
                <w:color w:val="auto"/>
                <w:kern w:val="0"/>
                <w:szCs w:val="21"/>
              </w:rPr>
            </w:pPr>
            <w:r>
              <w:rPr>
                <w:rFonts w:hint="eastAsia" w:ascii="宋体" w:hAnsi="宋体" w:cs="宋体"/>
                <w:color w:val="auto"/>
                <w:kern w:val="0"/>
                <w:szCs w:val="21"/>
              </w:rPr>
              <w:t>＜300</w:t>
            </w:r>
          </w:p>
        </w:tc>
      </w:tr>
      <w:tr w14:paraId="621D807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2F703AF">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4</w:t>
            </w:r>
          </w:p>
        </w:tc>
        <w:tc>
          <w:tcPr>
            <w:tcW w:w="1872" w:type="dxa"/>
            <w:tcBorders>
              <w:top w:val="nil"/>
              <w:left w:val="nil"/>
              <w:bottom w:val="single" w:color="auto" w:sz="4" w:space="0"/>
              <w:right w:val="single" w:color="auto" w:sz="4" w:space="0"/>
            </w:tcBorders>
            <w:noWrap w:val="0"/>
            <w:vAlign w:val="center"/>
          </w:tcPr>
          <w:p w14:paraId="6A460118">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批发业</w:t>
            </w:r>
          </w:p>
        </w:tc>
        <w:tc>
          <w:tcPr>
            <w:tcW w:w="1149" w:type="dxa"/>
            <w:tcBorders>
              <w:top w:val="nil"/>
              <w:left w:val="nil"/>
              <w:bottom w:val="single" w:color="auto" w:sz="4" w:space="0"/>
              <w:right w:val="single" w:color="auto" w:sz="4" w:space="0"/>
            </w:tcBorders>
            <w:noWrap w:val="0"/>
            <w:vAlign w:val="center"/>
          </w:tcPr>
          <w:p w14:paraId="5BC820F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≥40000</w:t>
            </w:r>
          </w:p>
        </w:tc>
        <w:tc>
          <w:tcPr>
            <w:tcW w:w="885" w:type="dxa"/>
            <w:tcBorders>
              <w:top w:val="nil"/>
              <w:left w:val="nil"/>
              <w:bottom w:val="single" w:color="auto" w:sz="4" w:space="0"/>
              <w:right w:val="single" w:color="auto" w:sz="4" w:space="0"/>
            </w:tcBorders>
            <w:noWrap w:val="0"/>
            <w:vAlign w:val="center"/>
          </w:tcPr>
          <w:p w14:paraId="6D3AC56E">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w:t>
            </w:r>
          </w:p>
        </w:tc>
        <w:tc>
          <w:tcPr>
            <w:tcW w:w="902" w:type="dxa"/>
            <w:tcBorders>
              <w:top w:val="nil"/>
              <w:left w:val="nil"/>
              <w:bottom w:val="single" w:color="auto" w:sz="4" w:space="0"/>
              <w:right w:val="single" w:color="auto" w:sz="4" w:space="0"/>
            </w:tcBorders>
            <w:noWrap w:val="0"/>
            <w:vAlign w:val="center"/>
          </w:tcPr>
          <w:p w14:paraId="0A22459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4C5BE0F0">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≥5000</w:t>
            </w:r>
          </w:p>
        </w:tc>
        <w:tc>
          <w:tcPr>
            <w:tcW w:w="905" w:type="dxa"/>
            <w:tcBorders>
              <w:top w:val="nil"/>
              <w:left w:val="nil"/>
              <w:bottom w:val="single" w:color="auto" w:sz="4" w:space="0"/>
              <w:right w:val="single" w:color="auto" w:sz="4" w:space="0"/>
            </w:tcBorders>
            <w:noWrap w:val="0"/>
            <w:vAlign w:val="center"/>
          </w:tcPr>
          <w:p w14:paraId="770DC081">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w:t>
            </w:r>
          </w:p>
        </w:tc>
        <w:tc>
          <w:tcPr>
            <w:tcW w:w="957" w:type="dxa"/>
            <w:tcBorders>
              <w:top w:val="nil"/>
              <w:left w:val="nil"/>
              <w:bottom w:val="single" w:color="auto" w:sz="4" w:space="0"/>
              <w:right w:val="single" w:color="auto" w:sz="4" w:space="0"/>
            </w:tcBorders>
            <w:noWrap w:val="0"/>
            <w:vAlign w:val="center"/>
          </w:tcPr>
          <w:p w14:paraId="5E7DF6A5">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8D51819">
            <w:pPr>
              <w:widowControl/>
              <w:jc w:val="center"/>
              <w:rPr>
                <w:rFonts w:ascii="宋体" w:hAnsi="宋体" w:cs="宋体"/>
                <w:color w:val="auto"/>
                <w:kern w:val="0"/>
                <w:szCs w:val="21"/>
              </w:rPr>
            </w:pPr>
            <w:r>
              <w:rPr>
                <w:rFonts w:hint="eastAsia" w:ascii="宋体" w:hAnsi="宋体" w:cs="宋体"/>
                <w:color w:val="auto"/>
                <w:kern w:val="0"/>
                <w:szCs w:val="21"/>
              </w:rPr>
              <w:t>≥1000</w:t>
            </w:r>
          </w:p>
        </w:tc>
        <w:tc>
          <w:tcPr>
            <w:tcW w:w="921" w:type="dxa"/>
            <w:tcBorders>
              <w:top w:val="nil"/>
              <w:left w:val="nil"/>
              <w:bottom w:val="single" w:color="auto" w:sz="4" w:space="0"/>
              <w:right w:val="single" w:color="auto" w:sz="4" w:space="0"/>
            </w:tcBorders>
            <w:noWrap w:val="0"/>
            <w:vAlign w:val="center"/>
          </w:tcPr>
          <w:p w14:paraId="73CFE126">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79DBB27D">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D553BB9">
            <w:pPr>
              <w:widowControl/>
              <w:jc w:val="center"/>
              <w:rPr>
                <w:rFonts w:ascii="宋体" w:hAnsi="宋体" w:cs="宋体"/>
                <w:color w:val="auto"/>
                <w:kern w:val="0"/>
                <w:szCs w:val="21"/>
              </w:rPr>
            </w:pPr>
            <w:r>
              <w:rPr>
                <w:rFonts w:hint="eastAsia" w:ascii="宋体" w:hAnsi="宋体" w:cs="宋体"/>
                <w:color w:val="auto"/>
                <w:kern w:val="0"/>
                <w:szCs w:val="21"/>
              </w:rPr>
              <w:t>＜1000</w:t>
            </w:r>
          </w:p>
        </w:tc>
        <w:tc>
          <w:tcPr>
            <w:tcW w:w="846" w:type="dxa"/>
            <w:tcBorders>
              <w:top w:val="nil"/>
              <w:left w:val="nil"/>
              <w:bottom w:val="single" w:color="auto" w:sz="4" w:space="0"/>
              <w:right w:val="single" w:color="auto" w:sz="4" w:space="0"/>
            </w:tcBorders>
            <w:noWrap w:val="0"/>
            <w:vAlign w:val="center"/>
          </w:tcPr>
          <w:p w14:paraId="18CADD75">
            <w:pPr>
              <w:widowControl/>
              <w:jc w:val="center"/>
              <w:rPr>
                <w:rFonts w:ascii="宋体" w:hAnsi="宋体" w:cs="宋体"/>
                <w:color w:val="auto"/>
                <w:kern w:val="0"/>
                <w:szCs w:val="21"/>
              </w:rPr>
            </w:pPr>
            <w:r>
              <w:rPr>
                <w:rFonts w:hint="eastAsia" w:ascii="宋体" w:hAnsi="宋体" w:cs="宋体"/>
                <w:color w:val="auto"/>
                <w:kern w:val="0"/>
                <w:szCs w:val="21"/>
              </w:rPr>
              <w:t>＜5</w:t>
            </w:r>
          </w:p>
        </w:tc>
        <w:tc>
          <w:tcPr>
            <w:tcW w:w="816" w:type="dxa"/>
            <w:tcBorders>
              <w:top w:val="nil"/>
              <w:left w:val="nil"/>
              <w:bottom w:val="single" w:color="auto" w:sz="4" w:space="0"/>
              <w:right w:val="single" w:color="auto" w:sz="4" w:space="0"/>
            </w:tcBorders>
            <w:noWrap w:val="0"/>
            <w:vAlign w:val="center"/>
          </w:tcPr>
          <w:p w14:paraId="29E2D51C">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66C4989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5C3D570">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5</w:t>
            </w:r>
          </w:p>
        </w:tc>
        <w:tc>
          <w:tcPr>
            <w:tcW w:w="1872" w:type="dxa"/>
            <w:tcBorders>
              <w:top w:val="nil"/>
              <w:left w:val="nil"/>
              <w:bottom w:val="single" w:color="auto" w:sz="4" w:space="0"/>
              <w:right w:val="single" w:color="auto" w:sz="4" w:space="0"/>
            </w:tcBorders>
            <w:noWrap w:val="0"/>
            <w:vAlign w:val="center"/>
          </w:tcPr>
          <w:p w14:paraId="6E2F38C6">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零售业</w:t>
            </w:r>
          </w:p>
        </w:tc>
        <w:tc>
          <w:tcPr>
            <w:tcW w:w="1149" w:type="dxa"/>
            <w:tcBorders>
              <w:top w:val="nil"/>
              <w:left w:val="nil"/>
              <w:bottom w:val="single" w:color="auto" w:sz="4" w:space="0"/>
              <w:right w:val="single" w:color="auto" w:sz="4" w:space="0"/>
            </w:tcBorders>
            <w:noWrap w:val="0"/>
            <w:vAlign w:val="center"/>
          </w:tcPr>
          <w:p w14:paraId="1C87DCA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≥20000</w:t>
            </w:r>
          </w:p>
        </w:tc>
        <w:tc>
          <w:tcPr>
            <w:tcW w:w="885" w:type="dxa"/>
            <w:tcBorders>
              <w:top w:val="nil"/>
              <w:left w:val="nil"/>
              <w:bottom w:val="single" w:color="auto" w:sz="4" w:space="0"/>
              <w:right w:val="single" w:color="auto" w:sz="4" w:space="0"/>
            </w:tcBorders>
            <w:noWrap w:val="0"/>
            <w:vAlign w:val="center"/>
          </w:tcPr>
          <w:p w14:paraId="33A951C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6879713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6ABB6FE">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≥500</w:t>
            </w:r>
          </w:p>
        </w:tc>
        <w:tc>
          <w:tcPr>
            <w:tcW w:w="905" w:type="dxa"/>
            <w:tcBorders>
              <w:top w:val="nil"/>
              <w:left w:val="nil"/>
              <w:bottom w:val="single" w:color="auto" w:sz="4" w:space="0"/>
              <w:right w:val="single" w:color="auto" w:sz="4" w:space="0"/>
            </w:tcBorders>
            <w:noWrap w:val="0"/>
            <w:vAlign w:val="center"/>
          </w:tcPr>
          <w:p w14:paraId="04A0206A">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w:t>
            </w:r>
          </w:p>
        </w:tc>
        <w:tc>
          <w:tcPr>
            <w:tcW w:w="957" w:type="dxa"/>
            <w:tcBorders>
              <w:top w:val="nil"/>
              <w:left w:val="nil"/>
              <w:bottom w:val="single" w:color="auto" w:sz="4" w:space="0"/>
              <w:right w:val="single" w:color="auto" w:sz="4" w:space="0"/>
            </w:tcBorders>
            <w:noWrap w:val="0"/>
            <w:vAlign w:val="center"/>
          </w:tcPr>
          <w:p w14:paraId="6F597A1D">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4D51E0F1">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0B955C7B">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4D245950">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30F50A01">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521A6E79">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2CAA2490">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2B59628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4601FC5">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6</w:t>
            </w:r>
          </w:p>
        </w:tc>
        <w:tc>
          <w:tcPr>
            <w:tcW w:w="1872" w:type="dxa"/>
            <w:tcBorders>
              <w:top w:val="nil"/>
              <w:left w:val="nil"/>
              <w:bottom w:val="single" w:color="auto" w:sz="4" w:space="0"/>
              <w:right w:val="single" w:color="auto" w:sz="4" w:space="0"/>
            </w:tcBorders>
            <w:noWrap w:val="0"/>
            <w:vAlign w:val="center"/>
          </w:tcPr>
          <w:p w14:paraId="09E92B0F">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交通运输业</w:t>
            </w:r>
          </w:p>
        </w:tc>
        <w:tc>
          <w:tcPr>
            <w:tcW w:w="1149" w:type="dxa"/>
            <w:tcBorders>
              <w:top w:val="nil"/>
              <w:left w:val="nil"/>
              <w:bottom w:val="single" w:color="auto" w:sz="4" w:space="0"/>
              <w:right w:val="single" w:color="auto" w:sz="4" w:space="0"/>
            </w:tcBorders>
            <w:noWrap w:val="0"/>
            <w:vAlign w:val="center"/>
          </w:tcPr>
          <w:p w14:paraId="00921F21">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≥30000</w:t>
            </w:r>
          </w:p>
        </w:tc>
        <w:tc>
          <w:tcPr>
            <w:tcW w:w="885" w:type="dxa"/>
            <w:tcBorders>
              <w:top w:val="nil"/>
              <w:left w:val="nil"/>
              <w:bottom w:val="single" w:color="auto" w:sz="4" w:space="0"/>
              <w:right w:val="single" w:color="auto" w:sz="4" w:space="0"/>
            </w:tcBorders>
            <w:noWrap w:val="0"/>
            <w:vAlign w:val="center"/>
          </w:tcPr>
          <w:p w14:paraId="05489CE3">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2" w:type="dxa"/>
            <w:tcBorders>
              <w:top w:val="nil"/>
              <w:left w:val="nil"/>
              <w:bottom w:val="single" w:color="auto" w:sz="4" w:space="0"/>
              <w:right w:val="single" w:color="auto" w:sz="4" w:space="0"/>
            </w:tcBorders>
            <w:noWrap w:val="0"/>
            <w:vAlign w:val="center"/>
          </w:tcPr>
          <w:p w14:paraId="6238D9A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AD04E5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≥3000</w:t>
            </w:r>
          </w:p>
        </w:tc>
        <w:tc>
          <w:tcPr>
            <w:tcW w:w="905" w:type="dxa"/>
            <w:tcBorders>
              <w:top w:val="nil"/>
              <w:left w:val="nil"/>
              <w:bottom w:val="single" w:color="auto" w:sz="4" w:space="0"/>
              <w:right w:val="single" w:color="auto" w:sz="4" w:space="0"/>
            </w:tcBorders>
            <w:noWrap w:val="0"/>
            <w:vAlign w:val="center"/>
          </w:tcPr>
          <w:p w14:paraId="7090344A">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57" w:type="dxa"/>
            <w:tcBorders>
              <w:top w:val="nil"/>
              <w:left w:val="nil"/>
              <w:bottom w:val="single" w:color="auto" w:sz="4" w:space="0"/>
              <w:right w:val="single" w:color="auto" w:sz="4" w:space="0"/>
            </w:tcBorders>
            <w:noWrap w:val="0"/>
            <w:vAlign w:val="center"/>
          </w:tcPr>
          <w:p w14:paraId="5059DDF7">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0D6B7FE3">
            <w:pPr>
              <w:widowControl/>
              <w:jc w:val="center"/>
              <w:rPr>
                <w:rFonts w:ascii="宋体" w:hAnsi="宋体" w:cs="宋体"/>
                <w:color w:val="auto"/>
                <w:kern w:val="0"/>
                <w:szCs w:val="21"/>
              </w:rPr>
            </w:pPr>
            <w:r>
              <w:rPr>
                <w:rFonts w:hint="eastAsia" w:ascii="宋体" w:hAnsi="宋体" w:cs="宋体"/>
                <w:color w:val="auto"/>
                <w:kern w:val="0"/>
                <w:szCs w:val="21"/>
              </w:rPr>
              <w:t>≥200</w:t>
            </w:r>
          </w:p>
        </w:tc>
        <w:tc>
          <w:tcPr>
            <w:tcW w:w="921" w:type="dxa"/>
            <w:tcBorders>
              <w:top w:val="nil"/>
              <w:left w:val="nil"/>
              <w:bottom w:val="single" w:color="auto" w:sz="4" w:space="0"/>
              <w:right w:val="single" w:color="auto" w:sz="4" w:space="0"/>
            </w:tcBorders>
            <w:noWrap w:val="0"/>
            <w:vAlign w:val="center"/>
          </w:tcPr>
          <w:p w14:paraId="724EA17A">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963" w:type="dxa"/>
            <w:tcBorders>
              <w:top w:val="nil"/>
              <w:left w:val="nil"/>
              <w:bottom w:val="single" w:color="auto" w:sz="4" w:space="0"/>
              <w:right w:val="single" w:color="auto" w:sz="4" w:space="0"/>
            </w:tcBorders>
            <w:noWrap w:val="0"/>
            <w:vAlign w:val="center"/>
          </w:tcPr>
          <w:p w14:paraId="11559489">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C7CAC56">
            <w:pPr>
              <w:widowControl/>
              <w:jc w:val="center"/>
              <w:rPr>
                <w:rFonts w:ascii="宋体" w:hAnsi="宋体" w:cs="宋体"/>
                <w:color w:val="auto"/>
                <w:kern w:val="0"/>
                <w:szCs w:val="21"/>
              </w:rPr>
            </w:pPr>
            <w:r>
              <w:rPr>
                <w:rFonts w:hint="eastAsia" w:ascii="宋体" w:hAnsi="宋体" w:cs="宋体"/>
                <w:color w:val="auto"/>
                <w:kern w:val="0"/>
                <w:szCs w:val="21"/>
              </w:rPr>
              <w:t>＜200</w:t>
            </w:r>
          </w:p>
        </w:tc>
        <w:tc>
          <w:tcPr>
            <w:tcW w:w="846" w:type="dxa"/>
            <w:tcBorders>
              <w:top w:val="nil"/>
              <w:left w:val="nil"/>
              <w:bottom w:val="single" w:color="auto" w:sz="4" w:space="0"/>
              <w:right w:val="single" w:color="auto" w:sz="4" w:space="0"/>
            </w:tcBorders>
            <w:noWrap w:val="0"/>
            <w:vAlign w:val="center"/>
          </w:tcPr>
          <w:p w14:paraId="5C2DE767">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816" w:type="dxa"/>
            <w:tcBorders>
              <w:top w:val="nil"/>
              <w:left w:val="nil"/>
              <w:bottom w:val="single" w:color="auto" w:sz="4" w:space="0"/>
              <w:right w:val="single" w:color="auto" w:sz="4" w:space="0"/>
            </w:tcBorders>
            <w:noWrap w:val="0"/>
            <w:vAlign w:val="center"/>
          </w:tcPr>
          <w:p w14:paraId="785CF051">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27201FC4">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2668269">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7</w:t>
            </w:r>
          </w:p>
        </w:tc>
        <w:tc>
          <w:tcPr>
            <w:tcW w:w="1872" w:type="dxa"/>
            <w:tcBorders>
              <w:top w:val="nil"/>
              <w:left w:val="nil"/>
              <w:bottom w:val="single" w:color="auto" w:sz="4" w:space="0"/>
              <w:right w:val="single" w:color="auto" w:sz="4" w:space="0"/>
            </w:tcBorders>
            <w:noWrap w:val="0"/>
            <w:vAlign w:val="center"/>
          </w:tcPr>
          <w:p w14:paraId="7AA9C54C">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仓储业</w:t>
            </w:r>
          </w:p>
        </w:tc>
        <w:tc>
          <w:tcPr>
            <w:tcW w:w="1149" w:type="dxa"/>
            <w:tcBorders>
              <w:top w:val="nil"/>
              <w:left w:val="nil"/>
              <w:bottom w:val="single" w:color="auto" w:sz="4" w:space="0"/>
              <w:right w:val="single" w:color="auto" w:sz="4" w:space="0"/>
            </w:tcBorders>
            <w:noWrap w:val="0"/>
            <w:vAlign w:val="center"/>
          </w:tcPr>
          <w:p w14:paraId="332B83D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≥30000</w:t>
            </w:r>
          </w:p>
        </w:tc>
        <w:tc>
          <w:tcPr>
            <w:tcW w:w="885" w:type="dxa"/>
            <w:tcBorders>
              <w:top w:val="nil"/>
              <w:left w:val="nil"/>
              <w:bottom w:val="single" w:color="auto" w:sz="4" w:space="0"/>
              <w:right w:val="single" w:color="auto" w:sz="4" w:space="0"/>
            </w:tcBorders>
            <w:noWrap w:val="0"/>
            <w:vAlign w:val="center"/>
          </w:tcPr>
          <w:p w14:paraId="426EDC03">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w:t>
            </w:r>
          </w:p>
        </w:tc>
        <w:tc>
          <w:tcPr>
            <w:tcW w:w="902" w:type="dxa"/>
            <w:tcBorders>
              <w:top w:val="nil"/>
              <w:left w:val="nil"/>
              <w:bottom w:val="single" w:color="auto" w:sz="4" w:space="0"/>
              <w:right w:val="single" w:color="auto" w:sz="4" w:space="0"/>
            </w:tcBorders>
            <w:noWrap w:val="0"/>
            <w:vAlign w:val="center"/>
          </w:tcPr>
          <w:p w14:paraId="2FEC8CE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70B1BB3">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5" w:type="dxa"/>
            <w:tcBorders>
              <w:top w:val="nil"/>
              <w:left w:val="nil"/>
              <w:bottom w:val="single" w:color="auto" w:sz="4" w:space="0"/>
              <w:right w:val="single" w:color="auto" w:sz="4" w:space="0"/>
            </w:tcBorders>
            <w:noWrap w:val="0"/>
            <w:vAlign w:val="center"/>
          </w:tcPr>
          <w:p w14:paraId="016ABC9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3D61A360">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1DEAA094">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0C46485C">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963" w:type="dxa"/>
            <w:tcBorders>
              <w:top w:val="nil"/>
              <w:left w:val="nil"/>
              <w:bottom w:val="single" w:color="auto" w:sz="4" w:space="0"/>
              <w:right w:val="single" w:color="auto" w:sz="4" w:space="0"/>
            </w:tcBorders>
            <w:noWrap w:val="0"/>
            <w:vAlign w:val="center"/>
          </w:tcPr>
          <w:p w14:paraId="0568512B">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72EBB54A">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7201579B">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816" w:type="dxa"/>
            <w:tcBorders>
              <w:top w:val="nil"/>
              <w:left w:val="nil"/>
              <w:bottom w:val="single" w:color="auto" w:sz="4" w:space="0"/>
              <w:right w:val="single" w:color="auto" w:sz="4" w:space="0"/>
            </w:tcBorders>
            <w:noWrap w:val="0"/>
            <w:vAlign w:val="center"/>
          </w:tcPr>
          <w:p w14:paraId="436AD791">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60EF6F3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198C84D4">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8</w:t>
            </w:r>
          </w:p>
        </w:tc>
        <w:tc>
          <w:tcPr>
            <w:tcW w:w="1872" w:type="dxa"/>
            <w:tcBorders>
              <w:top w:val="nil"/>
              <w:left w:val="nil"/>
              <w:bottom w:val="single" w:color="auto" w:sz="4" w:space="0"/>
              <w:right w:val="single" w:color="auto" w:sz="4" w:space="0"/>
            </w:tcBorders>
            <w:noWrap w:val="0"/>
            <w:vAlign w:val="center"/>
          </w:tcPr>
          <w:p w14:paraId="28F1EFA9">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邮政业</w:t>
            </w:r>
          </w:p>
        </w:tc>
        <w:tc>
          <w:tcPr>
            <w:tcW w:w="1149" w:type="dxa"/>
            <w:tcBorders>
              <w:top w:val="nil"/>
              <w:left w:val="nil"/>
              <w:bottom w:val="single" w:color="auto" w:sz="4" w:space="0"/>
              <w:right w:val="single" w:color="auto" w:sz="4" w:space="0"/>
            </w:tcBorders>
            <w:noWrap w:val="0"/>
            <w:vAlign w:val="center"/>
          </w:tcPr>
          <w:p w14:paraId="7D2FA7C6">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≥30000</w:t>
            </w:r>
          </w:p>
        </w:tc>
        <w:tc>
          <w:tcPr>
            <w:tcW w:w="885" w:type="dxa"/>
            <w:tcBorders>
              <w:top w:val="nil"/>
              <w:left w:val="nil"/>
              <w:bottom w:val="single" w:color="auto" w:sz="4" w:space="0"/>
              <w:right w:val="single" w:color="auto" w:sz="4" w:space="0"/>
            </w:tcBorders>
            <w:noWrap w:val="0"/>
            <w:vAlign w:val="center"/>
          </w:tcPr>
          <w:p w14:paraId="35BC7AE0">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2" w:type="dxa"/>
            <w:tcBorders>
              <w:top w:val="nil"/>
              <w:left w:val="nil"/>
              <w:bottom w:val="single" w:color="auto" w:sz="4" w:space="0"/>
              <w:right w:val="single" w:color="auto" w:sz="4" w:space="0"/>
            </w:tcBorders>
            <w:noWrap w:val="0"/>
            <w:vAlign w:val="center"/>
          </w:tcPr>
          <w:p w14:paraId="4FB9234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CC51C1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w:t>
            </w:r>
          </w:p>
        </w:tc>
        <w:tc>
          <w:tcPr>
            <w:tcW w:w="905" w:type="dxa"/>
            <w:tcBorders>
              <w:top w:val="nil"/>
              <w:left w:val="nil"/>
              <w:bottom w:val="single" w:color="auto" w:sz="4" w:space="0"/>
              <w:right w:val="single" w:color="auto" w:sz="4" w:space="0"/>
            </w:tcBorders>
            <w:noWrap w:val="0"/>
            <w:vAlign w:val="center"/>
          </w:tcPr>
          <w:p w14:paraId="180EB03B">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57" w:type="dxa"/>
            <w:tcBorders>
              <w:top w:val="nil"/>
              <w:left w:val="nil"/>
              <w:bottom w:val="single" w:color="auto" w:sz="4" w:space="0"/>
              <w:right w:val="single" w:color="auto" w:sz="4" w:space="0"/>
            </w:tcBorders>
            <w:noWrap w:val="0"/>
            <w:vAlign w:val="center"/>
          </w:tcPr>
          <w:p w14:paraId="71840F6B">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42CDD9D9">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37C22D69">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963" w:type="dxa"/>
            <w:tcBorders>
              <w:top w:val="nil"/>
              <w:left w:val="nil"/>
              <w:bottom w:val="single" w:color="auto" w:sz="4" w:space="0"/>
              <w:right w:val="single" w:color="auto" w:sz="4" w:space="0"/>
            </w:tcBorders>
            <w:noWrap w:val="0"/>
            <w:vAlign w:val="center"/>
          </w:tcPr>
          <w:p w14:paraId="06939E78">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2321A23">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00BF8613">
            <w:pPr>
              <w:widowControl/>
              <w:jc w:val="center"/>
              <w:rPr>
                <w:rFonts w:ascii="宋体" w:hAnsi="宋体" w:cs="宋体"/>
                <w:color w:val="auto"/>
                <w:kern w:val="0"/>
                <w:szCs w:val="21"/>
              </w:rPr>
            </w:pPr>
            <w:r>
              <w:rPr>
                <w:rFonts w:hint="eastAsia" w:ascii="宋体" w:hAnsi="宋体" w:cs="宋体"/>
                <w:color w:val="auto"/>
                <w:kern w:val="0"/>
                <w:szCs w:val="21"/>
              </w:rPr>
              <w:t>＜20</w:t>
            </w:r>
          </w:p>
        </w:tc>
        <w:tc>
          <w:tcPr>
            <w:tcW w:w="816" w:type="dxa"/>
            <w:tcBorders>
              <w:top w:val="nil"/>
              <w:left w:val="nil"/>
              <w:bottom w:val="single" w:color="auto" w:sz="4" w:space="0"/>
              <w:right w:val="single" w:color="auto" w:sz="4" w:space="0"/>
            </w:tcBorders>
            <w:noWrap w:val="0"/>
            <w:vAlign w:val="center"/>
          </w:tcPr>
          <w:p w14:paraId="46E8B2C9">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2F740C9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37BCC91">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9</w:t>
            </w:r>
          </w:p>
        </w:tc>
        <w:tc>
          <w:tcPr>
            <w:tcW w:w="1872" w:type="dxa"/>
            <w:tcBorders>
              <w:top w:val="nil"/>
              <w:left w:val="nil"/>
              <w:bottom w:val="single" w:color="auto" w:sz="4" w:space="0"/>
              <w:right w:val="single" w:color="auto" w:sz="4" w:space="0"/>
            </w:tcBorders>
            <w:noWrap w:val="0"/>
            <w:vAlign w:val="center"/>
          </w:tcPr>
          <w:p w14:paraId="30A0B014">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住宿业</w:t>
            </w:r>
          </w:p>
        </w:tc>
        <w:tc>
          <w:tcPr>
            <w:tcW w:w="1149" w:type="dxa"/>
            <w:tcBorders>
              <w:top w:val="nil"/>
              <w:left w:val="nil"/>
              <w:bottom w:val="single" w:color="auto" w:sz="4" w:space="0"/>
              <w:right w:val="single" w:color="auto" w:sz="4" w:space="0"/>
            </w:tcBorders>
            <w:noWrap w:val="0"/>
            <w:vAlign w:val="center"/>
          </w:tcPr>
          <w:p w14:paraId="002E49F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≥10000</w:t>
            </w:r>
          </w:p>
        </w:tc>
        <w:tc>
          <w:tcPr>
            <w:tcW w:w="885" w:type="dxa"/>
            <w:tcBorders>
              <w:top w:val="nil"/>
              <w:left w:val="nil"/>
              <w:bottom w:val="single" w:color="auto" w:sz="4" w:space="0"/>
              <w:right w:val="single" w:color="auto" w:sz="4" w:space="0"/>
            </w:tcBorders>
            <w:noWrap w:val="0"/>
            <w:vAlign w:val="center"/>
          </w:tcPr>
          <w:p w14:paraId="27718CE8">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47B436F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2F24FC8">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w:t>
            </w:r>
          </w:p>
        </w:tc>
        <w:tc>
          <w:tcPr>
            <w:tcW w:w="905" w:type="dxa"/>
            <w:tcBorders>
              <w:top w:val="nil"/>
              <w:left w:val="nil"/>
              <w:bottom w:val="single" w:color="auto" w:sz="4" w:space="0"/>
              <w:right w:val="single" w:color="auto" w:sz="4" w:space="0"/>
            </w:tcBorders>
            <w:noWrap w:val="0"/>
            <w:vAlign w:val="center"/>
          </w:tcPr>
          <w:p w14:paraId="5FBFC55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3383E520">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7498CB1">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215115F2">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2AB34B9C">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2E18063">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6334A844">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254E8584">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69D0E631">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A25D300">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10</w:t>
            </w:r>
          </w:p>
        </w:tc>
        <w:tc>
          <w:tcPr>
            <w:tcW w:w="1872" w:type="dxa"/>
            <w:tcBorders>
              <w:top w:val="nil"/>
              <w:left w:val="nil"/>
              <w:bottom w:val="single" w:color="auto" w:sz="4" w:space="0"/>
              <w:right w:val="single" w:color="auto" w:sz="4" w:space="0"/>
            </w:tcBorders>
            <w:noWrap w:val="0"/>
            <w:vAlign w:val="center"/>
          </w:tcPr>
          <w:p w14:paraId="734703D7">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餐饮业</w:t>
            </w:r>
          </w:p>
        </w:tc>
        <w:tc>
          <w:tcPr>
            <w:tcW w:w="1149" w:type="dxa"/>
            <w:tcBorders>
              <w:top w:val="nil"/>
              <w:left w:val="nil"/>
              <w:bottom w:val="single" w:color="auto" w:sz="4" w:space="0"/>
              <w:right w:val="single" w:color="auto" w:sz="4" w:space="0"/>
            </w:tcBorders>
            <w:noWrap w:val="0"/>
            <w:vAlign w:val="center"/>
          </w:tcPr>
          <w:p w14:paraId="36ADEBB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≥10000</w:t>
            </w:r>
          </w:p>
        </w:tc>
        <w:tc>
          <w:tcPr>
            <w:tcW w:w="885" w:type="dxa"/>
            <w:tcBorders>
              <w:top w:val="nil"/>
              <w:left w:val="nil"/>
              <w:bottom w:val="single" w:color="auto" w:sz="4" w:space="0"/>
              <w:right w:val="single" w:color="auto" w:sz="4" w:space="0"/>
            </w:tcBorders>
            <w:noWrap w:val="0"/>
            <w:vAlign w:val="center"/>
          </w:tcPr>
          <w:p w14:paraId="7E39800E">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62CEF89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3649EEE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w:t>
            </w:r>
          </w:p>
        </w:tc>
        <w:tc>
          <w:tcPr>
            <w:tcW w:w="905" w:type="dxa"/>
            <w:tcBorders>
              <w:top w:val="nil"/>
              <w:left w:val="nil"/>
              <w:bottom w:val="single" w:color="auto" w:sz="4" w:space="0"/>
              <w:right w:val="single" w:color="auto" w:sz="4" w:space="0"/>
            </w:tcBorders>
            <w:noWrap w:val="0"/>
            <w:vAlign w:val="center"/>
          </w:tcPr>
          <w:p w14:paraId="5D951C4E">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794DABFC">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8ADBF6E">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63090FEF">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36156CD0">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5FEB1E5">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64CEF466">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1F534DFC">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1C01AAB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541AA72">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11</w:t>
            </w:r>
          </w:p>
        </w:tc>
        <w:tc>
          <w:tcPr>
            <w:tcW w:w="1872" w:type="dxa"/>
            <w:tcBorders>
              <w:top w:val="nil"/>
              <w:left w:val="nil"/>
              <w:bottom w:val="single" w:color="auto" w:sz="4" w:space="0"/>
              <w:right w:val="single" w:color="auto" w:sz="4" w:space="0"/>
            </w:tcBorders>
            <w:noWrap w:val="0"/>
            <w:vAlign w:val="center"/>
          </w:tcPr>
          <w:p w14:paraId="1B2304BD">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信息传输业</w:t>
            </w:r>
          </w:p>
        </w:tc>
        <w:tc>
          <w:tcPr>
            <w:tcW w:w="1149" w:type="dxa"/>
            <w:tcBorders>
              <w:top w:val="nil"/>
              <w:left w:val="nil"/>
              <w:bottom w:val="single" w:color="auto" w:sz="4" w:space="0"/>
              <w:right w:val="single" w:color="auto" w:sz="4" w:space="0"/>
            </w:tcBorders>
            <w:noWrap w:val="0"/>
            <w:vAlign w:val="center"/>
          </w:tcPr>
          <w:p w14:paraId="51A528F6">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≥100000</w:t>
            </w:r>
          </w:p>
        </w:tc>
        <w:tc>
          <w:tcPr>
            <w:tcW w:w="885" w:type="dxa"/>
            <w:tcBorders>
              <w:top w:val="nil"/>
              <w:left w:val="nil"/>
              <w:bottom w:val="single" w:color="auto" w:sz="4" w:space="0"/>
              <w:right w:val="single" w:color="auto" w:sz="4" w:space="0"/>
            </w:tcBorders>
            <w:noWrap w:val="0"/>
            <w:vAlign w:val="center"/>
          </w:tcPr>
          <w:p w14:paraId="034C48C0">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w:t>
            </w:r>
          </w:p>
        </w:tc>
        <w:tc>
          <w:tcPr>
            <w:tcW w:w="902" w:type="dxa"/>
            <w:tcBorders>
              <w:top w:val="nil"/>
              <w:left w:val="nil"/>
              <w:bottom w:val="single" w:color="auto" w:sz="4" w:space="0"/>
              <w:right w:val="single" w:color="auto" w:sz="4" w:space="0"/>
            </w:tcBorders>
            <w:noWrap w:val="0"/>
            <w:vAlign w:val="center"/>
          </w:tcPr>
          <w:p w14:paraId="22A4FFAE">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3DFA477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5" w:type="dxa"/>
            <w:tcBorders>
              <w:top w:val="nil"/>
              <w:left w:val="nil"/>
              <w:bottom w:val="single" w:color="auto" w:sz="4" w:space="0"/>
              <w:right w:val="single" w:color="auto" w:sz="4" w:space="0"/>
            </w:tcBorders>
            <w:noWrap w:val="0"/>
            <w:vAlign w:val="center"/>
          </w:tcPr>
          <w:p w14:paraId="4EC713EF">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00EC2D1D">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192DD3EE">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418B5B8E">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5603D235">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CDFC100">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057D4DC8">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50F2A997">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44A626A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DBEEACB">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12</w:t>
            </w:r>
          </w:p>
        </w:tc>
        <w:tc>
          <w:tcPr>
            <w:tcW w:w="1872" w:type="dxa"/>
            <w:tcBorders>
              <w:top w:val="nil"/>
              <w:left w:val="nil"/>
              <w:bottom w:val="single" w:color="auto" w:sz="4" w:space="0"/>
              <w:right w:val="single" w:color="auto" w:sz="4" w:space="0"/>
            </w:tcBorders>
            <w:noWrap w:val="0"/>
            <w:vAlign w:val="center"/>
          </w:tcPr>
          <w:p w14:paraId="55F48D77">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软件和信息技术服务业</w:t>
            </w:r>
          </w:p>
        </w:tc>
        <w:tc>
          <w:tcPr>
            <w:tcW w:w="1149" w:type="dxa"/>
            <w:tcBorders>
              <w:top w:val="nil"/>
              <w:left w:val="nil"/>
              <w:bottom w:val="single" w:color="auto" w:sz="4" w:space="0"/>
              <w:right w:val="single" w:color="auto" w:sz="4" w:space="0"/>
            </w:tcBorders>
            <w:noWrap w:val="0"/>
            <w:vAlign w:val="center"/>
          </w:tcPr>
          <w:p w14:paraId="42AD6008">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≥10000</w:t>
            </w:r>
          </w:p>
        </w:tc>
        <w:tc>
          <w:tcPr>
            <w:tcW w:w="885" w:type="dxa"/>
            <w:tcBorders>
              <w:top w:val="nil"/>
              <w:left w:val="nil"/>
              <w:bottom w:val="single" w:color="auto" w:sz="4" w:space="0"/>
              <w:right w:val="single" w:color="auto" w:sz="4" w:space="0"/>
            </w:tcBorders>
            <w:noWrap w:val="0"/>
            <w:vAlign w:val="center"/>
          </w:tcPr>
          <w:p w14:paraId="31E8B3D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3D4DD57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E722AC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5" w:type="dxa"/>
            <w:tcBorders>
              <w:top w:val="nil"/>
              <w:left w:val="nil"/>
              <w:bottom w:val="single" w:color="auto" w:sz="4" w:space="0"/>
              <w:right w:val="single" w:color="auto" w:sz="4" w:space="0"/>
            </w:tcBorders>
            <w:noWrap w:val="0"/>
            <w:vAlign w:val="center"/>
          </w:tcPr>
          <w:p w14:paraId="0007BEC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07F68FC5">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CA46EAD">
            <w:pPr>
              <w:widowControl/>
              <w:jc w:val="center"/>
              <w:rPr>
                <w:rFonts w:ascii="宋体" w:hAnsi="宋体" w:cs="宋体"/>
                <w:color w:val="auto"/>
                <w:kern w:val="0"/>
                <w:szCs w:val="21"/>
              </w:rPr>
            </w:pPr>
            <w:r>
              <w:rPr>
                <w:rFonts w:hint="eastAsia" w:ascii="宋体" w:hAnsi="宋体" w:cs="宋体"/>
                <w:color w:val="auto"/>
                <w:kern w:val="0"/>
                <w:szCs w:val="21"/>
              </w:rPr>
              <w:t>≥50</w:t>
            </w:r>
          </w:p>
        </w:tc>
        <w:tc>
          <w:tcPr>
            <w:tcW w:w="921" w:type="dxa"/>
            <w:tcBorders>
              <w:top w:val="nil"/>
              <w:left w:val="nil"/>
              <w:bottom w:val="single" w:color="auto" w:sz="4" w:space="0"/>
              <w:right w:val="single" w:color="auto" w:sz="4" w:space="0"/>
            </w:tcBorders>
            <w:noWrap w:val="0"/>
            <w:vAlign w:val="center"/>
          </w:tcPr>
          <w:p w14:paraId="2AC14B09">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0A08D7A9">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1B4A6C73">
            <w:pPr>
              <w:widowControl/>
              <w:jc w:val="center"/>
              <w:rPr>
                <w:rFonts w:ascii="宋体" w:hAnsi="宋体" w:cs="宋体"/>
                <w:color w:val="auto"/>
                <w:kern w:val="0"/>
                <w:szCs w:val="21"/>
              </w:rPr>
            </w:pPr>
            <w:r>
              <w:rPr>
                <w:rFonts w:hint="eastAsia" w:ascii="宋体" w:hAnsi="宋体" w:cs="宋体"/>
                <w:color w:val="auto"/>
                <w:kern w:val="0"/>
                <w:szCs w:val="21"/>
              </w:rPr>
              <w:t>＜50</w:t>
            </w:r>
          </w:p>
        </w:tc>
        <w:tc>
          <w:tcPr>
            <w:tcW w:w="846" w:type="dxa"/>
            <w:tcBorders>
              <w:top w:val="nil"/>
              <w:left w:val="nil"/>
              <w:bottom w:val="single" w:color="auto" w:sz="4" w:space="0"/>
              <w:right w:val="single" w:color="auto" w:sz="4" w:space="0"/>
            </w:tcBorders>
            <w:noWrap w:val="0"/>
            <w:vAlign w:val="center"/>
          </w:tcPr>
          <w:p w14:paraId="68690CB4">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3FE485F3">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324BF84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2D4317E8">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13</w:t>
            </w:r>
          </w:p>
        </w:tc>
        <w:tc>
          <w:tcPr>
            <w:tcW w:w="1872" w:type="dxa"/>
            <w:tcBorders>
              <w:top w:val="nil"/>
              <w:left w:val="nil"/>
              <w:bottom w:val="single" w:color="auto" w:sz="4" w:space="0"/>
              <w:right w:val="single" w:color="auto" w:sz="4" w:space="0"/>
            </w:tcBorders>
            <w:noWrap w:val="0"/>
            <w:vAlign w:val="center"/>
          </w:tcPr>
          <w:p w14:paraId="2F2020B6">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房地产开发经验</w:t>
            </w:r>
          </w:p>
        </w:tc>
        <w:tc>
          <w:tcPr>
            <w:tcW w:w="1149" w:type="dxa"/>
            <w:tcBorders>
              <w:top w:val="nil"/>
              <w:left w:val="nil"/>
              <w:bottom w:val="single" w:color="auto" w:sz="4" w:space="0"/>
              <w:right w:val="single" w:color="auto" w:sz="4" w:space="0"/>
            </w:tcBorders>
            <w:noWrap w:val="0"/>
            <w:vAlign w:val="center"/>
          </w:tcPr>
          <w:p w14:paraId="055787B6">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≥200000</w:t>
            </w:r>
          </w:p>
        </w:tc>
        <w:tc>
          <w:tcPr>
            <w:tcW w:w="885" w:type="dxa"/>
            <w:tcBorders>
              <w:top w:val="nil"/>
              <w:left w:val="nil"/>
              <w:bottom w:val="single" w:color="auto" w:sz="4" w:space="0"/>
              <w:right w:val="single" w:color="auto" w:sz="4" w:space="0"/>
            </w:tcBorders>
            <w:noWrap w:val="0"/>
            <w:vAlign w:val="center"/>
          </w:tcPr>
          <w:p w14:paraId="3B1F181F">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02" w:type="dxa"/>
            <w:tcBorders>
              <w:top w:val="nil"/>
              <w:left w:val="nil"/>
              <w:bottom w:val="single" w:color="auto" w:sz="4" w:space="0"/>
              <w:right w:val="single" w:color="auto" w:sz="4" w:space="0"/>
            </w:tcBorders>
            <w:noWrap w:val="0"/>
            <w:vAlign w:val="center"/>
          </w:tcPr>
          <w:p w14:paraId="4F68846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或,≥10000</w:t>
            </w:r>
          </w:p>
        </w:tc>
        <w:tc>
          <w:tcPr>
            <w:tcW w:w="1063" w:type="dxa"/>
            <w:tcBorders>
              <w:top w:val="nil"/>
              <w:left w:val="nil"/>
              <w:bottom w:val="single" w:color="auto" w:sz="4" w:space="0"/>
              <w:right w:val="single" w:color="auto" w:sz="4" w:space="0"/>
            </w:tcBorders>
            <w:noWrap w:val="0"/>
            <w:vAlign w:val="center"/>
          </w:tcPr>
          <w:p w14:paraId="4D04F89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5" w:type="dxa"/>
            <w:tcBorders>
              <w:top w:val="nil"/>
              <w:left w:val="nil"/>
              <w:bottom w:val="single" w:color="auto" w:sz="4" w:space="0"/>
              <w:right w:val="single" w:color="auto" w:sz="4" w:space="0"/>
            </w:tcBorders>
            <w:noWrap w:val="0"/>
            <w:vAlign w:val="center"/>
          </w:tcPr>
          <w:p w14:paraId="1F016A1C">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57" w:type="dxa"/>
            <w:tcBorders>
              <w:top w:val="nil"/>
              <w:left w:val="nil"/>
              <w:bottom w:val="single" w:color="auto" w:sz="4" w:space="0"/>
              <w:right w:val="single" w:color="auto" w:sz="4" w:space="0"/>
            </w:tcBorders>
            <w:noWrap w:val="0"/>
            <w:vAlign w:val="center"/>
          </w:tcPr>
          <w:p w14:paraId="76E51624">
            <w:pPr>
              <w:widowControl/>
              <w:jc w:val="center"/>
              <w:rPr>
                <w:rFonts w:ascii="宋体" w:hAnsi="宋体" w:cs="宋体"/>
                <w:color w:val="auto"/>
                <w:kern w:val="0"/>
                <w:szCs w:val="21"/>
              </w:rPr>
            </w:pPr>
            <w:r>
              <w:rPr>
                <w:rFonts w:hint="eastAsia" w:ascii="宋体" w:hAnsi="宋体" w:cs="宋体"/>
                <w:color w:val="auto"/>
                <w:kern w:val="0"/>
                <w:szCs w:val="21"/>
              </w:rPr>
              <w:t>且,≥5000</w:t>
            </w:r>
          </w:p>
        </w:tc>
        <w:tc>
          <w:tcPr>
            <w:tcW w:w="1063" w:type="dxa"/>
            <w:tcBorders>
              <w:top w:val="nil"/>
              <w:left w:val="nil"/>
              <w:bottom w:val="single" w:color="auto" w:sz="4" w:space="0"/>
              <w:right w:val="single" w:color="auto" w:sz="4" w:space="0"/>
            </w:tcBorders>
            <w:noWrap w:val="0"/>
            <w:vAlign w:val="center"/>
          </w:tcPr>
          <w:p w14:paraId="1D31C138">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21" w:type="dxa"/>
            <w:tcBorders>
              <w:top w:val="nil"/>
              <w:left w:val="nil"/>
              <w:bottom w:val="single" w:color="auto" w:sz="4" w:space="0"/>
              <w:right w:val="single" w:color="auto" w:sz="4" w:space="0"/>
            </w:tcBorders>
            <w:noWrap w:val="0"/>
            <w:vAlign w:val="center"/>
          </w:tcPr>
          <w:p w14:paraId="2CC74A72">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63" w:type="dxa"/>
            <w:tcBorders>
              <w:top w:val="nil"/>
              <w:left w:val="nil"/>
              <w:bottom w:val="single" w:color="auto" w:sz="4" w:space="0"/>
              <w:right w:val="single" w:color="auto" w:sz="4" w:space="0"/>
            </w:tcBorders>
            <w:noWrap w:val="0"/>
            <w:vAlign w:val="center"/>
          </w:tcPr>
          <w:p w14:paraId="594FE127">
            <w:pPr>
              <w:widowControl/>
              <w:jc w:val="center"/>
              <w:rPr>
                <w:rFonts w:ascii="宋体" w:hAnsi="宋体" w:cs="宋体"/>
                <w:color w:val="auto"/>
                <w:kern w:val="0"/>
                <w:szCs w:val="21"/>
              </w:rPr>
            </w:pPr>
            <w:r>
              <w:rPr>
                <w:rFonts w:hint="eastAsia" w:ascii="宋体" w:hAnsi="宋体" w:cs="宋体"/>
                <w:color w:val="auto"/>
                <w:kern w:val="0"/>
                <w:szCs w:val="21"/>
              </w:rPr>
              <w:t>且,≥2000</w:t>
            </w:r>
          </w:p>
        </w:tc>
        <w:tc>
          <w:tcPr>
            <w:tcW w:w="1063" w:type="dxa"/>
            <w:tcBorders>
              <w:top w:val="nil"/>
              <w:left w:val="nil"/>
              <w:bottom w:val="single" w:color="auto" w:sz="4" w:space="0"/>
              <w:right w:val="single" w:color="auto" w:sz="4" w:space="0"/>
            </w:tcBorders>
            <w:noWrap w:val="0"/>
            <w:vAlign w:val="center"/>
          </w:tcPr>
          <w:p w14:paraId="1AB1F217">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46" w:type="dxa"/>
            <w:tcBorders>
              <w:top w:val="nil"/>
              <w:left w:val="nil"/>
              <w:bottom w:val="single" w:color="auto" w:sz="4" w:space="0"/>
              <w:right w:val="single" w:color="auto" w:sz="4" w:space="0"/>
            </w:tcBorders>
            <w:noWrap w:val="0"/>
            <w:vAlign w:val="center"/>
          </w:tcPr>
          <w:p w14:paraId="07010362">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816" w:type="dxa"/>
            <w:tcBorders>
              <w:top w:val="nil"/>
              <w:left w:val="nil"/>
              <w:bottom w:val="single" w:color="auto" w:sz="4" w:space="0"/>
              <w:right w:val="single" w:color="auto" w:sz="4" w:space="0"/>
            </w:tcBorders>
            <w:noWrap w:val="0"/>
            <w:vAlign w:val="center"/>
          </w:tcPr>
          <w:p w14:paraId="1639C893">
            <w:pPr>
              <w:widowControl/>
              <w:jc w:val="center"/>
              <w:rPr>
                <w:rFonts w:ascii="宋体" w:hAnsi="宋体" w:cs="宋体"/>
                <w:color w:val="auto"/>
                <w:kern w:val="0"/>
                <w:szCs w:val="21"/>
              </w:rPr>
            </w:pPr>
            <w:r>
              <w:rPr>
                <w:rFonts w:hint="eastAsia" w:ascii="宋体" w:hAnsi="宋体" w:cs="宋体"/>
                <w:color w:val="auto"/>
                <w:kern w:val="0"/>
                <w:szCs w:val="21"/>
              </w:rPr>
              <w:t>或,＜2000</w:t>
            </w:r>
          </w:p>
        </w:tc>
      </w:tr>
      <w:tr w14:paraId="24DB0DC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97AB951">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14</w:t>
            </w:r>
          </w:p>
        </w:tc>
        <w:tc>
          <w:tcPr>
            <w:tcW w:w="1872" w:type="dxa"/>
            <w:tcBorders>
              <w:top w:val="nil"/>
              <w:left w:val="nil"/>
              <w:bottom w:val="single" w:color="auto" w:sz="4" w:space="0"/>
              <w:right w:val="single" w:color="auto" w:sz="4" w:space="0"/>
            </w:tcBorders>
            <w:noWrap w:val="0"/>
            <w:vAlign w:val="center"/>
          </w:tcPr>
          <w:p w14:paraId="2B327C71">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物业管理</w:t>
            </w:r>
          </w:p>
        </w:tc>
        <w:tc>
          <w:tcPr>
            <w:tcW w:w="1149" w:type="dxa"/>
            <w:tcBorders>
              <w:top w:val="nil"/>
              <w:left w:val="nil"/>
              <w:bottom w:val="single" w:color="auto" w:sz="4" w:space="0"/>
              <w:right w:val="single" w:color="auto" w:sz="4" w:space="0"/>
            </w:tcBorders>
            <w:noWrap w:val="0"/>
            <w:vAlign w:val="center"/>
          </w:tcPr>
          <w:p w14:paraId="02F921D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≥5000</w:t>
            </w:r>
          </w:p>
        </w:tc>
        <w:tc>
          <w:tcPr>
            <w:tcW w:w="885" w:type="dxa"/>
            <w:tcBorders>
              <w:top w:val="nil"/>
              <w:left w:val="nil"/>
              <w:bottom w:val="single" w:color="auto" w:sz="4" w:space="0"/>
              <w:right w:val="single" w:color="auto" w:sz="4" w:space="0"/>
            </w:tcBorders>
            <w:noWrap w:val="0"/>
            <w:vAlign w:val="center"/>
          </w:tcPr>
          <w:p w14:paraId="4C06BFF7">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2" w:type="dxa"/>
            <w:tcBorders>
              <w:top w:val="nil"/>
              <w:left w:val="nil"/>
              <w:bottom w:val="single" w:color="auto" w:sz="4" w:space="0"/>
              <w:right w:val="single" w:color="auto" w:sz="4" w:space="0"/>
            </w:tcBorders>
            <w:noWrap w:val="0"/>
            <w:vAlign w:val="center"/>
          </w:tcPr>
          <w:p w14:paraId="49A1EEEB">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71E54852">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≥1000</w:t>
            </w:r>
          </w:p>
        </w:tc>
        <w:tc>
          <w:tcPr>
            <w:tcW w:w="905" w:type="dxa"/>
            <w:tcBorders>
              <w:top w:val="nil"/>
              <w:left w:val="nil"/>
              <w:bottom w:val="single" w:color="auto" w:sz="4" w:space="0"/>
              <w:right w:val="single" w:color="auto" w:sz="4" w:space="0"/>
            </w:tcBorders>
            <w:noWrap w:val="0"/>
            <w:vAlign w:val="center"/>
          </w:tcPr>
          <w:p w14:paraId="0A648265">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57" w:type="dxa"/>
            <w:tcBorders>
              <w:top w:val="nil"/>
              <w:left w:val="nil"/>
              <w:bottom w:val="single" w:color="auto" w:sz="4" w:space="0"/>
              <w:right w:val="single" w:color="auto" w:sz="4" w:space="0"/>
            </w:tcBorders>
            <w:noWrap w:val="0"/>
            <w:vAlign w:val="center"/>
          </w:tcPr>
          <w:p w14:paraId="15F451CD">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5EFAD974">
            <w:pPr>
              <w:widowControl/>
              <w:jc w:val="center"/>
              <w:rPr>
                <w:rFonts w:ascii="宋体" w:hAnsi="宋体" w:cs="宋体"/>
                <w:color w:val="auto"/>
                <w:kern w:val="0"/>
                <w:szCs w:val="21"/>
              </w:rPr>
            </w:pPr>
            <w:r>
              <w:rPr>
                <w:rFonts w:hint="eastAsia" w:ascii="宋体" w:hAnsi="宋体" w:cs="宋体"/>
                <w:color w:val="auto"/>
                <w:kern w:val="0"/>
                <w:szCs w:val="21"/>
              </w:rPr>
              <w:t>≥500</w:t>
            </w:r>
          </w:p>
        </w:tc>
        <w:tc>
          <w:tcPr>
            <w:tcW w:w="921" w:type="dxa"/>
            <w:tcBorders>
              <w:top w:val="nil"/>
              <w:left w:val="nil"/>
              <w:bottom w:val="single" w:color="auto" w:sz="4" w:space="0"/>
              <w:right w:val="single" w:color="auto" w:sz="4" w:space="0"/>
            </w:tcBorders>
            <w:noWrap w:val="0"/>
            <w:vAlign w:val="center"/>
          </w:tcPr>
          <w:p w14:paraId="0FA9D342">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963" w:type="dxa"/>
            <w:tcBorders>
              <w:top w:val="nil"/>
              <w:left w:val="nil"/>
              <w:bottom w:val="single" w:color="auto" w:sz="4" w:space="0"/>
              <w:right w:val="single" w:color="auto" w:sz="4" w:space="0"/>
            </w:tcBorders>
            <w:noWrap w:val="0"/>
            <w:vAlign w:val="center"/>
          </w:tcPr>
          <w:p w14:paraId="771307B4">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035B6DDF">
            <w:pPr>
              <w:widowControl/>
              <w:jc w:val="center"/>
              <w:rPr>
                <w:rFonts w:ascii="宋体" w:hAnsi="宋体" w:cs="宋体"/>
                <w:color w:val="auto"/>
                <w:kern w:val="0"/>
                <w:szCs w:val="21"/>
              </w:rPr>
            </w:pPr>
            <w:r>
              <w:rPr>
                <w:rFonts w:hint="eastAsia" w:ascii="宋体" w:hAnsi="宋体" w:cs="宋体"/>
                <w:color w:val="auto"/>
                <w:kern w:val="0"/>
                <w:szCs w:val="21"/>
              </w:rPr>
              <w:t>＜500</w:t>
            </w:r>
          </w:p>
        </w:tc>
        <w:tc>
          <w:tcPr>
            <w:tcW w:w="846" w:type="dxa"/>
            <w:tcBorders>
              <w:top w:val="nil"/>
              <w:left w:val="nil"/>
              <w:bottom w:val="single" w:color="auto" w:sz="4" w:space="0"/>
              <w:right w:val="single" w:color="auto" w:sz="4" w:space="0"/>
            </w:tcBorders>
            <w:noWrap w:val="0"/>
            <w:vAlign w:val="center"/>
          </w:tcPr>
          <w:p w14:paraId="705761AB">
            <w:pPr>
              <w:widowControl/>
              <w:jc w:val="center"/>
              <w:rPr>
                <w:rFonts w:ascii="宋体" w:hAnsi="宋体" w:cs="宋体"/>
                <w:color w:val="auto"/>
                <w:kern w:val="0"/>
                <w:szCs w:val="21"/>
              </w:rPr>
            </w:pPr>
            <w:r>
              <w:rPr>
                <w:rFonts w:hint="eastAsia" w:ascii="宋体" w:hAnsi="宋体" w:cs="宋体"/>
                <w:color w:val="auto"/>
                <w:kern w:val="0"/>
                <w:szCs w:val="21"/>
              </w:rPr>
              <w:t>＜100</w:t>
            </w:r>
          </w:p>
        </w:tc>
        <w:tc>
          <w:tcPr>
            <w:tcW w:w="816" w:type="dxa"/>
            <w:tcBorders>
              <w:top w:val="nil"/>
              <w:left w:val="nil"/>
              <w:bottom w:val="single" w:color="auto" w:sz="4" w:space="0"/>
              <w:right w:val="single" w:color="auto" w:sz="4" w:space="0"/>
            </w:tcBorders>
            <w:noWrap w:val="0"/>
            <w:vAlign w:val="center"/>
          </w:tcPr>
          <w:p w14:paraId="52CF2AD0">
            <w:pPr>
              <w:widowControl/>
              <w:jc w:val="center"/>
              <w:rPr>
                <w:rFonts w:ascii="宋体" w:hAnsi="宋体" w:cs="宋体"/>
                <w:color w:val="auto"/>
                <w:kern w:val="0"/>
                <w:szCs w:val="21"/>
              </w:rPr>
            </w:pPr>
            <w:r>
              <w:rPr>
                <w:rFonts w:hint="eastAsia" w:ascii="宋体" w:hAnsi="宋体" w:cs="宋体"/>
                <w:color w:val="auto"/>
                <w:kern w:val="0"/>
                <w:szCs w:val="21"/>
              </w:rPr>
              <w:t>　</w:t>
            </w:r>
          </w:p>
        </w:tc>
      </w:tr>
      <w:tr w14:paraId="0478E0E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FC29A6F">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15</w:t>
            </w:r>
          </w:p>
        </w:tc>
        <w:tc>
          <w:tcPr>
            <w:tcW w:w="1872" w:type="dxa"/>
            <w:tcBorders>
              <w:top w:val="nil"/>
              <w:left w:val="nil"/>
              <w:bottom w:val="single" w:color="auto" w:sz="4" w:space="0"/>
              <w:right w:val="single" w:color="auto" w:sz="4" w:space="0"/>
            </w:tcBorders>
            <w:noWrap w:val="0"/>
            <w:vAlign w:val="center"/>
          </w:tcPr>
          <w:p w14:paraId="4ECFD36D">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租赁和商务服务业</w:t>
            </w:r>
          </w:p>
        </w:tc>
        <w:tc>
          <w:tcPr>
            <w:tcW w:w="1149" w:type="dxa"/>
            <w:tcBorders>
              <w:top w:val="nil"/>
              <w:left w:val="nil"/>
              <w:bottom w:val="single" w:color="auto" w:sz="4" w:space="0"/>
              <w:right w:val="single" w:color="auto" w:sz="4" w:space="0"/>
            </w:tcBorders>
            <w:noWrap w:val="0"/>
            <w:vAlign w:val="center"/>
          </w:tcPr>
          <w:p w14:paraId="65A1CA5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885" w:type="dxa"/>
            <w:tcBorders>
              <w:top w:val="nil"/>
              <w:left w:val="nil"/>
              <w:bottom w:val="single" w:color="auto" w:sz="4" w:space="0"/>
              <w:right w:val="single" w:color="auto" w:sz="4" w:space="0"/>
            </w:tcBorders>
            <w:noWrap w:val="0"/>
            <w:vAlign w:val="center"/>
          </w:tcPr>
          <w:p w14:paraId="3A46B203">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588986C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或,≥120000</w:t>
            </w:r>
          </w:p>
        </w:tc>
        <w:tc>
          <w:tcPr>
            <w:tcW w:w="1063" w:type="dxa"/>
            <w:tcBorders>
              <w:top w:val="nil"/>
              <w:left w:val="nil"/>
              <w:bottom w:val="single" w:color="auto" w:sz="4" w:space="0"/>
              <w:right w:val="single" w:color="auto" w:sz="4" w:space="0"/>
            </w:tcBorders>
            <w:noWrap w:val="0"/>
            <w:vAlign w:val="center"/>
          </w:tcPr>
          <w:p w14:paraId="7005FD60">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05" w:type="dxa"/>
            <w:tcBorders>
              <w:top w:val="nil"/>
              <w:left w:val="nil"/>
              <w:bottom w:val="single" w:color="auto" w:sz="4" w:space="0"/>
              <w:right w:val="single" w:color="auto" w:sz="4" w:space="0"/>
            </w:tcBorders>
            <w:noWrap w:val="0"/>
            <w:vAlign w:val="center"/>
          </w:tcPr>
          <w:p w14:paraId="562290D9">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46078944">
            <w:pPr>
              <w:widowControl/>
              <w:jc w:val="center"/>
              <w:rPr>
                <w:rFonts w:ascii="宋体" w:hAnsi="宋体" w:cs="宋体"/>
                <w:color w:val="auto"/>
                <w:kern w:val="0"/>
                <w:szCs w:val="21"/>
              </w:rPr>
            </w:pPr>
            <w:r>
              <w:rPr>
                <w:rFonts w:hint="eastAsia" w:ascii="宋体" w:hAnsi="宋体" w:cs="宋体"/>
                <w:color w:val="auto"/>
                <w:kern w:val="0"/>
                <w:szCs w:val="21"/>
              </w:rPr>
              <w:t>且,≥8000</w:t>
            </w:r>
          </w:p>
        </w:tc>
        <w:tc>
          <w:tcPr>
            <w:tcW w:w="1063" w:type="dxa"/>
            <w:tcBorders>
              <w:top w:val="nil"/>
              <w:left w:val="nil"/>
              <w:bottom w:val="single" w:color="auto" w:sz="4" w:space="0"/>
              <w:right w:val="single" w:color="auto" w:sz="4" w:space="0"/>
            </w:tcBorders>
            <w:noWrap w:val="0"/>
            <w:vAlign w:val="center"/>
          </w:tcPr>
          <w:p w14:paraId="3DBD2389">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21" w:type="dxa"/>
            <w:tcBorders>
              <w:top w:val="nil"/>
              <w:left w:val="nil"/>
              <w:bottom w:val="single" w:color="auto" w:sz="4" w:space="0"/>
              <w:right w:val="single" w:color="auto" w:sz="4" w:space="0"/>
            </w:tcBorders>
            <w:noWrap w:val="0"/>
            <w:vAlign w:val="center"/>
          </w:tcPr>
          <w:p w14:paraId="71CAD893">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458BA5CC">
            <w:pPr>
              <w:widowControl/>
              <w:jc w:val="center"/>
              <w:rPr>
                <w:rFonts w:ascii="宋体" w:hAnsi="宋体" w:cs="宋体"/>
                <w:color w:val="auto"/>
                <w:kern w:val="0"/>
                <w:szCs w:val="21"/>
              </w:rPr>
            </w:pPr>
            <w:r>
              <w:rPr>
                <w:rFonts w:hint="eastAsia" w:ascii="宋体" w:hAnsi="宋体" w:cs="宋体"/>
                <w:color w:val="auto"/>
                <w:kern w:val="0"/>
                <w:szCs w:val="21"/>
              </w:rPr>
              <w:t>且,≥100</w:t>
            </w:r>
          </w:p>
        </w:tc>
        <w:tc>
          <w:tcPr>
            <w:tcW w:w="1063" w:type="dxa"/>
            <w:tcBorders>
              <w:top w:val="nil"/>
              <w:left w:val="nil"/>
              <w:bottom w:val="single" w:color="auto" w:sz="4" w:space="0"/>
              <w:right w:val="single" w:color="auto" w:sz="4" w:space="0"/>
            </w:tcBorders>
            <w:noWrap w:val="0"/>
            <w:vAlign w:val="center"/>
          </w:tcPr>
          <w:p w14:paraId="52F8C31B">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846" w:type="dxa"/>
            <w:tcBorders>
              <w:top w:val="nil"/>
              <w:left w:val="nil"/>
              <w:bottom w:val="single" w:color="auto" w:sz="4" w:space="0"/>
              <w:right w:val="single" w:color="auto" w:sz="4" w:space="0"/>
            </w:tcBorders>
            <w:noWrap w:val="0"/>
            <w:vAlign w:val="center"/>
          </w:tcPr>
          <w:p w14:paraId="46E59354">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7C1925CF">
            <w:pPr>
              <w:widowControl/>
              <w:jc w:val="center"/>
              <w:rPr>
                <w:rFonts w:ascii="宋体" w:hAnsi="宋体" w:cs="宋体"/>
                <w:color w:val="auto"/>
                <w:kern w:val="0"/>
                <w:szCs w:val="21"/>
              </w:rPr>
            </w:pPr>
            <w:r>
              <w:rPr>
                <w:rFonts w:hint="eastAsia" w:ascii="宋体" w:hAnsi="宋体" w:cs="宋体"/>
                <w:color w:val="auto"/>
                <w:kern w:val="0"/>
                <w:szCs w:val="21"/>
              </w:rPr>
              <w:t>或,＜100</w:t>
            </w:r>
          </w:p>
        </w:tc>
      </w:tr>
      <w:tr w14:paraId="70731B1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084F133">
            <w:pPr>
              <w:widowControl/>
              <w:ind w:left="-107" w:leftChars="-51" w:right="-107" w:rightChars="-51"/>
              <w:jc w:val="center"/>
              <w:rPr>
                <w:rFonts w:ascii="宋体" w:hAnsi="宋体" w:cs="宋体"/>
                <w:b/>
                <w:color w:val="auto"/>
                <w:kern w:val="0"/>
                <w:szCs w:val="21"/>
              </w:rPr>
            </w:pPr>
            <w:r>
              <w:rPr>
                <w:rFonts w:hint="eastAsia" w:ascii="宋体" w:hAnsi="宋体" w:cs="宋体"/>
                <w:b/>
                <w:color w:val="auto"/>
                <w:kern w:val="0"/>
                <w:szCs w:val="21"/>
              </w:rPr>
              <w:t>16</w:t>
            </w:r>
          </w:p>
        </w:tc>
        <w:tc>
          <w:tcPr>
            <w:tcW w:w="1872" w:type="dxa"/>
            <w:tcBorders>
              <w:top w:val="nil"/>
              <w:left w:val="nil"/>
              <w:bottom w:val="single" w:color="auto" w:sz="4" w:space="0"/>
              <w:right w:val="single" w:color="auto" w:sz="4" w:space="0"/>
            </w:tcBorders>
            <w:noWrap w:val="0"/>
            <w:vAlign w:val="center"/>
          </w:tcPr>
          <w:p w14:paraId="034F12AB">
            <w:pPr>
              <w:ind w:left="-27" w:leftChars="-13" w:right="-65" w:rightChars="-31"/>
              <w:jc w:val="left"/>
              <w:rPr>
                <w:rFonts w:ascii="宋体" w:hAnsi="宋体" w:cs="宋体"/>
                <w:b/>
                <w:color w:val="auto"/>
                <w:kern w:val="0"/>
                <w:szCs w:val="21"/>
              </w:rPr>
            </w:pPr>
            <w:r>
              <w:rPr>
                <w:rFonts w:hint="eastAsia" w:ascii="宋体" w:hAnsi="宋体" w:cs="宋体"/>
                <w:b/>
                <w:color w:val="auto"/>
                <w:kern w:val="0"/>
                <w:szCs w:val="21"/>
              </w:rPr>
              <w:t>其他未列明行业</w:t>
            </w:r>
          </w:p>
        </w:tc>
        <w:tc>
          <w:tcPr>
            <w:tcW w:w="1149" w:type="dxa"/>
            <w:tcBorders>
              <w:top w:val="nil"/>
              <w:left w:val="nil"/>
              <w:bottom w:val="single" w:color="auto" w:sz="4" w:space="0"/>
              <w:right w:val="single" w:color="auto" w:sz="4" w:space="0"/>
            </w:tcBorders>
            <w:noWrap w:val="0"/>
            <w:vAlign w:val="center"/>
          </w:tcPr>
          <w:p w14:paraId="135A1214">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885" w:type="dxa"/>
            <w:tcBorders>
              <w:top w:val="nil"/>
              <w:left w:val="nil"/>
              <w:bottom w:val="single" w:color="auto" w:sz="4" w:space="0"/>
              <w:right w:val="single" w:color="auto" w:sz="4" w:space="0"/>
            </w:tcBorders>
            <w:noWrap w:val="0"/>
            <w:vAlign w:val="center"/>
          </w:tcPr>
          <w:p w14:paraId="055230DB">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≥300</w:t>
            </w:r>
          </w:p>
        </w:tc>
        <w:tc>
          <w:tcPr>
            <w:tcW w:w="902" w:type="dxa"/>
            <w:tcBorders>
              <w:top w:val="nil"/>
              <w:left w:val="nil"/>
              <w:bottom w:val="single" w:color="auto" w:sz="4" w:space="0"/>
              <w:right w:val="single" w:color="auto" w:sz="4" w:space="0"/>
            </w:tcBorders>
            <w:noWrap w:val="0"/>
            <w:vAlign w:val="center"/>
          </w:tcPr>
          <w:p w14:paraId="15CD082D">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6A4B7B70">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　</w:t>
            </w:r>
          </w:p>
        </w:tc>
        <w:tc>
          <w:tcPr>
            <w:tcW w:w="905" w:type="dxa"/>
            <w:tcBorders>
              <w:top w:val="nil"/>
              <w:left w:val="nil"/>
              <w:bottom w:val="single" w:color="auto" w:sz="4" w:space="0"/>
              <w:right w:val="single" w:color="auto" w:sz="4" w:space="0"/>
            </w:tcBorders>
            <w:noWrap w:val="0"/>
            <w:vAlign w:val="center"/>
          </w:tcPr>
          <w:p w14:paraId="2A65D6DB">
            <w:pPr>
              <w:widowControl/>
              <w:ind w:left="-107" w:leftChars="-51" w:right="-107" w:rightChars="-51"/>
              <w:jc w:val="center"/>
              <w:rPr>
                <w:rFonts w:ascii="宋体" w:hAnsi="宋体" w:cs="宋体"/>
                <w:color w:val="auto"/>
                <w:kern w:val="0"/>
                <w:szCs w:val="21"/>
              </w:rPr>
            </w:pPr>
            <w:r>
              <w:rPr>
                <w:rFonts w:hint="eastAsia" w:ascii="宋体" w:hAnsi="宋体" w:cs="宋体"/>
                <w:color w:val="auto"/>
                <w:kern w:val="0"/>
                <w:szCs w:val="21"/>
              </w:rPr>
              <w:t>≥100</w:t>
            </w:r>
          </w:p>
        </w:tc>
        <w:tc>
          <w:tcPr>
            <w:tcW w:w="957" w:type="dxa"/>
            <w:tcBorders>
              <w:top w:val="nil"/>
              <w:left w:val="nil"/>
              <w:bottom w:val="single" w:color="auto" w:sz="4" w:space="0"/>
              <w:right w:val="single" w:color="auto" w:sz="4" w:space="0"/>
            </w:tcBorders>
            <w:noWrap w:val="0"/>
            <w:vAlign w:val="center"/>
          </w:tcPr>
          <w:p w14:paraId="6E70AB62">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293E0DA3">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921" w:type="dxa"/>
            <w:tcBorders>
              <w:top w:val="nil"/>
              <w:left w:val="nil"/>
              <w:bottom w:val="single" w:color="auto" w:sz="4" w:space="0"/>
              <w:right w:val="single" w:color="auto" w:sz="4" w:space="0"/>
            </w:tcBorders>
            <w:noWrap w:val="0"/>
            <w:vAlign w:val="center"/>
          </w:tcPr>
          <w:p w14:paraId="1C5B78C8">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963" w:type="dxa"/>
            <w:tcBorders>
              <w:top w:val="nil"/>
              <w:left w:val="nil"/>
              <w:bottom w:val="single" w:color="auto" w:sz="4" w:space="0"/>
              <w:right w:val="single" w:color="auto" w:sz="4" w:space="0"/>
            </w:tcBorders>
            <w:noWrap w:val="0"/>
            <w:vAlign w:val="center"/>
          </w:tcPr>
          <w:p w14:paraId="4D794D25">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1063" w:type="dxa"/>
            <w:tcBorders>
              <w:top w:val="nil"/>
              <w:left w:val="nil"/>
              <w:bottom w:val="single" w:color="auto" w:sz="4" w:space="0"/>
              <w:right w:val="single" w:color="auto" w:sz="4" w:space="0"/>
            </w:tcBorders>
            <w:noWrap w:val="0"/>
            <w:vAlign w:val="center"/>
          </w:tcPr>
          <w:p w14:paraId="08113D2F">
            <w:pPr>
              <w:widowControl/>
              <w:jc w:val="center"/>
              <w:rPr>
                <w:rFonts w:ascii="宋体" w:hAnsi="宋体" w:cs="宋体"/>
                <w:color w:val="auto"/>
                <w:kern w:val="0"/>
                <w:szCs w:val="21"/>
              </w:rPr>
            </w:pPr>
            <w:r>
              <w:rPr>
                <w:rFonts w:hint="eastAsia" w:ascii="宋体" w:hAnsi="宋体" w:cs="宋体"/>
                <w:color w:val="auto"/>
                <w:kern w:val="0"/>
                <w:szCs w:val="21"/>
              </w:rPr>
              <w:t>　</w:t>
            </w:r>
          </w:p>
        </w:tc>
        <w:tc>
          <w:tcPr>
            <w:tcW w:w="846" w:type="dxa"/>
            <w:tcBorders>
              <w:top w:val="nil"/>
              <w:left w:val="nil"/>
              <w:bottom w:val="single" w:color="auto" w:sz="4" w:space="0"/>
              <w:right w:val="single" w:color="auto" w:sz="4" w:space="0"/>
            </w:tcBorders>
            <w:noWrap w:val="0"/>
            <w:vAlign w:val="center"/>
          </w:tcPr>
          <w:p w14:paraId="43257070">
            <w:pPr>
              <w:widowControl/>
              <w:jc w:val="center"/>
              <w:rPr>
                <w:rFonts w:ascii="宋体" w:hAnsi="宋体" w:cs="宋体"/>
                <w:color w:val="auto"/>
                <w:kern w:val="0"/>
                <w:szCs w:val="21"/>
              </w:rPr>
            </w:pPr>
            <w:r>
              <w:rPr>
                <w:rFonts w:hint="eastAsia" w:ascii="宋体" w:hAnsi="宋体" w:cs="宋体"/>
                <w:color w:val="auto"/>
                <w:kern w:val="0"/>
                <w:szCs w:val="21"/>
              </w:rPr>
              <w:t>＜10</w:t>
            </w:r>
          </w:p>
        </w:tc>
        <w:tc>
          <w:tcPr>
            <w:tcW w:w="816" w:type="dxa"/>
            <w:tcBorders>
              <w:top w:val="nil"/>
              <w:left w:val="nil"/>
              <w:bottom w:val="single" w:color="auto" w:sz="4" w:space="0"/>
              <w:right w:val="single" w:color="auto" w:sz="4" w:space="0"/>
            </w:tcBorders>
            <w:noWrap w:val="0"/>
            <w:vAlign w:val="center"/>
          </w:tcPr>
          <w:p w14:paraId="2CDDE693">
            <w:pPr>
              <w:widowControl/>
              <w:jc w:val="center"/>
              <w:rPr>
                <w:rFonts w:ascii="宋体" w:hAnsi="宋体" w:cs="宋体"/>
                <w:color w:val="auto"/>
                <w:kern w:val="0"/>
                <w:szCs w:val="21"/>
              </w:rPr>
            </w:pPr>
            <w:r>
              <w:rPr>
                <w:rFonts w:hint="eastAsia" w:ascii="宋体" w:hAnsi="宋体" w:cs="宋体"/>
                <w:color w:val="auto"/>
                <w:kern w:val="0"/>
                <w:szCs w:val="21"/>
              </w:rPr>
              <w:t>　</w:t>
            </w:r>
          </w:p>
        </w:tc>
      </w:tr>
    </w:tbl>
    <w:p w14:paraId="7493F2E6">
      <w:pPr>
        <w:pStyle w:val="15"/>
        <w:rPr>
          <w:rFonts w:asciiTheme="minorEastAsia" w:hAnsiTheme="minorEastAsia" w:eastAsiaTheme="minorEastAsia" w:cstheme="minorEastAsia"/>
          <w:color w:val="auto"/>
        </w:rPr>
      </w:pPr>
    </w:p>
    <w:sectPr>
      <w:pgSz w:w="16840" w:h="11907" w:orient="landscape"/>
      <w:pgMar w:top="1531" w:right="1418" w:bottom="1134"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华文行楷">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小标宋简体">
    <w:altName w:val="微软雅黑"/>
    <w:panose1 w:val="00000000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3B1F0">
    <w:pPr>
      <w:pStyle w:val="12"/>
    </w:pPr>
    <w:r>
      <w:pict>
        <v:shape id="文本框 3" o:spid="_x0000_s4098" o:spt="202" type="#_x0000_t202" style="position:absolute;left:0pt;margin-top:0pt;height:144pt;width:144pt;mso-position-horizontal:center;mso-position-horizontal-relative:margin;mso-wrap-style:none;z-index:251660288;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">
          <v:path/>
          <v:fill on="f" focussize="0,0"/>
          <v:stroke on="f" weight="0.5pt" joinstyle="miter"/>
          <v:imagedata o:title=""/>
          <o:lock v:ext="edit"/>
          <v:textbox inset="0mm,0mm,0mm,0mm" style="mso-fit-shape-to-text:t;">
            <w:txbxContent>
              <w:p w14:paraId="79E0467E">
                <w:pPr>
                  <w:pStyle w:val="12"/>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EB95A">
    <w:pPr>
      <w:pStyle w:val="12"/>
    </w:pPr>
    <w:r>
      <w:pict>
        <v:shape id="文本框 4"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">
          <v:path/>
          <v:fill on="f" focussize="0,0"/>
          <v:stroke on="f" joinstyle="miter"/>
          <v:imagedata o:title=""/>
          <o:lock v:ext="edit"/>
          <v:textbox inset="0mm,0mm,0mm,0mm" style="mso-fit-shape-to-text:t;">
            <w:txbxContent>
              <w:p w14:paraId="3E2860B3">
                <w:pPr>
                  <w:snapToGrid w:val="0"/>
                  <w:rPr>
                    <w:rFonts w:cs="Times New Roman"/>
                    <w:sz w:val="18"/>
                    <w:szCs w:val="18"/>
                  </w:rPr>
                </w:pPr>
                <w:r>
                  <w:fldChar w:fldCharType="begin"/>
                </w:r>
                <w:r>
                  <w:instrText xml:space="preserve"> PAGE  \* MERGEFORMAT </w:instrText>
                </w:r>
                <w:r>
                  <w:fldChar w:fldCharType="separate"/>
                </w:r>
                <w:r>
                  <w:t>1</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E8807">
    <w:pPr>
      <w:pStyle w:val="13"/>
      <w:pBdr>
        <w:bottom w:val="none" w:color="auto" w:sz="0" w:space="0"/>
      </w:pBdr>
      <w:rPr>
        <w:rFonts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54BE6C"/>
    <w:multiLevelType w:val="singleLevel"/>
    <w:tmpl w:val="EC54BE6C"/>
    <w:lvl w:ilvl="0" w:tentative="0">
      <w:start w:val="1"/>
      <w:numFmt w:val="decimal"/>
      <w:suff w:val="nothing"/>
      <w:lvlText w:val="%1）"/>
      <w:lvlJc w:val="left"/>
    </w:lvl>
  </w:abstractNum>
  <w:abstractNum w:abstractNumId="1">
    <w:nsid w:val="FAA4B8C0"/>
    <w:multiLevelType w:val="singleLevel"/>
    <w:tmpl w:val="FAA4B8C0"/>
    <w:lvl w:ilvl="0" w:tentative="0">
      <w:start w:val="4"/>
      <w:numFmt w:val="decimal"/>
      <w:suff w:val="space"/>
      <w:lvlText w:val="%1."/>
      <w:lvlJc w:val="left"/>
    </w:lvl>
  </w:abstractNum>
  <w:abstractNum w:abstractNumId="2">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248C4F9B"/>
    <w:multiLevelType w:val="multilevel"/>
    <w:tmpl w:val="248C4F9B"/>
    <w:lvl w:ilvl="0" w:tentative="0">
      <w:start w:val="18"/>
      <w:numFmt w:val="decimal"/>
      <w:lvlText w:val="%1"/>
      <w:lvlJc w:val="left"/>
      <w:pPr>
        <w:tabs>
          <w:tab w:val="left" w:pos="420"/>
        </w:tabs>
        <w:ind w:left="420" w:hanging="420"/>
      </w:pPr>
      <w:rPr>
        <w:rFonts w:hint="default"/>
      </w:rPr>
    </w:lvl>
    <w:lvl w:ilvl="1" w:tentative="0">
      <w:start w:val="2"/>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4">
    <w:nsid w:val="2A1B7B18"/>
    <w:multiLevelType w:val="multilevel"/>
    <w:tmpl w:val="2A1B7B18"/>
    <w:lvl w:ilvl="0" w:tentative="0">
      <w:start w:val="18"/>
      <w:numFmt w:val="decimal"/>
      <w:lvlText w:val="%1"/>
      <w:lvlJc w:val="left"/>
      <w:pPr>
        <w:tabs>
          <w:tab w:val="left" w:pos="420"/>
        </w:tabs>
        <w:ind w:left="420" w:hanging="420"/>
      </w:pPr>
      <w:rPr>
        <w:rFonts w:hint="default"/>
        <w:color w:val="auto"/>
      </w:rPr>
    </w:lvl>
    <w:lvl w:ilvl="1" w:tentative="0">
      <w:start w:val="3"/>
      <w:numFmt w:val="decimal"/>
      <w:lvlText w:val="%1.%2"/>
      <w:lvlJc w:val="left"/>
      <w:pPr>
        <w:tabs>
          <w:tab w:val="left" w:pos="420"/>
        </w:tabs>
        <w:ind w:left="420" w:hanging="420"/>
      </w:pPr>
      <w:rPr>
        <w:rFonts w:hint="default"/>
        <w:color w:val="auto"/>
      </w:rPr>
    </w:lvl>
    <w:lvl w:ilvl="2" w:tentative="0">
      <w:start w:val="1"/>
      <w:numFmt w:val="decimal"/>
      <w:lvlText w:val="%1.%2.%3"/>
      <w:lvlJc w:val="left"/>
      <w:pPr>
        <w:tabs>
          <w:tab w:val="left" w:pos="720"/>
        </w:tabs>
        <w:ind w:left="720" w:hanging="720"/>
      </w:pPr>
      <w:rPr>
        <w:rFonts w:hint="default"/>
        <w:color w:val="auto"/>
      </w:rPr>
    </w:lvl>
    <w:lvl w:ilvl="3" w:tentative="0">
      <w:start w:val="1"/>
      <w:numFmt w:val="decimal"/>
      <w:lvlText w:val="%1.%2.%3.%4"/>
      <w:lvlJc w:val="left"/>
      <w:pPr>
        <w:tabs>
          <w:tab w:val="left" w:pos="1080"/>
        </w:tabs>
        <w:ind w:left="1080" w:hanging="1080"/>
      </w:pPr>
      <w:rPr>
        <w:rFonts w:hint="default"/>
        <w:color w:val="auto"/>
      </w:rPr>
    </w:lvl>
    <w:lvl w:ilvl="4" w:tentative="0">
      <w:start w:val="1"/>
      <w:numFmt w:val="decimal"/>
      <w:lvlText w:val="%1.%2.%3.%4.%5"/>
      <w:lvlJc w:val="left"/>
      <w:pPr>
        <w:tabs>
          <w:tab w:val="left" w:pos="1080"/>
        </w:tabs>
        <w:ind w:left="1080" w:hanging="1080"/>
      </w:pPr>
      <w:rPr>
        <w:rFonts w:hint="default"/>
        <w:color w:val="auto"/>
      </w:rPr>
    </w:lvl>
    <w:lvl w:ilvl="5" w:tentative="0">
      <w:start w:val="1"/>
      <w:numFmt w:val="decimal"/>
      <w:lvlText w:val="%1.%2.%3.%4.%5.%6"/>
      <w:lvlJc w:val="left"/>
      <w:pPr>
        <w:tabs>
          <w:tab w:val="left" w:pos="1440"/>
        </w:tabs>
        <w:ind w:left="1440" w:hanging="1440"/>
      </w:pPr>
      <w:rPr>
        <w:rFonts w:hint="default"/>
        <w:color w:val="auto"/>
      </w:rPr>
    </w:lvl>
    <w:lvl w:ilvl="6" w:tentative="0">
      <w:start w:val="1"/>
      <w:numFmt w:val="decimal"/>
      <w:lvlText w:val="%1.%2.%3.%4.%5.%6.%7"/>
      <w:lvlJc w:val="left"/>
      <w:pPr>
        <w:tabs>
          <w:tab w:val="left" w:pos="1440"/>
        </w:tabs>
        <w:ind w:left="1440" w:hanging="1440"/>
      </w:pPr>
      <w:rPr>
        <w:rFonts w:hint="default"/>
        <w:color w:val="auto"/>
      </w:rPr>
    </w:lvl>
    <w:lvl w:ilvl="7" w:tentative="0">
      <w:start w:val="1"/>
      <w:numFmt w:val="decimal"/>
      <w:lvlText w:val="%1.%2.%3.%4.%5.%6.%7.%8"/>
      <w:lvlJc w:val="left"/>
      <w:pPr>
        <w:tabs>
          <w:tab w:val="left" w:pos="1800"/>
        </w:tabs>
        <w:ind w:left="1800" w:hanging="1800"/>
      </w:pPr>
      <w:rPr>
        <w:rFonts w:hint="default"/>
        <w:color w:val="auto"/>
      </w:rPr>
    </w:lvl>
    <w:lvl w:ilvl="8" w:tentative="0">
      <w:start w:val="1"/>
      <w:numFmt w:val="decimal"/>
      <w:lvlText w:val="%1.%2.%3.%4.%5.%6.%7.%8.%9"/>
      <w:lvlJc w:val="left"/>
      <w:pPr>
        <w:tabs>
          <w:tab w:val="left" w:pos="1800"/>
        </w:tabs>
        <w:ind w:left="1800" w:hanging="1800"/>
      </w:pPr>
      <w:rPr>
        <w:rFonts w:hint="default"/>
        <w:color w:val="auto"/>
      </w:rPr>
    </w:lvl>
  </w:abstractNum>
  <w:abstractNum w:abstractNumId="5">
    <w:nsid w:val="334C2CAE"/>
    <w:multiLevelType w:val="multilevel"/>
    <w:tmpl w:val="334C2CAE"/>
    <w:lvl w:ilvl="0" w:tentative="0">
      <w:start w:val="14"/>
      <w:numFmt w:val="decimal"/>
      <w:lvlText w:val="%1"/>
      <w:lvlJc w:val="left"/>
      <w:pPr>
        <w:tabs>
          <w:tab w:val="left" w:pos="420"/>
        </w:tabs>
        <w:ind w:left="420" w:hanging="420"/>
      </w:pPr>
      <w:rPr>
        <w:rFonts w:hint="default"/>
      </w:rPr>
    </w:lvl>
    <w:lvl w:ilvl="1" w:tentative="0">
      <w:start w:val="1"/>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6">
    <w:nsid w:val="3E0D3F70"/>
    <w:multiLevelType w:val="multilevel"/>
    <w:tmpl w:val="3E0D3F70"/>
    <w:lvl w:ilvl="0" w:tentative="0">
      <w:start w:val="29"/>
      <w:numFmt w:val="decimal"/>
      <w:lvlText w:val="%1"/>
      <w:lvlJc w:val="left"/>
      <w:pPr>
        <w:tabs>
          <w:tab w:val="left" w:pos="420"/>
        </w:tabs>
        <w:ind w:left="420" w:hanging="420"/>
      </w:pPr>
      <w:rPr>
        <w:rFonts w:hint="default"/>
      </w:rPr>
    </w:lvl>
    <w:lvl w:ilvl="1" w:tentative="0">
      <w:start w:val="3"/>
      <w:numFmt w:val="decimal"/>
      <w:lvlText w:val="%1.%2"/>
      <w:lvlJc w:val="left"/>
      <w:pPr>
        <w:tabs>
          <w:tab w:val="left" w:pos="420"/>
        </w:tabs>
        <w:ind w:left="420" w:hanging="42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465C7B7C"/>
    <w:multiLevelType w:val="multilevel"/>
    <w:tmpl w:val="465C7B7C"/>
    <w:lvl w:ilvl="0" w:tentative="0">
      <w:start w:val="1"/>
      <w:numFmt w:val="decimal"/>
      <w:lvlText w:val="%1）"/>
      <w:lvlJc w:val="left"/>
      <w:pPr>
        <w:tabs>
          <w:tab w:val="left" w:pos="851"/>
        </w:tabs>
        <w:ind w:left="851" w:hanging="454"/>
      </w:pPr>
      <w:rPr>
        <w:rFonts w:hint="default"/>
      </w:rPr>
    </w:lvl>
    <w:lvl w:ilvl="1" w:tentative="0">
      <w:start w:val="1"/>
      <w:numFmt w:val="decimal"/>
      <w:lvlText w:val="%2."/>
      <w:lvlJc w:val="left"/>
      <w:pPr>
        <w:tabs>
          <w:tab w:val="left" w:pos="780"/>
        </w:tabs>
        <w:ind w:left="780" w:hanging="360"/>
      </w:pPr>
      <w:rPr>
        <w:rFonts w:hint="default"/>
      </w:rPr>
    </w:lvl>
    <w:lvl w:ilvl="2" w:tentative="0">
      <w:start w:val="3"/>
      <w:numFmt w:val="japaneseCounting"/>
      <w:lvlText w:val="第%3篇"/>
      <w:lvlJc w:val="left"/>
      <w:pPr>
        <w:tabs>
          <w:tab w:val="left" w:pos="2115"/>
        </w:tabs>
        <w:ind w:left="2115" w:hanging="1275"/>
      </w:pPr>
      <w:rPr>
        <w:rFonts w:hint="default"/>
      </w:rPr>
    </w:lvl>
    <w:lvl w:ilvl="3" w:tentative="0">
      <w:start w:val="1"/>
      <w:numFmt w:val="decimal"/>
      <w:lvlText w:val="%4）"/>
      <w:lvlJc w:val="left"/>
      <w:pPr>
        <w:tabs>
          <w:tab w:val="left" w:pos="851"/>
        </w:tabs>
        <w:ind w:left="851" w:hanging="567"/>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4F7158E5"/>
    <w:multiLevelType w:val="singleLevel"/>
    <w:tmpl w:val="4F7158E5"/>
    <w:lvl w:ilvl="0" w:tentative="0">
      <w:start w:val="1"/>
      <w:numFmt w:val="chineseCountingThousand"/>
      <w:lvlText w:val="第%1篇"/>
      <w:lvlJc w:val="left"/>
      <w:pPr>
        <w:tabs>
          <w:tab w:val="left" w:pos="855"/>
        </w:tabs>
        <w:ind w:left="855" w:hanging="855"/>
      </w:pPr>
      <w:rPr>
        <w:rFonts w:hint="default"/>
      </w:rPr>
    </w:lvl>
  </w:abstractNum>
  <w:abstractNum w:abstractNumId="9">
    <w:nsid w:val="524C6C15"/>
    <w:multiLevelType w:val="multilevel"/>
    <w:tmpl w:val="524C6C15"/>
    <w:lvl w:ilvl="0" w:tentative="0">
      <w:start w:val="1"/>
      <w:numFmt w:val="decimal"/>
      <w:lvlText w:val="%1）"/>
      <w:lvlJc w:val="left"/>
      <w:pPr>
        <w:tabs>
          <w:tab w:val="left" w:pos="851"/>
        </w:tabs>
        <w:ind w:left="851" w:hanging="454"/>
      </w:pPr>
      <w:rPr>
        <w:rFonts w:hint="default"/>
        <w:b w:val="0"/>
        <w:bCs w:val="0"/>
        <w:i w:val="0"/>
        <w:iCs w:val="0"/>
        <w:sz w:val="21"/>
        <w:szCs w:val="21"/>
      </w:rPr>
    </w:lvl>
    <w:lvl w:ilvl="1" w:tentative="0">
      <w:start w:val="10"/>
      <w:numFmt w:val="japaneseCounting"/>
      <w:lvlText w:val="第%2篇"/>
      <w:lvlJc w:val="left"/>
      <w:pPr>
        <w:tabs>
          <w:tab w:val="left" w:pos="1500"/>
        </w:tabs>
        <w:ind w:left="1500" w:hanging="1080"/>
      </w:pPr>
      <w:rPr>
        <w:rFonts w:hint="eastAsia"/>
        <w:color w:val="000000"/>
      </w:rPr>
    </w:lvl>
    <w:lvl w:ilvl="2" w:tentative="0">
      <w:start w:val="2"/>
      <w:numFmt w:val="decimal"/>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54C2EADB"/>
    <w:multiLevelType w:val="singleLevel"/>
    <w:tmpl w:val="54C2EADB"/>
    <w:lvl w:ilvl="0" w:tentative="0">
      <w:start w:val="8"/>
      <w:numFmt w:val="decimal"/>
      <w:lvlText w:val="%1."/>
      <w:lvlJc w:val="left"/>
      <w:pPr>
        <w:tabs>
          <w:tab w:val="left" w:pos="312"/>
        </w:tabs>
      </w:pPr>
    </w:lvl>
  </w:abstractNum>
  <w:abstractNum w:abstractNumId="11">
    <w:nsid w:val="5A28E833"/>
    <w:multiLevelType w:val="singleLevel"/>
    <w:tmpl w:val="5A28E833"/>
    <w:lvl w:ilvl="0" w:tentative="0">
      <w:start w:val="8"/>
      <w:numFmt w:val="chineseCounting"/>
      <w:suff w:val="space"/>
      <w:lvlText w:val="第%1篇"/>
      <w:lvlJc w:val="left"/>
      <w:pPr>
        <w:ind w:left="2730" w:firstLine="0"/>
      </w:pPr>
    </w:lvl>
  </w:abstractNum>
  <w:abstractNum w:abstractNumId="12">
    <w:nsid w:val="5A29B59B"/>
    <w:multiLevelType w:val="singleLevel"/>
    <w:tmpl w:val="5A29B59B"/>
    <w:lvl w:ilvl="0" w:tentative="0">
      <w:start w:val="1"/>
      <w:numFmt w:val="decimal"/>
      <w:suff w:val="nothing"/>
      <w:lvlText w:val="%1 "/>
      <w:lvlJc w:val="left"/>
    </w:lvl>
  </w:abstractNum>
  <w:abstractNum w:abstractNumId="13">
    <w:nsid w:val="5A29B638"/>
    <w:multiLevelType w:val="singleLevel"/>
    <w:tmpl w:val="5A29B638"/>
    <w:lvl w:ilvl="0" w:tentative="0">
      <w:start w:val="7"/>
      <w:numFmt w:val="decimal"/>
      <w:suff w:val="nothing"/>
      <w:lvlText w:val="%1 "/>
      <w:lvlJc w:val="left"/>
    </w:lvl>
  </w:abstractNum>
  <w:abstractNum w:abstractNumId="14">
    <w:nsid w:val="5A29C7C8"/>
    <w:multiLevelType w:val="singleLevel"/>
    <w:tmpl w:val="5A29C7C8"/>
    <w:lvl w:ilvl="0" w:tentative="0">
      <w:start w:val="28"/>
      <w:numFmt w:val="decimal"/>
      <w:suff w:val="nothing"/>
      <w:lvlText w:val="%1 "/>
      <w:lvlJc w:val="left"/>
    </w:lvl>
  </w:abstractNum>
  <w:abstractNum w:abstractNumId="15">
    <w:nsid w:val="5DDC1E03"/>
    <w:multiLevelType w:val="singleLevel"/>
    <w:tmpl w:val="5DDC1E03"/>
    <w:lvl w:ilvl="0" w:tentative="0">
      <w:start w:val="1"/>
      <w:numFmt w:val="decimal"/>
      <w:lvlText w:val="%1）"/>
      <w:lvlJc w:val="left"/>
      <w:pPr>
        <w:tabs>
          <w:tab w:val="left" w:pos="851"/>
        </w:tabs>
        <w:ind w:left="851" w:hanging="454"/>
      </w:pPr>
      <w:rPr>
        <w:rFonts w:hint="default"/>
      </w:rPr>
    </w:lvl>
  </w:abstractNum>
  <w:abstractNum w:abstractNumId="16">
    <w:nsid w:val="5EF77D17"/>
    <w:multiLevelType w:val="multilevel"/>
    <w:tmpl w:val="5EF77D17"/>
    <w:lvl w:ilvl="0" w:tentative="0">
      <w:start w:val="1"/>
      <w:numFmt w:val="decimal"/>
      <w:lvlText w:val="%1)"/>
      <w:lvlJc w:val="left"/>
      <w:pPr>
        <w:tabs>
          <w:tab w:val="left" w:pos="851"/>
        </w:tabs>
        <w:ind w:left="851" w:hanging="454"/>
      </w:pPr>
      <w:rPr>
        <w:rFonts w:hint="default" w:ascii="Arial" w:hAnsi="Arial" w:cs="Arial"/>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6A673D2C"/>
    <w:multiLevelType w:val="multilevel"/>
    <w:tmpl w:val="6A673D2C"/>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8">
    <w:nsid w:val="705A6EF5"/>
    <w:multiLevelType w:val="multilevel"/>
    <w:tmpl w:val="705A6EF5"/>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78884A7C"/>
    <w:multiLevelType w:val="singleLevel"/>
    <w:tmpl w:val="78884A7C"/>
    <w:lvl w:ilvl="0" w:tentative="0">
      <w:start w:val="1"/>
      <w:numFmt w:val="decimal"/>
      <w:lvlText w:val="（%1）"/>
      <w:lvlJc w:val="left"/>
      <w:pPr>
        <w:tabs>
          <w:tab w:val="left" w:pos="525"/>
        </w:tabs>
        <w:ind w:left="525" w:hanging="525"/>
      </w:pPr>
      <w:rPr>
        <w:rFonts w:hint="eastAsia"/>
      </w:rPr>
    </w:lvl>
  </w:abstractNum>
  <w:num w:numId="1">
    <w:abstractNumId w:val="8"/>
  </w:num>
  <w:num w:numId="2">
    <w:abstractNumId w:val="12"/>
  </w:num>
  <w:num w:numId="3">
    <w:abstractNumId w:val="13"/>
  </w:num>
  <w:num w:numId="4">
    <w:abstractNumId w:val="0"/>
  </w:num>
  <w:num w:numId="5">
    <w:abstractNumId w:val="16"/>
  </w:num>
  <w:num w:numId="6">
    <w:abstractNumId w:val="3"/>
  </w:num>
  <w:num w:numId="7">
    <w:abstractNumId w:val="7"/>
  </w:num>
  <w:num w:numId="8">
    <w:abstractNumId w:val="4"/>
  </w:num>
  <w:num w:numId="9">
    <w:abstractNumId w:val="19"/>
  </w:num>
  <w:num w:numId="10">
    <w:abstractNumId w:val="14"/>
  </w:num>
  <w:num w:numId="11">
    <w:abstractNumId w:val="6"/>
  </w:num>
  <w:num w:numId="12">
    <w:abstractNumId w:val="17"/>
  </w:num>
  <w:num w:numId="13">
    <w:abstractNumId w:val="1"/>
  </w:num>
  <w:num w:numId="14">
    <w:abstractNumId w:val="5"/>
  </w:num>
  <w:num w:numId="15">
    <w:abstractNumId w:val="2"/>
  </w:num>
  <w:num w:numId="16">
    <w:abstractNumId w:val="15"/>
  </w:num>
  <w:num w:numId="17">
    <w:abstractNumId w:val="11"/>
  </w:num>
  <w:num w:numId="18">
    <w:abstractNumId w:val="18"/>
  </w:num>
  <w:num w:numId="19">
    <w:abstractNumId w:val="9"/>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NotTrackMoves/>
  <w:documentProtection w:enforcement="0"/>
  <w:defaultTabStop w:val="42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4"/>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2"/>
  </w:compat>
  <w:docVars>
    <w:docVar w:name="commondata" w:val="eyJoZGlkIjoiMDNmODI4YWIwZjkzZTI5ZThlOWRkNjU2Njk0YjEyMDAifQ=="/>
  </w:docVars>
  <w:rsids>
    <w:rsidRoot w:val="00E4180D"/>
    <w:rsid w:val="00062A73"/>
    <w:rsid w:val="00087DDB"/>
    <w:rsid w:val="000B693B"/>
    <w:rsid w:val="000F01CC"/>
    <w:rsid w:val="00180589"/>
    <w:rsid w:val="00194EC5"/>
    <w:rsid w:val="001A2968"/>
    <w:rsid w:val="001B35FF"/>
    <w:rsid w:val="001D323A"/>
    <w:rsid w:val="001D3E77"/>
    <w:rsid w:val="00230FC9"/>
    <w:rsid w:val="002514B2"/>
    <w:rsid w:val="00280093"/>
    <w:rsid w:val="00294959"/>
    <w:rsid w:val="002D6101"/>
    <w:rsid w:val="00351547"/>
    <w:rsid w:val="00372EE6"/>
    <w:rsid w:val="003B4CE6"/>
    <w:rsid w:val="004164DD"/>
    <w:rsid w:val="00452B67"/>
    <w:rsid w:val="0046375D"/>
    <w:rsid w:val="004A223E"/>
    <w:rsid w:val="00526ACA"/>
    <w:rsid w:val="00535CB0"/>
    <w:rsid w:val="00572BF0"/>
    <w:rsid w:val="005A4514"/>
    <w:rsid w:val="00622533"/>
    <w:rsid w:val="006A26EF"/>
    <w:rsid w:val="0075371F"/>
    <w:rsid w:val="007F2F93"/>
    <w:rsid w:val="008368B8"/>
    <w:rsid w:val="0084641E"/>
    <w:rsid w:val="00874589"/>
    <w:rsid w:val="008C403B"/>
    <w:rsid w:val="008E0C60"/>
    <w:rsid w:val="008E55AD"/>
    <w:rsid w:val="008E656D"/>
    <w:rsid w:val="008F183C"/>
    <w:rsid w:val="009631D9"/>
    <w:rsid w:val="0099135D"/>
    <w:rsid w:val="009962BF"/>
    <w:rsid w:val="009B3CC5"/>
    <w:rsid w:val="009F3F20"/>
    <w:rsid w:val="00A3467B"/>
    <w:rsid w:val="00A3733A"/>
    <w:rsid w:val="00A76C09"/>
    <w:rsid w:val="00AC79C2"/>
    <w:rsid w:val="00B12245"/>
    <w:rsid w:val="00B76BD0"/>
    <w:rsid w:val="00BC066C"/>
    <w:rsid w:val="00C06161"/>
    <w:rsid w:val="00C75F08"/>
    <w:rsid w:val="00CB25B1"/>
    <w:rsid w:val="00CD0A9F"/>
    <w:rsid w:val="00D23237"/>
    <w:rsid w:val="00D23EC9"/>
    <w:rsid w:val="00E2108F"/>
    <w:rsid w:val="00E4180D"/>
    <w:rsid w:val="00E715AB"/>
    <w:rsid w:val="00E800BE"/>
    <w:rsid w:val="00E92998"/>
    <w:rsid w:val="00F00F8D"/>
    <w:rsid w:val="00F042B8"/>
    <w:rsid w:val="00FC2C15"/>
    <w:rsid w:val="00FC7435"/>
    <w:rsid w:val="01057174"/>
    <w:rsid w:val="01080A12"/>
    <w:rsid w:val="012D66CB"/>
    <w:rsid w:val="01352EB6"/>
    <w:rsid w:val="01A058E8"/>
    <w:rsid w:val="02021905"/>
    <w:rsid w:val="020B07BA"/>
    <w:rsid w:val="02104022"/>
    <w:rsid w:val="02384277"/>
    <w:rsid w:val="02B206FE"/>
    <w:rsid w:val="03060F81"/>
    <w:rsid w:val="030E6C3D"/>
    <w:rsid w:val="032D29B2"/>
    <w:rsid w:val="03A013D6"/>
    <w:rsid w:val="04343F24"/>
    <w:rsid w:val="047D1139"/>
    <w:rsid w:val="04874C45"/>
    <w:rsid w:val="05147D97"/>
    <w:rsid w:val="0543064C"/>
    <w:rsid w:val="05490CEB"/>
    <w:rsid w:val="05643D0F"/>
    <w:rsid w:val="058D731C"/>
    <w:rsid w:val="05F04295"/>
    <w:rsid w:val="060F36E7"/>
    <w:rsid w:val="06553CF6"/>
    <w:rsid w:val="0697173A"/>
    <w:rsid w:val="06AF7E46"/>
    <w:rsid w:val="06B13869"/>
    <w:rsid w:val="0719622C"/>
    <w:rsid w:val="077561BF"/>
    <w:rsid w:val="078528B4"/>
    <w:rsid w:val="078608E3"/>
    <w:rsid w:val="07BC4304"/>
    <w:rsid w:val="07C17B6D"/>
    <w:rsid w:val="08500AB5"/>
    <w:rsid w:val="085113CE"/>
    <w:rsid w:val="08593DF6"/>
    <w:rsid w:val="08C9168D"/>
    <w:rsid w:val="08FF6B9F"/>
    <w:rsid w:val="09097DF6"/>
    <w:rsid w:val="091A029E"/>
    <w:rsid w:val="093323A4"/>
    <w:rsid w:val="09796272"/>
    <w:rsid w:val="09EF206E"/>
    <w:rsid w:val="0A5E2CE8"/>
    <w:rsid w:val="0A73514E"/>
    <w:rsid w:val="0AE52B21"/>
    <w:rsid w:val="0AEE1282"/>
    <w:rsid w:val="0AF83D68"/>
    <w:rsid w:val="0B21104E"/>
    <w:rsid w:val="0B7A250D"/>
    <w:rsid w:val="0BE8638A"/>
    <w:rsid w:val="0C293E9A"/>
    <w:rsid w:val="0C4D7C21"/>
    <w:rsid w:val="0C7B653C"/>
    <w:rsid w:val="0CCD71B8"/>
    <w:rsid w:val="0CD12C12"/>
    <w:rsid w:val="0CD22D72"/>
    <w:rsid w:val="0D076649"/>
    <w:rsid w:val="0D200EE0"/>
    <w:rsid w:val="0D466B4A"/>
    <w:rsid w:val="0D562B05"/>
    <w:rsid w:val="0D8031A7"/>
    <w:rsid w:val="0D9660F7"/>
    <w:rsid w:val="0DD759F4"/>
    <w:rsid w:val="0DE16873"/>
    <w:rsid w:val="0DF33C95"/>
    <w:rsid w:val="0E061FDD"/>
    <w:rsid w:val="0E146C48"/>
    <w:rsid w:val="0E9E4764"/>
    <w:rsid w:val="0EE30BA4"/>
    <w:rsid w:val="0EE54141"/>
    <w:rsid w:val="0F3375A2"/>
    <w:rsid w:val="0F4672D5"/>
    <w:rsid w:val="0F6A2898"/>
    <w:rsid w:val="0FF02D9D"/>
    <w:rsid w:val="0FFC2FFB"/>
    <w:rsid w:val="102B2027"/>
    <w:rsid w:val="106F4B6A"/>
    <w:rsid w:val="10A06571"/>
    <w:rsid w:val="10F36FE9"/>
    <w:rsid w:val="114F329F"/>
    <w:rsid w:val="11625F1D"/>
    <w:rsid w:val="117B0D8C"/>
    <w:rsid w:val="11CE35B2"/>
    <w:rsid w:val="1202500A"/>
    <w:rsid w:val="1230601B"/>
    <w:rsid w:val="12880894"/>
    <w:rsid w:val="128965FA"/>
    <w:rsid w:val="12AD0E28"/>
    <w:rsid w:val="12DB4CD3"/>
    <w:rsid w:val="12EE7258"/>
    <w:rsid w:val="13091725"/>
    <w:rsid w:val="1329233C"/>
    <w:rsid w:val="13497394"/>
    <w:rsid w:val="135E2714"/>
    <w:rsid w:val="138958E5"/>
    <w:rsid w:val="13A445CA"/>
    <w:rsid w:val="141A0BDF"/>
    <w:rsid w:val="142438E3"/>
    <w:rsid w:val="14D560AE"/>
    <w:rsid w:val="14EF1875"/>
    <w:rsid w:val="15175270"/>
    <w:rsid w:val="15221DA4"/>
    <w:rsid w:val="152D6842"/>
    <w:rsid w:val="15595889"/>
    <w:rsid w:val="156834B6"/>
    <w:rsid w:val="15CA4090"/>
    <w:rsid w:val="15CD2C56"/>
    <w:rsid w:val="168077C4"/>
    <w:rsid w:val="169D35D4"/>
    <w:rsid w:val="16EE3073"/>
    <w:rsid w:val="16FD74E7"/>
    <w:rsid w:val="170817AE"/>
    <w:rsid w:val="174340FA"/>
    <w:rsid w:val="17B04131"/>
    <w:rsid w:val="17BF6947"/>
    <w:rsid w:val="17CB4C19"/>
    <w:rsid w:val="17D31E1E"/>
    <w:rsid w:val="182852F3"/>
    <w:rsid w:val="18383533"/>
    <w:rsid w:val="18610817"/>
    <w:rsid w:val="18624A54"/>
    <w:rsid w:val="186802BC"/>
    <w:rsid w:val="18E007D0"/>
    <w:rsid w:val="190D676E"/>
    <w:rsid w:val="19410B0E"/>
    <w:rsid w:val="197762DD"/>
    <w:rsid w:val="198A5317"/>
    <w:rsid w:val="19C94ADA"/>
    <w:rsid w:val="19D7480F"/>
    <w:rsid w:val="19E73463"/>
    <w:rsid w:val="1A011175"/>
    <w:rsid w:val="1A163159"/>
    <w:rsid w:val="1A59608D"/>
    <w:rsid w:val="1A766B92"/>
    <w:rsid w:val="1A7A4469"/>
    <w:rsid w:val="1AB53561"/>
    <w:rsid w:val="1ADC0AEE"/>
    <w:rsid w:val="1B140288"/>
    <w:rsid w:val="1B650AE3"/>
    <w:rsid w:val="1B67316D"/>
    <w:rsid w:val="1B740E71"/>
    <w:rsid w:val="1B94645B"/>
    <w:rsid w:val="1BBC444D"/>
    <w:rsid w:val="1BF12377"/>
    <w:rsid w:val="1BF400B9"/>
    <w:rsid w:val="1C365FDC"/>
    <w:rsid w:val="1C8E3BBC"/>
    <w:rsid w:val="1CDC3027"/>
    <w:rsid w:val="1D047E88"/>
    <w:rsid w:val="1D79365A"/>
    <w:rsid w:val="1E002D45"/>
    <w:rsid w:val="1E3E0FA8"/>
    <w:rsid w:val="1E5310C7"/>
    <w:rsid w:val="1EEC5078"/>
    <w:rsid w:val="1F5474A3"/>
    <w:rsid w:val="1F7F5EEC"/>
    <w:rsid w:val="20173815"/>
    <w:rsid w:val="205B24B5"/>
    <w:rsid w:val="20653333"/>
    <w:rsid w:val="20B870DE"/>
    <w:rsid w:val="20C462AC"/>
    <w:rsid w:val="213018BF"/>
    <w:rsid w:val="21507426"/>
    <w:rsid w:val="215A7479"/>
    <w:rsid w:val="219F2875"/>
    <w:rsid w:val="21AC234B"/>
    <w:rsid w:val="21B51CED"/>
    <w:rsid w:val="220A5F40"/>
    <w:rsid w:val="22537CBA"/>
    <w:rsid w:val="22724FEE"/>
    <w:rsid w:val="227729F6"/>
    <w:rsid w:val="22943A5C"/>
    <w:rsid w:val="22BC7B72"/>
    <w:rsid w:val="23170746"/>
    <w:rsid w:val="23235B48"/>
    <w:rsid w:val="232840F7"/>
    <w:rsid w:val="2353349D"/>
    <w:rsid w:val="23C23208"/>
    <w:rsid w:val="23C6515F"/>
    <w:rsid w:val="23D16C7A"/>
    <w:rsid w:val="23E10F23"/>
    <w:rsid w:val="23E822B1"/>
    <w:rsid w:val="240D3AC6"/>
    <w:rsid w:val="240E69D4"/>
    <w:rsid w:val="243A706F"/>
    <w:rsid w:val="24C90335"/>
    <w:rsid w:val="24E013FD"/>
    <w:rsid w:val="250239C1"/>
    <w:rsid w:val="256D039C"/>
    <w:rsid w:val="258204E4"/>
    <w:rsid w:val="25B33296"/>
    <w:rsid w:val="25BF3533"/>
    <w:rsid w:val="25D24FC7"/>
    <w:rsid w:val="25FA2770"/>
    <w:rsid w:val="260B672B"/>
    <w:rsid w:val="262E41C8"/>
    <w:rsid w:val="265A6D6B"/>
    <w:rsid w:val="2676307F"/>
    <w:rsid w:val="26867B60"/>
    <w:rsid w:val="26AE6DB2"/>
    <w:rsid w:val="26EB3E67"/>
    <w:rsid w:val="26F23447"/>
    <w:rsid w:val="272E0923"/>
    <w:rsid w:val="27556697"/>
    <w:rsid w:val="27A25F44"/>
    <w:rsid w:val="27A912D8"/>
    <w:rsid w:val="27D56F16"/>
    <w:rsid w:val="285C6DCA"/>
    <w:rsid w:val="28D10C1C"/>
    <w:rsid w:val="28D42E04"/>
    <w:rsid w:val="29061F4A"/>
    <w:rsid w:val="29093171"/>
    <w:rsid w:val="29231FDE"/>
    <w:rsid w:val="29237C2F"/>
    <w:rsid w:val="294D1F58"/>
    <w:rsid w:val="29535B79"/>
    <w:rsid w:val="295B1778"/>
    <w:rsid w:val="2973086F"/>
    <w:rsid w:val="29934A6D"/>
    <w:rsid w:val="29C41F31"/>
    <w:rsid w:val="29E909A3"/>
    <w:rsid w:val="2A13795C"/>
    <w:rsid w:val="2A1A0CEB"/>
    <w:rsid w:val="2A410933"/>
    <w:rsid w:val="2A5341FD"/>
    <w:rsid w:val="2AC31382"/>
    <w:rsid w:val="2AE8528D"/>
    <w:rsid w:val="2AF72797"/>
    <w:rsid w:val="2BDD46C6"/>
    <w:rsid w:val="2C7E57C9"/>
    <w:rsid w:val="2C8871BE"/>
    <w:rsid w:val="2CB76CC5"/>
    <w:rsid w:val="2CC6515A"/>
    <w:rsid w:val="2CEA00C5"/>
    <w:rsid w:val="2CF04103"/>
    <w:rsid w:val="2D640A56"/>
    <w:rsid w:val="2D6927FA"/>
    <w:rsid w:val="2D80344F"/>
    <w:rsid w:val="2D86622F"/>
    <w:rsid w:val="2DC41ACA"/>
    <w:rsid w:val="2E642E7C"/>
    <w:rsid w:val="2E9B38D6"/>
    <w:rsid w:val="2EBB49A3"/>
    <w:rsid w:val="2ECA5778"/>
    <w:rsid w:val="2ECC4C1E"/>
    <w:rsid w:val="2F067A90"/>
    <w:rsid w:val="2F6F491B"/>
    <w:rsid w:val="2FB91BB9"/>
    <w:rsid w:val="2FD51A1E"/>
    <w:rsid w:val="2FEC63AF"/>
    <w:rsid w:val="30600BBE"/>
    <w:rsid w:val="31095784"/>
    <w:rsid w:val="31466869"/>
    <w:rsid w:val="314703A2"/>
    <w:rsid w:val="316136A3"/>
    <w:rsid w:val="317A6513"/>
    <w:rsid w:val="31864EB8"/>
    <w:rsid w:val="31AD68E8"/>
    <w:rsid w:val="3216623C"/>
    <w:rsid w:val="32656D91"/>
    <w:rsid w:val="326773E6"/>
    <w:rsid w:val="32E12CEE"/>
    <w:rsid w:val="334676A9"/>
    <w:rsid w:val="339048AE"/>
    <w:rsid w:val="33B95A18"/>
    <w:rsid w:val="33C817B8"/>
    <w:rsid w:val="33D46C1A"/>
    <w:rsid w:val="343E7CCC"/>
    <w:rsid w:val="346A3B66"/>
    <w:rsid w:val="34914B59"/>
    <w:rsid w:val="3578720D"/>
    <w:rsid w:val="359F0253"/>
    <w:rsid w:val="35B976A5"/>
    <w:rsid w:val="35E40AFD"/>
    <w:rsid w:val="35F9034E"/>
    <w:rsid w:val="36264247"/>
    <w:rsid w:val="364D41F6"/>
    <w:rsid w:val="366559E4"/>
    <w:rsid w:val="36BE50F4"/>
    <w:rsid w:val="36C536FA"/>
    <w:rsid w:val="36C85904"/>
    <w:rsid w:val="36CD6A1E"/>
    <w:rsid w:val="36DD4824"/>
    <w:rsid w:val="370F76FD"/>
    <w:rsid w:val="37184BD3"/>
    <w:rsid w:val="37865C12"/>
    <w:rsid w:val="37D41DD4"/>
    <w:rsid w:val="37DC7F27"/>
    <w:rsid w:val="37E8246D"/>
    <w:rsid w:val="37F45253"/>
    <w:rsid w:val="383E1CC8"/>
    <w:rsid w:val="387D6B78"/>
    <w:rsid w:val="38B5122B"/>
    <w:rsid w:val="38DB036C"/>
    <w:rsid w:val="390414E4"/>
    <w:rsid w:val="39316D15"/>
    <w:rsid w:val="39736E1D"/>
    <w:rsid w:val="39BD2619"/>
    <w:rsid w:val="3A057993"/>
    <w:rsid w:val="3A354688"/>
    <w:rsid w:val="3A78591F"/>
    <w:rsid w:val="3A9248CD"/>
    <w:rsid w:val="3AA7481D"/>
    <w:rsid w:val="3AB6680E"/>
    <w:rsid w:val="3ACC3EB3"/>
    <w:rsid w:val="3ADD2FC8"/>
    <w:rsid w:val="3B4533D3"/>
    <w:rsid w:val="3B5E3F96"/>
    <w:rsid w:val="3B8C57C0"/>
    <w:rsid w:val="3BC920FA"/>
    <w:rsid w:val="3C2B405E"/>
    <w:rsid w:val="3C2D79C7"/>
    <w:rsid w:val="3CC71DFD"/>
    <w:rsid w:val="3CEC09F2"/>
    <w:rsid w:val="3D1B504E"/>
    <w:rsid w:val="3D4E72EA"/>
    <w:rsid w:val="3D7B5AED"/>
    <w:rsid w:val="3D942323"/>
    <w:rsid w:val="3DB846F5"/>
    <w:rsid w:val="3DEC22D4"/>
    <w:rsid w:val="3E1D1692"/>
    <w:rsid w:val="3E295549"/>
    <w:rsid w:val="3E5C76CC"/>
    <w:rsid w:val="3EEF22EE"/>
    <w:rsid w:val="3EF70A36"/>
    <w:rsid w:val="3EFA7B85"/>
    <w:rsid w:val="3F057D64"/>
    <w:rsid w:val="3F1E0E25"/>
    <w:rsid w:val="3F542A99"/>
    <w:rsid w:val="3F6727CC"/>
    <w:rsid w:val="3FCC262F"/>
    <w:rsid w:val="3FF543EA"/>
    <w:rsid w:val="3FF9330A"/>
    <w:rsid w:val="409D5D7A"/>
    <w:rsid w:val="40A35A86"/>
    <w:rsid w:val="40CB6820"/>
    <w:rsid w:val="41287D39"/>
    <w:rsid w:val="413C12F3"/>
    <w:rsid w:val="418F1B67"/>
    <w:rsid w:val="41960F36"/>
    <w:rsid w:val="41FA6E41"/>
    <w:rsid w:val="41FA78CF"/>
    <w:rsid w:val="42935686"/>
    <w:rsid w:val="42B41C5B"/>
    <w:rsid w:val="42D261AF"/>
    <w:rsid w:val="43007024"/>
    <w:rsid w:val="43301127"/>
    <w:rsid w:val="434B2D46"/>
    <w:rsid w:val="439B4DF4"/>
    <w:rsid w:val="43F62371"/>
    <w:rsid w:val="444F7096"/>
    <w:rsid w:val="448D6A8E"/>
    <w:rsid w:val="44C21DCE"/>
    <w:rsid w:val="44E1092B"/>
    <w:rsid w:val="44E81CBA"/>
    <w:rsid w:val="457006F5"/>
    <w:rsid w:val="46106DBD"/>
    <w:rsid w:val="46477940"/>
    <w:rsid w:val="46930A8E"/>
    <w:rsid w:val="4714759E"/>
    <w:rsid w:val="477E2467"/>
    <w:rsid w:val="47985E58"/>
    <w:rsid w:val="47B41D40"/>
    <w:rsid w:val="47BE31A6"/>
    <w:rsid w:val="480A63EB"/>
    <w:rsid w:val="4823125B"/>
    <w:rsid w:val="486E43FA"/>
    <w:rsid w:val="493C0826"/>
    <w:rsid w:val="49BF47B5"/>
    <w:rsid w:val="49CE0617"/>
    <w:rsid w:val="4A653DAC"/>
    <w:rsid w:val="4AF8077D"/>
    <w:rsid w:val="4B173697"/>
    <w:rsid w:val="4B9023AA"/>
    <w:rsid w:val="4BD9235C"/>
    <w:rsid w:val="4C7408B0"/>
    <w:rsid w:val="4C94278C"/>
    <w:rsid w:val="4CC96874"/>
    <w:rsid w:val="4D565C2E"/>
    <w:rsid w:val="4D896004"/>
    <w:rsid w:val="4DBD3B1B"/>
    <w:rsid w:val="4DF25957"/>
    <w:rsid w:val="4E251C03"/>
    <w:rsid w:val="4E3807E2"/>
    <w:rsid w:val="4E8D1C61"/>
    <w:rsid w:val="4EA36C51"/>
    <w:rsid w:val="4ECA68D4"/>
    <w:rsid w:val="4ECC61A8"/>
    <w:rsid w:val="4ECD1F20"/>
    <w:rsid w:val="4F05175E"/>
    <w:rsid w:val="4F1E452A"/>
    <w:rsid w:val="4F803E37"/>
    <w:rsid w:val="4FD77E92"/>
    <w:rsid w:val="503E417A"/>
    <w:rsid w:val="503F78BB"/>
    <w:rsid w:val="505F02DA"/>
    <w:rsid w:val="506309E5"/>
    <w:rsid w:val="51130DC4"/>
    <w:rsid w:val="5117198E"/>
    <w:rsid w:val="514A35C2"/>
    <w:rsid w:val="514C35D0"/>
    <w:rsid w:val="514C78A1"/>
    <w:rsid w:val="51A25777"/>
    <w:rsid w:val="51F369A9"/>
    <w:rsid w:val="52081BED"/>
    <w:rsid w:val="52100AA2"/>
    <w:rsid w:val="52702FD1"/>
    <w:rsid w:val="52E53BF4"/>
    <w:rsid w:val="53006747"/>
    <w:rsid w:val="5309748E"/>
    <w:rsid w:val="532B640C"/>
    <w:rsid w:val="5396648E"/>
    <w:rsid w:val="53C5766A"/>
    <w:rsid w:val="53D224B3"/>
    <w:rsid w:val="53E94677"/>
    <w:rsid w:val="544E493E"/>
    <w:rsid w:val="545310A8"/>
    <w:rsid w:val="54B136D8"/>
    <w:rsid w:val="54D42375"/>
    <w:rsid w:val="54EB3100"/>
    <w:rsid w:val="551E5284"/>
    <w:rsid w:val="55315E02"/>
    <w:rsid w:val="555F60C6"/>
    <w:rsid w:val="555F6190"/>
    <w:rsid w:val="558F1CDD"/>
    <w:rsid w:val="5596169E"/>
    <w:rsid w:val="563F19B8"/>
    <w:rsid w:val="564927D4"/>
    <w:rsid w:val="564B20A8"/>
    <w:rsid w:val="56CA56C3"/>
    <w:rsid w:val="572823EA"/>
    <w:rsid w:val="575A6979"/>
    <w:rsid w:val="576E199E"/>
    <w:rsid w:val="57C4461E"/>
    <w:rsid w:val="57DD2C30"/>
    <w:rsid w:val="581C7A2F"/>
    <w:rsid w:val="583354EA"/>
    <w:rsid w:val="585F008D"/>
    <w:rsid w:val="586C6306"/>
    <w:rsid w:val="587529E2"/>
    <w:rsid w:val="590429E2"/>
    <w:rsid w:val="592834DE"/>
    <w:rsid w:val="593A1356"/>
    <w:rsid w:val="593D5297"/>
    <w:rsid w:val="5990631B"/>
    <w:rsid w:val="59B11497"/>
    <w:rsid w:val="59C76B7F"/>
    <w:rsid w:val="59D40F2C"/>
    <w:rsid w:val="59D81EA5"/>
    <w:rsid w:val="5A47527D"/>
    <w:rsid w:val="5A5F6122"/>
    <w:rsid w:val="5AF62826"/>
    <w:rsid w:val="5B0A12BE"/>
    <w:rsid w:val="5B172FB1"/>
    <w:rsid w:val="5B1D4239"/>
    <w:rsid w:val="5B21162A"/>
    <w:rsid w:val="5B2757EE"/>
    <w:rsid w:val="5BB260B3"/>
    <w:rsid w:val="5BEB1397"/>
    <w:rsid w:val="5C0D1BAE"/>
    <w:rsid w:val="5C593045"/>
    <w:rsid w:val="5C6E5312"/>
    <w:rsid w:val="5C9C18B0"/>
    <w:rsid w:val="5CAE15E3"/>
    <w:rsid w:val="5CC54090"/>
    <w:rsid w:val="5D186A5C"/>
    <w:rsid w:val="5D2277FF"/>
    <w:rsid w:val="5D3A2E77"/>
    <w:rsid w:val="5D970ADE"/>
    <w:rsid w:val="5DB14623"/>
    <w:rsid w:val="5DB962F7"/>
    <w:rsid w:val="5DD82338"/>
    <w:rsid w:val="5DDB6408"/>
    <w:rsid w:val="5DE828D3"/>
    <w:rsid w:val="5E04608B"/>
    <w:rsid w:val="5E0528D3"/>
    <w:rsid w:val="5E3B096C"/>
    <w:rsid w:val="5E483371"/>
    <w:rsid w:val="5F5C6A78"/>
    <w:rsid w:val="5FBE495E"/>
    <w:rsid w:val="5FDC0215"/>
    <w:rsid w:val="5FEB0458"/>
    <w:rsid w:val="600B5EBF"/>
    <w:rsid w:val="600C47F4"/>
    <w:rsid w:val="6017104A"/>
    <w:rsid w:val="603664E2"/>
    <w:rsid w:val="60406F88"/>
    <w:rsid w:val="607C7C01"/>
    <w:rsid w:val="60EA17FD"/>
    <w:rsid w:val="60F8107F"/>
    <w:rsid w:val="61837961"/>
    <w:rsid w:val="619F22FA"/>
    <w:rsid w:val="61A905CB"/>
    <w:rsid w:val="61D32C5E"/>
    <w:rsid w:val="61E41603"/>
    <w:rsid w:val="620C2A68"/>
    <w:rsid w:val="62543729"/>
    <w:rsid w:val="62673C18"/>
    <w:rsid w:val="62685D90"/>
    <w:rsid w:val="62865C43"/>
    <w:rsid w:val="629848C7"/>
    <w:rsid w:val="62C70D09"/>
    <w:rsid w:val="62CE653B"/>
    <w:rsid w:val="6302441F"/>
    <w:rsid w:val="637D1D0F"/>
    <w:rsid w:val="63936E3D"/>
    <w:rsid w:val="6416579D"/>
    <w:rsid w:val="6479363C"/>
    <w:rsid w:val="64B93F4B"/>
    <w:rsid w:val="64D140C0"/>
    <w:rsid w:val="64DD4678"/>
    <w:rsid w:val="65202952"/>
    <w:rsid w:val="653D52B2"/>
    <w:rsid w:val="65752C9E"/>
    <w:rsid w:val="65817895"/>
    <w:rsid w:val="66122D2B"/>
    <w:rsid w:val="663A3EE7"/>
    <w:rsid w:val="665E3732"/>
    <w:rsid w:val="6677667E"/>
    <w:rsid w:val="667B0788"/>
    <w:rsid w:val="66A55805"/>
    <w:rsid w:val="66DF3D35"/>
    <w:rsid w:val="66EB10F1"/>
    <w:rsid w:val="66EC67FD"/>
    <w:rsid w:val="670812B5"/>
    <w:rsid w:val="67133989"/>
    <w:rsid w:val="67452B44"/>
    <w:rsid w:val="674A015A"/>
    <w:rsid w:val="67A21D44"/>
    <w:rsid w:val="68212C69"/>
    <w:rsid w:val="6842616B"/>
    <w:rsid w:val="68570D81"/>
    <w:rsid w:val="68925915"/>
    <w:rsid w:val="69193E74"/>
    <w:rsid w:val="691C1682"/>
    <w:rsid w:val="6954574C"/>
    <w:rsid w:val="69790883"/>
    <w:rsid w:val="69956513"/>
    <w:rsid w:val="69DD665A"/>
    <w:rsid w:val="69DF102E"/>
    <w:rsid w:val="69F04FE9"/>
    <w:rsid w:val="6A077F06"/>
    <w:rsid w:val="6A2151A2"/>
    <w:rsid w:val="6A5512F0"/>
    <w:rsid w:val="6A7A6075"/>
    <w:rsid w:val="6AC10733"/>
    <w:rsid w:val="6B8A09AE"/>
    <w:rsid w:val="6BA50055"/>
    <w:rsid w:val="6BD321AD"/>
    <w:rsid w:val="6BF15048"/>
    <w:rsid w:val="6C0B1ADB"/>
    <w:rsid w:val="6C0D6CD6"/>
    <w:rsid w:val="6C163ADC"/>
    <w:rsid w:val="6C2D2D96"/>
    <w:rsid w:val="6C5D21BE"/>
    <w:rsid w:val="6C5D448C"/>
    <w:rsid w:val="6C6115D6"/>
    <w:rsid w:val="6C753466"/>
    <w:rsid w:val="6C952312"/>
    <w:rsid w:val="6CCD4CCA"/>
    <w:rsid w:val="6CED5810"/>
    <w:rsid w:val="6D156B14"/>
    <w:rsid w:val="6D826FDB"/>
    <w:rsid w:val="6D836174"/>
    <w:rsid w:val="6D8A4EDC"/>
    <w:rsid w:val="6DC8157B"/>
    <w:rsid w:val="6DD07FAC"/>
    <w:rsid w:val="6E3F209B"/>
    <w:rsid w:val="6E54631E"/>
    <w:rsid w:val="6E7E3605"/>
    <w:rsid w:val="6E895428"/>
    <w:rsid w:val="6EBC78B0"/>
    <w:rsid w:val="6F2D0EF1"/>
    <w:rsid w:val="6F2F267F"/>
    <w:rsid w:val="6F4A00F0"/>
    <w:rsid w:val="6FC34F4E"/>
    <w:rsid w:val="6FF358BA"/>
    <w:rsid w:val="70234260"/>
    <w:rsid w:val="709C21E7"/>
    <w:rsid w:val="70CD511D"/>
    <w:rsid w:val="710A1C75"/>
    <w:rsid w:val="713E76A8"/>
    <w:rsid w:val="71431EA2"/>
    <w:rsid w:val="719E17CE"/>
    <w:rsid w:val="71AF12E6"/>
    <w:rsid w:val="720A6927"/>
    <w:rsid w:val="72A11576"/>
    <w:rsid w:val="72B2794E"/>
    <w:rsid w:val="731229A9"/>
    <w:rsid w:val="73265FA2"/>
    <w:rsid w:val="732B7092"/>
    <w:rsid w:val="733233A2"/>
    <w:rsid w:val="73386A20"/>
    <w:rsid w:val="7370719A"/>
    <w:rsid w:val="737A5923"/>
    <w:rsid w:val="73AA6208"/>
    <w:rsid w:val="73D72D76"/>
    <w:rsid w:val="73D97953"/>
    <w:rsid w:val="73F7702E"/>
    <w:rsid w:val="74113721"/>
    <w:rsid w:val="75A064C9"/>
    <w:rsid w:val="75D27282"/>
    <w:rsid w:val="75FB46E2"/>
    <w:rsid w:val="76371442"/>
    <w:rsid w:val="768947FB"/>
    <w:rsid w:val="76DF230C"/>
    <w:rsid w:val="77456D25"/>
    <w:rsid w:val="7762504C"/>
    <w:rsid w:val="77905715"/>
    <w:rsid w:val="782D3C8F"/>
    <w:rsid w:val="78342545"/>
    <w:rsid w:val="78387FBB"/>
    <w:rsid w:val="786372CE"/>
    <w:rsid w:val="79142E84"/>
    <w:rsid w:val="79DF4A5F"/>
    <w:rsid w:val="7ACF0C4A"/>
    <w:rsid w:val="7B656EB9"/>
    <w:rsid w:val="7B875081"/>
    <w:rsid w:val="7B9606A9"/>
    <w:rsid w:val="7C246D74"/>
    <w:rsid w:val="7C4C64B6"/>
    <w:rsid w:val="7C611F8F"/>
    <w:rsid w:val="7C815F74"/>
    <w:rsid w:val="7C837F46"/>
    <w:rsid w:val="7C9C2DAE"/>
    <w:rsid w:val="7CA00A93"/>
    <w:rsid w:val="7CD30AA2"/>
    <w:rsid w:val="7D351314"/>
    <w:rsid w:val="7D723826"/>
    <w:rsid w:val="7DA06192"/>
    <w:rsid w:val="7DE65550"/>
    <w:rsid w:val="7DFF1AF5"/>
    <w:rsid w:val="7E01111B"/>
    <w:rsid w:val="7E446486"/>
    <w:rsid w:val="7EA952BD"/>
    <w:rsid w:val="7EDA31C3"/>
    <w:rsid w:val="7EFB7213"/>
    <w:rsid w:val="7F3D0877"/>
    <w:rsid w:val="7F8B310F"/>
    <w:rsid w:val="7F9A1827"/>
    <w:rsid w:val="7FB421B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ocked="1"/>
    <w:lsdException w:qFormat="1" w:unhideWhenUsed="0" w:uiPriority="9"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0" w:semiHidden="0"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iPriority="99" w:semiHidden="0"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qFormat="1" w:unhideWhenUsed="0" w:uiPriority="0" w:semiHidden="0" w:name="Body Text" w:locked="1"/>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qFormat="1" w:uiPriority="99" w:semiHidden="0" w:name="Body Text First Indent 2" w:locked="1"/>
    <w:lsdException w:uiPriority="99" w:name="Note Heading" w:locked="1"/>
    <w:lsdException w:qFormat="1" w:unhideWhenUsed="0" w:uiPriority="99" w:semiHidden="0" w:name="Body Text 2"/>
    <w:lsdException w:uiPriority="99" w:name="Body Text 3" w:locked="1"/>
    <w:lsdException w:uiPriority="99" w:name="Body Text Indent 2" w:locked="1"/>
    <w:lsdException w:uiPriority="99" w:name="Body Text Indent 3" w:locked="1"/>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0" w:semiHidden="0" w:name="Plain Text" w:locked="1"/>
    <w:lsdException w:uiPriority="99" w:name="E-mail Signature" w:locked="1"/>
    <w:lsdException w:qFormat="1" w:unhideWhenUsed="0" w:uiPriority="99" w:semiHidden="0" w:name="Normal (Web)"/>
    <w:lsdException w:qFormat="1" w:uiPriority="99" w:name="HTML Acronym" w:locked="1"/>
    <w:lsdException w:uiPriority="99" w:name="HTML Address" w:locked="1"/>
    <w:lsdException w:qFormat="1" w:uiPriority="99" w:name="HTML Cite" w:locked="1"/>
    <w:lsdException w:qFormat="1" w:uiPriority="99" w:name="HTML Code" w:locked="1"/>
    <w:lsdException w:qFormat="1" w:uiPriority="99" w:name="HTML Definition" w:locked="1"/>
    <w:lsdException w:qFormat="1" w:uiPriority="99" w:name="HTML Keyboard" w:locked="1"/>
    <w:lsdException w:uiPriority="99" w:name="HTML Preformatted" w:locked="1"/>
    <w:lsdException w:qFormat="1" w:uiPriority="99" w:name="HTML Sample" w:locked="1"/>
    <w:lsdException w:qFormat="1" w:uiPriority="99" w:name="HTML Typewriter" w:locked="1"/>
    <w:lsdException w:qFormat="1"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50"/>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qFormat/>
    <w:locked/>
    <w:uiPriority w:val="9"/>
    <w:pPr>
      <w:keepNext/>
      <w:jc w:val="center"/>
      <w:outlineLvl w:val="0"/>
    </w:pPr>
    <w:rPr>
      <w:rFonts w:ascii="楷体_GB2312" w:eastAsia="楷体_GB2312"/>
      <w:b/>
      <w:sz w:val="28"/>
    </w:rPr>
  </w:style>
  <w:style w:type="paragraph" w:styleId="3">
    <w:name w:val="heading 2"/>
    <w:basedOn w:val="1"/>
    <w:next w:val="1"/>
    <w:qFormat/>
    <w:locked/>
    <w:uiPriority w:val="9"/>
    <w:pPr>
      <w:keepNext/>
      <w:keepLines/>
      <w:spacing w:before="260" w:after="260" w:line="416" w:lineRule="auto"/>
      <w:outlineLvl w:val="1"/>
    </w:pPr>
    <w:rPr>
      <w:rFonts w:ascii="Cambria" w:hAnsi="Cambria" w:cs="Times New Roman"/>
      <w:b/>
      <w:bCs/>
      <w:sz w:val="32"/>
      <w:szCs w:val="32"/>
    </w:rPr>
  </w:style>
  <w:style w:type="character" w:default="1" w:styleId="20">
    <w:name w:val="Default Paragraph Font"/>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4">
    <w:name w:val="Normal Indent"/>
    <w:basedOn w:val="1"/>
    <w:unhideWhenUsed/>
    <w:qFormat/>
    <w:locked/>
    <w:uiPriority w:val="99"/>
    <w:pPr>
      <w:autoSpaceDE w:val="0"/>
      <w:autoSpaceDN w:val="0"/>
      <w:adjustRightInd w:val="0"/>
      <w:snapToGrid w:val="0"/>
      <w:spacing w:line="360" w:lineRule="auto"/>
      <w:ind w:firstLine="200" w:firstLineChars="200"/>
    </w:pPr>
    <w:rPr>
      <w:rFonts w:hint="eastAsia" w:ascii="宋体" w:hAnsi="Arial Unicode MS"/>
    </w:rPr>
  </w:style>
  <w:style w:type="paragraph" w:styleId="5">
    <w:name w:val="annotation text"/>
    <w:basedOn w:val="1"/>
    <w:link w:val="38"/>
    <w:semiHidden/>
    <w:qFormat/>
    <w:uiPriority w:val="99"/>
    <w:pPr>
      <w:jc w:val="left"/>
    </w:pPr>
  </w:style>
  <w:style w:type="paragraph" w:styleId="6">
    <w:name w:val="Body Text"/>
    <w:basedOn w:val="1"/>
    <w:qFormat/>
    <w:locked/>
    <w:uiPriority w:val="0"/>
    <w:pPr>
      <w:spacing w:after="120" w:afterLines="0"/>
    </w:pPr>
  </w:style>
  <w:style w:type="paragraph" w:styleId="7">
    <w:name w:val="Body Text Indent"/>
    <w:basedOn w:val="1"/>
    <w:link w:val="39"/>
    <w:qFormat/>
    <w:uiPriority w:val="99"/>
    <w:pPr>
      <w:ind w:left="567" w:leftChars="270"/>
    </w:pPr>
  </w:style>
  <w:style w:type="paragraph" w:styleId="8">
    <w:name w:val="Block Text"/>
    <w:basedOn w:val="1"/>
    <w:qFormat/>
    <w:uiPriority w:val="99"/>
    <w:pPr>
      <w:widowControl/>
      <w:autoSpaceDE w:val="0"/>
      <w:autoSpaceDN w:val="0"/>
      <w:adjustRightInd w:val="0"/>
      <w:spacing w:line="315" w:lineRule="atLeast"/>
      <w:ind w:left="-540" w:right="893"/>
      <w:jc w:val="left"/>
      <w:textAlignment w:val="bottom"/>
    </w:pPr>
    <w:rPr>
      <w:rFonts w:ascii="宋体" w:cs="宋体"/>
      <w:kern w:val="0"/>
      <w:sz w:val="28"/>
      <w:szCs w:val="28"/>
    </w:rPr>
  </w:style>
  <w:style w:type="paragraph" w:styleId="9">
    <w:name w:val="Plain Text"/>
    <w:basedOn w:val="1"/>
    <w:qFormat/>
    <w:locked/>
    <w:uiPriority w:val="0"/>
    <w:rPr>
      <w:rFonts w:ascii="宋体" w:hAnsi="Courier New"/>
      <w:b/>
    </w:rPr>
  </w:style>
  <w:style w:type="paragraph" w:styleId="10">
    <w:name w:val="Date"/>
    <w:basedOn w:val="1"/>
    <w:next w:val="1"/>
    <w:link w:val="40"/>
    <w:qFormat/>
    <w:uiPriority w:val="99"/>
  </w:style>
  <w:style w:type="paragraph" w:styleId="11">
    <w:name w:val="Balloon Text"/>
    <w:basedOn w:val="1"/>
    <w:link w:val="46"/>
    <w:semiHidden/>
    <w:qFormat/>
    <w:uiPriority w:val="99"/>
    <w:rPr>
      <w:sz w:val="18"/>
      <w:szCs w:val="18"/>
    </w:rPr>
  </w:style>
  <w:style w:type="paragraph" w:styleId="12">
    <w:name w:val="footer"/>
    <w:basedOn w:val="1"/>
    <w:link w:val="41"/>
    <w:qFormat/>
    <w:uiPriority w:val="99"/>
    <w:pPr>
      <w:tabs>
        <w:tab w:val="center" w:pos="4320"/>
        <w:tab w:val="right" w:pos="8640"/>
      </w:tabs>
      <w:adjustRightInd w:val="0"/>
      <w:spacing w:line="240" w:lineRule="atLeast"/>
      <w:jc w:val="left"/>
      <w:textAlignment w:val="baseline"/>
    </w:pPr>
    <w:rPr>
      <w:rFonts w:ascii="宋体" w:cs="宋体"/>
      <w:kern w:val="0"/>
      <w:sz w:val="18"/>
      <w:szCs w:val="18"/>
    </w:rPr>
  </w:style>
  <w:style w:type="paragraph" w:styleId="13">
    <w:name w:val="header"/>
    <w:basedOn w:val="1"/>
    <w:link w:val="42"/>
    <w:qFormat/>
    <w:uiPriority w:val="99"/>
    <w:pPr>
      <w:pBdr>
        <w:bottom w:val="single" w:color="auto" w:sz="6" w:space="3"/>
      </w:pBdr>
      <w:tabs>
        <w:tab w:val="center" w:pos="4153"/>
        <w:tab w:val="right" w:pos="8306"/>
      </w:tabs>
      <w:snapToGrid w:val="0"/>
      <w:ind w:firstLine="4560" w:firstLineChars="1900"/>
    </w:pPr>
    <w:rPr>
      <w:rFonts w:eastAsia="华文行楷"/>
      <w:sz w:val="24"/>
      <w:szCs w:val="24"/>
    </w:rPr>
  </w:style>
  <w:style w:type="paragraph" w:styleId="14">
    <w:name w:val="toc 1"/>
    <w:basedOn w:val="1"/>
    <w:next w:val="1"/>
    <w:qFormat/>
    <w:locked/>
    <w:uiPriority w:val="0"/>
    <w:pPr>
      <w:spacing w:line="360" w:lineRule="exact"/>
    </w:pPr>
    <w:rPr>
      <w:rFonts w:ascii="仿宋_GB2312" w:hAnsi="宋体" w:eastAsia="仿宋_GB2312"/>
      <w:b/>
      <w:bCs/>
      <w:sz w:val="28"/>
      <w:szCs w:val="28"/>
    </w:rPr>
  </w:style>
  <w:style w:type="paragraph" w:styleId="15">
    <w:name w:val="Body Text 2"/>
    <w:basedOn w:val="1"/>
    <w:link w:val="43"/>
    <w:qFormat/>
    <w:uiPriority w:val="99"/>
    <w:pPr>
      <w:widowControl/>
      <w:adjustRightInd w:val="0"/>
      <w:spacing w:line="315" w:lineRule="atLeast"/>
      <w:textAlignment w:val="baseline"/>
    </w:pPr>
    <w:rPr>
      <w:kern w:val="0"/>
    </w:rPr>
  </w:style>
  <w:style w:type="paragraph" w:styleId="16">
    <w:name w:val="Normal (Web)"/>
    <w:basedOn w:val="1"/>
    <w:qFormat/>
    <w:uiPriority w:val="99"/>
    <w:pPr>
      <w:widowControl/>
      <w:spacing w:beforeAutospacing="1" w:afterAutospacing="1"/>
      <w:jc w:val="left"/>
    </w:pPr>
    <w:rPr>
      <w:rFonts w:ascii="宋体" w:hAnsi="宋体" w:cs="宋体"/>
      <w:kern w:val="0"/>
      <w:sz w:val="24"/>
      <w:szCs w:val="24"/>
    </w:rPr>
  </w:style>
  <w:style w:type="paragraph" w:styleId="17">
    <w:name w:val="Body Text First Indent 2"/>
    <w:basedOn w:val="7"/>
    <w:unhideWhenUsed/>
    <w:qFormat/>
    <w:locked/>
    <w:uiPriority w:val="99"/>
    <w:pPr>
      <w:ind w:firstLine="420" w:firstLineChars="200"/>
    </w:pPr>
  </w:style>
  <w:style w:type="table" w:styleId="19">
    <w:name w:val="Table Grid"/>
    <w:basedOn w:val="1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locked/>
    <w:uiPriority w:val="22"/>
    <w:rPr>
      <w:b/>
      <w:bCs/>
    </w:rPr>
  </w:style>
  <w:style w:type="character" w:styleId="22">
    <w:name w:val="page number"/>
    <w:basedOn w:val="20"/>
    <w:qFormat/>
    <w:uiPriority w:val="99"/>
  </w:style>
  <w:style w:type="character" w:styleId="23">
    <w:name w:val="FollowedHyperlink"/>
    <w:qFormat/>
    <w:uiPriority w:val="99"/>
    <w:rPr>
      <w:color w:val="800080"/>
      <w:u w:val="none"/>
    </w:rPr>
  </w:style>
  <w:style w:type="character" w:styleId="24">
    <w:name w:val="Emphasis"/>
    <w:basedOn w:val="20"/>
    <w:qFormat/>
    <w:locked/>
    <w:uiPriority w:val="20"/>
    <w:rPr>
      <w:b/>
      <w:bCs/>
    </w:rPr>
  </w:style>
  <w:style w:type="character" w:styleId="25">
    <w:name w:val="HTML Definition"/>
    <w:basedOn w:val="20"/>
    <w:semiHidden/>
    <w:unhideWhenUsed/>
    <w:qFormat/>
    <w:locked/>
    <w:uiPriority w:val="99"/>
  </w:style>
  <w:style w:type="character" w:styleId="26">
    <w:name w:val="HTML Typewriter"/>
    <w:basedOn w:val="20"/>
    <w:semiHidden/>
    <w:unhideWhenUsed/>
    <w:qFormat/>
    <w:locked/>
    <w:uiPriority w:val="99"/>
    <w:rPr>
      <w:rFonts w:ascii="monospace" w:hAnsi="monospace" w:eastAsia="monospace" w:cs="monospace"/>
      <w:sz w:val="20"/>
    </w:rPr>
  </w:style>
  <w:style w:type="character" w:styleId="27">
    <w:name w:val="HTML Acronym"/>
    <w:basedOn w:val="20"/>
    <w:semiHidden/>
    <w:unhideWhenUsed/>
    <w:qFormat/>
    <w:locked/>
    <w:uiPriority w:val="99"/>
  </w:style>
  <w:style w:type="character" w:styleId="28">
    <w:name w:val="HTML Variable"/>
    <w:basedOn w:val="20"/>
    <w:semiHidden/>
    <w:unhideWhenUsed/>
    <w:qFormat/>
    <w:locked/>
    <w:uiPriority w:val="99"/>
  </w:style>
  <w:style w:type="character" w:styleId="29">
    <w:name w:val="Hyperlink"/>
    <w:basedOn w:val="20"/>
    <w:qFormat/>
    <w:uiPriority w:val="99"/>
    <w:rPr>
      <w:color w:val="0000FF"/>
      <w:u w:val="none"/>
    </w:rPr>
  </w:style>
  <w:style w:type="character" w:styleId="30">
    <w:name w:val="HTML Code"/>
    <w:basedOn w:val="20"/>
    <w:semiHidden/>
    <w:unhideWhenUsed/>
    <w:qFormat/>
    <w:locked/>
    <w:uiPriority w:val="99"/>
    <w:rPr>
      <w:rFonts w:hint="default" w:ascii="monospace" w:hAnsi="monospace" w:eastAsia="monospace" w:cs="monospace"/>
      <w:sz w:val="20"/>
    </w:rPr>
  </w:style>
  <w:style w:type="character" w:styleId="31">
    <w:name w:val="annotation reference"/>
    <w:semiHidden/>
    <w:qFormat/>
    <w:uiPriority w:val="99"/>
    <w:rPr>
      <w:sz w:val="21"/>
      <w:szCs w:val="21"/>
    </w:rPr>
  </w:style>
  <w:style w:type="character" w:styleId="32">
    <w:name w:val="HTML Cite"/>
    <w:basedOn w:val="20"/>
    <w:semiHidden/>
    <w:unhideWhenUsed/>
    <w:qFormat/>
    <w:locked/>
    <w:uiPriority w:val="99"/>
  </w:style>
  <w:style w:type="character" w:styleId="33">
    <w:name w:val="HTML Keyboard"/>
    <w:basedOn w:val="20"/>
    <w:semiHidden/>
    <w:unhideWhenUsed/>
    <w:qFormat/>
    <w:locked/>
    <w:uiPriority w:val="99"/>
    <w:rPr>
      <w:rFonts w:hint="default" w:ascii="monospace" w:hAnsi="monospace" w:eastAsia="monospace" w:cs="monospace"/>
      <w:sz w:val="20"/>
    </w:rPr>
  </w:style>
  <w:style w:type="character" w:styleId="34">
    <w:name w:val="HTML Sample"/>
    <w:basedOn w:val="20"/>
    <w:semiHidden/>
    <w:unhideWhenUsed/>
    <w:qFormat/>
    <w:locked/>
    <w:uiPriority w:val="99"/>
    <w:rPr>
      <w:rFonts w:hint="default" w:ascii="monospace" w:hAnsi="monospace" w:eastAsia="monospace" w:cs="monospace"/>
    </w:rPr>
  </w:style>
  <w:style w:type="paragraph" w:customStyle="1" w:styleId="35">
    <w:name w:val="BodyText1I2"/>
    <w:basedOn w:val="36"/>
    <w:next w:val="37"/>
    <w:qFormat/>
    <w:uiPriority w:val="0"/>
    <w:pPr>
      <w:tabs>
        <w:tab w:val="left" w:pos="360"/>
      </w:tabs>
      <w:ind w:firstLine="420"/>
    </w:pPr>
    <w:rPr>
      <w:sz w:val="24"/>
    </w:rPr>
  </w:style>
  <w:style w:type="paragraph" w:customStyle="1" w:styleId="36">
    <w:name w:val="BodyTextIndent"/>
    <w:basedOn w:val="1"/>
    <w:next w:val="1"/>
    <w:qFormat/>
    <w:uiPriority w:val="0"/>
    <w:pPr>
      <w:spacing w:after="120"/>
      <w:ind w:left="420" w:leftChars="200"/>
      <w:textAlignment w:val="baseline"/>
    </w:pPr>
  </w:style>
  <w:style w:type="paragraph" w:customStyle="1" w:styleId="37">
    <w:name w:val="BodyText"/>
    <w:basedOn w:val="1"/>
    <w:next w:val="10"/>
    <w:qFormat/>
    <w:uiPriority w:val="0"/>
    <w:pPr>
      <w:spacing w:after="120"/>
      <w:textAlignment w:val="baseline"/>
    </w:pPr>
  </w:style>
  <w:style w:type="character" w:customStyle="1" w:styleId="38">
    <w:name w:val="批注文字 Char"/>
    <w:link w:val="5"/>
    <w:semiHidden/>
    <w:qFormat/>
    <w:locked/>
    <w:uiPriority w:val="99"/>
    <w:rPr>
      <w:rFonts w:ascii="Calibri" w:hAnsi="Calibri" w:cs="Calibri"/>
      <w:sz w:val="21"/>
      <w:szCs w:val="21"/>
    </w:rPr>
  </w:style>
  <w:style w:type="character" w:customStyle="1" w:styleId="39">
    <w:name w:val="正文文本缩进 Char"/>
    <w:link w:val="7"/>
    <w:semiHidden/>
    <w:qFormat/>
    <w:locked/>
    <w:uiPriority w:val="99"/>
    <w:rPr>
      <w:rFonts w:ascii="Calibri" w:hAnsi="Calibri" w:cs="Calibri"/>
      <w:sz w:val="21"/>
      <w:szCs w:val="21"/>
    </w:rPr>
  </w:style>
  <w:style w:type="character" w:customStyle="1" w:styleId="40">
    <w:name w:val="日期 Char"/>
    <w:link w:val="10"/>
    <w:semiHidden/>
    <w:qFormat/>
    <w:locked/>
    <w:uiPriority w:val="99"/>
    <w:rPr>
      <w:rFonts w:ascii="Calibri" w:hAnsi="Calibri" w:cs="Calibri"/>
      <w:sz w:val="21"/>
      <w:szCs w:val="21"/>
    </w:rPr>
  </w:style>
  <w:style w:type="character" w:customStyle="1" w:styleId="41">
    <w:name w:val="页脚 Char"/>
    <w:link w:val="12"/>
    <w:semiHidden/>
    <w:qFormat/>
    <w:locked/>
    <w:uiPriority w:val="99"/>
    <w:rPr>
      <w:rFonts w:ascii="Calibri" w:hAnsi="Calibri" w:cs="Calibri"/>
      <w:sz w:val="18"/>
      <w:szCs w:val="18"/>
    </w:rPr>
  </w:style>
  <w:style w:type="character" w:customStyle="1" w:styleId="42">
    <w:name w:val="页眉 Char"/>
    <w:link w:val="13"/>
    <w:semiHidden/>
    <w:qFormat/>
    <w:locked/>
    <w:uiPriority w:val="99"/>
    <w:rPr>
      <w:rFonts w:ascii="Calibri" w:hAnsi="Calibri" w:cs="Calibri"/>
      <w:sz w:val="18"/>
      <w:szCs w:val="18"/>
    </w:rPr>
  </w:style>
  <w:style w:type="character" w:customStyle="1" w:styleId="43">
    <w:name w:val="正文文本 2 Char"/>
    <w:link w:val="15"/>
    <w:semiHidden/>
    <w:qFormat/>
    <w:locked/>
    <w:uiPriority w:val="99"/>
    <w:rPr>
      <w:rFonts w:ascii="Calibri" w:hAnsi="Calibri" w:cs="Calibri"/>
      <w:sz w:val="21"/>
      <w:szCs w:val="21"/>
    </w:rPr>
  </w:style>
  <w:style w:type="paragraph" w:customStyle="1" w:styleId="44">
    <w:name w:val="列出段落1"/>
    <w:basedOn w:val="1"/>
    <w:qFormat/>
    <w:uiPriority w:val="99"/>
    <w:pPr>
      <w:ind w:firstLine="420" w:firstLineChars="200"/>
    </w:pPr>
  </w:style>
  <w:style w:type="character" w:customStyle="1" w:styleId="45">
    <w:name w:val="font01"/>
    <w:qFormat/>
    <w:uiPriority w:val="99"/>
    <w:rPr>
      <w:rFonts w:ascii="宋体" w:hAnsi="宋体" w:eastAsia="宋体" w:cs="宋体"/>
      <w:color w:val="000000"/>
      <w:sz w:val="22"/>
      <w:szCs w:val="22"/>
      <w:u w:val="none"/>
    </w:rPr>
  </w:style>
  <w:style w:type="character" w:customStyle="1" w:styleId="46">
    <w:name w:val="批注框文本 Char"/>
    <w:link w:val="11"/>
    <w:semiHidden/>
    <w:qFormat/>
    <w:locked/>
    <w:uiPriority w:val="99"/>
    <w:rPr>
      <w:rFonts w:ascii="Calibri" w:hAnsi="Calibri" w:cs="Calibri"/>
      <w:sz w:val="2"/>
      <w:szCs w:val="2"/>
    </w:rPr>
  </w:style>
  <w:style w:type="paragraph" w:customStyle="1" w:styleId="47">
    <w:name w:val="普通(网站) Char"/>
    <w:basedOn w:val="1"/>
    <w:unhideWhenUsed/>
    <w:qFormat/>
    <w:uiPriority w:val="99"/>
    <w:pPr>
      <w:spacing w:before="100" w:beforeAutospacing="1" w:after="100" w:afterAutospacing="1"/>
      <w:jc w:val="left"/>
    </w:pPr>
    <w:rPr>
      <w:rFonts w:hint="eastAsia" w:ascii="宋体" w:hAnsi="宋体"/>
      <w:sz w:val="24"/>
    </w:rPr>
  </w:style>
  <w:style w:type="paragraph" w:customStyle="1" w:styleId="48">
    <w:name w:val="dd"/>
    <w:basedOn w:val="1"/>
    <w:unhideWhenUsed/>
    <w:qFormat/>
    <w:uiPriority w:val="99"/>
    <w:pPr>
      <w:jc w:val="left"/>
    </w:pPr>
    <w:rPr>
      <w:rFonts w:hint="eastAsia"/>
    </w:rPr>
  </w:style>
  <w:style w:type="paragraph" w:customStyle="1" w:styleId="49">
    <w:name w:val="TOC 标题1"/>
    <w:basedOn w:val="2"/>
    <w:next w:val="1"/>
    <w:qFormat/>
    <w:uiPriority w:val="39"/>
    <w:pPr>
      <w:tabs>
        <w:tab w:val="left" w:pos="1800"/>
      </w:tabs>
      <w:spacing w:before="480" w:line="276" w:lineRule="auto"/>
      <w:outlineLvl w:val="9"/>
    </w:pPr>
    <w:rPr>
      <w:rFonts w:ascii="仿宋" w:hAnsi="仿宋" w:eastAsia="仿宋"/>
      <w:color w:val="000000"/>
      <w:kern w:val="0"/>
      <w:szCs w:val="32"/>
    </w:rPr>
  </w:style>
  <w:style w:type="character" w:customStyle="1" w:styleId="50">
    <w:name w:val="NormalCharacter"/>
    <w:link w:val="1"/>
    <w:qFormat/>
    <w:uiPriority w:val="0"/>
    <w:rPr>
      <w:rFonts w:ascii="Calibri" w:hAnsi="Calibri" w:eastAsia="宋体" w:cs="Calibri"/>
      <w:kern w:val="2"/>
      <w:sz w:val="21"/>
      <w:szCs w:val="21"/>
      <w:lang w:val="en-US" w:eastAsia="zh-CN" w:bidi="ar-SA"/>
    </w:rPr>
  </w:style>
  <w:style w:type="paragraph" w:customStyle="1" w:styleId="51">
    <w:name w:val="Heading2"/>
    <w:basedOn w:val="1"/>
    <w:next w:val="1"/>
    <w:qFormat/>
    <w:uiPriority w:val="0"/>
    <w:pPr>
      <w:keepNext/>
      <w:keepLines/>
      <w:spacing w:before="260" w:after="260" w:line="416" w:lineRule="auto"/>
      <w:jc w:val="both"/>
      <w:textAlignment w:val="baseline"/>
    </w:pPr>
    <w:rPr>
      <w:rFonts w:ascii="Cambria" w:hAnsi="Cambria" w:eastAsia="宋体" w:cs="Times New Roman"/>
      <w:b/>
      <w:bCs/>
      <w:kern w:val="2"/>
      <w:sz w:val="32"/>
      <w:szCs w:val="32"/>
      <w:lang w:val="en-US" w:eastAsia="zh-CN" w:bidi="ar-SA"/>
    </w:rPr>
  </w:style>
  <w:style w:type="paragraph" w:customStyle="1" w:styleId="52">
    <w:name w:val="PlainText"/>
    <w:basedOn w:val="1"/>
    <w:qFormat/>
    <w:uiPriority w:val="0"/>
    <w:pPr>
      <w:jc w:val="both"/>
      <w:textAlignment w:val="baseline"/>
    </w:pPr>
    <w:rPr>
      <w:rFonts w:ascii="宋体" w:hAnsi="Courier New"/>
      <w:b/>
      <w:kern w:val="2"/>
      <w:sz w:val="21"/>
      <w:szCs w:val="22"/>
      <w:lang w:val="en-US" w:eastAsia="zh-CN" w:bidi="ar-SA"/>
    </w:rPr>
  </w:style>
  <w:style w:type="paragraph" w:customStyle="1" w:styleId="53">
    <w:name w:val="段"/>
    <w:next w:val="1"/>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character" w:customStyle="1" w:styleId="54">
    <w:name w:val="last-child"/>
    <w:basedOn w:val="20"/>
    <w:qFormat/>
    <w:uiPriority w:val="0"/>
  </w:style>
  <w:style w:type="paragraph" w:styleId="55">
    <w:name w:val="List Paragraph"/>
    <w:basedOn w:val="1"/>
    <w:qFormat/>
    <w:uiPriority w:val="34"/>
    <w:pPr>
      <w:ind w:firstLine="420" w:firstLineChars="200"/>
    </w:pPr>
  </w:style>
  <w:style w:type="character" w:customStyle="1" w:styleId="56">
    <w:name w:val="next"/>
    <w:basedOn w:val="20"/>
    <w:qFormat/>
    <w:uiPriority w:val="0"/>
    <w:rPr>
      <w:rFonts w:ascii="微软雅黑" w:hAnsi="微软雅黑" w:eastAsia="微软雅黑" w:cs="微软雅黑"/>
      <w:sz w:val="21"/>
      <w:szCs w:val="21"/>
    </w:rPr>
  </w:style>
  <w:style w:type="character" w:customStyle="1" w:styleId="57">
    <w:name w:val="next1"/>
    <w:basedOn w:val="20"/>
    <w:qFormat/>
    <w:uiPriority w:val="0"/>
    <w:rPr>
      <w:color w:val="888888"/>
    </w:rPr>
  </w:style>
  <w:style w:type="character" w:customStyle="1" w:styleId="58">
    <w:name w:val="prev"/>
    <w:basedOn w:val="20"/>
    <w:qFormat/>
    <w:uiPriority w:val="0"/>
    <w:rPr>
      <w:rFonts w:hint="eastAsia" w:ascii="微软雅黑" w:hAnsi="微软雅黑" w:eastAsia="微软雅黑" w:cs="微软雅黑"/>
      <w:sz w:val="21"/>
      <w:szCs w:val="21"/>
    </w:rPr>
  </w:style>
  <w:style w:type="character" w:customStyle="1" w:styleId="59">
    <w:name w:val="prev1"/>
    <w:basedOn w:val="20"/>
    <w:qFormat/>
    <w:uiPriority w:val="0"/>
    <w:rPr>
      <w:color w:val="888888"/>
    </w:rPr>
  </w:style>
  <w:style w:type="character" w:customStyle="1" w:styleId="60">
    <w:name w:val="cfdate"/>
    <w:basedOn w:val="20"/>
    <w:qFormat/>
    <w:uiPriority w:val="0"/>
    <w:rPr>
      <w:color w:val="333333"/>
      <w:sz w:val="18"/>
      <w:szCs w:val="18"/>
    </w:rPr>
  </w:style>
  <w:style w:type="character" w:customStyle="1" w:styleId="61">
    <w:name w:val="displayarti"/>
    <w:basedOn w:val="20"/>
    <w:qFormat/>
    <w:uiPriority w:val="0"/>
    <w:rPr>
      <w:color w:val="FFFFFF"/>
      <w:shd w:val="clear" w:fill="A00000"/>
    </w:rPr>
  </w:style>
  <w:style w:type="character" w:customStyle="1" w:styleId="62">
    <w:name w:val="qxdate"/>
    <w:basedOn w:val="20"/>
    <w:qFormat/>
    <w:uiPriority w:val="0"/>
    <w:rPr>
      <w:color w:val="333333"/>
      <w:sz w:val="18"/>
      <w:szCs w:val="18"/>
    </w:rPr>
  </w:style>
  <w:style w:type="character" w:customStyle="1" w:styleId="63">
    <w:name w:val="gjfg"/>
    <w:basedOn w:val="20"/>
    <w:qFormat/>
    <w:uiPriority w:val="0"/>
  </w:style>
  <w:style w:type="character" w:customStyle="1" w:styleId="64">
    <w:name w:val="redfilefwwh"/>
    <w:basedOn w:val="20"/>
    <w:qFormat/>
    <w:uiPriority w:val="0"/>
    <w:rPr>
      <w:color w:val="BA2636"/>
      <w:sz w:val="18"/>
      <w:szCs w:val="18"/>
    </w:rPr>
  </w:style>
  <w:style w:type="character" w:customStyle="1" w:styleId="65">
    <w:name w:val="redfilenumber"/>
    <w:basedOn w:val="20"/>
    <w:qFormat/>
    <w:uiPriority w:val="0"/>
    <w:rPr>
      <w:color w:val="BA2636"/>
      <w:sz w:val="18"/>
      <w:szCs w:val="18"/>
    </w:rPr>
  </w:style>
  <w:style w:type="character" w:customStyle="1" w:styleId="66">
    <w:name w:val="prev2"/>
    <w:basedOn w:val="20"/>
    <w:qFormat/>
    <w:uiPriority w:val="0"/>
    <w:rPr>
      <w:color w:val="888888"/>
    </w:rPr>
  </w:style>
  <w:style w:type="character" w:customStyle="1" w:styleId="67">
    <w:name w:val="prev3"/>
    <w:basedOn w:val="20"/>
    <w:qFormat/>
    <w:uiPriority w:val="0"/>
    <w:rPr>
      <w:rFonts w:ascii="微软雅黑" w:hAnsi="微软雅黑" w:eastAsia="微软雅黑" w:cs="微软雅黑"/>
      <w:sz w:val="21"/>
      <w:szCs w:val="21"/>
    </w:rPr>
  </w:style>
  <w:style w:type="character" w:customStyle="1" w:styleId="68">
    <w:name w:val="next2"/>
    <w:basedOn w:val="20"/>
    <w:qFormat/>
    <w:uiPriority w:val="0"/>
    <w:rPr>
      <w:color w:val="888888"/>
    </w:rPr>
  </w:style>
  <w:style w:type="character" w:customStyle="1" w:styleId="69">
    <w:name w:val="next3"/>
    <w:basedOn w:val="20"/>
    <w:qFormat/>
    <w:uiPriority w:val="0"/>
    <w:rPr>
      <w:rFonts w:hint="eastAsia" w:ascii="微软雅黑" w:hAnsi="微软雅黑" w:eastAsia="微软雅黑" w:cs="微软雅黑"/>
      <w:sz w:val="21"/>
      <w:szCs w:val="21"/>
    </w:rPr>
  </w:style>
  <w:style w:type="paragraph" w:customStyle="1" w:styleId="70">
    <w:name w:val="Table Text"/>
    <w:basedOn w:val="1"/>
    <w:semiHidden/>
    <w:qFormat/>
    <w:uiPriority w:val="0"/>
    <w:rPr>
      <w:rFonts w:ascii="宋体" w:hAnsi="宋体" w:eastAsia="宋体" w:cs="宋体"/>
      <w:sz w:val="19"/>
      <w:szCs w:val="19"/>
      <w:lang w:val="en-US" w:eastAsia="en-US" w:bidi="ar-SA"/>
    </w:rPr>
  </w:style>
  <w:style w:type="table" w:customStyle="1" w:styleId="7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40</Pages>
  <Words>5099</Words>
  <Characters>5660</Characters>
  <Lines>302</Lines>
  <Paragraphs>585</Paragraphs>
  <TotalTime>0</TotalTime>
  <ScaleCrop>false</ScaleCrop>
  <LinksUpToDate>false</LinksUpToDate>
  <CharactersWithSpaces>5867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2021-08-23T01:37:00Z</dcterms:created>
  <dc:creator>Administrator.YRDDFTR1CWIOKJ5</dc:creator>
  <cp:lastModifiedBy>空</cp:lastModifiedBy>
  <cp:lastPrinted>2020-11-06T00:49:00Z</cp:lastPrinted>
  <dcterms:modified xsi:type="dcterms:W3CDTF">2025-04-16T01:36:48Z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B4775FFF82324C7A80BF2FB1A4980073</vt:lpwstr>
  </property>
  <property fmtid="{D5CDD505-2E9C-101B-9397-08002B2CF9AE}" pid="4" name="KSOTemplateDocerSaveRecord">
    <vt:lpwstr>eyJoZGlkIjoiMDNmODI4YWIwZjkzZTI5ZThlOWRkNjU2Njk0YjEyMDAiLCJ1c2VySWQiOiI3NDM1ODM4NTgifQ==</vt:lpwstr>
  </property>
</Properties>
</file>