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D47860">
      <w:pPr>
        <w:tabs>
          <w:tab w:val="left" w:pos="7334"/>
          <w:tab w:val="right" w:pos="9185"/>
        </w:tabs>
        <w:spacing w:line="360" w:lineRule="auto"/>
        <w:rPr>
          <w:rFonts w:ascii="宋体" w:hAnsi="宋体"/>
          <w:color w:val="auto"/>
          <w:sz w:val="24"/>
        </w:rPr>
      </w:pPr>
    </w:p>
    <w:p w14:paraId="38E98305">
      <w:pPr>
        <w:tabs>
          <w:tab w:val="left" w:pos="7334"/>
          <w:tab w:val="right" w:pos="9185"/>
        </w:tabs>
        <w:spacing w:line="360" w:lineRule="auto"/>
        <w:rPr>
          <w:rFonts w:ascii="宋体" w:hAnsi="宋体"/>
          <w:color w:val="auto"/>
          <w:sz w:val="24"/>
        </w:rPr>
      </w:pPr>
      <w:r>
        <w:rPr>
          <w:rFonts w:ascii="宋体" w:hAnsi="宋体"/>
          <w:color w:val="auto"/>
          <w:sz w:val="24"/>
        </w:rPr>
        <w:tab/>
      </w:r>
      <w:r>
        <w:rPr>
          <w:rFonts w:ascii="宋体" w:hAnsi="宋体"/>
          <w:color w:val="auto"/>
          <w:sz w:val="24"/>
        </w:rPr>
        <w:tab/>
      </w:r>
    </w:p>
    <w:p w14:paraId="549A9D83">
      <w:pPr>
        <w:pStyle w:val="52"/>
        <w:jc w:val="center"/>
        <w:rPr>
          <w:rFonts w:ascii="宋体" w:hAnsi="宋体" w:eastAsia="宋体"/>
          <w:color w:val="auto"/>
          <w:sz w:val="24"/>
          <w:szCs w:val="24"/>
        </w:rPr>
      </w:pPr>
      <w:r>
        <w:rPr>
          <w:rStyle w:val="48"/>
          <w:rFonts w:hint="eastAsia" w:ascii="宋体" w:hAnsi="宋体" w:eastAsia="宋体"/>
          <w:b/>
          <w:bCs/>
          <w:color w:val="auto"/>
          <w:sz w:val="48"/>
          <w:szCs w:val="48"/>
          <w:u w:val="none"/>
          <w:lang w:eastAsia="zh-CN"/>
        </w:rPr>
        <w:t>蚕产品农残检测辅助系统</w:t>
      </w:r>
    </w:p>
    <w:p w14:paraId="1945C85F">
      <w:pPr>
        <w:pStyle w:val="52"/>
        <w:ind w:firstLine="1680" w:firstLineChars="700"/>
        <w:rPr>
          <w:rFonts w:ascii="宋体" w:hAnsi="宋体" w:eastAsia="宋体"/>
          <w:color w:val="auto"/>
          <w:sz w:val="24"/>
          <w:szCs w:val="24"/>
        </w:rPr>
      </w:pPr>
    </w:p>
    <w:p w14:paraId="4583342B">
      <w:pPr>
        <w:pStyle w:val="52"/>
        <w:ind w:firstLine="1680" w:firstLineChars="700"/>
        <w:rPr>
          <w:rFonts w:ascii="宋体" w:hAnsi="宋体" w:eastAsia="宋体"/>
          <w:color w:val="auto"/>
          <w:sz w:val="24"/>
          <w:szCs w:val="24"/>
        </w:rPr>
      </w:pPr>
    </w:p>
    <w:p w14:paraId="2F8F7BFA">
      <w:pPr>
        <w:pStyle w:val="52"/>
        <w:ind w:firstLine="1680" w:firstLineChars="700"/>
        <w:rPr>
          <w:rFonts w:ascii="宋体" w:hAnsi="宋体" w:eastAsia="宋体"/>
          <w:color w:val="auto"/>
          <w:sz w:val="24"/>
          <w:szCs w:val="24"/>
        </w:rPr>
      </w:pPr>
    </w:p>
    <w:p w14:paraId="6A646BCE">
      <w:pPr>
        <w:pStyle w:val="52"/>
        <w:ind w:firstLine="1680" w:firstLineChars="700"/>
        <w:rPr>
          <w:rFonts w:ascii="宋体" w:hAnsi="宋体" w:eastAsia="宋体"/>
          <w:color w:val="auto"/>
          <w:sz w:val="24"/>
          <w:szCs w:val="24"/>
        </w:rPr>
      </w:pPr>
    </w:p>
    <w:p w14:paraId="4C4FC9E6">
      <w:pPr>
        <w:pStyle w:val="52"/>
        <w:ind w:firstLine="1680" w:firstLineChars="700"/>
        <w:rPr>
          <w:rFonts w:ascii="宋体" w:hAnsi="宋体" w:eastAsia="宋体"/>
          <w:color w:val="auto"/>
          <w:sz w:val="24"/>
          <w:szCs w:val="24"/>
        </w:rPr>
      </w:pPr>
    </w:p>
    <w:p w14:paraId="54985BC5">
      <w:pPr>
        <w:pStyle w:val="52"/>
        <w:rPr>
          <w:b/>
          <w:bCs/>
          <w:color w:val="auto"/>
        </w:rPr>
      </w:pPr>
    </w:p>
    <w:p w14:paraId="45476C97">
      <w:pPr>
        <w:pStyle w:val="52"/>
        <w:jc w:val="center"/>
        <w:rPr>
          <w:rFonts w:hint="eastAsia" w:ascii="宋体" w:eastAsia="宋体"/>
          <w:color w:val="auto"/>
          <w:sz w:val="96"/>
          <w:szCs w:val="16"/>
        </w:rPr>
      </w:pPr>
    </w:p>
    <w:p w14:paraId="2C3D052D">
      <w:pPr>
        <w:pStyle w:val="52"/>
        <w:jc w:val="center"/>
        <w:rPr>
          <w:rFonts w:ascii="宋体" w:eastAsia="宋体"/>
          <w:color w:val="auto"/>
          <w:sz w:val="72"/>
          <w:szCs w:val="15"/>
        </w:rPr>
      </w:pPr>
      <w:r>
        <w:rPr>
          <w:rFonts w:hint="eastAsia" w:ascii="宋体" w:eastAsia="宋体"/>
          <w:color w:val="auto"/>
          <w:sz w:val="72"/>
          <w:szCs w:val="15"/>
          <w:lang w:val="en-US" w:eastAsia="zh-CN"/>
        </w:rPr>
        <w:t>竞争性</w:t>
      </w:r>
      <w:r>
        <w:rPr>
          <w:rFonts w:hint="eastAsia" w:ascii="宋体" w:eastAsia="宋体"/>
          <w:color w:val="auto"/>
          <w:sz w:val="72"/>
          <w:szCs w:val="15"/>
        </w:rPr>
        <w:t>谈判文件</w:t>
      </w:r>
    </w:p>
    <w:p w14:paraId="6D88958C">
      <w:pPr>
        <w:pStyle w:val="52"/>
        <w:rPr>
          <w:b/>
          <w:bCs/>
          <w:color w:val="auto"/>
        </w:rPr>
      </w:pPr>
    </w:p>
    <w:p w14:paraId="3C9A5F82">
      <w:pPr>
        <w:pStyle w:val="52"/>
        <w:jc w:val="center"/>
        <w:rPr>
          <w:rFonts w:hint="default" w:ascii="宋体" w:hAnsi="宋体" w:eastAsia="宋体"/>
          <w:b/>
          <w:bCs/>
          <w:color w:val="auto"/>
          <w:sz w:val="24"/>
          <w:szCs w:val="24"/>
          <w:lang w:val="en-US" w:eastAsia="zh-CN"/>
        </w:rPr>
      </w:pPr>
      <w:r>
        <w:rPr>
          <w:rFonts w:hint="eastAsia" w:ascii="宋体" w:hAnsi="宋体" w:eastAsia="宋体"/>
          <w:b/>
          <w:bCs/>
          <w:color w:val="auto"/>
          <w:sz w:val="24"/>
          <w:szCs w:val="24"/>
        </w:rPr>
        <w:t>文件编号：采购计划-[2025]-02672号-JCZX2025-018</w:t>
      </w:r>
    </w:p>
    <w:p w14:paraId="792DE764">
      <w:pPr>
        <w:pStyle w:val="52"/>
        <w:ind w:firstLine="1680" w:firstLineChars="700"/>
        <w:rPr>
          <w:rFonts w:ascii="宋体" w:hAnsi="宋体" w:eastAsia="宋体"/>
          <w:color w:val="auto"/>
          <w:sz w:val="24"/>
          <w:szCs w:val="24"/>
        </w:rPr>
      </w:pPr>
    </w:p>
    <w:p w14:paraId="504693E2">
      <w:pPr>
        <w:pStyle w:val="52"/>
        <w:rPr>
          <w:b/>
          <w:bCs/>
          <w:color w:val="auto"/>
        </w:rPr>
      </w:pPr>
    </w:p>
    <w:p w14:paraId="24B93ED8">
      <w:pPr>
        <w:pStyle w:val="52"/>
        <w:rPr>
          <w:b/>
          <w:bCs/>
          <w:color w:val="auto"/>
        </w:rPr>
      </w:pPr>
    </w:p>
    <w:p w14:paraId="64552F09">
      <w:pPr>
        <w:pStyle w:val="52"/>
        <w:rPr>
          <w:b/>
          <w:bCs/>
          <w:color w:val="auto"/>
        </w:rPr>
      </w:pPr>
    </w:p>
    <w:p w14:paraId="7E097568">
      <w:pPr>
        <w:pStyle w:val="52"/>
        <w:rPr>
          <w:b/>
          <w:bCs/>
          <w:color w:val="auto"/>
        </w:rPr>
      </w:pPr>
    </w:p>
    <w:p w14:paraId="4AF400B7">
      <w:pPr>
        <w:pStyle w:val="52"/>
        <w:rPr>
          <w:b/>
          <w:bCs/>
          <w:color w:val="auto"/>
        </w:rPr>
      </w:pPr>
    </w:p>
    <w:p w14:paraId="4739F067">
      <w:pPr>
        <w:pStyle w:val="52"/>
        <w:rPr>
          <w:b/>
          <w:bCs/>
          <w:color w:val="auto"/>
        </w:rPr>
      </w:pPr>
    </w:p>
    <w:p w14:paraId="48F3D8CA">
      <w:pPr>
        <w:pStyle w:val="52"/>
        <w:rPr>
          <w:b/>
          <w:bCs/>
          <w:color w:val="auto"/>
        </w:rPr>
      </w:pPr>
    </w:p>
    <w:p w14:paraId="2AEF2E28">
      <w:pPr>
        <w:pStyle w:val="52"/>
        <w:rPr>
          <w:b/>
          <w:bCs/>
          <w:color w:val="auto"/>
        </w:rPr>
      </w:pPr>
    </w:p>
    <w:p w14:paraId="6F3D1FAC">
      <w:pPr>
        <w:pStyle w:val="52"/>
        <w:rPr>
          <w:b/>
          <w:bCs/>
          <w:color w:val="auto"/>
        </w:rPr>
      </w:pPr>
    </w:p>
    <w:p w14:paraId="75AA6CF4">
      <w:pPr>
        <w:pStyle w:val="52"/>
        <w:rPr>
          <w:color w:val="auto"/>
        </w:rPr>
      </w:pPr>
    </w:p>
    <w:p w14:paraId="053321AE">
      <w:pPr>
        <w:keepNext w:val="0"/>
        <w:keepLines w:val="0"/>
        <w:pageBreakBefore w:val="0"/>
        <w:widowControl w:val="0"/>
        <w:kinsoku/>
        <w:wordWrap/>
        <w:overflowPunct/>
        <w:topLinePunct w:val="0"/>
        <w:bidi w:val="0"/>
        <w:snapToGrid/>
        <w:spacing w:line="360" w:lineRule="auto"/>
        <w:ind w:firstLine="964" w:firstLineChars="300"/>
        <w:jc w:val="both"/>
        <w:textAlignment w:val="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采购人：吉林省蚕业科学研究院</w:t>
      </w:r>
    </w:p>
    <w:p w14:paraId="7E47B255">
      <w:pPr>
        <w:keepNext w:val="0"/>
        <w:keepLines w:val="0"/>
        <w:pageBreakBefore w:val="0"/>
        <w:widowControl w:val="0"/>
        <w:kinsoku/>
        <w:wordWrap/>
        <w:overflowPunct/>
        <w:topLinePunct w:val="0"/>
        <w:bidi w:val="0"/>
        <w:snapToGrid/>
        <w:spacing w:line="360" w:lineRule="auto"/>
        <w:ind w:firstLine="964" w:firstLineChars="300"/>
        <w:jc w:val="both"/>
        <w:textAlignment w:val="auto"/>
        <w:rPr>
          <w:rFonts w:hint="eastAsia" w:ascii="宋体" w:hAnsi="宋体" w:eastAsia="宋体" w:cs="宋体"/>
          <w:b/>
          <w:color w:val="auto"/>
          <w:sz w:val="32"/>
          <w:szCs w:val="32"/>
          <w:highlight w:val="none"/>
          <w:u w:val="single"/>
          <w:lang w:val="en-US" w:eastAsia="zh-CN"/>
        </w:rPr>
      </w:pPr>
      <w:r>
        <w:rPr>
          <w:rFonts w:hint="eastAsia" w:ascii="宋体" w:hAnsi="宋体" w:eastAsia="宋体" w:cs="宋体"/>
          <w:b/>
          <w:color w:val="auto"/>
          <w:sz w:val="32"/>
          <w:szCs w:val="32"/>
          <w:highlight w:val="none"/>
        </w:rPr>
        <w:t>采购代理机构：吉林省吉诚工程咨询有限公司</w:t>
      </w:r>
    </w:p>
    <w:p w14:paraId="4AA2D1CE">
      <w:pPr>
        <w:keepNext w:val="0"/>
        <w:keepLines w:val="0"/>
        <w:pageBreakBefore w:val="0"/>
        <w:widowControl w:val="0"/>
        <w:kinsoku/>
        <w:wordWrap/>
        <w:overflowPunct/>
        <w:topLinePunct w:val="0"/>
        <w:autoSpaceDE w:val="0"/>
        <w:autoSpaceDN w:val="0"/>
        <w:bidi w:val="0"/>
        <w:adjustRightInd w:val="0"/>
        <w:snapToGrid/>
        <w:spacing w:line="360" w:lineRule="auto"/>
        <w:ind w:firstLine="964" w:firstLineChars="300"/>
        <w:jc w:val="both"/>
        <w:textAlignment w:val="auto"/>
        <w:rPr>
          <w:rFonts w:hint="eastAsia" w:ascii="宋体" w:hAnsi="宋体" w:eastAsia="宋体" w:cs="宋体"/>
          <w:color w:val="auto"/>
          <w:kern w:val="0"/>
          <w:sz w:val="32"/>
          <w:szCs w:val="32"/>
          <w:highlight w:val="none"/>
          <w:lang w:eastAsia="zh-CN"/>
        </w:rPr>
      </w:pPr>
      <w:r>
        <w:rPr>
          <w:rFonts w:hint="eastAsia" w:ascii="宋体" w:hAnsi="宋体" w:eastAsia="宋体" w:cs="宋体"/>
          <w:b/>
          <w:color w:val="auto"/>
          <w:kern w:val="0"/>
          <w:sz w:val="32"/>
          <w:szCs w:val="32"/>
          <w:highlight w:val="none"/>
          <w:lang w:eastAsia="zh-CN"/>
        </w:rPr>
        <w:t>日期：二〇二五年</w:t>
      </w:r>
      <w:r>
        <w:rPr>
          <w:rFonts w:hint="eastAsia" w:ascii="宋体" w:hAnsi="宋体" w:eastAsia="宋体" w:cs="宋体"/>
          <w:b/>
          <w:color w:val="auto"/>
          <w:kern w:val="0"/>
          <w:sz w:val="32"/>
          <w:szCs w:val="32"/>
          <w:highlight w:val="none"/>
          <w:lang w:val="en-US" w:eastAsia="zh-CN"/>
        </w:rPr>
        <w:t>四</w:t>
      </w:r>
      <w:r>
        <w:rPr>
          <w:rFonts w:hint="eastAsia" w:ascii="宋体" w:hAnsi="宋体" w:eastAsia="宋体" w:cs="宋体"/>
          <w:b/>
          <w:color w:val="auto"/>
          <w:kern w:val="0"/>
          <w:sz w:val="32"/>
          <w:szCs w:val="32"/>
          <w:highlight w:val="none"/>
          <w:lang w:eastAsia="zh-CN"/>
        </w:rPr>
        <w:t>月</w:t>
      </w:r>
    </w:p>
    <w:p w14:paraId="77B11EEA">
      <w:pPr>
        <w:jc w:val="both"/>
        <w:rPr>
          <w:rFonts w:hint="eastAsia" w:ascii="宋体" w:hAnsi="宋体"/>
          <w:b/>
          <w:bCs/>
          <w:color w:val="auto"/>
          <w:sz w:val="44"/>
        </w:rPr>
        <w:sectPr>
          <w:headerReference r:id="rId3" w:type="even"/>
          <w:footerReference r:id="rId4" w:type="even"/>
          <w:pgSz w:w="11907" w:h="16840"/>
          <w:pgMar w:top="1440" w:right="1310" w:bottom="1440" w:left="1310" w:header="1021" w:footer="1021" w:gutter="170"/>
          <w:paperSrc w:first="15" w:other="15"/>
          <w:pgNumType w:fmt="numberInDash" w:start="1"/>
          <w:cols w:space="720" w:num="1"/>
          <w:titlePg/>
          <w:docGrid w:linePitch="286" w:charSpace="0"/>
        </w:sectPr>
      </w:pPr>
    </w:p>
    <w:p w14:paraId="1AB450EE">
      <w:pPr>
        <w:jc w:val="both"/>
        <w:rPr>
          <w:rFonts w:hint="eastAsia" w:ascii="宋体" w:hAnsi="宋体"/>
          <w:b/>
          <w:bCs/>
          <w:color w:val="auto"/>
          <w:sz w:val="44"/>
        </w:rPr>
      </w:pPr>
    </w:p>
    <w:p w14:paraId="0B3E2C01">
      <w:pPr>
        <w:jc w:val="center"/>
        <w:rPr>
          <w:rFonts w:ascii="宋体" w:hAnsi="宋体"/>
          <w:b/>
          <w:bCs/>
          <w:color w:val="auto"/>
          <w:sz w:val="44"/>
        </w:rPr>
      </w:pPr>
      <w:r>
        <w:rPr>
          <w:rFonts w:hint="eastAsia" w:ascii="宋体" w:hAnsi="宋体"/>
          <w:b/>
          <w:bCs/>
          <w:color w:val="auto"/>
          <w:sz w:val="44"/>
        </w:rPr>
        <w:t>目   录</w:t>
      </w:r>
    </w:p>
    <w:p w14:paraId="2256D55C">
      <w:pPr>
        <w:jc w:val="center"/>
        <w:rPr>
          <w:rFonts w:ascii="宋体" w:hAnsi="宋体"/>
          <w:b/>
          <w:bCs/>
          <w:color w:val="auto"/>
          <w:sz w:val="44"/>
        </w:rPr>
      </w:pPr>
    </w:p>
    <w:p w14:paraId="671325D3">
      <w:pPr>
        <w:rPr>
          <w:rFonts w:ascii="宋体" w:hAnsi="宋体"/>
          <w:color w:val="auto"/>
          <w:sz w:val="24"/>
        </w:rPr>
      </w:pPr>
    </w:p>
    <w:p w14:paraId="5410BD86">
      <w:pPr>
        <w:pStyle w:val="29"/>
        <w:rPr>
          <w:rFonts w:asciiTheme="minorHAnsi" w:hAnsiTheme="minorHAnsi" w:eastAsiaTheme="minorEastAsia" w:cstheme="minorBidi"/>
          <w:b/>
          <w:bCs/>
          <w:color w:val="auto"/>
          <w:szCs w:val="22"/>
        </w:rPr>
      </w:pPr>
      <w:r>
        <w:rPr>
          <w:color w:val="auto"/>
        </w:rPr>
        <w:fldChar w:fldCharType="begin"/>
      </w:r>
      <w:r>
        <w:rPr>
          <w:color w:val="auto"/>
        </w:rPr>
        <w:instrText xml:space="preserve"> TOC \o "1-3" \h \z \u </w:instrText>
      </w:r>
      <w:r>
        <w:rPr>
          <w:color w:val="auto"/>
        </w:rPr>
        <w:fldChar w:fldCharType="separate"/>
      </w:r>
      <w:r>
        <w:rPr>
          <w:b/>
          <w:bCs/>
          <w:color w:val="auto"/>
        </w:rPr>
        <w:fldChar w:fldCharType="begin"/>
      </w:r>
      <w:r>
        <w:rPr>
          <w:b/>
          <w:bCs/>
          <w:color w:val="auto"/>
        </w:rPr>
        <w:instrText xml:space="preserve"> HYPERLINK \l "_Toc103723514" </w:instrText>
      </w:r>
      <w:r>
        <w:rPr>
          <w:b/>
          <w:bCs/>
          <w:color w:val="auto"/>
        </w:rPr>
        <w:fldChar w:fldCharType="separate"/>
      </w:r>
      <w:r>
        <w:rPr>
          <w:rStyle w:val="48"/>
          <w:b/>
          <w:bCs/>
          <w:color w:val="auto"/>
        </w:rPr>
        <w:t>第一章</w:t>
      </w:r>
      <w:r>
        <w:rPr>
          <w:rStyle w:val="48"/>
          <w:rFonts w:hint="eastAsia"/>
          <w:b/>
          <w:bCs/>
          <w:color w:val="auto"/>
        </w:rPr>
        <w:t xml:space="preserve"> </w:t>
      </w:r>
      <w:r>
        <w:rPr>
          <w:rFonts w:hint="eastAsia"/>
          <w:b/>
          <w:bCs/>
          <w:color w:val="auto"/>
        </w:rPr>
        <w:t>竞争性谈判公告</w:t>
      </w:r>
      <w:r>
        <w:rPr>
          <w:b/>
          <w:bCs/>
          <w:color w:val="auto"/>
        </w:rPr>
        <w:tab/>
      </w:r>
      <w:r>
        <w:rPr>
          <w:b/>
          <w:bCs/>
          <w:color w:val="auto"/>
        </w:rPr>
        <w:fldChar w:fldCharType="begin"/>
      </w:r>
      <w:r>
        <w:rPr>
          <w:b/>
          <w:bCs/>
          <w:color w:val="auto"/>
        </w:rPr>
        <w:instrText xml:space="preserve"> PAGEREF _Toc103723514 \h </w:instrText>
      </w:r>
      <w:r>
        <w:rPr>
          <w:b/>
          <w:bCs/>
          <w:color w:val="auto"/>
        </w:rPr>
        <w:fldChar w:fldCharType="separate"/>
      </w:r>
      <w:r>
        <w:rPr>
          <w:b/>
          <w:bCs/>
          <w:color w:val="auto"/>
        </w:rPr>
        <w:t>2</w:t>
      </w:r>
      <w:r>
        <w:rPr>
          <w:b/>
          <w:bCs/>
          <w:color w:val="auto"/>
        </w:rPr>
        <w:fldChar w:fldCharType="end"/>
      </w:r>
      <w:r>
        <w:rPr>
          <w:b/>
          <w:bCs/>
          <w:color w:val="auto"/>
        </w:rPr>
        <w:fldChar w:fldCharType="end"/>
      </w:r>
    </w:p>
    <w:p w14:paraId="4DE5E523">
      <w:pPr>
        <w:pStyle w:val="29"/>
        <w:rPr>
          <w:rFonts w:asciiTheme="minorHAnsi" w:hAnsiTheme="minorHAnsi" w:eastAsiaTheme="minorEastAsia" w:cstheme="minorBidi"/>
          <w:b/>
          <w:bCs/>
          <w:color w:val="auto"/>
          <w:szCs w:val="22"/>
        </w:rPr>
      </w:pPr>
      <w:r>
        <w:rPr>
          <w:b/>
          <w:bCs/>
          <w:color w:val="auto"/>
        </w:rPr>
        <w:fldChar w:fldCharType="begin"/>
      </w:r>
      <w:r>
        <w:rPr>
          <w:b/>
          <w:bCs/>
          <w:color w:val="auto"/>
        </w:rPr>
        <w:instrText xml:space="preserve"> HYPERLINK \l "_Toc103723515" </w:instrText>
      </w:r>
      <w:r>
        <w:rPr>
          <w:b/>
          <w:bCs/>
          <w:color w:val="auto"/>
        </w:rPr>
        <w:fldChar w:fldCharType="separate"/>
      </w:r>
      <w:r>
        <w:rPr>
          <w:rStyle w:val="48"/>
          <w:b/>
          <w:bCs/>
          <w:color w:val="auto"/>
        </w:rPr>
        <w:t xml:space="preserve">第二章 </w:t>
      </w:r>
      <w:r>
        <w:rPr>
          <w:rStyle w:val="48"/>
          <w:rFonts w:hint="eastAsia"/>
          <w:b/>
          <w:bCs/>
          <w:color w:val="auto"/>
        </w:rPr>
        <w:t>项目</w:t>
      </w:r>
      <w:r>
        <w:rPr>
          <w:rStyle w:val="48"/>
          <w:b/>
          <w:bCs/>
          <w:color w:val="auto"/>
        </w:rPr>
        <w:t>需求</w:t>
      </w:r>
      <w:r>
        <w:rPr>
          <w:b/>
          <w:bCs/>
          <w:color w:val="auto"/>
        </w:rPr>
        <w:tab/>
      </w:r>
      <w:r>
        <w:rPr>
          <w:b/>
          <w:bCs/>
          <w:color w:val="auto"/>
        </w:rPr>
        <w:fldChar w:fldCharType="begin"/>
      </w:r>
      <w:r>
        <w:rPr>
          <w:b/>
          <w:bCs/>
          <w:color w:val="auto"/>
        </w:rPr>
        <w:instrText xml:space="preserve"> PAGEREF _Toc103723515 \h </w:instrText>
      </w:r>
      <w:r>
        <w:rPr>
          <w:b/>
          <w:bCs/>
          <w:color w:val="auto"/>
        </w:rPr>
        <w:fldChar w:fldCharType="separate"/>
      </w:r>
      <w:r>
        <w:rPr>
          <w:b/>
          <w:bCs/>
          <w:color w:val="auto"/>
        </w:rPr>
        <w:t>6</w:t>
      </w:r>
      <w:r>
        <w:rPr>
          <w:b/>
          <w:bCs/>
          <w:color w:val="auto"/>
        </w:rPr>
        <w:fldChar w:fldCharType="end"/>
      </w:r>
      <w:r>
        <w:rPr>
          <w:b/>
          <w:bCs/>
          <w:color w:val="auto"/>
        </w:rPr>
        <w:fldChar w:fldCharType="end"/>
      </w:r>
    </w:p>
    <w:p w14:paraId="26438784">
      <w:pPr>
        <w:pStyle w:val="29"/>
        <w:rPr>
          <w:rFonts w:asciiTheme="minorHAnsi" w:hAnsiTheme="minorHAnsi" w:eastAsiaTheme="minorEastAsia" w:cstheme="minorBidi"/>
          <w:b/>
          <w:bCs/>
          <w:color w:val="auto"/>
          <w:szCs w:val="22"/>
        </w:rPr>
      </w:pPr>
      <w:r>
        <w:rPr>
          <w:b/>
          <w:bCs/>
          <w:color w:val="auto"/>
        </w:rPr>
        <w:fldChar w:fldCharType="begin"/>
      </w:r>
      <w:r>
        <w:rPr>
          <w:b/>
          <w:bCs/>
          <w:color w:val="auto"/>
        </w:rPr>
        <w:instrText xml:space="preserve"> HYPERLINK \l "_Toc103723516" </w:instrText>
      </w:r>
      <w:r>
        <w:rPr>
          <w:b/>
          <w:bCs/>
          <w:color w:val="auto"/>
        </w:rPr>
        <w:fldChar w:fldCharType="separate"/>
      </w:r>
      <w:r>
        <w:rPr>
          <w:rStyle w:val="48"/>
          <w:b/>
          <w:bCs/>
          <w:color w:val="auto"/>
        </w:rPr>
        <w:t xml:space="preserve">第三章 </w:t>
      </w:r>
      <w:r>
        <w:rPr>
          <w:rFonts w:hint="eastAsia"/>
          <w:b/>
          <w:bCs/>
          <w:color w:val="auto"/>
        </w:rPr>
        <w:t>谈判供应商须知</w:t>
      </w:r>
      <w:r>
        <w:rPr>
          <w:b/>
          <w:bCs/>
          <w:color w:val="auto"/>
        </w:rPr>
        <w:tab/>
      </w:r>
      <w:r>
        <w:rPr>
          <w:b/>
          <w:bCs/>
          <w:color w:val="auto"/>
        </w:rPr>
        <w:fldChar w:fldCharType="begin"/>
      </w:r>
      <w:r>
        <w:rPr>
          <w:b/>
          <w:bCs/>
          <w:color w:val="auto"/>
        </w:rPr>
        <w:instrText xml:space="preserve"> PAGEREF _Toc103723516 \h </w:instrText>
      </w:r>
      <w:r>
        <w:rPr>
          <w:b/>
          <w:bCs/>
          <w:color w:val="auto"/>
        </w:rPr>
        <w:fldChar w:fldCharType="separate"/>
      </w:r>
      <w:r>
        <w:rPr>
          <w:b/>
          <w:bCs/>
          <w:color w:val="auto"/>
        </w:rPr>
        <w:t>12</w:t>
      </w:r>
      <w:r>
        <w:rPr>
          <w:b/>
          <w:bCs/>
          <w:color w:val="auto"/>
        </w:rPr>
        <w:fldChar w:fldCharType="end"/>
      </w:r>
      <w:r>
        <w:rPr>
          <w:b/>
          <w:bCs/>
          <w:color w:val="auto"/>
        </w:rPr>
        <w:fldChar w:fldCharType="end"/>
      </w:r>
    </w:p>
    <w:p w14:paraId="614427A7">
      <w:pPr>
        <w:pStyle w:val="29"/>
        <w:rPr>
          <w:rFonts w:asciiTheme="minorHAnsi" w:hAnsiTheme="minorHAnsi" w:eastAsiaTheme="minorEastAsia" w:cstheme="minorBidi"/>
          <w:b/>
          <w:bCs/>
          <w:color w:val="auto"/>
          <w:szCs w:val="22"/>
        </w:rPr>
      </w:pPr>
      <w:r>
        <w:rPr>
          <w:b/>
          <w:bCs/>
          <w:color w:val="auto"/>
        </w:rPr>
        <w:fldChar w:fldCharType="begin"/>
      </w:r>
      <w:r>
        <w:rPr>
          <w:b/>
          <w:bCs/>
          <w:color w:val="auto"/>
        </w:rPr>
        <w:instrText xml:space="preserve"> HYPERLINK \l "_Toc103723527" </w:instrText>
      </w:r>
      <w:r>
        <w:rPr>
          <w:b/>
          <w:bCs/>
          <w:color w:val="auto"/>
        </w:rPr>
        <w:fldChar w:fldCharType="separate"/>
      </w:r>
      <w:r>
        <w:rPr>
          <w:rStyle w:val="48"/>
          <w:rFonts w:cs="仿宋_GB2312"/>
          <w:b/>
          <w:bCs/>
          <w:color w:val="auto"/>
          <w:kern w:val="0"/>
          <w:lang w:val="zh-CN"/>
        </w:rPr>
        <w:t>第四章 政府采购合同</w:t>
      </w:r>
      <w:r>
        <w:rPr>
          <w:b/>
          <w:bCs/>
          <w:color w:val="auto"/>
        </w:rPr>
        <w:tab/>
      </w:r>
      <w:r>
        <w:rPr>
          <w:b/>
          <w:bCs/>
          <w:color w:val="auto"/>
        </w:rPr>
        <w:fldChar w:fldCharType="begin"/>
      </w:r>
      <w:r>
        <w:rPr>
          <w:b/>
          <w:bCs/>
          <w:color w:val="auto"/>
        </w:rPr>
        <w:instrText xml:space="preserve"> PAGEREF _Toc103723527 \h </w:instrText>
      </w:r>
      <w:r>
        <w:rPr>
          <w:b/>
          <w:bCs/>
          <w:color w:val="auto"/>
        </w:rPr>
        <w:fldChar w:fldCharType="separate"/>
      </w:r>
      <w:r>
        <w:rPr>
          <w:b/>
          <w:bCs/>
          <w:color w:val="auto"/>
        </w:rPr>
        <w:t>27</w:t>
      </w:r>
      <w:r>
        <w:rPr>
          <w:b/>
          <w:bCs/>
          <w:color w:val="auto"/>
        </w:rPr>
        <w:fldChar w:fldCharType="end"/>
      </w:r>
      <w:r>
        <w:rPr>
          <w:b/>
          <w:bCs/>
          <w:color w:val="auto"/>
        </w:rPr>
        <w:fldChar w:fldCharType="end"/>
      </w:r>
    </w:p>
    <w:p w14:paraId="038EFF21">
      <w:pPr>
        <w:pStyle w:val="29"/>
        <w:rPr>
          <w:rFonts w:asciiTheme="minorHAnsi" w:hAnsiTheme="minorHAnsi" w:eastAsiaTheme="minorEastAsia" w:cstheme="minorBidi"/>
          <w:b/>
          <w:bCs/>
          <w:color w:val="auto"/>
          <w:szCs w:val="22"/>
        </w:rPr>
      </w:pPr>
      <w:r>
        <w:rPr>
          <w:b/>
          <w:bCs/>
          <w:color w:val="auto"/>
        </w:rPr>
        <w:fldChar w:fldCharType="begin"/>
      </w:r>
      <w:r>
        <w:rPr>
          <w:b/>
          <w:bCs/>
          <w:color w:val="auto"/>
        </w:rPr>
        <w:instrText xml:space="preserve"> HYPERLINK \l "_Toc103723528" </w:instrText>
      </w:r>
      <w:r>
        <w:rPr>
          <w:b/>
          <w:bCs/>
          <w:color w:val="auto"/>
        </w:rPr>
        <w:fldChar w:fldCharType="separate"/>
      </w:r>
      <w:r>
        <w:rPr>
          <w:rStyle w:val="48"/>
          <w:rFonts w:cs="仿宋_GB2312"/>
          <w:b/>
          <w:bCs/>
          <w:color w:val="auto"/>
          <w:kern w:val="0"/>
          <w:lang w:val="zh-CN"/>
        </w:rPr>
        <w:t>第五章 评审办法</w:t>
      </w:r>
      <w:r>
        <w:rPr>
          <w:b/>
          <w:bCs/>
          <w:color w:val="auto"/>
        </w:rPr>
        <w:tab/>
      </w:r>
      <w:r>
        <w:rPr>
          <w:b/>
          <w:bCs/>
          <w:color w:val="auto"/>
        </w:rPr>
        <w:fldChar w:fldCharType="begin"/>
      </w:r>
      <w:r>
        <w:rPr>
          <w:b/>
          <w:bCs/>
          <w:color w:val="auto"/>
        </w:rPr>
        <w:instrText xml:space="preserve"> PAGEREF _Toc103723528 \h </w:instrText>
      </w:r>
      <w:r>
        <w:rPr>
          <w:b/>
          <w:bCs/>
          <w:color w:val="auto"/>
        </w:rPr>
        <w:fldChar w:fldCharType="separate"/>
      </w:r>
      <w:r>
        <w:rPr>
          <w:b/>
          <w:bCs/>
          <w:color w:val="auto"/>
        </w:rPr>
        <w:t>44</w:t>
      </w:r>
      <w:r>
        <w:rPr>
          <w:b/>
          <w:bCs/>
          <w:color w:val="auto"/>
        </w:rPr>
        <w:fldChar w:fldCharType="end"/>
      </w:r>
      <w:r>
        <w:rPr>
          <w:b/>
          <w:bCs/>
          <w:color w:val="auto"/>
        </w:rPr>
        <w:fldChar w:fldCharType="end"/>
      </w:r>
    </w:p>
    <w:p w14:paraId="65B89109">
      <w:pPr>
        <w:pStyle w:val="29"/>
        <w:rPr>
          <w:rFonts w:asciiTheme="minorHAnsi" w:hAnsiTheme="minorHAnsi" w:eastAsiaTheme="minorEastAsia" w:cstheme="minorBidi"/>
          <w:b/>
          <w:bCs/>
          <w:color w:val="auto"/>
          <w:szCs w:val="22"/>
        </w:rPr>
      </w:pPr>
      <w:r>
        <w:rPr>
          <w:b/>
          <w:bCs/>
          <w:color w:val="auto"/>
        </w:rPr>
        <w:fldChar w:fldCharType="begin"/>
      </w:r>
      <w:r>
        <w:rPr>
          <w:b/>
          <w:bCs/>
          <w:color w:val="auto"/>
        </w:rPr>
        <w:instrText xml:space="preserve"> HYPERLINK \l "_Toc103723529" </w:instrText>
      </w:r>
      <w:r>
        <w:rPr>
          <w:b/>
          <w:bCs/>
          <w:color w:val="auto"/>
        </w:rPr>
        <w:fldChar w:fldCharType="separate"/>
      </w:r>
      <w:r>
        <w:rPr>
          <w:rStyle w:val="48"/>
          <w:b/>
          <w:bCs/>
          <w:color w:val="auto"/>
        </w:rPr>
        <w:t xml:space="preserve">第六章 </w:t>
      </w:r>
      <w:r>
        <w:rPr>
          <w:rFonts w:hint="eastAsia"/>
          <w:b/>
          <w:bCs/>
          <w:color w:val="auto"/>
        </w:rPr>
        <w:t>谈判响应文件格式</w:t>
      </w:r>
      <w:r>
        <w:rPr>
          <w:b/>
          <w:bCs/>
          <w:color w:val="auto"/>
        </w:rPr>
        <w:tab/>
      </w:r>
      <w:r>
        <w:rPr>
          <w:b/>
          <w:bCs/>
          <w:color w:val="auto"/>
        </w:rPr>
        <w:fldChar w:fldCharType="begin"/>
      </w:r>
      <w:r>
        <w:rPr>
          <w:b/>
          <w:bCs/>
          <w:color w:val="auto"/>
        </w:rPr>
        <w:instrText xml:space="preserve"> PAGEREF _Toc103723529 \h </w:instrText>
      </w:r>
      <w:r>
        <w:rPr>
          <w:b/>
          <w:bCs/>
          <w:color w:val="auto"/>
        </w:rPr>
        <w:fldChar w:fldCharType="separate"/>
      </w:r>
      <w:r>
        <w:rPr>
          <w:b/>
          <w:bCs/>
          <w:color w:val="auto"/>
        </w:rPr>
        <w:t>49</w:t>
      </w:r>
      <w:r>
        <w:rPr>
          <w:b/>
          <w:bCs/>
          <w:color w:val="auto"/>
        </w:rPr>
        <w:fldChar w:fldCharType="end"/>
      </w:r>
      <w:r>
        <w:rPr>
          <w:b/>
          <w:bCs/>
          <w:color w:val="auto"/>
        </w:rPr>
        <w:fldChar w:fldCharType="end"/>
      </w:r>
    </w:p>
    <w:p w14:paraId="7DC76734">
      <w:pPr>
        <w:rPr>
          <w:color w:val="auto"/>
        </w:rPr>
      </w:pPr>
    </w:p>
    <w:p w14:paraId="20AC5A7C">
      <w:pPr>
        <w:spacing w:line="360" w:lineRule="auto"/>
        <w:rPr>
          <w:rFonts w:ascii="宋体" w:hAnsi="宋体"/>
          <w:color w:val="auto"/>
          <w:sz w:val="28"/>
        </w:rPr>
      </w:pPr>
      <w:r>
        <w:rPr>
          <w:rFonts w:ascii="宋体" w:hAnsi="宋体"/>
          <w:color w:val="auto"/>
          <w:sz w:val="28"/>
        </w:rPr>
        <w:fldChar w:fldCharType="end"/>
      </w:r>
    </w:p>
    <w:p w14:paraId="7B2BCF54">
      <w:pPr>
        <w:rPr>
          <w:rFonts w:ascii="仿宋_GB2312" w:eastAsia="仿宋_GB2312"/>
          <w:color w:val="auto"/>
          <w:sz w:val="32"/>
        </w:rPr>
        <w:sectPr>
          <w:footerReference r:id="rId6" w:type="first"/>
          <w:footerReference r:id="rId5" w:type="default"/>
          <w:pgSz w:w="11907" w:h="16840"/>
          <w:pgMar w:top="1440" w:right="1310" w:bottom="1440" w:left="1310" w:header="1021" w:footer="1021" w:gutter="170"/>
          <w:paperSrc w:first="15" w:other="15"/>
          <w:pgNumType w:fmt="decimal" w:start="1"/>
          <w:cols w:space="720" w:num="1"/>
          <w:titlePg/>
          <w:docGrid w:linePitch="286" w:charSpace="0"/>
        </w:sectPr>
      </w:pPr>
    </w:p>
    <w:p w14:paraId="13D27DA6">
      <w:pPr>
        <w:rPr>
          <w:rFonts w:ascii="宋体" w:hAnsi="宋体"/>
          <w:b/>
          <w:color w:val="auto"/>
          <w:sz w:val="32"/>
          <w:szCs w:val="32"/>
        </w:rPr>
      </w:pPr>
    </w:p>
    <w:p w14:paraId="7B0626C8">
      <w:pPr>
        <w:jc w:val="center"/>
        <w:rPr>
          <w:rFonts w:ascii="宋体" w:hAnsi="宋体"/>
          <w:b/>
          <w:color w:val="auto"/>
          <w:sz w:val="36"/>
          <w:szCs w:val="36"/>
        </w:rPr>
      </w:pPr>
      <w:bookmarkStart w:id="0" w:name="_Toc103723514"/>
      <w:r>
        <w:rPr>
          <w:rFonts w:hint="eastAsia" w:ascii="宋体" w:hAnsi="宋体"/>
          <w:b/>
          <w:color w:val="auto"/>
          <w:sz w:val="36"/>
          <w:szCs w:val="36"/>
        </w:rPr>
        <w:t xml:space="preserve">第一章 </w:t>
      </w:r>
      <w:bookmarkEnd w:id="0"/>
      <w:r>
        <w:rPr>
          <w:rFonts w:hint="eastAsia" w:ascii="宋体" w:hAnsi="宋体"/>
          <w:b/>
          <w:color w:val="auto"/>
          <w:sz w:val="36"/>
          <w:szCs w:val="36"/>
        </w:rPr>
        <w:t>竞争性谈判采购公告</w:t>
      </w:r>
    </w:p>
    <w:p w14:paraId="3B96A32E">
      <w:pPr>
        <w:jc w:val="center"/>
        <w:outlineLvl w:val="0"/>
        <w:rPr>
          <w:rFonts w:ascii="宋体" w:hAnsi="宋体"/>
          <w:color w:val="auto"/>
          <w:sz w:val="24"/>
        </w:rPr>
      </w:pPr>
    </w:p>
    <w:p w14:paraId="000A183A">
      <w:pPr>
        <w:spacing w:line="360" w:lineRule="auto"/>
        <w:rPr>
          <w:rFonts w:ascii="宋体" w:hAnsi="宋体"/>
          <w:color w:val="auto"/>
          <w:sz w:val="24"/>
        </w:rPr>
      </w:pPr>
    </w:p>
    <w:p w14:paraId="6D7532FF">
      <w:pPr>
        <w:spacing w:line="360" w:lineRule="auto"/>
        <w:rPr>
          <w:rFonts w:ascii="宋体" w:hAnsi="宋体"/>
          <w:color w:val="auto"/>
          <w:sz w:val="24"/>
        </w:rPr>
      </w:pPr>
    </w:p>
    <w:p w14:paraId="3AB68EB0">
      <w:pPr>
        <w:spacing w:line="360" w:lineRule="auto"/>
        <w:rPr>
          <w:rFonts w:ascii="宋体" w:hAnsi="宋体"/>
          <w:color w:val="auto"/>
          <w:sz w:val="24"/>
        </w:rPr>
      </w:pPr>
    </w:p>
    <w:p w14:paraId="2E339589">
      <w:pPr>
        <w:spacing w:line="360" w:lineRule="auto"/>
        <w:rPr>
          <w:rFonts w:ascii="宋体" w:hAnsi="宋体"/>
          <w:color w:val="auto"/>
          <w:sz w:val="24"/>
        </w:rPr>
      </w:pPr>
    </w:p>
    <w:p w14:paraId="1DDA7BD7">
      <w:pPr>
        <w:spacing w:line="360" w:lineRule="auto"/>
        <w:rPr>
          <w:rFonts w:ascii="宋体" w:hAnsi="宋体"/>
          <w:color w:val="auto"/>
          <w:sz w:val="24"/>
        </w:rPr>
      </w:pPr>
    </w:p>
    <w:p w14:paraId="20E4F771">
      <w:pPr>
        <w:spacing w:line="360" w:lineRule="auto"/>
        <w:rPr>
          <w:rFonts w:ascii="宋体" w:hAnsi="宋体"/>
          <w:color w:val="auto"/>
          <w:sz w:val="24"/>
        </w:rPr>
      </w:pPr>
    </w:p>
    <w:p w14:paraId="4A2E88C5">
      <w:pPr>
        <w:spacing w:line="360" w:lineRule="auto"/>
        <w:rPr>
          <w:rFonts w:ascii="宋体" w:hAnsi="宋体"/>
          <w:color w:val="auto"/>
          <w:sz w:val="24"/>
        </w:rPr>
      </w:pPr>
    </w:p>
    <w:p w14:paraId="777BA2FF">
      <w:pPr>
        <w:spacing w:line="360" w:lineRule="auto"/>
        <w:rPr>
          <w:rFonts w:ascii="宋体" w:hAnsi="宋体"/>
          <w:color w:val="auto"/>
          <w:sz w:val="24"/>
        </w:rPr>
      </w:pPr>
    </w:p>
    <w:p w14:paraId="3E56A719">
      <w:pPr>
        <w:spacing w:line="360" w:lineRule="auto"/>
        <w:rPr>
          <w:rFonts w:ascii="宋体" w:hAnsi="宋体"/>
          <w:color w:val="auto"/>
          <w:sz w:val="24"/>
        </w:rPr>
      </w:pPr>
    </w:p>
    <w:p w14:paraId="7220352C">
      <w:pPr>
        <w:spacing w:line="360" w:lineRule="auto"/>
        <w:rPr>
          <w:rFonts w:ascii="宋体" w:hAnsi="宋体"/>
          <w:color w:val="auto"/>
          <w:sz w:val="24"/>
        </w:rPr>
      </w:pPr>
    </w:p>
    <w:p w14:paraId="66791F7C">
      <w:pPr>
        <w:spacing w:line="360" w:lineRule="auto"/>
        <w:rPr>
          <w:rFonts w:ascii="宋体" w:hAnsi="宋体"/>
          <w:color w:val="auto"/>
          <w:kern w:val="0"/>
          <w:sz w:val="24"/>
        </w:rPr>
      </w:pPr>
    </w:p>
    <w:p w14:paraId="70A41881">
      <w:pPr>
        <w:spacing w:line="360" w:lineRule="auto"/>
        <w:rPr>
          <w:rFonts w:ascii="宋体" w:hAnsi="宋体"/>
          <w:color w:val="auto"/>
          <w:kern w:val="0"/>
          <w:sz w:val="24"/>
        </w:rPr>
      </w:pPr>
    </w:p>
    <w:p w14:paraId="2819025E">
      <w:pPr>
        <w:spacing w:line="360" w:lineRule="auto"/>
        <w:rPr>
          <w:rFonts w:ascii="宋体" w:hAnsi="宋体"/>
          <w:color w:val="auto"/>
          <w:kern w:val="0"/>
          <w:sz w:val="24"/>
        </w:rPr>
      </w:pPr>
    </w:p>
    <w:p w14:paraId="5A968123">
      <w:pPr>
        <w:spacing w:line="360" w:lineRule="auto"/>
        <w:rPr>
          <w:rFonts w:ascii="宋体" w:hAnsi="宋体"/>
          <w:color w:val="auto"/>
          <w:kern w:val="0"/>
          <w:sz w:val="24"/>
        </w:rPr>
      </w:pPr>
    </w:p>
    <w:p w14:paraId="6607EC32">
      <w:pPr>
        <w:spacing w:line="360" w:lineRule="auto"/>
        <w:rPr>
          <w:rFonts w:ascii="宋体" w:hAnsi="宋体"/>
          <w:color w:val="auto"/>
          <w:kern w:val="0"/>
          <w:sz w:val="24"/>
        </w:rPr>
      </w:pPr>
    </w:p>
    <w:p w14:paraId="5D94295B">
      <w:pPr>
        <w:spacing w:line="360" w:lineRule="auto"/>
        <w:rPr>
          <w:rFonts w:ascii="宋体" w:hAnsi="宋体"/>
          <w:color w:val="auto"/>
          <w:kern w:val="0"/>
          <w:sz w:val="24"/>
        </w:rPr>
      </w:pPr>
    </w:p>
    <w:p w14:paraId="174A1868">
      <w:pPr>
        <w:spacing w:line="360" w:lineRule="auto"/>
        <w:jc w:val="center"/>
        <w:rPr>
          <w:rFonts w:ascii="宋体" w:hAnsi="宋体"/>
          <w:b/>
          <w:color w:val="auto"/>
          <w:kern w:val="0"/>
          <w:sz w:val="32"/>
          <w:szCs w:val="32"/>
        </w:rPr>
      </w:pPr>
    </w:p>
    <w:p w14:paraId="251E4FF4">
      <w:pPr>
        <w:rPr>
          <w:rFonts w:ascii="宋体" w:hAnsi="宋体"/>
          <w:b/>
          <w:color w:val="auto"/>
          <w:kern w:val="0"/>
          <w:sz w:val="32"/>
          <w:szCs w:val="32"/>
        </w:rPr>
      </w:pPr>
      <w:r>
        <w:rPr>
          <w:rFonts w:ascii="宋体" w:hAnsi="宋体"/>
          <w:b/>
          <w:color w:val="auto"/>
          <w:kern w:val="0"/>
          <w:sz w:val="32"/>
          <w:szCs w:val="32"/>
        </w:rPr>
        <w:br w:type="page"/>
      </w:r>
    </w:p>
    <w:p w14:paraId="4122602D">
      <w:pPr>
        <w:spacing w:line="360" w:lineRule="auto"/>
        <w:jc w:val="center"/>
        <w:rPr>
          <w:rFonts w:ascii="宋体" w:hAnsi="宋体"/>
          <w:b/>
          <w:color w:val="auto"/>
          <w:kern w:val="0"/>
          <w:sz w:val="32"/>
          <w:szCs w:val="32"/>
        </w:rPr>
      </w:pPr>
      <w:r>
        <w:rPr>
          <w:rFonts w:ascii="宋体" w:hAnsi="宋体"/>
          <w:b/>
          <w:color w:val="auto"/>
          <w:kern w:val="0"/>
          <w:sz w:val="32"/>
          <w:szCs w:val="32"/>
        </w:rPr>
        <w:t>竞争性谈判采购</w:t>
      </w:r>
      <w:r>
        <w:rPr>
          <w:rFonts w:hint="eastAsia" w:ascii="宋体" w:hAnsi="宋体"/>
          <w:b/>
          <w:color w:val="auto"/>
          <w:kern w:val="0"/>
          <w:sz w:val="32"/>
          <w:szCs w:val="32"/>
        </w:rPr>
        <w:t>公告</w:t>
      </w:r>
    </w:p>
    <w:p w14:paraId="0D2B78F5">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40" w:firstLineChars="200"/>
        <w:textAlignment w:val="auto"/>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项目概况</w:t>
      </w:r>
    </w:p>
    <w:p w14:paraId="5DF8D5C4">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40" w:firstLineChars="200"/>
        <w:textAlignment w:val="auto"/>
        <w:rPr>
          <w:rFonts w:hint="eastAsia" w:ascii="宋体" w:hAnsi="宋体" w:eastAsia="宋体" w:cs="宋体"/>
          <w:i w:val="0"/>
          <w:iCs w:val="0"/>
          <w:color w:val="auto"/>
          <w:kern w:val="0"/>
          <w:sz w:val="22"/>
          <w:szCs w:val="22"/>
          <w:u w:val="none"/>
        </w:rPr>
      </w:pPr>
      <w:r>
        <w:rPr>
          <w:rFonts w:hint="eastAsia" w:ascii="宋体" w:hAnsi="宋体" w:eastAsia="宋体" w:cs="宋体"/>
          <w:color w:val="auto"/>
          <w:kern w:val="0"/>
          <w:sz w:val="22"/>
          <w:szCs w:val="22"/>
        </w:rPr>
        <w:t>蚕产品农残检测辅助系统的潜在供应商应在“政采云”平台获取采购文件，并于</w:t>
      </w:r>
      <w:r>
        <w:rPr>
          <w:rFonts w:hint="eastAsia" w:ascii="宋体" w:hAnsi="宋体" w:eastAsia="宋体" w:cs="宋体"/>
          <w:color w:val="auto"/>
          <w:sz w:val="22"/>
          <w:szCs w:val="22"/>
          <w:highlight w:val="none"/>
          <w:u w:val="none"/>
        </w:rPr>
        <w:t>202</w:t>
      </w:r>
      <w:r>
        <w:rPr>
          <w:rFonts w:hint="eastAsia" w:ascii="宋体" w:hAnsi="宋体" w:eastAsia="宋体" w:cs="宋体"/>
          <w:color w:val="auto"/>
          <w:sz w:val="22"/>
          <w:szCs w:val="22"/>
          <w:highlight w:val="none"/>
          <w:u w:val="none"/>
          <w:lang w:val="en-US" w:eastAsia="zh-CN"/>
        </w:rPr>
        <w:t>5</w:t>
      </w:r>
      <w:r>
        <w:rPr>
          <w:rFonts w:hint="eastAsia" w:ascii="宋体" w:hAnsi="宋体" w:eastAsia="宋体" w:cs="宋体"/>
          <w:color w:val="auto"/>
          <w:sz w:val="22"/>
          <w:szCs w:val="22"/>
          <w:highlight w:val="none"/>
          <w:u w:val="none"/>
        </w:rPr>
        <w:t>年</w:t>
      </w:r>
      <w:r>
        <w:rPr>
          <w:rFonts w:hint="eastAsia" w:ascii="宋体" w:hAnsi="宋体" w:cs="宋体"/>
          <w:color w:val="auto"/>
          <w:sz w:val="22"/>
          <w:szCs w:val="22"/>
          <w:highlight w:val="none"/>
          <w:u w:val="none"/>
          <w:lang w:val="en-US" w:eastAsia="zh-CN"/>
        </w:rPr>
        <w:t>04</w:t>
      </w:r>
      <w:r>
        <w:rPr>
          <w:rFonts w:hint="eastAsia" w:ascii="宋体" w:hAnsi="宋体" w:eastAsia="宋体" w:cs="宋体"/>
          <w:color w:val="auto"/>
          <w:sz w:val="22"/>
          <w:szCs w:val="22"/>
          <w:highlight w:val="none"/>
          <w:u w:val="none"/>
        </w:rPr>
        <w:t>月</w:t>
      </w:r>
      <w:r>
        <w:rPr>
          <w:rFonts w:hint="eastAsia" w:ascii="宋体" w:hAnsi="宋体" w:cs="宋体"/>
          <w:color w:val="auto"/>
          <w:sz w:val="22"/>
          <w:szCs w:val="22"/>
          <w:highlight w:val="none"/>
          <w:u w:val="none"/>
          <w:lang w:val="en-US" w:eastAsia="zh-CN"/>
        </w:rPr>
        <w:t>11</w:t>
      </w:r>
      <w:r>
        <w:rPr>
          <w:rFonts w:hint="eastAsia" w:ascii="宋体" w:hAnsi="宋体" w:eastAsia="宋体" w:cs="宋体"/>
          <w:color w:val="auto"/>
          <w:sz w:val="22"/>
          <w:szCs w:val="22"/>
          <w:highlight w:val="none"/>
          <w:u w:val="none"/>
        </w:rPr>
        <w:t>日</w:t>
      </w:r>
      <w:r>
        <w:rPr>
          <w:rFonts w:hint="eastAsia" w:ascii="宋体" w:hAnsi="宋体" w:cs="宋体"/>
          <w:color w:val="auto"/>
          <w:sz w:val="22"/>
          <w:szCs w:val="22"/>
          <w:highlight w:val="none"/>
          <w:u w:val="none"/>
          <w:lang w:val="en-US" w:eastAsia="zh-CN"/>
        </w:rPr>
        <w:t>14</w:t>
      </w:r>
      <w:r>
        <w:rPr>
          <w:rFonts w:hint="eastAsia" w:ascii="宋体" w:hAnsi="宋体" w:eastAsia="宋体" w:cs="宋体"/>
          <w:color w:val="auto"/>
          <w:sz w:val="22"/>
          <w:szCs w:val="22"/>
          <w:highlight w:val="none"/>
          <w:u w:val="none"/>
        </w:rPr>
        <w:t>点</w:t>
      </w:r>
      <w:r>
        <w:rPr>
          <w:rFonts w:hint="eastAsia" w:ascii="宋体" w:hAnsi="宋体" w:cs="宋体"/>
          <w:color w:val="auto"/>
          <w:sz w:val="22"/>
          <w:szCs w:val="22"/>
          <w:highlight w:val="none"/>
          <w:u w:val="none"/>
          <w:lang w:val="en-US" w:eastAsia="zh-CN"/>
        </w:rPr>
        <w:t>00</w:t>
      </w:r>
      <w:r>
        <w:rPr>
          <w:rFonts w:hint="eastAsia" w:ascii="宋体" w:hAnsi="宋体" w:eastAsia="宋体" w:cs="宋体"/>
          <w:color w:val="auto"/>
          <w:sz w:val="22"/>
          <w:szCs w:val="22"/>
          <w:highlight w:val="none"/>
          <w:u w:val="none"/>
        </w:rPr>
        <w:t>分（北京时间）</w:t>
      </w:r>
      <w:r>
        <w:rPr>
          <w:rFonts w:hint="eastAsia" w:ascii="宋体" w:hAnsi="宋体" w:eastAsia="宋体" w:cs="宋体"/>
          <w:i w:val="0"/>
          <w:iCs w:val="0"/>
          <w:color w:val="auto"/>
          <w:kern w:val="0"/>
          <w:sz w:val="22"/>
          <w:szCs w:val="22"/>
          <w:u w:val="none"/>
        </w:rPr>
        <w:t>前提交响应文件。</w:t>
      </w:r>
    </w:p>
    <w:p w14:paraId="1AF72388">
      <w:pPr>
        <w:keepNext w:val="0"/>
        <w:keepLines w:val="0"/>
        <w:pageBreakBefore w:val="0"/>
        <w:widowControl w:val="0"/>
        <w:kinsoku/>
        <w:wordWrap/>
        <w:overflowPunct/>
        <w:topLinePunct w:val="0"/>
        <w:autoSpaceDE/>
        <w:autoSpaceDN/>
        <w:bidi w:val="0"/>
        <w:adjustRightInd/>
        <w:snapToGrid/>
        <w:spacing w:before="136" w:beforeLines="50" w:after="136" w:afterLines="50" w:line="360" w:lineRule="auto"/>
        <w:textAlignment w:val="auto"/>
        <w:rPr>
          <w:rFonts w:hint="eastAsia" w:ascii="宋体" w:hAnsi="宋体" w:eastAsia="宋体" w:cs="宋体"/>
          <w:b/>
          <w:bCs/>
          <w:color w:val="auto"/>
          <w:sz w:val="22"/>
          <w:szCs w:val="22"/>
        </w:rPr>
      </w:pPr>
      <w:bookmarkStart w:id="1" w:name="_Toc35393636"/>
      <w:bookmarkStart w:id="2" w:name="_Toc35393805"/>
      <w:bookmarkStart w:id="3" w:name="_Toc28359095"/>
      <w:bookmarkStart w:id="4" w:name="_Toc28359018"/>
      <w:r>
        <w:rPr>
          <w:rFonts w:hint="eastAsia" w:ascii="宋体" w:hAnsi="宋体" w:eastAsia="宋体" w:cs="宋体"/>
          <w:b/>
          <w:bCs/>
          <w:color w:val="auto"/>
          <w:sz w:val="22"/>
          <w:szCs w:val="22"/>
        </w:rPr>
        <w:t>一、项目基本情况</w:t>
      </w:r>
    </w:p>
    <w:p w14:paraId="492116E4">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cs="宋体"/>
          <w:color w:val="auto"/>
          <w:sz w:val="22"/>
          <w:szCs w:val="22"/>
          <w:lang w:val="en-US" w:eastAsia="zh-CN"/>
        </w:rPr>
        <w:t>1.</w:t>
      </w:r>
      <w:r>
        <w:rPr>
          <w:rFonts w:hint="eastAsia" w:ascii="宋体" w:hAnsi="宋体" w:eastAsia="宋体" w:cs="宋体"/>
          <w:color w:val="auto"/>
          <w:sz w:val="22"/>
          <w:szCs w:val="22"/>
        </w:rPr>
        <w:t>项目编号：采购计划-[2025]-02672号-JCZX2025-018</w:t>
      </w:r>
    </w:p>
    <w:p w14:paraId="0D51FD26">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lang w:eastAsia="zh-CN"/>
        </w:rPr>
      </w:pPr>
      <w:r>
        <w:rPr>
          <w:rFonts w:hint="eastAsia" w:ascii="宋体" w:hAnsi="宋体" w:cs="宋体"/>
          <w:color w:val="auto"/>
          <w:sz w:val="22"/>
          <w:szCs w:val="22"/>
          <w:lang w:val="en-US" w:eastAsia="zh-CN"/>
        </w:rPr>
        <w:t>2.</w:t>
      </w:r>
      <w:r>
        <w:rPr>
          <w:rFonts w:hint="eastAsia" w:ascii="宋体" w:hAnsi="宋体" w:eastAsia="宋体" w:cs="宋体"/>
          <w:color w:val="auto"/>
          <w:sz w:val="22"/>
          <w:szCs w:val="22"/>
        </w:rPr>
        <w:t>政府采购实施计划备案表采购编号</w:t>
      </w:r>
      <w:r>
        <w:rPr>
          <w:rFonts w:hint="eastAsia" w:ascii="宋体" w:hAnsi="宋体" w:cs="宋体"/>
          <w:color w:val="auto"/>
          <w:sz w:val="22"/>
          <w:szCs w:val="22"/>
          <w:lang w:eastAsia="zh-CN"/>
        </w:rPr>
        <w:t>：</w:t>
      </w:r>
      <w:r>
        <w:rPr>
          <w:rFonts w:hint="eastAsia" w:ascii="宋体" w:hAnsi="宋体" w:eastAsia="宋体" w:cs="宋体"/>
          <w:color w:val="auto"/>
          <w:sz w:val="22"/>
          <w:szCs w:val="22"/>
        </w:rPr>
        <w:t>采购计划-[2025]-02672号</w:t>
      </w:r>
    </w:p>
    <w:p w14:paraId="7D68DFAE">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cs="宋体"/>
          <w:color w:val="auto"/>
          <w:sz w:val="22"/>
          <w:szCs w:val="22"/>
          <w:lang w:val="en-US" w:eastAsia="zh-CN"/>
        </w:rPr>
        <w:t>3.</w:t>
      </w:r>
      <w:r>
        <w:rPr>
          <w:rFonts w:hint="eastAsia" w:ascii="宋体" w:hAnsi="宋体" w:eastAsia="宋体" w:cs="宋体"/>
          <w:color w:val="auto"/>
          <w:sz w:val="22"/>
          <w:szCs w:val="22"/>
        </w:rPr>
        <w:t>项目名称：蚕产品农残检测辅助系统</w:t>
      </w:r>
    </w:p>
    <w:p w14:paraId="1F75FD4A">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cs="宋体"/>
          <w:color w:val="auto"/>
          <w:sz w:val="22"/>
          <w:szCs w:val="22"/>
          <w:lang w:val="en-US" w:eastAsia="zh-CN"/>
        </w:rPr>
        <w:t>4.</w:t>
      </w:r>
      <w:r>
        <w:rPr>
          <w:rFonts w:hint="eastAsia" w:ascii="宋体" w:hAnsi="宋体" w:eastAsia="宋体" w:cs="宋体"/>
          <w:color w:val="auto"/>
          <w:sz w:val="22"/>
          <w:szCs w:val="22"/>
        </w:rPr>
        <w:t>采购方式：竞争性谈判</w:t>
      </w:r>
    </w:p>
    <w:p w14:paraId="70101F03">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val="en-US" w:eastAsia="zh-CN"/>
        </w:rPr>
        <w:t>5.</w:t>
      </w:r>
      <w:r>
        <w:rPr>
          <w:rFonts w:hint="eastAsia" w:ascii="宋体" w:hAnsi="宋体" w:eastAsia="宋体" w:cs="宋体"/>
          <w:color w:val="auto"/>
          <w:sz w:val="22"/>
          <w:szCs w:val="22"/>
        </w:rPr>
        <w:t>项目预算</w:t>
      </w: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最高限价</w:t>
      </w: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rPr>
        <w:t>：</w:t>
      </w:r>
      <w:r>
        <w:rPr>
          <w:rFonts w:hint="eastAsia" w:ascii="宋体" w:hAnsi="宋体" w:eastAsia="宋体" w:cs="宋体"/>
          <w:color w:val="auto"/>
          <w:sz w:val="22"/>
          <w:szCs w:val="22"/>
          <w:lang w:val="en-US" w:eastAsia="zh-CN"/>
        </w:rPr>
        <w:t>3</w:t>
      </w:r>
      <w:r>
        <w:rPr>
          <w:rFonts w:hint="eastAsia" w:ascii="宋体" w:hAnsi="宋体" w:cs="宋体"/>
          <w:color w:val="auto"/>
          <w:sz w:val="22"/>
          <w:szCs w:val="22"/>
          <w:lang w:val="en-US" w:eastAsia="zh-CN"/>
        </w:rPr>
        <w:t>5</w:t>
      </w:r>
      <w:r>
        <w:rPr>
          <w:rFonts w:hint="eastAsia" w:ascii="宋体" w:hAnsi="宋体" w:eastAsia="宋体" w:cs="宋体"/>
          <w:color w:val="auto"/>
          <w:sz w:val="22"/>
          <w:szCs w:val="22"/>
          <w:lang w:val="en-US" w:eastAsia="zh-CN"/>
        </w:rPr>
        <w:t>0</w:t>
      </w:r>
      <w:r>
        <w:rPr>
          <w:rFonts w:hint="eastAsia" w:ascii="宋体" w:hAnsi="宋体" w:eastAsia="宋体" w:cs="宋体"/>
          <w:color w:val="auto"/>
          <w:sz w:val="22"/>
          <w:szCs w:val="22"/>
        </w:rPr>
        <w:t>,000.00</w:t>
      </w:r>
      <w:r>
        <w:rPr>
          <w:rFonts w:hint="eastAsia" w:ascii="宋体" w:hAnsi="宋体" w:eastAsia="宋体" w:cs="宋体"/>
          <w:color w:val="auto"/>
          <w:sz w:val="22"/>
          <w:szCs w:val="22"/>
          <w:lang w:val="en-US" w:eastAsia="zh-CN"/>
        </w:rPr>
        <w:t>元</w:t>
      </w:r>
      <w:r>
        <w:rPr>
          <w:rFonts w:hint="eastAsia" w:ascii="宋体" w:hAnsi="宋体" w:eastAsia="宋体" w:cs="宋体"/>
          <w:color w:val="auto"/>
          <w:sz w:val="22"/>
          <w:szCs w:val="22"/>
        </w:rPr>
        <w:t>，不接受超出项目预算的报价</w:t>
      </w:r>
    </w:p>
    <w:p w14:paraId="60205122">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cs="宋体"/>
          <w:color w:val="auto"/>
          <w:sz w:val="22"/>
          <w:szCs w:val="22"/>
          <w:lang w:val="en-US" w:eastAsia="zh-CN"/>
        </w:rPr>
        <w:t>6.</w:t>
      </w:r>
      <w:r>
        <w:rPr>
          <w:rFonts w:hint="eastAsia" w:ascii="宋体" w:hAnsi="宋体" w:eastAsia="宋体" w:cs="宋体"/>
          <w:color w:val="auto"/>
          <w:sz w:val="22"/>
          <w:szCs w:val="22"/>
        </w:rPr>
        <w:t>采购内容： 蚕产品农残检测辅助系统</w:t>
      </w:r>
      <w:r>
        <w:rPr>
          <w:rFonts w:hint="eastAsia" w:ascii="宋体" w:hAnsi="宋体" w:cs="宋体"/>
          <w:color w:val="auto"/>
          <w:sz w:val="22"/>
          <w:szCs w:val="22"/>
          <w:lang w:eastAsia="zh-CN"/>
        </w:rPr>
        <w:t>（</w:t>
      </w:r>
      <w:r>
        <w:rPr>
          <w:rFonts w:hint="eastAsia" w:ascii="宋体" w:hAnsi="宋体" w:eastAsia="宋体" w:cs="宋体"/>
          <w:color w:val="auto"/>
          <w:sz w:val="22"/>
          <w:szCs w:val="22"/>
        </w:rPr>
        <w:t>具体货物要求详见</w:t>
      </w:r>
      <w:r>
        <w:rPr>
          <w:rFonts w:hint="eastAsia" w:ascii="宋体" w:hAnsi="宋体" w:eastAsia="宋体" w:cs="宋体"/>
          <w:color w:val="auto"/>
          <w:sz w:val="22"/>
          <w:szCs w:val="22"/>
          <w:lang w:val="en-US" w:eastAsia="zh-CN"/>
        </w:rPr>
        <w:t>文件</w:t>
      </w:r>
      <w:r>
        <w:rPr>
          <w:rFonts w:hint="eastAsia" w:ascii="宋体" w:hAnsi="宋体" w:cs="宋体"/>
          <w:color w:val="auto"/>
          <w:sz w:val="22"/>
          <w:szCs w:val="22"/>
          <w:lang w:eastAsia="zh-CN"/>
        </w:rPr>
        <w:t>）</w:t>
      </w:r>
    </w:p>
    <w:p w14:paraId="26FBED63">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7.</w:t>
      </w:r>
      <w:r>
        <w:rPr>
          <w:rFonts w:hint="eastAsia" w:ascii="宋体" w:hAnsi="宋体" w:eastAsia="宋体" w:cs="宋体"/>
          <w:color w:val="auto"/>
          <w:sz w:val="22"/>
          <w:szCs w:val="22"/>
          <w:highlight w:val="none"/>
        </w:rPr>
        <w:t>合同履行期限(交货期)：合同签订后5天内完成运输，安装，结构改造及相关部门检验验收。</w:t>
      </w:r>
    </w:p>
    <w:p w14:paraId="01B78ADE">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cs="宋体"/>
          <w:color w:val="auto"/>
          <w:sz w:val="22"/>
          <w:szCs w:val="22"/>
          <w:lang w:val="en-US" w:eastAsia="zh-CN"/>
        </w:rPr>
        <w:t>8.</w:t>
      </w:r>
      <w:r>
        <w:rPr>
          <w:rFonts w:hint="eastAsia" w:ascii="宋体" w:hAnsi="宋体" w:eastAsia="宋体" w:cs="宋体"/>
          <w:color w:val="auto"/>
          <w:sz w:val="22"/>
          <w:szCs w:val="22"/>
        </w:rPr>
        <w:t>质量标准：符合国家相关行业规定的合格标准</w:t>
      </w:r>
    </w:p>
    <w:p w14:paraId="22D6F30F">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本项目不接受联合体。</w:t>
      </w:r>
    </w:p>
    <w:p w14:paraId="50111CF5">
      <w:pPr>
        <w:keepNext w:val="0"/>
        <w:keepLines w:val="0"/>
        <w:pageBreakBefore w:val="0"/>
        <w:widowControl w:val="0"/>
        <w:kinsoku/>
        <w:wordWrap/>
        <w:overflowPunct/>
        <w:topLinePunct w:val="0"/>
        <w:autoSpaceDE/>
        <w:autoSpaceDN/>
        <w:bidi w:val="0"/>
        <w:adjustRightInd/>
        <w:snapToGrid/>
        <w:spacing w:before="136" w:beforeLines="50" w:after="136" w:afterLines="50" w:line="360" w:lineRule="auto"/>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二、申请人的资格要求</w:t>
      </w:r>
    </w:p>
    <w:p w14:paraId="5757A370">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1.满足《中华人民共和国政府采购法》第二十二条规定。</w:t>
      </w:r>
    </w:p>
    <w:p w14:paraId="2DF4AB4F">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2.落实政府采购政策需满足的资格要求：本项目专门面向中小企业采购。</w:t>
      </w:r>
    </w:p>
    <w:p w14:paraId="6C8A8227">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3.本项目的特定资格要求：</w:t>
      </w:r>
    </w:p>
    <w:p w14:paraId="376AD066">
      <w:pPr>
        <w:keepNext w:val="0"/>
        <w:keepLines w:val="0"/>
        <w:pageBreakBefore w:val="0"/>
        <w:widowControl w:val="0"/>
        <w:kinsoku/>
        <w:wordWrap/>
        <w:overflowPunct/>
        <w:topLinePunct w:val="0"/>
        <w:autoSpaceDE/>
        <w:autoSpaceDN/>
        <w:bidi w:val="0"/>
        <w:adjustRightInd/>
        <w:snapToGrid/>
        <w:spacing w:line="360" w:lineRule="auto"/>
        <w:ind w:firstLine="607" w:firstLineChars="276"/>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3.1供应商须在中华人民共和国境内注册，应是能够独立承担民事责任的法人、其他组织，具有有效的营业执照，并在人员、设备、资金等方面具备相应的供货及服务能力。</w:t>
      </w:r>
    </w:p>
    <w:p w14:paraId="01847BE3">
      <w:pPr>
        <w:keepNext w:val="0"/>
        <w:keepLines w:val="0"/>
        <w:pageBreakBefore w:val="0"/>
        <w:widowControl w:val="0"/>
        <w:kinsoku/>
        <w:wordWrap/>
        <w:overflowPunct/>
        <w:topLinePunct w:val="0"/>
        <w:autoSpaceDE/>
        <w:autoSpaceDN/>
        <w:bidi w:val="0"/>
        <w:adjustRightInd/>
        <w:snapToGrid/>
        <w:spacing w:line="360" w:lineRule="auto"/>
        <w:ind w:firstLine="607" w:firstLineChars="276"/>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w:t>
      </w:r>
      <w:r>
        <w:rPr>
          <w:rFonts w:hint="eastAsia" w:ascii="宋体" w:hAnsi="宋体" w:cs="宋体"/>
          <w:color w:val="auto"/>
          <w:sz w:val="22"/>
          <w:szCs w:val="22"/>
          <w:lang w:val="en-US" w:eastAsia="zh-CN"/>
        </w:rPr>
        <w:t>2</w:t>
      </w:r>
      <w:r>
        <w:rPr>
          <w:rFonts w:hint="eastAsia" w:ascii="宋体" w:hAnsi="宋体" w:eastAsia="宋体" w:cs="宋体"/>
          <w:color w:val="auto"/>
          <w:sz w:val="22"/>
          <w:szCs w:val="22"/>
        </w:rPr>
        <w:t>信誉要求：（1）拒绝列入政府取消投标资格记录期间的企业或个人投标。</w:t>
      </w:r>
    </w:p>
    <w:p w14:paraId="2A4391B9">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供应商不得为“信用中国”网站（www.creditchina.gov.cn）中列入失信被执行人和重大税收违法失信主体的供应商，不得为中国政府采购网（www.ccgp.gov.cn）政府采购严重违法失信行为记录名单中被财政部门禁止参加政府采购活动的供应商（在处罚决定规定的时间和地域范围内）（详见财库【2016】125号文）。</w:t>
      </w:r>
    </w:p>
    <w:p w14:paraId="69474B54">
      <w:pPr>
        <w:keepNext w:val="0"/>
        <w:keepLines w:val="0"/>
        <w:pageBreakBefore w:val="0"/>
        <w:widowControl w:val="0"/>
        <w:kinsoku/>
        <w:wordWrap/>
        <w:overflowPunct/>
        <w:topLinePunct w:val="0"/>
        <w:autoSpaceDE/>
        <w:autoSpaceDN/>
        <w:bidi w:val="0"/>
        <w:adjustRightInd/>
        <w:snapToGrid/>
        <w:spacing w:line="360" w:lineRule="auto"/>
        <w:ind w:firstLine="607" w:firstLineChars="276"/>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w:t>
      </w:r>
      <w:r>
        <w:rPr>
          <w:rFonts w:hint="eastAsia" w:ascii="宋体" w:hAnsi="宋体" w:cs="宋体"/>
          <w:color w:val="auto"/>
          <w:sz w:val="22"/>
          <w:szCs w:val="22"/>
          <w:lang w:val="en-US" w:eastAsia="zh-CN"/>
        </w:rPr>
        <w:t>3</w:t>
      </w:r>
      <w:r>
        <w:rPr>
          <w:rFonts w:hint="eastAsia" w:ascii="宋体" w:hAnsi="宋体" w:eastAsia="宋体" w:cs="宋体"/>
          <w:color w:val="auto"/>
          <w:sz w:val="22"/>
          <w:szCs w:val="22"/>
        </w:rPr>
        <w:t>与采购人存在利害关系可能影响采购公正性的法人、其它组织或者个人，不得参加投标；单位负责人为同一人或者存在直接控股、管理关系的不同供应商，不得参加同一合同项下的政府采购活动。否则相关投标无效。</w:t>
      </w:r>
    </w:p>
    <w:p w14:paraId="6053C441">
      <w:pPr>
        <w:keepNext w:val="0"/>
        <w:keepLines w:val="0"/>
        <w:pageBreakBefore w:val="0"/>
        <w:widowControl w:val="0"/>
        <w:kinsoku/>
        <w:wordWrap/>
        <w:overflowPunct/>
        <w:topLinePunct w:val="0"/>
        <w:autoSpaceDE/>
        <w:autoSpaceDN/>
        <w:bidi w:val="0"/>
        <w:adjustRightInd/>
        <w:snapToGrid/>
        <w:spacing w:before="136" w:beforeLines="50" w:after="136" w:afterLines="50" w:line="360" w:lineRule="auto"/>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三、获取采购文件</w:t>
      </w:r>
    </w:p>
    <w:p w14:paraId="52390D54">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1.时间：</w:t>
      </w:r>
      <w:r>
        <w:rPr>
          <w:rFonts w:hint="eastAsia" w:ascii="宋体" w:hAnsi="宋体" w:eastAsia="宋体" w:cs="宋体"/>
          <w:color w:val="auto"/>
          <w:sz w:val="22"/>
          <w:szCs w:val="22"/>
          <w:highlight w:val="none"/>
          <w:u w:val="none"/>
        </w:rPr>
        <w:t>2025年</w:t>
      </w:r>
      <w:r>
        <w:rPr>
          <w:rFonts w:hint="eastAsia" w:ascii="宋体" w:hAnsi="宋体" w:cs="宋体"/>
          <w:color w:val="auto"/>
          <w:sz w:val="22"/>
          <w:szCs w:val="22"/>
          <w:highlight w:val="none"/>
          <w:u w:val="none"/>
          <w:lang w:val="en-US" w:eastAsia="zh-CN"/>
        </w:rPr>
        <w:t>04</w:t>
      </w:r>
      <w:r>
        <w:rPr>
          <w:rFonts w:hint="eastAsia" w:ascii="宋体" w:hAnsi="宋体" w:eastAsia="宋体" w:cs="宋体"/>
          <w:color w:val="auto"/>
          <w:sz w:val="22"/>
          <w:szCs w:val="22"/>
          <w:highlight w:val="none"/>
          <w:u w:val="none"/>
        </w:rPr>
        <w:t>月</w:t>
      </w:r>
      <w:r>
        <w:rPr>
          <w:rFonts w:hint="eastAsia" w:ascii="宋体" w:hAnsi="宋体" w:cs="宋体"/>
          <w:color w:val="auto"/>
          <w:sz w:val="22"/>
          <w:szCs w:val="22"/>
          <w:highlight w:val="none"/>
          <w:u w:val="none"/>
          <w:lang w:val="en-US" w:eastAsia="zh-CN"/>
        </w:rPr>
        <w:t>07</w:t>
      </w:r>
      <w:r>
        <w:rPr>
          <w:rFonts w:hint="eastAsia" w:ascii="宋体" w:hAnsi="宋体" w:eastAsia="宋体" w:cs="宋体"/>
          <w:color w:val="auto"/>
          <w:sz w:val="22"/>
          <w:szCs w:val="22"/>
          <w:highlight w:val="none"/>
          <w:u w:val="none"/>
        </w:rPr>
        <w:t>日至2025年</w:t>
      </w:r>
      <w:r>
        <w:rPr>
          <w:rFonts w:hint="eastAsia" w:ascii="宋体" w:hAnsi="宋体" w:cs="宋体"/>
          <w:color w:val="auto"/>
          <w:sz w:val="22"/>
          <w:szCs w:val="22"/>
          <w:highlight w:val="none"/>
          <w:u w:val="none"/>
          <w:lang w:val="en-US" w:eastAsia="zh-CN"/>
        </w:rPr>
        <w:t>04</w:t>
      </w:r>
      <w:r>
        <w:rPr>
          <w:rFonts w:hint="eastAsia" w:ascii="宋体" w:hAnsi="宋体" w:eastAsia="宋体" w:cs="宋体"/>
          <w:color w:val="auto"/>
          <w:sz w:val="22"/>
          <w:szCs w:val="22"/>
          <w:highlight w:val="none"/>
          <w:u w:val="none"/>
        </w:rPr>
        <w:t>月</w:t>
      </w:r>
      <w:r>
        <w:rPr>
          <w:rFonts w:hint="eastAsia" w:ascii="宋体" w:hAnsi="宋体" w:cs="宋体"/>
          <w:color w:val="auto"/>
          <w:sz w:val="22"/>
          <w:szCs w:val="22"/>
          <w:highlight w:val="none"/>
          <w:u w:val="none"/>
          <w:lang w:val="en-US" w:eastAsia="zh-CN"/>
        </w:rPr>
        <w:t>10</w:t>
      </w:r>
      <w:bookmarkStart w:id="28" w:name="_GoBack"/>
      <w:bookmarkEnd w:id="28"/>
      <w:r>
        <w:rPr>
          <w:rFonts w:hint="eastAsia" w:ascii="宋体" w:hAnsi="宋体" w:eastAsia="宋体" w:cs="宋体"/>
          <w:color w:val="auto"/>
          <w:sz w:val="22"/>
          <w:szCs w:val="22"/>
          <w:highlight w:val="none"/>
          <w:u w:val="none"/>
        </w:rPr>
        <w:t>日</w:t>
      </w:r>
      <w:r>
        <w:rPr>
          <w:rFonts w:hint="eastAsia" w:ascii="宋体" w:hAnsi="宋体" w:eastAsia="宋体" w:cs="宋体"/>
          <w:color w:val="auto"/>
          <w:sz w:val="22"/>
          <w:szCs w:val="22"/>
        </w:rPr>
        <w:t>每天08：30至16：00(北京时间，法定节假日除外)；</w:t>
      </w:r>
    </w:p>
    <w:p w14:paraId="569A1021">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2.方式：政采云平台线上获取。供应商自行登录政府采购云平台（网址：http://www.zcygov.cn）注册（https://middle.zcygov.cn/v-settle-front/registry）并下载竞争性</w:t>
      </w:r>
      <w:r>
        <w:rPr>
          <w:rFonts w:hint="eastAsia" w:ascii="宋体" w:hAnsi="宋体" w:cs="宋体"/>
          <w:color w:val="auto"/>
          <w:sz w:val="22"/>
          <w:szCs w:val="22"/>
          <w:lang w:val="en-US" w:eastAsia="zh-CN"/>
        </w:rPr>
        <w:t>谈判</w:t>
      </w:r>
      <w:r>
        <w:rPr>
          <w:rFonts w:hint="eastAsia" w:ascii="宋体" w:hAnsi="宋体" w:eastAsia="宋体" w:cs="宋体"/>
          <w:color w:val="auto"/>
          <w:sz w:val="22"/>
          <w:szCs w:val="22"/>
        </w:rPr>
        <w:t>文件，其他途径获取的竞争性</w:t>
      </w:r>
      <w:r>
        <w:rPr>
          <w:rFonts w:hint="eastAsia" w:ascii="宋体" w:hAnsi="宋体" w:cs="宋体"/>
          <w:color w:val="auto"/>
          <w:sz w:val="22"/>
          <w:szCs w:val="22"/>
          <w:lang w:val="en-US" w:eastAsia="zh-CN"/>
        </w:rPr>
        <w:t>谈判</w:t>
      </w:r>
      <w:r>
        <w:rPr>
          <w:rFonts w:hint="eastAsia" w:ascii="宋体" w:hAnsi="宋体" w:eastAsia="宋体" w:cs="宋体"/>
          <w:color w:val="auto"/>
          <w:sz w:val="22"/>
          <w:szCs w:val="22"/>
        </w:rPr>
        <w:t>文件开标时一律按无效投标处理。</w:t>
      </w:r>
    </w:p>
    <w:p w14:paraId="27494267">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3.售价：免费。</w:t>
      </w:r>
    </w:p>
    <w:p w14:paraId="74187D72">
      <w:pPr>
        <w:keepNext w:val="0"/>
        <w:keepLines w:val="0"/>
        <w:pageBreakBefore w:val="0"/>
        <w:widowControl w:val="0"/>
        <w:kinsoku/>
        <w:wordWrap/>
        <w:overflowPunct/>
        <w:topLinePunct w:val="0"/>
        <w:autoSpaceDE/>
        <w:autoSpaceDN/>
        <w:bidi w:val="0"/>
        <w:adjustRightInd/>
        <w:snapToGrid/>
        <w:spacing w:before="136" w:beforeLines="50" w:after="136" w:afterLines="50" w:line="360" w:lineRule="auto"/>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四、响应文件提交</w:t>
      </w:r>
    </w:p>
    <w:p w14:paraId="5A6BE44C">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1.响应文件提交截止时间（开启时间）和地点：</w:t>
      </w:r>
      <w:r>
        <w:rPr>
          <w:rFonts w:hint="eastAsia" w:ascii="宋体" w:hAnsi="宋体" w:eastAsia="宋体" w:cs="宋体"/>
          <w:color w:val="auto"/>
          <w:sz w:val="22"/>
          <w:szCs w:val="22"/>
          <w:highlight w:val="none"/>
          <w:u w:val="none"/>
        </w:rPr>
        <w:t>202</w:t>
      </w:r>
      <w:r>
        <w:rPr>
          <w:rFonts w:hint="eastAsia" w:ascii="宋体" w:hAnsi="宋体" w:eastAsia="宋体" w:cs="宋体"/>
          <w:color w:val="auto"/>
          <w:sz w:val="22"/>
          <w:szCs w:val="22"/>
          <w:highlight w:val="none"/>
          <w:u w:val="none"/>
          <w:lang w:val="en-US" w:eastAsia="zh-CN"/>
        </w:rPr>
        <w:t>5</w:t>
      </w:r>
      <w:r>
        <w:rPr>
          <w:rFonts w:hint="eastAsia" w:ascii="宋体" w:hAnsi="宋体" w:eastAsia="宋体" w:cs="宋体"/>
          <w:color w:val="auto"/>
          <w:sz w:val="22"/>
          <w:szCs w:val="22"/>
          <w:highlight w:val="none"/>
          <w:u w:val="none"/>
        </w:rPr>
        <w:t>年</w:t>
      </w:r>
      <w:r>
        <w:rPr>
          <w:rFonts w:hint="eastAsia" w:ascii="宋体" w:hAnsi="宋体" w:cs="宋体"/>
          <w:color w:val="auto"/>
          <w:sz w:val="22"/>
          <w:szCs w:val="22"/>
          <w:highlight w:val="none"/>
          <w:u w:val="none"/>
          <w:lang w:val="en-US" w:eastAsia="zh-CN"/>
        </w:rPr>
        <w:t>04</w:t>
      </w:r>
      <w:r>
        <w:rPr>
          <w:rFonts w:hint="eastAsia" w:ascii="宋体" w:hAnsi="宋体" w:eastAsia="宋体" w:cs="宋体"/>
          <w:color w:val="auto"/>
          <w:sz w:val="22"/>
          <w:szCs w:val="22"/>
          <w:highlight w:val="none"/>
          <w:u w:val="none"/>
        </w:rPr>
        <w:t>月</w:t>
      </w:r>
      <w:r>
        <w:rPr>
          <w:rFonts w:hint="eastAsia" w:ascii="宋体" w:hAnsi="宋体" w:cs="宋体"/>
          <w:color w:val="auto"/>
          <w:sz w:val="22"/>
          <w:szCs w:val="22"/>
          <w:highlight w:val="none"/>
          <w:u w:val="none"/>
          <w:lang w:val="en-US" w:eastAsia="zh-CN"/>
        </w:rPr>
        <w:t>11</w:t>
      </w:r>
      <w:r>
        <w:rPr>
          <w:rFonts w:hint="eastAsia" w:ascii="宋体" w:hAnsi="宋体" w:eastAsia="宋体" w:cs="宋体"/>
          <w:color w:val="auto"/>
          <w:sz w:val="22"/>
          <w:szCs w:val="22"/>
          <w:highlight w:val="none"/>
          <w:u w:val="none"/>
        </w:rPr>
        <w:t>日</w:t>
      </w:r>
      <w:r>
        <w:rPr>
          <w:rFonts w:hint="eastAsia" w:ascii="宋体" w:hAnsi="宋体" w:cs="宋体"/>
          <w:color w:val="auto"/>
          <w:sz w:val="22"/>
          <w:szCs w:val="22"/>
          <w:highlight w:val="none"/>
          <w:u w:val="none"/>
          <w:lang w:val="en-US" w:eastAsia="zh-CN"/>
        </w:rPr>
        <w:t>14</w:t>
      </w:r>
      <w:r>
        <w:rPr>
          <w:rFonts w:hint="eastAsia" w:ascii="宋体" w:hAnsi="宋体" w:eastAsia="宋体" w:cs="宋体"/>
          <w:color w:val="auto"/>
          <w:sz w:val="22"/>
          <w:szCs w:val="22"/>
          <w:highlight w:val="none"/>
          <w:u w:val="none"/>
        </w:rPr>
        <w:t>点</w:t>
      </w:r>
      <w:r>
        <w:rPr>
          <w:rFonts w:hint="eastAsia" w:ascii="宋体" w:hAnsi="宋体" w:cs="宋体"/>
          <w:color w:val="auto"/>
          <w:sz w:val="22"/>
          <w:szCs w:val="22"/>
          <w:highlight w:val="none"/>
          <w:u w:val="none"/>
          <w:lang w:val="en-US" w:eastAsia="zh-CN"/>
        </w:rPr>
        <w:t>00</w:t>
      </w:r>
      <w:r>
        <w:rPr>
          <w:rFonts w:hint="eastAsia" w:ascii="宋体" w:hAnsi="宋体" w:eastAsia="宋体" w:cs="宋体"/>
          <w:color w:val="auto"/>
          <w:sz w:val="22"/>
          <w:szCs w:val="22"/>
          <w:highlight w:val="none"/>
          <w:u w:val="none"/>
        </w:rPr>
        <w:t>分（北京时间）</w:t>
      </w:r>
      <w:r>
        <w:rPr>
          <w:rFonts w:hint="eastAsia" w:ascii="宋体" w:hAnsi="宋体" w:eastAsia="宋体" w:cs="宋体"/>
          <w:color w:val="auto"/>
          <w:sz w:val="22"/>
          <w:szCs w:val="22"/>
        </w:rPr>
        <w:t>（北京时间），长春市二道区洋浦大街6999号凯利中心AB栋101室</w:t>
      </w:r>
      <w:r>
        <w:rPr>
          <w:rFonts w:hint="eastAsia" w:ascii="宋体" w:hAnsi="宋体" w:eastAsia="宋体" w:cs="宋体"/>
          <w:color w:val="auto"/>
          <w:sz w:val="22"/>
          <w:szCs w:val="22"/>
          <w:highlight w:val="none"/>
          <w:u w:val="none"/>
        </w:rPr>
        <w:t>开标四室</w:t>
      </w:r>
      <w:r>
        <w:rPr>
          <w:rFonts w:hint="eastAsia" w:ascii="宋体" w:hAnsi="宋体" w:eastAsia="宋体" w:cs="宋体"/>
          <w:color w:val="auto"/>
          <w:sz w:val="22"/>
          <w:szCs w:val="22"/>
        </w:rPr>
        <w:t>。</w:t>
      </w:r>
    </w:p>
    <w:p w14:paraId="6399B45A">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本项目为全流程电子化项目，供应商须通过政府采购云平台（网址：http://www.zcygov.cn）递交电子版响应文件。操作流程：供应商在政府采购云平台网注册入库成为正式供应商后，在平台上按《政府采购项目电子交易管理操作指南-供应商》进行投标操作。响应文件须在响应文件提交截止时间前上传平台，并在响应文件提交截止时间后30分钟内完成解密。由于供应商自身原因在提交响应文件截止时间前无法完成办理的，后果自负。</w:t>
      </w:r>
    </w:p>
    <w:p w14:paraId="7744CAE0">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3.若对“政采云”电子交易系统操作有疑问，可登录“政采云”（https://www.zcygov.cn/），点击右侧咨询小采或拨打政采云服务热线95763获取服务帮助。</w:t>
      </w:r>
    </w:p>
    <w:p w14:paraId="61AEBD14">
      <w:pPr>
        <w:keepNext w:val="0"/>
        <w:keepLines w:val="0"/>
        <w:pageBreakBefore w:val="0"/>
        <w:widowControl w:val="0"/>
        <w:kinsoku/>
        <w:wordWrap/>
        <w:overflowPunct/>
        <w:topLinePunct w:val="0"/>
        <w:autoSpaceDE/>
        <w:autoSpaceDN/>
        <w:bidi w:val="0"/>
        <w:adjustRightInd/>
        <w:snapToGrid/>
        <w:spacing w:before="136" w:beforeLines="50" w:after="136" w:afterLines="50" w:line="360" w:lineRule="auto"/>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五、公告期限</w:t>
      </w:r>
    </w:p>
    <w:p w14:paraId="3B471ED8">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自本公告发布之日起</w:t>
      </w:r>
      <w:r>
        <w:rPr>
          <w:rFonts w:hint="eastAsia" w:ascii="宋体" w:hAnsi="宋体" w:cs="宋体"/>
          <w:color w:val="auto"/>
          <w:sz w:val="22"/>
          <w:szCs w:val="22"/>
          <w:lang w:val="en-US" w:eastAsia="zh-CN"/>
        </w:rPr>
        <w:t>3</w:t>
      </w:r>
      <w:r>
        <w:rPr>
          <w:rFonts w:hint="eastAsia" w:ascii="宋体" w:hAnsi="宋体" w:eastAsia="宋体" w:cs="宋体"/>
          <w:color w:val="auto"/>
          <w:sz w:val="22"/>
          <w:szCs w:val="22"/>
        </w:rPr>
        <w:t>个工作日。</w:t>
      </w:r>
    </w:p>
    <w:p w14:paraId="1220A035">
      <w:pPr>
        <w:keepNext w:val="0"/>
        <w:keepLines w:val="0"/>
        <w:pageBreakBefore w:val="0"/>
        <w:widowControl w:val="0"/>
        <w:kinsoku/>
        <w:wordWrap/>
        <w:overflowPunct/>
        <w:topLinePunct w:val="0"/>
        <w:autoSpaceDE/>
        <w:autoSpaceDN/>
        <w:bidi w:val="0"/>
        <w:adjustRightInd/>
        <w:snapToGrid/>
        <w:spacing w:before="136" w:beforeLines="50" w:after="136" w:afterLines="50" w:line="360" w:lineRule="auto"/>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六、其他补充事宜</w:t>
      </w:r>
    </w:p>
    <w:p w14:paraId="03DF1579">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公告发布媒介：“政采云”平台（http://www.zcygov.cn），同步推送到吉林省政府采购网（http://www.ccgp-jilin.gov.cn/）、中国政府采购网。</w:t>
      </w:r>
    </w:p>
    <w:p w14:paraId="24316C66">
      <w:pPr>
        <w:keepNext w:val="0"/>
        <w:keepLines w:val="0"/>
        <w:pageBreakBefore w:val="0"/>
        <w:widowControl w:val="0"/>
        <w:kinsoku/>
        <w:wordWrap/>
        <w:overflowPunct/>
        <w:topLinePunct w:val="0"/>
        <w:autoSpaceDE/>
        <w:autoSpaceDN/>
        <w:bidi w:val="0"/>
        <w:adjustRightInd/>
        <w:snapToGrid/>
        <w:spacing w:before="136" w:beforeLines="50" w:after="136" w:afterLines="50" w:line="360" w:lineRule="auto"/>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七、凡对本次采购提出询问，请按以下方式联系</w:t>
      </w:r>
    </w:p>
    <w:bookmarkEnd w:id="1"/>
    <w:bookmarkEnd w:id="2"/>
    <w:bookmarkEnd w:id="3"/>
    <w:bookmarkEnd w:id="4"/>
    <w:p w14:paraId="5571F7C6">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1、采购人信息</w:t>
      </w:r>
    </w:p>
    <w:p w14:paraId="4E14C8F8">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名称：吉林省蚕业科学研究院</w:t>
      </w:r>
    </w:p>
    <w:p w14:paraId="5D2A58C1">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地址：吉林市丰满区红旗街道松江南路399号（吉林省蚕业科学研究院）</w:t>
      </w:r>
    </w:p>
    <w:p w14:paraId="6B20CC04">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联系人：邹阳</w:t>
      </w:r>
    </w:p>
    <w:p w14:paraId="72837EEA">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联系方式：18946644269</w:t>
      </w:r>
    </w:p>
    <w:p w14:paraId="4BB89468">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2、采购代理机构信息</w:t>
      </w:r>
    </w:p>
    <w:p w14:paraId="5CE8E38A">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采购代理机构：吉林省吉诚工程咨询有限公司</w:t>
      </w:r>
    </w:p>
    <w:p w14:paraId="245E3D97">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地址：长春市绿园区吾悦广场B座15楼1536室</w:t>
      </w:r>
    </w:p>
    <w:p w14:paraId="7051BF47">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项目联系人：曹健0431-81336999</w:t>
      </w:r>
    </w:p>
    <w:p w14:paraId="75448CBB">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3、项目联系方式：</w:t>
      </w:r>
    </w:p>
    <w:p w14:paraId="5D03CC7D">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项目联系人：曹健</w:t>
      </w:r>
    </w:p>
    <w:p w14:paraId="5D409AF8">
      <w:pPr>
        <w:keepNext w:val="0"/>
        <w:keepLines w:val="0"/>
        <w:pageBreakBefore w:val="0"/>
        <w:widowControl w:val="0"/>
        <w:kinsoku/>
        <w:wordWrap/>
        <w:overflowPunct/>
        <w:topLinePunct w:val="0"/>
        <w:autoSpaceDE/>
        <w:autoSpaceDN/>
        <w:bidi w:val="0"/>
        <w:adjustRightInd/>
        <w:snapToGrid/>
        <w:spacing w:line="360" w:lineRule="auto"/>
        <w:ind w:firstLine="389" w:firstLineChars="177"/>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联系电话：0431-81336999</w:t>
      </w:r>
    </w:p>
    <w:p w14:paraId="5BDAE753">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4、监督机构：吉林省财政厅政府采购管理处</w:t>
      </w:r>
    </w:p>
    <w:p w14:paraId="2DA10324">
      <w:pPr>
        <w:pStyle w:val="52"/>
        <w:spacing w:line="360" w:lineRule="auto"/>
        <w:ind w:firstLine="480" w:firstLineChars="200"/>
        <w:rPr>
          <w:rFonts w:ascii="宋体" w:hAnsi="宋体" w:eastAsia="宋体" w:cs="仿宋_GB2312"/>
          <w:color w:val="auto"/>
          <w:kern w:val="0"/>
          <w:sz w:val="24"/>
          <w:szCs w:val="24"/>
        </w:rPr>
      </w:pPr>
    </w:p>
    <w:p w14:paraId="46A196C1">
      <w:pPr>
        <w:pStyle w:val="52"/>
        <w:spacing w:line="360" w:lineRule="auto"/>
        <w:ind w:firstLine="480" w:firstLineChars="200"/>
        <w:rPr>
          <w:rFonts w:ascii="宋体" w:hAnsi="宋体" w:eastAsia="宋体" w:cs="仿宋_GB2312"/>
          <w:color w:val="auto"/>
          <w:kern w:val="0"/>
          <w:sz w:val="24"/>
          <w:szCs w:val="24"/>
        </w:rPr>
      </w:pPr>
    </w:p>
    <w:p w14:paraId="28EEE170">
      <w:pPr>
        <w:pStyle w:val="52"/>
        <w:spacing w:line="360" w:lineRule="auto"/>
        <w:ind w:firstLine="480" w:firstLineChars="200"/>
        <w:rPr>
          <w:rFonts w:ascii="宋体" w:hAnsi="宋体" w:eastAsia="宋体" w:cs="仿宋_GB2312"/>
          <w:color w:val="auto"/>
          <w:kern w:val="0"/>
          <w:sz w:val="24"/>
          <w:szCs w:val="24"/>
        </w:rPr>
      </w:pPr>
    </w:p>
    <w:p w14:paraId="662E1E47">
      <w:pPr>
        <w:pStyle w:val="52"/>
        <w:spacing w:line="360" w:lineRule="auto"/>
        <w:ind w:firstLine="480" w:firstLineChars="200"/>
        <w:rPr>
          <w:rFonts w:ascii="宋体" w:hAnsi="宋体" w:eastAsia="宋体" w:cs="仿宋_GB2312"/>
          <w:color w:val="auto"/>
          <w:kern w:val="0"/>
          <w:sz w:val="24"/>
          <w:szCs w:val="24"/>
        </w:rPr>
      </w:pPr>
    </w:p>
    <w:p w14:paraId="33A51521">
      <w:pPr>
        <w:pStyle w:val="52"/>
        <w:spacing w:line="360" w:lineRule="auto"/>
        <w:ind w:firstLine="480" w:firstLineChars="200"/>
        <w:rPr>
          <w:rFonts w:ascii="宋体" w:hAnsi="宋体" w:eastAsia="宋体" w:cs="仿宋_GB2312"/>
          <w:color w:val="auto"/>
          <w:kern w:val="0"/>
          <w:sz w:val="24"/>
          <w:szCs w:val="24"/>
        </w:rPr>
      </w:pPr>
    </w:p>
    <w:p w14:paraId="027D4F37">
      <w:pPr>
        <w:rPr>
          <w:rFonts w:hint="eastAsia" w:ascii="宋体" w:hAnsi="宋体"/>
          <w:b/>
          <w:color w:val="auto"/>
          <w:sz w:val="36"/>
          <w:szCs w:val="36"/>
        </w:rPr>
      </w:pPr>
      <w:bookmarkStart w:id="5" w:name="_Toc103723515"/>
      <w:r>
        <w:rPr>
          <w:rFonts w:hint="eastAsia" w:ascii="宋体" w:hAnsi="宋体"/>
          <w:b/>
          <w:color w:val="auto"/>
          <w:sz w:val="36"/>
          <w:szCs w:val="36"/>
        </w:rPr>
        <w:br w:type="page"/>
      </w:r>
    </w:p>
    <w:p w14:paraId="7417F0B2">
      <w:pPr>
        <w:jc w:val="center"/>
        <w:outlineLvl w:val="0"/>
        <w:rPr>
          <w:rFonts w:ascii="宋体" w:hAnsi="宋体"/>
          <w:b/>
          <w:color w:val="auto"/>
          <w:sz w:val="36"/>
          <w:szCs w:val="36"/>
        </w:rPr>
      </w:pPr>
      <w:r>
        <w:rPr>
          <w:rFonts w:hint="eastAsia" w:ascii="宋体" w:hAnsi="宋体"/>
          <w:b/>
          <w:color w:val="auto"/>
          <w:sz w:val="36"/>
          <w:szCs w:val="36"/>
        </w:rPr>
        <w:t>第二章</w:t>
      </w:r>
      <w:bookmarkEnd w:id="5"/>
      <w:r>
        <w:rPr>
          <w:rFonts w:hint="eastAsia" w:ascii="宋体" w:hAnsi="宋体"/>
          <w:b/>
          <w:color w:val="auto"/>
          <w:sz w:val="36"/>
          <w:szCs w:val="36"/>
        </w:rPr>
        <w:t>项目</w:t>
      </w:r>
      <w:r>
        <w:rPr>
          <w:rFonts w:ascii="宋体" w:hAnsi="宋体"/>
          <w:b/>
          <w:color w:val="auto"/>
          <w:sz w:val="36"/>
          <w:szCs w:val="36"/>
        </w:rPr>
        <w:t>需求</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5"/>
        <w:gridCol w:w="3985"/>
        <w:gridCol w:w="3639"/>
      </w:tblGrid>
      <w:tr w14:paraId="237D0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735" w:type="dxa"/>
            <w:noWrap w:val="0"/>
            <w:vAlign w:val="center"/>
          </w:tcPr>
          <w:p w14:paraId="4B8B526F">
            <w:pPr>
              <w:widowControl w:val="0"/>
              <w:jc w:val="center"/>
              <w:rPr>
                <w:rFonts w:hint="eastAsia" w:ascii="宋体" w:hAnsi="宋体" w:eastAsia="宋体" w:cs="宋体"/>
                <w:b/>
                <w:bCs/>
                <w:color w:val="auto"/>
                <w:kern w:val="44"/>
                <w:sz w:val="24"/>
                <w:szCs w:val="24"/>
                <w:highlight w:val="none"/>
                <w:vertAlign w:val="baseline"/>
                <w:lang w:val="en-US" w:eastAsia="zh-CN"/>
              </w:rPr>
            </w:pPr>
            <w:r>
              <w:rPr>
                <w:rFonts w:hint="eastAsia" w:ascii="宋体" w:hAnsi="宋体" w:eastAsia="宋体" w:cs="宋体"/>
                <w:b/>
                <w:bCs/>
                <w:color w:val="auto"/>
                <w:kern w:val="44"/>
                <w:sz w:val="24"/>
                <w:szCs w:val="24"/>
                <w:highlight w:val="none"/>
                <w:vertAlign w:val="baseline"/>
                <w:lang w:val="en-US" w:eastAsia="zh-CN"/>
              </w:rPr>
              <w:t>序号</w:t>
            </w:r>
          </w:p>
        </w:tc>
        <w:tc>
          <w:tcPr>
            <w:tcW w:w="3985" w:type="dxa"/>
            <w:noWrap w:val="0"/>
            <w:vAlign w:val="center"/>
          </w:tcPr>
          <w:p w14:paraId="7125DCCB">
            <w:pPr>
              <w:widowControl w:val="0"/>
              <w:jc w:val="center"/>
              <w:rPr>
                <w:rFonts w:hint="eastAsia" w:ascii="宋体" w:hAnsi="宋体" w:eastAsia="宋体" w:cs="宋体"/>
                <w:b/>
                <w:bCs/>
                <w:color w:val="auto"/>
                <w:kern w:val="44"/>
                <w:sz w:val="24"/>
                <w:szCs w:val="24"/>
                <w:highlight w:val="none"/>
                <w:vertAlign w:val="baseline"/>
                <w:lang w:val="zh-CN"/>
              </w:rPr>
            </w:pPr>
            <w:r>
              <w:rPr>
                <w:rFonts w:hint="eastAsia" w:ascii="宋体" w:hAnsi="宋体" w:eastAsia="宋体" w:cs="宋体"/>
                <w:b/>
                <w:bCs/>
                <w:color w:val="auto"/>
                <w:kern w:val="44"/>
                <w:sz w:val="24"/>
                <w:szCs w:val="24"/>
                <w:highlight w:val="none"/>
                <w:vertAlign w:val="baseline"/>
                <w:lang w:val="zh-CN"/>
              </w:rPr>
              <w:t>设备名称</w:t>
            </w:r>
          </w:p>
        </w:tc>
        <w:tc>
          <w:tcPr>
            <w:tcW w:w="3639" w:type="dxa"/>
            <w:noWrap w:val="0"/>
            <w:vAlign w:val="center"/>
          </w:tcPr>
          <w:p w14:paraId="2CB33299">
            <w:pPr>
              <w:widowControl w:val="0"/>
              <w:jc w:val="center"/>
              <w:rPr>
                <w:rFonts w:hint="eastAsia" w:ascii="宋体" w:hAnsi="宋体" w:eastAsia="宋体" w:cs="宋体"/>
                <w:b/>
                <w:bCs/>
                <w:color w:val="auto"/>
                <w:kern w:val="44"/>
                <w:sz w:val="24"/>
                <w:szCs w:val="24"/>
                <w:highlight w:val="none"/>
                <w:vertAlign w:val="baseline"/>
                <w:lang w:val="zh-CN"/>
              </w:rPr>
            </w:pPr>
            <w:r>
              <w:rPr>
                <w:rFonts w:hint="eastAsia" w:ascii="宋体" w:hAnsi="宋体" w:eastAsia="宋体" w:cs="宋体"/>
                <w:b/>
                <w:bCs/>
                <w:color w:val="auto"/>
                <w:kern w:val="44"/>
                <w:sz w:val="24"/>
                <w:szCs w:val="24"/>
                <w:highlight w:val="none"/>
                <w:vertAlign w:val="baseline"/>
                <w:lang w:val="zh-CN"/>
              </w:rPr>
              <w:t>数量</w:t>
            </w:r>
          </w:p>
        </w:tc>
      </w:tr>
      <w:tr w14:paraId="1601E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735" w:type="dxa"/>
            <w:noWrap w:val="0"/>
            <w:vAlign w:val="center"/>
          </w:tcPr>
          <w:p w14:paraId="5F8F844A">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1</w:t>
            </w:r>
          </w:p>
        </w:tc>
        <w:tc>
          <w:tcPr>
            <w:tcW w:w="3985" w:type="dxa"/>
            <w:shd w:val="clear" w:color="auto" w:fill="auto"/>
            <w:noWrap w:val="0"/>
            <w:vAlign w:val="center"/>
          </w:tcPr>
          <w:p w14:paraId="403981A4">
            <w:pPr>
              <w:widowControl w:val="0"/>
              <w:jc w:val="center"/>
              <w:rPr>
                <w:rFonts w:hint="eastAsia" w:ascii="宋体" w:hAnsi="宋体" w:eastAsia="宋体" w:cs="宋体"/>
                <w:b w:val="0"/>
                <w:bCs w:val="0"/>
                <w:color w:val="auto"/>
                <w:kern w:val="44"/>
                <w:sz w:val="24"/>
                <w:szCs w:val="24"/>
                <w:highlight w:val="none"/>
                <w:vertAlign w:val="baseline"/>
                <w:lang w:val="zh-CN" w:eastAsia="en-US"/>
              </w:rPr>
            </w:pPr>
            <w:r>
              <w:rPr>
                <w:rFonts w:hint="eastAsia" w:ascii="宋体" w:hAnsi="宋体" w:eastAsia="宋体" w:cs="宋体"/>
                <w:b w:val="0"/>
                <w:bCs w:val="0"/>
                <w:color w:val="auto"/>
                <w:sz w:val="24"/>
                <w:szCs w:val="24"/>
              </w:rPr>
              <w:t>凝胶色谱仪</w:t>
            </w:r>
          </w:p>
        </w:tc>
        <w:tc>
          <w:tcPr>
            <w:tcW w:w="3639" w:type="dxa"/>
            <w:shd w:val="clear" w:color="auto" w:fill="auto"/>
            <w:noWrap w:val="0"/>
            <w:vAlign w:val="center"/>
          </w:tcPr>
          <w:p w14:paraId="33BF9C57">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1</w:t>
            </w:r>
          </w:p>
        </w:tc>
      </w:tr>
      <w:tr w14:paraId="0695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735" w:type="dxa"/>
            <w:noWrap w:val="0"/>
            <w:vAlign w:val="center"/>
          </w:tcPr>
          <w:p w14:paraId="46F4D628">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2</w:t>
            </w:r>
          </w:p>
        </w:tc>
        <w:tc>
          <w:tcPr>
            <w:tcW w:w="3985" w:type="dxa"/>
            <w:shd w:val="clear" w:color="auto" w:fill="auto"/>
            <w:noWrap w:val="0"/>
            <w:vAlign w:val="center"/>
          </w:tcPr>
          <w:p w14:paraId="2F573DED">
            <w:pPr>
              <w:widowControl w:val="0"/>
              <w:jc w:val="center"/>
              <w:rPr>
                <w:rFonts w:hint="eastAsia" w:ascii="宋体" w:hAnsi="宋体" w:eastAsia="宋体" w:cs="宋体"/>
                <w:b w:val="0"/>
                <w:bCs w:val="0"/>
                <w:color w:val="auto"/>
                <w:kern w:val="44"/>
                <w:sz w:val="24"/>
                <w:szCs w:val="24"/>
                <w:highlight w:val="none"/>
                <w:vertAlign w:val="baseline"/>
                <w:lang w:val="zh-CN" w:eastAsia="en-US"/>
              </w:rPr>
            </w:pPr>
            <w:r>
              <w:rPr>
                <w:rFonts w:hint="eastAsia" w:ascii="宋体" w:hAnsi="宋体" w:eastAsia="宋体" w:cs="宋体"/>
                <w:b w:val="0"/>
                <w:bCs w:val="0"/>
                <w:color w:val="auto"/>
                <w:sz w:val="24"/>
                <w:szCs w:val="24"/>
              </w:rPr>
              <w:t>刀式研磨仪</w:t>
            </w:r>
          </w:p>
        </w:tc>
        <w:tc>
          <w:tcPr>
            <w:tcW w:w="3639" w:type="dxa"/>
            <w:shd w:val="clear" w:color="auto" w:fill="auto"/>
            <w:noWrap w:val="0"/>
            <w:vAlign w:val="center"/>
          </w:tcPr>
          <w:p w14:paraId="06F2C7C7">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1</w:t>
            </w:r>
          </w:p>
        </w:tc>
      </w:tr>
      <w:tr w14:paraId="6B6D6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735" w:type="dxa"/>
            <w:noWrap w:val="0"/>
            <w:vAlign w:val="center"/>
          </w:tcPr>
          <w:p w14:paraId="2CC3221C">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3</w:t>
            </w:r>
          </w:p>
        </w:tc>
        <w:tc>
          <w:tcPr>
            <w:tcW w:w="3985" w:type="dxa"/>
            <w:shd w:val="clear" w:color="auto" w:fill="auto"/>
            <w:noWrap w:val="0"/>
            <w:vAlign w:val="center"/>
          </w:tcPr>
          <w:p w14:paraId="0F4095C0">
            <w:pPr>
              <w:widowControl w:val="0"/>
              <w:jc w:val="center"/>
              <w:rPr>
                <w:rFonts w:hint="eastAsia" w:ascii="宋体" w:hAnsi="宋体" w:eastAsia="宋体" w:cs="宋体"/>
                <w:b w:val="0"/>
                <w:bCs w:val="0"/>
                <w:color w:val="auto"/>
                <w:kern w:val="44"/>
                <w:sz w:val="24"/>
                <w:szCs w:val="24"/>
                <w:highlight w:val="none"/>
                <w:vertAlign w:val="baseline"/>
                <w:lang w:val="zh-CN" w:eastAsia="en-US"/>
              </w:rPr>
            </w:pPr>
            <w:r>
              <w:rPr>
                <w:rFonts w:hint="eastAsia" w:ascii="宋体" w:hAnsi="宋体" w:eastAsia="宋体" w:cs="宋体"/>
                <w:b w:val="0"/>
                <w:bCs w:val="0"/>
                <w:color w:val="auto"/>
                <w:sz w:val="24"/>
                <w:szCs w:val="24"/>
              </w:rPr>
              <w:t>货梯</w:t>
            </w:r>
          </w:p>
        </w:tc>
        <w:tc>
          <w:tcPr>
            <w:tcW w:w="3639" w:type="dxa"/>
            <w:shd w:val="clear" w:color="auto" w:fill="auto"/>
            <w:noWrap w:val="0"/>
            <w:vAlign w:val="center"/>
          </w:tcPr>
          <w:p w14:paraId="79972107">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1</w:t>
            </w:r>
          </w:p>
        </w:tc>
      </w:tr>
      <w:tr w14:paraId="04B42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735" w:type="dxa"/>
            <w:noWrap w:val="0"/>
            <w:vAlign w:val="center"/>
          </w:tcPr>
          <w:p w14:paraId="53199E4C">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4</w:t>
            </w:r>
          </w:p>
        </w:tc>
        <w:tc>
          <w:tcPr>
            <w:tcW w:w="3985" w:type="dxa"/>
            <w:shd w:val="clear" w:color="auto" w:fill="auto"/>
            <w:noWrap w:val="0"/>
            <w:vAlign w:val="center"/>
          </w:tcPr>
          <w:p w14:paraId="410A9BB2">
            <w:pPr>
              <w:widowControl w:val="0"/>
              <w:jc w:val="center"/>
              <w:rPr>
                <w:rFonts w:hint="eastAsia" w:ascii="宋体" w:hAnsi="宋体" w:eastAsia="宋体" w:cs="宋体"/>
                <w:b w:val="0"/>
                <w:bCs w:val="0"/>
                <w:color w:val="auto"/>
                <w:kern w:val="44"/>
                <w:sz w:val="24"/>
                <w:szCs w:val="24"/>
                <w:highlight w:val="none"/>
                <w:vertAlign w:val="baseline"/>
                <w:lang w:val="zh-CN" w:eastAsia="en-US"/>
              </w:rPr>
            </w:pPr>
            <w:r>
              <w:rPr>
                <w:rFonts w:hint="eastAsia" w:ascii="宋体" w:hAnsi="宋体" w:eastAsia="宋体" w:cs="宋体"/>
                <w:b w:val="0"/>
                <w:bCs w:val="0"/>
                <w:color w:val="auto"/>
                <w:kern w:val="44"/>
                <w:sz w:val="24"/>
                <w:szCs w:val="24"/>
                <w:highlight w:val="none"/>
                <w:vertAlign w:val="baseline"/>
                <w:lang w:val="zh-CN" w:eastAsia="en-US"/>
              </w:rPr>
              <w:t>电位滴定仪</w:t>
            </w:r>
          </w:p>
        </w:tc>
        <w:tc>
          <w:tcPr>
            <w:tcW w:w="3639" w:type="dxa"/>
            <w:shd w:val="clear" w:color="auto" w:fill="auto"/>
            <w:noWrap w:val="0"/>
            <w:vAlign w:val="center"/>
          </w:tcPr>
          <w:p w14:paraId="4CB7E34C">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1</w:t>
            </w:r>
          </w:p>
        </w:tc>
      </w:tr>
      <w:tr w14:paraId="52E33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735" w:type="dxa"/>
            <w:noWrap w:val="0"/>
            <w:vAlign w:val="center"/>
          </w:tcPr>
          <w:p w14:paraId="53A70DC3">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5</w:t>
            </w:r>
          </w:p>
        </w:tc>
        <w:tc>
          <w:tcPr>
            <w:tcW w:w="3985" w:type="dxa"/>
            <w:shd w:val="clear" w:color="auto" w:fill="auto"/>
            <w:noWrap w:val="0"/>
            <w:vAlign w:val="center"/>
          </w:tcPr>
          <w:p w14:paraId="7937E7B0">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鼓风干燥箱</w:t>
            </w:r>
          </w:p>
        </w:tc>
        <w:tc>
          <w:tcPr>
            <w:tcW w:w="3639" w:type="dxa"/>
            <w:shd w:val="clear" w:color="auto" w:fill="auto"/>
            <w:noWrap w:val="0"/>
            <w:vAlign w:val="center"/>
          </w:tcPr>
          <w:p w14:paraId="4DE622A1">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1</w:t>
            </w:r>
          </w:p>
        </w:tc>
      </w:tr>
      <w:tr w14:paraId="39721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1735" w:type="dxa"/>
            <w:noWrap w:val="0"/>
            <w:vAlign w:val="center"/>
          </w:tcPr>
          <w:p w14:paraId="7BB6E642">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6</w:t>
            </w:r>
          </w:p>
        </w:tc>
        <w:tc>
          <w:tcPr>
            <w:tcW w:w="3985" w:type="dxa"/>
            <w:shd w:val="clear" w:color="auto" w:fill="auto"/>
            <w:noWrap w:val="0"/>
            <w:vAlign w:val="center"/>
          </w:tcPr>
          <w:p w14:paraId="653B01C0">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酸度计</w:t>
            </w:r>
          </w:p>
        </w:tc>
        <w:tc>
          <w:tcPr>
            <w:tcW w:w="3639" w:type="dxa"/>
            <w:shd w:val="clear" w:color="auto" w:fill="auto"/>
            <w:noWrap w:val="0"/>
            <w:vAlign w:val="center"/>
          </w:tcPr>
          <w:p w14:paraId="2B083D69">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1</w:t>
            </w:r>
          </w:p>
        </w:tc>
      </w:tr>
      <w:tr w14:paraId="7A8C4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1735" w:type="dxa"/>
            <w:noWrap w:val="0"/>
            <w:vAlign w:val="center"/>
          </w:tcPr>
          <w:p w14:paraId="46A4BE2A">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7</w:t>
            </w:r>
          </w:p>
        </w:tc>
        <w:tc>
          <w:tcPr>
            <w:tcW w:w="3985" w:type="dxa"/>
            <w:shd w:val="clear" w:color="auto" w:fill="auto"/>
            <w:noWrap w:val="0"/>
            <w:vAlign w:val="center"/>
          </w:tcPr>
          <w:p w14:paraId="56CE0CC0">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电子天平</w:t>
            </w:r>
          </w:p>
        </w:tc>
        <w:tc>
          <w:tcPr>
            <w:tcW w:w="3639" w:type="dxa"/>
            <w:shd w:val="clear" w:color="auto" w:fill="auto"/>
            <w:noWrap w:val="0"/>
            <w:vAlign w:val="center"/>
          </w:tcPr>
          <w:p w14:paraId="035BE959">
            <w:pPr>
              <w:widowControl w:val="0"/>
              <w:jc w:val="center"/>
              <w:rPr>
                <w:rFonts w:hint="eastAsia" w:ascii="宋体" w:hAnsi="宋体" w:eastAsia="宋体" w:cs="宋体"/>
                <w:b w:val="0"/>
                <w:bCs w:val="0"/>
                <w:color w:val="auto"/>
                <w:kern w:val="44"/>
                <w:sz w:val="24"/>
                <w:szCs w:val="24"/>
                <w:highlight w:val="none"/>
                <w:vertAlign w:val="baseline"/>
                <w:lang w:val="en-US" w:eastAsia="zh-CN"/>
              </w:rPr>
            </w:pPr>
            <w:r>
              <w:rPr>
                <w:rFonts w:hint="eastAsia" w:ascii="宋体" w:hAnsi="宋体" w:eastAsia="宋体" w:cs="宋体"/>
                <w:b w:val="0"/>
                <w:bCs w:val="0"/>
                <w:color w:val="auto"/>
                <w:kern w:val="44"/>
                <w:sz w:val="24"/>
                <w:szCs w:val="24"/>
                <w:highlight w:val="none"/>
                <w:vertAlign w:val="baseline"/>
                <w:lang w:val="en-US" w:eastAsia="zh-CN"/>
              </w:rPr>
              <w:t>1</w:t>
            </w:r>
          </w:p>
        </w:tc>
      </w:tr>
    </w:tbl>
    <w:p w14:paraId="157E8D8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8"/>
          <w:szCs w:val="36"/>
        </w:rPr>
      </w:pPr>
      <w:r>
        <w:rPr>
          <w:rFonts w:hint="eastAsia" w:ascii="宋体" w:hAnsi="宋体" w:eastAsia="宋体" w:cs="宋体"/>
          <w:b/>
          <w:bCs/>
          <w:color w:val="auto"/>
          <w:sz w:val="28"/>
          <w:szCs w:val="36"/>
        </w:rPr>
        <w:t>（1）凝胶色谱仪</w:t>
      </w:r>
    </w:p>
    <w:p w14:paraId="425CA96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本产品为凝胶净化而设计，用于各类样品的前处理环节，一般可应用于食品和农产品中的农药残留和抗氧化剂检测样品前处理、土壤和水体等环境样品的检测样品前处理。</w:t>
      </w:r>
    </w:p>
    <w:p w14:paraId="4784A27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技术参数：</w:t>
      </w:r>
    </w:p>
    <w:p w14:paraId="10E5A5C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1.主要功能及技术指标</w:t>
      </w:r>
    </w:p>
    <w:p w14:paraId="45FDF31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1.1高压恒流泵</w:t>
      </w:r>
    </w:p>
    <w:p w14:paraId="3EAA364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流速范围：0-50.000ml/min</w:t>
      </w:r>
    </w:p>
    <w:p w14:paraId="5F89035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流速精度：±0.15%</w:t>
      </w:r>
    </w:p>
    <w:p w14:paraId="006208B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流量稳定性：RSD≤0.10%</w:t>
      </w:r>
    </w:p>
    <w:p w14:paraId="2AF5566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输液泵最大耐压：≧30Mpa</w:t>
      </w:r>
    </w:p>
    <w:p w14:paraId="1B2CE76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定量环大小：5ml</w:t>
      </w:r>
    </w:p>
    <w:p w14:paraId="1F94845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1.2自动馏分收集器</w:t>
      </w:r>
    </w:p>
    <w:p w14:paraId="64CD590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容量：100位（ 15ml）</w:t>
      </w:r>
    </w:p>
    <w:p w14:paraId="0072DFC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组分切换时间：350-530ms(根据管架大小)</w:t>
      </w:r>
    </w:p>
    <w:p w14:paraId="60055D6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收集模式：手动收集、自动（时间、体积、阈值、斜率）收集</w:t>
      </w:r>
    </w:p>
    <w:p w14:paraId="46A21B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移动方式：X-Y轴</w:t>
      </w:r>
    </w:p>
    <w:p w14:paraId="75A46AE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切换阀：PEEK三通电磁阀</w:t>
      </w:r>
    </w:p>
    <w:p w14:paraId="62B7571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1.3紫外可见光检测器</w:t>
      </w:r>
    </w:p>
    <w:p w14:paraId="6CA9FD9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波长范围：190-400nm氘灯400-700nm钨灯（二选一）</w:t>
      </w:r>
    </w:p>
    <w:p w14:paraId="7C5617F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波长精度：±1nm</w:t>
      </w:r>
    </w:p>
    <w:p w14:paraId="6C150C2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波长重复性：≤0.2nm</w:t>
      </w:r>
    </w:p>
    <w:p w14:paraId="6E2E843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噪音（静态）：≤0.75×10-5 AU</w:t>
      </w:r>
    </w:p>
    <w:p w14:paraId="71610E7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漂移（静态）：≤1×10-4 AU/h2.</w:t>
      </w:r>
    </w:p>
    <w:p w14:paraId="78D3537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2</w:t>
      </w:r>
      <w:r>
        <w:rPr>
          <w:rFonts w:hint="eastAsia" w:ascii="宋体" w:hAnsi="宋体" w:eastAsia="宋体" w:cs="宋体"/>
          <w:color w:val="auto"/>
          <w:sz w:val="22"/>
          <w:szCs w:val="28"/>
        </w:rPr>
        <w:t>.前门板为透明PTFE防腐材质，可以方便直观的操作，便于观察</w:t>
      </w:r>
    </w:p>
    <w:p w14:paraId="0BBDA26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3</w:t>
      </w:r>
      <w:r>
        <w:rPr>
          <w:rFonts w:hint="eastAsia" w:ascii="宋体" w:hAnsi="宋体" w:eastAsia="宋体" w:cs="宋体"/>
          <w:color w:val="auto"/>
          <w:sz w:val="22"/>
          <w:szCs w:val="28"/>
        </w:rPr>
        <w:t>.基本参数</w:t>
      </w:r>
    </w:p>
    <w:p w14:paraId="547CEC70">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1.输液泵（含5ml定量环）：1</w:t>
      </w:r>
      <w:r>
        <w:rPr>
          <w:rFonts w:hint="eastAsia" w:ascii="宋体" w:hAnsi="宋体" w:eastAsia="宋体" w:cs="宋体"/>
          <w:color w:val="auto"/>
          <w:sz w:val="22"/>
          <w:szCs w:val="28"/>
          <w:lang w:eastAsia="zh-CN"/>
        </w:rPr>
        <w:t>个</w:t>
      </w:r>
    </w:p>
    <w:p w14:paraId="15F3000C">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2.紫外检测器：1</w:t>
      </w:r>
      <w:r>
        <w:rPr>
          <w:rFonts w:hint="eastAsia" w:ascii="宋体" w:hAnsi="宋体" w:eastAsia="宋体" w:cs="宋体"/>
          <w:color w:val="auto"/>
          <w:sz w:val="22"/>
          <w:szCs w:val="28"/>
          <w:lang w:eastAsia="zh-CN"/>
        </w:rPr>
        <w:t>台</w:t>
      </w:r>
    </w:p>
    <w:p w14:paraId="62316202">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3.溶剂托盘：1</w:t>
      </w:r>
      <w:r>
        <w:rPr>
          <w:rFonts w:hint="eastAsia" w:ascii="宋体" w:hAnsi="宋体" w:eastAsia="宋体" w:cs="宋体"/>
          <w:color w:val="auto"/>
          <w:sz w:val="22"/>
          <w:szCs w:val="28"/>
          <w:lang w:eastAsia="zh-CN"/>
        </w:rPr>
        <w:t>个</w:t>
      </w:r>
    </w:p>
    <w:p w14:paraId="34669480">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4.色谱数据软件（标准版）：1</w:t>
      </w:r>
      <w:r>
        <w:rPr>
          <w:rFonts w:hint="eastAsia" w:ascii="宋体" w:hAnsi="宋体" w:eastAsia="宋体" w:cs="宋体"/>
          <w:color w:val="auto"/>
          <w:sz w:val="22"/>
          <w:szCs w:val="28"/>
          <w:lang w:eastAsia="zh-CN"/>
        </w:rPr>
        <w:t>件</w:t>
      </w:r>
    </w:p>
    <w:p w14:paraId="6123A82D">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5.溶剂瓶（1000ml）：2</w:t>
      </w:r>
      <w:r>
        <w:rPr>
          <w:rFonts w:hint="eastAsia" w:ascii="宋体" w:hAnsi="宋体" w:eastAsia="宋体" w:cs="宋体"/>
          <w:color w:val="auto"/>
          <w:sz w:val="22"/>
          <w:szCs w:val="28"/>
          <w:lang w:eastAsia="zh-CN"/>
        </w:rPr>
        <w:t>个</w:t>
      </w:r>
    </w:p>
    <w:p w14:paraId="71AB2947">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6.100位馏分收集器（0-200ml）：1</w:t>
      </w:r>
      <w:r>
        <w:rPr>
          <w:rFonts w:hint="eastAsia" w:ascii="宋体" w:hAnsi="宋体" w:eastAsia="宋体" w:cs="宋体"/>
          <w:color w:val="auto"/>
          <w:sz w:val="22"/>
          <w:szCs w:val="28"/>
          <w:lang w:eastAsia="zh-CN"/>
        </w:rPr>
        <w:t>个</w:t>
      </w:r>
    </w:p>
    <w:p w14:paraId="3586B6BC">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7.36位馏分收集器试管及试管架：1</w:t>
      </w:r>
      <w:r>
        <w:rPr>
          <w:rFonts w:hint="eastAsia" w:ascii="宋体" w:hAnsi="宋体" w:eastAsia="宋体" w:cs="宋体"/>
          <w:color w:val="auto"/>
          <w:sz w:val="22"/>
          <w:szCs w:val="28"/>
          <w:lang w:eastAsia="zh-CN"/>
        </w:rPr>
        <w:t>个</w:t>
      </w:r>
    </w:p>
    <w:p w14:paraId="087DA28A">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8.316两通球阀（1/16）：1</w:t>
      </w:r>
      <w:r>
        <w:rPr>
          <w:rFonts w:hint="eastAsia" w:ascii="宋体" w:hAnsi="宋体" w:eastAsia="宋体" w:cs="宋体"/>
          <w:color w:val="auto"/>
          <w:sz w:val="22"/>
          <w:szCs w:val="28"/>
          <w:lang w:eastAsia="zh-CN"/>
        </w:rPr>
        <w:t>个</w:t>
      </w:r>
    </w:p>
    <w:p w14:paraId="329810F6">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9.不锈钢两通：1</w:t>
      </w:r>
      <w:r>
        <w:rPr>
          <w:rFonts w:hint="eastAsia" w:ascii="宋体" w:hAnsi="宋体" w:eastAsia="宋体" w:cs="宋体"/>
          <w:color w:val="auto"/>
          <w:sz w:val="22"/>
          <w:szCs w:val="28"/>
          <w:lang w:eastAsia="zh-CN"/>
        </w:rPr>
        <w:t>件</w:t>
      </w:r>
    </w:p>
    <w:p w14:paraId="0B8B9D1D">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10.品牌电脑：1</w:t>
      </w:r>
      <w:r>
        <w:rPr>
          <w:rFonts w:hint="eastAsia" w:ascii="宋体" w:hAnsi="宋体" w:eastAsia="宋体" w:cs="宋体"/>
          <w:color w:val="auto"/>
          <w:sz w:val="22"/>
          <w:szCs w:val="28"/>
          <w:lang w:eastAsia="zh-CN"/>
        </w:rPr>
        <w:t>台</w:t>
      </w:r>
    </w:p>
    <w:p w14:paraId="16C7D9FF">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11.700*25mm：1</w:t>
      </w:r>
      <w:r>
        <w:rPr>
          <w:rFonts w:hint="eastAsia" w:ascii="宋体" w:hAnsi="宋体" w:eastAsia="宋体" w:cs="宋体"/>
          <w:color w:val="auto"/>
          <w:sz w:val="22"/>
          <w:szCs w:val="28"/>
          <w:lang w:eastAsia="zh-CN"/>
        </w:rPr>
        <w:t>个</w:t>
      </w:r>
    </w:p>
    <w:p w14:paraId="6AB74AF8">
      <w:pPr>
        <w:keepNext w:val="0"/>
        <w:keepLines w:val="0"/>
        <w:pageBreakBefore w:val="0"/>
        <w:widowControl w:val="0"/>
        <w:kinsoku/>
        <w:wordWrap/>
        <w:overflowPunct/>
        <w:topLinePunct w:val="0"/>
        <w:autoSpaceDE/>
        <w:autoSpaceDN/>
        <w:bidi w:val="0"/>
        <w:adjustRightInd/>
        <w:snapToGrid/>
        <w:spacing w:line="360" w:lineRule="auto"/>
        <w:ind w:firstLine="220" w:firstLineChars="100"/>
        <w:textAlignment w:val="auto"/>
        <w:rPr>
          <w:rFonts w:hint="eastAsia" w:ascii="宋体" w:hAnsi="宋体" w:eastAsia="宋体" w:cs="宋体"/>
          <w:color w:val="auto"/>
          <w:sz w:val="22"/>
          <w:szCs w:val="28"/>
          <w:highlight w:val="none"/>
          <w:lang w:eastAsia="zh-CN"/>
        </w:rPr>
      </w:pPr>
      <w:r>
        <w:rPr>
          <w:rFonts w:hint="eastAsia" w:ascii="宋体" w:hAnsi="宋体" w:eastAsia="宋体" w:cs="宋体"/>
          <w:color w:val="auto"/>
          <w:sz w:val="22"/>
          <w:szCs w:val="28"/>
          <w:highlight w:val="none"/>
        </w:rPr>
        <w:t>12.制备型自动进样器：1</w:t>
      </w:r>
      <w:r>
        <w:rPr>
          <w:rFonts w:hint="eastAsia" w:ascii="宋体" w:hAnsi="宋体" w:eastAsia="宋体" w:cs="宋体"/>
          <w:color w:val="auto"/>
          <w:sz w:val="22"/>
          <w:szCs w:val="28"/>
          <w:highlight w:val="none"/>
          <w:lang w:eastAsia="zh-CN"/>
        </w:rPr>
        <w:t>个</w:t>
      </w:r>
    </w:p>
    <w:p w14:paraId="033B977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8"/>
          <w:szCs w:val="36"/>
        </w:rPr>
      </w:pPr>
      <w:r>
        <w:rPr>
          <w:rFonts w:hint="eastAsia" w:ascii="宋体" w:hAnsi="宋体" w:eastAsia="宋体" w:cs="宋体"/>
          <w:b/>
          <w:bCs/>
          <w:color w:val="auto"/>
          <w:sz w:val="28"/>
          <w:szCs w:val="36"/>
        </w:rPr>
        <w:t>（2）刀式研磨仪</w:t>
      </w:r>
    </w:p>
    <w:p w14:paraId="05027C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一、技术指标：</w:t>
      </w:r>
    </w:p>
    <w:p w14:paraId="703DE82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1、仪器系统：样品研磨系统是一款专门进行粉碎和均质化处理的仪器，能在数十秒钟内将样品粉碎至分析细度，并且粉碎结果均质化程度高，可满足实验室操作和分析过程所提出的各种专业要求；</w:t>
      </w:r>
    </w:p>
    <w:p w14:paraId="5EC6976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2、应用范围：适用于对软性、中硬性、脆性及纤维性等样品的粉碎研磨，尤其适合对含水、含油、含脂肪及纤维性物料的研磨及均质化处理；</w:t>
      </w:r>
    </w:p>
    <w:p w14:paraId="1F4C116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3、进样尺寸:小于40mm，最终出样尺寸：小于300μm；</w:t>
      </w:r>
    </w:p>
    <w:p w14:paraId="111B36B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4、建议样品处理量:150--700ml，视样品种类而定，最大可到1L；</w:t>
      </w:r>
    </w:p>
    <w:p w14:paraId="2E9D01B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5、常规转速：2000-10000rpm，(最高可达16000转)数字显示，连续可调，另可定制更高转速</w:t>
      </w:r>
      <w:r>
        <w:rPr>
          <w:rFonts w:hint="eastAsia" w:ascii="宋体" w:hAnsi="宋体" w:eastAsia="宋体" w:cs="宋体"/>
          <w:color w:val="auto"/>
          <w:sz w:val="22"/>
          <w:szCs w:val="28"/>
          <w:lang w:eastAsia="zh-CN"/>
        </w:rPr>
        <w:t>，转速校准，时间校准</w:t>
      </w:r>
      <w:r>
        <w:rPr>
          <w:rFonts w:hint="eastAsia" w:ascii="宋体" w:hAnsi="宋体" w:eastAsia="宋体" w:cs="宋体"/>
          <w:color w:val="auto"/>
          <w:sz w:val="22"/>
          <w:szCs w:val="28"/>
        </w:rPr>
        <w:t xml:space="preserve">； </w:t>
      </w:r>
    </w:p>
    <w:p w14:paraId="6EB1A0B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6、研磨时间设置:1秒-9分钟59秒，数字显示，连续可调；</w:t>
      </w:r>
    </w:p>
    <w:p w14:paraId="16A8A57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7、转刀：二叶或四叶刀头，刀片不在同一水平面，保持一定的间距高度，并且具有韧面和钝面之分，分别可用于大块样品的粗粉碎或者精细粉碎；(四叶全不锈钢转刀适合液氮冷冻研磨)</w:t>
      </w:r>
    </w:p>
    <w:p w14:paraId="2D5B18B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 xml:space="preserve">8、转刀直径：不小于119mm，刀头外围线速度：不小于62m/s；    </w:t>
      </w:r>
    </w:p>
    <w:p w14:paraId="48DBA51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9、研磨套件类型及材质：转刀—不锈钢制、钛制、不锈钢锯齿；研磨容器—耐压热(通明、防划)、聚丙烯制、玻璃制、不锈钢制，顶盖—标准顶盖、重力顶盖、带溢流渠的重力顶盖、减量顶盖；(不锈钢杯采用一次冲压成型，重量轻，操作方便)</w:t>
      </w:r>
    </w:p>
    <w:p w14:paraId="2EDE887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10、可干磨、湿磨及冷冻研磨，底座有防水保护设计并具有导流槽，有效阻止液体接触电机或电机轴，延长使用寿命；</w:t>
      </w:r>
    </w:p>
    <w:p w14:paraId="184EBE5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11、系统具备称量功能，数值稳定后机器可进行样品粉碎研磨，研磨停止后，系统可进行称量；</w:t>
      </w:r>
    </w:p>
    <w:p w14:paraId="426A8AE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12、仪器具有电磁锁，在研磨过程中机盖无法打开或者机盖正常锁紧前仪器无法开启，最大限度的保证了操作的安全性；</w:t>
      </w:r>
    </w:p>
    <w:p w14:paraId="1CF657F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13、具有间歇、正转、反转及快速点击模式, 均可在控制面板上直接操作；</w:t>
      </w:r>
    </w:p>
    <w:p w14:paraId="506F285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14、仪器配件均可进行高温高压灭菌，并可进行防重金属研磨；</w:t>
      </w:r>
    </w:p>
    <w:p w14:paraId="374BA6A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15、钛制转刀需要提供具有资质的第三方检测机构出具的检测证明；</w:t>
      </w:r>
    </w:p>
    <w:p w14:paraId="258C6AA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16、电机功率≥1100W，工业级电机，强力高效；</w:t>
      </w:r>
    </w:p>
    <w:p w14:paraId="2329E0E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8"/>
          <w:szCs w:val="36"/>
        </w:rPr>
      </w:pPr>
      <w:r>
        <w:rPr>
          <w:rFonts w:hint="eastAsia" w:ascii="宋体" w:hAnsi="宋体" w:eastAsia="宋体" w:cs="宋体"/>
          <w:b/>
          <w:bCs/>
          <w:color w:val="auto"/>
          <w:sz w:val="28"/>
          <w:szCs w:val="36"/>
        </w:rPr>
        <w:t>（3）货梯</w:t>
      </w:r>
    </w:p>
    <w:p w14:paraId="4B02DA0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用途：杂物运输。</w:t>
      </w:r>
    </w:p>
    <w:p w14:paraId="6553B1E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技术参数：额定载重≦300kg，额定速度0.4m/s，轿厢尺寸1000*1000*1200mm，4层/4站/4门，开门方式手动垂直上下中分门，驱动方式为拽引式，拽引比1:1。</w:t>
      </w:r>
    </w:p>
    <w:p w14:paraId="705BE4D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8"/>
          <w:szCs w:val="36"/>
        </w:rPr>
      </w:pPr>
      <w:r>
        <w:rPr>
          <w:rFonts w:hint="eastAsia" w:ascii="宋体" w:hAnsi="宋体" w:eastAsia="宋体" w:cs="宋体"/>
          <w:b/>
          <w:bCs/>
          <w:color w:val="auto"/>
          <w:sz w:val="28"/>
          <w:szCs w:val="36"/>
        </w:rPr>
        <w:t>（4）电位滴定仪</w:t>
      </w:r>
    </w:p>
    <w:p w14:paraId="5184D98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用途：样本过氧化值检测</w:t>
      </w:r>
    </w:p>
    <w:p w14:paraId="6DCA819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技术参数：</w:t>
      </w:r>
    </w:p>
    <w:p w14:paraId="21AD5DC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1.容量滴定单元</w:t>
      </w:r>
    </w:p>
    <w:p w14:paraId="3CBD32A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滴定分析重复性:≦0.3%;滴定容量允许误差:10ml滴定管：±0.05ml；20ml滴定管：±0.07ml;滴定管分辨率:1/14000;滴定管输液或补液速度:(55±10)s(滴定管满度时)</w:t>
      </w:r>
      <w:r>
        <w:rPr>
          <w:rFonts w:hint="eastAsia" w:ascii="宋体" w:hAnsi="宋体" w:eastAsia="宋体" w:cs="宋体"/>
          <w:color w:val="auto"/>
          <w:sz w:val="22"/>
          <w:szCs w:val="28"/>
          <w:lang w:eastAsia="zh-CN"/>
        </w:rPr>
        <w:t>。</w:t>
      </w:r>
    </w:p>
    <w:p w14:paraId="12035E7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2.</w:t>
      </w:r>
      <w:r>
        <w:rPr>
          <w:rFonts w:hint="eastAsia" w:ascii="宋体" w:hAnsi="宋体" w:eastAsia="宋体" w:cs="宋体"/>
          <w:color w:val="auto"/>
          <w:sz w:val="22"/>
          <w:szCs w:val="28"/>
          <w:lang w:eastAsia="zh-CN"/>
        </w:rPr>
        <w:t>电</w:t>
      </w:r>
      <w:r>
        <w:rPr>
          <w:rFonts w:hint="eastAsia" w:ascii="宋体" w:hAnsi="宋体" w:eastAsia="宋体" w:cs="宋体"/>
          <w:color w:val="auto"/>
          <w:sz w:val="22"/>
          <w:szCs w:val="28"/>
        </w:rPr>
        <w:t>位滴定模块</w:t>
      </w:r>
    </w:p>
    <w:p w14:paraId="5DB8F68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测量范围：(-1999～1999)mV，(0.00～14.00)pH；分辨率：1mV，0.01pH；基本误差pH：±0.01pH±1个</w:t>
      </w:r>
      <w:r>
        <w:rPr>
          <w:rFonts w:hint="eastAsia" w:ascii="宋体" w:hAnsi="宋体" w:eastAsia="宋体" w:cs="宋体"/>
          <w:color w:val="auto"/>
          <w:sz w:val="22"/>
          <w:szCs w:val="28"/>
          <w:lang w:eastAsia="zh-CN"/>
        </w:rPr>
        <w:t>字</w:t>
      </w:r>
      <w:r>
        <w:rPr>
          <w:rFonts w:hint="eastAsia" w:ascii="宋体" w:hAnsi="宋体" w:eastAsia="宋体" w:cs="宋体"/>
          <w:color w:val="auto"/>
          <w:sz w:val="22"/>
          <w:szCs w:val="28"/>
        </w:rPr>
        <w:t xml:space="preserve"> mV：±0.1%FS；稳定性：±1mV/3h。</w:t>
      </w:r>
    </w:p>
    <w:p w14:paraId="6781944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8"/>
          <w:szCs w:val="36"/>
        </w:rPr>
      </w:pPr>
      <w:r>
        <w:rPr>
          <w:rFonts w:hint="eastAsia" w:ascii="宋体" w:hAnsi="宋体" w:eastAsia="宋体" w:cs="宋体"/>
          <w:b/>
          <w:bCs/>
          <w:color w:val="auto"/>
          <w:sz w:val="28"/>
          <w:szCs w:val="36"/>
        </w:rPr>
        <w:t>（5）鼓风干燥箱</w:t>
      </w:r>
    </w:p>
    <w:p w14:paraId="4591397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用途：样本烘干</w:t>
      </w:r>
    </w:p>
    <w:p w14:paraId="040F1CD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方式：侧风道强制对流</w:t>
      </w:r>
    </w:p>
    <w:p w14:paraId="60B15D8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1</w:t>
      </w:r>
      <w:r>
        <w:rPr>
          <w:rFonts w:hint="eastAsia" w:ascii="宋体" w:hAnsi="宋体" w:eastAsia="宋体" w:cs="宋体"/>
          <w:color w:val="auto"/>
          <w:sz w:val="22"/>
          <w:szCs w:val="28"/>
        </w:rPr>
        <w:t>.使用温度范围：RT+10-250℃</w:t>
      </w:r>
    </w:p>
    <w:p w14:paraId="361F649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2</w:t>
      </w:r>
      <w:r>
        <w:rPr>
          <w:rFonts w:hint="eastAsia" w:ascii="宋体" w:hAnsi="宋体" w:eastAsia="宋体" w:cs="宋体"/>
          <w:color w:val="auto"/>
          <w:sz w:val="22"/>
          <w:szCs w:val="28"/>
        </w:rPr>
        <w:t>.温度分辨率：0.1℃</w:t>
      </w:r>
    </w:p>
    <w:p w14:paraId="17974AC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3</w:t>
      </w:r>
      <w:r>
        <w:rPr>
          <w:rFonts w:hint="eastAsia" w:ascii="宋体" w:hAnsi="宋体" w:eastAsia="宋体" w:cs="宋体"/>
          <w:color w:val="auto"/>
          <w:sz w:val="22"/>
          <w:szCs w:val="28"/>
        </w:rPr>
        <w:t xml:space="preserve">.温度波动度：±1℃  </w:t>
      </w:r>
    </w:p>
    <w:p w14:paraId="46A9B24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4</w:t>
      </w:r>
      <w:r>
        <w:rPr>
          <w:rFonts w:hint="eastAsia" w:ascii="宋体" w:hAnsi="宋体" w:eastAsia="宋体" w:cs="宋体"/>
          <w:color w:val="auto"/>
          <w:sz w:val="22"/>
          <w:szCs w:val="28"/>
        </w:rPr>
        <w:t>.温度分布精度：±2.5℃%</w:t>
      </w:r>
    </w:p>
    <w:p w14:paraId="20CD33F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5</w:t>
      </w:r>
      <w:r>
        <w:rPr>
          <w:rFonts w:hint="eastAsia" w:ascii="宋体" w:hAnsi="宋体" w:eastAsia="宋体" w:cs="宋体"/>
          <w:color w:val="auto"/>
          <w:sz w:val="22"/>
          <w:szCs w:val="28"/>
        </w:rPr>
        <w:t>.内装：不锈钢板</w:t>
      </w:r>
    </w:p>
    <w:p w14:paraId="45301A5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6</w:t>
      </w:r>
      <w:r>
        <w:rPr>
          <w:rFonts w:hint="eastAsia" w:ascii="宋体" w:hAnsi="宋体" w:eastAsia="宋体" w:cs="宋体"/>
          <w:color w:val="auto"/>
          <w:sz w:val="22"/>
          <w:szCs w:val="28"/>
        </w:rPr>
        <w:t>.外装：冷轧钢板，表面耐药品性涂装</w:t>
      </w:r>
    </w:p>
    <w:p w14:paraId="1D0DA3B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7</w:t>
      </w:r>
      <w:r>
        <w:rPr>
          <w:rFonts w:hint="eastAsia" w:ascii="宋体" w:hAnsi="宋体" w:eastAsia="宋体" w:cs="宋体"/>
          <w:color w:val="auto"/>
          <w:sz w:val="22"/>
          <w:szCs w:val="28"/>
        </w:rPr>
        <w:t>.断热材：硅酸铝纤维</w:t>
      </w:r>
    </w:p>
    <w:p w14:paraId="39FF995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8</w:t>
      </w:r>
      <w:r>
        <w:rPr>
          <w:rFonts w:hint="eastAsia" w:ascii="宋体" w:hAnsi="宋体" w:eastAsia="宋体" w:cs="宋体"/>
          <w:color w:val="auto"/>
          <w:sz w:val="22"/>
          <w:szCs w:val="28"/>
        </w:rPr>
        <w:t>.加热器：不锈钢加热管</w:t>
      </w:r>
    </w:p>
    <w:p w14:paraId="336D110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9</w:t>
      </w:r>
      <w:r>
        <w:rPr>
          <w:rFonts w:hint="eastAsia" w:ascii="宋体" w:hAnsi="宋体" w:eastAsia="宋体" w:cs="宋体"/>
          <w:color w:val="auto"/>
          <w:sz w:val="22"/>
          <w:szCs w:val="28"/>
        </w:rPr>
        <w:t>.额定功率：2kw</w:t>
      </w:r>
    </w:p>
    <w:p w14:paraId="589FE9B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0</w:t>
      </w:r>
      <w:r>
        <w:rPr>
          <w:rFonts w:hint="eastAsia" w:ascii="宋体" w:hAnsi="宋体" w:eastAsia="宋体" w:cs="宋体"/>
          <w:color w:val="auto"/>
          <w:sz w:val="22"/>
          <w:szCs w:val="28"/>
        </w:rPr>
        <w:t>.排气口：顶置测试孔</w:t>
      </w:r>
    </w:p>
    <w:p w14:paraId="6A632EC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1</w:t>
      </w:r>
      <w:r>
        <w:rPr>
          <w:rFonts w:hint="eastAsia" w:ascii="宋体" w:hAnsi="宋体" w:eastAsia="宋体" w:cs="宋体"/>
          <w:color w:val="auto"/>
          <w:sz w:val="22"/>
          <w:szCs w:val="28"/>
        </w:rPr>
        <w:t>.控制器：温度控制方式：数码管双列PID</w:t>
      </w:r>
    </w:p>
    <w:p w14:paraId="79BB746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2</w:t>
      </w:r>
      <w:r>
        <w:rPr>
          <w:rFonts w:hint="eastAsia" w:ascii="宋体" w:hAnsi="宋体" w:eastAsia="宋体" w:cs="宋体"/>
          <w:color w:val="auto"/>
          <w:sz w:val="22"/>
          <w:szCs w:val="28"/>
        </w:rPr>
        <w:t>.温度设定方式：轻触四按键设定</w:t>
      </w:r>
    </w:p>
    <w:p w14:paraId="4A97B5C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3</w:t>
      </w:r>
      <w:r>
        <w:rPr>
          <w:rFonts w:hint="eastAsia" w:ascii="宋体" w:hAnsi="宋体" w:eastAsia="宋体" w:cs="宋体"/>
          <w:color w:val="auto"/>
          <w:sz w:val="22"/>
          <w:szCs w:val="28"/>
        </w:rPr>
        <w:t>.温度表示方式：测定温度显示：4位数码上位显示；设定温度显示；4位数码下位显示</w:t>
      </w:r>
    </w:p>
    <w:p w14:paraId="59F0BD9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4</w:t>
      </w:r>
      <w:r>
        <w:rPr>
          <w:rFonts w:hint="eastAsia" w:ascii="宋体" w:hAnsi="宋体" w:eastAsia="宋体" w:cs="宋体"/>
          <w:color w:val="auto"/>
          <w:sz w:val="22"/>
          <w:szCs w:val="28"/>
        </w:rPr>
        <w:t>.定时器：0-9999分钟（带定时等待功能）</w:t>
      </w:r>
    </w:p>
    <w:p w14:paraId="5BC4F69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5</w:t>
      </w:r>
      <w:r>
        <w:rPr>
          <w:rFonts w:hint="eastAsia" w:ascii="宋体" w:hAnsi="宋体" w:eastAsia="宋体" w:cs="宋体"/>
          <w:color w:val="auto"/>
          <w:sz w:val="22"/>
          <w:szCs w:val="28"/>
        </w:rPr>
        <w:t>.运行功能：定值运行、定时运行、自动停止</w:t>
      </w:r>
    </w:p>
    <w:p w14:paraId="7CF999E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6</w:t>
      </w:r>
      <w:r>
        <w:rPr>
          <w:rFonts w:hint="eastAsia" w:ascii="宋体" w:hAnsi="宋体" w:eastAsia="宋体" w:cs="宋体"/>
          <w:color w:val="auto"/>
          <w:sz w:val="22"/>
          <w:szCs w:val="28"/>
        </w:rPr>
        <w:t>.程序模式：选配</w:t>
      </w:r>
    </w:p>
    <w:p w14:paraId="32F500D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7</w:t>
      </w:r>
      <w:r>
        <w:rPr>
          <w:rFonts w:hint="eastAsia" w:ascii="宋体" w:hAnsi="宋体" w:eastAsia="宋体" w:cs="宋体"/>
          <w:color w:val="auto"/>
          <w:sz w:val="22"/>
          <w:szCs w:val="28"/>
        </w:rPr>
        <w:t>.附加功能：偏差修正、菜单按键锁定、停电补偿、停电记忆</w:t>
      </w:r>
    </w:p>
    <w:p w14:paraId="60842AD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w:t>
      </w:r>
      <w:r>
        <w:rPr>
          <w:rFonts w:hint="eastAsia" w:ascii="宋体" w:hAnsi="宋体" w:eastAsia="宋体" w:cs="宋体"/>
          <w:color w:val="auto"/>
          <w:sz w:val="22"/>
          <w:szCs w:val="28"/>
          <w:lang w:val="en-US" w:eastAsia="zh-CN"/>
        </w:rPr>
        <w:t>8</w:t>
      </w:r>
      <w:r>
        <w:rPr>
          <w:rFonts w:hint="eastAsia" w:ascii="宋体" w:hAnsi="宋体" w:eastAsia="宋体" w:cs="宋体"/>
          <w:color w:val="auto"/>
          <w:sz w:val="22"/>
          <w:szCs w:val="28"/>
        </w:rPr>
        <w:t>.传感器：Pt100</w:t>
      </w:r>
    </w:p>
    <w:p w14:paraId="5F90BA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19</w:t>
      </w:r>
      <w:r>
        <w:rPr>
          <w:rFonts w:hint="eastAsia" w:ascii="宋体" w:hAnsi="宋体" w:eastAsia="宋体" w:cs="宋体"/>
          <w:color w:val="auto"/>
          <w:sz w:val="22"/>
          <w:szCs w:val="28"/>
        </w:rPr>
        <w:t>.安全装置：过升报警</w:t>
      </w:r>
    </w:p>
    <w:p w14:paraId="7052B48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2</w:t>
      </w:r>
      <w:r>
        <w:rPr>
          <w:rFonts w:hint="eastAsia" w:ascii="宋体" w:hAnsi="宋体" w:eastAsia="宋体" w:cs="宋体"/>
          <w:color w:val="auto"/>
          <w:sz w:val="22"/>
          <w:szCs w:val="28"/>
          <w:lang w:val="en-US" w:eastAsia="zh-CN"/>
        </w:rPr>
        <w:t>0</w:t>
      </w:r>
      <w:r>
        <w:rPr>
          <w:rFonts w:hint="eastAsia" w:ascii="宋体" w:hAnsi="宋体" w:eastAsia="宋体" w:cs="宋体"/>
          <w:color w:val="auto"/>
          <w:sz w:val="22"/>
          <w:szCs w:val="28"/>
        </w:rPr>
        <w:t>.内容积：136L</w:t>
      </w:r>
    </w:p>
    <w:p w14:paraId="284D0A2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21</w:t>
      </w:r>
      <w:r>
        <w:rPr>
          <w:rFonts w:hint="eastAsia" w:ascii="宋体" w:hAnsi="宋体" w:eastAsia="宋体" w:cs="宋体"/>
          <w:color w:val="auto"/>
          <w:sz w:val="22"/>
          <w:szCs w:val="28"/>
        </w:rPr>
        <w:t>.隔板承重：≧15kg</w:t>
      </w:r>
    </w:p>
    <w:p w14:paraId="5654DAD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22</w:t>
      </w:r>
      <w:r>
        <w:rPr>
          <w:rFonts w:hint="eastAsia" w:ascii="宋体" w:hAnsi="宋体" w:eastAsia="宋体" w:cs="宋体"/>
          <w:color w:val="auto"/>
          <w:sz w:val="22"/>
          <w:szCs w:val="28"/>
        </w:rPr>
        <w:t>.隔板层数：≧17层</w:t>
      </w:r>
    </w:p>
    <w:p w14:paraId="358114A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2</w:t>
      </w:r>
      <w:r>
        <w:rPr>
          <w:rFonts w:hint="eastAsia" w:ascii="宋体" w:hAnsi="宋体" w:eastAsia="宋体" w:cs="宋体"/>
          <w:color w:val="auto"/>
          <w:sz w:val="22"/>
          <w:szCs w:val="28"/>
          <w:lang w:val="en-US" w:eastAsia="zh-CN"/>
        </w:rPr>
        <w:t>3</w:t>
      </w:r>
      <w:r>
        <w:rPr>
          <w:rFonts w:hint="eastAsia" w:ascii="宋体" w:hAnsi="宋体" w:eastAsia="宋体" w:cs="宋体"/>
          <w:color w:val="auto"/>
          <w:sz w:val="22"/>
          <w:szCs w:val="28"/>
        </w:rPr>
        <w:t>.隔板间距：≧25 mm</w:t>
      </w:r>
    </w:p>
    <w:p w14:paraId="62A391A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2</w:t>
      </w:r>
      <w:r>
        <w:rPr>
          <w:rFonts w:hint="eastAsia" w:ascii="宋体" w:hAnsi="宋体" w:eastAsia="宋体" w:cs="宋体"/>
          <w:color w:val="auto"/>
          <w:sz w:val="22"/>
          <w:szCs w:val="28"/>
          <w:lang w:val="en-US" w:eastAsia="zh-CN"/>
        </w:rPr>
        <w:t>4</w:t>
      </w:r>
      <w:r>
        <w:rPr>
          <w:rFonts w:hint="eastAsia" w:ascii="宋体" w:hAnsi="宋体" w:eastAsia="宋体" w:cs="宋体"/>
          <w:color w:val="auto"/>
          <w:sz w:val="22"/>
          <w:szCs w:val="28"/>
        </w:rPr>
        <w:t>.电源（50/60Hz）额定电流：AC220/9.1A</w:t>
      </w:r>
    </w:p>
    <w:p w14:paraId="5A75ACD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2</w:t>
      </w:r>
      <w:r>
        <w:rPr>
          <w:rFonts w:hint="eastAsia" w:ascii="宋体" w:hAnsi="宋体" w:eastAsia="宋体" w:cs="宋体"/>
          <w:color w:val="auto"/>
          <w:sz w:val="22"/>
          <w:szCs w:val="28"/>
          <w:lang w:val="en-US" w:eastAsia="zh-CN"/>
        </w:rPr>
        <w:t>5</w:t>
      </w:r>
      <w:r>
        <w:rPr>
          <w:rFonts w:hint="eastAsia" w:ascii="宋体" w:hAnsi="宋体" w:eastAsia="宋体" w:cs="宋体"/>
          <w:color w:val="auto"/>
          <w:sz w:val="22"/>
          <w:szCs w:val="28"/>
        </w:rPr>
        <w:t>.附属品：隔板：2件</w:t>
      </w:r>
    </w:p>
    <w:p w14:paraId="1708B40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26</w:t>
      </w:r>
      <w:r>
        <w:rPr>
          <w:rFonts w:hint="eastAsia" w:ascii="宋体" w:hAnsi="宋体" w:eastAsia="宋体" w:cs="宋体"/>
          <w:color w:val="auto"/>
          <w:sz w:val="22"/>
          <w:szCs w:val="28"/>
        </w:rPr>
        <w:t>.隔板架：2件</w:t>
      </w:r>
    </w:p>
    <w:p w14:paraId="7E8AE87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lang w:val="en-US" w:eastAsia="zh-CN"/>
        </w:rPr>
        <w:t>27</w:t>
      </w:r>
      <w:r>
        <w:rPr>
          <w:rFonts w:hint="eastAsia" w:ascii="宋体" w:hAnsi="宋体" w:eastAsia="宋体" w:cs="宋体"/>
          <w:color w:val="auto"/>
          <w:sz w:val="22"/>
          <w:szCs w:val="28"/>
        </w:rPr>
        <w:t>.可增加配置：隔板、RS485接口、打印机、记录仪、外部通讯、远程控制、程序控温仪、无限短信报警、U盘数据储存。</w:t>
      </w:r>
    </w:p>
    <w:p w14:paraId="3E3F4ED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8"/>
          <w:szCs w:val="36"/>
        </w:rPr>
      </w:pPr>
      <w:r>
        <w:rPr>
          <w:rFonts w:hint="eastAsia" w:ascii="宋体" w:hAnsi="宋体" w:eastAsia="宋体" w:cs="宋体"/>
          <w:b/>
          <w:bCs/>
          <w:color w:val="auto"/>
          <w:sz w:val="28"/>
          <w:szCs w:val="36"/>
        </w:rPr>
        <w:t>（6）酸度计</w:t>
      </w:r>
    </w:p>
    <w:p w14:paraId="31FD18A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用途：溶液PH测定。</w:t>
      </w:r>
    </w:p>
    <w:p w14:paraId="31B7F4D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8"/>
          <w:szCs w:val="36"/>
        </w:rPr>
      </w:pPr>
      <w:r>
        <w:rPr>
          <w:rFonts w:hint="eastAsia" w:ascii="宋体" w:hAnsi="宋体" w:eastAsia="宋体" w:cs="宋体"/>
          <w:color w:val="auto"/>
          <w:sz w:val="22"/>
          <w:szCs w:val="28"/>
        </w:rPr>
        <w:t>技术参数：</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1.显示：触摸彩屏；</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2.仪器级别：0.01级；</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3.测量参数：pH、mV；</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4.测量范围：PH(0-14PH),mV(-1000~1000mV);</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5.分辨率:PH（0.01PH）,mV(1mV);</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6.基本误差:PH(±0.01pH),mV(±0.1%FS);</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7.稳定性:（±0.01pH±1个字）;</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8.温度补偿:自动（0.0~60.0）℃;</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9.电源:AC（220±22）V，（50±1）Hz;</w:t>
      </w:r>
      <w:r>
        <w:rPr>
          <w:rFonts w:hint="eastAsia" w:ascii="宋体" w:hAnsi="宋体" w:eastAsia="宋体" w:cs="宋体"/>
          <w:color w:val="auto"/>
          <w:sz w:val="22"/>
          <w:szCs w:val="28"/>
        </w:rPr>
        <w:br w:type="textWrapping"/>
      </w:r>
      <w:r>
        <w:rPr>
          <w:rFonts w:hint="eastAsia" w:ascii="宋体" w:hAnsi="宋体" w:eastAsia="宋体" w:cs="宋体"/>
          <w:b/>
          <w:bCs/>
          <w:color w:val="auto"/>
          <w:sz w:val="28"/>
          <w:szCs w:val="36"/>
        </w:rPr>
        <w:t>（7）电子天平</w:t>
      </w:r>
    </w:p>
    <w:p w14:paraId="07DECD0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用途：用于样本称量。</w:t>
      </w:r>
    </w:p>
    <w:p w14:paraId="4BDE448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技术参数：</w:t>
      </w:r>
      <w:r>
        <w:rPr>
          <w:rFonts w:hint="eastAsia" w:ascii="宋体" w:hAnsi="宋体" w:eastAsia="宋体" w:cs="宋体"/>
          <w:color w:val="auto"/>
          <w:sz w:val="22"/>
          <w:szCs w:val="28"/>
        </w:rPr>
        <w:br w:type="textWrapping"/>
      </w:r>
      <w:r>
        <w:rPr>
          <w:rFonts w:hint="eastAsia" w:ascii="宋体" w:hAnsi="宋体" w:eastAsia="宋体" w:cs="宋体"/>
          <w:color w:val="auto"/>
          <w:sz w:val="22"/>
          <w:szCs w:val="28"/>
        </w:rPr>
        <w:t>1.全自动内部校准：（时间或环境温度变化触发自动校准）（具有温度补偿功能）</w:t>
      </w:r>
    </w:p>
    <w:p w14:paraId="57998D1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lang w:val="en-US" w:eastAsia="zh-CN"/>
        </w:rPr>
      </w:pPr>
      <w:r>
        <w:rPr>
          <w:rFonts w:hint="eastAsia" w:ascii="宋体" w:hAnsi="宋体" w:eastAsia="宋体" w:cs="宋体"/>
          <w:color w:val="auto"/>
          <w:sz w:val="22"/>
          <w:szCs w:val="28"/>
        </w:rPr>
        <w:t>2.通过高效过滤功能快速，准确地提供结果</w:t>
      </w:r>
      <w:r>
        <w:rPr>
          <w:rFonts w:hint="eastAsia" w:ascii="宋体" w:hAnsi="宋体" w:eastAsia="宋体" w:cs="宋体"/>
          <w:color w:val="auto"/>
          <w:sz w:val="22"/>
          <w:szCs w:val="28"/>
          <w:lang w:eastAsia="zh-CN"/>
        </w:rPr>
        <w:t>。</w:t>
      </w:r>
    </w:p>
    <w:p w14:paraId="37D611D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3.带仪器状态指示灯。</w:t>
      </w:r>
    </w:p>
    <w:p w14:paraId="67621BC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4.5英寸彩色触摸大显示屏 。天平外接移动电源也可正常使用</w:t>
      </w:r>
      <w:r>
        <w:rPr>
          <w:rFonts w:hint="eastAsia" w:ascii="宋体" w:hAnsi="宋体" w:eastAsia="宋体" w:cs="宋体"/>
          <w:color w:val="auto"/>
          <w:sz w:val="22"/>
          <w:szCs w:val="28"/>
          <w:lang w:eastAsia="zh-CN"/>
        </w:rPr>
        <w:t>。</w:t>
      </w:r>
    </w:p>
    <w:p w14:paraId="4C74C9F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5.具有国标转换器插头。适用于多种环境范围。</w:t>
      </w:r>
    </w:p>
    <w:p w14:paraId="3527A2C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6.RS232串行接口，提供串行输出，可用于链接打印机，有USB端口，可导出导入数据库，结果</w:t>
      </w:r>
    </w:p>
    <w:p w14:paraId="4B8D81F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7.可选择自定义测量单位。可编辑项目ID和用户ID。具有GLP/GMP设置功能。</w:t>
      </w:r>
    </w:p>
    <w:p w14:paraId="38431BA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8.支持多种语言：英语，德语，法语，意大利语，西班牙语，葡萄牙语，中文。带有时间和日期</w:t>
      </w:r>
    </w:p>
    <w:p w14:paraId="1432278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 xml:space="preserve">9.可为最多10位用户提供自定义设置，并可提供密码保护 </w:t>
      </w:r>
    </w:p>
    <w:p w14:paraId="7BE2BAF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10.数据库：内置数据库，用于存储数据。</w:t>
      </w:r>
    </w:p>
    <w:p w14:paraId="14891AD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 xml:space="preserve">11.纺织功能：确定线的名称，测量单位：Tex，Td，Nm，Nc </w:t>
      </w:r>
      <w:r>
        <w:rPr>
          <w:rFonts w:hint="eastAsia" w:ascii="宋体" w:hAnsi="宋体" w:eastAsia="宋体" w:cs="宋体"/>
          <w:color w:val="auto"/>
          <w:sz w:val="22"/>
          <w:szCs w:val="28"/>
          <w:lang w:eastAsia="zh-CN"/>
        </w:rPr>
        <w:t>。</w:t>
      </w:r>
    </w:p>
    <w:p w14:paraId="66FC62C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12.检重，计件称量，百分比称重功能，动物称量，配比称量，累计功能，统计，密度测定功能。</w:t>
      </w:r>
    </w:p>
    <w:p w14:paraId="7553263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13.具有移液器校准功能。可装配离子发生器装置。</w:t>
      </w:r>
    </w:p>
    <w:p w14:paraId="0282040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14.最大负荷（峰值保持）功能。</w:t>
      </w:r>
    </w:p>
    <w:p w14:paraId="7B60A8B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15.称量范围（g）：220</w:t>
      </w:r>
    </w:p>
    <w:p w14:paraId="6BFCF32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16.可读性(mg)：0.1</w:t>
      </w:r>
    </w:p>
    <w:p w14:paraId="03BEC46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17.重复性(≤mg)：±0</w:t>
      </w:r>
      <w:r>
        <w:rPr>
          <w:rFonts w:hint="eastAsia" w:ascii="宋体" w:hAnsi="宋体" w:eastAsia="宋体" w:cs="宋体"/>
          <w:color w:val="auto"/>
          <w:sz w:val="22"/>
          <w:szCs w:val="28"/>
          <w:lang w:val="en-US" w:eastAsia="zh-CN"/>
        </w:rPr>
        <w:t>.</w:t>
      </w:r>
      <w:r>
        <w:rPr>
          <w:rFonts w:hint="eastAsia" w:ascii="宋体" w:hAnsi="宋体" w:eastAsia="宋体" w:cs="宋体"/>
          <w:color w:val="auto"/>
          <w:sz w:val="22"/>
          <w:szCs w:val="28"/>
        </w:rPr>
        <w:t>1</w:t>
      </w:r>
    </w:p>
    <w:p w14:paraId="7362899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18.线性(≤mg)：±0.2</w:t>
      </w:r>
    </w:p>
    <w:p w14:paraId="042125A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19.秤盘尺寸（mm）：≥Ф80</w:t>
      </w:r>
    </w:p>
    <w:p w14:paraId="136819A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rPr>
      </w:pPr>
      <w:r>
        <w:rPr>
          <w:rFonts w:hint="eastAsia" w:ascii="宋体" w:hAnsi="宋体" w:eastAsia="宋体" w:cs="宋体"/>
          <w:color w:val="auto"/>
          <w:sz w:val="22"/>
          <w:szCs w:val="28"/>
        </w:rPr>
        <w:t>20.响应时间（sec）：≤3</w:t>
      </w:r>
    </w:p>
    <w:p w14:paraId="3D6F6D8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lang w:eastAsia="zh-CN"/>
        </w:rPr>
      </w:pPr>
      <w:r>
        <w:rPr>
          <w:rFonts w:hint="eastAsia" w:ascii="宋体" w:hAnsi="宋体" w:eastAsia="宋体" w:cs="宋体"/>
          <w:color w:val="auto"/>
          <w:sz w:val="22"/>
          <w:szCs w:val="28"/>
        </w:rPr>
        <w:t>21.量程漂移(+10 … +30°C)： +/– 2ppm/°C</w:t>
      </w:r>
      <w:r>
        <w:rPr>
          <w:rFonts w:hint="eastAsia" w:ascii="宋体" w:hAnsi="宋体" w:eastAsia="宋体" w:cs="宋体"/>
          <w:color w:val="auto"/>
          <w:sz w:val="22"/>
          <w:szCs w:val="28"/>
          <w:lang w:eastAsia="zh-CN"/>
        </w:rPr>
        <w:t>。</w:t>
      </w:r>
    </w:p>
    <w:p w14:paraId="0BA4F0D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8"/>
          <w:lang w:val="en-US" w:eastAsia="zh-CN"/>
        </w:rPr>
      </w:pPr>
      <w:r>
        <w:rPr>
          <w:rFonts w:hint="eastAsia" w:ascii="宋体" w:hAnsi="宋体" w:eastAsia="宋体" w:cs="宋体"/>
          <w:color w:val="auto"/>
          <w:sz w:val="22"/>
          <w:szCs w:val="28"/>
          <w:lang w:eastAsia="zh-CN"/>
        </w:rPr>
        <w:t>2</w:t>
      </w:r>
      <w:r>
        <w:rPr>
          <w:rFonts w:hint="eastAsia" w:ascii="宋体" w:hAnsi="宋体" w:eastAsia="宋体" w:cs="宋体"/>
          <w:color w:val="auto"/>
          <w:sz w:val="22"/>
          <w:szCs w:val="28"/>
          <w:lang w:val="en-US" w:eastAsia="zh-CN"/>
        </w:rPr>
        <w:t>2</w:t>
      </w:r>
      <w:r>
        <w:rPr>
          <w:rFonts w:hint="eastAsia" w:ascii="宋体" w:hAnsi="宋体" w:eastAsia="宋体" w:cs="宋体"/>
          <w:color w:val="auto"/>
          <w:sz w:val="22"/>
          <w:szCs w:val="28"/>
          <w:lang w:eastAsia="zh-CN"/>
        </w:rPr>
        <w:t>.电源 ：110-230 Vac, 50/60 Hz：输出 24V /500mA 13VA。</w:t>
      </w:r>
    </w:p>
    <w:p w14:paraId="641D3CB0">
      <w:pPr>
        <w:jc w:val="center"/>
        <w:rPr>
          <w:rFonts w:ascii="宋体" w:hAnsi="宋体"/>
          <w:b/>
          <w:bCs/>
          <w:color w:val="auto"/>
          <w:sz w:val="24"/>
        </w:rPr>
      </w:pPr>
    </w:p>
    <w:p w14:paraId="7E21F504">
      <w:pPr>
        <w:rPr>
          <w:rFonts w:hint="eastAsia" w:ascii="宋体" w:hAnsi="宋体"/>
          <w:b/>
          <w:bCs/>
          <w:color w:val="auto"/>
          <w:sz w:val="36"/>
          <w:szCs w:val="36"/>
        </w:rPr>
      </w:pPr>
      <w:bookmarkStart w:id="6" w:name="_Toc103723516"/>
      <w:r>
        <w:rPr>
          <w:rFonts w:hint="eastAsia" w:ascii="宋体" w:hAnsi="宋体"/>
          <w:b/>
          <w:bCs/>
          <w:color w:val="auto"/>
          <w:sz w:val="36"/>
          <w:szCs w:val="36"/>
        </w:rPr>
        <w:br w:type="page"/>
      </w:r>
    </w:p>
    <w:p w14:paraId="3CEF14A9">
      <w:pPr>
        <w:jc w:val="center"/>
        <w:outlineLvl w:val="0"/>
        <w:rPr>
          <w:rFonts w:ascii="宋体" w:hAnsi="宋体"/>
          <w:b/>
          <w:bCs/>
          <w:color w:val="auto"/>
          <w:sz w:val="36"/>
          <w:szCs w:val="36"/>
        </w:rPr>
      </w:pPr>
      <w:r>
        <w:rPr>
          <w:rFonts w:hint="eastAsia" w:ascii="宋体" w:hAnsi="宋体"/>
          <w:b/>
          <w:bCs/>
          <w:color w:val="auto"/>
          <w:sz w:val="36"/>
          <w:szCs w:val="36"/>
        </w:rPr>
        <w:t>第三章响应谈判供应商须知</w:t>
      </w:r>
      <w:bookmarkEnd w:id="6"/>
    </w:p>
    <w:p w14:paraId="59697766">
      <w:pPr>
        <w:jc w:val="center"/>
        <w:outlineLvl w:val="1"/>
        <w:rPr>
          <w:rFonts w:ascii="宋体" w:hAnsi="宋体"/>
          <w:b/>
          <w:bCs/>
          <w:color w:val="auto"/>
          <w:sz w:val="32"/>
          <w:szCs w:val="32"/>
        </w:rPr>
      </w:pPr>
      <w:bookmarkStart w:id="7" w:name="_Toc103723517"/>
      <w:r>
        <w:rPr>
          <w:rFonts w:hint="eastAsia" w:ascii="仿宋_GB2312"/>
          <w:b/>
          <w:bCs/>
          <w:color w:val="auto"/>
          <w:sz w:val="28"/>
          <w:szCs w:val="28"/>
        </w:rPr>
        <w:t>一、前附表</w:t>
      </w:r>
      <w:bookmarkEnd w:id="7"/>
    </w:p>
    <w:tbl>
      <w:tblPr>
        <w:tblStyle w:val="42"/>
        <w:tblW w:w="94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2238"/>
        <w:gridCol w:w="6519"/>
      </w:tblGrid>
      <w:tr w14:paraId="3ACD6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76AEEBB1">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序号</w:t>
            </w:r>
          </w:p>
        </w:tc>
        <w:tc>
          <w:tcPr>
            <w:tcW w:w="2238" w:type="dxa"/>
            <w:vAlign w:val="center"/>
          </w:tcPr>
          <w:p w14:paraId="485CB678">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条款名称</w:t>
            </w:r>
          </w:p>
        </w:tc>
        <w:tc>
          <w:tcPr>
            <w:tcW w:w="6519" w:type="dxa"/>
            <w:vAlign w:val="center"/>
          </w:tcPr>
          <w:p w14:paraId="05FC9BFA">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b/>
                <w:bCs/>
                <w:color w:val="auto"/>
                <w:sz w:val="22"/>
                <w:szCs w:val="22"/>
              </w:rPr>
            </w:pPr>
            <w:r>
              <w:rPr>
                <w:rFonts w:hint="eastAsia" w:ascii="宋体" w:hAnsi="宋体" w:eastAsia="宋体" w:cs="宋体"/>
                <w:b/>
                <w:bCs/>
                <w:color w:val="auto"/>
                <w:sz w:val="22"/>
                <w:szCs w:val="22"/>
              </w:rPr>
              <w:t>编列内容</w:t>
            </w:r>
          </w:p>
        </w:tc>
      </w:tr>
      <w:tr w14:paraId="6E4B6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0E062342">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w:t>
            </w:r>
          </w:p>
        </w:tc>
        <w:tc>
          <w:tcPr>
            <w:tcW w:w="2238" w:type="dxa"/>
            <w:vAlign w:val="center"/>
          </w:tcPr>
          <w:p w14:paraId="3BE7099C">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采购人</w:t>
            </w:r>
          </w:p>
        </w:tc>
        <w:tc>
          <w:tcPr>
            <w:tcW w:w="6519" w:type="dxa"/>
            <w:vAlign w:val="center"/>
          </w:tcPr>
          <w:p w14:paraId="529BD47C">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名称：吉林省蚕业科学研究院</w:t>
            </w:r>
          </w:p>
          <w:p w14:paraId="58B2DAC9">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地址：吉林市丰满区红旗街道松江南路399号（吉林省蚕业科学研究院）</w:t>
            </w:r>
          </w:p>
          <w:p w14:paraId="2593A2F2">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联系人：邹阳</w:t>
            </w:r>
          </w:p>
          <w:p w14:paraId="1EA843E9">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联系方式：18946644269</w:t>
            </w:r>
          </w:p>
        </w:tc>
      </w:tr>
      <w:tr w14:paraId="1317F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61D4E7B5">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w:t>
            </w:r>
          </w:p>
        </w:tc>
        <w:tc>
          <w:tcPr>
            <w:tcW w:w="2238" w:type="dxa"/>
            <w:vAlign w:val="center"/>
          </w:tcPr>
          <w:p w14:paraId="201E626F">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采购代理机构</w:t>
            </w:r>
          </w:p>
        </w:tc>
        <w:tc>
          <w:tcPr>
            <w:tcW w:w="6519" w:type="dxa"/>
            <w:vAlign w:val="center"/>
          </w:tcPr>
          <w:p w14:paraId="073DD7F3">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名称：吉林省吉诚工程咨询有限公司</w:t>
            </w:r>
          </w:p>
          <w:p w14:paraId="6B4C1AA1">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地址：长春市绿园区吾悦广场B座15楼1536室</w:t>
            </w:r>
          </w:p>
          <w:p w14:paraId="0AF8B84C">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联系人：曹健</w:t>
            </w:r>
          </w:p>
          <w:p w14:paraId="07739222">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电话：0431-81336999</w:t>
            </w:r>
          </w:p>
        </w:tc>
      </w:tr>
      <w:tr w14:paraId="4153A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35A56F0C">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w:t>
            </w:r>
          </w:p>
        </w:tc>
        <w:tc>
          <w:tcPr>
            <w:tcW w:w="2238" w:type="dxa"/>
            <w:vAlign w:val="center"/>
          </w:tcPr>
          <w:p w14:paraId="56148C5F">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项目名称及项目编号</w:t>
            </w:r>
          </w:p>
        </w:tc>
        <w:tc>
          <w:tcPr>
            <w:tcW w:w="6519" w:type="dxa"/>
            <w:vAlign w:val="center"/>
          </w:tcPr>
          <w:p w14:paraId="21C7A2BA">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项目名称：蚕产品农残检测辅助系统</w:t>
            </w:r>
          </w:p>
          <w:p w14:paraId="6CFF91CF">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lang w:eastAsia="zh-CN"/>
              </w:rPr>
            </w:pPr>
            <w:r>
              <w:rPr>
                <w:rFonts w:hint="eastAsia" w:ascii="宋体" w:hAnsi="宋体" w:eastAsia="宋体" w:cs="宋体"/>
                <w:color w:val="auto"/>
                <w:sz w:val="22"/>
                <w:szCs w:val="22"/>
              </w:rPr>
              <w:t>项目编号：采购计划-[2025]-02672号-JCZX2025-018</w:t>
            </w:r>
          </w:p>
        </w:tc>
      </w:tr>
      <w:tr w14:paraId="53027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1729C126">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4</w:t>
            </w:r>
          </w:p>
        </w:tc>
        <w:tc>
          <w:tcPr>
            <w:tcW w:w="2238" w:type="dxa"/>
            <w:vAlign w:val="center"/>
          </w:tcPr>
          <w:p w14:paraId="2AE75EC3">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项目地点</w:t>
            </w:r>
          </w:p>
        </w:tc>
        <w:tc>
          <w:tcPr>
            <w:tcW w:w="6519" w:type="dxa"/>
            <w:vAlign w:val="center"/>
          </w:tcPr>
          <w:p w14:paraId="4F1BDFE1">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吉林省蚕业科学研究院</w:t>
            </w:r>
          </w:p>
        </w:tc>
      </w:tr>
      <w:tr w14:paraId="54F03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60BC0C64">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5</w:t>
            </w:r>
          </w:p>
        </w:tc>
        <w:tc>
          <w:tcPr>
            <w:tcW w:w="2238" w:type="dxa"/>
            <w:vAlign w:val="center"/>
          </w:tcPr>
          <w:p w14:paraId="02D95F0A">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资金来源及落实情况</w:t>
            </w:r>
          </w:p>
        </w:tc>
        <w:tc>
          <w:tcPr>
            <w:tcW w:w="6519" w:type="dxa"/>
            <w:vAlign w:val="center"/>
          </w:tcPr>
          <w:p w14:paraId="02FFE2B0">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lang w:val="en-US" w:eastAsia="zh-CN"/>
              </w:rPr>
              <w:t>财政拨款</w:t>
            </w:r>
            <w:r>
              <w:rPr>
                <w:rFonts w:hint="eastAsia" w:ascii="宋体" w:hAnsi="宋体" w:eastAsia="宋体" w:cs="宋体"/>
                <w:color w:val="auto"/>
                <w:sz w:val="22"/>
                <w:szCs w:val="22"/>
              </w:rPr>
              <w:t>，已落实</w:t>
            </w:r>
          </w:p>
        </w:tc>
      </w:tr>
      <w:tr w14:paraId="4D472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7B9C250C">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6</w:t>
            </w:r>
          </w:p>
        </w:tc>
        <w:tc>
          <w:tcPr>
            <w:tcW w:w="2238" w:type="dxa"/>
            <w:vAlign w:val="center"/>
          </w:tcPr>
          <w:p w14:paraId="13237481">
            <w:pPr>
              <w:pStyle w:val="51"/>
              <w:keepNext w:val="0"/>
              <w:keepLines w:val="0"/>
              <w:pageBreakBefore w:val="0"/>
              <w:widowControl w:val="0"/>
              <w:kinsoku/>
              <w:wordWrap/>
              <w:overflowPunct/>
              <w:topLinePunct w:val="0"/>
              <w:autoSpaceDE/>
              <w:autoSpaceDN/>
              <w:bidi w:val="0"/>
              <w:spacing w:before="0" w:beforeAutospacing="0" w:after="0" w:afterAutospacing="0" w:line="240" w:lineRule="auto"/>
              <w:textAlignment w:val="auto"/>
              <w:rPr>
                <w:rFonts w:hint="eastAsia" w:ascii="宋体" w:hAnsi="宋体" w:eastAsia="宋体" w:cs="宋体"/>
                <w:color w:val="auto"/>
                <w:kern w:val="2"/>
                <w:sz w:val="22"/>
                <w:szCs w:val="22"/>
              </w:rPr>
            </w:pPr>
            <w:r>
              <w:rPr>
                <w:rFonts w:hint="eastAsia" w:ascii="宋体" w:hAnsi="宋体" w:eastAsia="宋体" w:cs="宋体"/>
                <w:color w:val="auto"/>
                <w:sz w:val="22"/>
                <w:szCs w:val="22"/>
              </w:rPr>
              <w:t>谈判内容</w:t>
            </w:r>
          </w:p>
        </w:tc>
        <w:tc>
          <w:tcPr>
            <w:tcW w:w="6519" w:type="dxa"/>
            <w:vAlign w:val="center"/>
          </w:tcPr>
          <w:p w14:paraId="6BCECDE3">
            <w:pPr>
              <w:keepNext w:val="0"/>
              <w:keepLines w:val="0"/>
              <w:pageBreakBefore w:val="0"/>
              <w:widowControl w:val="0"/>
              <w:kinsoku/>
              <w:wordWrap/>
              <w:overflowPunct/>
              <w:topLinePunct w:val="0"/>
              <w:autoSpaceDE/>
              <w:autoSpaceDN/>
              <w:bidi w:val="0"/>
              <w:spacing w:line="240" w:lineRule="auto"/>
              <w:jc w:val="left"/>
              <w:textAlignment w:val="auto"/>
              <w:rPr>
                <w:rFonts w:hint="eastAsia" w:ascii="宋体" w:hAnsi="宋体" w:eastAsia="宋体" w:cs="宋体"/>
                <w:bCs/>
                <w:color w:val="auto"/>
                <w:sz w:val="22"/>
                <w:szCs w:val="22"/>
                <w:lang w:eastAsia="zh-CN"/>
              </w:rPr>
            </w:pPr>
            <w:r>
              <w:rPr>
                <w:rFonts w:hint="eastAsia" w:ascii="宋体" w:hAnsi="宋体" w:eastAsia="宋体" w:cs="宋体"/>
                <w:bCs/>
                <w:color w:val="auto"/>
                <w:sz w:val="22"/>
                <w:szCs w:val="22"/>
                <w:lang w:eastAsia="zh-CN"/>
              </w:rPr>
              <w:t>蚕产品农残检测辅助系统（具体货物要求详见文件）</w:t>
            </w:r>
          </w:p>
        </w:tc>
      </w:tr>
      <w:tr w14:paraId="3F467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15819E6C">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7</w:t>
            </w:r>
          </w:p>
        </w:tc>
        <w:tc>
          <w:tcPr>
            <w:tcW w:w="2238" w:type="dxa"/>
            <w:vAlign w:val="center"/>
          </w:tcPr>
          <w:p w14:paraId="04FD0251">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合同履行期限(交货期)</w:t>
            </w:r>
          </w:p>
        </w:tc>
        <w:tc>
          <w:tcPr>
            <w:tcW w:w="6519" w:type="dxa"/>
            <w:vAlign w:val="center"/>
          </w:tcPr>
          <w:p w14:paraId="5958369A">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合同签订后5天内完成运输，安装，结构改造及相关部门检验验收。</w:t>
            </w:r>
          </w:p>
        </w:tc>
      </w:tr>
      <w:tr w14:paraId="3321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5369A970">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8</w:t>
            </w:r>
          </w:p>
        </w:tc>
        <w:tc>
          <w:tcPr>
            <w:tcW w:w="2238" w:type="dxa"/>
            <w:vAlign w:val="center"/>
          </w:tcPr>
          <w:p w14:paraId="56976C0C">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质量要求</w:t>
            </w:r>
          </w:p>
        </w:tc>
        <w:tc>
          <w:tcPr>
            <w:tcW w:w="6519" w:type="dxa"/>
            <w:vAlign w:val="center"/>
          </w:tcPr>
          <w:p w14:paraId="52AB9DD0">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符合国家相关行业规定的合格标准</w:t>
            </w:r>
          </w:p>
        </w:tc>
      </w:tr>
      <w:tr w14:paraId="2A177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5CCE847F">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9</w:t>
            </w:r>
          </w:p>
        </w:tc>
        <w:tc>
          <w:tcPr>
            <w:tcW w:w="2238" w:type="dxa"/>
            <w:vAlign w:val="center"/>
          </w:tcPr>
          <w:p w14:paraId="5387E4F1">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响应谈判供应商的资格标准与合格条件</w:t>
            </w:r>
          </w:p>
        </w:tc>
        <w:tc>
          <w:tcPr>
            <w:tcW w:w="6519" w:type="dxa"/>
            <w:vAlign w:val="center"/>
          </w:tcPr>
          <w:p w14:paraId="6171AA96">
            <w:pPr>
              <w:keepNext w:val="0"/>
              <w:keepLines w:val="0"/>
              <w:pageBreakBefore w:val="0"/>
              <w:widowControl w:val="0"/>
              <w:kinsoku/>
              <w:wordWrap/>
              <w:overflowPunct/>
              <w:topLinePunct w:val="0"/>
              <w:autoSpaceDE/>
              <w:autoSpaceDN/>
              <w:bidi w:val="0"/>
              <w:spacing w:line="240" w:lineRule="auto"/>
              <w:textAlignment w:val="auto"/>
              <w:rPr>
                <w:rFonts w:hint="default" w:ascii="宋体" w:hAnsi="宋体" w:eastAsia="宋体" w:cs="宋体"/>
                <w:color w:val="auto"/>
                <w:sz w:val="22"/>
                <w:szCs w:val="22"/>
                <w:lang w:val="en-US" w:eastAsia="zh-CN"/>
              </w:rPr>
            </w:pPr>
            <w:r>
              <w:rPr>
                <w:rFonts w:hint="eastAsia" w:ascii="宋体" w:hAnsi="宋体" w:cs="宋体"/>
                <w:color w:val="auto"/>
                <w:sz w:val="22"/>
                <w:szCs w:val="22"/>
                <w:lang w:val="en-US" w:eastAsia="zh-CN"/>
              </w:rPr>
              <w:t>详见公告内容</w:t>
            </w:r>
          </w:p>
        </w:tc>
      </w:tr>
      <w:tr w14:paraId="602F7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7FCBA478">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10</w:t>
            </w:r>
          </w:p>
        </w:tc>
        <w:tc>
          <w:tcPr>
            <w:tcW w:w="2238" w:type="dxa"/>
            <w:vAlign w:val="center"/>
          </w:tcPr>
          <w:p w14:paraId="3219CF28">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是否接受联合体投标</w:t>
            </w:r>
          </w:p>
        </w:tc>
        <w:tc>
          <w:tcPr>
            <w:tcW w:w="6519" w:type="dxa"/>
            <w:vAlign w:val="center"/>
          </w:tcPr>
          <w:p w14:paraId="30667031">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否</w:t>
            </w:r>
          </w:p>
        </w:tc>
      </w:tr>
      <w:tr w14:paraId="7DF13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03E9D070">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11</w:t>
            </w:r>
          </w:p>
        </w:tc>
        <w:tc>
          <w:tcPr>
            <w:tcW w:w="2238" w:type="dxa"/>
            <w:vAlign w:val="center"/>
          </w:tcPr>
          <w:p w14:paraId="3B4298A7">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现场踏勘</w:t>
            </w:r>
          </w:p>
        </w:tc>
        <w:tc>
          <w:tcPr>
            <w:tcW w:w="6519" w:type="dxa"/>
            <w:vAlign w:val="center"/>
          </w:tcPr>
          <w:p w14:paraId="77675562">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本项目不组织现场踏勘</w:t>
            </w:r>
          </w:p>
        </w:tc>
      </w:tr>
      <w:tr w14:paraId="56385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17DCB64E">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12</w:t>
            </w:r>
          </w:p>
        </w:tc>
        <w:tc>
          <w:tcPr>
            <w:tcW w:w="2238" w:type="dxa"/>
            <w:vAlign w:val="center"/>
          </w:tcPr>
          <w:p w14:paraId="1B91D2B3">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答疑会</w:t>
            </w:r>
          </w:p>
        </w:tc>
        <w:tc>
          <w:tcPr>
            <w:tcW w:w="6519" w:type="dxa"/>
            <w:vAlign w:val="center"/>
          </w:tcPr>
          <w:p w14:paraId="14FACE9C">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不组织</w:t>
            </w:r>
          </w:p>
        </w:tc>
      </w:tr>
      <w:tr w14:paraId="03AD7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0A9AEFF3">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13</w:t>
            </w:r>
          </w:p>
        </w:tc>
        <w:tc>
          <w:tcPr>
            <w:tcW w:w="2238" w:type="dxa"/>
            <w:vAlign w:val="center"/>
          </w:tcPr>
          <w:p w14:paraId="3805E019">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分包</w:t>
            </w:r>
          </w:p>
        </w:tc>
        <w:tc>
          <w:tcPr>
            <w:tcW w:w="6519" w:type="dxa"/>
            <w:vAlign w:val="center"/>
          </w:tcPr>
          <w:p w14:paraId="5E377C59">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本项目不分包</w:t>
            </w:r>
          </w:p>
        </w:tc>
      </w:tr>
      <w:tr w14:paraId="54510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2569E016">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14</w:t>
            </w:r>
          </w:p>
        </w:tc>
        <w:tc>
          <w:tcPr>
            <w:tcW w:w="2238" w:type="dxa"/>
            <w:vAlign w:val="center"/>
          </w:tcPr>
          <w:p w14:paraId="34B51E9C">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偏离</w:t>
            </w:r>
          </w:p>
        </w:tc>
        <w:tc>
          <w:tcPr>
            <w:tcW w:w="6519" w:type="dxa"/>
            <w:vAlign w:val="center"/>
          </w:tcPr>
          <w:p w14:paraId="355DEE6B">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不允许</w:t>
            </w:r>
          </w:p>
        </w:tc>
      </w:tr>
      <w:tr w14:paraId="22E54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6B81A29F">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15</w:t>
            </w:r>
          </w:p>
        </w:tc>
        <w:tc>
          <w:tcPr>
            <w:tcW w:w="2238" w:type="dxa"/>
            <w:vAlign w:val="center"/>
          </w:tcPr>
          <w:p w14:paraId="5605E38C">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响应报价</w:t>
            </w:r>
          </w:p>
        </w:tc>
        <w:tc>
          <w:tcPr>
            <w:tcW w:w="6519" w:type="dxa"/>
            <w:vAlign w:val="center"/>
          </w:tcPr>
          <w:p w14:paraId="3B456FFD">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采用全费用报价法</w:t>
            </w:r>
          </w:p>
        </w:tc>
      </w:tr>
      <w:tr w14:paraId="590FA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15C06559">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16</w:t>
            </w:r>
          </w:p>
        </w:tc>
        <w:tc>
          <w:tcPr>
            <w:tcW w:w="2238" w:type="dxa"/>
            <w:vAlign w:val="center"/>
          </w:tcPr>
          <w:p w14:paraId="725CE29A">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谈判有效期</w:t>
            </w:r>
          </w:p>
        </w:tc>
        <w:tc>
          <w:tcPr>
            <w:tcW w:w="6519" w:type="dxa"/>
            <w:vAlign w:val="center"/>
          </w:tcPr>
          <w:p w14:paraId="51C0A182">
            <w:pPr>
              <w:keepNext w:val="0"/>
              <w:keepLines w:val="0"/>
              <w:pageBreakBefore w:val="0"/>
              <w:widowControl w:val="0"/>
              <w:kinsoku/>
              <w:wordWrap/>
              <w:overflowPunct/>
              <w:topLinePunct w:val="0"/>
              <w:autoSpaceDE/>
              <w:autoSpaceDN/>
              <w:bidi w:val="0"/>
              <w:spacing w:line="240" w:lineRule="auto"/>
              <w:textAlignment w:val="auto"/>
              <w:rPr>
                <w:rFonts w:hint="default" w:ascii="宋体" w:hAnsi="宋体" w:eastAsia="宋体" w:cs="宋体"/>
                <w:color w:val="auto"/>
                <w:sz w:val="22"/>
                <w:szCs w:val="22"/>
                <w:lang w:val="en-US" w:eastAsia="zh-CN"/>
              </w:rPr>
            </w:pPr>
            <w:r>
              <w:rPr>
                <w:rFonts w:hint="eastAsia" w:ascii="宋体" w:hAnsi="宋体" w:cs="宋体"/>
                <w:color w:val="auto"/>
                <w:sz w:val="22"/>
                <w:szCs w:val="22"/>
                <w:lang w:val="en-US" w:eastAsia="zh-CN"/>
              </w:rPr>
              <w:t>90日历</w:t>
            </w:r>
            <w:r>
              <w:rPr>
                <w:rFonts w:hint="eastAsia" w:ascii="宋体" w:hAnsi="宋体" w:eastAsia="宋体" w:cs="宋体"/>
                <w:color w:val="auto"/>
                <w:sz w:val="22"/>
                <w:szCs w:val="22"/>
              </w:rPr>
              <w:t>天</w:t>
            </w:r>
          </w:p>
        </w:tc>
      </w:tr>
      <w:tr w14:paraId="45F77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4ED64CEE">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17</w:t>
            </w:r>
          </w:p>
        </w:tc>
        <w:tc>
          <w:tcPr>
            <w:tcW w:w="2238" w:type="dxa"/>
            <w:vAlign w:val="center"/>
          </w:tcPr>
          <w:p w14:paraId="33F579C0">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谈判响应文件份数及其他</w:t>
            </w:r>
          </w:p>
        </w:tc>
        <w:tc>
          <w:tcPr>
            <w:tcW w:w="6519" w:type="dxa"/>
            <w:vAlign w:val="center"/>
          </w:tcPr>
          <w:p w14:paraId="71F77CB5">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1.响应供应商须在“政采云”平台上传电子投标文件。</w:t>
            </w:r>
          </w:p>
          <w:p w14:paraId="4187EBCD">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b/>
                <w:bCs/>
                <w:color w:val="auto"/>
                <w:sz w:val="22"/>
                <w:szCs w:val="22"/>
              </w:rPr>
            </w:pPr>
            <w:r>
              <w:rPr>
                <w:rFonts w:hint="eastAsia" w:ascii="宋体" w:hAnsi="宋体" w:eastAsia="宋体" w:cs="宋体"/>
                <w:color w:val="auto"/>
                <w:sz w:val="22"/>
                <w:szCs w:val="22"/>
              </w:rPr>
              <w:t>2.</w:t>
            </w:r>
            <w:r>
              <w:rPr>
                <w:rFonts w:hint="eastAsia" w:ascii="宋体" w:hAnsi="宋体" w:cs="宋体"/>
                <w:b/>
                <w:bCs/>
                <w:color w:val="auto"/>
                <w:sz w:val="22"/>
                <w:szCs w:val="22"/>
                <w:highlight w:val="none"/>
                <w:lang w:val="en-US" w:eastAsia="zh-CN"/>
              </w:rPr>
              <w:t>*</w:t>
            </w:r>
            <w:r>
              <w:rPr>
                <w:rFonts w:hint="eastAsia" w:ascii="宋体" w:hAnsi="宋体" w:eastAsia="宋体" w:cs="宋体"/>
                <w:b/>
                <w:bCs/>
                <w:color w:val="auto"/>
                <w:sz w:val="22"/>
                <w:szCs w:val="22"/>
                <w:highlight w:val="none"/>
                <w:lang w:val="en-US" w:eastAsia="zh-CN"/>
              </w:rPr>
              <w:t>开标结束后三小时内供应商须将响应文件纸质版（一正二副）、电子版U盘</w:t>
            </w:r>
            <w:r>
              <w:rPr>
                <w:rFonts w:hint="eastAsia" w:ascii="宋体" w:hAnsi="宋体"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份递交至吉林省吉诚工程咨询有限公司（长春市绿园区吾悦广场B座15楼1536室）用于项目存档使用（若未及时递交纸质版文件，所造成的后果自行承担）。</w:t>
            </w:r>
            <w:r>
              <w:rPr>
                <w:rFonts w:hint="eastAsia" w:ascii="宋体" w:hAnsi="宋体" w:eastAsia="宋体" w:cs="宋体"/>
                <w:color w:val="auto"/>
                <w:sz w:val="22"/>
                <w:szCs w:val="22"/>
              </w:rPr>
              <w:t>纸质版及电子版应与上传的加密文件一致。采用书册方式胶装，装订应牢固、整齐便于保管和利用，不易拆散和换页，不得采用活页装订。建议正反面打印装订。</w:t>
            </w:r>
          </w:p>
        </w:tc>
      </w:tr>
      <w:tr w14:paraId="42960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5722FE85">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18</w:t>
            </w:r>
          </w:p>
        </w:tc>
        <w:tc>
          <w:tcPr>
            <w:tcW w:w="2238" w:type="dxa"/>
            <w:vAlign w:val="center"/>
          </w:tcPr>
          <w:p w14:paraId="46A9D818">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谈判响应文件上传、解密</w:t>
            </w:r>
          </w:p>
        </w:tc>
        <w:tc>
          <w:tcPr>
            <w:tcW w:w="6519" w:type="dxa"/>
            <w:vAlign w:val="center"/>
          </w:tcPr>
          <w:p w14:paraId="176A374E">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bCs/>
                <w:color w:val="auto"/>
                <w:sz w:val="22"/>
                <w:szCs w:val="22"/>
              </w:rPr>
            </w:pPr>
            <w:r>
              <w:rPr>
                <w:rFonts w:hint="eastAsia" w:ascii="宋体" w:hAnsi="宋体" w:eastAsia="宋体" w:cs="宋体"/>
                <w:bCs/>
                <w:color w:val="auto"/>
                <w:sz w:val="22"/>
                <w:szCs w:val="22"/>
              </w:rPr>
              <w:t>1.响应谈判供应商须按照谈判文件要求编制谈判响应文件并将文件上传至“政采云”平台。</w:t>
            </w:r>
          </w:p>
          <w:p w14:paraId="48C2BB01">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bCs/>
                <w:color w:val="auto"/>
                <w:sz w:val="22"/>
                <w:szCs w:val="22"/>
              </w:rPr>
            </w:pPr>
            <w:r>
              <w:rPr>
                <w:rFonts w:hint="eastAsia" w:ascii="宋体" w:hAnsi="宋体" w:eastAsia="宋体" w:cs="宋体"/>
                <w:bCs/>
                <w:color w:val="auto"/>
                <w:sz w:val="22"/>
                <w:szCs w:val="22"/>
              </w:rPr>
              <w:t>2.响应谈判供应商须在解密时间内用有效数字证书（CA认证）对谈判响应文件进行解密。</w:t>
            </w:r>
          </w:p>
          <w:p w14:paraId="697FA324">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3.响应谈判供应商上传的电子谈判响应文件因未解密而造成谈判响应文件无法进行评审的，响应谈判供应商自行承担。</w:t>
            </w:r>
          </w:p>
        </w:tc>
      </w:tr>
      <w:tr w14:paraId="34BD7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59180D0A">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19</w:t>
            </w:r>
          </w:p>
        </w:tc>
        <w:tc>
          <w:tcPr>
            <w:tcW w:w="2238" w:type="dxa"/>
            <w:vAlign w:val="center"/>
          </w:tcPr>
          <w:p w14:paraId="565DF7FE">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谈判响应截止时间、谈判开始时间</w:t>
            </w:r>
          </w:p>
        </w:tc>
        <w:tc>
          <w:tcPr>
            <w:tcW w:w="6519" w:type="dxa"/>
            <w:vAlign w:val="center"/>
          </w:tcPr>
          <w:p w14:paraId="4C91020A">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highlight w:val="none"/>
                <w:u w:val="none"/>
              </w:rPr>
              <w:t>202</w:t>
            </w:r>
            <w:r>
              <w:rPr>
                <w:rFonts w:hint="eastAsia" w:ascii="宋体" w:hAnsi="宋体" w:eastAsia="宋体" w:cs="宋体"/>
                <w:color w:val="auto"/>
                <w:sz w:val="22"/>
                <w:szCs w:val="22"/>
                <w:highlight w:val="none"/>
                <w:u w:val="none"/>
                <w:lang w:val="en-US" w:eastAsia="zh-CN"/>
              </w:rPr>
              <w:t>5</w:t>
            </w:r>
            <w:r>
              <w:rPr>
                <w:rFonts w:hint="eastAsia" w:ascii="宋体" w:hAnsi="宋体" w:eastAsia="宋体" w:cs="宋体"/>
                <w:color w:val="auto"/>
                <w:sz w:val="22"/>
                <w:szCs w:val="22"/>
                <w:highlight w:val="none"/>
                <w:u w:val="none"/>
              </w:rPr>
              <w:t>年</w:t>
            </w:r>
            <w:r>
              <w:rPr>
                <w:rFonts w:hint="eastAsia" w:ascii="宋体" w:hAnsi="宋体" w:cs="宋体"/>
                <w:color w:val="auto"/>
                <w:sz w:val="22"/>
                <w:szCs w:val="22"/>
                <w:highlight w:val="none"/>
                <w:u w:val="none"/>
                <w:lang w:val="en-US" w:eastAsia="zh-CN"/>
              </w:rPr>
              <w:t>04</w:t>
            </w:r>
            <w:r>
              <w:rPr>
                <w:rFonts w:hint="eastAsia" w:ascii="宋体" w:hAnsi="宋体" w:eastAsia="宋体" w:cs="宋体"/>
                <w:color w:val="auto"/>
                <w:sz w:val="22"/>
                <w:szCs w:val="22"/>
                <w:highlight w:val="none"/>
                <w:u w:val="none"/>
              </w:rPr>
              <w:t>月</w:t>
            </w:r>
            <w:r>
              <w:rPr>
                <w:rFonts w:hint="eastAsia" w:ascii="宋体" w:hAnsi="宋体" w:cs="宋体"/>
                <w:color w:val="auto"/>
                <w:sz w:val="22"/>
                <w:szCs w:val="22"/>
                <w:highlight w:val="none"/>
                <w:u w:val="none"/>
                <w:lang w:val="en-US" w:eastAsia="zh-CN"/>
              </w:rPr>
              <w:t>11</w:t>
            </w:r>
            <w:r>
              <w:rPr>
                <w:rFonts w:hint="eastAsia" w:ascii="宋体" w:hAnsi="宋体" w:eastAsia="宋体" w:cs="宋体"/>
                <w:color w:val="auto"/>
                <w:sz w:val="22"/>
                <w:szCs w:val="22"/>
                <w:highlight w:val="none"/>
                <w:u w:val="none"/>
              </w:rPr>
              <w:t>日</w:t>
            </w:r>
            <w:r>
              <w:rPr>
                <w:rFonts w:hint="eastAsia" w:ascii="宋体" w:hAnsi="宋体" w:cs="宋体"/>
                <w:color w:val="auto"/>
                <w:sz w:val="22"/>
                <w:szCs w:val="22"/>
                <w:highlight w:val="none"/>
                <w:u w:val="none"/>
                <w:lang w:val="en-US" w:eastAsia="zh-CN"/>
              </w:rPr>
              <w:t>14</w:t>
            </w:r>
            <w:r>
              <w:rPr>
                <w:rFonts w:hint="eastAsia" w:ascii="宋体" w:hAnsi="宋体" w:eastAsia="宋体" w:cs="宋体"/>
                <w:color w:val="auto"/>
                <w:sz w:val="22"/>
                <w:szCs w:val="22"/>
                <w:highlight w:val="none"/>
                <w:u w:val="none"/>
              </w:rPr>
              <w:t>点</w:t>
            </w:r>
            <w:r>
              <w:rPr>
                <w:rFonts w:hint="eastAsia" w:ascii="宋体" w:hAnsi="宋体" w:cs="宋体"/>
                <w:color w:val="auto"/>
                <w:sz w:val="22"/>
                <w:szCs w:val="22"/>
                <w:highlight w:val="none"/>
                <w:u w:val="none"/>
                <w:lang w:val="en-US" w:eastAsia="zh-CN"/>
              </w:rPr>
              <w:t>00</w:t>
            </w:r>
            <w:r>
              <w:rPr>
                <w:rFonts w:hint="eastAsia" w:ascii="宋体" w:hAnsi="宋体" w:eastAsia="宋体" w:cs="宋体"/>
                <w:color w:val="auto"/>
                <w:sz w:val="22"/>
                <w:szCs w:val="22"/>
                <w:highlight w:val="none"/>
                <w:u w:val="none"/>
              </w:rPr>
              <w:t>分（北京时间）</w:t>
            </w:r>
            <w:r>
              <w:rPr>
                <w:rFonts w:hint="eastAsia" w:ascii="宋体" w:hAnsi="宋体" w:eastAsia="宋体" w:cs="宋体"/>
                <w:color w:val="auto"/>
                <w:sz w:val="22"/>
                <w:szCs w:val="22"/>
              </w:rPr>
              <w:t>（北京时间）</w:t>
            </w:r>
          </w:p>
        </w:tc>
      </w:tr>
      <w:tr w14:paraId="75759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2ECE79B5">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20</w:t>
            </w:r>
          </w:p>
        </w:tc>
        <w:tc>
          <w:tcPr>
            <w:tcW w:w="2238" w:type="dxa"/>
            <w:vAlign w:val="center"/>
          </w:tcPr>
          <w:p w14:paraId="197F6CC7">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谈判地点</w:t>
            </w:r>
          </w:p>
        </w:tc>
        <w:tc>
          <w:tcPr>
            <w:tcW w:w="6519" w:type="dxa"/>
            <w:vAlign w:val="center"/>
          </w:tcPr>
          <w:p w14:paraId="62C45979">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长春市二道区洋浦大街6999号凯利中心AB栋101室开标</w:t>
            </w:r>
            <w:r>
              <w:rPr>
                <w:rFonts w:hint="eastAsia" w:ascii="宋体" w:hAnsi="宋体" w:cs="宋体"/>
                <w:color w:val="auto"/>
                <w:sz w:val="22"/>
                <w:szCs w:val="22"/>
                <w:lang w:val="en-US" w:eastAsia="zh-CN"/>
              </w:rPr>
              <w:t>四</w:t>
            </w:r>
            <w:r>
              <w:rPr>
                <w:rFonts w:hint="eastAsia" w:ascii="宋体" w:hAnsi="宋体" w:eastAsia="宋体" w:cs="宋体"/>
                <w:color w:val="auto"/>
                <w:sz w:val="22"/>
                <w:szCs w:val="22"/>
              </w:rPr>
              <w:t>室</w:t>
            </w:r>
          </w:p>
        </w:tc>
      </w:tr>
      <w:tr w14:paraId="7EAB1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33536F61">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21</w:t>
            </w:r>
          </w:p>
        </w:tc>
        <w:tc>
          <w:tcPr>
            <w:tcW w:w="2238" w:type="dxa"/>
            <w:vAlign w:val="center"/>
          </w:tcPr>
          <w:p w14:paraId="62C900C9">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电子响应文件解密时间和地点</w:t>
            </w:r>
          </w:p>
        </w:tc>
        <w:tc>
          <w:tcPr>
            <w:tcW w:w="6519" w:type="dxa"/>
            <w:vAlign w:val="center"/>
          </w:tcPr>
          <w:p w14:paraId="5C4CEF3E">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时间：</w:t>
            </w:r>
            <w:r>
              <w:rPr>
                <w:rFonts w:hint="eastAsia" w:ascii="宋体" w:hAnsi="宋体" w:eastAsia="宋体" w:cs="宋体"/>
                <w:color w:val="auto"/>
                <w:sz w:val="22"/>
                <w:szCs w:val="22"/>
                <w:highlight w:val="none"/>
                <w:u w:val="none"/>
              </w:rPr>
              <w:t>202</w:t>
            </w:r>
            <w:r>
              <w:rPr>
                <w:rFonts w:hint="eastAsia" w:ascii="宋体" w:hAnsi="宋体" w:eastAsia="宋体" w:cs="宋体"/>
                <w:color w:val="auto"/>
                <w:sz w:val="22"/>
                <w:szCs w:val="22"/>
                <w:highlight w:val="none"/>
                <w:u w:val="none"/>
                <w:lang w:val="en-US" w:eastAsia="zh-CN"/>
              </w:rPr>
              <w:t>5</w:t>
            </w:r>
            <w:r>
              <w:rPr>
                <w:rFonts w:hint="eastAsia" w:ascii="宋体" w:hAnsi="宋体" w:eastAsia="宋体" w:cs="宋体"/>
                <w:color w:val="auto"/>
                <w:sz w:val="22"/>
                <w:szCs w:val="22"/>
                <w:highlight w:val="none"/>
                <w:u w:val="none"/>
              </w:rPr>
              <w:t>年</w:t>
            </w:r>
            <w:r>
              <w:rPr>
                <w:rFonts w:hint="eastAsia" w:ascii="宋体" w:hAnsi="宋体" w:cs="宋体"/>
                <w:color w:val="auto"/>
                <w:sz w:val="22"/>
                <w:szCs w:val="22"/>
                <w:highlight w:val="none"/>
                <w:u w:val="none"/>
                <w:lang w:val="en-US" w:eastAsia="zh-CN"/>
              </w:rPr>
              <w:t>04</w:t>
            </w:r>
            <w:r>
              <w:rPr>
                <w:rFonts w:hint="eastAsia" w:ascii="宋体" w:hAnsi="宋体" w:eastAsia="宋体" w:cs="宋体"/>
                <w:color w:val="auto"/>
                <w:sz w:val="22"/>
                <w:szCs w:val="22"/>
                <w:highlight w:val="none"/>
                <w:u w:val="none"/>
              </w:rPr>
              <w:t>月</w:t>
            </w:r>
            <w:r>
              <w:rPr>
                <w:rFonts w:hint="eastAsia" w:ascii="宋体" w:hAnsi="宋体" w:cs="宋体"/>
                <w:color w:val="auto"/>
                <w:sz w:val="22"/>
                <w:szCs w:val="22"/>
                <w:highlight w:val="none"/>
                <w:u w:val="none"/>
                <w:lang w:val="en-US" w:eastAsia="zh-CN"/>
              </w:rPr>
              <w:t>11</w:t>
            </w:r>
            <w:r>
              <w:rPr>
                <w:rFonts w:hint="eastAsia" w:ascii="宋体" w:hAnsi="宋体" w:eastAsia="宋体" w:cs="宋体"/>
                <w:color w:val="auto"/>
                <w:sz w:val="22"/>
                <w:szCs w:val="22"/>
                <w:highlight w:val="none"/>
                <w:u w:val="none"/>
              </w:rPr>
              <w:t>日</w:t>
            </w:r>
            <w:r>
              <w:rPr>
                <w:rFonts w:hint="eastAsia" w:ascii="宋体" w:hAnsi="宋体" w:cs="宋体"/>
                <w:color w:val="auto"/>
                <w:sz w:val="22"/>
                <w:szCs w:val="22"/>
                <w:highlight w:val="none"/>
                <w:u w:val="none"/>
                <w:lang w:val="en-US" w:eastAsia="zh-CN"/>
              </w:rPr>
              <w:t>14</w:t>
            </w:r>
            <w:r>
              <w:rPr>
                <w:rFonts w:hint="eastAsia" w:ascii="宋体" w:hAnsi="宋体" w:eastAsia="宋体" w:cs="宋体"/>
                <w:color w:val="auto"/>
                <w:sz w:val="22"/>
                <w:szCs w:val="22"/>
                <w:highlight w:val="none"/>
                <w:u w:val="none"/>
              </w:rPr>
              <w:t>点</w:t>
            </w:r>
            <w:r>
              <w:rPr>
                <w:rFonts w:hint="eastAsia" w:ascii="宋体" w:hAnsi="宋体" w:cs="宋体"/>
                <w:color w:val="auto"/>
                <w:sz w:val="22"/>
                <w:szCs w:val="22"/>
                <w:highlight w:val="none"/>
                <w:u w:val="none"/>
                <w:lang w:val="en-US" w:eastAsia="zh-CN"/>
              </w:rPr>
              <w:t>00</w:t>
            </w:r>
            <w:r>
              <w:rPr>
                <w:rFonts w:hint="eastAsia" w:ascii="宋体" w:hAnsi="宋体" w:eastAsia="宋体" w:cs="宋体"/>
                <w:color w:val="auto"/>
                <w:sz w:val="22"/>
                <w:szCs w:val="22"/>
                <w:highlight w:val="none"/>
                <w:u w:val="none"/>
              </w:rPr>
              <w:t>分（北京时间）</w:t>
            </w:r>
            <w:r>
              <w:rPr>
                <w:rFonts w:hint="eastAsia" w:ascii="宋体" w:hAnsi="宋体" w:eastAsia="宋体" w:cs="宋体"/>
                <w:color w:val="auto"/>
                <w:sz w:val="22"/>
                <w:szCs w:val="22"/>
              </w:rPr>
              <w:t>（北京时间）；</w:t>
            </w:r>
          </w:p>
          <w:p w14:paraId="24B8E7A7">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谈判响应地点：长春市二道区洋浦大街6999号凯利中心AB栋101室开标</w:t>
            </w:r>
            <w:r>
              <w:rPr>
                <w:rFonts w:hint="eastAsia" w:ascii="宋体" w:hAnsi="宋体" w:cs="宋体"/>
                <w:color w:val="auto"/>
                <w:sz w:val="22"/>
                <w:szCs w:val="22"/>
                <w:lang w:val="en-US" w:eastAsia="zh-CN"/>
              </w:rPr>
              <w:t>四</w:t>
            </w:r>
            <w:r>
              <w:rPr>
                <w:rFonts w:hint="eastAsia" w:ascii="宋体" w:hAnsi="宋体" w:eastAsia="宋体" w:cs="宋体"/>
                <w:color w:val="auto"/>
                <w:sz w:val="22"/>
                <w:szCs w:val="22"/>
              </w:rPr>
              <w:t>室</w:t>
            </w:r>
          </w:p>
        </w:tc>
      </w:tr>
      <w:tr w14:paraId="4E879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60573297">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22</w:t>
            </w:r>
          </w:p>
        </w:tc>
        <w:tc>
          <w:tcPr>
            <w:tcW w:w="2238" w:type="dxa"/>
            <w:vAlign w:val="center"/>
          </w:tcPr>
          <w:p w14:paraId="5D2AFCB0">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谈判小组的组建</w:t>
            </w:r>
          </w:p>
        </w:tc>
        <w:tc>
          <w:tcPr>
            <w:tcW w:w="6519" w:type="dxa"/>
            <w:vAlign w:val="center"/>
          </w:tcPr>
          <w:p w14:paraId="5C4BB183">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谈判小组构成：共3人</w:t>
            </w:r>
          </w:p>
          <w:p w14:paraId="0D3206DC">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谈判小组专家确定方式：从依法设立的评审专家库中随机抽取</w:t>
            </w:r>
          </w:p>
        </w:tc>
      </w:tr>
      <w:tr w14:paraId="36D93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4BCC3084">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23</w:t>
            </w:r>
          </w:p>
        </w:tc>
        <w:tc>
          <w:tcPr>
            <w:tcW w:w="2238" w:type="dxa"/>
            <w:shd w:val="clear" w:color="auto" w:fill="auto"/>
            <w:vAlign w:val="center"/>
          </w:tcPr>
          <w:p w14:paraId="7228DB67">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22"/>
                <w:szCs w:val="22"/>
                <w:lang w:val="en-US" w:eastAsia="zh-CN" w:bidi="ar-SA"/>
              </w:rPr>
            </w:pPr>
            <w:r>
              <w:rPr>
                <w:rFonts w:hint="eastAsia" w:ascii="宋体" w:hAnsi="宋体" w:eastAsia="宋体" w:cs="宋体"/>
                <w:color w:val="auto"/>
                <w:sz w:val="22"/>
                <w:szCs w:val="22"/>
              </w:rPr>
              <w:t>谈判保证金</w:t>
            </w:r>
          </w:p>
        </w:tc>
        <w:tc>
          <w:tcPr>
            <w:tcW w:w="6519" w:type="dxa"/>
            <w:shd w:val="clear" w:color="auto" w:fill="auto"/>
            <w:vAlign w:val="center"/>
          </w:tcPr>
          <w:p w14:paraId="05B5D465">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b/>
                <w:color w:val="auto"/>
                <w:sz w:val="22"/>
                <w:szCs w:val="22"/>
              </w:rPr>
              <w:t>谈判保证金说明</w:t>
            </w:r>
            <w:r>
              <w:rPr>
                <w:rFonts w:hint="eastAsia" w:ascii="宋体" w:hAnsi="宋体" w:eastAsia="宋体" w:cs="宋体"/>
                <w:color w:val="auto"/>
                <w:sz w:val="22"/>
                <w:szCs w:val="22"/>
              </w:rPr>
              <w:t>：对于诚信纪录良好的供应商不收取保证金，但对于满足《中华人民共和国政府采购法》第二十二条有关规定，经信用中国网站查询存在行政处罚信息的供应商，采购人、采购代理机构可以按规定收取保证金。</w:t>
            </w:r>
          </w:p>
          <w:p w14:paraId="3E147A1C">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保证金的金额：¥</w:t>
            </w:r>
            <w:r>
              <w:rPr>
                <w:rFonts w:hint="eastAsia" w:ascii="宋体" w:hAnsi="宋体" w:cs="宋体"/>
                <w:color w:val="auto"/>
                <w:sz w:val="22"/>
                <w:szCs w:val="22"/>
                <w:lang w:val="en-US" w:eastAsia="zh-CN"/>
              </w:rPr>
              <w:t>6000</w:t>
            </w:r>
            <w:r>
              <w:rPr>
                <w:rFonts w:hint="eastAsia" w:ascii="宋体" w:hAnsi="宋体" w:eastAsia="宋体" w:cs="宋体"/>
                <w:color w:val="auto"/>
                <w:sz w:val="22"/>
                <w:szCs w:val="22"/>
              </w:rPr>
              <w:t>.00元</w:t>
            </w:r>
          </w:p>
          <w:p w14:paraId="5CD87E5A">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递交形式：转账、支票、汇票、本票或者金融机构、担保机构出具的保函等非现金形式提交。供应商未按照</w:t>
            </w:r>
            <w:r>
              <w:rPr>
                <w:rFonts w:hint="eastAsia" w:ascii="宋体" w:hAnsi="宋体" w:cs="宋体"/>
                <w:color w:val="auto"/>
                <w:sz w:val="22"/>
                <w:szCs w:val="22"/>
                <w:lang w:val="en-US" w:eastAsia="zh-CN"/>
              </w:rPr>
              <w:t>谈判</w:t>
            </w:r>
            <w:r>
              <w:rPr>
                <w:rFonts w:hint="eastAsia" w:ascii="宋体" w:hAnsi="宋体" w:eastAsia="宋体" w:cs="宋体"/>
                <w:color w:val="auto"/>
                <w:sz w:val="22"/>
                <w:szCs w:val="22"/>
              </w:rPr>
              <w:t>文件要求提交保证金的，响应无效。</w:t>
            </w:r>
          </w:p>
          <w:p w14:paraId="11022278">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递交方式：供应商须在递交响应文件截止时间前将保证金存入指定账户，过期不予受理。逾期未缴纳保证金视为自动放弃投标资格。银行进账单或电汇凭证等凭证上应明确用途、项目名称、联系人及电话，以便核对查实。保证金的确认以最终到账日期为准。</w:t>
            </w:r>
          </w:p>
          <w:p w14:paraId="3A25BBFD">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公司名称：吉林省吉诚工程咨询有限公司</w:t>
            </w:r>
          </w:p>
          <w:p w14:paraId="3260216A">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开 户 行：长春农村商业银行股份有限公司人民大街支行</w:t>
            </w:r>
          </w:p>
          <w:p w14:paraId="0F7306DC">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帐 号：0710729011015260066666</w:t>
            </w:r>
          </w:p>
          <w:p w14:paraId="3EB2DE91">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注：若在规定递交响应文件截止时间前，保证金未能到账，该申请人将被视为放弃本次投标。</w:t>
            </w:r>
          </w:p>
          <w:p w14:paraId="6BB20EE0">
            <w:pPr>
              <w:keepNext w:val="0"/>
              <w:keepLines w:val="0"/>
              <w:pageBreakBefore w:val="0"/>
              <w:widowControl w:val="0"/>
              <w:kinsoku/>
              <w:wordWrap/>
              <w:overflowPunct/>
              <w:topLinePunct w:val="0"/>
              <w:autoSpaceDE/>
              <w:autoSpaceDN/>
              <w:bidi w:val="0"/>
              <w:spacing w:line="240" w:lineRule="auto"/>
              <w:textAlignment w:val="auto"/>
              <w:rPr>
                <w:rFonts w:hint="default" w:ascii="宋体" w:hAnsi="宋体" w:eastAsia="宋体" w:cs="宋体"/>
                <w:bCs/>
                <w:color w:val="auto"/>
                <w:kern w:val="2"/>
                <w:sz w:val="22"/>
                <w:szCs w:val="22"/>
                <w:lang w:val="en-US" w:eastAsia="zh-CN" w:bidi="ar-SA"/>
              </w:rPr>
            </w:pPr>
            <w:r>
              <w:rPr>
                <w:rFonts w:hint="eastAsia" w:ascii="宋体" w:hAnsi="宋体" w:eastAsia="宋体" w:cs="宋体"/>
                <w:color w:val="auto"/>
                <w:sz w:val="22"/>
                <w:szCs w:val="22"/>
              </w:rPr>
              <w:t>保证金退回时间：自成交通知书发出之日起5个工作日内退还未成交供应商的保证金，自政府采购合同签订之日起5个工作日内退还成交供应商的保证金。递交完毕将保证金递交凭证发送到289712952@qq.com内，联系项目负责人及时查账</w:t>
            </w:r>
            <w:r>
              <w:rPr>
                <w:rFonts w:hint="eastAsia" w:ascii="宋体" w:hAnsi="宋体" w:eastAsia="宋体" w:cs="宋体"/>
                <w:bCs/>
                <w:color w:val="auto"/>
                <w:sz w:val="22"/>
                <w:szCs w:val="22"/>
              </w:rPr>
              <w:t>。</w:t>
            </w:r>
          </w:p>
        </w:tc>
      </w:tr>
      <w:tr w14:paraId="0BD21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51CB4ECA">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24</w:t>
            </w:r>
          </w:p>
        </w:tc>
        <w:tc>
          <w:tcPr>
            <w:tcW w:w="2238" w:type="dxa"/>
            <w:vAlign w:val="center"/>
          </w:tcPr>
          <w:p w14:paraId="0ABC2567">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付款方式</w:t>
            </w:r>
          </w:p>
        </w:tc>
        <w:tc>
          <w:tcPr>
            <w:tcW w:w="6519" w:type="dxa"/>
            <w:vAlign w:val="center"/>
          </w:tcPr>
          <w:p w14:paraId="6EF2E214">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bCs/>
                <w:color w:val="auto"/>
                <w:sz w:val="22"/>
                <w:szCs w:val="22"/>
              </w:rPr>
            </w:pPr>
            <w:r>
              <w:rPr>
                <w:rFonts w:hint="eastAsia" w:ascii="宋体" w:hAnsi="宋体" w:eastAsia="宋体" w:cs="宋体"/>
                <w:color w:val="auto"/>
                <w:sz w:val="22"/>
                <w:szCs w:val="22"/>
              </w:rPr>
              <w:t>按照合同约定</w:t>
            </w:r>
          </w:p>
        </w:tc>
      </w:tr>
      <w:tr w14:paraId="0E248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7C8E42DA">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25</w:t>
            </w:r>
          </w:p>
        </w:tc>
        <w:tc>
          <w:tcPr>
            <w:tcW w:w="2238" w:type="dxa"/>
            <w:shd w:val="clear" w:color="auto" w:fill="auto"/>
            <w:vAlign w:val="center"/>
          </w:tcPr>
          <w:p w14:paraId="0DCC1C9F">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bCs/>
                <w:color w:val="auto"/>
                <w:kern w:val="2"/>
                <w:sz w:val="22"/>
                <w:szCs w:val="22"/>
                <w:lang w:val="en-US" w:eastAsia="zh-CN" w:bidi="ar-SA"/>
              </w:rPr>
            </w:pPr>
            <w:r>
              <w:rPr>
                <w:rFonts w:hint="eastAsia" w:ascii="宋体" w:hAnsi="宋体" w:eastAsia="宋体" w:cs="宋体"/>
                <w:bCs/>
                <w:color w:val="auto"/>
                <w:sz w:val="22"/>
                <w:szCs w:val="22"/>
              </w:rPr>
              <w:t>采购代理服务费</w:t>
            </w:r>
          </w:p>
        </w:tc>
        <w:tc>
          <w:tcPr>
            <w:tcW w:w="6519" w:type="dxa"/>
            <w:vAlign w:val="center"/>
          </w:tcPr>
          <w:p w14:paraId="3FE58DF1">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eastAsia="宋体" w:cs="宋体"/>
                <w:bCs/>
                <w:color w:val="auto"/>
                <w:sz w:val="22"/>
                <w:szCs w:val="22"/>
              </w:rPr>
            </w:pPr>
            <w:r>
              <w:rPr>
                <w:rFonts w:hint="eastAsia" w:ascii="宋体" w:hAnsi="宋体" w:eastAsia="宋体" w:cs="宋体"/>
                <w:bCs/>
                <w:color w:val="auto"/>
                <w:sz w:val="22"/>
                <w:szCs w:val="22"/>
              </w:rPr>
              <w:t>采购代理费用执行国家发展改革委《关于进一步放开建设项目专业服务价格的通知》（发改价格〔2015〕299号）。</w:t>
            </w:r>
          </w:p>
        </w:tc>
      </w:tr>
      <w:tr w14:paraId="467C5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95" w:type="dxa"/>
            <w:vAlign w:val="center"/>
          </w:tcPr>
          <w:p w14:paraId="0A6C6023">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26</w:t>
            </w:r>
          </w:p>
        </w:tc>
        <w:tc>
          <w:tcPr>
            <w:tcW w:w="2238" w:type="dxa"/>
            <w:shd w:val="clear" w:color="auto" w:fill="auto"/>
            <w:vAlign w:val="center"/>
          </w:tcPr>
          <w:p w14:paraId="14E74559">
            <w:pPr>
              <w:keepNext w:val="0"/>
              <w:keepLines w:val="0"/>
              <w:pageBreakBefore w:val="0"/>
              <w:kinsoku/>
              <w:wordWrap/>
              <w:overflowPunct/>
              <w:bidi w:val="0"/>
              <w:adjustRightInd w:val="0"/>
              <w:snapToGrid w:val="0"/>
              <w:spacing w:line="300" w:lineRule="exact"/>
              <w:ind w:firstLine="0" w:firstLineChars="0"/>
              <w:jc w:val="center"/>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rPr>
              <w:t>中小企业(含监狱企业)</w:t>
            </w:r>
          </w:p>
        </w:tc>
        <w:tc>
          <w:tcPr>
            <w:tcW w:w="6519" w:type="dxa"/>
            <w:shd w:val="clear" w:color="auto" w:fill="auto"/>
            <w:vAlign w:val="center"/>
          </w:tcPr>
          <w:p w14:paraId="7644E7DC">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本项目属于专门面向中小企业采购项目；供应商需为中、小微企业，残疾人福利性单位、监狱企业视同小型、微型企业。</w:t>
            </w:r>
          </w:p>
          <w:p w14:paraId="18166958">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注：</w:t>
            </w:r>
          </w:p>
          <w:p w14:paraId="1D458D73">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1.监狱企业参加政府采购活动时，应当提供由省级以上监狱管理局、戒毒管理局（含新疆生产建设兵团）出具的属于监狱企业的证明文件（财库【2014】68号文件）。</w:t>
            </w:r>
          </w:p>
          <w:p w14:paraId="2D6BF3D5">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2.中、小微企业需提供以下资料：中小企业声明函（财库〔2020〕46号）。</w:t>
            </w:r>
          </w:p>
          <w:p w14:paraId="597C4B5D">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3.残疾人福利性单位须提供残疾人福利性单位声明函（财库[2017]141 号）。</w:t>
            </w:r>
          </w:p>
          <w:p w14:paraId="498F1CA7">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本项目中小企业划分标准所属行业为：工业。</w:t>
            </w:r>
          </w:p>
          <w:p w14:paraId="318DFADA">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落实政府采购政策：</w:t>
            </w:r>
          </w:p>
          <w:p w14:paraId="3BB3366B">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1.关于印发《政府采购促进中小企业发展管理办法》的通知（财库[2020]46 号）</w:t>
            </w:r>
          </w:p>
          <w:p w14:paraId="06E77884">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2.《关于政府采购支持监狱企业发展有关问题的通知》（财库[2014]68 号）</w:t>
            </w:r>
          </w:p>
          <w:p w14:paraId="69248252">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3.《关于促进残疾人就业政府采购政策的通知》（财库[2017]141 号）</w:t>
            </w:r>
          </w:p>
          <w:p w14:paraId="587E4510">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4.《关于调整优化节能产品环境标志产品政府采购执行机制通知》(财库[2019]9 号)</w:t>
            </w:r>
          </w:p>
          <w:p w14:paraId="2BF77E7F">
            <w:pPr>
              <w:keepNext w:val="0"/>
              <w:keepLines w:val="0"/>
              <w:pageBreakBefore w:val="0"/>
              <w:kinsoku/>
              <w:wordWrap/>
              <w:overflowPunct/>
              <w:bidi w:val="0"/>
              <w:adjustRightInd w:val="0"/>
              <w:snapToGrid w:val="0"/>
              <w:spacing w:line="300" w:lineRule="exact"/>
              <w:ind w:firstLine="0" w:firstLineChars="0"/>
              <w:jc w:val="left"/>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rPr>
              <w:t>5.《关于进一步加大政府采购支持中小企业力度的通知》（财库[2022]19 号）等最新采购政策</w:t>
            </w:r>
          </w:p>
        </w:tc>
      </w:tr>
      <w:tr w14:paraId="5542C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52" w:type="dxa"/>
            <w:gridSpan w:val="3"/>
            <w:vAlign w:val="center"/>
          </w:tcPr>
          <w:p w14:paraId="7BB519D0">
            <w:pPr>
              <w:adjustRightInd w:val="0"/>
              <w:snapToGrid w:val="0"/>
              <w:spacing w:line="360" w:lineRule="auto"/>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注：竞争性</w:t>
            </w:r>
            <w:r>
              <w:rPr>
                <w:rFonts w:hint="eastAsia" w:ascii="宋体" w:hAnsi="宋体" w:eastAsia="宋体" w:cs="宋体"/>
                <w:b/>
                <w:bCs/>
                <w:color w:val="auto"/>
                <w:sz w:val="22"/>
                <w:szCs w:val="22"/>
                <w:highlight w:val="none"/>
                <w:lang w:val="en-US" w:eastAsia="zh-CN"/>
              </w:rPr>
              <w:t>谈判</w:t>
            </w:r>
            <w:r>
              <w:rPr>
                <w:rFonts w:hint="eastAsia" w:ascii="宋体" w:hAnsi="宋体" w:eastAsia="宋体" w:cs="宋体"/>
                <w:b/>
                <w:bCs/>
                <w:color w:val="auto"/>
                <w:sz w:val="22"/>
                <w:szCs w:val="22"/>
                <w:highlight w:val="none"/>
              </w:rPr>
              <w:t>公告内容如有与《竞争性</w:t>
            </w:r>
            <w:r>
              <w:rPr>
                <w:rFonts w:hint="eastAsia" w:ascii="宋体" w:hAnsi="宋体" w:eastAsia="宋体" w:cs="宋体"/>
                <w:b/>
                <w:bCs/>
                <w:color w:val="auto"/>
                <w:sz w:val="22"/>
                <w:szCs w:val="22"/>
                <w:highlight w:val="none"/>
                <w:lang w:val="en-US" w:eastAsia="zh-CN"/>
              </w:rPr>
              <w:t>谈判</w:t>
            </w:r>
            <w:r>
              <w:rPr>
                <w:rFonts w:hint="eastAsia" w:ascii="宋体" w:hAnsi="宋体" w:eastAsia="宋体" w:cs="宋体"/>
                <w:b/>
                <w:bCs/>
                <w:color w:val="auto"/>
                <w:sz w:val="22"/>
                <w:szCs w:val="22"/>
                <w:highlight w:val="none"/>
              </w:rPr>
              <w:t>文件》中“供应商须知前附表”内容不一致之处，以《竞争性</w:t>
            </w:r>
            <w:r>
              <w:rPr>
                <w:rFonts w:hint="eastAsia" w:ascii="宋体" w:hAnsi="宋体" w:eastAsia="宋体" w:cs="宋体"/>
                <w:b/>
                <w:bCs/>
                <w:color w:val="auto"/>
                <w:sz w:val="22"/>
                <w:szCs w:val="22"/>
                <w:highlight w:val="none"/>
                <w:lang w:val="en-US" w:eastAsia="zh-CN"/>
              </w:rPr>
              <w:t>谈判</w:t>
            </w:r>
            <w:r>
              <w:rPr>
                <w:rFonts w:hint="eastAsia" w:ascii="宋体" w:hAnsi="宋体" w:eastAsia="宋体" w:cs="宋体"/>
                <w:b/>
                <w:bCs/>
                <w:color w:val="auto"/>
                <w:sz w:val="22"/>
                <w:szCs w:val="22"/>
                <w:highlight w:val="none"/>
              </w:rPr>
              <w:t>文件》中“供应商须知前附表”内容为准。</w:t>
            </w:r>
            <w:r>
              <w:rPr>
                <w:rFonts w:hint="eastAsia" w:ascii="宋体" w:hAnsi="宋体" w:eastAsia="宋体" w:cs="宋体"/>
                <w:b/>
                <w:color w:val="auto"/>
                <w:kern w:val="0"/>
                <w:sz w:val="22"/>
                <w:szCs w:val="22"/>
                <w:highlight w:val="none"/>
              </w:rPr>
              <w:t xml:space="preserve"> </w:t>
            </w:r>
          </w:p>
        </w:tc>
      </w:tr>
    </w:tbl>
    <w:p w14:paraId="5DA20B6E">
      <w:pPr>
        <w:jc w:val="center"/>
        <w:outlineLvl w:val="1"/>
        <w:rPr>
          <w:rFonts w:ascii="宋体"/>
          <w:b/>
          <w:bCs/>
          <w:color w:val="auto"/>
          <w:sz w:val="28"/>
        </w:rPr>
      </w:pPr>
      <w:bookmarkStart w:id="8" w:name="_Toc103723518"/>
      <w:r>
        <w:rPr>
          <w:rFonts w:hint="eastAsia" w:ascii="宋体"/>
          <w:b/>
          <w:bCs/>
          <w:color w:val="auto"/>
          <w:sz w:val="28"/>
        </w:rPr>
        <w:t>二、总则</w:t>
      </w:r>
      <w:bookmarkEnd w:id="8"/>
    </w:p>
    <w:p w14:paraId="10B44714">
      <w:pPr>
        <w:spacing w:line="360" w:lineRule="auto"/>
        <w:rPr>
          <w:rFonts w:ascii="宋体" w:hAnsi="宋体"/>
          <w:color w:val="auto"/>
          <w:sz w:val="24"/>
        </w:rPr>
      </w:pPr>
      <w:r>
        <w:rPr>
          <w:rFonts w:hint="eastAsia" w:ascii="宋体" w:hAnsi="宋体"/>
          <w:b/>
          <w:color w:val="auto"/>
          <w:sz w:val="24"/>
        </w:rPr>
        <w:t>1.项目概况</w:t>
      </w:r>
    </w:p>
    <w:p w14:paraId="0BE8CFC7">
      <w:pPr>
        <w:spacing w:line="360" w:lineRule="auto"/>
        <w:rPr>
          <w:rFonts w:ascii="宋体" w:hAnsi="宋体"/>
          <w:color w:val="auto"/>
          <w:sz w:val="24"/>
        </w:rPr>
      </w:pPr>
      <w:r>
        <w:rPr>
          <w:rFonts w:hint="eastAsia" w:ascii="宋体" w:hAnsi="宋体"/>
          <w:color w:val="auto"/>
          <w:sz w:val="24"/>
        </w:rPr>
        <w:t>1.1根据《中华人民共和国政府采购法》、《中华人民共和国政府采购法实施条例》等有关法律、法规和规章的规定，本采购项目已经具备招标条件，现对项目进行采购。</w:t>
      </w:r>
    </w:p>
    <w:p w14:paraId="70DD4FB3">
      <w:pPr>
        <w:spacing w:line="360" w:lineRule="auto"/>
        <w:rPr>
          <w:rFonts w:ascii="宋体" w:hAnsi="宋体"/>
          <w:color w:val="auto"/>
          <w:sz w:val="24"/>
        </w:rPr>
      </w:pPr>
      <w:r>
        <w:rPr>
          <w:rFonts w:hint="eastAsia" w:ascii="宋体" w:hAnsi="宋体"/>
          <w:color w:val="auto"/>
          <w:sz w:val="24"/>
        </w:rPr>
        <w:t>1.2本采购项目采购人：见本须知前附表。</w:t>
      </w:r>
    </w:p>
    <w:p w14:paraId="489E54CE">
      <w:pPr>
        <w:spacing w:line="360" w:lineRule="auto"/>
        <w:rPr>
          <w:rFonts w:ascii="宋体" w:hAnsi="宋体"/>
          <w:color w:val="auto"/>
          <w:sz w:val="24"/>
        </w:rPr>
      </w:pPr>
      <w:r>
        <w:rPr>
          <w:rFonts w:hint="eastAsia" w:ascii="宋体" w:hAnsi="宋体"/>
          <w:color w:val="auto"/>
          <w:sz w:val="24"/>
        </w:rPr>
        <w:t>1.3本采购项目采购代理机构：见本须知前附表。</w:t>
      </w:r>
    </w:p>
    <w:p w14:paraId="1A72B63E">
      <w:pPr>
        <w:spacing w:line="360" w:lineRule="auto"/>
        <w:rPr>
          <w:rFonts w:ascii="宋体" w:hAnsi="宋体"/>
          <w:color w:val="auto"/>
          <w:sz w:val="24"/>
        </w:rPr>
      </w:pPr>
      <w:r>
        <w:rPr>
          <w:rFonts w:hint="eastAsia" w:ascii="宋体" w:hAnsi="宋体"/>
          <w:color w:val="auto"/>
          <w:sz w:val="24"/>
        </w:rPr>
        <w:t>1.4本采购项目名称及项目编号：见本须知前附表。</w:t>
      </w:r>
    </w:p>
    <w:p w14:paraId="3EE1209C">
      <w:pPr>
        <w:spacing w:line="360" w:lineRule="auto"/>
        <w:rPr>
          <w:rFonts w:ascii="宋体" w:hAnsi="宋体"/>
          <w:color w:val="auto"/>
          <w:sz w:val="24"/>
        </w:rPr>
      </w:pPr>
      <w:r>
        <w:rPr>
          <w:rFonts w:hint="eastAsia" w:ascii="宋体" w:hAnsi="宋体"/>
          <w:color w:val="auto"/>
          <w:sz w:val="24"/>
        </w:rPr>
        <w:t>1.5本项目实施地点：见本须知前附表。</w:t>
      </w:r>
    </w:p>
    <w:p w14:paraId="16F8C50B">
      <w:pPr>
        <w:spacing w:line="360" w:lineRule="auto"/>
        <w:rPr>
          <w:rFonts w:ascii="宋体" w:hAnsi="宋体"/>
          <w:color w:val="auto"/>
          <w:sz w:val="24"/>
        </w:rPr>
      </w:pPr>
      <w:r>
        <w:rPr>
          <w:rFonts w:hint="eastAsia" w:ascii="宋体" w:hAnsi="宋体"/>
          <w:b/>
          <w:color w:val="auto"/>
          <w:sz w:val="24"/>
        </w:rPr>
        <w:t>2.资金来源和落实情况</w:t>
      </w:r>
    </w:p>
    <w:p w14:paraId="578BBC30">
      <w:pPr>
        <w:spacing w:line="360" w:lineRule="auto"/>
        <w:rPr>
          <w:rFonts w:ascii="宋体" w:hAnsi="宋体"/>
          <w:color w:val="auto"/>
          <w:sz w:val="24"/>
        </w:rPr>
      </w:pPr>
      <w:r>
        <w:rPr>
          <w:rFonts w:hint="eastAsia" w:ascii="宋体" w:hAnsi="宋体"/>
          <w:color w:val="auto"/>
          <w:sz w:val="24"/>
        </w:rPr>
        <w:t>2.1本次采购项目的资金来源：见本须知前附表。</w:t>
      </w:r>
    </w:p>
    <w:p w14:paraId="79F18E7B">
      <w:pPr>
        <w:spacing w:line="360" w:lineRule="auto"/>
        <w:rPr>
          <w:rFonts w:ascii="宋体" w:hAnsi="宋体"/>
          <w:color w:val="auto"/>
          <w:sz w:val="24"/>
        </w:rPr>
      </w:pPr>
      <w:r>
        <w:rPr>
          <w:rFonts w:hint="eastAsia" w:ascii="宋体" w:hAnsi="宋体"/>
          <w:color w:val="auto"/>
          <w:sz w:val="24"/>
        </w:rPr>
        <w:t>2.2本次采购项目的资金落实情况：见本须知前附表。</w:t>
      </w:r>
    </w:p>
    <w:p w14:paraId="6A4DA4E5">
      <w:pPr>
        <w:spacing w:line="360" w:lineRule="auto"/>
        <w:rPr>
          <w:rFonts w:ascii="宋体" w:hAnsi="宋体"/>
          <w:b/>
          <w:color w:val="auto"/>
          <w:sz w:val="24"/>
        </w:rPr>
      </w:pPr>
      <w:r>
        <w:rPr>
          <w:rFonts w:hint="eastAsia" w:ascii="宋体" w:hAnsi="宋体"/>
          <w:b/>
          <w:color w:val="auto"/>
          <w:sz w:val="24"/>
        </w:rPr>
        <w:t>3</w:t>
      </w:r>
      <w:r>
        <w:rPr>
          <w:rFonts w:ascii="宋体" w:hAnsi="宋体"/>
          <w:b/>
          <w:color w:val="auto"/>
          <w:sz w:val="24"/>
        </w:rPr>
        <w:t>.</w:t>
      </w:r>
      <w:r>
        <w:rPr>
          <w:rFonts w:hint="eastAsia" w:ascii="宋体" w:hAnsi="宋体"/>
          <w:b/>
          <w:color w:val="auto"/>
          <w:sz w:val="24"/>
        </w:rPr>
        <w:t>谈判采购内容、服务期和质量要求</w:t>
      </w:r>
    </w:p>
    <w:p w14:paraId="434D7C88">
      <w:pPr>
        <w:spacing w:line="360" w:lineRule="auto"/>
        <w:rPr>
          <w:rFonts w:ascii="宋体" w:hAnsi="宋体"/>
          <w:color w:val="auto"/>
          <w:sz w:val="24"/>
        </w:rPr>
      </w:pPr>
      <w:r>
        <w:rPr>
          <w:rFonts w:hint="eastAsia" w:ascii="宋体" w:hAnsi="宋体"/>
          <w:color w:val="auto"/>
          <w:sz w:val="24"/>
        </w:rPr>
        <w:t>3.1本次谈判采购内容：见本须知前附表。</w:t>
      </w:r>
    </w:p>
    <w:p w14:paraId="651048DF">
      <w:pPr>
        <w:spacing w:line="360" w:lineRule="auto"/>
        <w:rPr>
          <w:rFonts w:ascii="宋体" w:hAnsi="宋体"/>
          <w:color w:val="auto"/>
          <w:sz w:val="24"/>
        </w:rPr>
      </w:pPr>
      <w:r>
        <w:rPr>
          <w:rFonts w:hint="eastAsia" w:ascii="宋体" w:hAnsi="宋体"/>
          <w:color w:val="auto"/>
          <w:sz w:val="24"/>
        </w:rPr>
        <w:t>3.2本次采购的供货期：见本须知前附表。</w:t>
      </w:r>
    </w:p>
    <w:p w14:paraId="2AB7DFE7">
      <w:pPr>
        <w:spacing w:line="360" w:lineRule="auto"/>
        <w:rPr>
          <w:rFonts w:ascii="宋体" w:hAnsi="宋体"/>
          <w:color w:val="auto"/>
          <w:sz w:val="24"/>
        </w:rPr>
      </w:pPr>
      <w:r>
        <w:rPr>
          <w:rFonts w:hint="eastAsia" w:ascii="宋体" w:hAnsi="宋体"/>
          <w:color w:val="auto"/>
          <w:sz w:val="24"/>
        </w:rPr>
        <w:t>3.3本项目的质量要求：见本须知前附表。</w:t>
      </w:r>
    </w:p>
    <w:p w14:paraId="405B08D7">
      <w:pPr>
        <w:spacing w:line="360" w:lineRule="auto"/>
        <w:rPr>
          <w:rFonts w:ascii="宋体" w:hAnsi="宋体"/>
          <w:b/>
          <w:color w:val="auto"/>
          <w:sz w:val="24"/>
        </w:rPr>
      </w:pPr>
      <w:r>
        <w:rPr>
          <w:rFonts w:hint="eastAsia" w:ascii="宋体" w:hAnsi="宋体"/>
          <w:b/>
          <w:color w:val="auto"/>
          <w:sz w:val="24"/>
        </w:rPr>
        <w:t>4.响应谈判供应商的资格标准与合格条件</w:t>
      </w:r>
    </w:p>
    <w:p w14:paraId="6B042923">
      <w:pPr>
        <w:spacing w:line="360" w:lineRule="auto"/>
        <w:rPr>
          <w:rFonts w:ascii="宋体" w:hAnsi="宋体"/>
          <w:color w:val="auto"/>
          <w:sz w:val="24"/>
        </w:rPr>
      </w:pPr>
      <w:r>
        <w:rPr>
          <w:rFonts w:hint="eastAsia" w:ascii="宋体" w:hAnsi="宋体"/>
          <w:color w:val="auto"/>
          <w:sz w:val="24"/>
        </w:rPr>
        <w:t>4.1响应谈判供应商应具备承担本项目的资质条件：见本须知前附表。</w:t>
      </w:r>
    </w:p>
    <w:p w14:paraId="3D72E7B7">
      <w:pPr>
        <w:spacing w:line="360" w:lineRule="auto"/>
        <w:rPr>
          <w:rFonts w:ascii="宋体" w:hAnsi="宋体"/>
          <w:color w:val="auto"/>
          <w:sz w:val="24"/>
        </w:rPr>
      </w:pPr>
      <w:r>
        <w:rPr>
          <w:rFonts w:ascii="宋体" w:hAnsi="宋体"/>
          <w:color w:val="auto"/>
          <w:sz w:val="24"/>
        </w:rPr>
        <w:t>4</w:t>
      </w:r>
      <w:r>
        <w:rPr>
          <w:rFonts w:hint="eastAsia" w:ascii="宋体" w:hAnsi="宋体"/>
          <w:color w:val="auto"/>
          <w:sz w:val="24"/>
        </w:rPr>
        <w:t>.2本项目是否接授联合体响应：见本须知前附表。</w:t>
      </w:r>
    </w:p>
    <w:p w14:paraId="4FB695C3">
      <w:pPr>
        <w:spacing w:line="360" w:lineRule="auto"/>
        <w:rPr>
          <w:rFonts w:ascii="宋体" w:hAnsi="宋体"/>
          <w:color w:val="auto"/>
          <w:sz w:val="24"/>
        </w:rPr>
      </w:pPr>
      <w:r>
        <w:rPr>
          <w:rFonts w:hint="eastAsia" w:ascii="宋体" w:hAnsi="宋体"/>
          <w:color w:val="auto"/>
          <w:sz w:val="24"/>
        </w:rPr>
        <w:t>4.3响应谈判供应商不得存在下列情形之一：</w:t>
      </w:r>
    </w:p>
    <w:p w14:paraId="08A6C697">
      <w:pPr>
        <w:spacing w:line="360" w:lineRule="auto"/>
        <w:rPr>
          <w:rFonts w:ascii="宋体" w:hAnsi="宋体"/>
          <w:color w:val="auto"/>
          <w:sz w:val="24"/>
        </w:rPr>
      </w:pPr>
      <w:r>
        <w:rPr>
          <w:rFonts w:hint="eastAsia" w:ascii="宋体" w:hAnsi="宋体"/>
          <w:color w:val="auto"/>
          <w:sz w:val="24"/>
        </w:rPr>
        <w:t>4.3.1为采购人的不具有独立法人资格的附属机构（单位）；</w:t>
      </w:r>
    </w:p>
    <w:p w14:paraId="280A1C71">
      <w:pPr>
        <w:spacing w:line="360" w:lineRule="auto"/>
        <w:rPr>
          <w:rFonts w:ascii="宋体" w:hAnsi="宋体"/>
          <w:color w:val="auto"/>
          <w:sz w:val="24"/>
        </w:rPr>
      </w:pPr>
      <w:r>
        <w:rPr>
          <w:rFonts w:ascii="宋体" w:hAnsi="宋体"/>
          <w:color w:val="auto"/>
          <w:sz w:val="24"/>
        </w:rPr>
        <w:t>4.3.2</w:t>
      </w:r>
      <w:r>
        <w:rPr>
          <w:rFonts w:hint="eastAsia" w:ascii="宋体" w:hAnsi="宋体"/>
          <w:color w:val="auto"/>
          <w:sz w:val="24"/>
        </w:rPr>
        <w:t>与</w:t>
      </w:r>
      <w:r>
        <w:rPr>
          <w:rFonts w:ascii="宋体" w:hAnsi="宋体"/>
          <w:color w:val="auto"/>
          <w:sz w:val="24"/>
        </w:rPr>
        <w:t>本项目其他响应谈判供应商</w:t>
      </w:r>
      <w:r>
        <w:rPr>
          <w:rFonts w:hint="eastAsia" w:ascii="宋体" w:hAnsi="宋体"/>
          <w:color w:val="auto"/>
          <w:sz w:val="24"/>
        </w:rPr>
        <w:t>单位</w:t>
      </w:r>
      <w:r>
        <w:rPr>
          <w:rFonts w:ascii="宋体" w:hAnsi="宋体"/>
          <w:color w:val="auto"/>
          <w:sz w:val="24"/>
        </w:rPr>
        <w:t>负责人为同一人</w:t>
      </w:r>
      <w:r>
        <w:rPr>
          <w:rFonts w:hint="eastAsia" w:ascii="宋体" w:hAnsi="宋体"/>
          <w:color w:val="auto"/>
          <w:sz w:val="24"/>
        </w:rPr>
        <w:t>或</w:t>
      </w:r>
      <w:r>
        <w:rPr>
          <w:rFonts w:ascii="宋体" w:hAnsi="宋体"/>
          <w:color w:val="auto"/>
          <w:sz w:val="24"/>
        </w:rPr>
        <w:t>存在控股</w:t>
      </w:r>
      <w:r>
        <w:rPr>
          <w:rFonts w:hint="eastAsia" w:ascii="宋体" w:hAnsi="宋体"/>
          <w:color w:val="auto"/>
          <w:sz w:val="24"/>
        </w:rPr>
        <w:t>、</w:t>
      </w:r>
      <w:r>
        <w:rPr>
          <w:rFonts w:ascii="宋体" w:hAnsi="宋体"/>
          <w:color w:val="auto"/>
          <w:sz w:val="24"/>
        </w:rPr>
        <w:t>管理关系的；</w:t>
      </w:r>
    </w:p>
    <w:p w14:paraId="2FA304EA">
      <w:pPr>
        <w:spacing w:line="360" w:lineRule="auto"/>
        <w:rPr>
          <w:rFonts w:ascii="宋体" w:hAnsi="宋体"/>
          <w:color w:val="auto"/>
          <w:sz w:val="24"/>
        </w:rPr>
      </w:pPr>
      <w:r>
        <w:rPr>
          <w:rFonts w:hint="eastAsia" w:ascii="宋体" w:hAnsi="宋体"/>
          <w:color w:val="auto"/>
          <w:sz w:val="24"/>
        </w:rPr>
        <w:t>4.3.</w:t>
      </w:r>
      <w:r>
        <w:rPr>
          <w:rFonts w:ascii="宋体" w:hAnsi="宋体"/>
          <w:color w:val="auto"/>
          <w:sz w:val="24"/>
        </w:rPr>
        <w:t>3</w:t>
      </w:r>
      <w:r>
        <w:rPr>
          <w:rFonts w:hint="eastAsia" w:ascii="宋体" w:hAnsi="宋体"/>
          <w:color w:val="auto"/>
          <w:sz w:val="24"/>
        </w:rPr>
        <w:t>为本项目前期准备提供设计或咨询服务的；</w:t>
      </w:r>
    </w:p>
    <w:p w14:paraId="4DA0F162">
      <w:pPr>
        <w:spacing w:line="360" w:lineRule="auto"/>
        <w:rPr>
          <w:rFonts w:ascii="宋体" w:hAnsi="宋体"/>
          <w:color w:val="auto"/>
          <w:sz w:val="24"/>
        </w:rPr>
      </w:pPr>
      <w:r>
        <w:rPr>
          <w:rFonts w:hint="eastAsia" w:ascii="宋体" w:hAnsi="宋体"/>
          <w:color w:val="auto"/>
          <w:sz w:val="24"/>
        </w:rPr>
        <w:t>4.3.</w:t>
      </w:r>
      <w:r>
        <w:rPr>
          <w:rFonts w:ascii="宋体" w:hAnsi="宋体"/>
          <w:color w:val="auto"/>
          <w:sz w:val="24"/>
        </w:rPr>
        <w:t>4</w:t>
      </w:r>
      <w:r>
        <w:rPr>
          <w:rFonts w:hint="eastAsia" w:ascii="宋体" w:hAnsi="宋体"/>
          <w:color w:val="auto"/>
          <w:sz w:val="24"/>
        </w:rPr>
        <w:t>被责令停业的；</w:t>
      </w:r>
    </w:p>
    <w:p w14:paraId="7FFFE7B9">
      <w:pPr>
        <w:spacing w:line="360" w:lineRule="auto"/>
        <w:rPr>
          <w:rFonts w:ascii="宋体" w:hAnsi="宋体"/>
          <w:color w:val="auto"/>
          <w:sz w:val="24"/>
        </w:rPr>
      </w:pPr>
      <w:r>
        <w:rPr>
          <w:rFonts w:hint="eastAsia" w:ascii="宋体" w:hAnsi="宋体"/>
          <w:color w:val="auto"/>
          <w:sz w:val="24"/>
        </w:rPr>
        <w:t>4.3.5被暂停或取消谈判资格的；</w:t>
      </w:r>
    </w:p>
    <w:p w14:paraId="09D6EDD4">
      <w:pPr>
        <w:spacing w:line="360" w:lineRule="auto"/>
        <w:rPr>
          <w:rFonts w:ascii="宋体" w:hAnsi="宋体"/>
          <w:color w:val="auto"/>
          <w:sz w:val="24"/>
        </w:rPr>
      </w:pPr>
      <w:r>
        <w:rPr>
          <w:rFonts w:hint="eastAsia" w:ascii="宋体" w:hAnsi="宋体"/>
          <w:color w:val="auto"/>
          <w:sz w:val="24"/>
        </w:rPr>
        <w:t>4.3.6财产被接管或冻结的；</w:t>
      </w:r>
    </w:p>
    <w:p w14:paraId="42A67818">
      <w:pPr>
        <w:spacing w:line="360" w:lineRule="auto"/>
        <w:rPr>
          <w:rFonts w:ascii="宋体" w:hAnsi="宋体"/>
          <w:color w:val="auto"/>
          <w:sz w:val="24"/>
        </w:rPr>
      </w:pPr>
      <w:r>
        <w:rPr>
          <w:rFonts w:hint="eastAsia" w:ascii="宋体" w:hAnsi="宋体"/>
          <w:color w:val="auto"/>
          <w:sz w:val="24"/>
        </w:rPr>
        <w:t>4.3.7在最近三年内有骗取中标或严重违约或重大质量问题的；</w:t>
      </w:r>
    </w:p>
    <w:p w14:paraId="3F311007">
      <w:pPr>
        <w:spacing w:line="360" w:lineRule="auto"/>
        <w:rPr>
          <w:rFonts w:ascii="宋体" w:hAnsi="宋体"/>
          <w:color w:val="auto"/>
          <w:sz w:val="24"/>
        </w:rPr>
      </w:pPr>
      <w:r>
        <w:rPr>
          <w:rFonts w:hint="eastAsia" w:ascii="宋体" w:hAnsi="宋体"/>
          <w:b/>
          <w:color w:val="auto"/>
          <w:sz w:val="24"/>
        </w:rPr>
        <w:t>5.谈判响应费用</w:t>
      </w:r>
    </w:p>
    <w:p w14:paraId="04D2BDBB">
      <w:pPr>
        <w:spacing w:line="360" w:lineRule="auto"/>
        <w:ind w:firstLine="480" w:firstLineChars="200"/>
        <w:rPr>
          <w:rFonts w:ascii="宋体" w:hAnsi="宋体"/>
          <w:color w:val="auto"/>
          <w:sz w:val="24"/>
        </w:rPr>
      </w:pPr>
      <w:r>
        <w:rPr>
          <w:rFonts w:hint="eastAsia" w:ascii="宋体" w:hAnsi="宋体"/>
          <w:color w:val="auto"/>
          <w:sz w:val="24"/>
        </w:rPr>
        <w:t>响应谈判供应商应承担其从谈判报名直至谈判响应文件提交的谈判全过程所涉及的一切费用。在任何情况下采购人对上述费用均不负任何责任。</w:t>
      </w:r>
    </w:p>
    <w:p w14:paraId="1959622D">
      <w:pPr>
        <w:spacing w:line="360" w:lineRule="auto"/>
        <w:rPr>
          <w:rFonts w:ascii="宋体" w:hAnsi="宋体"/>
          <w:b/>
          <w:color w:val="auto"/>
          <w:sz w:val="24"/>
        </w:rPr>
      </w:pPr>
      <w:r>
        <w:rPr>
          <w:rFonts w:hint="eastAsia" w:ascii="宋体" w:hAnsi="宋体"/>
          <w:b/>
          <w:color w:val="auto"/>
          <w:sz w:val="24"/>
        </w:rPr>
        <w:t>6.语言文字</w:t>
      </w:r>
    </w:p>
    <w:p w14:paraId="2DCCA265">
      <w:pPr>
        <w:spacing w:line="360" w:lineRule="auto"/>
        <w:ind w:firstLine="480"/>
        <w:rPr>
          <w:rFonts w:ascii="宋体" w:hAnsi="宋体"/>
          <w:color w:val="auto"/>
          <w:sz w:val="24"/>
        </w:rPr>
      </w:pPr>
      <w:r>
        <w:rPr>
          <w:rFonts w:hint="eastAsia" w:ascii="宋体" w:hAnsi="宋体"/>
          <w:color w:val="auto"/>
          <w:sz w:val="24"/>
        </w:rPr>
        <w:t>除专用术语外，与招标投标有关的语言均使用中文。必要时专用术语应附有中文注释。</w:t>
      </w:r>
    </w:p>
    <w:p w14:paraId="457A7F04">
      <w:pPr>
        <w:spacing w:line="360" w:lineRule="auto"/>
        <w:rPr>
          <w:rFonts w:ascii="宋体" w:hAnsi="宋体"/>
          <w:b/>
          <w:color w:val="auto"/>
          <w:sz w:val="24"/>
        </w:rPr>
      </w:pPr>
      <w:r>
        <w:rPr>
          <w:rFonts w:hint="eastAsia" w:ascii="宋体" w:hAnsi="宋体"/>
          <w:b/>
          <w:color w:val="auto"/>
          <w:sz w:val="24"/>
        </w:rPr>
        <w:t>7.计量单位</w:t>
      </w:r>
    </w:p>
    <w:p w14:paraId="5C5FAA70">
      <w:pPr>
        <w:spacing w:line="360" w:lineRule="auto"/>
        <w:ind w:firstLine="480" w:firstLineChars="200"/>
        <w:rPr>
          <w:rFonts w:ascii="宋体" w:hAnsi="宋体"/>
          <w:color w:val="auto"/>
          <w:sz w:val="24"/>
        </w:rPr>
      </w:pPr>
      <w:r>
        <w:rPr>
          <w:rFonts w:hint="eastAsia" w:ascii="宋体" w:hAnsi="宋体"/>
          <w:color w:val="auto"/>
          <w:sz w:val="24"/>
        </w:rPr>
        <w:t>所有的计量均采用中华人民共和国法定计量单位。</w:t>
      </w:r>
    </w:p>
    <w:p w14:paraId="601B1F9D">
      <w:pPr>
        <w:spacing w:line="360" w:lineRule="auto"/>
        <w:rPr>
          <w:rFonts w:ascii="宋体" w:hAnsi="宋体"/>
          <w:b/>
          <w:color w:val="auto"/>
          <w:sz w:val="24"/>
        </w:rPr>
      </w:pPr>
      <w:r>
        <w:rPr>
          <w:rFonts w:hint="eastAsia" w:ascii="宋体" w:hAnsi="宋体"/>
          <w:b/>
          <w:color w:val="auto"/>
          <w:sz w:val="24"/>
        </w:rPr>
        <w:t>8.现场踏勘</w:t>
      </w:r>
    </w:p>
    <w:p w14:paraId="50A5754A">
      <w:pPr>
        <w:spacing w:line="360" w:lineRule="auto"/>
        <w:rPr>
          <w:rFonts w:ascii="宋体" w:hAnsi="宋体"/>
          <w:color w:val="auto"/>
          <w:sz w:val="24"/>
        </w:rPr>
      </w:pPr>
      <w:r>
        <w:rPr>
          <w:rFonts w:hint="eastAsia" w:ascii="宋体" w:hAnsi="宋体"/>
          <w:color w:val="auto"/>
          <w:sz w:val="24"/>
        </w:rPr>
        <w:t>8.1采购人将按本须知前附表所述时间，组织响应谈判供应商对项目现场及周围环境进行踏勘，以便响应谈判供应商获取有关编制谈判响应文件和签署项目实施合同所涉及现场的各项资料，响应谈判供应商应承担现场踏勘的责任和风险。</w:t>
      </w:r>
    </w:p>
    <w:p w14:paraId="5B08DBB1">
      <w:pPr>
        <w:spacing w:line="360" w:lineRule="auto"/>
        <w:rPr>
          <w:rFonts w:ascii="宋体" w:hAnsi="宋体"/>
          <w:color w:val="auto"/>
          <w:sz w:val="24"/>
        </w:rPr>
      </w:pPr>
      <w:r>
        <w:rPr>
          <w:rFonts w:hint="eastAsia" w:ascii="宋体" w:hAnsi="宋体"/>
          <w:color w:val="auto"/>
          <w:sz w:val="24"/>
        </w:rPr>
        <w:t>8.2采购人向响应谈判供应商提供的有关现场数据的资料，是采购人现有的能被响应谈判供应商利用的资料，采购人对响应谈判供应商做出的任何推论、理解和结论不负责任。</w:t>
      </w:r>
    </w:p>
    <w:p w14:paraId="626DDFCB">
      <w:pPr>
        <w:spacing w:line="360" w:lineRule="auto"/>
        <w:rPr>
          <w:rFonts w:ascii="宋体" w:hAnsi="宋体"/>
          <w:color w:val="auto"/>
          <w:sz w:val="24"/>
        </w:rPr>
      </w:pPr>
      <w:r>
        <w:rPr>
          <w:rFonts w:hint="eastAsia" w:ascii="宋体" w:hAnsi="宋体"/>
          <w:color w:val="auto"/>
          <w:sz w:val="24"/>
        </w:rPr>
        <w:t>8.3经采购人允许，响应谈判供应商可以以踏勘为目的进入采购人的项目现场，但响应谈判供应商不得因此使采购人承担有关的责任和蒙受损失。</w:t>
      </w:r>
    </w:p>
    <w:p w14:paraId="3526C6B1">
      <w:pPr>
        <w:spacing w:line="360" w:lineRule="auto"/>
        <w:rPr>
          <w:rFonts w:ascii="宋体" w:hAnsi="宋体"/>
          <w:b/>
          <w:color w:val="auto"/>
          <w:sz w:val="24"/>
        </w:rPr>
      </w:pPr>
      <w:r>
        <w:rPr>
          <w:rFonts w:hint="eastAsia" w:ascii="宋体" w:hAnsi="宋体"/>
          <w:b/>
          <w:color w:val="auto"/>
          <w:sz w:val="24"/>
        </w:rPr>
        <w:t>9.答疑会</w:t>
      </w:r>
    </w:p>
    <w:p w14:paraId="64FCEB07">
      <w:pPr>
        <w:spacing w:line="360" w:lineRule="auto"/>
        <w:rPr>
          <w:rFonts w:ascii="宋体" w:hAnsi="宋体"/>
          <w:color w:val="auto"/>
          <w:sz w:val="24"/>
        </w:rPr>
      </w:pPr>
      <w:r>
        <w:rPr>
          <w:rFonts w:hint="eastAsia" w:ascii="宋体" w:hAnsi="宋体"/>
          <w:color w:val="auto"/>
          <w:sz w:val="24"/>
        </w:rPr>
        <w:t>9.1响应谈判供应商应在本须知前附表中规定的答疑会时间，以书面形式将提出的问题送达采购代理机构，以便及时澄清。</w:t>
      </w:r>
    </w:p>
    <w:p w14:paraId="1741E56D">
      <w:pPr>
        <w:spacing w:line="360" w:lineRule="auto"/>
        <w:rPr>
          <w:rFonts w:ascii="宋体" w:hAnsi="宋体"/>
          <w:color w:val="auto"/>
          <w:sz w:val="24"/>
        </w:rPr>
      </w:pPr>
      <w:r>
        <w:rPr>
          <w:rFonts w:hint="eastAsia" w:ascii="宋体" w:hAnsi="宋体"/>
          <w:color w:val="auto"/>
          <w:sz w:val="24"/>
        </w:rPr>
        <w:t>9.2采购人、采购机构在本须知前附表规定的时间组织召开答疑会，会上将对响应谈判供应商所提问题予以澄清，同时以书面方式将问题的澄清通知所有投标报名合格的响应谈判供应商。该澄清内容为谈判文件的组成部分。</w:t>
      </w:r>
    </w:p>
    <w:p w14:paraId="6B26E651">
      <w:pPr>
        <w:spacing w:line="360" w:lineRule="auto"/>
        <w:rPr>
          <w:rFonts w:ascii="宋体" w:hAnsi="宋体"/>
          <w:b/>
          <w:color w:val="auto"/>
          <w:sz w:val="24"/>
        </w:rPr>
      </w:pPr>
      <w:r>
        <w:rPr>
          <w:rFonts w:hint="eastAsia" w:ascii="宋体" w:hAnsi="宋体"/>
          <w:b/>
          <w:color w:val="auto"/>
          <w:sz w:val="24"/>
        </w:rPr>
        <w:t>10.分包</w:t>
      </w:r>
    </w:p>
    <w:p w14:paraId="7654C699">
      <w:pPr>
        <w:spacing w:line="360" w:lineRule="auto"/>
        <w:ind w:firstLine="480" w:firstLineChars="200"/>
        <w:rPr>
          <w:rFonts w:ascii="宋体" w:hAnsi="宋体"/>
          <w:color w:val="auto"/>
          <w:sz w:val="24"/>
        </w:rPr>
      </w:pPr>
      <w:r>
        <w:rPr>
          <w:rFonts w:hint="eastAsia" w:ascii="宋体" w:hAnsi="宋体"/>
          <w:color w:val="auto"/>
          <w:sz w:val="24"/>
        </w:rPr>
        <w:t>见本须知前附表。</w:t>
      </w:r>
    </w:p>
    <w:p w14:paraId="0DAC48E1">
      <w:pPr>
        <w:spacing w:line="360" w:lineRule="auto"/>
        <w:rPr>
          <w:rFonts w:ascii="宋体" w:hAnsi="宋体"/>
          <w:b/>
          <w:color w:val="auto"/>
          <w:sz w:val="24"/>
        </w:rPr>
      </w:pPr>
      <w:r>
        <w:rPr>
          <w:rFonts w:hint="eastAsia" w:ascii="宋体" w:hAnsi="宋体"/>
          <w:b/>
          <w:color w:val="auto"/>
          <w:sz w:val="24"/>
        </w:rPr>
        <w:t>11.偏离</w:t>
      </w:r>
    </w:p>
    <w:p w14:paraId="585F5A0E">
      <w:pPr>
        <w:spacing w:line="360" w:lineRule="auto"/>
        <w:ind w:firstLine="480" w:firstLineChars="200"/>
        <w:rPr>
          <w:rFonts w:ascii="宋体" w:hAnsi="宋体"/>
          <w:color w:val="auto"/>
          <w:sz w:val="24"/>
        </w:rPr>
      </w:pPr>
      <w:r>
        <w:rPr>
          <w:rFonts w:hint="eastAsia" w:ascii="宋体" w:hAnsi="宋体"/>
          <w:color w:val="auto"/>
          <w:sz w:val="24"/>
        </w:rPr>
        <w:t>见本须知前附表。</w:t>
      </w:r>
    </w:p>
    <w:p w14:paraId="311EC1B5">
      <w:pPr>
        <w:spacing w:line="360" w:lineRule="auto"/>
        <w:rPr>
          <w:rFonts w:ascii="宋体" w:hAnsi="宋体"/>
          <w:color w:val="auto"/>
          <w:sz w:val="24"/>
        </w:rPr>
      </w:pPr>
    </w:p>
    <w:p w14:paraId="41367E5D">
      <w:pPr>
        <w:spacing w:line="360" w:lineRule="auto"/>
        <w:jc w:val="center"/>
        <w:outlineLvl w:val="1"/>
        <w:rPr>
          <w:rFonts w:ascii="宋体" w:hAnsi="宋体"/>
          <w:b/>
          <w:color w:val="auto"/>
          <w:sz w:val="24"/>
        </w:rPr>
      </w:pPr>
      <w:bookmarkStart w:id="9" w:name="_Toc103723519"/>
      <w:r>
        <w:rPr>
          <w:rFonts w:hint="eastAsia" w:ascii="宋体" w:hAnsi="宋体"/>
          <w:b/>
          <w:color w:val="auto"/>
          <w:sz w:val="28"/>
        </w:rPr>
        <w:t>三、谈判文件</w:t>
      </w:r>
      <w:bookmarkEnd w:id="9"/>
    </w:p>
    <w:p w14:paraId="43BD4978">
      <w:pPr>
        <w:spacing w:line="360" w:lineRule="auto"/>
        <w:rPr>
          <w:rFonts w:ascii="宋体" w:hAnsi="宋体"/>
          <w:color w:val="auto"/>
          <w:sz w:val="24"/>
        </w:rPr>
      </w:pPr>
      <w:r>
        <w:rPr>
          <w:rFonts w:hint="eastAsia" w:ascii="宋体" w:hAnsi="宋体"/>
          <w:b/>
          <w:color w:val="auto"/>
          <w:sz w:val="24"/>
        </w:rPr>
        <w:t>12.谈判文件的组成</w:t>
      </w:r>
    </w:p>
    <w:p w14:paraId="3FFA58AF">
      <w:pPr>
        <w:spacing w:line="360" w:lineRule="auto"/>
        <w:rPr>
          <w:rFonts w:ascii="宋体" w:hAnsi="宋体"/>
          <w:color w:val="auto"/>
          <w:sz w:val="24"/>
        </w:rPr>
      </w:pPr>
      <w:r>
        <w:rPr>
          <w:rFonts w:hint="eastAsia" w:ascii="宋体" w:hAnsi="宋体"/>
          <w:color w:val="auto"/>
          <w:sz w:val="24"/>
        </w:rPr>
        <w:t>12.1本谈判文件包括下列文件及按本须知第9条所述的答疑文件、第14条发出的补充文件。</w:t>
      </w:r>
    </w:p>
    <w:p w14:paraId="40A2EEE1">
      <w:pPr>
        <w:spacing w:line="360" w:lineRule="auto"/>
        <w:ind w:firstLine="480" w:firstLineChars="200"/>
        <w:rPr>
          <w:rFonts w:ascii="宋体" w:hAnsi="宋体"/>
          <w:color w:val="auto"/>
          <w:sz w:val="24"/>
        </w:rPr>
      </w:pPr>
      <w:r>
        <w:rPr>
          <w:rFonts w:hint="eastAsia" w:ascii="宋体" w:hAnsi="宋体"/>
          <w:color w:val="auto"/>
          <w:sz w:val="24"/>
        </w:rPr>
        <w:t>第一章  竞争性谈判</w:t>
      </w:r>
      <w:r>
        <w:rPr>
          <w:rFonts w:ascii="宋体" w:hAnsi="宋体"/>
          <w:color w:val="auto"/>
          <w:sz w:val="24"/>
        </w:rPr>
        <w:t>采购</w:t>
      </w:r>
      <w:r>
        <w:rPr>
          <w:rFonts w:hint="eastAsia" w:ascii="宋体" w:hAnsi="宋体"/>
          <w:color w:val="auto"/>
          <w:sz w:val="24"/>
        </w:rPr>
        <w:t>公告</w:t>
      </w:r>
    </w:p>
    <w:p w14:paraId="7BAF901A">
      <w:pPr>
        <w:spacing w:line="360" w:lineRule="auto"/>
        <w:ind w:firstLine="480" w:firstLineChars="200"/>
        <w:rPr>
          <w:rFonts w:ascii="宋体" w:hAnsi="宋体"/>
          <w:color w:val="auto"/>
          <w:sz w:val="24"/>
        </w:rPr>
      </w:pPr>
      <w:r>
        <w:rPr>
          <w:rFonts w:hint="eastAsia" w:ascii="宋体" w:hAnsi="宋体"/>
          <w:color w:val="auto"/>
          <w:sz w:val="24"/>
        </w:rPr>
        <w:t>第二章  项目需求</w:t>
      </w:r>
    </w:p>
    <w:p w14:paraId="404D239D">
      <w:pPr>
        <w:spacing w:line="360" w:lineRule="auto"/>
        <w:ind w:firstLine="480" w:firstLineChars="200"/>
        <w:rPr>
          <w:rFonts w:ascii="宋体" w:hAnsi="宋体"/>
          <w:color w:val="auto"/>
          <w:sz w:val="24"/>
        </w:rPr>
      </w:pPr>
      <w:r>
        <w:rPr>
          <w:rFonts w:hint="eastAsia" w:ascii="宋体" w:hAnsi="宋体"/>
          <w:color w:val="auto"/>
          <w:sz w:val="24"/>
        </w:rPr>
        <w:t>第三章  响应谈判供应商须知</w:t>
      </w:r>
    </w:p>
    <w:p w14:paraId="5D20454D">
      <w:pPr>
        <w:spacing w:line="360" w:lineRule="auto"/>
        <w:ind w:firstLine="480" w:firstLineChars="200"/>
        <w:rPr>
          <w:rFonts w:ascii="宋体" w:hAnsi="宋体"/>
          <w:color w:val="auto"/>
          <w:sz w:val="24"/>
        </w:rPr>
      </w:pPr>
      <w:r>
        <w:rPr>
          <w:rFonts w:hint="eastAsia" w:ascii="宋体" w:hAnsi="宋体"/>
          <w:color w:val="auto"/>
          <w:sz w:val="24"/>
        </w:rPr>
        <w:t>第四章  政府采购合同</w:t>
      </w:r>
    </w:p>
    <w:p w14:paraId="3151F592">
      <w:pPr>
        <w:spacing w:line="360" w:lineRule="auto"/>
        <w:ind w:firstLine="480" w:firstLineChars="200"/>
        <w:rPr>
          <w:rFonts w:ascii="宋体" w:hAnsi="宋体"/>
          <w:color w:val="auto"/>
          <w:sz w:val="24"/>
        </w:rPr>
      </w:pPr>
      <w:r>
        <w:rPr>
          <w:rFonts w:hint="eastAsia" w:ascii="宋体" w:hAnsi="宋体"/>
          <w:color w:val="auto"/>
          <w:sz w:val="24"/>
        </w:rPr>
        <w:t>第五章  评审办法</w:t>
      </w:r>
    </w:p>
    <w:p w14:paraId="1EFF9824">
      <w:pPr>
        <w:spacing w:line="360" w:lineRule="auto"/>
        <w:ind w:firstLine="480" w:firstLineChars="200"/>
        <w:rPr>
          <w:rFonts w:ascii="宋体" w:hAnsi="宋体"/>
          <w:color w:val="auto"/>
          <w:sz w:val="24"/>
        </w:rPr>
      </w:pPr>
      <w:r>
        <w:rPr>
          <w:rFonts w:hint="eastAsia" w:ascii="宋体" w:hAnsi="宋体"/>
          <w:color w:val="auto"/>
          <w:sz w:val="24"/>
        </w:rPr>
        <w:t>第六章  谈判响应文件格式</w:t>
      </w:r>
    </w:p>
    <w:p w14:paraId="40C6230A">
      <w:pPr>
        <w:spacing w:line="360" w:lineRule="auto"/>
        <w:rPr>
          <w:rFonts w:ascii="宋体" w:hAnsi="宋体"/>
          <w:color w:val="auto"/>
          <w:sz w:val="24"/>
        </w:rPr>
      </w:pPr>
      <w:r>
        <w:rPr>
          <w:rFonts w:hint="eastAsia" w:ascii="宋体" w:hAnsi="宋体"/>
          <w:color w:val="auto"/>
          <w:sz w:val="24"/>
        </w:rPr>
        <w:t>12.2除9.1内容外，采购机构在谈判响应截止期之前，以书面形式（公告）发出的对谈判文件的澄清或修改内容，均为谈判文件的组成部分，对采购人和响应谈判供应商起约束作用。</w:t>
      </w:r>
    </w:p>
    <w:p w14:paraId="5195C805">
      <w:pPr>
        <w:spacing w:line="360" w:lineRule="auto"/>
        <w:rPr>
          <w:rFonts w:ascii="宋体" w:hAnsi="宋体"/>
          <w:b/>
          <w:color w:val="auto"/>
          <w:sz w:val="24"/>
        </w:rPr>
      </w:pPr>
      <w:r>
        <w:rPr>
          <w:rFonts w:hint="eastAsia" w:ascii="宋体" w:hAnsi="宋体"/>
          <w:b/>
          <w:bCs/>
          <w:color w:val="auto"/>
          <w:sz w:val="24"/>
        </w:rPr>
        <w:t>13.</w:t>
      </w:r>
      <w:r>
        <w:rPr>
          <w:rFonts w:hint="eastAsia" w:ascii="宋体" w:hAnsi="宋体"/>
          <w:b/>
          <w:color w:val="auto"/>
          <w:sz w:val="24"/>
        </w:rPr>
        <w:t>谈判文件的澄清</w:t>
      </w:r>
    </w:p>
    <w:p w14:paraId="2FB74DAB">
      <w:pPr>
        <w:spacing w:line="360" w:lineRule="auto"/>
        <w:rPr>
          <w:rFonts w:ascii="宋体" w:hAnsi="宋体"/>
          <w:color w:val="auto"/>
          <w:sz w:val="24"/>
        </w:rPr>
      </w:pPr>
      <w:r>
        <w:rPr>
          <w:rFonts w:hint="eastAsia" w:ascii="宋体" w:hAnsi="宋体"/>
          <w:color w:val="auto"/>
          <w:sz w:val="24"/>
        </w:rPr>
        <w:t>13.1响应谈判供应商获取谈判文件后，应仔细检查谈判文件的所有内容，如有疑问，应在本须知前附表规定的答疑会时间将谈判文件中需澄清的问题以书面形式（一式两份）递交给采购机构。</w:t>
      </w:r>
    </w:p>
    <w:p w14:paraId="2E2C6FF4">
      <w:pPr>
        <w:spacing w:line="360" w:lineRule="auto"/>
        <w:rPr>
          <w:rFonts w:ascii="宋体" w:hAnsi="宋体"/>
          <w:color w:val="auto"/>
          <w:sz w:val="24"/>
        </w:rPr>
      </w:pPr>
      <w:r>
        <w:rPr>
          <w:rFonts w:hint="eastAsia" w:ascii="宋体" w:hAnsi="宋体"/>
          <w:color w:val="auto"/>
          <w:sz w:val="24"/>
        </w:rPr>
        <w:t>13.2响应谈判供应商按本须知前附表所述时间和地点出席谈判响应答疑会，采购人和采购</w:t>
      </w:r>
      <w:r>
        <w:rPr>
          <w:rFonts w:hint="eastAsia" w:ascii="宋体" w:hAnsi="宋体"/>
          <w:color w:val="auto"/>
          <w:sz w:val="24"/>
          <w:lang w:val="en-US" w:eastAsia="zh-CN"/>
        </w:rPr>
        <w:t>代理机构</w:t>
      </w:r>
      <w:r>
        <w:rPr>
          <w:rFonts w:hint="eastAsia" w:ascii="宋体" w:hAnsi="宋体"/>
          <w:color w:val="auto"/>
          <w:sz w:val="24"/>
        </w:rPr>
        <w:t>将对响应谈判供应商对谈判文件的疑问予以澄清。如有必要，采购</w:t>
      </w:r>
      <w:r>
        <w:rPr>
          <w:rFonts w:hint="eastAsia" w:ascii="宋体" w:hAnsi="宋体"/>
          <w:color w:val="auto"/>
          <w:sz w:val="24"/>
          <w:lang w:val="en-US" w:eastAsia="zh-CN"/>
        </w:rPr>
        <w:t>代理机构</w:t>
      </w:r>
      <w:r>
        <w:rPr>
          <w:rFonts w:hint="eastAsia" w:ascii="宋体" w:hAnsi="宋体"/>
          <w:color w:val="auto"/>
          <w:sz w:val="24"/>
        </w:rPr>
        <w:t>将澄清内容形成澄清文件（包括对需澄清问题的说明，但不指明问题的来源）上传“政采云”平台</w:t>
      </w:r>
      <w:r>
        <w:rPr>
          <w:rFonts w:ascii="宋体" w:hAnsi="宋体"/>
          <w:color w:val="auto"/>
          <w:sz w:val="24"/>
        </w:rPr>
        <w:t>，</w:t>
      </w:r>
      <w:r>
        <w:rPr>
          <w:rFonts w:hint="eastAsia" w:ascii="宋体" w:hAnsi="宋体"/>
          <w:color w:val="auto"/>
          <w:sz w:val="24"/>
        </w:rPr>
        <w:t>同时在发布公告媒介上</w:t>
      </w:r>
      <w:r>
        <w:rPr>
          <w:rFonts w:ascii="宋体" w:hAnsi="宋体"/>
          <w:color w:val="auto"/>
          <w:sz w:val="24"/>
        </w:rPr>
        <w:t>发布公告，</w:t>
      </w:r>
      <w:r>
        <w:rPr>
          <w:rFonts w:hint="eastAsia" w:ascii="宋体" w:hAnsi="宋体"/>
          <w:color w:val="auto"/>
          <w:sz w:val="24"/>
        </w:rPr>
        <w:t>以供所有报名参加竞争性</w:t>
      </w:r>
      <w:r>
        <w:rPr>
          <w:rFonts w:ascii="宋体" w:hAnsi="宋体"/>
          <w:color w:val="auto"/>
          <w:sz w:val="24"/>
        </w:rPr>
        <w:t>谈判</w:t>
      </w:r>
      <w:r>
        <w:rPr>
          <w:rFonts w:hint="eastAsia" w:ascii="宋体" w:hAnsi="宋体"/>
          <w:color w:val="auto"/>
          <w:sz w:val="24"/>
        </w:rPr>
        <w:t>的响应谈判供应商下载。</w:t>
      </w:r>
    </w:p>
    <w:p w14:paraId="263254A0">
      <w:pPr>
        <w:tabs>
          <w:tab w:val="left" w:pos="4214"/>
        </w:tabs>
        <w:spacing w:line="360" w:lineRule="auto"/>
        <w:rPr>
          <w:rFonts w:ascii="宋体" w:hAnsi="宋体"/>
          <w:color w:val="auto"/>
          <w:sz w:val="24"/>
        </w:rPr>
      </w:pPr>
      <w:r>
        <w:rPr>
          <w:rFonts w:ascii="宋体" w:hAnsi="宋体"/>
          <w:color w:val="auto"/>
          <w:sz w:val="24"/>
        </w:rPr>
        <w:t>13.3</w:t>
      </w:r>
      <w:r>
        <w:rPr>
          <w:rFonts w:hint="eastAsia" w:ascii="宋体" w:hAnsi="宋体"/>
          <w:color w:val="auto"/>
          <w:sz w:val="24"/>
        </w:rPr>
        <w:t>该澄清文件作为谈判文件的组成部分，具有约束作用。</w:t>
      </w:r>
    </w:p>
    <w:p w14:paraId="3ED23E6C">
      <w:pPr>
        <w:tabs>
          <w:tab w:val="left" w:pos="4214"/>
        </w:tabs>
        <w:spacing w:line="360" w:lineRule="auto"/>
        <w:rPr>
          <w:rFonts w:ascii="宋体" w:hAnsi="宋体"/>
          <w:color w:val="auto"/>
          <w:sz w:val="24"/>
        </w:rPr>
      </w:pPr>
      <w:r>
        <w:rPr>
          <w:rFonts w:hint="eastAsia" w:ascii="宋体" w:hAnsi="宋体"/>
          <w:color w:val="auto"/>
          <w:sz w:val="24"/>
        </w:rPr>
        <w:t>13.4澄清发出的时间距谈判文件</w:t>
      </w:r>
      <w:r>
        <w:rPr>
          <w:rFonts w:ascii="宋体" w:hAnsi="宋体"/>
          <w:color w:val="auto"/>
          <w:sz w:val="24"/>
        </w:rPr>
        <w:t>规定的</w:t>
      </w:r>
      <w:r>
        <w:rPr>
          <w:rFonts w:hint="eastAsia" w:ascii="宋体" w:hAnsi="宋体"/>
          <w:color w:val="auto"/>
          <w:sz w:val="24"/>
        </w:rPr>
        <w:t>谈判截止时间不足</w:t>
      </w:r>
      <w:r>
        <w:rPr>
          <w:rFonts w:ascii="宋体" w:hAnsi="宋体"/>
          <w:color w:val="auto"/>
          <w:sz w:val="24"/>
        </w:rPr>
        <w:t>3</w:t>
      </w:r>
      <w:r>
        <w:rPr>
          <w:rFonts w:hint="eastAsia" w:ascii="宋体" w:hAnsi="宋体"/>
          <w:color w:val="auto"/>
          <w:sz w:val="24"/>
        </w:rPr>
        <w:t>个</w:t>
      </w:r>
      <w:r>
        <w:rPr>
          <w:rFonts w:ascii="宋体" w:hAnsi="宋体"/>
          <w:color w:val="auto"/>
          <w:sz w:val="24"/>
        </w:rPr>
        <w:t>工作</w:t>
      </w:r>
      <w:r>
        <w:rPr>
          <w:rFonts w:hint="eastAsia" w:ascii="宋体" w:hAnsi="宋体"/>
          <w:color w:val="auto"/>
          <w:sz w:val="24"/>
        </w:rPr>
        <w:t>日的，并且澄清内容可能影响谈判响应文件编制的，将相应延长谈判截止时间。</w:t>
      </w:r>
    </w:p>
    <w:p w14:paraId="4A3BC8A9">
      <w:pPr>
        <w:spacing w:line="360" w:lineRule="auto"/>
        <w:rPr>
          <w:rFonts w:ascii="宋体" w:hAnsi="宋体"/>
          <w:b/>
          <w:color w:val="auto"/>
          <w:sz w:val="24"/>
        </w:rPr>
      </w:pPr>
      <w:r>
        <w:rPr>
          <w:rFonts w:hint="eastAsia" w:ascii="宋体" w:hAnsi="宋体"/>
          <w:b/>
          <w:color w:val="auto"/>
          <w:sz w:val="24"/>
        </w:rPr>
        <w:t>14.谈判文件的修改</w:t>
      </w:r>
    </w:p>
    <w:p w14:paraId="0812E4EB">
      <w:pPr>
        <w:spacing w:line="360" w:lineRule="auto"/>
        <w:rPr>
          <w:rFonts w:ascii="宋体" w:hAnsi="宋体"/>
          <w:color w:val="auto"/>
          <w:sz w:val="24"/>
        </w:rPr>
      </w:pPr>
      <w:r>
        <w:rPr>
          <w:rFonts w:hint="eastAsia" w:ascii="宋体" w:hAnsi="宋体"/>
          <w:color w:val="auto"/>
          <w:sz w:val="24"/>
        </w:rPr>
        <w:t>14.1谈判文件发出以后，在上传谈判响应文件截止时间之前，应响应谈判供应商的疑问和采购人的要求，采购机构可以对谈判文件进行必要的修改和补充。</w:t>
      </w:r>
    </w:p>
    <w:p w14:paraId="2377370C">
      <w:pPr>
        <w:spacing w:line="360" w:lineRule="auto"/>
        <w:rPr>
          <w:rFonts w:ascii="宋体" w:hAnsi="宋体"/>
          <w:color w:val="auto"/>
          <w:sz w:val="24"/>
        </w:rPr>
      </w:pPr>
      <w:r>
        <w:rPr>
          <w:rFonts w:hint="eastAsia" w:ascii="宋体" w:hAnsi="宋体"/>
          <w:color w:val="auto"/>
          <w:sz w:val="24"/>
        </w:rPr>
        <w:t>14.2采购机构对谈判文件的修改和补充将形成变更文件上传至“政采云”平台，同时在发布公告媒介上</w:t>
      </w:r>
      <w:r>
        <w:rPr>
          <w:rFonts w:ascii="宋体" w:hAnsi="宋体"/>
          <w:color w:val="auto"/>
          <w:sz w:val="24"/>
        </w:rPr>
        <w:t>发布公告，</w:t>
      </w:r>
      <w:r>
        <w:rPr>
          <w:rFonts w:hint="eastAsia" w:ascii="宋体" w:hAnsi="宋体"/>
          <w:color w:val="auto"/>
          <w:sz w:val="24"/>
        </w:rPr>
        <w:t>以供所有报名参加谈判的响应谈判供应商下载。</w:t>
      </w:r>
    </w:p>
    <w:p w14:paraId="2915F54B">
      <w:pPr>
        <w:tabs>
          <w:tab w:val="left" w:pos="4214"/>
        </w:tabs>
        <w:spacing w:line="360" w:lineRule="auto"/>
        <w:rPr>
          <w:rFonts w:ascii="宋体" w:hAnsi="宋体"/>
          <w:color w:val="auto"/>
          <w:sz w:val="24"/>
        </w:rPr>
      </w:pPr>
      <w:r>
        <w:rPr>
          <w:rFonts w:hint="eastAsia" w:ascii="宋体" w:hAnsi="宋体"/>
          <w:color w:val="auto"/>
          <w:sz w:val="24"/>
        </w:rPr>
        <w:t>14.3该变更文件作为谈判文件的组成部分，具有约束作用。</w:t>
      </w:r>
    </w:p>
    <w:p w14:paraId="10287E83">
      <w:pPr>
        <w:tabs>
          <w:tab w:val="left" w:pos="4214"/>
        </w:tabs>
        <w:spacing w:line="360" w:lineRule="auto"/>
        <w:rPr>
          <w:rFonts w:ascii="宋体" w:hAnsi="宋体"/>
          <w:b/>
          <w:color w:val="auto"/>
          <w:sz w:val="24"/>
        </w:rPr>
      </w:pPr>
      <w:r>
        <w:rPr>
          <w:rFonts w:ascii="宋体" w:hAnsi="宋体"/>
          <w:color w:val="auto"/>
          <w:sz w:val="24"/>
        </w:rPr>
        <w:t>14.4</w:t>
      </w:r>
      <w:r>
        <w:rPr>
          <w:rFonts w:hint="eastAsia" w:ascii="宋体" w:hAnsi="宋体"/>
          <w:color w:val="auto"/>
          <w:sz w:val="24"/>
        </w:rPr>
        <w:t>变更发出的时间距谈判文件规定的谈判截止时间不足</w:t>
      </w:r>
      <w:r>
        <w:rPr>
          <w:rFonts w:ascii="宋体" w:hAnsi="宋体"/>
          <w:color w:val="auto"/>
          <w:sz w:val="24"/>
        </w:rPr>
        <w:t>3</w:t>
      </w:r>
      <w:r>
        <w:rPr>
          <w:rFonts w:hint="eastAsia" w:ascii="宋体" w:hAnsi="宋体"/>
          <w:color w:val="auto"/>
          <w:sz w:val="24"/>
        </w:rPr>
        <w:t>个</w:t>
      </w:r>
      <w:r>
        <w:rPr>
          <w:rFonts w:ascii="宋体" w:hAnsi="宋体"/>
          <w:color w:val="auto"/>
          <w:sz w:val="24"/>
        </w:rPr>
        <w:t>工作</w:t>
      </w:r>
      <w:r>
        <w:rPr>
          <w:rFonts w:hint="eastAsia" w:ascii="宋体" w:hAnsi="宋体"/>
          <w:color w:val="auto"/>
          <w:sz w:val="24"/>
        </w:rPr>
        <w:t>日的，并且变更内容可能影响谈判响应文件编制的，为使响应谈判供应商在编制谈判响应文件时有充分的时间对谈判文件的修改、补充等内容进行研究，采购机构将相应延长谈判截止时间，具体时间将在谈判文件的变更公告中予以明确。</w:t>
      </w:r>
    </w:p>
    <w:p w14:paraId="75E0ACEC">
      <w:pPr>
        <w:spacing w:line="360" w:lineRule="auto"/>
        <w:jc w:val="center"/>
        <w:outlineLvl w:val="1"/>
        <w:rPr>
          <w:rFonts w:ascii="宋体" w:hAnsi="宋体"/>
          <w:color w:val="auto"/>
          <w:sz w:val="24"/>
        </w:rPr>
      </w:pPr>
      <w:bookmarkStart w:id="10" w:name="_Toc103723520"/>
      <w:r>
        <w:rPr>
          <w:rFonts w:hint="eastAsia" w:ascii="宋体" w:hAnsi="宋体"/>
          <w:b/>
          <w:color w:val="auto"/>
          <w:sz w:val="28"/>
        </w:rPr>
        <w:t>四、谈判响应文件</w:t>
      </w:r>
      <w:bookmarkEnd w:id="10"/>
    </w:p>
    <w:p w14:paraId="2E7002FA">
      <w:pPr>
        <w:spacing w:line="360" w:lineRule="auto"/>
        <w:rPr>
          <w:rFonts w:ascii="宋体" w:hAnsi="宋体"/>
          <w:b/>
          <w:color w:val="auto"/>
          <w:sz w:val="24"/>
        </w:rPr>
      </w:pPr>
      <w:r>
        <w:rPr>
          <w:rFonts w:hint="eastAsia" w:ascii="宋体" w:hAnsi="宋体"/>
          <w:b/>
          <w:color w:val="auto"/>
          <w:sz w:val="24"/>
        </w:rPr>
        <w:t>15.谈判响应文件的组成</w:t>
      </w:r>
    </w:p>
    <w:p w14:paraId="565642E9">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1</w:t>
      </w:r>
      <w:r>
        <w:rPr>
          <w:rFonts w:hint="eastAsia" w:ascii="宋体" w:hAnsi="宋体"/>
          <w:color w:val="auto"/>
          <w:sz w:val="24"/>
          <w:lang w:eastAsia="zh-CN"/>
        </w:rPr>
        <w:t>）谈判响应函</w:t>
      </w:r>
      <w:r>
        <w:rPr>
          <w:rFonts w:hint="eastAsia" w:ascii="宋体" w:hAnsi="宋体"/>
          <w:color w:val="auto"/>
          <w:sz w:val="24"/>
          <w:lang w:eastAsia="zh-CN"/>
        </w:rPr>
        <w:br w:type="textWrapping"/>
      </w:r>
      <w:r>
        <w:rPr>
          <w:rFonts w:hint="eastAsia" w:ascii="宋体" w:hAnsi="宋体"/>
          <w:color w:val="auto"/>
          <w:sz w:val="24"/>
          <w:lang w:eastAsia="zh-CN"/>
        </w:rPr>
        <w:t>（</w:t>
      </w:r>
      <w:r>
        <w:rPr>
          <w:rFonts w:hint="eastAsia" w:ascii="宋体" w:hAnsi="宋体"/>
          <w:color w:val="auto"/>
          <w:sz w:val="24"/>
          <w:lang w:val="en-US" w:eastAsia="zh-CN"/>
        </w:rPr>
        <w:t>2</w:t>
      </w:r>
      <w:r>
        <w:rPr>
          <w:rFonts w:hint="eastAsia" w:ascii="宋体" w:hAnsi="宋体"/>
          <w:color w:val="auto"/>
          <w:sz w:val="24"/>
          <w:lang w:eastAsia="zh-CN"/>
        </w:rPr>
        <w:t>）谈判响应首次报价表</w:t>
      </w:r>
      <w:r>
        <w:rPr>
          <w:rFonts w:hint="eastAsia" w:ascii="宋体" w:hAnsi="宋体"/>
          <w:color w:val="auto"/>
          <w:sz w:val="24"/>
          <w:lang w:eastAsia="zh-CN"/>
        </w:rPr>
        <w:br w:type="textWrapping"/>
      </w:r>
      <w:r>
        <w:rPr>
          <w:rFonts w:hint="eastAsia" w:ascii="宋体" w:hAnsi="宋体"/>
          <w:color w:val="auto"/>
          <w:sz w:val="24"/>
          <w:lang w:eastAsia="zh-CN"/>
        </w:rPr>
        <w:t>（</w:t>
      </w:r>
      <w:r>
        <w:rPr>
          <w:rFonts w:hint="eastAsia" w:ascii="宋体" w:hAnsi="宋体"/>
          <w:color w:val="auto"/>
          <w:sz w:val="24"/>
          <w:lang w:val="en-US" w:eastAsia="zh-CN"/>
        </w:rPr>
        <w:t>3</w:t>
      </w:r>
      <w:r>
        <w:rPr>
          <w:rFonts w:hint="eastAsia" w:ascii="宋体" w:hAnsi="宋体"/>
          <w:color w:val="auto"/>
          <w:sz w:val="24"/>
          <w:lang w:eastAsia="zh-CN"/>
        </w:rPr>
        <w:t>）法定代表人资格证明书</w:t>
      </w:r>
    </w:p>
    <w:p w14:paraId="3212DA50">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4</w:t>
      </w:r>
      <w:r>
        <w:rPr>
          <w:rFonts w:hint="eastAsia" w:ascii="宋体" w:hAnsi="宋体"/>
          <w:color w:val="auto"/>
          <w:sz w:val="24"/>
          <w:lang w:eastAsia="zh-CN"/>
        </w:rPr>
        <w:t>）法定代表人授权书</w:t>
      </w:r>
    </w:p>
    <w:p w14:paraId="417E9987">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5</w:t>
      </w:r>
      <w:r>
        <w:rPr>
          <w:rFonts w:hint="eastAsia" w:ascii="宋体" w:hAnsi="宋体"/>
          <w:color w:val="auto"/>
          <w:sz w:val="24"/>
          <w:lang w:eastAsia="zh-CN"/>
        </w:rPr>
        <w:t>）响应报价汇总表</w:t>
      </w:r>
    </w:p>
    <w:p w14:paraId="11C5B14B">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6</w:t>
      </w:r>
      <w:r>
        <w:rPr>
          <w:rFonts w:hint="eastAsia" w:ascii="宋体" w:hAnsi="宋体"/>
          <w:color w:val="auto"/>
          <w:sz w:val="24"/>
          <w:lang w:eastAsia="zh-CN"/>
        </w:rPr>
        <w:t>）响应报价明细表</w:t>
      </w:r>
    </w:p>
    <w:p w14:paraId="589EC3EC">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7</w:t>
      </w:r>
      <w:r>
        <w:rPr>
          <w:rFonts w:hint="eastAsia" w:ascii="宋体" w:hAnsi="宋体"/>
          <w:color w:val="auto"/>
          <w:sz w:val="24"/>
          <w:lang w:eastAsia="zh-CN"/>
        </w:rPr>
        <w:t>）资格条件承诺函</w:t>
      </w:r>
    </w:p>
    <w:p w14:paraId="51FAFD7B">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8</w:t>
      </w:r>
      <w:r>
        <w:rPr>
          <w:rFonts w:hint="eastAsia" w:ascii="宋体" w:hAnsi="宋体"/>
          <w:color w:val="auto"/>
          <w:sz w:val="24"/>
          <w:lang w:eastAsia="zh-CN"/>
        </w:rPr>
        <w:t>）响应谈判供应商简介</w:t>
      </w:r>
    </w:p>
    <w:p w14:paraId="3BD8771C">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9</w:t>
      </w:r>
      <w:r>
        <w:rPr>
          <w:rFonts w:hint="eastAsia" w:ascii="宋体" w:hAnsi="宋体"/>
          <w:color w:val="auto"/>
          <w:sz w:val="24"/>
          <w:lang w:eastAsia="zh-CN"/>
        </w:rPr>
        <w:t>）项目方案</w:t>
      </w:r>
    </w:p>
    <w:p w14:paraId="3C2764D9">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10</w:t>
      </w:r>
      <w:r>
        <w:rPr>
          <w:rFonts w:hint="eastAsia" w:ascii="宋体" w:hAnsi="宋体"/>
          <w:color w:val="auto"/>
          <w:sz w:val="24"/>
          <w:lang w:eastAsia="zh-CN"/>
        </w:rPr>
        <w:t>）技术偏离表</w:t>
      </w:r>
    </w:p>
    <w:p w14:paraId="0758D8F7">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11</w:t>
      </w:r>
      <w:r>
        <w:rPr>
          <w:rFonts w:hint="eastAsia" w:ascii="宋体" w:hAnsi="宋体"/>
          <w:color w:val="auto"/>
          <w:sz w:val="24"/>
          <w:lang w:eastAsia="zh-CN"/>
        </w:rPr>
        <w:t>）节能产品清单说明表</w:t>
      </w:r>
    </w:p>
    <w:p w14:paraId="44BEAFE7">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12</w:t>
      </w:r>
      <w:r>
        <w:rPr>
          <w:rFonts w:hint="eastAsia" w:ascii="宋体" w:hAnsi="宋体"/>
          <w:color w:val="auto"/>
          <w:sz w:val="24"/>
          <w:lang w:eastAsia="zh-CN"/>
        </w:rPr>
        <w:t>）环境标志产品清单说明表</w:t>
      </w:r>
    </w:p>
    <w:p w14:paraId="4D2623E0">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13</w:t>
      </w:r>
      <w:r>
        <w:rPr>
          <w:rFonts w:hint="eastAsia" w:ascii="宋体" w:hAnsi="宋体"/>
          <w:color w:val="auto"/>
          <w:sz w:val="24"/>
          <w:lang w:eastAsia="zh-CN"/>
        </w:rPr>
        <w:t>）响应谈判提交的其他技术文件</w:t>
      </w:r>
    </w:p>
    <w:p w14:paraId="10A794F5">
      <w:pPr>
        <w:spacing w:line="360" w:lineRule="auto"/>
        <w:ind w:left="239" w:leftChars="114" w:firstLine="0" w:firstLineChars="0"/>
        <w:rPr>
          <w:rFonts w:hint="eastAsia" w:ascii="宋体" w:hAnsi="宋体"/>
          <w:color w:val="auto"/>
          <w:sz w:val="24"/>
          <w:lang w:eastAsia="zh-CN"/>
        </w:rPr>
      </w:pPr>
      <w:r>
        <w:rPr>
          <w:rFonts w:hint="eastAsia" w:ascii="宋体" w:hAnsi="宋体"/>
          <w:color w:val="auto"/>
          <w:sz w:val="24"/>
          <w:lang w:eastAsia="zh-CN"/>
        </w:rPr>
        <w:t>（</w:t>
      </w:r>
      <w:r>
        <w:rPr>
          <w:rFonts w:hint="eastAsia" w:ascii="宋体" w:hAnsi="宋体"/>
          <w:color w:val="auto"/>
          <w:sz w:val="24"/>
          <w:lang w:val="en-US" w:eastAsia="zh-CN"/>
        </w:rPr>
        <w:t>14</w:t>
      </w:r>
      <w:r>
        <w:rPr>
          <w:rFonts w:hint="eastAsia" w:ascii="宋体" w:hAnsi="宋体"/>
          <w:color w:val="auto"/>
          <w:sz w:val="24"/>
          <w:lang w:eastAsia="zh-CN"/>
        </w:rPr>
        <w:t>）资格证明文件</w:t>
      </w:r>
    </w:p>
    <w:p w14:paraId="012E6A29">
      <w:pPr>
        <w:spacing w:line="360" w:lineRule="auto"/>
        <w:ind w:left="239" w:leftChars="114" w:firstLine="0" w:firstLineChars="0"/>
        <w:rPr>
          <w:rFonts w:hint="eastAsia" w:ascii="宋体" w:hAnsi="宋体"/>
          <w:color w:val="auto"/>
          <w:sz w:val="24"/>
          <w:lang w:val="en-US" w:eastAsia="zh-CN"/>
        </w:rPr>
      </w:pPr>
      <w:r>
        <w:rPr>
          <w:rFonts w:hint="eastAsia" w:ascii="宋体" w:hAnsi="宋体"/>
          <w:color w:val="auto"/>
          <w:sz w:val="24"/>
          <w:lang w:eastAsia="zh-CN"/>
        </w:rPr>
        <w:t>（</w:t>
      </w:r>
      <w:r>
        <w:rPr>
          <w:rFonts w:hint="eastAsia" w:ascii="宋体" w:hAnsi="宋体"/>
          <w:color w:val="auto"/>
          <w:sz w:val="24"/>
          <w:lang w:val="en-US" w:eastAsia="zh-CN"/>
        </w:rPr>
        <w:t>15</w:t>
      </w:r>
      <w:r>
        <w:rPr>
          <w:rFonts w:hint="eastAsia" w:ascii="宋体" w:hAnsi="宋体"/>
          <w:color w:val="auto"/>
          <w:sz w:val="24"/>
          <w:lang w:eastAsia="zh-CN"/>
        </w:rPr>
        <w:t>）中小企业声明函</w:t>
      </w:r>
      <w:r>
        <w:rPr>
          <w:rFonts w:hint="eastAsia" w:ascii="宋体" w:hAnsi="宋体"/>
          <w:color w:val="auto"/>
          <w:sz w:val="24"/>
          <w:lang w:eastAsia="zh-CN"/>
        </w:rPr>
        <w:br w:type="textWrapping"/>
      </w:r>
      <w:r>
        <w:rPr>
          <w:rFonts w:hint="eastAsia" w:ascii="宋体" w:hAnsi="宋体"/>
          <w:color w:val="auto"/>
          <w:sz w:val="24"/>
          <w:lang w:val="en-US" w:eastAsia="zh-CN"/>
        </w:rPr>
        <w:t>附件</w:t>
      </w:r>
    </w:p>
    <w:p w14:paraId="4BE71D74">
      <w:pPr>
        <w:spacing w:line="360" w:lineRule="auto"/>
        <w:rPr>
          <w:rFonts w:ascii="宋体" w:hAnsi="宋体"/>
          <w:b/>
          <w:color w:val="auto"/>
          <w:sz w:val="24"/>
        </w:rPr>
      </w:pPr>
      <w:r>
        <w:rPr>
          <w:rFonts w:hint="eastAsia" w:ascii="宋体" w:hAnsi="宋体"/>
          <w:b/>
          <w:color w:val="auto"/>
          <w:sz w:val="24"/>
        </w:rPr>
        <w:t>16.谈判</w:t>
      </w:r>
      <w:r>
        <w:rPr>
          <w:rFonts w:ascii="宋体" w:hAnsi="宋体"/>
          <w:b/>
          <w:color w:val="auto"/>
          <w:sz w:val="24"/>
        </w:rPr>
        <w:t>响应</w:t>
      </w:r>
      <w:r>
        <w:rPr>
          <w:rFonts w:hint="eastAsia" w:ascii="宋体" w:hAnsi="宋体"/>
          <w:b/>
          <w:color w:val="auto"/>
          <w:sz w:val="24"/>
        </w:rPr>
        <w:t>报价</w:t>
      </w:r>
    </w:p>
    <w:p w14:paraId="75E6C454">
      <w:pPr>
        <w:spacing w:line="360" w:lineRule="auto"/>
        <w:rPr>
          <w:rFonts w:ascii="宋体" w:hAnsi="宋体"/>
          <w:color w:val="auto"/>
          <w:sz w:val="24"/>
        </w:rPr>
      </w:pPr>
      <w:r>
        <w:rPr>
          <w:rFonts w:hint="eastAsia" w:ascii="宋体" w:hAnsi="宋体"/>
          <w:color w:val="auto"/>
          <w:sz w:val="24"/>
        </w:rPr>
        <w:t>1</w:t>
      </w:r>
      <w:r>
        <w:rPr>
          <w:rFonts w:ascii="宋体" w:hAnsi="宋体"/>
          <w:color w:val="auto"/>
          <w:sz w:val="24"/>
        </w:rPr>
        <w:t>6</w:t>
      </w:r>
      <w:r>
        <w:rPr>
          <w:rFonts w:hint="eastAsia" w:ascii="宋体" w:hAnsi="宋体"/>
          <w:color w:val="auto"/>
          <w:sz w:val="24"/>
        </w:rPr>
        <w:t>.1本项目谈判报价采用本须知前附表中所规定的方式，所有谈判响应报价均以人民币元为计算单位。谈判响应报价应当是供应商履行本项目合同的最终价格。响应谈判供应商</w:t>
      </w:r>
      <w:r>
        <w:rPr>
          <w:rFonts w:ascii="宋体" w:hAnsi="宋体"/>
          <w:color w:val="auto"/>
          <w:sz w:val="24"/>
        </w:rPr>
        <w:t>的</w:t>
      </w:r>
      <w:r>
        <w:rPr>
          <w:rFonts w:hint="eastAsia" w:ascii="宋体" w:hAnsi="宋体"/>
          <w:color w:val="auto"/>
          <w:sz w:val="24"/>
        </w:rPr>
        <w:t>报</w:t>
      </w:r>
      <w:r>
        <w:rPr>
          <w:rFonts w:ascii="宋体" w:hAnsi="宋体"/>
          <w:color w:val="auto"/>
          <w:sz w:val="24"/>
        </w:rPr>
        <w:t>价应</w:t>
      </w:r>
      <w:r>
        <w:rPr>
          <w:rFonts w:hint="eastAsia" w:ascii="宋体" w:hAnsi="宋体"/>
          <w:color w:val="auto"/>
          <w:sz w:val="24"/>
        </w:rPr>
        <w:t>包括货款、标准附件、备品备件、专用工具、包装、运输、装卸、保险、税金、安装到位、调试、培训、保修等一切税金和费用。</w:t>
      </w:r>
    </w:p>
    <w:p w14:paraId="3615A7A2">
      <w:pPr>
        <w:spacing w:line="360" w:lineRule="auto"/>
        <w:rPr>
          <w:rFonts w:ascii="宋体" w:hAnsi="宋体"/>
          <w:color w:val="auto"/>
          <w:sz w:val="24"/>
        </w:rPr>
      </w:pPr>
      <w:r>
        <w:rPr>
          <w:rFonts w:hint="eastAsia" w:ascii="宋体" w:hAnsi="宋体"/>
          <w:color w:val="auto"/>
          <w:sz w:val="24"/>
        </w:rPr>
        <w:t>16.2响应谈判供应商所报的价格</w:t>
      </w:r>
      <w:r>
        <w:rPr>
          <w:rFonts w:ascii="宋体" w:hAnsi="宋体"/>
          <w:color w:val="auto"/>
          <w:sz w:val="24"/>
        </w:rPr>
        <w:t>(</w:t>
      </w:r>
      <w:r>
        <w:rPr>
          <w:rFonts w:hint="eastAsia" w:ascii="宋体" w:hAnsi="宋体"/>
          <w:color w:val="auto"/>
          <w:sz w:val="24"/>
        </w:rPr>
        <w:t>包括成本、利润、税金等因素</w:t>
      </w:r>
      <w:r>
        <w:rPr>
          <w:rFonts w:ascii="宋体" w:hAnsi="宋体"/>
          <w:color w:val="auto"/>
          <w:sz w:val="24"/>
        </w:rPr>
        <w:t>)</w:t>
      </w:r>
      <w:r>
        <w:rPr>
          <w:rFonts w:hint="eastAsia" w:ascii="宋体" w:hAnsi="宋体"/>
          <w:color w:val="auto"/>
          <w:sz w:val="24"/>
        </w:rPr>
        <w:t>在合同实施期间保持不变，它不应因劳务、材料、机械等的价格变动而做任何调整。在合同有效期和其必要的延长期内也不因通货膨胀、利率升降、税收变化等因素而作任何调整。</w:t>
      </w:r>
    </w:p>
    <w:p w14:paraId="1C6F30F9">
      <w:pPr>
        <w:spacing w:line="360" w:lineRule="auto"/>
        <w:rPr>
          <w:rFonts w:ascii="宋体" w:hAnsi="宋体"/>
          <w:color w:val="auto"/>
          <w:sz w:val="24"/>
        </w:rPr>
      </w:pPr>
      <w:r>
        <w:rPr>
          <w:rFonts w:hint="eastAsia" w:ascii="宋体" w:hAnsi="宋体"/>
          <w:color w:val="auto"/>
          <w:sz w:val="24"/>
        </w:rPr>
        <w:t>16.3</w:t>
      </w:r>
      <w:r>
        <w:rPr>
          <w:rFonts w:hint="eastAsia" w:ascii="宋体" w:hAnsi="宋体"/>
          <w:bCs/>
          <w:color w:val="auto"/>
          <w:sz w:val="24"/>
        </w:rPr>
        <w:t>响应谈判供应商应按第二章货物需求的要求填写货物需求细目的单价和总价。响应谈判供应商没有填入单价或价格的细目在供货时采购人将不予支付，并认为此细目的费用已包括在货物需求明细的其他单价和价格之中。响应谈判供应商应按给定的货物需求明细列项，货物数量错误、计量单位错误、落项或多报项目者将被视为不符合性响应，其响应将被拒绝。</w:t>
      </w:r>
    </w:p>
    <w:p w14:paraId="299334CF">
      <w:pPr>
        <w:spacing w:line="360" w:lineRule="auto"/>
        <w:rPr>
          <w:rFonts w:ascii="宋体" w:hAnsi="宋体"/>
          <w:color w:val="auto"/>
          <w:sz w:val="24"/>
        </w:rPr>
      </w:pPr>
      <w:r>
        <w:rPr>
          <w:rFonts w:hint="eastAsia" w:ascii="宋体" w:hAnsi="宋体"/>
          <w:color w:val="auto"/>
          <w:sz w:val="24"/>
        </w:rPr>
        <w:t>16.4各响应供应商不得相互串联哄抬标价或恶意压价，出现此种情况者，将被作为废标处理。</w:t>
      </w:r>
    </w:p>
    <w:p w14:paraId="6AAF4176">
      <w:pPr>
        <w:spacing w:line="360" w:lineRule="auto"/>
        <w:rPr>
          <w:rFonts w:ascii="宋体" w:hAnsi="宋体"/>
          <w:b/>
          <w:color w:val="auto"/>
          <w:sz w:val="24"/>
        </w:rPr>
      </w:pPr>
      <w:r>
        <w:rPr>
          <w:rFonts w:ascii="宋体" w:hAnsi="宋体"/>
          <w:b/>
          <w:color w:val="auto"/>
          <w:sz w:val="24"/>
        </w:rPr>
        <w:t>17.</w:t>
      </w:r>
      <w:r>
        <w:rPr>
          <w:rFonts w:hint="eastAsia" w:ascii="宋体" w:hAnsi="宋体"/>
          <w:b/>
          <w:color w:val="auto"/>
          <w:sz w:val="24"/>
        </w:rPr>
        <w:t>谈判响应</w:t>
      </w:r>
      <w:r>
        <w:rPr>
          <w:rFonts w:ascii="宋体" w:hAnsi="宋体"/>
          <w:b/>
          <w:color w:val="auto"/>
          <w:sz w:val="24"/>
        </w:rPr>
        <w:t>报价表</w:t>
      </w:r>
    </w:p>
    <w:p w14:paraId="2C1829E8">
      <w:pPr>
        <w:spacing w:line="360" w:lineRule="auto"/>
        <w:rPr>
          <w:rFonts w:ascii="宋体" w:hAnsi="宋体"/>
          <w:color w:val="auto"/>
          <w:sz w:val="24"/>
        </w:rPr>
      </w:pPr>
      <w:r>
        <w:rPr>
          <w:rFonts w:ascii="宋体" w:hAnsi="宋体"/>
          <w:color w:val="auto"/>
          <w:sz w:val="24"/>
        </w:rPr>
        <w:t>17.1</w:t>
      </w:r>
      <w:r>
        <w:rPr>
          <w:rFonts w:hint="eastAsia" w:ascii="宋体" w:hAnsi="宋体"/>
          <w:color w:val="auto"/>
          <w:sz w:val="24"/>
        </w:rPr>
        <w:t>响应谈判供应商</w:t>
      </w:r>
      <w:r>
        <w:rPr>
          <w:rFonts w:ascii="宋体" w:hAnsi="宋体"/>
          <w:color w:val="auto"/>
          <w:sz w:val="24"/>
        </w:rPr>
        <w:t>须按照谈判文件</w:t>
      </w:r>
      <w:r>
        <w:rPr>
          <w:rFonts w:hint="eastAsia" w:ascii="宋体" w:hAnsi="宋体"/>
          <w:color w:val="auto"/>
          <w:sz w:val="24"/>
        </w:rPr>
        <w:t>的</w:t>
      </w:r>
      <w:r>
        <w:rPr>
          <w:rFonts w:ascii="宋体" w:hAnsi="宋体"/>
          <w:color w:val="auto"/>
          <w:sz w:val="24"/>
        </w:rPr>
        <w:t>要求填写，且在“</w:t>
      </w:r>
      <w:r>
        <w:rPr>
          <w:rFonts w:hint="eastAsia" w:ascii="宋体" w:hAnsi="宋体"/>
          <w:color w:val="auto"/>
          <w:sz w:val="24"/>
        </w:rPr>
        <w:t>政采云</w:t>
      </w:r>
      <w:r>
        <w:rPr>
          <w:rFonts w:ascii="宋体" w:hAnsi="宋体"/>
          <w:color w:val="auto"/>
          <w:sz w:val="24"/>
        </w:rPr>
        <w:t>”</w:t>
      </w:r>
      <w:r>
        <w:rPr>
          <w:rFonts w:hint="eastAsia" w:ascii="宋体" w:hAnsi="宋体"/>
          <w:color w:val="auto"/>
          <w:sz w:val="24"/>
        </w:rPr>
        <w:t>平台</w:t>
      </w:r>
      <w:r>
        <w:rPr>
          <w:rFonts w:ascii="宋体" w:hAnsi="宋体"/>
          <w:color w:val="auto"/>
          <w:sz w:val="24"/>
        </w:rPr>
        <w:t>提交</w:t>
      </w:r>
      <w:r>
        <w:rPr>
          <w:rFonts w:hint="eastAsia" w:ascii="宋体" w:hAnsi="宋体"/>
          <w:color w:val="auto"/>
          <w:sz w:val="24"/>
        </w:rPr>
        <w:t>。</w:t>
      </w:r>
    </w:p>
    <w:p w14:paraId="669AE283">
      <w:pPr>
        <w:spacing w:line="360" w:lineRule="auto"/>
        <w:rPr>
          <w:rFonts w:ascii="宋体" w:hAnsi="宋体"/>
          <w:color w:val="auto"/>
          <w:sz w:val="24"/>
        </w:rPr>
      </w:pPr>
      <w:r>
        <w:rPr>
          <w:rFonts w:ascii="宋体" w:hAnsi="宋体"/>
          <w:color w:val="auto"/>
          <w:sz w:val="24"/>
        </w:rPr>
        <w:t>17.</w:t>
      </w:r>
      <w:r>
        <w:rPr>
          <w:rFonts w:hint="eastAsia" w:ascii="宋体" w:hAnsi="宋体"/>
          <w:color w:val="auto"/>
          <w:sz w:val="24"/>
        </w:rPr>
        <w:t>2如谈判响应报价表内容与谈判响应文件中明细表内容不一致，以谈判响应最终报价表为准。</w:t>
      </w:r>
    </w:p>
    <w:p w14:paraId="2D99698C">
      <w:pPr>
        <w:spacing w:line="360" w:lineRule="auto"/>
        <w:rPr>
          <w:rFonts w:ascii="宋体" w:hAnsi="宋体"/>
          <w:b/>
          <w:color w:val="auto"/>
          <w:sz w:val="24"/>
        </w:rPr>
      </w:pPr>
      <w:r>
        <w:rPr>
          <w:rFonts w:ascii="宋体" w:hAnsi="宋体"/>
          <w:b/>
          <w:color w:val="auto"/>
          <w:sz w:val="24"/>
        </w:rPr>
        <w:t>17.3</w:t>
      </w:r>
      <w:r>
        <w:rPr>
          <w:rFonts w:hint="eastAsia" w:ascii="宋体" w:hAnsi="宋体"/>
          <w:b/>
          <w:color w:val="auto"/>
          <w:sz w:val="24"/>
        </w:rPr>
        <w:t>谈判</w:t>
      </w:r>
      <w:r>
        <w:rPr>
          <w:rFonts w:ascii="宋体" w:hAnsi="宋体"/>
          <w:b/>
          <w:color w:val="auto"/>
          <w:sz w:val="24"/>
        </w:rPr>
        <w:t>响应报价</w:t>
      </w:r>
      <w:r>
        <w:rPr>
          <w:rFonts w:hint="eastAsia" w:ascii="宋体" w:hAnsi="宋体"/>
          <w:b/>
          <w:color w:val="auto"/>
          <w:sz w:val="24"/>
        </w:rPr>
        <w:t>分为</w:t>
      </w:r>
      <w:r>
        <w:rPr>
          <w:rFonts w:ascii="宋体" w:hAnsi="宋体"/>
          <w:b/>
          <w:color w:val="auto"/>
          <w:sz w:val="24"/>
        </w:rPr>
        <w:t>谈判响应首次报价表、谈判响应</w:t>
      </w:r>
      <w:r>
        <w:rPr>
          <w:rFonts w:hint="eastAsia" w:ascii="宋体" w:hAnsi="宋体"/>
          <w:b/>
          <w:color w:val="auto"/>
          <w:sz w:val="24"/>
        </w:rPr>
        <w:t>最终</w:t>
      </w:r>
      <w:r>
        <w:rPr>
          <w:rFonts w:ascii="宋体" w:hAnsi="宋体"/>
          <w:b/>
          <w:color w:val="auto"/>
          <w:sz w:val="24"/>
        </w:rPr>
        <w:t>报价表。</w:t>
      </w:r>
    </w:p>
    <w:p w14:paraId="4E55A942">
      <w:pPr>
        <w:spacing w:line="360" w:lineRule="auto"/>
        <w:rPr>
          <w:rFonts w:ascii="宋体" w:hAnsi="宋体"/>
          <w:b/>
          <w:color w:val="auto"/>
          <w:sz w:val="24"/>
        </w:rPr>
      </w:pPr>
      <w:r>
        <w:rPr>
          <w:rFonts w:hint="eastAsia" w:ascii="宋体" w:hAnsi="宋体"/>
          <w:b/>
          <w:color w:val="auto"/>
          <w:sz w:val="24"/>
        </w:rPr>
        <w:t>谈判</w:t>
      </w:r>
      <w:r>
        <w:rPr>
          <w:rFonts w:ascii="宋体" w:hAnsi="宋体"/>
          <w:b/>
          <w:color w:val="auto"/>
          <w:sz w:val="24"/>
        </w:rPr>
        <w:t>响应首次</w:t>
      </w:r>
      <w:r>
        <w:rPr>
          <w:rFonts w:hint="eastAsia" w:ascii="宋体" w:hAnsi="宋体"/>
          <w:b/>
          <w:color w:val="auto"/>
          <w:sz w:val="24"/>
        </w:rPr>
        <w:t>报价后</w:t>
      </w:r>
      <w:r>
        <w:rPr>
          <w:rFonts w:ascii="宋体" w:hAnsi="宋体"/>
          <w:b/>
          <w:color w:val="auto"/>
          <w:sz w:val="24"/>
        </w:rPr>
        <w:t>谈判小组</w:t>
      </w:r>
      <w:r>
        <w:rPr>
          <w:rFonts w:hint="eastAsia" w:ascii="宋体" w:hAnsi="宋体"/>
          <w:b/>
          <w:color w:val="auto"/>
          <w:sz w:val="24"/>
        </w:rPr>
        <w:t>将在资格</w:t>
      </w:r>
      <w:r>
        <w:rPr>
          <w:rFonts w:ascii="宋体" w:hAnsi="宋体"/>
          <w:b/>
          <w:color w:val="auto"/>
          <w:sz w:val="24"/>
        </w:rPr>
        <w:t>审</w:t>
      </w:r>
      <w:r>
        <w:rPr>
          <w:rFonts w:hint="eastAsia" w:ascii="宋体" w:hAnsi="宋体"/>
          <w:b/>
          <w:color w:val="auto"/>
          <w:sz w:val="24"/>
        </w:rPr>
        <w:t>评审</w:t>
      </w:r>
      <w:r>
        <w:rPr>
          <w:rFonts w:ascii="宋体" w:hAnsi="宋体"/>
          <w:b/>
          <w:color w:val="auto"/>
          <w:sz w:val="24"/>
        </w:rPr>
        <w:t>、符合性</w:t>
      </w:r>
      <w:r>
        <w:rPr>
          <w:rFonts w:hint="eastAsia" w:ascii="宋体" w:hAnsi="宋体"/>
          <w:b/>
          <w:color w:val="auto"/>
          <w:sz w:val="24"/>
        </w:rPr>
        <w:t>评审通过</w:t>
      </w:r>
      <w:r>
        <w:rPr>
          <w:rFonts w:ascii="宋体" w:hAnsi="宋体"/>
          <w:b/>
          <w:color w:val="auto"/>
          <w:sz w:val="24"/>
        </w:rPr>
        <w:t>后发起谈判</w:t>
      </w:r>
      <w:r>
        <w:rPr>
          <w:rFonts w:hint="eastAsia" w:ascii="宋体" w:hAnsi="宋体"/>
          <w:b/>
          <w:color w:val="auto"/>
          <w:sz w:val="24"/>
        </w:rPr>
        <w:t>响应</w:t>
      </w:r>
      <w:r>
        <w:rPr>
          <w:rFonts w:ascii="宋体" w:hAnsi="宋体"/>
          <w:b/>
          <w:color w:val="auto"/>
          <w:sz w:val="24"/>
        </w:rPr>
        <w:t>最终报价，</w:t>
      </w:r>
      <w:r>
        <w:rPr>
          <w:rFonts w:hint="eastAsia" w:ascii="宋体" w:hAnsi="宋体"/>
          <w:b/>
          <w:color w:val="auto"/>
          <w:sz w:val="24"/>
        </w:rPr>
        <w:t>响应</w:t>
      </w:r>
      <w:r>
        <w:rPr>
          <w:rFonts w:ascii="宋体" w:hAnsi="宋体"/>
          <w:b/>
          <w:color w:val="auto"/>
          <w:sz w:val="24"/>
        </w:rPr>
        <w:t>谈判供应商</w:t>
      </w:r>
      <w:r>
        <w:rPr>
          <w:rFonts w:hint="eastAsia" w:ascii="宋体" w:hAnsi="宋体"/>
          <w:b/>
          <w:color w:val="auto"/>
          <w:sz w:val="24"/>
        </w:rPr>
        <w:t>代表须</w:t>
      </w:r>
      <w:r>
        <w:rPr>
          <w:rFonts w:ascii="宋体" w:hAnsi="宋体"/>
          <w:b/>
          <w:color w:val="auto"/>
          <w:sz w:val="24"/>
        </w:rPr>
        <w:t>在谈判小组发起的报价</w:t>
      </w:r>
      <w:r>
        <w:rPr>
          <w:rFonts w:hint="eastAsia" w:ascii="宋体" w:hAnsi="宋体"/>
          <w:b/>
          <w:color w:val="auto"/>
          <w:sz w:val="24"/>
        </w:rPr>
        <w:t>时限</w:t>
      </w:r>
      <w:r>
        <w:rPr>
          <w:rFonts w:ascii="宋体" w:hAnsi="宋体"/>
          <w:b/>
          <w:color w:val="auto"/>
          <w:sz w:val="24"/>
        </w:rPr>
        <w:t>内提交</w:t>
      </w:r>
      <w:r>
        <w:rPr>
          <w:rFonts w:hint="eastAsia" w:ascii="宋体" w:hAnsi="宋体"/>
          <w:b/>
          <w:color w:val="auto"/>
          <w:sz w:val="24"/>
        </w:rPr>
        <w:t>谈判</w:t>
      </w:r>
      <w:r>
        <w:rPr>
          <w:rFonts w:ascii="宋体" w:hAnsi="宋体"/>
          <w:b/>
          <w:color w:val="auto"/>
          <w:sz w:val="24"/>
        </w:rPr>
        <w:t>响应最终报价</w:t>
      </w:r>
      <w:r>
        <w:rPr>
          <w:rFonts w:hint="eastAsia" w:ascii="宋体" w:hAnsi="宋体"/>
          <w:b/>
          <w:color w:val="auto"/>
          <w:sz w:val="24"/>
        </w:rPr>
        <w:t>。</w:t>
      </w:r>
    </w:p>
    <w:p w14:paraId="160F3DC5">
      <w:pPr>
        <w:autoSpaceDE w:val="0"/>
        <w:autoSpaceDN w:val="0"/>
        <w:adjustRightInd w:val="0"/>
        <w:spacing w:before="60" w:after="60" w:line="360" w:lineRule="auto"/>
        <w:rPr>
          <w:rFonts w:cs="宋体"/>
          <w:b/>
          <w:color w:val="auto"/>
          <w:sz w:val="24"/>
        </w:rPr>
      </w:pPr>
      <w:r>
        <w:rPr>
          <w:rFonts w:hint="eastAsia" w:ascii="宋体" w:hAnsi="宋体"/>
          <w:b/>
          <w:color w:val="auto"/>
          <w:sz w:val="24"/>
        </w:rPr>
        <w:t>17.4</w:t>
      </w:r>
      <w:r>
        <w:rPr>
          <w:rFonts w:hint="eastAsia" w:cs="宋体"/>
          <w:b/>
          <w:color w:val="auto"/>
          <w:sz w:val="24"/>
        </w:rPr>
        <w:t>在线谈判</w:t>
      </w:r>
      <w:r>
        <w:rPr>
          <w:rFonts w:cs="宋体"/>
          <w:b/>
          <w:color w:val="auto"/>
          <w:sz w:val="24"/>
        </w:rPr>
        <w:t>时间和提交</w:t>
      </w:r>
      <w:r>
        <w:rPr>
          <w:rFonts w:hint="eastAsia" w:cs="宋体"/>
          <w:b/>
          <w:color w:val="auto"/>
          <w:sz w:val="24"/>
        </w:rPr>
        <w:t>最终</w:t>
      </w:r>
      <w:r>
        <w:rPr>
          <w:rFonts w:cs="宋体"/>
          <w:b/>
          <w:color w:val="auto"/>
          <w:sz w:val="24"/>
        </w:rPr>
        <w:t>报价的时间</w:t>
      </w:r>
      <w:r>
        <w:rPr>
          <w:rFonts w:hint="eastAsia" w:cs="宋体"/>
          <w:b/>
          <w:color w:val="auto"/>
          <w:sz w:val="24"/>
        </w:rPr>
        <w:t>见</w:t>
      </w:r>
      <w:r>
        <w:rPr>
          <w:rFonts w:cs="宋体"/>
          <w:b/>
          <w:color w:val="auto"/>
          <w:sz w:val="24"/>
        </w:rPr>
        <w:t>本须知前附表。</w:t>
      </w:r>
    </w:p>
    <w:p w14:paraId="09DD4D0A">
      <w:pPr>
        <w:spacing w:line="360" w:lineRule="auto"/>
        <w:rPr>
          <w:rFonts w:ascii="宋体" w:hAnsi="宋体"/>
          <w:b/>
          <w:color w:val="auto"/>
          <w:sz w:val="24"/>
        </w:rPr>
      </w:pPr>
      <w:r>
        <w:rPr>
          <w:rFonts w:hint="eastAsia" w:ascii="宋体" w:hAnsi="宋体"/>
          <w:b/>
          <w:color w:val="auto"/>
          <w:sz w:val="24"/>
        </w:rPr>
        <w:t>1</w:t>
      </w:r>
      <w:r>
        <w:rPr>
          <w:rFonts w:ascii="宋体" w:hAnsi="宋体"/>
          <w:b/>
          <w:color w:val="auto"/>
          <w:sz w:val="24"/>
        </w:rPr>
        <w:t>8</w:t>
      </w:r>
      <w:r>
        <w:rPr>
          <w:rFonts w:hint="eastAsia" w:ascii="宋体" w:hAnsi="宋体"/>
          <w:b/>
          <w:color w:val="auto"/>
          <w:sz w:val="24"/>
        </w:rPr>
        <w:t>.采购</w:t>
      </w:r>
      <w:r>
        <w:rPr>
          <w:rFonts w:ascii="宋体" w:hAnsi="宋体"/>
          <w:b/>
          <w:color w:val="auto"/>
          <w:sz w:val="24"/>
        </w:rPr>
        <w:t>货物</w:t>
      </w:r>
      <w:r>
        <w:rPr>
          <w:rFonts w:hint="eastAsia" w:ascii="宋体" w:hAnsi="宋体"/>
          <w:b/>
          <w:color w:val="auto"/>
          <w:sz w:val="24"/>
        </w:rPr>
        <w:t>进口产品规定</w:t>
      </w:r>
    </w:p>
    <w:p w14:paraId="3DFE1988">
      <w:pPr>
        <w:spacing w:line="360" w:lineRule="auto"/>
        <w:rPr>
          <w:rFonts w:ascii="宋体" w:hAnsi="宋体"/>
          <w:color w:val="auto"/>
          <w:sz w:val="24"/>
        </w:rPr>
      </w:pPr>
      <w:r>
        <w:rPr>
          <w:rFonts w:hint="eastAsia" w:ascii="宋体" w:hAnsi="宋体"/>
          <w:color w:val="auto"/>
          <w:sz w:val="24"/>
        </w:rPr>
        <w:t>1</w:t>
      </w:r>
      <w:r>
        <w:rPr>
          <w:rFonts w:ascii="宋体" w:hAnsi="宋体"/>
          <w:color w:val="auto"/>
          <w:sz w:val="24"/>
        </w:rPr>
        <w:t>8</w:t>
      </w:r>
      <w:r>
        <w:rPr>
          <w:rFonts w:hint="eastAsia" w:ascii="宋体" w:hAnsi="宋体"/>
          <w:color w:val="auto"/>
          <w:sz w:val="24"/>
        </w:rPr>
        <w:t>.1政府采购应当采购本国货物。按照财政部《政府采购进口产品管理办法》规定确需采购进口产品的，实行审核管理。经审核允许采购进口产品的，不得排斥符合要求的本国产品。在谈判文件中未标明采购进口产品的，均为采购本国产品。供应商必须响应本国产品，响应进口产品的，磋谈判响应文件无效。进口产品是指通过中国海关报关验放进入中国境内且产自关境外的产品。</w:t>
      </w:r>
    </w:p>
    <w:p w14:paraId="3A2F9BC3">
      <w:pPr>
        <w:spacing w:line="360" w:lineRule="auto"/>
        <w:rPr>
          <w:rFonts w:ascii="宋体" w:hAnsi="宋体"/>
          <w:color w:val="auto"/>
          <w:sz w:val="24"/>
        </w:rPr>
      </w:pPr>
      <w:r>
        <w:rPr>
          <w:rFonts w:hint="eastAsia" w:ascii="宋体" w:hAnsi="宋体"/>
          <w:color w:val="auto"/>
          <w:sz w:val="24"/>
        </w:rPr>
        <w:t>1</w:t>
      </w:r>
      <w:r>
        <w:rPr>
          <w:rFonts w:ascii="宋体" w:hAnsi="宋体"/>
          <w:color w:val="auto"/>
          <w:sz w:val="24"/>
        </w:rPr>
        <w:t>8</w:t>
      </w:r>
      <w:r>
        <w:rPr>
          <w:rFonts w:hint="eastAsia" w:ascii="宋体" w:hAnsi="宋体"/>
          <w:color w:val="auto"/>
          <w:sz w:val="24"/>
        </w:rPr>
        <w:t>.2政府采购进口产品合同应当将维护国家利益和社会公共利益作为必备条款。合同履行过程中出现危害国家利益和社会公共利益问题的，采购人应当立即终止合同。</w:t>
      </w:r>
    </w:p>
    <w:p w14:paraId="3F861D35">
      <w:pPr>
        <w:spacing w:line="360" w:lineRule="auto"/>
        <w:rPr>
          <w:rFonts w:ascii="宋体" w:hAnsi="宋体"/>
          <w:color w:val="auto"/>
          <w:sz w:val="24"/>
        </w:rPr>
      </w:pPr>
      <w:r>
        <w:rPr>
          <w:rFonts w:hint="eastAsia" w:ascii="宋体" w:hAnsi="宋体"/>
          <w:b/>
          <w:color w:val="auto"/>
          <w:sz w:val="24"/>
        </w:rPr>
        <w:t>1</w:t>
      </w:r>
      <w:r>
        <w:rPr>
          <w:rFonts w:ascii="宋体" w:hAnsi="宋体"/>
          <w:b/>
          <w:color w:val="auto"/>
          <w:sz w:val="24"/>
        </w:rPr>
        <w:t>9</w:t>
      </w:r>
      <w:r>
        <w:rPr>
          <w:rFonts w:hint="eastAsia" w:ascii="宋体" w:hAnsi="宋体"/>
          <w:b/>
          <w:color w:val="auto"/>
          <w:sz w:val="24"/>
        </w:rPr>
        <w:t>.谈判有效期</w:t>
      </w:r>
    </w:p>
    <w:p w14:paraId="255AA1DB">
      <w:pPr>
        <w:spacing w:line="360" w:lineRule="auto"/>
        <w:rPr>
          <w:rFonts w:ascii="宋体" w:hAnsi="宋体"/>
          <w:color w:val="auto"/>
          <w:sz w:val="24"/>
        </w:rPr>
      </w:pPr>
      <w:r>
        <w:rPr>
          <w:rFonts w:hint="eastAsia" w:ascii="宋体" w:hAnsi="宋体"/>
          <w:color w:val="auto"/>
          <w:sz w:val="24"/>
        </w:rPr>
        <w:t>1</w:t>
      </w:r>
      <w:r>
        <w:rPr>
          <w:rFonts w:ascii="宋体" w:hAnsi="宋体"/>
          <w:color w:val="auto"/>
          <w:sz w:val="24"/>
        </w:rPr>
        <w:t>9</w:t>
      </w:r>
      <w:r>
        <w:rPr>
          <w:rFonts w:hint="eastAsia" w:ascii="宋体" w:hAnsi="宋体"/>
          <w:color w:val="auto"/>
          <w:sz w:val="24"/>
        </w:rPr>
        <w:t>.1谈判响应文件应在本须知前附表所规定的谈判截止期之后开始生效，响应谈判供应商不得在本须知规定的谈判有效期内要求撤销或修改其谈判响应文件。</w:t>
      </w:r>
    </w:p>
    <w:p w14:paraId="6DE4EC3F">
      <w:pPr>
        <w:spacing w:line="360" w:lineRule="auto"/>
        <w:rPr>
          <w:rFonts w:ascii="宋体" w:hAnsi="宋体"/>
          <w:b/>
          <w:color w:val="auto"/>
          <w:sz w:val="24"/>
        </w:rPr>
      </w:pPr>
      <w:r>
        <w:rPr>
          <w:rFonts w:hint="eastAsia" w:ascii="宋体" w:hAnsi="宋体"/>
          <w:color w:val="auto"/>
          <w:sz w:val="24"/>
        </w:rPr>
        <w:t>1</w:t>
      </w:r>
      <w:r>
        <w:rPr>
          <w:rFonts w:ascii="宋体" w:hAnsi="宋体"/>
          <w:color w:val="auto"/>
          <w:sz w:val="24"/>
        </w:rPr>
        <w:t>9</w:t>
      </w:r>
      <w:r>
        <w:rPr>
          <w:rFonts w:hint="eastAsia" w:ascii="宋体" w:hAnsi="宋体"/>
          <w:color w:val="auto"/>
          <w:sz w:val="24"/>
        </w:rPr>
        <w:t>.2出现特殊情况需要延长响应有效期的，采购机构以书面形式通知所有响应谈判供应商延长谈判有效期。响应谈判供应商同意延长的，但不得要求或被允许修改或撤销其谈判响应文件。响应谈判供应商拒绝延长的，其谈判响应失效。</w:t>
      </w:r>
      <w:r>
        <w:rPr>
          <w:rFonts w:ascii="宋体" w:hAnsi="宋体"/>
          <w:b/>
          <w:color w:val="auto"/>
          <w:sz w:val="24"/>
        </w:rPr>
        <w:t xml:space="preserve"> </w:t>
      </w:r>
    </w:p>
    <w:p w14:paraId="57BBE074">
      <w:pPr>
        <w:spacing w:line="360" w:lineRule="auto"/>
        <w:rPr>
          <w:rFonts w:ascii="宋体" w:hAnsi="宋体"/>
          <w:color w:val="auto"/>
          <w:sz w:val="24"/>
        </w:rPr>
      </w:pPr>
      <w:r>
        <w:rPr>
          <w:rFonts w:hint="eastAsia" w:ascii="宋体" w:hAnsi="宋体"/>
          <w:b/>
          <w:color w:val="auto"/>
          <w:sz w:val="24"/>
        </w:rPr>
        <w:t>20.响应谈判供应商的不良行为</w:t>
      </w:r>
    </w:p>
    <w:p w14:paraId="3B539246">
      <w:pPr>
        <w:spacing w:line="360" w:lineRule="auto"/>
        <w:ind w:firstLine="480" w:firstLineChars="200"/>
        <w:rPr>
          <w:rFonts w:ascii="宋体" w:hAnsi="宋体"/>
          <w:color w:val="auto"/>
          <w:sz w:val="24"/>
        </w:rPr>
      </w:pPr>
      <w:r>
        <w:rPr>
          <w:rFonts w:hint="eastAsia" w:ascii="宋体" w:hAnsi="宋体"/>
          <w:color w:val="auto"/>
          <w:sz w:val="24"/>
        </w:rPr>
        <w:t>响应谈判供应商有下列情形之一且情节严重的，由财政部门将其列入不良行为记录名单，在一至三年内禁止参加政府采购活动，并予以通报：</w:t>
      </w:r>
    </w:p>
    <w:p w14:paraId="12BBFB1F">
      <w:pPr>
        <w:spacing w:line="360" w:lineRule="auto"/>
        <w:rPr>
          <w:rFonts w:ascii="宋体" w:hAnsi="宋体"/>
          <w:color w:val="auto"/>
          <w:sz w:val="24"/>
        </w:rPr>
      </w:pPr>
      <w:r>
        <w:rPr>
          <w:rFonts w:ascii="宋体" w:hAnsi="宋体"/>
          <w:color w:val="auto"/>
          <w:sz w:val="24"/>
        </w:rPr>
        <w:t>20</w:t>
      </w:r>
      <w:r>
        <w:rPr>
          <w:rFonts w:hint="eastAsia" w:ascii="宋体" w:hAnsi="宋体"/>
          <w:color w:val="auto"/>
          <w:sz w:val="24"/>
        </w:rPr>
        <w:t>.</w:t>
      </w:r>
      <w:r>
        <w:rPr>
          <w:rFonts w:ascii="宋体" w:hAnsi="宋体"/>
          <w:color w:val="auto"/>
          <w:sz w:val="24"/>
        </w:rPr>
        <w:t>1</w:t>
      </w:r>
      <w:r>
        <w:rPr>
          <w:rFonts w:hint="eastAsia" w:ascii="宋体" w:hAnsi="宋体"/>
          <w:color w:val="auto"/>
          <w:sz w:val="24"/>
        </w:rPr>
        <w:t>响应谈判供应商在响应有效期限内撤回或修改其谈判响应文件的；</w:t>
      </w:r>
    </w:p>
    <w:p w14:paraId="097944A3">
      <w:pPr>
        <w:spacing w:line="360" w:lineRule="auto"/>
        <w:rPr>
          <w:rFonts w:ascii="宋体" w:hAnsi="宋体"/>
          <w:color w:val="auto"/>
          <w:sz w:val="24"/>
        </w:rPr>
      </w:pPr>
      <w:r>
        <w:rPr>
          <w:rFonts w:ascii="宋体" w:hAnsi="宋体"/>
          <w:color w:val="auto"/>
          <w:sz w:val="24"/>
        </w:rPr>
        <w:t>20</w:t>
      </w:r>
      <w:r>
        <w:rPr>
          <w:rFonts w:hint="eastAsia" w:ascii="宋体" w:hAnsi="宋体"/>
          <w:color w:val="auto"/>
          <w:sz w:val="24"/>
        </w:rPr>
        <w:t>.2响应谈判供应商不接受按第3</w:t>
      </w:r>
      <w:r>
        <w:rPr>
          <w:rFonts w:ascii="宋体" w:hAnsi="宋体"/>
          <w:color w:val="auto"/>
          <w:sz w:val="24"/>
        </w:rPr>
        <w:t>1</w:t>
      </w:r>
      <w:r>
        <w:rPr>
          <w:rFonts w:hint="eastAsia" w:ascii="宋体" w:hAnsi="宋体"/>
          <w:color w:val="auto"/>
          <w:sz w:val="24"/>
        </w:rPr>
        <w:t>条规定其响应价格的修正的；</w:t>
      </w:r>
    </w:p>
    <w:p w14:paraId="3FC8033F">
      <w:pPr>
        <w:spacing w:line="360" w:lineRule="auto"/>
        <w:rPr>
          <w:rFonts w:ascii="宋体" w:hAnsi="宋体"/>
          <w:color w:val="auto"/>
          <w:sz w:val="24"/>
        </w:rPr>
      </w:pPr>
      <w:r>
        <w:rPr>
          <w:rFonts w:ascii="宋体" w:hAnsi="宋体"/>
          <w:color w:val="auto"/>
          <w:sz w:val="24"/>
        </w:rPr>
        <w:t>20</w:t>
      </w:r>
      <w:r>
        <w:rPr>
          <w:rFonts w:hint="eastAsia" w:ascii="宋体" w:hAnsi="宋体"/>
          <w:color w:val="auto"/>
          <w:sz w:val="24"/>
        </w:rPr>
        <w:t>.3响应谈判供应商在谈判响应文件中提供虚假材料的；</w:t>
      </w:r>
    </w:p>
    <w:p w14:paraId="3CA1E85D">
      <w:pPr>
        <w:spacing w:line="360" w:lineRule="auto"/>
        <w:rPr>
          <w:rFonts w:ascii="宋体" w:hAnsi="宋体"/>
          <w:color w:val="auto"/>
          <w:sz w:val="24"/>
        </w:rPr>
      </w:pPr>
      <w:r>
        <w:rPr>
          <w:rFonts w:ascii="宋体" w:hAnsi="宋体"/>
          <w:color w:val="auto"/>
          <w:sz w:val="24"/>
        </w:rPr>
        <w:t>20</w:t>
      </w:r>
      <w:r>
        <w:rPr>
          <w:rFonts w:hint="eastAsia" w:ascii="宋体" w:hAnsi="宋体"/>
          <w:color w:val="auto"/>
          <w:sz w:val="24"/>
        </w:rPr>
        <w:t>.4供应商与采购人、其他供应商或采购代理机构恶意串通的；</w:t>
      </w:r>
    </w:p>
    <w:p w14:paraId="632714FB">
      <w:pPr>
        <w:spacing w:line="360" w:lineRule="auto"/>
        <w:rPr>
          <w:rFonts w:ascii="宋体" w:hAnsi="宋体"/>
          <w:color w:val="auto"/>
          <w:sz w:val="24"/>
        </w:rPr>
      </w:pPr>
      <w:r>
        <w:rPr>
          <w:rFonts w:ascii="宋体" w:hAnsi="宋体"/>
          <w:color w:val="auto"/>
          <w:sz w:val="24"/>
        </w:rPr>
        <w:t>20</w:t>
      </w:r>
      <w:r>
        <w:rPr>
          <w:rFonts w:hint="eastAsia" w:ascii="宋体" w:hAnsi="宋体"/>
          <w:color w:val="auto"/>
          <w:sz w:val="24"/>
        </w:rPr>
        <w:t>.5成交供应商未按文件规定提交履约保证金或未能在规定期限内签署合同的。</w:t>
      </w:r>
    </w:p>
    <w:p w14:paraId="0D2960D6">
      <w:pPr>
        <w:spacing w:line="360" w:lineRule="auto"/>
        <w:rPr>
          <w:rFonts w:ascii="宋体" w:hAnsi="宋体"/>
          <w:b/>
          <w:bCs/>
          <w:color w:val="auto"/>
          <w:sz w:val="24"/>
        </w:rPr>
      </w:pPr>
      <w:r>
        <w:rPr>
          <w:rFonts w:ascii="宋体" w:hAnsi="宋体"/>
          <w:b/>
          <w:bCs/>
          <w:color w:val="auto"/>
          <w:sz w:val="24"/>
        </w:rPr>
        <w:t>21</w:t>
      </w:r>
      <w:r>
        <w:rPr>
          <w:rFonts w:hint="eastAsia" w:ascii="宋体" w:hAnsi="宋体"/>
          <w:b/>
          <w:bCs/>
          <w:color w:val="auto"/>
          <w:sz w:val="24"/>
        </w:rPr>
        <w:t>.谈判响应文件的编制</w:t>
      </w:r>
    </w:p>
    <w:p w14:paraId="65EC6480">
      <w:pPr>
        <w:spacing w:line="360" w:lineRule="auto"/>
        <w:rPr>
          <w:rFonts w:ascii="宋体" w:hAnsi="宋体"/>
          <w:bCs/>
          <w:color w:val="auto"/>
          <w:sz w:val="24"/>
        </w:rPr>
      </w:pPr>
      <w:r>
        <w:rPr>
          <w:rFonts w:ascii="宋体" w:hAnsi="宋体"/>
          <w:bCs/>
          <w:color w:val="auto"/>
          <w:sz w:val="24"/>
        </w:rPr>
        <w:t>21</w:t>
      </w:r>
      <w:r>
        <w:rPr>
          <w:rFonts w:hint="eastAsia" w:ascii="宋体" w:hAnsi="宋体"/>
          <w:bCs/>
          <w:color w:val="auto"/>
          <w:sz w:val="24"/>
        </w:rPr>
        <w:t>.1谈判响应文件包括本须知第1</w:t>
      </w:r>
      <w:r>
        <w:rPr>
          <w:rFonts w:ascii="宋体" w:hAnsi="宋体"/>
          <w:bCs/>
          <w:color w:val="auto"/>
          <w:sz w:val="24"/>
        </w:rPr>
        <w:t>5</w:t>
      </w:r>
      <w:r>
        <w:rPr>
          <w:rFonts w:hint="eastAsia" w:ascii="宋体" w:hAnsi="宋体"/>
          <w:bCs/>
          <w:color w:val="auto"/>
          <w:sz w:val="24"/>
        </w:rPr>
        <w:t>条规定的内容，响应谈判供应商上传的谈判响应文件应按谈判文件第六章“谈判响应文件格式”进行编写，如有必要，可以增加附页，作为谈判响应文件的组成部分。其中，谈判响应函在满足谈判文件实质性要求的基础上，可以提出比谈判文件更有利于采购人的承诺。</w:t>
      </w:r>
    </w:p>
    <w:p w14:paraId="7580118D">
      <w:pPr>
        <w:spacing w:line="360" w:lineRule="auto"/>
        <w:rPr>
          <w:rFonts w:ascii="宋体" w:hAnsi="宋体"/>
          <w:bCs/>
          <w:color w:val="auto"/>
          <w:sz w:val="24"/>
        </w:rPr>
      </w:pPr>
      <w:r>
        <w:rPr>
          <w:rFonts w:ascii="宋体" w:hAnsi="宋体"/>
          <w:bCs/>
          <w:color w:val="auto"/>
          <w:sz w:val="24"/>
        </w:rPr>
        <w:t>21</w:t>
      </w:r>
      <w:r>
        <w:rPr>
          <w:rFonts w:hint="eastAsia" w:ascii="宋体" w:hAnsi="宋体"/>
          <w:bCs/>
          <w:color w:val="auto"/>
          <w:sz w:val="24"/>
        </w:rPr>
        <w:t>.2谈判响应文件应当对谈判文件有关供货期、谈判响应有效期、质量要求、谈判内容等实质性内容作出响应。</w:t>
      </w:r>
    </w:p>
    <w:p w14:paraId="3AF85EB1">
      <w:pPr>
        <w:spacing w:line="360" w:lineRule="auto"/>
        <w:rPr>
          <w:rFonts w:ascii="宋体" w:hAnsi="宋体"/>
          <w:b/>
          <w:bCs/>
          <w:color w:val="auto"/>
          <w:sz w:val="24"/>
        </w:rPr>
      </w:pPr>
      <w:r>
        <w:rPr>
          <w:rFonts w:ascii="宋体" w:hAnsi="宋体"/>
          <w:b/>
          <w:bCs/>
          <w:color w:val="auto"/>
          <w:sz w:val="24"/>
        </w:rPr>
        <w:t>21</w:t>
      </w:r>
      <w:r>
        <w:rPr>
          <w:rFonts w:hint="eastAsia" w:ascii="宋体" w:hAnsi="宋体"/>
          <w:b/>
          <w:bCs/>
          <w:color w:val="auto"/>
          <w:sz w:val="24"/>
        </w:rPr>
        <w:t>.3</w:t>
      </w:r>
      <w:r>
        <w:rPr>
          <w:rFonts w:hint="eastAsia" w:ascii="宋体"/>
          <w:b/>
          <w:bCs/>
          <w:color w:val="auto"/>
          <w:sz w:val="24"/>
        </w:rPr>
        <w:t>上传</w:t>
      </w:r>
      <w:r>
        <w:rPr>
          <w:rFonts w:ascii="宋体"/>
          <w:b/>
          <w:bCs/>
          <w:color w:val="auto"/>
          <w:sz w:val="24"/>
        </w:rPr>
        <w:t>的</w:t>
      </w:r>
      <w:r>
        <w:rPr>
          <w:rFonts w:hint="eastAsia" w:ascii="宋体" w:hAnsi="宋体"/>
          <w:b/>
          <w:color w:val="auto"/>
          <w:sz w:val="24"/>
        </w:rPr>
        <w:t>谈判响应文件应在规定位置处，</w:t>
      </w:r>
      <w:r>
        <w:rPr>
          <w:rFonts w:hint="eastAsia" w:ascii="宋体" w:hAnsi="宋体"/>
          <w:b/>
          <w:color w:val="auto"/>
          <w:sz w:val="24"/>
          <w:lang w:val="en-US" w:eastAsia="zh-CN"/>
        </w:rPr>
        <w:t>根据文件要求进行签字盖章</w:t>
      </w:r>
      <w:r>
        <w:rPr>
          <w:rFonts w:hint="eastAsia" w:ascii="宋体" w:hAnsi="宋体"/>
          <w:b/>
          <w:color w:val="auto"/>
          <w:sz w:val="24"/>
        </w:rPr>
        <w:t>，上述盖章为电子章</w:t>
      </w:r>
      <w:r>
        <w:rPr>
          <w:rFonts w:ascii="宋体" w:hAnsi="宋体"/>
          <w:b/>
          <w:color w:val="auto"/>
          <w:sz w:val="24"/>
        </w:rPr>
        <w:t>或者</w:t>
      </w:r>
      <w:r>
        <w:rPr>
          <w:rFonts w:hint="eastAsia" w:ascii="宋体" w:hAnsi="宋体"/>
          <w:b/>
          <w:color w:val="auto"/>
          <w:sz w:val="24"/>
        </w:rPr>
        <w:t>鲜章。</w:t>
      </w:r>
    </w:p>
    <w:p w14:paraId="66A08DD1">
      <w:pPr>
        <w:spacing w:line="360" w:lineRule="auto"/>
        <w:jc w:val="left"/>
        <w:rPr>
          <w:rFonts w:ascii="宋体" w:hAnsi="宋体"/>
          <w:b/>
          <w:color w:val="auto"/>
          <w:sz w:val="24"/>
        </w:rPr>
      </w:pPr>
      <w:r>
        <w:rPr>
          <w:rFonts w:ascii="宋体" w:hAnsi="宋体"/>
          <w:b/>
          <w:color w:val="auto"/>
          <w:sz w:val="24"/>
        </w:rPr>
        <w:t>21</w:t>
      </w:r>
      <w:r>
        <w:rPr>
          <w:rFonts w:hint="eastAsia" w:ascii="宋体" w:hAnsi="宋体"/>
          <w:b/>
          <w:color w:val="auto"/>
          <w:sz w:val="24"/>
        </w:rPr>
        <w:t>.</w:t>
      </w:r>
      <w:r>
        <w:rPr>
          <w:rFonts w:ascii="宋体" w:hAnsi="宋体"/>
          <w:b/>
          <w:color w:val="auto"/>
          <w:sz w:val="24"/>
        </w:rPr>
        <w:t>4</w:t>
      </w:r>
      <w:r>
        <w:rPr>
          <w:rFonts w:hint="eastAsia" w:ascii="宋体" w:hAnsi="宋体"/>
          <w:b/>
          <w:color w:val="auto"/>
          <w:sz w:val="24"/>
        </w:rPr>
        <w:t>谈判响应文件中的内容</w:t>
      </w:r>
      <w:r>
        <w:rPr>
          <w:rFonts w:ascii="宋体" w:hAnsi="宋体"/>
          <w:b/>
          <w:color w:val="auto"/>
          <w:sz w:val="24"/>
        </w:rPr>
        <w:t>要</w:t>
      </w:r>
      <w:r>
        <w:rPr>
          <w:rFonts w:hint="eastAsia" w:ascii="宋体" w:hAnsi="宋体"/>
          <w:b/>
          <w:color w:val="auto"/>
          <w:sz w:val="24"/>
        </w:rPr>
        <w:t>清晰，易于辨认，且无篡改</w:t>
      </w:r>
      <w:r>
        <w:rPr>
          <w:rFonts w:ascii="宋体" w:hAnsi="宋体"/>
          <w:b/>
          <w:color w:val="auto"/>
          <w:sz w:val="24"/>
        </w:rPr>
        <w:t>图片</w:t>
      </w:r>
      <w:r>
        <w:rPr>
          <w:rFonts w:hint="eastAsia" w:ascii="宋体" w:hAnsi="宋体"/>
          <w:b/>
          <w:color w:val="auto"/>
          <w:sz w:val="24"/>
        </w:rPr>
        <w:t>，除非这些改动是根据采购机构的指示进行的，或者是为改正响应谈判供应商造成的必须修改的错误而进行的。有改动时，修改处应由响应谈判供应商的法定代表人或被授权委托人签字或盖章，并</w:t>
      </w:r>
      <w:r>
        <w:rPr>
          <w:rFonts w:ascii="宋体" w:hAnsi="宋体"/>
          <w:b/>
          <w:color w:val="auto"/>
          <w:sz w:val="24"/>
        </w:rPr>
        <w:t>加盖公章</w:t>
      </w:r>
      <w:r>
        <w:rPr>
          <w:rFonts w:hint="eastAsia" w:ascii="宋体" w:hAnsi="宋体"/>
          <w:b/>
          <w:color w:val="auto"/>
          <w:sz w:val="24"/>
        </w:rPr>
        <w:t>；上述盖章为电子章</w:t>
      </w:r>
      <w:r>
        <w:rPr>
          <w:rFonts w:ascii="宋体" w:hAnsi="宋体"/>
          <w:b/>
          <w:color w:val="auto"/>
          <w:sz w:val="24"/>
        </w:rPr>
        <w:t>或者</w:t>
      </w:r>
      <w:r>
        <w:rPr>
          <w:rFonts w:hint="eastAsia" w:ascii="宋体" w:hAnsi="宋体"/>
          <w:b/>
          <w:color w:val="auto"/>
          <w:sz w:val="24"/>
        </w:rPr>
        <w:t>鲜章。</w:t>
      </w:r>
    </w:p>
    <w:p w14:paraId="7BD84876">
      <w:pPr>
        <w:spacing w:after="120"/>
        <w:jc w:val="left"/>
        <w:rPr>
          <w:rFonts w:ascii="宋体"/>
          <w:b/>
          <w:color w:val="auto"/>
          <w:sz w:val="24"/>
        </w:rPr>
      </w:pPr>
      <w:r>
        <w:rPr>
          <w:rFonts w:ascii="宋体"/>
          <w:b/>
          <w:bCs/>
          <w:color w:val="auto"/>
          <w:sz w:val="24"/>
        </w:rPr>
        <w:t>21.5</w:t>
      </w:r>
      <w:r>
        <w:rPr>
          <w:rFonts w:hint="eastAsia" w:ascii="宋体" w:hAnsi="宋体"/>
          <w:b/>
          <w:color w:val="auto"/>
          <w:sz w:val="24"/>
        </w:rPr>
        <w:t>如果响应谈判供应商没有按本须知要求制作、签署、盖章，在初步评审时将按照无效响应处理</w:t>
      </w:r>
      <w:r>
        <w:rPr>
          <w:rFonts w:hint="eastAsia" w:ascii="宋体" w:hAnsi="宋体"/>
          <w:color w:val="auto"/>
          <w:sz w:val="24"/>
        </w:rPr>
        <w:t>。</w:t>
      </w:r>
    </w:p>
    <w:p w14:paraId="3A157A92">
      <w:pPr>
        <w:spacing w:line="360" w:lineRule="auto"/>
        <w:jc w:val="center"/>
        <w:outlineLvl w:val="1"/>
        <w:rPr>
          <w:rFonts w:ascii="宋体" w:hAnsi="宋体"/>
          <w:b/>
          <w:color w:val="auto"/>
          <w:sz w:val="28"/>
          <w:szCs w:val="28"/>
        </w:rPr>
      </w:pPr>
      <w:bookmarkStart w:id="11" w:name="_Toc103723521"/>
      <w:r>
        <w:rPr>
          <w:rFonts w:hint="eastAsia" w:ascii="宋体" w:hAnsi="宋体"/>
          <w:b/>
          <w:color w:val="auto"/>
          <w:sz w:val="28"/>
          <w:szCs w:val="28"/>
        </w:rPr>
        <w:t>五、</w:t>
      </w:r>
      <w:bookmarkEnd w:id="11"/>
      <w:r>
        <w:rPr>
          <w:rFonts w:hint="eastAsia" w:ascii="宋体" w:hAnsi="宋体"/>
          <w:b/>
          <w:color w:val="auto"/>
          <w:sz w:val="28"/>
          <w:szCs w:val="28"/>
        </w:rPr>
        <w:t>谈判响应</w:t>
      </w:r>
    </w:p>
    <w:p w14:paraId="724ED6CE">
      <w:pPr>
        <w:spacing w:line="360" w:lineRule="auto"/>
        <w:jc w:val="left"/>
        <w:rPr>
          <w:rFonts w:ascii="宋体" w:hAnsi="宋体"/>
          <w:color w:val="auto"/>
          <w:sz w:val="24"/>
        </w:rPr>
      </w:pPr>
      <w:r>
        <w:rPr>
          <w:rFonts w:hint="eastAsia" w:ascii="宋体" w:hAnsi="宋体"/>
          <w:b/>
          <w:color w:val="auto"/>
          <w:sz w:val="24"/>
        </w:rPr>
        <w:t>2</w:t>
      </w:r>
      <w:r>
        <w:rPr>
          <w:rFonts w:ascii="宋体" w:hAnsi="宋体"/>
          <w:b/>
          <w:color w:val="auto"/>
          <w:sz w:val="24"/>
        </w:rPr>
        <w:t>2</w:t>
      </w:r>
      <w:r>
        <w:rPr>
          <w:rFonts w:hint="eastAsia" w:ascii="宋体" w:hAnsi="宋体"/>
          <w:b/>
          <w:color w:val="auto"/>
          <w:sz w:val="24"/>
        </w:rPr>
        <w:t>.谈判响应文件的上传、解密</w:t>
      </w:r>
    </w:p>
    <w:p w14:paraId="314D334C">
      <w:pPr>
        <w:spacing w:line="360" w:lineRule="auto"/>
        <w:rPr>
          <w:rFonts w:ascii="宋体" w:hAnsi="宋体"/>
          <w:color w:val="auto"/>
          <w:sz w:val="24"/>
        </w:rPr>
      </w:pPr>
      <w:r>
        <w:rPr>
          <w:rFonts w:cs="宋体" w:asciiTheme="minorEastAsia" w:hAnsiTheme="minorEastAsia" w:eastAsiaTheme="minorEastAsia"/>
          <w:b/>
          <w:color w:val="auto"/>
          <w:sz w:val="24"/>
        </w:rPr>
        <w:t>22.1</w:t>
      </w:r>
      <w:r>
        <w:rPr>
          <w:rFonts w:hint="eastAsia" w:ascii="宋体" w:hAnsi="宋体"/>
          <w:b/>
          <w:bCs/>
          <w:color w:val="auto"/>
          <w:sz w:val="24"/>
        </w:rPr>
        <w:t>响应谈判供应商应在本须知前附表规定的谈判响应截止时间前上传谈判响应文件，</w:t>
      </w:r>
      <w:r>
        <w:rPr>
          <w:rFonts w:ascii="宋体" w:hAnsi="宋体"/>
          <w:b/>
          <w:bCs/>
          <w:color w:val="auto"/>
          <w:sz w:val="24"/>
        </w:rPr>
        <w:t>在规定的</w:t>
      </w:r>
      <w:r>
        <w:rPr>
          <w:rFonts w:hint="eastAsia" w:ascii="宋体" w:hAnsi="宋体"/>
          <w:b/>
          <w:bCs/>
          <w:color w:val="auto"/>
          <w:sz w:val="24"/>
        </w:rPr>
        <w:t>解密</w:t>
      </w:r>
      <w:r>
        <w:rPr>
          <w:rFonts w:ascii="宋体" w:hAnsi="宋体"/>
          <w:b/>
          <w:bCs/>
          <w:color w:val="auto"/>
          <w:sz w:val="24"/>
        </w:rPr>
        <w:t>时间</w:t>
      </w:r>
      <w:r>
        <w:rPr>
          <w:rFonts w:hint="eastAsia" w:ascii="宋体" w:hAnsi="宋体"/>
          <w:b/>
          <w:bCs/>
          <w:color w:val="auto"/>
          <w:sz w:val="24"/>
        </w:rPr>
        <w:t>内</w:t>
      </w:r>
      <w:r>
        <w:rPr>
          <w:rFonts w:ascii="宋体" w:hAnsi="宋体"/>
          <w:b/>
          <w:bCs/>
          <w:color w:val="auto"/>
          <w:sz w:val="24"/>
        </w:rPr>
        <w:t>解密谈判响应文件。</w:t>
      </w:r>
    </w:p>
    <w:p w14:paraId="208923E4">
      <w:pPr>
        <w:spacing w:line="360" w:lineRule="auto"/>
        <w:rPr>
          <w:rFonts w:ascii="宋体" w:hAnsi="宋体"/>
          <w:b/>
          <w:color w:val="auto"/>
          <w:sz w:val="24"/>
        </w:rPr>
      </w:pPr>
      <w:r>
        <w:rPr>
          <w:rFonts w:cs="宋体" w:asciiTheme="minorEastAsia" w:hAnsiTheme="minorEastAsia" w:eastAsiaTheme="minorEastAsia"/>
          <w:b/>
          <w:color w:val="auto"/>
          <w:sz w:val="24"/>
        </w:rPr>
        <w:t>22.2</w:t>
      </w:r>
      <w:r>
        <w:rPr>
          <w:rFonts w:hint="eastAsia" w:cs="宋体" w:asciiTheme="minorEastAsia" w:hAnsiTheme="minorEastAsia" w:eastAsiaTheme="minorEastAsia"/>
          <w:b/>
          <w:color w:val="auto"/>
          <w:sz w:val="24"/>
        </w:rPr>
        <w:t>响应谈判供应商须在本须知</w:t>
      </w:r>
      <w:r>
        <w:rPr>
          <w:rFonts w:cs="宋体" w:asciiTheme="minorEastAsia" w:hAnsiTheme="minorEastAsia" w:eastAsiaTheme="minorEastAsia"/>
          <w:b/>
          <w:color w:val="auto"/>
          <w:sz w:val="24"/>
        </w:rPr>
        <w:t>前附表</w:t>
      </w:r>
      <w:r>
        <w:rPr>
          <w:rFonts w:hint="eastAsia" w:cs="宋体" w:asciiTheme="minorEastAsia" w:hAnsiTheme="minorEastAsia" w:eastAsiaTheme="minorEastAsia"/>
          <w:b/>
          <w:color w:val="auto"/>
          <w:sz w:val="24"/>
        </w:rPr>
        <w:t>规定</w:t>
      </w:r>
      <w:r>
        <w:rPr>
          <w:rFonts w:cs="宋体" w:asciiTheme="minorEastAsia" w:hAnsiTheme="minorEastAsia" w:eastAsiaTheme="minorEastAsia"/>
          <w:b/>
          <w:color w:val="auto"/>
          <w:sz w:val="24"/>
        </w:rPr>
        <w:t>的方式上</w:t>
      </w:r>
      <w:r>
        <w:rPr>
          <w:rFonts w:hint="eastAsia" w:cs="宋体" w:asciiTheme="minorEastAsia" w:hAnsiTheme="minorEastAsia" w:eastAsiaTheme="minorEastAsia"/>
          <w:b/>
          <w:color w:val="auto"/>
          <w:sz w:val="24"/>
        </w:rPr>
        <w:t>传谈判响应文件。谈判响应文件应在制作完成后，在谈判响应截止</w:t>
      </w:r>
      <w:r>
        <w:rPr>
          <w:rFonts w:cs="宋体" w:asciiTheme="minorEastAsia" w:hAnsiTheme="minorEastAsia" w:eastAsiaTheme="minorEastAsia"/>
          <w:b/>
          <w:color w:val="auto"/>
          <w:sz w:val="24"/>
        </w:rPr>
        <w:t>时间</w:t>
      </w:r>
      <w:r>
        <w:rPr>
          <w:rFonts w:hint="eastAsia" w:cs="宋体" w:asciiTheme="minorEastAsia" w:hAnsiTheme="minorEastAsia" w:eastAsiaTheme="minorEastAsia"/>
          <w:b/>
          <w:color w:val="auto"/>
          <w:sz w:val="24"/>
        </w:rPr>
        <w:t>前</w:t>
      </w:r>
      <w:r>
        <w:rPr>
          <w:rFonts w:ascii="宋体" w:hAnsi="宋体"/>
          <w:b/>
          <w:color w:val="auto"/>
          <w:sz w:val="24"/>
        </w:rPr>
        <w:t>提交至“</w:t>
      </w:r>
      <w:r>
        <w:rPr>
          <w:rFonts w:hint="eastAsia" w:ascii="宋体" w:hAnsi="宋体"/>
          <w:b/>
          <w:color w:val="auto"/>
          <w:sz w:val="24"/>
        </w:rPr>
        <w:t>政采云</w:t>
      </w:r>
      <w:r>
        <w:rPr>
          <w:rFonts w:ascii="宋体" w:hAnsi="宋体"/>
          <w:b/>
          <w:color w:val="auto"/>
          <w:sz w:val="24"/>
        </w:rPr>
        <w:t>”</w:t>
      </w:r>
      <w:r>
        <w:rPr>
          <w:rFonts w:hint="eastAsia" w:ascii="宋体" w:hAnsi="宋体"/>
          <w:b/>
          <w:color w:val="auto"/>
          <w:sz w:val="24"/>
        </w:rPr>
        <w:t>平台，</w:t>
      </w:r>
      <w:r>
        <w:rPr>
          <w:rFonts w:ascii="宋体" w:hAnsi="宋体"/>
          <w:b/>
          <w:color w:val="auto"/>
          <w:sz w:val="24"/>
        </w:rPr>
        <w:t>并</w:t>
      </w:r>
      <w:r>
        <w:rPr>
          <w:rFonts w:hint="eastAsia" w:ascii="宋体" w:hAnsi="宋体" w:cs="宋体"/>
          <w:b/>
          <w:color w:val="auto"/>
          <w:sz w:val="24"/>
        </w:rPr>
        <w:t>通过数字证书</w:t>
      </w:r>
      <w:r>
        <w:rPr>
          <w:rFonts w:hint="eastAsia" w:ascii="宋体" w:hAnsi="宋体"/>
          <w:b/>
          <w:color w:val="auto"/>
          <w:sz w:val="24"/>
        </w:rPr>
        <w:t>签章、加密。</w:t>
      </w:r>
      <w:r>
        <w:rPr>
          <w:rFonts w:hint="eastAsia" w:cs="宋体" w:asciiTheme="minorEastAsia" w:hAnsiTheme="minorEastAsia" w:eastAsiaTheme="minorEastAsia"/>
          <w:b/>
          <w:color w:val="auto"/>
          <w:sz w:val="24"/>
        </w:rPr>
        <w:t xml:space="preserve">  </w:t>
      </w:r>
    </w:p>
    <w:p w14:paraId="41170A27">
      <w:pPr>
        <w:spacing w:line="360" w:lineRule="auto"/>
        <w:rPr>
          <w:rFonts w:ascii="宋体" w:hAnsi="宋体"/>
          <w:color w:val="auto"/>
          <w:sz w:val="24"/>
        </w:rPr>
      </w:pPr>
      <w:r>
        <w:rPr>
          <w:rFonts w:hint="eastAsia" w:ascii="宋体" w:hAnsi="宋体"/>
          <w:color w:val="auto"/>
          <w:sz w:val="24"/>
        </w:rPr>
        <w:t>2</w:t>
      </w:r>
      <w:r>
        <w:rPr>
          <w:rFonts w:ascii="宋体" w:hAnsi="宋体"/>
          <w:color w:val="auto"/>
          <w:sz w:val="24"/>
        </w:rPr>
        <w:t>2.3</w:t>
      </w:r>
      <w:r>
        <w:rPr>
          <w:rFonts w:hint="eastAsia" w:ascii="宋体" w:hAnsi="宋体"/>
          <w:color w:val="auto"/>
          <w:sz w:val="24"/>
        </w:rPr>
        <w:t>逾期上传的或者未上传指定</w:t>
      </w:r>
      <w:r>
        <w:rPr>
          <w:rFonts w:ascii="宋体" w:hAnsi="宋体"/>
          <w:color w:val="auto"/>
          <w:sz w:val="24"/>
        </w:rPr>
        <w:t>“</w:t>
      </w:r>
      <w:r>
        <w:rPr>
          <w:rFonts w:hint="eastAsia" w:ascii="宋体" w:hAnsi="宋体"/>
          <w:color w:val="auto"/>
          <w:sz w:val="24"/>
        </w:rPr>
        <w:t>政采云</w:t>
      </w:r>
      <w:r>
        <w:rPr>
          <w:rFonts w:ascii="宋体" w:hAnsi="宋体"/>
          <w:color w:val="auto"/>
          <w:sz w:val="24"/>
        </w:rPr>
        <w:t>”</w:t>
      </w:r>
      <w:r>
        <w:rPr>
          <w:rFonts w:hint="eastAsia" w:ascii="宋体" w:hAnsi="宋体"/>
          <w:color w:val="auto"/>
          <w:sz w:val="24"/>
        </w:rPr>
        <w:t>平台的谈判响应文件，采购机构不予受理。响应谈判供应商上传的电子谈判响应文件因未解密而造成谈判响应文件无法进行评审的，响应谈判供应商自行承担。</w:t>
      </w:r>
    </w:p>
    <w:p w14:paraId="27AD26F4">
      <w:pPr>
        <w:spacing w:line="360" w:lineRule="auto"/>
        <w:rPr>
          <w:rFonts w:ascii="宋体" w:hAnsi="宋体"/>
          <w:color w:val="auto"/>
          <w:sz w:val="24"/>
        </w:rPr>
      </w:pPr>
      <w:r>
        <w:rPr>
          <w:rFonts w:hint="eastAsia" w:ascii="宋体" w:hAnsi="宋体"/>
          <w:b/>
          <w:color w:val="auto"/>
          <w:sz w:val="24"/>
        </w:rPr>
        <w:t>2</w:t>
      </w:r>
      <w:r>
        <w:rPr>
          <w:rFonts w:ascii="宋体" w:hAnsi="宋体"/>
          <w:b/>
          <w:color w:val="auto"/>
          <w:sz w:val="24"/>
        </w:rPr>
        <w:t>3</w:t>
      </w:r>
      <w:r>
        <w:rPr>
          <w:rFonts w:hint="eastAsia" w:ascii="宋体" w:hAnsi="宋体"/>
          <w:b/>
          <w:color w:val="auto"/>
          <w:sz w:val="24"/>
        </w:rPr>
        <w:t>.谈判</w:t>
      </w:r>
      <w:r>
        <w:rPr>
          <w:rFonts w:ascii="宋体" w:hAnsi="宋体"/>
          <w:b/>
          <w:color w:val="auto"/>
          <w:sz w:val="24"/>
        </w:rPr>
        <w:t>响应</w:t>
      </w:r>
      <w:r>
        <w:rPr>
          <w:rFonts w:hint="eastAsia" w:ascii="宋体" w:hAnsi="宋体"/>
          <w:b/>
          <w:color w:val="auto"/>
          <w:sz w:val="24"/>
        </w:rPr>
        <w:t>截止期</w:t>
      </w:r>
    </w:p>
    <w:p w14:paraId="1C2FBB9A">
      <w:pPr>
        <w:spacing w:line="360" w:lineRule="auto"/>
        <w:rPr>
          <w:rFonts w:ascii="宋体" w:hAnsi="宋体"/>
          <w:color w:val="auto"/>
          <w:sz w:val="24"/>
        </w:rPr>
      </w:pPr>
      <w:r>
        <w:rPr>
          <w:rFonts w:hint="eastAsia" w:ascii="宋体" w:hAnsi="宋体"/>
          <w:color w:val="auto"/>
          <w:sz w:val="24"/>
        </w:rPr>
        <w:t>2</w:t>
      </w:r>
      <w:r>
        <w:rPr>
          <w:rFonts w:ascii="宋体" w:hAnsi="宋体"/>
          <w:color w:val="auto"/>
          <w:sz w:val="24"/>
        </w:rPr>
        <w:t>3</w:t>
      </w:r>
      <w:r>
        <w:rPr>
          <w:rFonts w:hint="eastAsia" w:ascii="宋体" w:hAnsi="宋体"/>
          <w:color w:val="auto"/>
          <w:sz w:val="24"/>
        </w:rPr>
        <w:t>.1谈判响应文件的截止时间、开标时间：见本须知前附表。</w:t>
      </w:r>
    </w:p>
    <w:p w14:paraId="3BBCBF19">
      <w:pPr>
        <w:spacing w:line="360" w:lineRule="auto"/>
        <w:rPr>
          <w:rFonts w:ascii="宋体" w:hAnsi="宋体"/>
          <w:color w:val="auto"/>
          <w:sz w:val="24"/>
        </w:rPr>
      </w:pPr>
      <w:r>
        <w:rPr>
          <w:rFonts w:hint="eastAsia" w:ascii="宋体" w:hAnsi="宋体"/>
          <w:color w:val="auto"/>
          <w:sz w:val="24"/>
        </w:rPr>
        <w:t>2</w:t>
      </w:r>
      <w:r>
        <w:rPr>
          <w:rFonts w:ascii="宋体" w:hAnsi="宋体"/>
          <w:color w:val="auto"/>
          <w:sz w:val="24"/>
        </w:rPr>
        <w:t>3</w:t>
      </w:r>
      <w:r>
        <w:rPr>
          <w:rFonts w:hint="eastAsia" w:ascii="宋体" w:hAnsi="宋体"/>
          <w:color w:val="auto"/>
          <w:sz w:val="24"/>
        </w:rPr>
        <w:t>.2采购机构可按本须知第14条的规定以修改补充通知的方式，延长提交谈判响应文件的截止时间。在此情况下，响应谈判供应商的所有权利和义务以及响应谈判供应商的受制约的截止时间，均以延长后新的谈判</w:t>
      </w:r>
      <w:r>
        <w:rPr>
          <w:rFonts w:ascii="宋体" w:hAnsi="宋体"/>
          <w:color w:val="auto"/>
          <w:sz w:val="24"/>
        </w:rPr>
        <w:t>响应</w:t>
      </w:r>
      <w:r>
        <w:rPr>
          <w:rFonts w:hint="eastAsia" w:ascii="宋体" w:hAnsi="宋体"/>
          <w:color w:val="auto"/>
          <w:sz w:val="24"/>
        </w:rPr>
        <w:t>截止时间为准。</w:t>
      </w:r>
    </w:p>
    <w:p w14:paraId="2E2E05F6">
      <w:pPr>
        <w:spacing w:line="360" w:lineRule="auto"/>
        <w:rPr>
          <w:rFonts w:ascii="宋体" w:hAnsi="宋体"/>
          <w:b/>
          <w:color w:val="auto"/>
          <w:sz w:val="24"/>
        </w:rPr>
      </w:pPr>
      <w:r>
        <w:rPr>
          <w:rFonts w:hint="eastAsia" w:ascii="宋体" w:hAnsi="宋体"/>
          <w:b/>
          <w:color w:val="auto"/>
          <w:sz w:val="24"/>
        </w:rPr>
        <w:t>2</w:t>
      </w:r>
      <w:r>
        <w:rPr>
          <w:rFonts w:ascii="宋体" w:hAnsi="宋体"/>
          <w:b/>
          <w:color w:val="auto"/>
          <w:sz w:val="24"/>
        </w:rPr>
        <w:t>4</w:t>
      </w:r>
      <w:r>
        <w:rPr>
          <w:rFonts w:hint="eastAsia" w:ascii="宋体" w:hAnsi="宋体"/>
          <w:b/>
          <w:color w:val="auto"/>
          <w:sz w:val="24"/>
        </w:rPr>
        <w:t>.谈判响应文件的修改与撤回</w:t>
      </w:r>
    </w:p>
    <w:p w14:paraId="7B9C05DE">
      <w:pPr>
        <w:spacing w:line="360" w:lineRule="auto"/>
        <w:rPr>
          <w:rFonts w:ascii="宋体" w:hAnsi="宋体"/>
          <w:color w:val="auto"/>
          <w:sz w:val="24"/>
        </w:rPr>
      </w:pPr>
      <w:r>
        <w:rPr>
          <w:rFonts w:asciiTheme="minorEastAsia" w:hAnsiTheme="minorEastAsia" w:eastAsiaTheme="minorEastAsia"/>
          <w:color w:val="auto"/>
          <w:sz w:val="24"/>
        </w:rPr>
        <w:t>24.1</w:t>
      </w:r>
      <w:r>
        <w:rPr>
          <w:rFonts w:hint="eastAsia" w:cs="宋体" w:asciiTheme="minorEastAsia" w:hAnsiTheme="minorEastAsia" w:eastAsiaTheme="minorEastAsia"/>
          <w:color w:val="auto"/>
          <w:sz w:val="24"/>
        </w:rPr>
        <w:t xml:space="preserve">响应谈判供应商应当在谈判响应截止时间前完成谈判响应文件的提交，并可以补充、修改或者撤回谈判响应文件。补充或者修改谈判响应文件的，应当先行撤回原文件，补充、修改后重新上传提交。谈判响应截止时间前未完成提交的，视为撤回谈判响应文件。响应截止时间后提交的谈判响应文件，“政采云”平台将无法提交。  </w:t>
      </w:r>
    </w:p>
    <w:p w14:paraId="350FC1F1">
      <w:pPr>
        <w:autoSpaceDE w:val="0"/>
        <w:autoSpaceDN w:val="0"/>
        <w:adjustRightInd w:val="0"/>
        <w:spacing w:before="60" w:after="60" w:line="360" w:lineRule="auto"/>
        <w:jc w:val="left"/>
        <w:rPr>
          <w:rFonts w:cs="宋体" w:asciiTheme="minorEastAsia" w:hAnsiTheme="minorEastAsia" w:eastAsiaTheme="minorEastAsia"/>
          <w:color w:val="auto"/>
          <w:sz w:val="24"/>
        </w:rPr>
      </w:pPr>
      <w:r>
        <w:rPr>
          <w:rFonts w:cs="宋体" w:asciiTheme="minorEastAsia" w:hAnsiTheme="minorEastAsia" w:eastAsiaTheme="minorEastAsia"/>
          <w:color w:val="auto"/>
          <w:sz w:val="24"/>
        </w:rPr>
        <w:t>24.2</w:t>
      </w:r>
      <w:r>
        <w:rPr>
          <w:rFonts w:hint="eastAsia" w:cs="宋体" w:asciiTheme="minorEastAsia" w:hAnsiTheme="minorEastAsia" w:eastAsiaTheme="minorEastAsia"/>
          <w:color w:val="auto"/>
          <w:sz w:val="24"/>
        </w:rPr>
        <w:t>在谈判</w:t>
      </w:r>
      <w:r>
        <w:rPr>
          <w:rFonts w:cs="宋体" w:asciiTheme="minorEastAsia" w:hAnsiTheme="minorEastAsia" w:eastAsiaTheme="minorEastAsia"/>
          <w:color w:val="auto"/>
          <w:sz w:val="24"/>
        </w:rPr>
        <w:t>响应</w:t>
      </w:r>
      <w:r>
        <w:rPr>
          <w:rFonts w:hint="eastAsia" w:cs="宋体" w:asciiTheme="minorEastAsia" w:hAnsiTheme="minorEastAsia" w:eastAsiaTheme="minorEastAsia"/>
          <w:color w:val="auto"/>
          <w:sz w:val="24"/>
        </w:rPr>
        <w:t>截止时间前，除响应谈判供应商补充、修改或者撤回谈判响应文件外，任何单位和个人不得解密或提取谈判响应文件。</w:t>
      </w:r>
    </w:p>
    <w:p w14:paraId="4D980B78">
      <w:pPr>
        <w:autoSpaceDE w:val="0"/>
        <w:autoSpaceDN w:val="0"/>
        <w:adjustRightInd w:val="0"/>
        <w:spacing w:before="60" w:after="60" w:line="360" w:lineRule="auto"/>
        <w:jc w:val="left"/>
        <w:rPr>
          <w:rFonts w:cs="宋体" w:asciiTheme="minorEastAsia" w:hAnsiTheme="minorEastAsia" w:eastAsiaTheme="minorEastAsia"/>
          <w:color w:val="auto"/>
          <w:sz w:val="24"/>
        </w:rPr>
      </w:pPr>
      <w:r>
        <w:rPr>
          <w:rFonts w:cs="宋体" w:asciiTheme="minorEastAsia" w:hAnsiTheme="minorEastAsia" w:eastAsiaTheme="minorEastAsia"/>
          <w:color w:val="auto"/>
          <w:sz w:val="24"/>
        </w:rPr>
        <w:t>24.3</w:t>
      </w:r>
      <w:r>
        <w:rPr>
          <w:rFonts w:hint="eastAsia" w:cs="宋体" w:asciiTheme="minorEastAsia" w:hAnsiTheme="minorEastAsia" w:eastAsiaTheme="minorEastAsia"/>
          <w:color w:val="auto"/>
          <w:sz w:val="24"/>
        </w:rPr>
        <w:t>在谈判</w:t>
      </w:r>
      <w:r>
        <w:rPr>
          <w:rFonts w:cs="宋体" w:asciiTheme="minorEastAsia" w:hAnsiTheme="minorEastAsia" w:eastAsiaTheme="minorEastAsia"/>
          <w:color w:val="auto"/>
          <w:sz w:val="24"/>
        </w:rPr>
        <w:t>响应</w:t>
      </w:r>
      <w:r>
        <w:rPr>
          <w:rFonts w:hint="eastAsia" w:cs="宋体" w:asciiTheme="minorEastAsia" w:hAnsiTheme="minorEastAsia" w:eastAsiaTheme="minorEastAsia"/>
          <w:color w:val="auto"/>
          <w:sz w:val="24"/>
        </w:rPr>
        <w:t>截止时间止提交电子版谈判响应文件的响应谈判供应商不足3家时，电子版谈判响应文件由代理机构在“政采云”平台操作退回，除此之外采购人和采购代理机构对已提交的谈判响应文件概不退回。</w:t>
      </w:r>
    </w:p>
    <w:p w14:paraId="487F57F5">
      <w:pPr>
        <w:spacing w:line="360" w:lineRule="auto"/>
        <w:rPr>
          <w:rFonts w:ascii="宋体" w:hAnsi="宋体"/>
          <w:color w:val="auto"/>
          <w:sz w:val="24"/>
        </w:rPr>
      </w:pPr>
      <w:r>
        <w:rPr>
          <w:rFonts w:hint="eastAsia" w:ascii="宋体" w:hAnsi="宋体"/>
          <w:color w:val="auto"/>
          <w:sz w:val="24"/>
        </w:rPr>
        <w:t>2</w:t>
      </w:r>
      <w:r>
        <w:rPr>
          <w:rFonts w:ascii="宋体" w:hAnsi="宋体"/>
          <w:color w:val="auto"/>
          <w:sz w:val="24"/>
        </w:rPr>
        <w:t>4</w:t>
      </w:r>
      <w:r>
        <w:rPr>
          <w:rFonts w:hint="eastAsia" w:ascii="宋体" w:hAnsi="宋体"/>
          <w:color w:val="auto"/>
          <w:sz w:val="24"/>
        </w:rPr>
        <w:t>.4在本须知第</w:t>
      </w:r>
      <w:r>
        <w:rPr>
          <w:rFonts w:ascii="宋体" w:hAnsi="宋体"/>
          <w:color w:val="auto"/>
          <w:sz w:val="24"/>
        </w:rPr>
        <w:t>19</w:t>
      </w:r>
      <w:r>
        <w:rPr>
          <w:rFonts w:hint="eastAsia" w:ascii="宋体" w:hAnsi="宋体"/>
          <w:color w:val="auto"/>
          <w:sz w:val="24"/>
        </w:rPr>
        <w:t>条规定的谈胖响应截止期至响应有效期终止日之间，响应谈判供应商不能撤回谈判响应文件。</w:t>
      </w:r>
    </w:p>
    <w:p w14:paraId="377FE932">
      <w:pPr>
        <w:spacing w:line="360" w:lineRule="auto"/>
        <w:jc w:val="center"/>
        <w:outlineLvl w:val="1"/>
        <w:rPr>
          <w:rFonts w:ascii="宋体" w:hAnsi="宋体"/>
          <w:b/>
          <w:bCs/>
          <w:color w:val="auto"/>
          <w:sz w:val="32"/>
          <w:szCs w:val="32"/>
        </w:rPr>
      </w:pPr>
      <w:bookmarkStart w:id="12" w:name="_Toc103723522"/>
      <w:r>
        <w:rPr>
          <w:rFonts w:hint="eastAsia" w:ascii="宋体" w:hAnsi="宋体"/>
          <w:b/>
          <w:bCs/>
          <w:color w:val="auto"/>
          <w:sz w:val="32"/>
          <w:szCs w:val="32"/>
        </w:rPr>
        <w:t>六、</w:t>
      </w:r>
      <w:bookmarkEnd w:id="12"/>
      <w:r>
        <w:rPr>
          <w:rFonts w:hint="eastAsia" w:ascii="宋体" w:hAnsi="宋体"/>
          <w:b/>
          <w:bCs/>
          <w:color w:val="auto"/>
          <w:sz w:val="32"/>
          <w:szCs w:val="32"/>
        </w:rPr>
        <w:t>谈判</w:t>
      </w:r>
    </w:p>
    <w:p w14:paraId="2B8608E9">
      <w:pPr>
        <w:spacing w:line="360" w:lineRule="auto"/>
        <w:rPr>
          <w:rFonts w:ascii="宋体" w:hAnsi="宋体"/>
          <w:b/>
          <w:bCs/>
          <w:color w:val="auto"/>
          <w:sz w:val="24"/>
        </w:rPr>
      </w:pPr>
      <w:r>
        <w:rPr>
          <w:rFonts w:ascii="宋体" w:hAnsi="宋体"/>
          <w:b/>
          <w:bCs/>
          <w:color w:val="auto"/>
          <w:sz w:val="24"/>
        </w:rPr>
        <w:t>25.</w:t>
      </w:r>
      <w:r>
        <w:rPr>
          <w:rFonts w:hint="eastAsia" w:ascii="宋体" w:hAnsi="宋体"/>
          <w:b/>
          <w:bCs/>
          <w:color w:val="auto"/>
          <w:sz w:val="24"/>
        </w:rPr>
        <w:t>谈判时间和地点</w:t>
      </w:r>
    </w:p>
    <w:p w14:paraId="4C45FCA3">
      <w:pPr>
        <w:spacing w:line="360" w:lineRule="auto"/>
        <w:ind w:firstLine="480" w:firstLineChars="200"/>
        <w:rPr>
          <w:rFonts w:hint="eastAsia" w:ascii="宋体" w:hAnsi="宋体"/>
          <w:color w:val="auto"/>
          <w:sz w:val="24"/>
          <w:lang w:eastAsia="zh-CN"/>
        </w:rPr>
      </w:pPr>
      <w:r>
        <w:rPr>
          <w:rFonts w:hint="eastAsia" w:ascii="宋体" w:hAnsi="宋体"/>
          <w:color w:val="auto"/>
          <w:sz w:val="24"/>
        </w:rPr>
        <w:t>采购机构将于本须知前附表规定的开标时间和地点组织开标，响应</w:t>
      </w:r>
      <w:r>
        <w:rPr>
          <w:rFonts w:ascii="宋体" w:hAnsi="宋体"/>
          <w:color w:val="auto"/>
          <w:sz w:val="24"/>
        </w:rPr>
        <w:t>谈判供应商</w:t>
      </w:r>
      <w:r>
        <w:rPr>
          <w:rFonts w:hint="eastAsia" w:ascii="宋体" w:hAnsi="宋体"/>
          <w:color w:val="auto"/>
          <w:sz w:val="24"/>
        </w:rPr>
        <w:t>通过“政采云开标</w:t>
      </w:r>
      <w:r>
        <w:rPr>
          <w:rFonts w:ascii="宋体" w:hAnsi="宋体"/>
          <w:color w:val="auto"/>
          <w:sz w:val="24"/>
        </w:rPr>
        <w:t>大厅</w:t>
      </w:r>
      <w:r>
        <w:rPr>
          <w:rFonts w:hint="eastAsia" w:ascii="宋体" w:hAnsi="宋体"/>
          <w:color w:val="auto"/>
          <w:sz w:val="24"/>
        </w:rPr>
        <w:t>”线上参加开标会</w:t>
      </w:r>
      <w:r>
        <w:rPr>
          <w:rFonts w:hint="eastAsia" w:ascii="宋体" w:hAnsi="宋体"/>
          <w:color w:val="auto"/>
          <w:sz w:val="24"/>
          <w:lang w:eastAsia="zh-CN"/>
        </w:rPr>
        <w:t>，按规定时间对加密的响应文件进行解密</w:t>
      </w:r>
      <w:r>
        <w:rPr>
          <w:rFonts w:hint="eastAsia" w:ascii="宋体" w:hAnsi="宋体"/>
          <w:color w:val="auto"/>
          <w:sz w:val="24"/>
        </w:rPr>
        <w:t>，</w:t>
      </w:r>
      <w:r>
        <w:rPr>
          <w:rFonts w:hint="eastAsia" w:ascii="宋体" w:hAnsi="宋体"/>
          <w:color w:val="auto"/>
          <w:sz w:val="24"/>
          <w:lang w:eastAsia="zh-CN"/>
        </w:rPr>
        <w:t>开标方式为远程开标，供应商</w:t>
      </w:r>
      <w:r>
        <w:rPr>
          <w:rFonts w:hint="eastAsia" w:ascii="宋体" w:hAnsi="宋体"/>
          <w:color w:val="auto"/>
          <w:sz w:val="24"/>
          <w:lang w:val="en-US" w:eastAsia="zh-CN"/>
        </w:rPr>
        <w:t>无需</w:t>
      </w:r>
      <w:r>
        <w:rPr>
          <w:rFonts w:hint="eastAsia" w:ascii="宋体" w:hAnsi="宋体"/>
          <w:color w:val="auto"/>
          <w:sz w:val="24"/>
          <w:lang w:eastAsia="zh-CN"/>
        </w:rPr>
        <w:t>到现场，</w:t>
      </w:r>
      <w:r>
        <w:rPr>
          <w:rFonts w:hint="eastAsia" w:ascii="宋体" w:hAnsi="宋体"/>
          <w:color w:val="auto"/>
          <w:sz w:val="24"/>
        </w:rPr>
        <w:t>所有响应谈判</w:t>
      </w:r>
      <w:r>
        <w:rPr>
          <w:rFonts w:ascii="宋体" w:hAnsi="宋体"/>
          <w:color w:val="auto"/>
          <w:sz w:val="24"/>
        </w:rPr>
        <w:t>供应商</w:t>
      </w:r>
      <w:r>
        <w:rPr>
          <w:rFonts w:hint="eastAsia" w:ascii="宋体" w:hAnsi="宋体"/>
          <w:color w:val="auto"/>
          <w:sz w:val="24"/>
        </w:rPr>
        <w:t>均应当准时参加</w:t>
      </w:r>
      <w:r>
        <w:rPr>
          <w:rFonts w:hint="eastAsia" w:ascii="宋体" w:hAnsi="宋体"/>
          <w:color w:val="auto"/>
          <w:sz w:val="24"/>
          <w:lang w:eastAsia="zh-CN"/>
        </w:rPr>
        <w:t>。</w:t>
      </w:r>
    </w:p>
    <w:p w14:paraId="27A98398">
      <w:pPr>
        <w:spacing w:line="360" w:lineRule="auto"/>
        <w:rPr>
          <w:b/>
          <w:color w:val="auto"/>
          <w:sz w:val="24"/>
        </w:rPr>
      </w:pPr>
      <w:r>
        <w:rPr>
          <w:b/>
          <w:color w:val="auto"/>
          <w:sz w:val="24"/>
        </w:rPr>
        <w:t>26.</w:t>
      </w:r>
      <w:r>
        <w:rPr>
          <w:rFonts w:hint="eastAsia"/>
          <w:b/>
          <w:color w:val="auto"/>
          <w:sz w:val="24"/>
        </w:rPr>
        <w:t>谈判程序</w:t>
      </w:r>
    </w:p>
    <w:p w14:paraId="2AB77FE8">
      <w:pPr>
        <w:autoSpaceDE w:val="0"/>
        <w:autoSpaceDN w:val="0"/>
        <w:adjustRightInd w:val="0"/>
        <w:spacing w:before="60" w:after="60" w:line="360" w:lineRule="auto"/>
        <w:rPr>
          <w:rFonts w:cs="宋体"/>
          <w:color w:val="auto"/>
          <w:sz w:val="24"/>
        </w:rPr>
      </w:pPr>
      <w:r>
        <w:rPr>
          <w:rFonts w:hint="eastAsia" w:cs="宋体"/>
          <w:color w:val="auto"/>
          <w:sz w:val="24"/>
        </w:rPr>
        <w:t>2</w:t>
      </w:r>
      <w:r>
        <w:rPr>
          <w:rFonts w:cs="宋体"/>
          <w:color w:val="auto"/>
          <w:sz w:val="24"/>
        </w:rPr>
        <w:t>6.1.</w:t>
      </w:r>
      <w:r>
        <w:rPr>
          <w:rFonts w:hint="eastAsia" w:cs="宋体"/>
          <w:color w:val="auto"/>
          <w:sz w:val="24"/>
        </w:rPr>
        <w:t>解密电子谈判响应文件。“政采云”平台在开标时间自动提取所有谈判响应文件。响应谈判供应商须使用数字</w:t>
      </w:r>
      <w:r>
        <w:rPr>
          <w:rFonts w:cs="宋体"/>
          <w:color w:val="auto"/>
          <w:sz w:val="24"/>
        </w:rPr>
        <w:t>证书</w:t>
      </w:r>
      <w:r>
        <w:rPr>
          <w:rFonts w:hint="eastAsia" w:cs="宋体"/>
          <w:color w:val="auto"/>
          <w:sz w:val="24"/>
        </w:rPr>
        <w:t>按照前附表</w:t>
      </w:r>
      <w:r>
        <w:rPr>
          <w:rFonts w:cs="宋体"/>
          <w:color w:val="auto"/>
          <w:sz w:val="24"/>
        </w:rPr>
        <w:t>规定的时间</w:t>
      </w:r>
      <w:r>
        <w:rPr>
          <w:rFonts w:hint="eastAsia" w:cs="宋体"/>
          <w:color w:val="auto"/>
          <w:sz w:val="24"/>
        </w:rPr>
        <w:t>在</w:t>
      </w:r>
      <w:r>
        <w:rPr>
          <w:rFonts w:cs="宋体"/>
          <w:color w:val="auto"/>
          <w:sz w:val="24"/>
        </w:rPr>
        <w:t>线上</w:t>
      </w:r>
      <w:r>
        <w:rPr>
          <w:rFonts w:hint="eastAsia" w:cs="宋体"/>
          <w:color w:val="auto"/>
          <w:sz w:val="24"/>
        </w:rPr>
        <w:t>对谈判响应文件解密并</w:t>
      </w:r>
      <w:r>
        <w:rPr>
          <w:rFonts w:cs="宋体"/>
          <w:color w:val="auto"/>
          <w:sz w:val="24"/>
        </w:rPr>
        <w:t>确认</w:t>
      </w:r>
      <w:r>
        <w:rPr>
          <w:rFonts w:hint="eastAsia" w:cs="宋体"/>
          <w:color w:val="auto"/>
          <w:sz w:val="24"/>
        </w:rPr>
        <w:t xml:space="preserve">。   </w:t>
      </w:r>
      <w:r>
        <w:rPr>
          <w:rFonts w:cs="宋体"/>
          <w:color w:val="auto"/>
          <w:sz w:val="24"/>
        </w:rPr>
        <w:t>26.2.</w:t>
      </w:r>
      <w:r>
        <w:rPr>
          <w:rFonts w:hint="eastAsia" w:cs="宋体"/>
          <w:color w:val="auto"/>
          <w:sz w:val="24"/>
        </w:rPr>
        <w:t>响应谈判供应商对谈判过程有异议的，应当在线上提出。采购人、采购代理机构对响应谈判</w:t>
      </w:r>
      <w:r>
        <w:rPr>
          <w:rFonts w:cs="宋体"/>
          <w:color w:val="auto"/>
          <w:sz w:val="24"/>
        </w:rPr>
        <w:t>供应商</w:t>
      </w:r>
      <w:r>
        <w:rPr>
          <w:rFonts w:hint="eastAsia" w:cs="宋体"/>
          <w:color w:val="auto"/>
          <w:sz w:val="24"/>
        </w:rPr>
        <w:t>提出的异议应当及时处理。</w:t>
      </w:r>
    </w:p>
    <w:p w14:paraId="7F0D8D00">
      <w:pPr>
        <w:autoSpaceDE w:val="0"/>
        <w:autoSpaceDN w:val="0"/>
        <w:adjustRightInd w:val="0"/>
        <w:spacing w:before="60" w:after="60" w:line="360" w:lineRule="auto"/>
        <w:rPr>
          <w:rFonts w:cs="宋体"/>
          <w:color w:val="auto"/>
          <w:sz w:val="24"/>
        </w:rPr>
      </w:pPr>
      <w:r>
        <w:rPr>
          <w:rFonts w:cs="宋体"/>
          <w:color w:val="auto"/>
          <w:sz w:val="24"/>
        </w:rPr>
        <w:t>26.3.</w:t>
      </w:r>
      <w:r>
        <w:rPr>
          <w:rFonts w:hint="eastAsia" w:cs="宋体"/>
          <w:color w:val="auto"/>
          <w:sz w:val="24"/>
        </w:rPr>
        <w:t>响应谈判</w:t>
      </w:r>
      <w:r>
        <w:rPr>
          <w:rFonts w:cs="宋体"/>
          <w:color w:val="auto"/>
          <w:sz w:val="24"/>
        </w:rPr>
        <w:t>供应商</w:t>
      </w:r>
      <w:r>
        <w:rPr>
          <w:rFonts w:hint="eastAsia" w:cs="宋体"/>
          <w:color w:val="auto"/>
          <w:sz w:val="24"/>
        </w:rPr>
        <w:t>因自身</w:t>
      </w:r>
      <w:r>
        <w:rPr>
          <w:rFonts w:cs="宋体"/>
          <w:color w:val="auto"/>
          <w:sz w:val="24"/>
        </w:rPr>
        <w:t>原因</w:t>
      </w:r>
      <w:r>
        <w:rPr>
          <w:rFonts w:hint="eastAsia" w:cs="宋体"/>
          <w:color w:val="auto"/>
          <w:sz w:val="24"/>
        </w:rPr>
        <w:t>未按时解密的一切后果由响应谈判</w:t>
      </w:r>
      <w:r>
        <w:rPr>
          <w:rFonts w:cs="宋体"/>
          <w:color w:val="auto"/>
          <w:sz w:val="24"/>
        </w:rPr>
        <w:t>供应商自行</w:t>
      </w:r>
      <w:r>
        <w:rPr>
          <w:rFonts w:hint="eastAsia" w:cs="宋体"/>
          <w:color w:val="auto"/>
          <w:sz w:val="24"/>
        </w:rPr>
        <w:t>承担。如遇“政采云”平台电子化开标或评审程序调整的，按调整后执行</w:t>
      </w:r>
      <w:r>
        <w:rPr>
          <w:rFonts w:hint="eastAsia" w:ascii="宋体" w:hAnsi="宋体"/>
          <w:color w:val="auto"/>
          <w:sz w:val="24"/>
        </w:rPr>
        <w:t>。</w:t>
      </w:r>
    </w:p>
    <w:p w14:paraId="6C0734D2">
      <w:pPr>
        <w:autoSpaceDE w:val="0"/>
        <w:autoSpaceDN w:val="0"/>
        <w:adjustRightInd w:val="0"/>
        <w:spacing w:before="60" w:after="60" w:line="360" w:lineRule="auto"/>
        <w:rPr>
          <w:rFonts w:cs="宋体"/>
          <w:color w:val="auto"/>
          <w:sz w:val="24"/>
        </w:rPr>
      </w:pPr>
      <w:r>
        <w:rPr>
          <w:rFonts w:cs="宋体"/>
          <w:color w:val="auto"/>
          <w:sz w:val="24"/>
        </w:rPr>
        <w:t>26.4</w:t>
      </w:r>
      <w:r>
        <w:rPr>
          <w:rFonts w:hint="eastAsia" w:cs="宋体"/>
          <w:color w:val="auto"/>
          <w:sz w:val="24"/>
        </w:rPr>
        <w:t>采购代理机构将按照谈判文件规定的开标时间和地点组织开标活动、开启谈判响应文件，所有响应谈判供应商均应当准时参加。</w:t>
      </w:r>
    </w:p>
    <w:p w14:paraId="7E6C30F9">
      <w:pPr>
        <w:autoSpaceDE w:val="0"/>
        <w:autoSpaceDN w:val="0"/>
        <w:adjustRightInd w:val="0"/>
        <w:spacing w:before="60" w:after="60" w:line="360" w:lineRule="auto"/>
        <w:rPr>
          <w:rFonts w:cs="宋体"/>
          <w:color w:val="auto"/>
          <w:sz w:val="24"/>
        </w:rPr>
      </w:pPr>
      <w:r>
        <w:rPr>
          <w:rFonts w:hint="eastAsia" w:cs="宋体"/>
          <w:color w:val="auto"/>
          <w:sz w:val="24"/>
        </w:rPr>
        <w:t>26.5谈判</w:t>
      </w:r>
      <w:r>
        <w:rPr>
          <w:rFonts w:cs="宋体"/>
          <w:color w:val="auto"/>
          <w:sz w:val="24"/>
        </w:rPr>
        <w:t>小组将在</w:t>
      </w:r>
      <w:r>
        <w:rPr>
          <w:rFonts w:hint="eastAsia" w:cs="宋体"/>
          <w:color w:val="auto"/>
          <w:sz w:val="24"/>
        </w:rPr>
        <w:t>符合性评审后，</w:t>
      </w:r>
      <w:r>
        <w:rPr>
          <w:rFonts w:cs="宋体"/>
          <w:color w:val="auto"/>
          <w:sz w:val="24"/>
        </w:rPr>
        <w:t>通过“</w:t>
      </w:r>
      <w:r>
        <w:rPr>
          <w:rFonts w:hint="eastAsia" w:cs="宋体"/>
          <w:color w:val="auto"/>
          <w:sz w:val="24"/>
        </w:rPr>
        <w:t>政采云</w:t>
      </w:r>
      <w:r>
        <w:rPr>
          <w:rFonts w:cs="宋体"/>
          <w:color w:val="auto"/>
          <w:sz w:val="24"/>
        </w:rPr>
        <w:t>”对</w:t>
      </w:r>
      <w:r>
        <w:rPr>
          <w:rFonts w:hint="eastAsia" w:cs="宋体"/>
          <w:color w:val="auto"/>
          <w:sz w:val="24"/>
        </w:rPr>
        <w:t>合格</w:t>
      </w:r>
      <w:r>
        <w:rPr>
          <w:rFonts w:cs="宋体"/>
          <w:color w:val="auto"/>
          <w:sz w:val="24"/>
        </w:rPr>
        <w:t>的响应谈判供应商发起谈判邀请，响应谈判供应商</w:t>
      </w:r>
      <w:r>
        <w:rPr>
          <w:rFonts w:hint="eastAsia" w:cs="宋体"/>
          <w:color w:val="auto"/>
          <w:sz w:val="24"/>
        </w:rPr>
        <w:t>通过</w:t>
      </w:r>
      <w:r>
        <w:rPr>
          <w:rFonts w:cs="宋体"/>
          <w:color w:val="auto"/>
          <w:sz w:val="24"/>
        </w:rPr>
        <w:t>“</w:t>
      </w:r>
      <w:r>
        <w:rPr>
          <w:rFonts w:hint="eastAsia" w:cs="宋体"/>
          <w:color w:val="auto"/>
          <w:sz w:val="24"/>
        </w:rPr>
        <w:t>政采</w:t>
      </w:r>
      <w:r>
        <w:rPr>
          <w:rFonts w:cs="宋体"/>
          <w:color w:val="auto"/>
          <w:sz w:val="24"/>
        </w:rPr>
        <w:t>云”</w:t>
      </w:r>
      <w:r>
        <w:rPr>
          <w:rFonts w:hint="eastAsia" w:cs="宋体"/>
          <w:color w:val="auto"/>
          <w:sz w:val="24"/>
        </w:rPr>
        <w:t>在</w:t>
      </w:r>
      <w:r>
        <w:rPr>
          <w:rFonts w:cs="宋体"/>
          <w:color w:val="auto"/>
          <w:sz w:val="24"/>
        </w:rPr>
        <w:t>线与谈判小组进行谈判。</w:t>
      </w:r>
      <w:r>
        <w:rPr>
          <w:rFonts w:hint="eastAsia" w:ascii="宋体" w:hAnsi="宋体"/>
          <w:color w:val="auto"/>
          <w:sz w:val="24"/>
        </w:rPr>
        <w:t>所有参加谈判的供应商须在规定时间内完成“政采云平台”最终报价，并同时</w:t>
      </w:r>
      <w:r>
        <w:rPr>
          <w:rFonts w:ascii="宋体" w:hAnsi="宋体"/>
          <w:color w:val="auto"/>
          <w:sz w:val="24"/>
        </w:rPr>
        <w:t>上传</w:t>
      </w:r>
      <w:r>
        <w:rPr>
          <w:rFonts w:hint="eastAsia" w:cs="宋体"/>
          <w:color w:val="auto"/>
          <w:sz w:val="24"/>
        </w:rPr>
        <w:t>与最终报价相符的《响应报价明细表》，否则视为响应无效。</w:t>
      </w:r>
    </w:p>
    <w:p w14:paraId="4B6F5AA7">
      <w:pPr>
        <w:autoSpaceDE w:val="0"/>
        <w:autoSpaceDN w:val="0"/>
        <w:adjustRightInd w:val="0"/>
        <w:spacing w:before="60" w:after="60" w:line="360" w:lineRule="auto"/>
        <w:rPr>
          <w:rFonts w:ascii="宋体" w:hAnsi="宋体"/>
          <w:color w:val="auto"/>
          <w:sz w:val="24"/>
        </w:rPr>
      </w:pPr>
      <w:r>
        <w:rPr>
          <w:rFonts w:ascii="宋体" w:hAnsi="宋体"/>
          <w:color w:val="auto"/>
          <w:sz w:val="24"/>
        </w:rPr>
        <w:t>26.6</w:t>
      </w:r>
      <w:r>
        <w:rPr>
          <w:rFonts w:hint="eastAsia" w:ascii="宋体" w:hAnsi="宋体"/>
          <w:color w:val="auto"/>
          <w:sz w:val="24"/>
        </w:rPr>
        <w:t>在线</w:t>
      </w:r>
      <w:r>
        <w:rPr>
          <w:rFonts w:hint="eastAsia" w:ascii="宋体" w:hAnsi="宋体"/>
          <w:color w:val="auto"/>
          <w:sz w:val="24"/>
          <w:lang w:val="en-US" w:eastAsia="zh-CN"/>
        </w:rPr>
        <w:t>响应</w:t>
      </w:r>
      <w:r>
        <w:rPr>
          <w:rFonts w:hint="eastAsia" w:ascii="宋体" w:hAnsi="宋体"/>
          <w:color w:val="auto"/>
          <w:sz w:val="24"/>
        </w:rPr>
        <w:t>时间和提交最终报价的时间见本须知前附表。</w:t>
      </w:r>
    </w:p>
    <w:p w14:paraId="4734B2D8">
      <w:pPr>
        <w:autoSpaceDE w:val="0"/>
        <w:autoSpaceDN w:val="0"/>
        <w:adjustRightInd w:val="0"/>
        <w:spacing w:before="60" w:after="60" w:line="360" w:lineRule="auto"/>
        <w:rPr>
          <w:rFonts w:cs="宋体"/>
          <w:color w:val="auto"/>
          <w:sz w:val="24"/>
        </w:rPr>
      </w:pPr>
    </w:p>
    <w:p w14:paraId="64293A8E">
      <w:pPr>
        <w:spacing w:line="360" w:lineRule="auto"/>
        <w:jc w:val="center"/>
        <w:outlineLvl w:val="1"/>
        <w:rPr>
          <w:b/>
          <w:color w:val="auto"/>
          <w:sz w:val="32"/>
          <w:szCs w:val="32"/>
        </w:rPr>
      </w:pPr>
      <w:bookmarkStart w:id="13" w:name="_Toc103723523"/>
      <w:r>
        <w:rPr>
          <w:rFonts w:hint="eastAsia" w:ascii="宋体" w:hAnsi="宋体"/>
          <w:b/>
          <w:color w:val="auto"/>
          <w:sz w:val="32"/>
          <w:szCs w:val="32"/>
        </w:rPr>
        <w:t>七、评</w:t>
      </w:r>
      <w:bookmarkEnd w:id="13"/>
      <w:r>
        <w:rPr>
          <w:rFonts w:hint="eastAsia" w:ascii="宋体" w:hAnsi="宋体"/>
          <w:b/>
          <w:color w:val="auto"/>
          <w:sz w:val="32"/>
          <w:szCs w:val="32"/>
        </w:rPr>
        <w:t>审</w:t>
      </w:r>
    </w:p>
    <w:p w14:paraId="566729BA">
      <w:pPr>
        <w:spacing w:line="360" w:lineRule="auto"/>
        <w:rPr>
          <w:rFonts w:ascii="宋体" w:hAnsi="宋体"/>
          <w:b/>
          <w:bCs/>
          <w:color w:val="auto"/>
          <w:sz w:val="24"/>
        </w:rPr>
      </w:pPr>
      <w:r>
        <w:rPr>
          <w:rFonts w:ascii="宋体" w:hAnsi="宋体"/>
          <w:b/>
          <w:bCs/>
          <w:color w:val="auto"/>
          <w:sz w:val="24"/>
        </w:rPr>
        <w:t>27.</w:t>
      </w:r>
      <w:r>
        <w:rPr>
          <w:rFonts w:hint="eastAsia" w:ascii="宋体" w:hAnsi="宋体"/>
          <w:b/>
          <w:color w:val="auto"/>
          <w:sz w:val="24"/>
        </w:rPr>
        <w:t>谈判</w:t>
      </w:r>
      <w:r>
        <w:rPr>
          <w:rFonts w:ascii="宋体" w:hAnsi="宋体"/>
          <w:b/>
          <w:color w:val="auto"/>
          <w:sz w:val="24"/>
        </w:rPr>
        <w:t>小组</w:t>
      </w:r>
    </w:p>
    <w:p w14:paraId="636447AC">
      <w:pPr>
        <w:pStyle w:val="22"/>
        <w:spacing w:line="360" w:lineRule="auto"/>
        <w:rPr>
          <w:rFonts w:hint="default" w:hAnsi="宋体"/>
          <w:color w:val="auto"/>
          <w:sz w:val="24"/>
          <w:szCs w:val="24"/>
        </w:rPr>
      </w:pPr>
      <w:r>
        <w:rPr>
          <w:rFonts w:hint="default" w:hAnsi="宋体"/>
          <w:color w:val="auto"/>
          <w:sz w:val="24"/>
          <w:szCs w:val="24"/>
        </w:rPr>
        <w:t>27.</w:t>
      </w:r>
      <w:r>
        <w:rPr>
          <w:rFonts w:hAnsi="宋体"/>
          <w:color w:val="auto"/>
          <w:sz w:val="24"/>
          <w:szCs w:val="24"/>
        </w:rPr>
        <w:t>1采购机构将依法组建谈判小组。谈判小组成员由具有</w:t>
      </w:r>
      <w:r>
        <w:rPr>
          <w:rFonts w:hint="eastAsia" w:hAnsi="宋体"/>
          <w:color w:val="auto"/>
          <w:sz w:val="24"/>
          <w:szCs w:val="24"/>
          <w:lang w:val="en-US" w:eastAsia="zh-CN"/>
        </w:rPr>
        <w:t>相关</w:t>
      </w:r>
      <w:r>
        <w:rPr>
          <w:rFonts w:hAnsi="宋体"/>
          <w:color w:val="auto"/>
          <w:sz w:val="24"/>
          <w:szCs w:val="24"/>
        </w:rPr>
        <w:t>职称或具有同等专业水平的相关领域专家组成。与采购项目有直接利害关系或与响应谈判供应商有任何利害关系的专家，不得进入本项目的谈判小组。谈判小组成员名单在成交结果确定前应当保密。</w:t>
      </w:r>
    </w:p>
    <w:p w14:paraId="0CA134A9">
      <w:pPr>
        <w:pStyle w:val="22"/>
        <w:spacing w:line="360" w:lineRule="auto"/>
        <w:rPr>
          <w:rFonts w:hint="default" w:hAnsi="宋体"/>
          <w:color w:val="auto"/>
          <w:sz w:val="24"/>
          <w:szCs w:val="24"/>
        </w:rPr>
      </w:pPr>
      <w:r>
        <w:rPr>
          <w:rFonts w:hint="default" w:hAnsi="宋体"/>
          <w:color w:val="auto"/>
          <w:sz w:val="24"/>
          <w:szCs w:val="24"/>
        </w:rPr>
        <w:t>27.2</w:t>
      </w:r>
      <w:r>
        <w:rPr>
          <w:rFonts w:hAnsi="宋体"/>
          <w:color w:val="auto"/>
          <w:sz w:val="24"/>
          <w:szCs w:val="24"/>
        </w:rPr>
        <w:t>本项目评谈判小组成员人数及确定方式见本须知前附表。</w:t>
      </w:r>
    </w:p>
    <w:p w14:paraId="06C56393">
      <w:pPr>
        <w:pStyle w:val="22"/>
        <w:spacing w:line="360" w:lineRule="auto"/>
        <w:rPr>
          <w:rFonts w:hint="default" w:hAnsi="宋体"/>
          <w:color w:val="auto"/>
          <w:sz w:val="24"/>
          <w:szCs w:val="24"/>
        </w:rPr>
      </w:pPr>
      <w:r>
        <w:rPr>
          <w:rFonts w:hint="default" w:hAnsi="宋体"/>
          <w:color w:val="auto"/>
          <w:sz w:val="24"/>
          <w:szCs w:val="24"/>
        </w:rPr>
        <w:t>27.3</w:t>
      </w:r>
      <w:r>
        <w:rPr>
          <w:rFonts w:hAnsi="宋体"/>
          <w:color w:val="auto"/>
          <w:sz w:val="24"/>
          <w:szCs w:val="24"/>
        </w:rPr>
        <w:t>谈判小组成员有下列情形之一的，应当回避：</w:t>
      </w:r>
    </w:p>
    <w:p w14:paraId="641C3E79">
      <w:pPr>
        <w:pStyle w:val="22"/>
        <w:spacing w:line="360" w:lineRule="auto"/>
        <w:rPr>
          <w:rFonts w:hint="default" w:hAnsi="宋体"/>
          <w:color w:val="auto"/>
          <w:sz w:val="24"/>
          <w:szCs w:val="24"/>
        </w:rPr>
      </w:pPr>
      <w:r>
        <w:rPr>
          <w:rFonts w:hint="default" w:hAnsi="宋体"/>
          <w:color w:val="auto"/>
          <w:sz w:val="24"/>
          <w:szCs w:val="24"/>
        </w:rPr>
        <w:t>27</w:t>
      </w:r>
      <w:r>
        <w:rPr>
          <w:rFonts w:hAnsi="宋体"/>
          <w:color w:val="auto"/>
          <w:sz w:val="24"/>
          <w:szCs w:val="24"/>
        </w:rPr>
        <w:t>.3.1采购人或响应谈判供应商的主要负责人的近亲属；</w:t>
      </w:r>
    </w:p>
    <w:p w14:paraId="7F159C92">
      <w:pPr>
        <w:pStyle w:val="22"/>
        <w:spacing w:line="360" w:lineRule="auto"/>
        <w:rPr>
          <w:rFonts w:hint="default" w:hAnsi="宋体"/>
          <w:color w:val="auto"/>
          <w:sz w:val="24"/>
          <w:szCs w:val="24"/>
        </w:rPr>
      </w:pPr>
      <w:r>
        <w:rPr>
          <w:rFonts w:hint="default" w:hAnsi="宋体"/>
          <w:color w:val="auto"/>
          <w:sz w:val="24"/>
          <w:szCs w:val="24"/>
        </w:rPr>
        <w:t>27</w:t>
      </w:r>
      <w:r>
        <w:rPr>
          <w:rFonts w:hAnsi="宋体"/>
          <w:color w:val="auto"/>
          <w:sz w:val="24"/>
          <w:szCs w:val="24"/>
        </w:rPr>
        <w:t>.3.2项目主管部门或者行政监督部门的人员；</w:t>
      </w:r>
    </w:p>
    <w:p w14:paraId="40E80CB8">
      <w:pPr>
        <w:pStyle w:val="22"/>
        <w:spacing w:line="360" w:lineRule="auto"/>
        <w:rPr>
          <w:rFonts w:hint="default" w:hAnsi="宋体"/>
          <w:color w:val="auto"/>
          <w:sz w:val="24"/>
          <w:szCs w:val="24"/>
        </w:rPr>
      </w:pPr>
      <w:r>
        <w:rPr>
          <w:rFonts w:hint="default" w:hAnsi="宋体"/>
          <w:color w:val="auto"/>
          <w:sz w:val="24"/>
          <w:szCs w:val="24"/>
        </w:rPr>
        <w:t>27</w:t>
      </w:r>
      <w:r>
        <w:rPr>
          <w:rFonts w:hAnsi="宋体"/>
          <w:color w:val="auto"/>
          <w:sz w:val="24"/>
          <w:szCs w:val="24"/>
        </w:rPr>
        <w:t>.3.3与响应谈判供应商有经济利益关系，可能影响对谈判公正评审的；</w:t>
      </w:r>
    </w:p>
    <w:p w14:paraId="54CB9CEE">
      <w:pPr>
        <w:pStyle w:val="22"/>
        <w:spacing w:line="360" w:lineRule="auto"/>
        <w:rPr>
          <w:rFonts w:hint="default" w:hAnsi="宋体"/>
          <w:color w:val="auto"/>
          <w:sz w:val="24"/>
          <w:szCs w:val="24"/>
        </w:rPr>
      </w:pPr>
      <w:r>
        <w:rPr>
          <w:rFonts w:hint="default" w:hAnsi="宋体"/>
          <w:color w:val="auto"/>
          <w:sz w:val="24"/>
          <w:szCs w:val="24"/>
        </w:rPr>
        <w:t>27</w:t>
      </w:r>
      <w:r>
        <w:rPr>
          <w:rFonts w:hAnsi="宋体"/>
          <w:color w:val="auto"/>
          <w:sz w:val="24"/>
          <w:szCs w:val="24"/>
        </w:rPr>
        <w:t>.3.4曾因在招标、评审以及其他与招标投标有关活动中从事违法行为而受过行政处罚或刑事处罚的。</w:t>
      </w:r>
    </w:p>
    <w:p w14:paraId="3319B849">
      <w:pPr>
        <w:pStyle w:val="22"/>
        <w:spacing w:line="360" w:lineRule="auto"/>
        <w:rPr>
          <w:rFonts w:hint="default" w:hAnsi="宋体"/>
          <w:b/>
          <w:color w:val="auto"/>
          <w:sz w:val="24"/>
          <w:szCs w:val="24"/>
        </w:rPr>
      </w:pPr>
      <w:r>
        <w:rPr>
          <w:rFonts w:hint="default" w:hAnsi="宋体"/>
          <w:b/>
          <w:color w:val="auto"/>
          <w:sz w:val="24"/>
          <w:szCs w:val="24"/>
        </w:rPr>
        <w:t>28</w:t>
      </w:r>
      <w:r>
        <w:rPr>
          <w:rFonts w:hAnsi="宋体"/>
          <w:b/>
          <w:color w:val="auto"/>
          <w:sz w:val="24"/>
          <w:szCs w:val="24"/>
        </w:rPr>
        <w:t>.谈判原则</w:t>
      </w:r>
    </w:p>
    <w:p w14:paraId="0FB7E2A2">
      <w:pPr>
        <w:autoSpaceDE w:val="0"/>
        <w:autoSpaceDN w:val="0"/>
        <w:adjustRightInd w:val="0"/>
        <w:spacing w:line="360" w:lineRule="auto"/>
        <w:jc w:val="left"/>
        <w:rPr>
          <w:rFonts w:cs="宋体" w:asciiTheme="minorEastAsia" w:hAnsiTheme="minorEastAsia" w:eastAsiaTheme="minorEastAsia"/>
          <w:color w:val="auto"/>
          <w:sz w:val="24"/>
        </w:rPr>
      </w:pPr>
      <w:r>
        <w:rPr>
          <w:rFonts w:cs="宋体" w:asciiTheme="minorEastAsia" w:hAnsiTheme="minorEastAsia" w:eastAsiaTheme="minorEastAsia"/>
          <w:color w:val="auto"/>
          <w:sz w:val="24"/>
        </w:rPr>
        <w:t>28.1</w:t>
      </w:r>
      <w:r>
        <w:rPr>
          <w:rFonts w:hint="eastAsia" w:cs="宋体" w:asciiTheme="minorEastAsia" w:hAnsiTheme="minorEastAsia" w:eastAsiaTheme="minorEastAsia"/>
          <w:color w:val="auto"/>
          <w:sz w:val="24"/>
        </w:rPr>
        <w:t>谈判小组评审时必须公平、公正、客观，不带任何倾向性和启发性；不得向外界透露任何与评审有关的内容；任何单位和个人不得干扰、影响评审的正常进行；谈判小组及有关工作人员不得私下与响应谈判供应商接触，不得收受利害关系人的财物或者其他好处。</w:t>
      </w:r>
    </w:p>
    <w:p w14:paraId="6BBCFACC">
      <w:pPr>
        <w:pStyle w:val="22"/>
        <w:spacing w:line="360" w:lineRule="auto"/>
        <w:rPr>
          <w:rFonts w:hint="default" w:hAnsi="宋体"/>
          <w:b/>
          <w:color w:val="auto"/>
          <w:sz w:val="24"/>
          <w:szCs w:val="24"/>
        </w:rPr>
      </w:pPr>
      <w:r>
        <w:rPr>
          <w:rFonts w:hint="default" w:hAnsi="宋体"/>
          <w:b/>
          <w:color w:val="auto"/>
          <w:sz w:val="24"/>
          <w:szCs w:val="24"/>
        </w:rPr>
        <w:t>29.</w:t>
      </w:r>
      <w:r>
        <w:rPr>
          <w:rFonts w:hAnsi="宋体"/>
          <w:b/>
          <w:color w:val="auto"/>
          <w:sz w:val="24"/>
          <w:szCs w:val="24"/>
        </w:rPr>
        <w:t>谈判</w:t>
      </w:r>
    </w:p>
    <w:p w14:paraId="4D000A93">
      <w:pPr>
        <w:autoSpaceDE w:val="0"/>
        <w:autoSpaceDN w:val="0"/>
        <w:adjustRightInd w:val="0"/>
        <w:spacing w:line="360" w:lineRule="auto"/>
        <w:jc w:val="left"/>
        <w:rPr>
          <w:rFonts w:cs="宋体" w:asciiTheme="minorEastAsia" w:hAnsiTheme="minorEastAsia" w:eastAsiaTheme="minorEastAsia"/>
          <w:color w:val="auto"/>
          <w:sz w:val="24"/>
        </w:rPr>
      </w:pPr>
      <w:r>
        <w:rPr>
          <w:rFonts w:cs="宋体" w:asciiTheme="minorEastAsia" w:hAnsiTheme="minorEastAsia" w:eastAsiaTheme="minorEastAsia"/>
          <w:color w:val="auto"/>
          <w:sz w:val="24"/>
        </w:rPr>
        <w:t>29.1</w:t>
      </w:r>
      <w:r>
        <w:rPr>
          <w:rFonts w:hint="eastAsia" w:cs="宋体" w:asciiTheme="minorEastAsia" w:hAnsiTheme="minorEastAsia" w:eastAsiaTheme="minorEastAsia"/>
          <w:color w:val="auto"/>
          <w:sz w:val="24"/>
        </w:rPr>
        <w:t>在评审过程中出现法律法规和谈判文件均没有明确规定的情形时，由谈判</w:t>
      </w:r>
      <w:r>
        <w:rPr>
          <w:rFonts w:cs="宋体" w:asciiTheme="minorEastAsia" w:hAnsiTheme="minorEastAsia" w:eastAsiaTheme="minorEastAsia"/>
          <w:color w:val="auto"/>
          <w:sz w:val="24"/>
        </w:rPr>
        <w:t>小组</w:t>
      </w:r>
      <w:r>
        <w:rPr>
          <w:rFonts w:hint="eastAsia" w:cs="宋体" w:asciiTheme="minorEastAsia" w:hAnsiTheme="minorEastAsia" w:eastAsiaTheme="minorEastAsia"/>
          <w:color w:val="auto"/>
          <w:sz w:val="24"/>
        </w:rPr>
        <w:t>现场协商解决，协商不一致的，由全体评委投票表决，以得票率二分之一以上专家的意见为准并由采购代理机构作记录。</w:t>
      </w:r>
      <w:bookmarkStart w:id="14" w:name="_28.3评标方法。本项目将按须知前附表规定的评标办法进行评标，具体评标"/>
      <w:bookmarkEnd w:id="14"/>
    </w:p>
    <w:p w14:paraId="083690B9">
      <w:pPr>
        <w:autoSpaceDE w:val="0"/>
        <w:autoSpaceDN w:val="0"/>
        <w:adjustRightInd w:val="0"/>
        <w:spacing w:line="360" w:lineRule="auto"/>
        <w:jc w:val="left"/>
        <w:rPr>
          <w:rFonts w:cs="宋体" w:asciiTheme="minorEastAsia" w:hAnsiTheme="minorEastAsia" w:eastAsiaTheme="minorEastAsia"/>
          <w:color w:val="auto"/>
          <w:sz w:val="24"/>
        </w:rPr>
      </w:pPr>
      <w:r>
        <w:rPr>
          <w:rFonts w:cs="宋体" w:asciiTheme="minorEastAsia" w:hAnsiTheme="minorEastAsia" w:eastAsiaTheme="minorEastAsia"/>
          <w:color w:val="auto"/>
          <w:sz w:val="24"/>
        </w:rPr>
        <w:t>29.2</w:t>
      </w:r>
      <w:r>
        <w:rPr>
          <w:rFonts w:hint="eastAsia" w:cs="宋体" w:asciiTheme="minorEastAsia" w:hAnsiTheme="minorEastAsia" w:eastAsiaTheme="minorEastAsia"/>
          <w:color w:val="auto"/>
          <w:sz w:val="24"/>
        </w:rPr>
        <w:t>采购人、采购代理机构应当采取必要措施，保证评审在严格保密（封闭式评审）的情况下进行。除采购代理机构工作人员、评审现场组织人员外，采购人的其他工作人员以及与评审工作无关的人员不得进入评审现场。有关人员对评审情况以及在评审过程中获悉的国家秘密、商业秘密负有保密责任。</w:t>
      </w:r>
    </w:p>
    <w:p w14:paraId="3321A6A9">
      <w:pPr>
        <w:autoSpaceDE w:val="0"/>
        <w:autoSpaceDN w:val="0"/>
        <w:adjustRightInd w:val="0"/>
        <w:spacing w:line="360" w:lineRule="auto"/>
        <w:jc w:val="left"/>
        <w:rPr>
          <w:rFonts w:cs="宋体" w:asciiTheme="minorEastAsia" w:hAnsiTheme="minorEastAsia" w:eastAsiaTheme="minorEastAsia"/>
          <w:color w:val="auto"/>
          <w:sz w:val="24"/>
        </w:rPr>
      </w:pPr>
      <w:r>
        <w:rPr>
          <w:rFonts w:cs="宋体" w:asciiTheme="minorEastAsia" w:hAnsiTheme="minorEastAsia" w:eastAsiaTheme="minorEastAsia"/>
          <w:color w:val="auto"/>
          <w:sz w:val="24"/>
        </w:rPr>
        <w:t>29.3</w:t>
      </w:r>
      <w:r>
        <w:rPr>
          <w:rFonts w:hint="eastAsia" w:cs="宋体" w:asciiTheme="minorEastAsia" w:hAnsiTheme="minorEastAsia" w:eastAsiaTheme="minorEastAsia"/>
          <w:color w:val="auto"/>
          <w:sz w:val="24"/>
        </w:rPr>
        <w:t>本项目电子评审过程实行网上留痕、全程录音、录像监控，响应谈判供应商在评审过程中所进行的试图影响评审结果的不公正活动，其响应按无效处理。</w:t>
      </w:r>
    </w:p>
    <w:p w14:paraId="1B723AE1">
      <w:pPr>
        <w:autoSpaceDE w:val="0"/>
        <w:autoSpaceDN w:val="0"/>
        <w:adjustRightInd w:val="0"/>
        <w:spacing w:line="360" w:lineRule="auto"/>
        <w:jc w:val="left"/>
        <w:rPr>
          <w:rFonts w:cs="宋体" w:asciiTheme="minorEastAsia" w:hAnsiTheme="minorEastAsia" w:eastAsiaTheme="minorEastAsia"/>
          <w:color w:val="auto"/>
          <w:sz w:val="24"/>
        </w:rPr>
      </w:pPr>
      <w:r>
        <w:rPr>
          <w:rFonts w:cs="宋体" w:asciiTheme="minorEastAsia" w:hAnsiTheme="minorEastAsia" w:eastAsiaTheme="minorEastAsia"/>
          <w:color w:val="auto"/>
          <w:sz w:val="24"/>
        </w:rPr>
        <w:t>29.4</w:t>
      </w:r>
      <w:r>
        <w:rPr>
          <w:rFonts w:hint="eastAsia" w:cs="宋体" w:asciiTheme="minorEastAsia" w:hAnsiTheme="minorEastAsia" w:eastAsiaTheme="minorEastAsia"/>
          <w:color w:val="auto"/>
          <w:sz w:val="24"/>
        </w:rPr>
        <w:t>采购过程中出现以下情形，导致电子交易平台无法正常运行，或者无法保证电子交易的公平、公正和安全时，采购机构可中止电子交易活动：</w:t>
      </w:r>
    </w:p>
    <w:p w14:paraId="3855BA71">
      <w:pPr>
        <w:autoSpaceDE w:val="0"/>
        <w:autoSpaceDN w:val="0"/>
        <w:adjustRightInd w:val="0"/>
        <w:spacing w:line="360" w:lineRule="auto"/>
        <w:ind w:firstLine="240" w:firstLineChars="1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（1）电子交易平台发生故障而无法登录访问的； </w:t>
      </w:r>
    </w:p>
    <w:p w14:paraId="13F834D7">
      <w:pPr>
        <w:autoSpaceDE w:val="0"/>
        <w:autoSpaceDN w:val="0"/>
        <w:adjustRightInd w:val="0"/>
        <w:spacing w:line="360" w:lineRule="auto"/>
        <w:ind w:firstLine="240" w:firstLineChars="1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（2）电子交易平台应用或数据库出现错误，不能进行正常操作的；</w:t>
      </w:r>
    </w:p>
    <w:p w14:paraId="46CDCF60">
      <w:pPr>
        <w:autoSpaceDE w:val="0"/>
        <w:autoSpaceDN w:val="0"/>
        <w:adjustRightInd w:val="0"/>
        <w:spacing w:line="360" w:lineRule="auto"/>
        <w:ind w:firstLine="240" w:firstLineChars="1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（3）电子交易平台发现严重安全漏洞，有潜在泄密危险的；</w:t>
      </w:r>
    </w:p>
    <w:p w14:paraId="210B5AD6">
      <w:pPr>
        <w:autoSpaceDE w:val="0"/>
        <w:autoSpaceDN w:val="0"/>
        <w:adjustRightInd w:val="0"/>
        <w:spacing w:line="360" w:lineRule="auto"/>
        <w:ind w:firstLine="240" w:firstLineChars="1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（4）病毒发作导致不能进行正常操作的； </w:t>
      </w:r>
    </w:p>
    <w:p w14:paraId="2EE722E4">
      <w:pPr>
        <w:autoSpaceDE w:val="0"/>
        <w:autoSpaceDN w:val="0"/>
        <w:adjustRightInd w:val="0"/>
        <w:spacing w:line="360" w:lineRule="auto"/>
        <w:ind w:firstLine="240" w:firstLineChars="1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）其他无法保证电子交易的公平、公正和安全的情况。</w:t>
      </w:r>
    </w:p>
    <w:p w14:paraId="44D91FF6">
      <w:pPr>
        <w:autoSpaceDE w:val="0"/>
        <w:autoSpaceDN w:val="0"/>
        <w:adjustRightInd w:val="0"/>
        <w:spacing w:line="360" w:lineRule="auto"/>
        <w:jc w:val="left"/>
        <w:rPr>
          <w:rFonts w:cs="宋体" w:asciiTheme="minorEastAsia" w:hAnsiTheme="minorEastAsia" w:eastAsiaTheme="minorEastAsia"/>
          <w:color w:val="auto"/>
          <w:sz w:val="24"/>
        </w:rPr>
      </w:pPr>
      <w:r>
        <w:rPr>
          <w:rFonts w:cs="宋体" w:asciiTheme="minorEastAsia" w:hAnsiTheme="minorEastAsia" w:eastAsiaTheme="minorEastAsia"/>
          <w:color w:val="auto"/>
          <w:sz w:val="24"/>
        </w:rPr>
        <w:t>29.5</w:t>
      </w:r>
      <w:r>
        <w:rPr>
          <w:rFonts w:hint="eastAsia" w:cs="宋体" w:asciiTheme="minorEastAsia" w:hAnsiTheme="minorEastAsia" w:eastAsiaTheme="minorEastAsia"/>
          <w:color w:val="auto"/>
          <w:sz w:val="24"/>
        </w:rPr>
        <w:t>出现以上情形，不影响采购公平、公正性的，采购组织机构可以待上述情形消除后</w:t>
      </w:r>
      <w:r>
        <w:rPr>
          <w:rFonts w:hint="eastAsia" w:cs="宋体" w:asciiTheme="minorEastAsia" w:hAnsiTheme="minorEastAsia" w:eastAsiaTheme="minorEastAsia"/>
          <w:color w:val="auto"/>
          <w:spacing w:val="3"/>
          <w:kern w:val="0"/>
          <w:sz w:val="24"/>
          <w:fitText w:val="9120" w:id="1012029993"/>
        </w:rPr>
        <w:t>继续组织电子交易活动；影响或可能影响采购公平、公正性的，经采购代理机构确</w:t>
      </w:r>
      <w:r>
        <w:rPr>
          <w:rFonts w:hint="eastAsia" w:cs="宋体" w:asciiTheme="minorEastAsia" w:hAnsiTheme="minorEastAsia" w:eastAsiaTheme="minorEastAsia"/>
          <w:color w:val="auto"/>
          <w:spacing w:val="12"/>
          <w:kern w:val="0"/>
          <w:sz w:val="24"/>
          <w:fitText w:val="9120" w:id="1012029993"/>
        </w:rPr>
        <w:t>认</w:t>
      </w:r>
      <w:r>
        <w:rPr>
          <w:rFonts w:hint="eastAsia" w:cs="宋体" w:asciiTheme="minorEastAsia" w:hAnsiTheme="minorEastAsia" w:eastAsiaTheme="minorEastAsia"/>
          <w:color w:val="auto"/>
          <w:sz w:val="24"/>
        </w:rPr>
        <w:t>后，应当重新采购。采购代理机构必须对原有的资料及信息作出妥善保密处理，并报财政部门备案。</w:t>
      </w:r>
    </w:p>
    <w:p w14:paraId="351CC12E">
      <w:pPr>
        <w:pStyle w:val="22"/>
        <w:spacing w:line="360" w:lineRule="auto"/>
        <w:ind w:left="482" w:hanging="482"/>
        <w:rPr>
          <w:rFonts w:hint="default" w:hAnsi="宋体"/>
          <w:b/>
          <w:color w:val="auto"/>
          <w:sz w:val="24"/>
          <w:szCs w:val="24"/>
        </w:rPr>
      </w:pPr>
      <w:r>
        <w:rPr>
          <w:rFonts w:hAnsi="宋体"/>
          <w:b/>
          <w:color w:val="auto"/>
          <w:sz w:val="24"/>
          <w:szCs w:val="24"/>
        </w:rPr>
        <w:t>3</w:t>
      </w:r>
      <w:r>
        <w:rPr>
          <w:rFonts w:hint="default" w:hAnsi="宋体"/>
          <w:b/>
          <w:color w:val="auto"/>
          <w:sz w:val="24"/>
          <w:szCs w:val="24"/>
        </w:rPr>
        <w:t>0</w:t>
      </w:r>
      <w:r>
        <w:rPr>
          <w:rFonts w:hAnsi="宋体"/>
          <w:b/>
          <w:color w:val="auto"/>
          <w:sz w:val="24"/>
          <w:szCs w:val="24"/>
        </w:rPr>
        <w:t>.同一品牌产品的认定</w:t>
      </w:r>
    </w:p>
    <w:p w14:paraId="542EBD81">
      <w:pPr>
        <w:pStyle w:val="22"/>
        <w:spacing w:line="360" w:lineRule="auto"/>
        <w:ind w:left="482" w:hanging="482"/>
        <w:rPr>
          <w:rFonts w:hint="default" w:hAnsi="宋体"/>
          <w:b/>
          <w:color w:val="auto"/>
          <w:sz w:val="24"/>
          <w:szCs w:val="24"/>
        </w:rPr>
      </w:pPr>
      <w:r>
        <w:rPr>
          <w:rFonts w:hAnsi="宋体"/>
          <w:b/>
          <w:color w:val="auto"/>
          <w:sz w:val="24"/>
          <w:szCs w:val="24"/>
        </w:rPr>
        <w:t>3</w:t>
      </w:r>
      <w:r>
        <w:rPr>
          <w:rFonts w:hint="default" w:hAnsi="宋体"/>
          <w:b/>
          <w:color w:val="auto"/>
          <w:sz w:val="24"/>
          <w:szCs w:val="24"/>
        </w:rPr>
        <w:t>0</w:t>
      </w:r>
      <w:r>
        <w:rPr>
          <w:rFonts w:hAnsi="宋体"/>
          <w:b/>
          <w:color w:val="auto"/>
          <w:sz w:val="24"/>
          <w:szCs w:val="24"/>
        </w:rPr>
        <w:t>.1如果有多家供应商响应同一品牌产品的，应该作为一个供应商计算。当供应商不足3家的，采购项目废标。</w:t>
      </w:r>
    </w:p>
    <w:p w14:paraId="11957C6A">
      <w:pPr>
        <w:pStyle w:val="22"/>
        <w:spacing w:line="360" w:lineRule="auto"/>
        <w:ind w:left="480" w:hanging="480"/>
        <w:rPr>
          <w:rFonts w:hint="default" w:hAnsi="宋体"/>
          <w:color w:val="auto"/>
          <w:sz w:val="24"/>
          <w:szCs w:val="24"/>
        </w:rPr>
      </w:pPr>
      <w:r>
        <w:rPr>
          <w:rFonts w:hAnsi="宋体"/>
          <w:color w:val="auto"/>
          <w:sz w:val="24"/>
          <w:szCs w:val="24"/>
        </w:rPr>
        <w:t>3</w:t>
      </w:r>
      <w:r>
        <w:rPr>
          <w:rFonts w:hint="default" w:hAnsi="宋体"/>
          <w:color w:val="auto"/>
          <w:sz w:val="24"/>
          <w:szCs w:val="24"/>
        </w:rPr>
        <w:t>0</w:t>
      </w:r>
      <w:r>
        <w:rPr>
          <w:rFonts w:hAnsi="宋体"/>
          <w:color w:val="auto"/>
          <w:sz w:val="24"/>
          <w:szCs w:val="24"/>
        </w:rPr>
        <w:t>.2采购项目（采购项目分包以每包计）采购多个产品的，以核心产品为标准计算同一品牌供应商家数。即所有核心产品中的每一项产品均报价同一品牌产品，多家供应商应当作为一个供应商计算。本项目核心产品名称详见第二章货物需求。</w:t>
      </w:r>
    </w:p>
    <w:p w14:paraId="16B8CF46">
      <w:pPr>
        <w:autoSpaceDE w:val="0"/>
        <w:autoSpaceDN w:val="0"/>
        <w:adjustRightInd w:val="0"/>
        <w:spacing w:line="360" w:lineRule="auto"/>
        <w:rPr>
          <w:rFonts w:cs="宋体" w:asciiTheme="minorEastAsia" w:hAnsiTheme="minorEastAsia" w:eastAsiaTheme="minorEastAsia"/>
          <w:b/>
          <w:bCs/>
          <w:color w:val="auto"/>
          <w:sz w:val="24"/>
        </w:rPr>
      </w:pPr>
      <w:r>
        <w:rPr>
          <w:rFonts w:cs="宋体" w:asciiTheme="minorEastAsia" w:hAnsiTheme="minorEastAsia" w:eastAsiaTheme="minorEastAsia"/>
          <w:b/>
          <w:bCs/>
          <w:color w:val="auto"/>
          <w:sz w:val="24"/>
        </w:rPr>
        <w:t>31.</w:t>
      </w:r>
      <w:r>
        <w:rPr>
          <w:rFonts w:hint="eastAsia" w:ascii="宋体" w:hAnsi="宋体"/>
          <w:b/>
          <w:bCs/>
          <w:color w:val="auto"/>
          <w:sz w:val="24"/>
        </w:rPr>
        <w:t>谈判响应文件的澄清</w:t>
      </w:r>
    </w:p>
    <w:p w14:paraId="0E635AE8">
      <w:pPr>
        <w:spacing w:line="360" w:lineRule="auto"/>
        <w:ind w:firstLine="480" w:firstLineChars="200"/>
        <w:rPr>
          <w:rFonts w:ascii="宋体" w:hAnsi="宋体"/>
          <w:color w:val="auto"/>
          <w:sz w:val="24"/>
        </w:rPr>
      </w:pPr>
      <w:r>
        <w:rPr>
          <w:rFonts w:hint="eastAsia" w:ascii="宋体" w:hAnsi="宋体"/>
          <w:color w:val="auto"/>
          <w:sz w:val="24"/>
        </w:rPr>
        <w:t>为了有助于对谈判响应文件的审查、评价和比较，谈判小组可以根据需要响应谈判供应商澄清其谈判响应文件，但不应寻求提出或允许更改谈判响应文件的实质性内容。</w:t>
      </w:r>
    </w:p>
    <w:p w14:paraId="6728AE8E">
      <w:pPr>
        <w:spacing w:line="360" w:lineRule="auto"/>
        <w:rPr>
          <w:rFonts w:ascii="宋体" w:hAnsi="宋体"/>
          <w:b/>
          <w:bCs/>
          <w:color w:val="auto"/>
          <w:sz w:val="24"/>
        </w:rPr>
      </w:pPr>
      <w:r>
        <w:rPr>
          <w:rFonts w:ascii="宋体" w:hAnsi="宋体"/>
          <w:b/>
          <w:bCs/>
          <w:color w:val="auto"/>
          <w:sz w:val="24"/>
        </w:rPr>
        <w:t>32.</w:t>
      </w:r>
      <w:r>
        <w:rPr>
          <w:rFonts w:hint="eastAsia" w:ascii="宋体" w:hAnsi="宋体"/>
          <w:b/>
          <w:bCs/>
          <w:color w:val="auto"/>
          <w:sz w:val="24"/>
        </w:rPr>
        <w:t>错误的修正</w:t>
      </w:r>
    </w:p>
    <w:p w14:paraId="6EB0BEA9">
      <w:pPr>
        <w:spacing w:line="360" w:lineRule="auto"/>
        <w:rPr>
          <w:rFonts w:ascii="宋体" w:hAnsi="宋体"/>
          <w:color w:val="auto"/>
          <w:sz w:val="24"/>
        </w:rPr>
      </w:pPr>
      <w:r>
        <w:rPr>
          <w:rFonts w:hint="eastAsia" w:ascii="宋体" w:hAnsi="宋体"/>
          <w:color w:val="auto"/>
          <w:sz w:val="24"/>
        </w:rPr>
        <w:t>3</w:t>
      </w:r>
      <w:r>
        <w:rPr>
          <w:rFonts w:ascii="宋体" w:hAnsi="宋体"/>
          <w:color w:val="auto"/>
          <w:sz w:val="24"/>
        </w:rPr>
        <w:t>2</w:t>
      </w:r>
      <w:r>
        <w:rPr>
          <w:rFonts w:hint="eastAsia" w:ascii="宋体" w:hAnsi="宋体"/>
          <w:color w:val="auto"/>
          <w:sz w:val="24"/>
        </w:rPr>
        <w:t>.</w:t>
      </w:r>
      <w:r>
        <w:rPr>
          <w:rFonts w:ascii="宋体" w:hAnsi="宋体"/>
          <w:color w:val="auto"/>
          <w:sz w:val="24"/>
        </w:rPr>
        <w:t>1</w:t>
      </w:r>
      <w:r>
        <w:rPr>
          <w:rFonts w:hint="eastAsia" w:ascii="宋体" w:hAnsi="宋体"/>
          <w:color w:val="auto"/>
          <w:sz w:val="24"/>
        </w:rPr>
        <w:t>谈判小组将对被确定为实质上响应谈判文件要求的谈判响应文件进行校核，看其是否有计算错误。改正计算错误的原则如下：当用数字表示的数额与用文字表示的数额不一致时，以文字为准；当单价与服务数量的乘积与细目总价不一致时，通常以该行填报的单价为准。除非谈判小组认为单价有明显的小数点错位，此时应以填报的细目总价为准并修改单价。</w:t>
      </w:r>
    </w:p>
    <w:p w14:paraId="1E8FF662">
      <w:pPr>
        <w:spacing w:line="360" w:lineRule="auto"/>
        <w:rPr>
          <w:rFonts w:ascii="宋体" w:hAnsi="宋体"/>
          <w:color w:val="auto"/>
          <w:sz w:val="24"/>
        </w:rPr>
      </w:pPr>
      <w:r>
        <w:rPr>
          <w:rFonts w:ascii="宋体" w:hAnsi="宋体"/>
          <w:color w:val="auto"/>
          <w:sz w:val="24"/>
        </w:rPr>
        <w:t>32</w:t>
      </w:r>
      <w:r>
        <w:rPr>
          <w:rFonts w:hint="eastAsia" w:ascii="宋体" w:hAnsi="宋体"/>
          <w:color w:val="auto"/>
          <w:sz w:val="24"/>
        </w:rPr>
        <w:t>.</w:t>
      </w:r>
      <w:r>
        <w:rPr>
          <w:rFonts w:ascii="宋体" w:hAnsi="宋体"/>
          <w:color w:val="auto"/>
          <w:sz w:val="24"/>
        </w:rPr>
        <w:t>2</w:t>
      </w:r>
      <w:r>
        <w:rPr>
          <w:rFonts w:hint="eastAsia" w:ascii="宋体" w:hAnsi="宋体"/>
          <w:color w:val="auto"/>
          <w:sz w:val="24"/>
        </w:rPr>
        <w:t>谈判</w:t>
      </w:r>
      <w:r>
        <w:rPr>
          <w:rFonts w:ascii="宋体" w:hAnsi="宋体"/>
          <w:color w:val="auto"/>
          <w:sz w:val="24"/>
        </w:rPr>
        <w:t>小组</w:t>
      </w:r>
      <w:r>
        <w:rPr>
          <w:rFonts w:hint="eastAsia" w:ascii="宋体" w:hAnsi="宋体"/>
          <w:color w:val="auto"/>
          <w:sz w:val="24"/>
        </w:rPr>
        <w:t>将按上述改正错误的原则调整谈判响应文件的报价。在响应谈判供应商同意后，调整后的报价对响应谈判供应商起约束作用，如果响应谈判供应商不接受改正后的报价，则其谈判响应文件将被拒绝。</w:t>
      </w:r>
    </w:p>
    <w:p w14:paraId="29F69579">
      <w:pPr>
        <w:spacing w:line="360" w:lineRule="auto"/>
        <w:rPr>
          <w:rFonts w:ascii="宋体" w:hAnsi="宋体"/>
          <w:b/>
          <w:color w:val="auto"/>
          <w:sz w:val="24"/>
        </w:rPr>
      </w:pPr>
      <w:r>
        <w:rPr>
          <w:rFonts w:ascii="宋体" w:hAnsi="宋体"/>
          <w:b/>
          <w:color w:val="auto"/>
          <w:sz w:val="24"/>
        </w:rPr>
        <w:t>33.中小微企业的</w:t>
      </w:r>
      <w:r>
        <w:rPr>
          <w:rFonts w:hint="eastAsia" w:ascii="宋体" w:hAnsi="宋体"/>
          <w:b/>
          <w:color w:val="auto"/>
          <w:sz w:val="24"/>
        </w:rPr>
        <w:t>划型</w:t>
      </w:r>
    </w:p>
    <w:p w14:paraId="393C7A91">
      <w:pPr>
        <w:spacing w:line="360" w:lineRule="auto"/>
        <w:rPr>
          <w:rFonts w:ascii="宋体" w:hAnsi="宋体"/>
          <w:color w:val="auto"/>
          <w:sz w:val="24"/>
        </w:rPr>
      </w:pPr>
      <w:r>
        <w:rPr>
          <w:rFonts w:ascii="宋体" w:hAnsi="宋体"/>
          <w:color w:val="auto"/>
          <w:sz w:val="24"/>
        </w:rPr>
        <w:t>33</w:t>
      </w:r>
      <w:r>
        <w:rPr>
          <w:rFonts w:hint="eastAsia" w:ascii="宋体" w:hAnsi="宋体"/>
          <w:color w:val="auto"/>
          <w:sz w:val="24"/>
        </w:rPr>
        <w:t>.1中</w:t>
      </w:r>
      <w:r>
        <w:rPr>
          <w:rFonts w:ascii="宋体" w:hAnsi="宋体"/>
          <w:color w:val="auto"/>
          <w:sz w:val="24"/>
        </w:rPr>
        <w:t>小微企业投标是</w:t>
      </w:r>
      <w:r>
        <w:rPr>
          <w:rFonts w:hint="eastAsia" w:ascii="宋体" w:hAnsi="宋体"/>
          <w:color w:val="auto"/>
          <w:sz w:val="24"/>
        </w:rPr>
        <w:t>符</w:t>
      </w:r>
      <w:r>
        <w:rPr>
          <w:rFonts w:ascii="宋体" w:hAnsi="宋体"/>
          <w:color w:val="auto"/>
          <w:sz w:val="24"/>
        </w:rPr>
        <w:t>合《</w:t>
      </w:r>
      <w:r>
        <w:rPr>
          <w:rFonts w:hint="eastAsia" w:ascii="宋体" w:hAnsi="宋体"/>
          <w:color w:val="auto"/>
          <w:sz w:val="24"/>
        </w:rPr>
        <w:t>中</w:t>
      </w:r>
      <w:r>
        <w:rPr>
          <w:rFonts w:ascii="宋体" w:hAnsi="宋体"/>
          <w:color w:val="auto"/>
          <w:sz w:val="24"/>
        </w:rPr>
        <w:t>小企业划型标</w:t>
      </w:r>
      <w:r>
        <w:rPr>
          <w:rFonts w:hint="eastAsia" w:ascii="宋体" w:hAnsi="宋体"/>
          <w:color w:val="auto"/>
          <w:sz w:val="24"/>
        </w:rPr>
        <w:t>准</w:t>
      </w:r>
      <w:r>
        <w:rPr>
          <w:rFonts w:ascii="宋体" w:hAnsi="宋体"/>
          <w:color w:val="auto"/>
          <w:sz w:val="24"/>
        </w:rPr>
        <w:t>规定》</w:t>
      </w:r>
      <w:r>
        <w:rPr>
          <w:rFonts w:hint="eastAsia" w:ascii="宋体" w:hAnsi="宋体"/>
          <w:color w:val="auto"/>
          <w:sz w:val="24"/>
        </w:rPr>
        <w:t>的</w:t>
      </w:r>
      <w:r>
        <w:rPr>
          <w:rFonts w:ascii="宋体" w:hAnsi="宋体"/>
          <w:color w:val="auto"/>
          <w:sz w:val="24"/>
        </w:rPr>
        <w:t>响应谈判供应商，通过投标提供本企业制造的货物、</w:t>
      </w:r>
      <w:r>
        <w:rPr>
          <w:rFonts w:hint="eastAsia" w:ascii="宋体" w:hAnsi="宋体"/>
          <w:color w:val="auto"/>
          <w:sz w:val="24"/>
        </w:rPr>
        <w:t>承担</w:t>
      </w:r>
      <w:r>
        <w:rPr>
          <w:rFonts w:ascii="宋体" w:hAnsi="宋体"/>
          <w:color w:val="auto"/>
          <w:sz w:val="24"/>
        </w:rPr>
        <w:t>的工程或者服务，或者提供其他中小微企业制造的货物。本</w:t>
      </w:r>
      <w:r>
        <w:rPr>
          <w:rFonts w:hint="eastAsia" w:ascii="宋体" w:hAnsi="宋体"/>
          <w:color w:val="auto"/>
          <w:sz w:val="24"/>
        </w:rPr>
        <w:t>项</w:t>
      </w:r>
      <w:r>
        <w:rPr>
          <w:rFonts w:ascii="宋体" w:hAnsi="宋体"/>
          <w:color w:val="auto"/>
          <w:sz w:val="24"/>
        </w:rPr>
        <w:t>所指货物不包括使用大型企业注册商标的货物。中</w:t>
      </w:r>
      <w:r>
        <w:rPr>
          <w:rFonts w:hint="eastAsia" w:ascii="宋体" w:hAnsi="宋体"/>
          <w:color w:val="auto"/>
          <w:sz w:val="24"/>
        </w:rPr>
        <w:t>小</w:t>
      </w:r>
      <w:r>
        <w:rPr>
          <w:rFonts w:ascii="宋体" w:hAnsi="宋体"/>
          <w:color w:val="auto"/>
          <w:sz w:val="24"/>
        </w:rPr>
        <w:t>微企业投标应提供</w:t>
      </w:r>
      <w:r>
        <w:rPr>
          <w:rFonts w:hint="eastAsia" w:ascii="宋体" w:hAnsi="宋体"/>
          <w:color w:val="auto"/>
          <w:sz w:val="24"/>
        </w:rPr>
        <w:t>《中</w:t>
      </w:r>
      <w:r>
        <w:rPr>
          <w:rFonts w:ascii="宋体" w:hAnsi="宋体"/>
          <w:color w:val="auto"/>
          <w:sz w:val="24"/>
        </w:rPr>
        <w:t>小</w:t>
      </w:r>
      <w:r>
        <w:rPr>
          <w:rFonts w:hint="eastAsia" w:ascii="宋体" w:hAnsi="宋体"/>
          <w:color w:val="auto"/>
          <w:sz w:val="24"/>
        </w:rPr>
        <w:t>微</w:t>
      </w:r>
      <w:r>
        <w:rPr>
          <w:rFonts w:ascii="宋体" w:hAnsi="宋体"/>
          <w:color w:val="auto"/>
          <w:sz w:val="24"/>
        </w:rPr>
        <w:t>企业声明函》</w:t>
      </w:r>
      <w:r>
        <w:rPr>
          <w:rFonts w:hint="eastAsia" w:ascii="宋体" w:hAnsi="宋体"/>
          <w:color w:val="auto"/>
          <w:sz w:val="24"/>
        </w:rPr>
        <w:t>；</w:t>
      </w:r>
      <w:r>
        <w:rPr>
          <w:rFonts w:ascii="宋体" w:hAnsi="宋体"/>
          <w:color w:val="auto"/>
          <w:sz w:val="24"/>
        </w:rPr>
        <w:t>中</w:t>
      </w:r>
      <w:r>
        <w:rPr>
          <w:rFonts w:hint="eastAsia" w:ascii="宋体" w:hAnsi="宋体"/>
          <w:color w:val="auto"/>
          <w:sz w:val="24"/>
        </w:rPr>
        <w:t>小</w:t>
      </w:r>
      <w:r>
        <w:rPr>
          <w:rFonts w:ascii="宋体" w:hAnsi="宋体"/>
          <w:color w:val="auto"/>
          <w:sz w:val="24"/>
        </w:rPr>
        <w:t>企业划分见《</w:t>
      </w:r>
      <w:r>
        <w:rPr>
          <w:rFonts w:hint="eastAsia" w:ascii="宋体" w:hAnsi="宋体"/>
          <w:color w:val="auto"/>
          <w:sz w:val="24"/>
        </w:rPr>
        <w:t>关于</w:t>
      </w:r>
      <w:r>
        <w:rPr>
          <w:rFonts w:ascii="宋体" w:hAnsi="宋体"/>
          <w:color w:val="auto"/>
          <w:sz w:val="24"/>
        </w:rPr>
        <w:t>印发</w:t>
      </w:r>
      <w:r>
        <w:rPr>
          <w:rFonts w:hint="eastAsia" w:ascii="宋体" w:hAnsi="宋体"/>
          <w:color w:val="auto"/>
          <w:sz w:val="24"/>
        </w:rPr>
        <w:t>中</w:t>
      </w:r>
      <w:r>
        <w:rPr>
          <w:rFonts w:ascii="宋体" w:hAnsi="宋体"/>
          <w:color w:val="auto"/>
          <w:sz w:val="24"/>
        </w:rPr>
        <w:t>小企业划型标准规定的通知》</w:t>
      </w:r>
      <w:r>
        <w:rPr>
          <w:rFonts w:hint="eastAsia" w:ascii="宋体" w:hAnsi="宋体"/>
          <w:color w:val="auto"/>
          <w:sz w:val="24"/>
        </w:rPr>
        <w:t>（工</w:t>
      </w:r>
      <w:r>
        <w:rPr>
          <w:rFonts w:ascii="宋体" w:hAnsi="宋体"/>
          <w:color w:val="auto"/>
          <w:sz w:val="24"/>
        </w:rPr>
        <w:t>信部联企业</w:t>
      </w:r>
      <w:r>
        <w:rPr>
          <w:rFonts w:hint="eastAsia" w:ascii="宋体" w:hAnsi="宋体"/>
          <w:color w:val="auto"/>
          <w:sz w:val="24"/>
        </w:rPr>
        <w:t>〔2011〕</w:t>
      </w:r>
      <w:r>
        <w:rPr>
          <w:rFonts w:ascii="宋体" w:hAnsi="宋体"/>
          <w:color w:val="auto"/>
          <w:sz w:val="24"/>
        </w:rPr>
        <w:t>300</w:t>
      </w:r>
      <w:r>
        <w:rPr>
          <w:rFonts w:hint="eastAsia" w:ascii="宋体" w:hAnsi="宋体"/>
          <w:color w:val="auto"/>
          <w:sz w:val="24"/>
        </w:rPr>
        <w:t>号</w:t>
      </w:r>
      <w:r>
        <w:rPr>
          <w:rFonts w:ascii="宋体" w:hAnsi="宋体"/>
          <w:color w:val="auto"/>
          <w:sz w:val="24"/>
        </w:rPr>
        <w:t>）</w:t>
      </w:r>
      <w:r>
        <w:rPr>
          <w:rFonts w:hint="eastAsia" w:ascii="宋体" w:hAnsi="宋体"/>
          <w:color w:val="auto"/>
          <w:sz w:val="24"/>
        </w:rPr>
        <w:t>。</w:t>
      </w:r>
    </w:p>
    <w:p w14:paraId="2236FE91">
      <w:pPr>
        <w:spacing w:line="360" w:lineRule="auto"/>
        <w:rPr>
          <w:rFonts w:ascii="宋体" w:hAnsi="宋体"/>
          <w:color w:val="auto"/>
          <w:sz w:val="24"/>
        </w:rPr>
      </w:pPr>
      <w:r>
        <w:rPr>
          <w:rFonts w:ascii="宋体" w:hAnsi="宋体"/>
          <w:color w:val="auto"/>
          <w:sz w:val="24"/>
        </w:rPr>
        <w:t>33</w:t>
      </w:r>
      <w:r>
        <w:rPr>
          <w:rFonts w:hint="eastAsia" w:ascii="宋体" w:hAnsi="宋体"/>
          <w:color w:val="auto"/>
          <w:sz w:val="24"/>
        </w:rPr>
        <w:t>.2根据</w:t>
      </w:r>
      <w:r>
        <w:rPr>
          <w:rFonts w:ascii="宋体" w:hAnsi="宋体"/>
          <w:color w:val="auto"/>
          <w:sz w:val="24"/>
        </w:rPr>
        <w:t>《</w:t>
      </w:r>
      <w:r>
        <w:rPr>
          <w:rFonts w:hint="eastAsia" w:ascii="宋体" w:hAnsi="宋体"/>
          <w:color w:val="auto"/>
          <w:sz w:val="24"/>
        </w:rPr>
        <w:t>财政</w:t>
      </w:r>
      <w:r>
        <w:rPr>
          <w:rFonts w:ascii="宋体" w:hAnsi="宋体"/>
          <w:color w:val="auto"/>
          <w:sz w:val="24"/>
        </w:rPr>
        <w:t>部</w:t>
      </w:r>
      <w:r>
        <w:rPr>
          <w:rFonts w:hint="eastAsia" w:ascii="宋体" w:hAnsi="宋体"/>
          <w:color w:val="auto"/>
          <w:sz w:val="24"/>
        </w:rPr>
        <w:t xml:space="preserve"> 司法</w:t>
      </w:r>
      <w:r>
        <w:rPr>
          <w:rFonts w:ascii="宋体" w:hAnsi="宋体"/>
          <w:color w:val="auto"/>
          <w:sz w:val="24"/>
        </w:rPr>
        <w:t>部关于政府采购支持</w:t>
      </w:r>
      <w:r>
        <w:rPr>
          <w:rFonts w:hint="eastAsia" w:ascii="宋体" w:hAnsi="宋体"/>
          <w:color w:val="auto"/>
          <w:sz w:val="24"/>
        </w:rPr>
        <w:t>监狱</w:t>
      </w:r>
      <w:r>
        <w:rPr>
          <w:rFonts w:ascii="宋体" w:hAnsi="宋体"/>
          <w:color w:val="auto"/>
          <w:sz w:val="24"/>
        </w:rPr>
        <w:t>企业发展有关问题的</w:t>
      </w:r>
      <w:r>
        <w:rPr>
          <w:rFonts w:hint="eastAsia" w:ascii="宋体" w:hAnsi="宋体"/>
          <w:color w:val="auto"/>
          <w:sz w:val="24"/>
        </w:rPr>
        <w:t>通知</w:t>
      </w:r>
      <w:r>
        <w:rPr>
          <w:rFonts w:ascii="宋体" w:hAnsi="宋体"/>
          <w:color w:val="auto"/>
          <w:sz w:val="24"/>
        </w:rPr>
        <w:t>》</w:t>
      </w:r>
      <w:r>
        <w:rPr>
          <w:rFonts w:hint="eastAsia" w:ascii="宋体" w:hAnsi="宋体"/>
          <w:color w:val="auto"/>
          <w:sz w:val="24"/>
        </w:rPr>
        <w:t>（财</w:t>
      </w:r>
      <w:r>
        <w:rPr>
          <w:rFonts w:ascii="宋体" w:hAnsi="宋体"/>
          <w:color w:val="auto"/>
          <w:sz w:val="24"/>
        </w:rPr>
        <w:t>库</w:t>
      </w:r>
      <w:r>
        <w:rPr>
          <w:rFonts w:hint="eastAsia" w:ascii="宋体" w:hAnsi="宋体"/>
          <w:color w:val="auto"/>
          <w:sz w:val="24"/>
        </w:rPr>
        <w:t>〔2014〕68号</w:t>
      </w:r>
      <w:r>
        <w:rPr>
          <w:rFonts w:ascii="宋体" w:hAnsi="宋体"/>
          <w:color w:val="auto"/>
          <w:sz w:val="24"/>
        </w:rPr>
        <w:t>）</w:t>
      </w:r>
      <w:r>
        <w:rPr>
          <w:rFonts w:hint="eastAsia" w:ascii="宋体" w:hAnsi="宋体"/>
          <w:color w:val="auto"/>
          <w:sz w:val="24"/>
        </w:rPr>
        <w:t>，</w:t>
      </w:r>
      <w:r>
        <w:rPr>
          <w:rFonts w:ascii="宋体" w:hAnsi="宋体"/>
          <w:color w:val="auto"/>
          <w:sz w:val="24"/>
        </w:rPr>
        <w:t>监狱企业视同小微企业。监狱</w:t>
      </w:r>
      <w:r>
        <w:rPr>
          <w:rFonts w:hint="eastAsia" w:ascii="宋体" w:hAnsi="宋体"/>
          <w:color w:val="auto"/>
          <w:sz w:val="24"/>
        </w:rPr>
        <w:t>企业</w:t>
      </w:r>
      <w:r>
        <w:rPr>
          <w:rFonts w:ascii="宋体" w:hAnsi="宋体"/>
          <w:color w:val="auto"/>
          <w:sz w:val="24"/>
        </w:rPr>
        <w:t>是指</w:t>
      </w:r>
      <w:r>
        <w:rPr>
          <w:rFonts w:hint="eastAsia" w:ascii="宋体" w:hAnsi="宋体"/>
          <w:color w:val="auto"/>
          <w:sz w:val="24"/>
        </w:rPr>
        <w:t>由</w:t>
      </w:r>
      <w:r>
        <w:rPr>
          <w:rFonts w:ascii="宋体" w:hAnsi="宋体"/>
          <w:color w:val="auto"/>
          <w:sz w:val="24"/>
        </w:rPr>
        <w:t>司法部认定的为罪犯、戒毒人员提供生产项目和劳动对象，且全部产权属于司法部监狱管理局、戒毒管理局</w:t>
      </w:r>
      <w:r>
        <w:rPr>
          <w:rFonts w:hint="eastAsia" w:ascii="宋体" w:hAnsi="宋体"/>
          <w:color w:val="auto"/>
          <w:sz w:val="24"/>
        </w:rPr>
        <w:t>、</w:t>
      </w:r>
      <w:r>
        <w:rPr>
          <w:rFonts w:ascii="宋体" w:hAnsi="宋体"/>
          <w:color w:val="auto"/>
          <w:sz w:val="24"/>
        </w:rPr>
        <w:t>直属煤矿管理局，各省、自治区、直辖市</w:t>
      </w:r>
      <w:r>
        <w:rPr>
          <w:rFonts w:hint="eastAsia" w:ascii="宋体" w:hAnsi="宋体"/>
          <w:color w:val="auto"/>
          <w:sz w:val="24"/>
        </w:rPr>
        <w:t>监狱</w:t>
      </w:r>
      <w:r>
        <w:rPr>
          <w:rFonts w:ascii="宋体" w:hAnsi="宋体"/>
          <w:color w:val="auto"/>
          <w:sz w:val="24"/>
        </w:rPr>
        <w:t>管理局、戒毒管理局，各地（</w:t>
      </w:r>
      <w:r>
        <w:rPr>
          <w:rFonts w:hint="eastAsia" w:ascii="宋体" w:hAnsi="宋体"/>
          <w:color w:val="auto"/>
          <w:sz w:val="24"/>
        </w:rPr>
        <w:t>设</w:t>
      </w:r>
      <w:r>
        <w:rPr>
          <w:rFonts w:ascii="宋体" w:hAnsi="宋体"/>
          <w:color w:val="auto"/>
          <w:sz w:val="24"/>
        </w:rPr>
        <w:t>区的市）</w:t>
      </w:r>
      <w:r>
        <w:rPr>
          <w:rFonts w:hint="eastAsia" w:ascii="宋体" w:hAnsi="宋体"/>
          <w:color w:val="auto"/>
          <w:sz w:val="24"/>
        </w:rPr>
        <w:t>的</w:t>
      </w:r>
      <w:r>
        <w:rPr>
          <w:rFonts w:ascii="宋体" w:hAnsi="宋体"/>
          <w:color w:val="auto"/>
          <w:sz w:val="24"/>
        </w:rPr>
        <w:t>监狱、</w:t>
      </w:r>
      <w:r>
        <w:rPr>
          <w:rFonts w:hint="eastAsia" w:ascii="宋体" w:hAnsi="宋体"/>
          <w:color w:val="auto"/>
          <w:sz w:val="24"/>
        </w:rPr>
        <w:t>强制</w:t>
      </w:r>
      <w:r>
        <w:rPr>
          <w:rFonts w:ascii="宋体" w:hAnsi="宋体"/>
          <w:color w:val="auto"/>
          <w:sz w:val="24"/>
        </w:rPr>
        <w:t>隔离戒毒所、戒毒康复所，以及新疆生产建</w:t>
      </w:r>
      <w:r>
        <w:rPr>
          <w:rFonts w:hint="eastAsia" w:ascii="宋体" w:hAnsi="宋体"/>
          <w:color w:val="auto"/>
          <w:sz w:val="24"/>
        </w:rPr>
        <w:t>设</w:t>
      </w:r>
      <w:r>
        <w:rPr>
          <w:rFonts w:ascii="宋体" w:hAnsi="宋体"/>
          <w:color w:val="auto"/>
          <w:sz w:val="24"/>
        </w:rPr>
        <w:t>兵团监狱</w:t>
      </w:r>
      <w:r>
        <w:rPr>
          <w:rFonts w:hint="eastAsia" w:ascii="宋体" w:hAnsi="宋体"/>
          <w:color w:val="auto"/>
          <w:sz w:val="24"/>
        </w:rPr>
        <w:t>管理</w:t>
      </w:r>
      <w:r>
        <w:rPr>
          <w:rFonts w:ascii="宋体" w:hAnsi="宋体"/>
          <w:color w:val="auto"/>
          <w:sz w:val="24"/>
        </w:rPr>
        <w:t>局</w:t>
      </w:r>
      <w:r>
        <w:rPr>
          <w:rFonts w:hint="eastAsia" w:ascii="宋体" w:hAnsi="宋体"/>
          <w:color w:val="auto"/>
          <w:sz w:val="24"/>
        </w:rPr>
        <w:t>、戒毒管理</w:t>
      </w:r>
      <w:r>
        <w:rPr>
          <w:rFonts w:ascii="宋体" w:hAnsi="宋体"/>
          <w:color w:val="auto"/>
          <w:sz w:val="24"/>
        </w:rPr>
        <w:t>局的企业。监狱</w:t>
      </w:r>
      <w:r>
        <w:rPr>
          <w:rFonts w:hint="eastAsia" w:ascii="宋体" w:hAnsi="宋体"/>
          <w:color w:val="auto"/>
          <w:sz w:val="24"/>
        </w:rPr>
        <w:t>企业</w:t>
      </w:r>
      <w:r>
        <w:rPr>
          <w:rFonts w:ascii="宋体" w:hAnsi="宋体"/>
          <w:color w:val="auto"/>
          <w:sz w:val="24"/>
        </w:rPr>
        <w:t>投标时，提供由省级以上监狱管理局、戒毒管理局（</w:t>
      </w:r>
      <w:r>
        <w:rPr>
          <w:rFonts w:hint="eastAsia" w:ascii="宋体" w:hAnsi="宋体"/>
          <w:color w:val="auto"/>
          <w:sz w:val="24"/>
        </w:rPr>
        <w:t>含</w:t>
      </w:r>
      <w:r>
        <w:rPr>
          <w:rFonts w:ascii="宋体" w:hAnsi="宋体"/>
          <w:color w:val="auto"/>
          <w:sz w:val="24"/>
        </w:rPr>
        <w:t>新疆生产建设兵团）</w:t>
      </w:r>
      <w:r>
        <w:rPr>
          <w:rFonts w:hint="eastAsia" w:ascii="宋体" w:hAnsi="宋体"/>
          <w:color w:val="auto"/>
          <w:sz w:val="24"/>
        </w:rPr>
        <w:t>出</w:t>
      </w:r>
      <w:r>
        <w:rPr>
          <w:rFonts w:ascii="宋体" w:hAnsi="宋体"/>
          <w:color w:val="auto"/>
          <w:sz w:val="24"/>
        </w:rPr>
        <w:t>具的属于监狱企业的证明文件，不再</w:t>
      </w:r>
      <w:r>
        <w:rPr>
          <w:rFonts w:hint="eastAsia" w:ascii="宋体" w:hAnsi="宋体"/>
          <w:color w:val="auto"/>
          <w:sz w:val="24"/>
        </w:rPr>
        <w:t>提供</w:t>
      </w:r>
      <w:r>
        <w:rPr>
          <w:rFonts w:ascii="宋体" w:hAnsi="宋体"/>
          <w:color w:val="auto"/>
          <w:sz w:val="24"/>
        </w:rPr>
        <w:t>《</w:t>
      </w:r>
      <w:r>
        <w:rPr>
          <w:rFonts w:hint="eastAsia" w:ascii="宋体" w:hAnsi="宋体"/>
          <w:color w:val="auto"/>
          <w:sz w:val="24"/>
        </w:rPr>
        <w:t>中</w:t>
      </w:r>
      <w:r>
        <w:rPr>
          <w:rFonts w:ascii="宋体" w:hAnsi="宋体"/>
          <w:color w:val="auto"/>
          <w:sz w:val="24"/>
        </w:rPr>
        <w:t>小微企业声明函》</w:t>
      </w:r>
      <w:r>
        <w:rPr>
          <w:rFonts w:hint="eastAsia" w:ascii="宋体" w:hAnsi="宋体"/>
          <w:color w:val="auto"/>
          <w:sz w:val="24"/>
        </w:rPr>
        <w:t>。</w:t>
      </w:r>
    </w:p>
    <w:p w14:paraId="50F532DC">
      <w:pPr>
        <w:spacing w:line="360" w:lineRule="auto"/>
        <w:rPr>
          <w:rFonts w:ascii="宋体" w:hAnsi="宋体"/>
          <w:color w:val="auto"/>
          <w:sz w:val="24"/>
        </w:rPr>
      </w:pPr>
      <w:r>
        <w:rPr>
          <w:rFonts w:ascii="宋体" w:hAnsi="宋体"/>
          <w:color w:val="auto"/>
          <w:sz w:val="24"/>
        </w:rPr>
        <w:t>33</w:t>
      </w:r>
      <w:r>
        <w:rPr>
          <w:rFonts w:hint="eastAsia" w:ascii="宋体" w:hAnsi="宋体"/>
          <w:color w:val="auto"/>
          <w:sz w:val="24"/>
        </w:rPr>
        <w:t>.3根据《财政</w:t>
      </w:r>
      <w:r>
        <w:rPr>
          <w:rFonts w:ascii="宋体" w:hAnsi="宋体"/>
          <w:color w:val="auto"/>
          <w:sz w:val="24"/>
        </w:rPr>
        <w:t>部</w:t>
      </w:r>
      <w:r>
        <w:rPr>
          <w:rFonts w:hint="eastAsia" w:ascii="宋体" w:hAnsi="宋体"/>
          <w:color w:val="auto"/>
          <w:sz w:val="24"/>
        </w:rPr>
        <w:t xml:space="preserve"> 民</w:t>
      </w:r>
      <w:r>
        <w:rPr>
          <w:rFonts w:ascii="宋体" w:hAnsi="宋体"/>
          <w:color w:val="auto"/>
          <w:sz w:val="24"/>
        </w:rPr>
        <w:t>政</w:t>
      </w:r>
      <w:r>
        <w:rPr>
          <w:rFonts w:hint="eastAsia" w:ascii="宋体" w:hAnsi="宋体"/>
          <w:color w:val="auto"/>
          <w:sz w:val="24"/>
        </w:rPr>
        <w:t>部 中</w:t>
      </w:r>
      <w:r>
        <w:rPr>
          <w:rFonts w:ascii="宋体" w:hAnsi="宋体"/>
          <w:color w:val="auto"/>
          <w:sz w:val="24"/>
        </w:rPr>
        <w:t>国残疾人联合会关于促进残疾人就业政府采购政</w:t>
      </w:r>
      <w:r>
        <w:rPr>
          <w:rFonts w:hint="eastAsia" w:ascii="宋体" w:hAnsi="宋体"/>
          <w:color w:val="auto"/>
          <w:sz w:val="24"/>
        </w:rPr>
        <w:t>策</w:t>
      </w:r>
      <w:r>
        <w:rPr>
          <w:rFonts w:ascii="宋体" w:hAnsi="宋体"/>
          <w:color w:val="auto"/>
          <w:sz w:val="24"/>
        </w:rPr>
        <w:t>的通知》</w:t>
      </w:r>
      <w:r>
        <w:rPr>
          <w:rFonts w:hint="eastAsia" w:ascii="宋体" w:hAnsi="宋体"/>
          <w:color w:val="auto"/>
          <w:sz w:val="24"/>
        </w:rPr>
        <w:t>（财库〔201</w:t>
      </w:r>
      <w:r>
        <w:rPr>
          <w:rFonts w:ascii="宋体" w:hAnsi="宋体"/>
          <w:color w:val="auto"/>
          <w:sz w:val="24"/>
        </w:rPr>
        <w:t>7</w:t>
      </w:r>
      <w:r>
        <w:rPr>
          <w:rFonts w:hint="eastAsia" w:ascii="宋体" w:hAnsi="宋体"/>
          <w:color w:val="auto"/>
          <w:sz w:val="24"/>
        </w:rPr>
        <w:t>〕</w:t>
      </w:r>
      <w:r>
        <w:rPr>
          <w:rFonts w:ascii="宋体" w:hAnsi="宋体"/>
          <w:color w:val="auto"/>
          <w:sz w:val="24"/>
        </w:rPr>
        <w:t>141</w:t>
      </w:r>
      <w:r>
        <w:rPr>
          <w:rFonts w:hint="eastAsia" w:ascii="宋体" w:hAnsi="宋体"/>
          <w:color w:val="auto"/>
          <w:sz w:val="24"/>
        </w:rPr>
        <w:t>号</w:t>
      </w:r>
      <w:r>
        <w:rPr>
          <w:rFonts w:ascii="宋体" w:hAnsi="宋体"/>
          <w:color w:val="auto"/>
          <w:sz w:val="24"/>
        </w:rPr>
        <w:t>）</w:t>
      </w:r>
      <w:r>
        <w:rPr>
          <w:rFonts w:hint="eastAsia" w:ascii="宋体" w:hAnsi="宋体"/>
          <w:color w:val="auto"/>
          <w:sz w:val="24"/>
        </w:rPr>
        <w:t>，</w:t>
      </w:r>
      <w:r>
        <w:rPr>
          <w:rFonts w:ascii="宋体" w:hAnsi="宋体"/>
          <w:color w:val="auto"/>
          <w:sz w:val="24"/>
        </w:rPr>
        <w:t>在政府采购活动中，残疾人福利性单位视同小型、微型企业，享受政府采购支持政策的残疾人福利性单位应当同时满足《</w:t>
      </w:r>
      <w:r>
        <w:rPr>
          <w:rFonts w:hint="eastAsia" w:ascii="宋体" w:hAnsi="宋体"/>
          <w:color w:val="auto"/>
          <w:sz w:val="24"/>
        </w:rPr>
        <w:t>财政</w:t>
      </w:r>
      <w:r>
        <w:rPr>
          <w:rFonts w:ascii="宋体" w:hAnsi="宋体"/>
          <w:color w:val="auto"/>
          <w:sz w:val="24"/>
        </w:rPr>
        <w:t>部</w:t>
      </w:r>
      <w:r>
        <w:rPr>
          <w:rFonts w:hint="eastAsia" w:ascii="宋体" w:hAnsi="宋体"/>
          <w:color w:val="auto"/>
          <w:sz w:val="24"/>
        </w:rPr>
        <w:t xml:space="preserve"> 民</w:t>
      </w:r>
      <w:r>
        <w:rPr>
          <w:rFonts w:ascii="宋体" w:hAnsi="宋体"/>
          <w:color w:val="auto"/>
          <w:sz w:val="24"/>
        </w:rPr>
        <w:t>政</w:t>
      </w:r>
      <w:r>
        <w:rPr>
          <w:rFonts w:hint="eastAsia" w:ascii="宋体" w:hAnsi="宋体"/>
          <w:color w:val="auto"/>
          <w:sz w:val="24"/>
        </w:rPr>
        <w:t>部 中</w:t>
      </w:r>
      <w:r>
        <w:rPr>
          <w:rFonts w:ascii="宋体" w:hAnsi="宋体"/>
          <w:color w:val="auto"/>
          <w:sz w:val="24"/>
        </w:rPr>
        <w:t>国残疾人联合会关于促进残疾人就业政府采购政</w:t>
      </w:r>
      <w:r>
        <w:rPr>
          <w:rFonts w:hint="eastAsia" w:ascii="宋体" w:hAnsi="宋体"/>
          <w:color w:val="auto"/>
          <w:sz w:val="24"/>
        </w:rPr>
        <w:t>策</w:t>
      </w:r>
      <w:r>
        <w:rPr>
          <w:rFonts w:ascii="宋体" w:hAnsi="宋体"/>
          <w:color w:val="auto"/>
          <w:sz w:val="24"/>
        </w:rPr>
        <w:t>的通知》</w:t>
      </w:r>
      <w:r>
        <w:rPr>
          <w:rFonts w:hint="eastAsia" w:ascii="宋体" w:hAnsi="宋体"/>
          <w:color w:val="auto"/>
          <w:sz w:val="24"/>
        </w:rPr>
        <w:t>所</w:t>
      </w:r>
      <w:r>
        <w:rPr>
          <w:rFonts w:ascii="宋体" w:hAnsi="宋体"/>
          <w:color w:val="auto"/>
          <w:sz w:val="24"/>
        </w:rPr>
        <w:t>列条件。残疾</w:t>
      </w:r>
      <w:r>
        <w:rPr>
          <w:rFonts w:hint="eastAsia" w:ascii="宋体" w:hAnsi="宋体"/>
          <w:color w:val="auto"/>
          <w:sz w:val="24"/>
        </w:rPr>
        <w:t>人</w:t>
      </w:r>
      <w:r>
        <w:rPr>
          <w:rFonts w:ascii="宋体" w:hAnsi="宋体"/>
          <w:color w:val="auto"/>
          <w:sz w:val="24"/>
        </w:rPr>
        <w:t>福利星单位属于小型、微型企业的，不重复</w:t>
      </w:r>
      <w:r>
        <w:rPr>
          <w:rFonts w:hint="eastAsia" w:ascii="宋体" w:hAnsi="宋体"/>
          <w:color w:val="auto"/>
          <w:sz w:val="24"/>
        </w:rPr>
        <w:t>享受</w:t>
      </w:r>
      <w:r>
        <w:rPr>
          <w:rFonts w:ascii="宋体" w:hAnsi="宋体"/>
          <w:color w:val="auto"/>
          <w:sz w:val="24"/>
        </w:rPr>
        <w:t>政策。符合</w:t>
      </w:r>
      <w:r>
        <w:rPr>
          <w:rFonts w:hint="eastAsia" w:ascii="宋体" w:hAnsi="宋体"/>
          <w:color w:val="auto"/>
          <w:sz w:val="24"/>
        </w:rPr>
        <w:t>条件的</w:t>
      </w:r>
      <w:r>
        <w:rPr>
          <w:rFonts w:ascii="宋体" w:hAnsi="宋体"/>
          <w:color w:val="auto"/>
          <w:sz w:val="24"/>
        </w:rPr>
        <w:t>残疾人福利性单位在参加政府采购活动时，应当提供《</w:t>
      </w:r>
      <w:r>
        <w:rPr>
          <w:rFonts w:hint="eastAsia" w:ascii="宋体" w:hAnsi="宋体"/>
          <w:color w:val="auto"/>
          <w:sz w:val="24"/>
        </w:rPr>
        <w:t>残疾</w:t>
      </w:r>
      <w:r>
        <w:rPr>
          <w:rFonts w:ascii="宋体" w:hAnsi="宋体"/>
          <w:color w:val="auto"/>
          <w:sz w:val="24"/>
        </w:rPr>
        <w:t>人福利性单位声明</w:t>
      </w:r>
      <w:r>
        <w:rPr>
          <w:rFonts w:hint="eastAsia" w:ascii="宋体" w:hAnsi="宋体"/>
          <w:color w:val="auto"/>
          <w:sz w:val="24"/>
        </w:rPr>
        <w:t>函</w:t>
      </w:r>
      <w:r>
        <w:rPr>
          <w:rFonts w:ascii="宋体" w:hAnsi="宋体"/>
          <w:color w:val="auto"/>
          <w:sz w:val="24"/>
        </w:rPr>
        <w:t>》</w:t>
      </w:r>
      <w:r>
        <w:rPr>
          <w:rFonts w:hint="eastAsia" w:ascii="宋体" w:hAnsi="宋体"/>
          <w:color w:val="auto"/>
          <w:sz w:val="24"/>
        </w:rPr>
        <w:t>，并</w:t>
      </w:r>
      <w:r>
        <w:rPr>
          <w:rFonts w:ascii="宋体" w:hAnsi="宋体"/>
          <w:color w:val="auto"/>
          <w:sz w:val="24"/>
        </w:rPr>
        <w:t>对声明</w:t>
      </w:r>
      <w:r>
        <w:rPr>
          <w:rFonts w:hint="eastAsia" w:ascii="宋体" w:hAnsi="宋体"/>
          <w:color w:val="auto"/>
          <w:sz w:val="24"/>
        </w:rPr>
        <w:t>的</w:t>
      </w:r>
      <w:r>
        <w:rPr>
          <w:rFonts w:ascii="宋体" w:hAnsi="宋体"/>
          <w:color w:val="auto"/>
          <w:sz w:val="24"/>
        </w:rPr>
        <w:t>真实性负责</w:t>
      </w:r>
      <w:r>
        <w:rPr>
          <w:rFonts w:hint="eastAsia" w:ascii="宋体" w:hAnsi="宋体"/>
          <w:color w:val="auto"/>
          <w:sz w:val="24"/>
        </w:rPr>
        <w:t>。</w:t>
      </w:r>
    </w:p>
    <w:p w14:paraId="360D98C7">
      <w:pPr>
        <w:spacing w:line="360" w:lineRule="auto"/>
        <w:jc w:val="center"/>
        <w:outlineLvl w:val="1"/>
        <w:rPr>
          <w:rFonts w:ascii="宋体" w:hAnsi="宋体"/>
          <w:color w:val="auto"/>
          <w:sz w:val="24"/>
        </w:rPr>
      </w:pPr>
      <w:bookmarkStart w:id="15" w:name="_Toc103723524"/>
      <w:r>
        <w:rPr>
          <w:rFonts w:hint="eastAsia" w:ascii="宋体" w:hAnsi="宋体"/>
          <w:b/>
          <w:color w:val="auto"/>
          <w:sz w:val="28"/>
        </w:rPr>
        <w:t>八、授予合同</w:t>
      </w:r>
      <w:bookmarkEnd w:id="15"/>
    </w:p>
    <w:p w14:paraId="5D3402D2">
      <w:pPr>
        <w:spacing w:line="360" w:lineRule="auto"/>
        <w:rPr>
          <w:rFonts w:ascii="宋体" w:hAnsi="宋体"/>
          <w:b/>
          <w:color w:val="auto"/>
          <w:sz w:val="24"/>
        </w:rPr>
      </w:pPr>
      <w:r>
        <w:rPr>
          <w:rFonts w:ascii="宋体" w:hAnsi="宋体"/>
          <w:b/>
          <w:color w:val="auto"/>
          <w:sz w:val="24"/>
        </w:rPr>
        <w:t>34</w:t>
      </w:r>
      <w:r>
        <w:rPr>
          <w:rFonts w:hint="eastAsia" w:ascii="宋体" w:hAnsi="宋体"/>
          <w:b/>
          <w:color w:val="auto"/>
          <w:sz w:val="24"/>
        </w:rPr>
        <w:t>.定标方式</w:t>
      </w:r>
    </w:p>
    <w:p w14:paraId="7D733327">
      <w:pPr>
        <w:spacing w:line="360" w:lineRule="auto"/>
        <w:ind w:firstLine="480" w:firstLineChars="200"/>
        <w:rPr>
          <w:rFonts w:ascii="宋体" w:hAnsi="宋体"/>
          <w:color w:val="auto"/>
          <w:sz w:val="24"/>
        </w:rPr>
      </w:pPr>
      <w:r>
        <w:rPr>
          <w:rFonts w:hint="eastAsia" w:ascii="宋体" w:hAnsi="宋体"/>
          <w:color w:val="auto"/>
          <w:sz w:val="24"/>
        </w:rPr>
        <w:t>采购人依据谈判小组评审的中标排序结果确定成交供应商。</w:t>
      </w:r>
    </w:p>
    <w:p w14:paraId="23C9718C">
      <w:pPr>
        <w:spacing w:line="360" w:lineRule="auto"/>
        <w:rPr>
          <w:rFonts w:ascii="宋体" w:hAnsi="宋体"/>
          <w:b/>
          <w:color w:val="auto"/>
          <w:sz w:val="24"/>
        </w:rPr>
      </w:pPr>
      <w:r>
        <w:rPr>
          <w:rFonts w:hint="eastAsia" w:ascii="宋体" w:hAnsi="宋体"/>
          <w:b/>
          <w:color w:val="auto"/>
          <w:sz w:val="24"/>
        </w:rPr>
        <w:t>3</w:t>
      </w:r>
      <w:r>
        <w:rPr>
          <w:rFonts w:ascii="宋体" w:hAnsi="宋体"/>
          <w:b/>
          <w:color w:val="auto"/>
          <w:sz w:val="24"/>
        </w:rPr>
        <w:t>5.</w:t>
      </w:r>
      <w:r>
        <w:rPr>
          <w:rFonts w:hint="eastAsia" w:ascii="宋体" w:hAnsi="宋体"/>
          <w:b/>
          <w:color w:val="auto"/>
          <w:sz w:val="24"/>
        </w:rPr>
        <w:t>成交通知</w:t>
      </w:r>
    </w:p>
    <w:p w14:paraId="526270FB">
      <w:pPr>
        <w:spacing w:line="360" w:lineRule="auto"/>
        <w:rPr>
          <w:rFonts w:ascii="宋体" w:hAnsi="宋体"/>
          <w:color w:val="auto"/>
          <w:sz w:val="24"/>
        </w:rPr>
      </w:pPr>
      <w:r>
        <w:rPr>
          <w:rFonts w:hint="eastAsia" w:ascii="宋体" w:hAnsi="宋体"/>
          <w:color w:val="auto"/>
          <w:sz w:val="24"/>
        </w:rPr>
        <w:t>3</w:t>
      </w:r>
      <w:r>
        <w:rPr>
          <w:rFonts w:ascii="宋体" w:hAnsi="宋体"/>
          <w:color w:val="auto"/>
          <w:sz w:val="24"/>
        </w:rPr>
        <w:t>5</w:t>
      </w:r>
      <w:r>
        <w:rPr>
          <w:rFonts w:hint="eastAsia" w:ascii="宋体" w:hAnsi="宋体"/>
          <w:color w:val="auto"/>
          <w:sz w:val="24"/>
        </w:rPr>
        <w:t>.1采购</w:t>
      </w:r>
      <w:r>
        <w:rPr>
          <w:rFonts w:ascii="宋体" w:hAnsi="宋体"/>
          <w:color w:val="auto"/>
          <w:sz w:val="24"/>
        </w:rPr>
        <w:t>机构将在采购人确定</w:t>
      </w:r>
      <w:r>
        <w:rPr>
          <w:rFonts w:hint="eastAsia" w:ascii="宋体" w:hAnsi="宋体"/>
          <w:color w:val="auto"/>
          <w:sz w:val="24"/>
        </w:rPr>
        <w:t>成交</w:t>
      </w:r>
      <w:r>
        <w:rPr>
          <w:rFonts w:ascii="宋体" w:hAnsi="宋体"/>
          <w:color w:val="auto"/>
          <w:sz w:val="24"/>
        </w:rPr>
        <w:t>供应商</w:t>
      </w:r>
      <w:r>
        <w:rPr>
          <w:rFonts w:hint="eastAsia" w:ascii="宋体" w:hAnsi="宋体"/>
          <w:color w:val="auto"/>
          <w:sz w:val="24"/>
        </w:rPr>
        <w:t>之日</w:t>
      </w:r>
      <w:r>
        <w:rPr>
          <w:rFonts w:ascii="宋体" w:hAnsi="宋体"/>
          <w:color w:val="auto"/>
          <w:sz w:val="24"/>
        </w:rPr>
        <w:t>起</w:t>
      </w:r>
      <w:r>
        <w:rPr>
          <w:rFonts w:hint="eastAsia" w:ascii="宋体" w:hAnsi="宋体"/>
          <w:color w:val="auto"/>
          <w:sz w:val="24"/>
        </w:rPr>
        <w:t>2个</w:t>
      </w:r>
      <w:r>
        <w:rPr>
          <w:rFonts w:ascii="宋体" w:hAnsi="宋体"/>
          <w:color w:val="auto"/>
          <w:sz w:val="24"/>
        </w:rPr>
        <w:t>工作日内，</w:t>
      </w:r>
      <w:r>
        <w:rPr>
          <w:rFonts w:hint="eastAsia" w:ascii="宋体" w:hAnsi="宋体"/>
          <w:color w:val="auto"/>
          <w:sz w:val="24"/>
        </w:rPr>
        <w:t>发布成交公告，</w:t>
      </w:r>
      <w:r>
        <w:rPr>
          <w:rFonts w:ascii="宋体" w:hAnsi="宋体"/>
          <w:color w:val="auto"/>
          <w:sz w:val="24"/>
        </w:rPr>
        <w:t>并发出成交通知书。</w:t>
      </w:r>
    </w:p>
    <w:p w14:paraId="1BBC70D9">
      <w:pPr>
        <w:spacing w:line="360" w:lineRule="auto"/>
        <w:rPr>
          <w:rFonts w:ascii="宋体" w:hAnsi="宋体"/>
          <w:color w:val="auto"/>
          <w:sz w:val="24"/>
        </w:rPr>
      </w:pPr>
      <w:r>
        <w:rPr>
          <w:rFonts w:hint="eastAsia" w:ascii="宋体" w:hAnsi="宋体"/>
          <w:color w:val="auto"/>
          <w:sz w:val="24"/>
        </w:rPr>
        <w:t>3</w:t>
      </w:r>
      <w:r>
        <w:rPr>
          <w:rFonts w:ascii="宋体" w:hAnsi="宋体"/>
          <w:color w:val="auto"/>
          <w:sz w:val="24"/>
        </w:rPr>
        <w:t>5</w:t>
      </w:r>
      <w:r>
        <w:rPr>
          <w:rFonts w:hint="eastAsia" w:ascii="宋体" w:hAnsi="宋体"/>
          <w:color w:val="auto"/>
          <w:sz w:val="24"/>
        </w:rPr>
        <w:t>.2在按照本须知第</w:t>
      </w:r>
      <w:r>
        <w:rPr>
          <w:rFonts w:ascii="宋体" w:hAnsi="宋体"/>
          <w:color w:val="auto"/>
          <w:sz w:val="24"/>
        </w:rPr>
        <w:t>36</w:t>
      </w:r>
      <w:r>
        <w:rPr>
          <w:rFonts w:hint="eastAsia" w:ascii="宋体" w:hAnsi="宋体"/>
          <w:color w:val="auto"/>
          <w:sz w:val="24"/>
        </w:rPr>
        <w:t>条签署了合同后，该成交通知书将成为合同的一部分。</w:t>
      </w:r>
    </w:p>
    <w:p w14:paraId="2FB8B9A1">
      <w:pPr>
        <w:autoSpaceDE w:val="0"/>
        <w:autoSpaceDN w:val="0"/>
        <w:adjustRightInd w:val="0"/>
        <w:spacing w:line="360" w:lineRule="auto"/>
        <w:ind w:left="-2"/>
        <w:rPr>
          <w:rFonts w:ascii="宋体" w:hAnsi="宋体"/>
          <w:color w:val="auto"/>
          <w:sz w:val="24"/>
        </w:rPr>
      </w:pPr>
      <w:r>
        <w:rPr>
          <w:rFonts w:ascii="宋体" w:hAnsi="宋体"/>
          <w:b/>
          <w:color w:val="auto"/>
          <w:sz w:val="24"/>
        </w:rPr>
        <w:t>3</w:t>
      </w:r>
      <w:r>
        <w:rPr>
          <w:rFonts w:hint="eastAsia" w:ascii="宋体" w:hAnsi="宋体"/>
          <w:b/>
          <w:color w:val="auto"/>
          <w:sz w:val="24"/>
        </w:rPr>
        <w:t>6.合同的签署</w:t>
      </w:r>
    </w:p>
    <w:p w14:paraId="0A1C7BE1">
      <w:pPr>
        <w:spacing w:line="360" w:lineRule="auto"/>
        <w:rPr>
          <w:rFonts w:ascii="宋体" w:hAnsi="宋体"/>
          <w:b/>
          <w:color w:val="auto"/>
          <w:sz w:val="24"/>
        </w:rPr>
      </w:pPr>
      <w:r>
        <w:rPr>
          <w:rFonts w:hint="eastAsia" w:ascii="宋体" w:hAnsi="宋体"/>
          <w:b/>
          <w:color w:val="auto"/>
          <w:sz w:val="24"/>
        </w:rPr>
        <w:t>36.1成交供应商需在领取成交通知书后</w:t>
      </w:r>
      <w:r>
        <w:rPr>
          <w:rFonts w:ascii="宋体" w:hAnsi="宋体"/>
          <w:b/>
          <w:color w:val="auto"/>
          <w:sz w:val="24"/>
          <w:u w:val="single"/>
        </w:rPr>
        <w:t>30</w:t>
      </w:r>
      <w:r>
        <w:rPr>
          <w:rFonts w:hint="eastAsia" w:ascii="宋体" w:hAnsi="宋体"/>
          <w:b/>
          <w:color w:val="auto"/>
          <w:sz w:val="24"/>
          <w:u w:val="single"/>
        </w:rPr>
        <w:t>日</w:t>
      </w:r>
      <w:r>
        <w:rPr>
          <w:rFonts w:hint="eastAsia" w:ascii="宋体" w:hAnsi="宋体"/>
          <w:b/>
          <w:color w:val="auto"/>
          <w:sz w:val="24"/>
        </w:rPr>
        <w:t>内，与采购人签订政府采购合同。政府采购合同内容的确定应以谈判文件和谈判响应文件为基础，不得违背其实质性内容。合同一式两份，具同等法律效力。采购人、成交供应商各执一份。</w:t>
      </w:r>
    </w:p>
    <w:p w14:paraId="51E1207C">
      <w:pPr>
        <w:spacing w:line="360" w:lineRule="auto"/>
        <w:rPr>
          <w:rFonts w:ascii="宋体" w:hAnsi="宋体"/>
          <w:b/>
          <w:color w:val="auto"/>
          <w:sz w:val="24"/>
        </w:rPr>
      </w:pPr>
      <w:r>
        <w:rPr>
          <w:rFonts w:hint="eastAsia" w:ascii="宋体" w:hAnsi="宋体"/>
          <w:b/>
          <w:color w:val="auto"/>
          <w:sz w:val="24"/>
        </w:rPr>
        <w:t>36.2采购人应当自政府采购合同签订之日起</w:t>
      </w:r>
      <w:r>
        <w:rPr>
          <w:rFonts w:hint="eastAsia" w:ascii="宋体" w:hAnsi="宋体"/>
          <w:b/>
          <w:color w:val="auto"/>
          <w:sz w:val="24"/>
          <w:u w:val="single"/>
        </w:rPr>
        <w:t>2个工作日</w:t>
      </w:r>
      <w:r>
        <w:rPr>
          <w:rFonts w:hint="eastAsia" w:ascii="宋体" w:hAnsi="宋体"/>
          <w:b/>
          <w:color w:val="auto"/>
          <w:sz w:val="24"/>
        </w:rPr>
        <w:t>内，将政府采购合同在财政部门指定的媒体上公告，但政府采购合同中涉及国家秘密、商业秘密的内容除外。</w:t>
      </w:r>
    </w:p>
    <w:p w14:paraId="1360908B">
      <w:pPr>
        <w:spacing w:line="360" w:lineRule="auto"/>
        <w:rPr>
          <w:rFonts w:ascii="宋体" w:hAnsi="宋体"/>
          <w:color w:val="auto"/>
          <w:sz w:val="24"/>
        </w:rPr>
      </w:pPr>
      <w:r>
        <w:rPr>
          <w:rFonts w:hint="eastAsia" w:ascii="宋体" w:hAnsi="宋体"/>
          <w:color w:val="auto"/>
          <w:sz w:val="24"/>
        </w:rPr>
        <w:t>3</w:t>
      </w:r>
      <w:r>
        <w:rPr>
          <w:rFonts w:ascii="宋体" w:hAnsi="宋体"/>
          <w:color w:val="auto"/>
          <w:sz w:val="24"/>
        </w:rPr>
        <w:t>7</w:t>
      </w:r>
      <w:r>
        <w:rPr>
          <w:rFonts w:hint="eastAsia" w:ascii="宋体" w:hAnsi="宋体"/>
          <w:color w:val="auto"/>
          <w:sz w:val="24"/>
        </w:rPr>
        <w:t>.3成交供应商无正当理由拒签合同的，采购人取消其中标资格，给采购人造成损失的，成交供应商还应当予以赔偿。</w:t>
      </w:r>
    </w:p>
    <w:p w14:paraId="2457164D">
      <w:pPr>
        <w:spacing w:line="360" w:lineRule="auto"/>
        <w:rPr>
          <w:rFonts w:ascii="宋体" w:hAnsi="宋体"/>
          <w:color w:val="auto"/>
          <w:sz w:val="24"/>
        </w:rPr>
      </w:pPr>
      <w:r>
        <w:rPr>
          <w:rFonts w:hint="eastAsia" w:ascii="宋体" w:hAnsi="宋体"/>
          <w:color w:val="auto"/>
          <w:sz w:val="24"/>
        </w:rPr>
        <w:t>3</w:t>
      </w:r>
      <w:r>
        <w:rPr>
          <w:rFonts w:ascii="宋体" w:hAnsi="宋体"/>
          <w:color w:val="auto"/>
          <w:sz w:val="24"/>
        </w:rPr>
        <w:t>7</w:t>
      </w:r>
      <w:r>
        <w:rPr>
          <w:rFonts w:hint="eastAsia" w:ascii="宋体" w:hAnsi="宋体"/>
          <w:color w:val="auto"/>
          <w:sz w:val="24"/>
        </w:rPr>
        <w:t>.4发出成交通知书后，采购人无正当理由拒签合同给成交供应商造成损失的，还应当赔偿损失。</w:t>
      </w:r>
    </w:p>
    <w:p w14:paraId="2B30B556">
      <w:pPr>
        <w:spacing w:line="360" w:lineRule="auto"/>
        <w:rPr>
          <w:rFonts w:ascii="宋体" w:hAnsi="宋体"/>
          <w:bCs/>
          <w:color w:val="auto"/>
          <w:sz w:val="24"/>
        </w:rPr>
      </w:pPr>
      <w:r>
        <w:rPr>
          <w:rFonts w:hint="eastAsia" w:ascii="宋体" w:hAnsi="宋体"/>
          <w:bCs/>
          <w:color w:val="auto"/>
          <w:sz w:val="24"/>
        </w:rPr>
        <w:t>3</w:t>
      </w:r>
      <w:r>
        <w:rPr>
          <w:rFonts w:ascii="宋体" w:hAnsi="宋体"/>
          <w:bCs/>
          <w:color w:val="auto"/>
          <w:sz w:val="24"/>
        </w:rPr>
        <w:t>7</w:t>
      </w:r>
      <w:r>
        <w:rPr>
          <w:rFonts w:hint="eastAsia" w:ascii="宋体" w:hAnsi="宋体"/>
          <w:bCs/>
          <w:color w:val="auto"/>
          <w:sz w:val="24"/>
        </w:rPr>
        <w:t>.5本项目严禁转包，一经发现立即清除，采购人将有充分理由废除授标，成交供应商应承担由此造成的一切经济损失。</w:t>
      </w:r>
    </w:p>
    <w:p w14:paraId="0A426D5C">
      <w:pPr>
        <w:pStyle w:val="52"/>
        <w:spacing w:line="360" w:lineRule="auto"/>
        <w:jc w:val="center"/>
        <w:outlineLvl w:val="1"/>
        <w:rPr>
          <w:rFonts w:ascii="宋体" w:hAnsi="宋体" w:eastAsia="宋体" w:cs="仿宋_GB2312"/>
          <w:b/>
          <w:color w:val="auto"/>
          <w:kern w:val="0"/>
          <w:sz w:val="30"/>
          <w:szCs w:val="30"/>
          <w:lang w:val="zh-CN"/>
        </w:rPr>
      </w:pPr>
      <w:bookmarkStart w:id="16" w:name="_Toc103723525"/>
      <w:r>
        <w:rPr>
          <w:rFonts w:hint="eastAsia" w:ascii="宋体" w:hAnsi="宋体" w:eastAsia="宋体" w:cs="仿宋_GB2312"/>
          <w:b/>
          <w:color w:val="auto"/>
          <w:kern w:val="0"/>
          <w:sz w:val="30"/>
          <w:szCs w:val="30"/>
          <w:lang w:val="zh-CN"/>
        </w:rPr>
        <w:t>九、重新</w:t>
      </w:r>
      <w:bookmarkEnd w:id="16"/>
      <w:r>
        <w:rPr>
          <w:rFonts w:hint="eastAsia" w:ascii="宋体" w:hAnsi="宋体" w:eastAsia="宋体" w:cs="仿宋_GB2312"/>
          <w:b/>
          <w:color w:val="auto"/>
          <w:kern w:val="0"/>
          <w:sz w:val="30"/>
          <w:szCs w:val="30"/>
          <w:lang w:val="zh-CN"/>
        </w:rPr>
        <w:t>采购</w:t>
      </w:r>
    </w:p>
    <w:p w14:paraId="57EF43B3">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3</w:t>
      </w:r>
      <w:r>
        <w:rPr>
          <w:rFonts w:ascii="宋体" w:hAnsi="宋体" w:eastAsia="宋体" w:cs="仿宋_GB2312"/>
          <w:b/>
          <w:color w:val="auto"/>
          <w:kern w:val="0"/>
          <w:sz w:val="24"/>
          <w:lang w:val="zh-CN"/>
        </w:rPr>
        <w:t>8.</w:t>
      </w:r>
      <w:r>
        <w:rPr>
          <w:rFonts w:hint="eastAsia" w:ascii="宋体" w:hAnsi="宋体" w:eastAsia="宋体" w:cs="仿宋_GB2312"/>
          <w:b/>
          <w:color w:val="auto"/>
          <w:kern w:val="0"/>
          <w:sz w:val="24"/>
          <w:lang w:val="zh-CN"/>
        </w:rPr>
        <w:t>重新采购</w:t>
      </w:r>
    </w:p>
    <w:p w14:paraId="62A7BADC">
      <w:pPr>
        <w:pStyle w:val="52"/>
        <w:spacing w:line="360" w:lineRule="auto"/>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3</w:t>
      </w:r>
      <w:r>
        <w:rPr>
          <w:rFonts w:ascii="宋体" w:hAnsi="宋体" w:eastAsia="宋体" w:cs="仿宋_GB2312"/>
          <w:color w:val="auto"/>
          <w:kern w:val="0"/>
          <w:sz w:val="24"/>
          <w:lang w:val="zh-CN"/>
        </w:rPr>
        <w:t>8</w:t>
      </w:r>
      <w:r>
        <w:rPr>
          <w:rFonts w:hint="eastAsia" w:ascii="宋体" w:hAnsi="宋体" w:eastAsia="宋体" w:cs="仿宋_GB2312"/>
          <w:color w:val="auto"/>
          <w:kern w:val="0"/>
          <w:sz w:val="24"/>
          <w:lang w:val="zh-CN"/>
        </w:rPr>
        <w:t>.1在谈判采购中，出现下列情形之一的，招标失败：</w:t>
      </w:r>
    </w:p>
    <w:p w14:paraId="6A654871">
      <w:pPr>
        <w:pStyle w:val="52"/>
        <w:spacing w:line="360" w:lineRule="auto"/>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3</w:t>
      </w:r>
      <w:r>
        <w:rPr>
          <w:rFonts w:ascii="宋体" w:hAnsi="宋体" w:eastAsia="宋体" w:cs="仿宋_GB2312"/>
          <w:color w:val="auto"/>
          <w:kern w:val="0"/>
          <w:sz w:val="24"/>
          <w:lang w:val="zh-CN"/>
        </w:rPr>
        <w:t>8</w:t>
      </w:r>
      <w:r>
        <w:rPr>
          <w:rFonts w:hint="eastAsia" w:ascii="宋体" w:hAnsi="宋体" w:eastAsia="宋体" w:cs="仿宋_GB2312"/>
          <w:color w:val="auto"/>
          <w:kern w:val="0"/>
          <w:sz w:val="24"/>
          <w:lang w:val="zh-CN"/>
        </w:rPr>
        <w:t>.1.1符合条件的供应商或都对谈判文件作实质响应的供应商不足三家；</w:t>
      </w:r>
    </w:p>
    <w:p w14:paraId="2A37FB33">
      <w:pPr>
        <w:pStyle w:val="52"/>
        <w:spacing w:line="360" w:lineRule="auto"/>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3</w:t>
      </w:r>
      <w:r>
        <w:rPr>
          <w:rFonts w:ascii="宋体" w:hAnsi="宋体" w:eastAsia="宋体" w:cs="仿宋_GB2312"/>
          <w:color w:val="auto"/>
          <w:kern w:val="0"/>
          <w:sz w:val="24"/>
          <w:lang w:val="zh-CN"/>
        </w:rPr>
        <w:t>8</w:t>
      </w:r>
      <w:r>
        <w:rPr>
          <w:rFonts w:hint="eastAsia" w:ascii="宋体" w:hAnsi="宋体" w:eastAsia="宋体" w:cs="仿宋_GB2312"/>
          <w:color w:val="auto"/>
          <w:kern w:val="0"/>
          <w:sz w:val="24"/>
          <w:lang w:val="zh-CN"/>
        </w:rPr>
        <w:t>.1.2出现影响采购公正的违法、违规行为的；</w:t>
      </w:r>
    </w:p>
    <w:p w14:paraId="23B4FE02">
      <w:pPr>
        <w:pStyle w:val="52"/>
        <w:spacing w:line="360" w:lineRule="auto"/>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3</w:t>
      </w:r>
      <w:r>
        <w:rPr>
          <w:rFonts w:ascii="宋体" w:hAnsi="宋体" w:eastAsia="宋体" w:cs="仿宋_GB2312"/>
          <w:color w:val="auto"/>
          <w:kern w:val="0"/>
          <w:sz w:val="24"/>
          <w:lang w:val="zh-CN"/>
        </w:rPr>
        <w:t>8</w:t>
      </w:r>
      <w:r>
        <w:rPr>
          <w:rFonts w:hint="eastAsia" w:ascii="宋体" w:hAnsi="宋体" w:eastAsia="宋体" w:cs="仿宋_GB2312"/>
          <w:color w:val="auto"/>
          <w:kern w:val="0"/>
          <w:sz w:val="24"/>
          <w:lang w:val="zh-CN"/>
        </w:rPr>
        <w:t>.1.3响应谈判供应商的报价均超过了采购预算，采购人不能支付的；</w:t>
      </w:r>
    </w:p>
    <w:p w14:paraId="6AD94806">
      <w:pPr>
        <w:pStyle w:val="52"/>
        <w:spacing w:line="360" w:lineRule="auto"/>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3</w:t>
      </w:r>
      <w:r>
        <w:rPr>
          <w:rFonts w:ascii="宋体" w:hAnsi="宋体" w:eastAsia="宋体" w:cs="仿宋_GB2312"/>
          <w:color w:val="auto"/>
          <w:kern w:val="0"/>
          <w:sz w:val="24"/>
          <w:lang w:val="zh-CN"/>
        </w:rPr>
        <w:t>8</w:t>
      </w:r>
      <w:r>
        <w:rPr>
          <w:rFonts w:hint="eastAsia" w:ascii="宋体" w:hAnsi="宋体" w:eastAsia="宋体" w:cs="仿宋_GB2312"/>
          <w:color w:val="auto"/>
          <w:kern w:val="0"/>
          <w:sz w:val="24"/>
          <w:lang w:val="zh-CN"/>
        </w:rPr>
        <w:t>.1.4因重大变故，采购任务取消的。</w:t>
      </w:r>
    </w:p>
    <w:p w14:paraId="63C387C8">
      <w:pPr>
        <w:pStyle w:val="52"/>
        <w:spacing w:line="360" w:lineRule="auto"/>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3</w:t>
      </w:r>
      <w:r>
        <w:rPr>
          <w:rFonts w:ascii="宋体" w:hAnsi="宋体" w:eastAsia="宋体" w:cs="仿宋_GB2312"/>
          <w:color w:val="auto"/>
          <w:kern w:val="0"/>
          <w:sz w:val="24"/>
          <w:lang w:val="zh-CN"/>
        </w:rPr>
        <w:t>8</w:t>
      </w:r>
      <w:r>
        <w:rPr>
          <w:rFonts w:hint="eastAsia" w:ascii="宋体" w:hAnsi="宋体" w:eastAsia="宋体" w:cs="仿宋_GB2312"/>
          <w:color w:val="auto"/>
          <w:kern w:val="0"/>
          <w:sz w:val="24"/>
          <w:lang w:val="zh-CN"/>
        </w:rPr>
        <w:t>.2谈判失败后，除采购任务取消外，应当重新组织谈判；需要采取其他方式采购的，应由吉林省财政厅政府采购管理处重新下达任务单。</w:t>
      </w:r>
    </w:p>
    <w:p w14:paraId="0B326FC0">
      <w:pPr>
        <w:pStyle w:val="52"/>
        <w:spacing w:line="360" w:lineRule="auto"/>
        <w:jc w:val="center"/>
        <w:outlineLvl w:val="1"/>
        <w:rPr>
          <w:rFonts w:ascii="宋体" w:hAnsi="宋体" w:eastAsia="宋体" w:cs="仿宋_GB2312"/>
          <w:b/>
          <w:color w:val="auto"/>
          <w:kern w:val="0"/>
          <w:sz w:val="30"/>
          <w:szCs w:val="30"/>
          <w:lang w:val="zh-CN"/>
        </w:rPr>
      </w:pPr>
      <w:bookmarkStart w:id="17" w:name="_Toc103723526"/>
      <w:r>
        <w:rPr>
          <w:rFonts w:hint="eastAsia" w:ascii="宋体" w:hAnsi="宋体" w:eastAsia="宋体" w:cs="仿宋_GB2312"/>
          <w:b/>
          <w:color w:val="auto"/>
          <w:kern w:val="0"/>
          <w:sz w:val="30"/>
          <w:szCs w:val="30"/>
          <w:lang w:val="zh-CN"/>
        </w:rPr>
        <w:t>十、纪律和监督</w:t>
      </w:r>
      <w:bookmarkEnd w:id="17"/>
    </w:p>
    <w:p w14:paraId="328FC70B">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3</w:t>
      </w:r>
      <w:r>
        <w:rPr>
          <w:rFonts w:ascii="宋体" w:hAnsi="宋体" w:eastAsia="宋体" w:cs="仿宋_GB2312"/>
          <w:b/>
          <w:color w:val="auto"/>
          <w:kern w:val="0"/>
          <w:sz w:val="24"/>
          <w:lang w:val="zh-CN"/>
        </w:rPr>
        <w:t>9.</w:t>
      </w:r>
      <w:r>
        <w:rPr>
          <w:rFonts w:hint="eastAsia" w:ascii="宋体" w:hAnsi="宋体" w:eastAsia="宋体" w:cs="仿宋_GB2312"/>
          <w:b/>
          <w:color w:val="auto"/>
          <w:kern w:val="0"/>
          <w:sz w:val="24"/>
          <w:lang w:val="zh-CN"/>
        </w:rPr>
        <w:t>对采购人的纪律要求</w:t>
      </w:r>
    </w:p>
    <w:p w14:paraId="77ACAC56">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采购人不得泄漏招标投标活动中应当保密的情况和资料，不得与响应谈判供应商串通损害国家利益、社会公共利益或者他人合法权益。</w:t>
      </w:r>
    </w:p>
    <w:p w14:paraId="7311B94D">
      <w:pPr>
        <w:pStyle w:val="52"/>
        <w:spacing w:line="360" w:lineRule="auto"/>
        <w:rPr>
          <w:rFonts w:ascii="宋体" w:hAnsi="宋体" w:eastAsia="宋体" w:cs="仿宋_GB2312"/>
          <w:b/>
          <w:color w:val="auto"/>
          <w:kern w:val="0"/>
          <w:sz w:val="24"/>
          <w:lang w:val="zh-CN"/>
        </w:rPr>
      </w:pPr>
      <w:r>
        <w:rPr>
          <w:rFonts w:ascii="宋体" w:hAnsi="宋体" w:eastAsia="宋体" w:cs="仿宋_GB2312"/>
          <w:b/>
          <w:color w:val="auto"/>
          <w:kern w:val="0"/>
          <w:sz w:val="24"/>
          <w:lang w:val="zh-CN"/>
        </w:rPr>
        <w:t>40.</w:t>
      </w:r>
      <w:r>
        <w:rPr>
          <w:rFonts w:hint="eastAsia" w:ascii="宋体" w:hAnsi="宋体" w:eastAsia="宋体" w:cs="仿宋_GB2312"/>
          <w:b/>
          <w:color w:val="auto"/>
          <w:kern w:val="0"/>
          <w:sz w:val="24"/>
          <w:lang w:val="zh-CN"/>
        </w:rPr>
        <w:t>对响应谈判供应商的纪律要求</w:t>
      </w:r>
    </w:p>
    <w:p w14:paraId="3181D296">
      <w:pPr>
        <w:pStyle w:val="52"/>
        <w:spacing w:line="360" w:lineRule="auto"/>
        <w:ind w:firstLine="480" w:firstLineChars="200"/>
        <w:rPr>
          <w:rFonts w:ascii="宋体" w:hAnsi="宋体" w:eastAsia="宋体" w:cs="仿宋_GB2312"/>
          <w:color w:val="auto"/>
          <w:kern w:val="0"/>
          <w:sz w:val="24"/>
          <w:lang w:val="zh-CN"/>
        </w:rPr>
      </w:pPr>
      <w:r>
        <w:rPr>
          <w:rFonts w:ascii="宋体" w:hAnsi="宋体" w:eastAsia="宋体" w:cs="仿宋_GB2312"/>
          <w:color w:val="auto"/>
          <w:kern w:val="0"/>
          <w:sz w:val="24"/>
          <w:lang w:val="zh-CN"/>
        </w:rPr>
        <w:t>40</w:t>
      </w:r>
      <w:r>
        <w:rPr>
          <w:rFonts w:hint="eastAsia" w:ascii="宋体" w:hAnsi="宋体" w:eastAsia="宋体" w:cs="仿宋_GB2312"/>
          <w:color w:val="auto"/>
          <w:kern w:val="0"/>
          <w:sz w:val="24"/>
          <w:lang w:val="zh-CN"/>
        </w:rPr>
        <w:t>.1响应谈判供应商不得相互串通或者与采购人串通投标，不得向采购人或都谈判小组行贿谋取中标，不得以他人名义投标或者其他方式弄虚作假骗取中标；响应谈判供应商不得以任何方式干扰、影响评审工作。</w:t>
      </w:r>
    </w:p>
    <w:p w14:paraId="4D393792">
      <w:pPr>
        <w:pStyle w:val="52"/>
        <w:spacing w:line="360" w:lineRule="auto"/>
        <w:ind w:firstLine="482" w:firstLineChars="200"/>
        <w:rPr>
          <w:rFonts w:ascii="宋体" w:hAnsi="宋体" w:eastAsia="宋体" w:cs="仿宋_GB2312"/>
          <w:b/>
          <w:color w:val="auto"/>
          <w:kern w:val="0"/>
          <w:sz w:val="24"/>
          <w:lang w:val="zh-CN"/>
        </w:rPr>
      </w:pPr>
      <w:r>
        <w:rPr>
          <w:rFonts w:ascii="宋体" w:hAnsi="宋体" w:eastAsia="宋体" w:cs="仿宋_GB2312"/>
          <w:b/>
          <w:color w:val="auto"/>
          <w:kern w:val="0"/>
          <w:sz w:val="24"/>
          <w:lang w:val="zh-CN"/>
        </w:rPr>
        <w:t>40.2</w:t>
      </w:r>
      <w:r>
        <w:rPr>
          <w:rFonts w:hint="eastAsia" w:ascii="宋体" w:hAnsi="宋体" w:eastAsia="宋体" w:cs="仿宋_GB2312"/>
          <w:b/>
          <w:color w:val="auto"/>
          <w:kern w:val="0"/>
          <w:sz w:val="24"/>
          <w:lang w:val="zh-CN"/>
        </w:rPr>
        <w:t>响应谈判</w:t>
      </w:r>
      <w:r>
        <w:rPr>
          <w:rFonts w:ascii="宋体" w:hAnsi="宋体" w:eastAsia="宋体" w:cs="仿宋_GB2312"/>
          <w:b/>
          <w:color w:val="auto"/>
          <w:kern w:val="0"/>
          <w:sz w:val="24"/>
          <w:lang w:val="zh-CN"/>
        </w:rPr>
        <w:t>供应商应当遵循诚实信用原则，对资格条件承诺函有关内容的真实性、</w:t>
      </w:r>
      <w:r>
        <w:rPr>
          <w:rFonts w:hint="eastAsia" w:ascii="宋体" w:hAnsi="宋体" w:eastAsia="宋体" w:cs="仿宋_GB2312"/>
          <w:b/>
          <w:color w:val="auto"/>
          <w:kern w:val="0"/>
          <w:sz w:val="24"/>
          <w:lang w:val="zh-CN"/>
        </w:rPr>
        <w:t>有效性</w:t>
      </w:r>
      <w:r>
        <w:rPr>
          <w:rFonts w:ascii="宋体" w:hAnsi="宋体" w:eastAsia="宋体" w:cs="仿宋_GB2312"/>
          <w:b/>
          <w:color w:val="auto"/>
          <w:kern w:val="0"/>
          <w:sz w:val="24"/>
          <w:lang w:val="zh-CN"/>
        </w:rPr>
        <w:t>、合法性负责。如</w:t>
      </w:r>
      <w:r>
        <w:rPr>
          <w:rFonts w:hint="eastAsia" w:ascii="宋体" w:hAnsi="宋体" w:eastAsia="宋体" w:cs="仿宋_GB2312"/>
          <w:b/>
          <w:color w:val="auto"/>
          <w:kern w:val="0"/>
          <w:sz w:val="24"/>
          <w:lang w:val="zh-CN"/>
        </w:rPr>
        <w:t>发现</w:t>
      </w:r>
      <w:r>
        <w:rPr>
          <w:rFonts w:ascii="宋体" w:hAnsi="宋体" w:eastAsia="宋体" w:cs="仿宋_GB2312"/>
          <w:b/>
          <w:color w:val="auto"/>
          <w:kern w:val="0"/>
          <w:sz w:val="24"/>
          <w:lang w:val="zh-CN"/>
        </w:rPr>
        <w:t>承诺内容与事实情况不符，经调查核实为虚假承诺的，视同“</w:t>
      </w:r>
      <w:r>
        <w:rPr>
          <w:rFonts w:hint="eastAsia" w:ascii="宋体" w:hAnsi="宋体" w:eastAsia="宋体" w:cs="仿宋_GB2312"/>
          <w:b/>
          <w:color w:val="auto"/>
          <w:kern w:val="0"/>
          <w:sz w:val="24"/>
          <w:lang w:val="zh-CN"/>
        </w:rPr>
        <w:t>提供</w:t>
      </w:r>
      <w:r>
        <w:rPr>
          <w:rFonts w:ascii="宋体" w:hAnsi="宋体" w:eastAsia="宋体" w:cs="仿宋_GB2312"/>
          <w:b/>
          <w:color w:val="auto"/>
          <w:kern w:val="0"/>
          <w:sz w:val="24"/>
          <w:lang w:val="zh-CN"/>
        </w:rPr>
        <w:t>虚假材料谋取中标（</w:t>
      </w:r>
      <w:r>
        <w:rPr>
          <w:rFonts w:hint="eastAsia" w:ascii="宋体" w:hAnsi="宋体" w:eastAsia="宋体" w:cs="仿宋_GB2312"/>
          <w:b/>
          <w:color w:val="auto"/>
          <w:kern w:val="0"/>
          <w:sz w:val="24"/>
          <w:lang w:val="zh-CN"/>
        </w:rPr>
        <w:t>成交</w:t>
      </w:r>
      <w:r>
        <w:rPr>
          <w:rFonts w:ascii="宋体" w:hAnsi="宋体" w:eastAsia="宋体" w:cs="仿宋_GB2312"/>
          <w:b/>
          <w:color w:val="auto"/>
          <w:kern w:val="0"/>
          <w:sz w:val="24"/>
          <w:lang w:val="zh-CN"/>
        </w:rPr>
        <w:t>）”</w:t>
      </w:r>
      <w:r>
        <w:rPr>
          <w:rFonts w:hint="eastAsia" w:ascii="宋体" w:hAnsi="宋体" w:eastAsia="宋体" w:cs="仿宋_GB2312"/>
          <w:b/>
          <w:color w:val="auto"/>
          <w:kern w:val="0"/>
          <w:sz w:val="24"/>
          <w:lang w:val="zh-CN"/>
        </w:rPr>
        <w:t>，</w:t>
      </w:r>
      <w:r>
        <w:rPr>
          <w:rFonts w:ascii="宋体" w:hAnsi="宋体" w:eastAsia="宋体" w:cs="仿宋_GB2312"/>
          <w:b/>
          <w:color w:val="auto"/>
          <w:kern w:val="0"/>
          <w:sz w:val="24"/>
          <w:lang w:val="zh-CN"/>
        </w:rPr>
        <w:t>按照《</w:t>
      </w:r>
      <w:r>
        <w:rPr>
          <w:rFonts w:hint="eastAsia" w:ascii="宋体" w:hAnsi="宋体" w:eastAsia="宋体" w:cs="仿宋_GB2312"/>
          <w:b/>
          <w:color w:val="auto"/>
          <w:kern w:val="0"/>
          <w:sz w:val="24"/>
          <w:lang w:val="zh-CN"/>
        </w:rPr>
        <w:t>中华人民共和国</w:t>
      </w:r>
      <w:r>
        <w:rPr>
          <w:rFonts w:ascii="宋体" w:hAnsi="宋体" w:eastAsia="宋体" w:cs="仿宋_GB2312"/>
          <w:b/>
          <w:color w:val="auto"/>
          <w:kern w:val="0"/>
          <w:sz w:val="24"/>
          <w:lang w:val="zh-CN"/>
        </w:rPr>
        <w:t>政府采购法》</w:t>
      </w:r>
      <w:r>
        <w:rPr>
          <w:rFonts w:hint="eastAsia" w:ascii="宋体" w:hAnsi="宋体" w:eastAsia="宋体" w:cs="仿宋_GB2312"/>
          <w:b/>
          <w:color w:val="auto"/>
          <w:kern w:val="0"/>
          <w:sz w:val="24"/>
          <w:lang w:val="zh-CN"/>
        </w:rPr>
        <w:t>第</w:t>
      </w:r>
      <w:r>
        <w:rPr>
          <w:rFonts w:ascii="宋体" w:hAnsi="宋体" w:eastAsia="宋体" w:cs="仿宋_GB2312"/>
          <w:b/>
          <w:color w:val="auto"/>
          <w:kern w:val="0"/>
          <w:sz w:val="24"/>
          <w:lang w:val="zh-CN"/>
        </w:rPr>
        <w:t>七十七条的有关规定进行处理处罚。</w:t>
      </w:r>
    </w:p>
    <w:p w14:paraId="68CFB6AD">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4</w:t>
      </w:r>
      <w:r>
        <w:rPr>
          <w:rFonts w:ascii="宋体" w:hAnsi="宋体" w:eastAsia="宋体" w:cs="仿宋_GB2312"/>
          <w:b/>
          <w:color w:val="auto"/>
          <w:kern w:val="0"/>
          <w:sz w:val="24"/>
          <w:lang w:val="zh-CN"/>
        </w:rPr>
        <w:t>1.</w:t>
      </w:r>
      <w:r>
        <w:rPr>
          <w:rFonts w:hint="eastAsia" w:ascii="宋体" w:hAnsi="宋体" w:eastAsia="宋体" w:cs="仿宋_GB2312"/>
          <w:b/>
          <w:color w:val="auto"/>
          <w:kern w:val="0"/>
          <w:sz w:val="24"/>
          <w:lang w:val="zh-CN"/>
        </w:rPr>
        <w:t>对评审委会员的纪律要求</w:t>
      </w:r>
    </w:p>
    <w:p w14:paraId="3E93F939">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谈判小组不得收受他人的财物或者其他好处，不得向他们透漏对谈判响应文件的评审和比较、中标候选人的推荐情况以及评审的其他情况。在评审活动中，谈判小组成员不得擅离职守，影响评审程序正常进行，不得使用第四章“评审办法”没有规定的评审因素和标准进行评审。</w:t>
      </w:r>
    </w:p>
    <w:p w14:paraId="07851DE4">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4</w:t>
      </w:r>
      <w:r>
        <w:rPr>
          <w:rFonts w:ascii="宋体" w:hAnsi="宋体" w:eastAsia="宋体" w:cs="仿宋_GB2312"/>
          <w:b/>
          <w:color w:val="auto"/>
          <w:kern w:val="0"/>
          <w:sz w:val="24"/>
          <w:lang w:val="zh-CN"/>
        </w:rPr>
        <w:t>2.</w:t>
      </w:r>
      <w:r>
        <w:rPr>
          <w:rFonts w:hint="eastAsia" w:ascii="宋体" w:hAnsi="宋体" w:eastAsia="宋体" w:cs="仿宋_GB2312"/>
          <w:b/>
          <w:color w:val="auto"/>
          <w:kern w:val="0"/>
          <w:sz w:val="24"/>
          <w:lang w:val="zh-CN"/>
        </w:rPr>
        <w:t>对与评审活动有关的工作人员的纪律要求</w:t>
      </w:r>
    </w:p>
    <w:p w14:paraId="5132C64D">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与评审活动有关的工作人员不得收受他人的财物或者其他好处，不得向他们透漏对谈判响应文件的评审和比较、成交供应商候选人的推荐情况及评审有关的其他情况。在评审活动中，与评审活动有关的工作人员不得擅离职守，影响评审程序正常进行。</w:t>
      </w:r>
    </w:p>
    <w:p w14:paraId="6D6202EB">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4</w:t>
      </w:r>
      <w:r>
        <w:rPr>
          <w:rFonts w:ascii="宋体" w:hAnsi="宋体" w:eastAsia="宋体" w:cs="仿宋_GB2312"/>
          <w:b/>
          <w:color w:val="auto"/>
          <w:kern w:val="0"/>
          <w:sz w:val="24"/>
          <w:lang w:val="zh-CN"/>
        </w:rPr>
        <w:t>3.</w:t>
      </w:r>
      <w:r>
        <w:rPr>
          <w:rFonts w:hint="eastAsia" w:ascii="宋体" w:hAnsi="宋体" w:eastAsia="宋体" w:cs="仿宋_GB2312"/>
          <w:b/>
          <w:color w:val="auto"/>
          <w:kern w:val="0"/>
          <w:sz w:val="24"/>
          <w:lang w:val="zh-CN"/>
        </w:rPr>
        <w:t>质疑与投诉</w:t>
      </w:r>
    </w:p>
    <w:p w14:paraId="2CB4E3C2">
      <w:pPr>
        <w:pStyle w:val="52"/>
        <w:spacing w:line="360" w:lineRule="auto"/>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4</w:t>
      </w:r>
      <w:r>
        <w:rPr>
          <w:rFonts w:ascii="宋体" w:hAnsi="宋体" w:eastAsia="宋体" w:cs="仿宋_GB2312"/>
          <w:color w:val="auto"/>
          <w:kern w:val="0"/>
          <w:sz w:val="24"/>
          <w:lang w:val="zh-CN"/>
        </w:rPr>
        <w:t>3</w:t>
      </w:r>
      <w:r>
        <w:rPr>
          <w:rFonts w:hint="eastAsia" w:ascii="宋体" w:hAnsi="宋体" w:eastAsia="宋体" w:cs="仿宋_GB2312"/>
          <w:color w:val="auto"/>
          <w:kern w:val="0"/>
          <w:sz w:val="24"/>
          <w:lang w:val="zh-CN"/>
        </w:rPr>
        <w:t>.1响应谈判供应商认为采购文件、采购过程、中标或者成交结果使自己的权益受到损害的，可以在知道或者应知其权益受到损害之日起7个工作日内,针对同一采购程序环节，以书面形式向采购人、采购代理机构一次性提出质疑。</w:t>
      </w:r>
    </w:p>
    <w:p w14:paraId="79BE3B61">
      <w:pPr>
        <w:pStyle w:val="52"/>
        <w:spacing w:line="360" w:lineRule="auto"/>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4</w:t>
      </w:r>
      <w:r>
        <w:rPr>
          <w:rFonts w:ascii="宋体" w:hAnsi="宋体" w:eastAsia="宋体" w:cs="仿宋_GB2312"/>
          <w:color w:val="auto"/>
          <w:kern w:val="0"/>
          <w:sz w:val="24"/>
          <w:lang w:val="zh-CN"/>
        </w:rPr>
        <w:t>3</w:t>
      </w:r>
      <w:r>
        <w:rPr>
          <w:rFonts w:hint="eastAsia" w:ascii="宋体" w:hAnsi="宋体" w:eastAsia="宋体" w:cs="仿宋_GB2312"/>
          <w:color w:val="auto"/>
          <w:kern w:val="0"/>
          <w:sz w:val="24"/>
          <w:lang w:val="zh-CN"/>
        </w:rPr>
        <w:t>.2响应谈判供应商和其他利害关系人认为本次采购活动违反法律、法规和规章规定的，对质疑答复不满意的或者采购人、采购代理机构未在规定时间内作出答复的，在法定期限内有权向</w:t>
      </w:r>
      <w:r>
        <w:rPr>
          <w:rFonts w:hint="eastAsia" w:ascii="宋体" w:hAnsi="宋体" w:eastAsia="宋体" w:cs="仿宋_GB2312"/>
          <w:color w:val="auto"/>
          <w:kern w:val="0"/>
          <w:sz w:val="24"/>
        </w:rPr>
        <w:t>采购办</w:t>
      </w:r>
      <w:r>
        <w:rPr>
          <w:rFonts w:hint="eastAsia" w:ascii="宋体" w:hAnsi="宋体" w:eastAsia="宋体" w:cs="仿宋_GB2312"/>
          <w:color w:val="auto"/>
          <w:kern w:val="0"/>
          <w:sz w:val="24"/>
          <w:lang w:val="zh-CN"/>
        </w:rPr>
        <w:t>投诉。</w:t>
      </w:r>
    </w:p>
    <w:p w14:paraId="41BBC1AB">
      <w:pPr>
        <w:pStyle w:val="52"/>
        <w:jc w:val="center"/>
        <w:rPr>
          <w:rFonts w:ascii="宋体" w:hAnsi="宋体" w:eastAsia="宋体" w:cs="仿宋_GB2312"/>
          <w:b/>
          <w:color w:val="auto"/>
          <w:kern w:val="0"/>
          <w:sz w:val="36"/>
          <w:szCs w:val="36"/>
          <w:lang w:val="zh-CN"/>
        </w:rPr>
      </w:pPr>
    </w:p>
    <w:p w14:paraId="65905284">
      <w:pPr>
        <w:pStyle w:val="52"/>
        <w:jc w:val="center"/>
        <w:rPr>
          <w:rFonts w:ascii="宋体" w:hAnsi="宋体" w:eastAsia="宋体" w:cs="仿宋_GB2312"/>
          <w:b/>
          <w:color w:val="auto"/>
          <w:kern w:val="0"/>
          <w:sz w:val="36"/>
          <w:szCs w:val="36"/>
          <w:lang w:val="zh-CN"/>
        </w:rPr>
      </w:pPr>
    </w:p>
    <w:p w14:paraId="3AACEA40">
      <w:pPr>
        <w:pStyle w:val="52"/>
        <w:jc w:val="center"/>
        <w:rPr>
          <w:rFonts w:ascii="宋体" w:hAnsi="宋体" w:eastAsia="宋体" w:cs="仿宋_GB2312"/>
          <w:b/>
          <w:color w:val="auto"/>
          <w:kern w:val="0"/>
          <w:sz w:val="36"/>
          <w:szCs w:val="36"/>
          <w:lang w:val="zh-CN"/>
        </w:rPr>
      </w:pPr>
    </w:p>
    <w:p w14:paraId="0D2523D3">
      <w:pPr>
        <w:pStyle w:val="52"/>
        <w:jc w:val="center"/>
        <w:rPr>
          <w:rFonts w:ascii="宋体" w:hAnsi="宋体" w:eastAsia="宋体" w:cs="仿宋_GB2312"/>
          <w:b/>
          <w:color w:val="auto"/>
          <w:kern w:val="0"/>
          <w:sz w:val="36"/>
          <w:szCs w:val="36"/>
          <w:lang w:val="zh-CN"/>
        </w:rPr>
      </w:pPr>
    </w:p>
    <w:p w14:paraId="7B7FE0AB">
      <w:pPr>
        <w:pStyle w:val="52"/>
        <w:jc w:val="center"/>
        <w:rPr>
          <w:rFonts w:ascii="宋体" w:hAnsi="宋体" w:eastAsia="宋体" w:cs="仿宋_GB2312"/>
          <w:b/>
          <w:color w:val="auto"/>
          <w:kern w:val="0"/>
          <w:sz w:val="36"/>
          <w:szCs w:val="36"/>
          <w:lang w:val="zh-CN"/>
        </w:rPr>
      </w:pPr>
    </w:p>
    <w:p w14:paraId="0E608520">
      <w:pPr>
        <w:rPr>
          <w:rFonts w:hint="eastAsia" w:ascii="宋体" w:hAnsi="宋体" w:eastAsia="宋体" w:cs="仿宋_GB2312"/>
          <w:b/>
          <w:color w:val="auto"/>
          <w:kern w:val="0"/>
          <w:sz w:val="36"/>
          <w:szCs w:val="36"/>
          <w:lang w:val="zh-CN"/>
        </w:rPr>
      </w:pPr>
      <w:bookmarkStart w:id="18" w:name="_Toc103723527"/>
      <w:r>
        <w:rPr>
          <w:rFonts w:hint="eastAsia" w:ascii="宋体" w:hAnsi="宋体" w:eastAsia="宋体" w:cs="仿宋_GB2312"/>
          <w:b/>
          <w:color w:val="auto"/>
          <w:kern w:val="0"/>
          <w:sz w:val="36"/>
          <w:szCs w:val="36"/>
          <w:lang w:val="zh-CN"/>
        </w:rPr>
        <w:br w:type="page"/>
      </w:r>
    </w:p>
    <w:p w14:paraId="11E1BA6F">
      <w:pPr>
        <w:pStyle w:val="52"/>
        <w:jc w:val="center"/>
        <w:outlineLvl w:val="0"/>
        <w:rPr>
          <w:rFonts w:ascii="宋体" w:hAnsi="宋体" w:eastAsia="宋体" w:cs="仿宋_GB2312"/>
          <w:b/>
          <w:color w:val="auto"/>
          <w:kern w:val="0"/>
          <w:sz w:val="48"/>
          <w:szCs w:val="48"/>
          <w:lang w:val="zh-CN"/>
        </w:rPr>
      </w:pPr>
      <w:r>
        <w:rPr>
          <w:rFonts w:hint="eastAsia" w:ascii="宋体" w:hAnsi="宋体" w:eastAsia="宋体" w:cs="仿宋_GB2312"/>
          <w:b/>
          <w:color w:val="auto"/>
          <w:kern w:val="0"/>
          <w:sz w:val="36"/>
          <w:szCs w:val="36"/>
          <w:lang w:val="zh-CN"/>
        </w:rPr>
        <w:t>第四章</w:t>
      </w:r>
      <w:r>
        <w:rPr>
          <w:rFonts w:hint="eastAsia" w:ascii="宋体" w:hAnsi="宋体" w:eastAsia="宋体" w:cs="仿宋_GB2312"/>
          <w:b/>
          <w:color w:val="auto"/>
          <w:kern w:val="0"/>
          <w:sz w:val="36"/>
          <w:szCs w:val="36"/>
          <w:lang w:val="en-US" w:eastAsia="zh-CN"/>
        </w:rPr>
        <w:t xml:space="preserve"> </w:t>
      </w:r>
      <w:r>
        <w:rPr>
          <w:rFonts w:hint="eastAsia" w:ascii="宋体" w:hAnsi="宋体" w:eastAsia="宋体" w:cs="仿宋_GB2312"/>
          <w:b/>
          <w:color w:val="auto"/>
          <w:kern w:val="0"/>
          <w:sz w:val="36"/>
          <w:szCs w:val="36"/>
          <w:lang w:val="zh-CN"/>
        </w:rPr>
        <w:t>政府采购合同</w:t>
      </w:r>
      <w:bookmarkEnd w:id="18"/>
    </w:p>
    <w:p w14:paraId="09A1542B">
      <w:pPr>
        <w:pStyle w:val="52"/>
        <w:spacing w:line="360" w:lineRule="auto"/>
        <w:ind w:firstLine="480" w:firstLineChars="200"/>
        <w:jc w:val="center"/>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w:t>
      </w:r>
      <w:r>
        <w:rPr>
          <w:rFonts w:hint="eastAsia" w:ascii="宋体" w:hAnsi="宋体" w:eastAsia="宋体" w:cs="仿宋_GB2312"/>
          <w:color w:val="auto"/>
          <w:kern w:val="0"/>
          <w:sz w:val="24"/>
          <w:lang w:val="en-US" w:eastAsia="zh-CN"/>
        </w:rPr>
        <w:t>参考以下合同条款，最终以实际所签订合同为准</w:t>
      </w:r>
      <w:r>
        <w:rPr>
          <w:rFonts w:hint="eastAsia" w:ascii="宋体" w:hAnsi="宋体" w:eastAsia="宋体" w:cs="仿宋_GB2312"/>
          <w:color w:val="auto"/>
          <w:kern w:val="0"/>
          <w:sz w:val="24"/>
          <w:lang w:val="zh-CN"/>
        </w:rPr>
        <w:t>）</w:t>
      </w:r>
    </w:p>
    <w:p w14:paraId="4B5CDB50">
      <w:pPr>
        <w:pStyle w:val="38"/>
        <w:spacing w:line="360" w:lineRule="auto"/>
        <w:rPr>
          <w:color w:val="auto"/>
        </w:rPr>
      </w:pPr>
    </w:p>
    <w:p w14:paraId="64C2B21B">
      <w:pPr>
        <w:pStyle w:val="52"/>
        <w:spacing w:line="360" w:lineRule="auto"/>
        <w:ind w:firstLine="480" w:firstLineChars="200"/>
        <w:rPr>
          <w:rFonts w:ascii="宋体" w:hAnsi="宋体" w:eastAsia="宋体" w:cs="仿宋_GB2312"/>
          <w:color w:val="auto"/>
          <w:kern w:val="0"/>
          <w:sz w:val="24"/>
          <w:lang w:val="zh-CN"/>
        </w:rPr>
      </w:pPr>
    </w:p>
    <w:p w14:paraId="1A91BBEE">
      <w:pPr>
        <w:pStyle w:val="52"/>
        <w:spacing w:line="360" w:lineRule="auto"/>
        <w:ind w:firstLine="480" w:firstLineChars="200"/>
        <w:rPr>
          <w:rFonts w:ascii="宋体" w:hAnsi="宋体" w:eastAsia="宋体" w:cs="仿宋_GB2312"/>
          <w:color w:val="auto"/>
          <w:kern w:val="0"/>
          <w:sz w:val="24"/>
          <w:lang w:val="zh-CN"/>
        </w:rPr>
      </w:pPr>
    </w:p>
    <w:p w14:paraId="1B88AB15">
      <w:pPr>
        <w:pStyle w:val="52"/>
        <w:spacing w:line="360" w:lineRule="auto"/>
        <w:ind w:firstLine="480" w:firstLineChars="200"/>
        <w:rPr>
          <w:rFonts w:ascii="宋体" w:hAnsi="宋体" w:eastAsia="宋体" w:cs="仿宋_GB2312"/>
          <w:color w:val="auto"/>
          <w:kern w:val="0"/>
          <w:sz w:val="24"/>
          <w:lang w:val="zh-CN"/>
        </w:rPr>
      </w:pPr>
    </w:p>
    <w:p w14:paraId="4CD5333A">
      <w:pPr>
        <w:pStyle w:val="52"/>
        <w:spacing w:line="360" w:lineRule="auto"/>
        <w:rPr>
          <w:rFonts w:ascii="宋体" w:hAnsi="宋体" w:eastAsia="宋体" w:cs="仿宋_GB2312"/>
          <w:color w:val="auto"/>
          <w:kern w:val="0"/>
          <w:sz w:val="24"/>
          <w:lang w:val="zh-CN"/>
        </w:rPr>
      </w:pPr>
    </w:p>
    <w:p w14:paraId="4A4D25CE">
      <w:pPr>
        <w:widowControl/>
        <w:jc w:val="left"/>
        <w:rPr>
          <w:rFonts w:ascii="宋体" w:hAnsi="宋体" w:cs="宋体"/>
          <w:b/>
          <w:bCs/>
          <w:color w:val="auto"/>
          <w:spacing w:val="-20"/>
          <w:kern w:val="44"/>
          <w:sz w:val="48"/>
          <w:szCs w:val="48"/>
        </w:rPr>
      </w:pPr>
      <w:r>
        <w:rPr>
          <w:rFonts w:ascii="宋体" w:hAnsi="宋体" w:cs="仿宋_GB2312"/>
          <w:color w:val="auto"/>
          <w:kern w:val="0"/>
          <w:sz w:val="24"/>
          <w:lang w:val="zh-CN"/>
        </w:rPr>
        <w:br w:type="page"/>
      </w:r>
      <w:bookmarkStart w:id="19" w:name="_Toc3995"/>
    </w:p>
    <w:p w14:paraId="4204633E">
      <w:pPr>
        <w:pStyle w:val="16"/>
        <w:spacing w:after="0"/>
        <w:jc w:val="center"/>
        <w:rPr>
          <w:rFonts w:ascii="宋体" w:hAnsi="宋体" w:cs="宋体"/>
          <w:b/>
          <w:bCs/>
          <w:color w:val="auto"/>
          <w:spacing w:val="-20"/>
          <w:kern w:val="44"/>
          <w:sz w:val="48"/>
          <w:szCs w:val="48"/>
        </w:rPr>
      </w:pPr>
    </w:p>
    <w:p w14:paraId="01357544">
      <w:pPr>
        <w:pStyle w:val="16"/>
        <w:spacing w:after="0"/>
        <w:jc w:val="center"/>
        <w:rPr>
          <w:rFonts w:ascii="宋体" w:hAnsi="宋体" w:cs="宋体"/>
          <w:b/>
          <w:bCs/>
          <w:color w:val="auto"/>
          <w:spacing w:val="-20"/>
          <w:kern w:val="44"/>
          <w:sz w:val="48"/>
          <w:szCs w:val="48"/>
        </w:rPr>
      </w:pPr>
    </w:p>
    <w:p w14:paraId="6C674E8E">
      <w:pPr>
        <w:pStyle w:val="16"/>
        <w:spacing w:after="0"/>
        <w:jc w:val="center"/>
        <w:rPr>
          <w:rFonts w:hint="eastAsia" w:ascii="宋体" w:hAnsi="宋体" w:cs="宋体"/>
          <w:b/>
          <w:bCs/>
          <w:color w:val="auto"/>
          <w:spacing w:val="-20"/>
          <w:kern w:val="44"/>
          <w:sz w:val="48"/>
          <w:szCs w:val="48"/>
        </w:rPr>
      </w:pPr>
      <w:r>
        <w:rPr>
          <w:rFonts w:hint="eastAsia" w:ascii="宋体" w:hAnsi="宋体" w:cs="宋体"/>
          <w:b/>
          <w:bCs/>
          <w:color w:val="auto"/>
          <w:spacing w:val="-20"/>
          <w:kern w:val="44"/>
          <w:sz w:val="48"/>
          <w:szCs w:val="48"/>
        </w:rPr>
        <w:t>政府采购</w:t>
      </w:r>
      <w:r>
        <w:rPr>
          <w:rFonts w:hint="eastAsia" w:ascii="宋体" w:hAnsi="宋体" w:cs="宋体"/>
          <w:b/>
          <w:bCs/>
          <w:color w:val="auto"/>
          <w:spacing w:val="-20"/>
          <w:kern w:val="44"/>
          <w:sz w:val="48"/>
          <w:szCs w:val="48"/>
          <w:lang w:eastAsia="zh-CN"/>
        </w:rPr>
        <w:t>货物买卖</w:t>
      </w:r>
      <w:r>
        <w:rPr>
          <w:rFonts w:hint="eastAsia" w:ascii="宋体" w:hAnsi="宋体" w:cs="宋体"/>
          <w:b/>
          <w:bCs/>
          <w:color w:val="auto"/>
          <w:spacing w:val="-20"/>
          <w:kern w:val="44"/>
          <w:sz w:val="48"/>
          <w:szCs w:val="48"/>
        </w:rPr>
        <w:t>合同</w:t>
      </w:r>
    </w:p>
    <w:p w14:paraId="0B5B9059">
      <w:pPr>
        <w:pStyle w:val="16"/>
        <w:spacing w:after="0"/>
        <w:jc w:val="center"/>
        <w:rPr>
          <w:rFonts w:hint="eastAsia" w:ascii="宋体" w:hAnsi="宋体" w:eastAsia="宋体" w:cs="宋体"/>
          <w:b/>
          <w:bCs/>
          <w:color w:val="auto"/>
          <w:spacing w:val="-20"/>
          <w:kern w:val="44"/>
          <w:sz w:val="48"/>
          <w:szCs w:val="48"/>
          <w:lang w:eastAsia="zh-CN"/>
        </w:rPr>
      </w:pPr>
      <w:r>
        <w:rPr>
          <w:rFonts w:hint="eastAsia" w:ascii="宋体" w:hAnsi="宋体" w:cs="宋体"/>
          <w:b/>
          <w:bCs/>
          <w:color w:val="auto"/>
          <w:spacing w:val="-20"/>
          <w:kern w:val="44"/>
          <w:sz w:val="48"/>
          <w:szCs w:val="48"/>
          <w:lang w:eastAsia="zh-CN"/>
        </w:rPr>
        <w:t>（试行）</w:t>
      </w:r>
    </w:p>
    <w:p w14:paraId="7BA20F24">
      <w:pPr>
        <w:rPr>
          <w:rFonts w:ascii="宋体" w:hAnsi="宋体" w:cs="宋体"/>
          <w:b/>
          <w:bCs/>
          <w:color w:val="auto"/>
          <w:spacing w:val="-20"/>
          <w:kern w:val="44"/>
          <w:sz w:val="40"/>
          <w:szCs w:val="40"/>
        </w:rPr>
      </w:pPr>
    </w:p>
    <w:p w14:paraId="6D88CA2D">
      <w:pPr>
        <w:rPr>
          <w:rFonts w:ascii="宋体" w:hAnsi="宋体" w:cs="宋体"/>
          <w:b/>
          <w:bCs/>
          <w:color w:val="auto"/>
          <w:spacing w:val="-20"/>
          <w:kern w:val="44"/>
          <w:sz w:val="40"/>
          <w:szCs w:val="40"/>
        </w:rPr>
      </w:pPr>
    </w:p>
    <w:p w14:paraId="0FA30952">
      <w:pPr>
        <w:rPr>
          <w:rFonts w:ascii="宋体" w:hAnsi="宋体" w:cs="宋体"/>
          <w:b/>
          <w:bCs/>
          <w:color w:val="auto"/>
          <w:spacing w:val="-20"/>
          <w:kern w:val="44"/>
          <w:sz w:val="40"/>
          <w:szCs w:val="40"/>
        </w:rPr>
      </w:pPr>
    </w:p>
    <w:p w14:paraId="5496E990">
      <w:pPr>
        <w:spacing w:line="360" w:lineRule="auto"/>
        <w:ind w:left="420" w:leftChars="200"/>
        <w:rPr>
          <w:color w:val="auto"/>
          <w:sz w:val="32"/>
          <w:szCs w:val="32"/>
        </w:rPr>
      </w:pPr>
      <w:r>
        <w:rPr>
          <w:rFonts w:hint="eastAsia" w:ascii="宋体" w:hAnsi="宋体" w:cs="宋体"/>
          <w:color w:val="auto"/>
          <w:kern w:val="0"/>
          <w:sz w:val="32"/>
          <w:szCs w:val="32"/>
        </w:rPr>
        <w:t>项目名称：</w:t>
      </w:r>
      <w:r>
        <w:rPr>
          <w:rFonts w:hint="eastAsia"/>
          <w:color w:val="auto"/>
          <w:sz w:val="32"/>
          <w:szCs w:val="32"/>
          <w:u w:val="single"/>
        </w:rPr>
        <w:t xml:space="preserve">                             </w:t>
      </w:r>
    </w:p>
    <w:p w14:paraId="4EE7111E">
      <w:pPr>
        <w:spacing w:line="360" w:lineRule="auto"/>
        <w:ind w:left="420" w:leftChars="200"/>
        <w:rPr>
          <w:color w:val="auto"/>
          <w:sz w:val="32"/>
          <w:szCs w:val="32"/>
          <w:u w:val="single"/>
        </w:rPr>
      </w:pPr>
      <w:r>
        <w:rPr>
          <w:rFonts w:hint="eastAsia"/>
          <w:color w:val="auto"/>
          <w:sz w:val="32"/>
          <w:szCs w:val="32"/>
        </w:rPr>
        <w:t>合同编号：</w:t>
      </w:r>
      <w:r>
        <w:rPr>
          <w:rFonts w:hint="eastAsia"/>
          <w:color w:val="auto"/>
          <w:sz w:val="32"/>
          <w:szCs w:val="32"/>
          <w:u w:val="single"/>
        </w:rPr>
        <w:t xml:space="preserve">                             </w:t>
      </w:r>
    </w:p>
    <w:p w14:paraId="62BA26FB">
      <w:pPr>
        <w:spacing w:line="360" w:lineRule="auto"/>
        <w:ind w:left="420" w:leftChars="200"/>
        <w:rPr>
          <w:color w:val="auto"/>
          <w:sz w:val="32"/>
          <w:szCs w:val="32"/>
        </w:rPr>
      </w:pPr>
      <w:r>
        <w:rPr>
          <w:rFonts w:hint="eastAsia"/>
          <w:color w:val="auto"/>
          <w:sz w:val="32"/>
          <w:szCs w:val="32"/>
        </w:rPr>
        <w:t>甲    方：</w:t>
      </w:r>
      <w:r>
        <w:rPr>
          <w:rFonts w:hint="eastAsia"/>
          <w:color w:val="auto"/>
          <w:sz w:val="32"/>
          <w:szCs w:val="32"/>
          <w:u w:val="single"/>
        </w:rPr>
        <w:t xml:space="preserve">                             </w:t>
      </w:r>
    </w:p>
    <w:p w14:paraId="6D70B16F">
      <w:pPr>
        <w:spacing w:line="360" w:lineRule="auto"/>
        <w:ind w:left="420" w:leftChars="200"/>
        <w:rPr>
          <w:color w:val="auto"/>
          <w:sz w:val="32"/>
          <w:szCs w:val="32"/>
          <w:u w:val="single"/>
        </w:rPr>
      </w:pPr>
      <w:r>
        <w:rPr>
          <w:rFonts w:hint="eastAsia"/>
          <w:color w:val="auto"/>
          <w:sz w:val="32"/>
          <w:szCs w:val="32"/>
        </w:rPr>
        <w:t>乙    方：</w:t>
      </w:r>
      <w:r>
        <w:rPr>
          <w:rFonts w:hint="eastAsia"/>
          <w:color w:val="auto"/>
          <w:sz w:val="32"/>
          <w:szCs w:val="32"/>
          <w:u w:val="single"/>
        </w:rPr>
        <w:t xml:space="preserve">                             </w:t>
      </w:r>
    </w:p>
    <w:p w14:paraId="3A4CCA62">
      <w:pPr>
        <w:spacing w:line="360" w:lineRule="auto"/>
        <w:ind w:left="420" w:leftChars="200"/>
        <w:rPr>
          <w:color w:val="auto"/>
          <w:sz w:val="32"/>
          <w:szCs w:val="32"/>
        </w:rPr>
      </w:pPr>
      <w:r>
        <w:rPr>
          <w:rFonts w:hint="eastAsia"/>
          <w:color w:val="auto"/>
          <w:sz w:val="32"/>
          <w:szCs w:val="32"/>
        </w:rPr>
        <w:t>签订时间：</w:t>
      </w:r>
      <w:r>
        <w:rPr>
          <w:rFonts w:hint="eastAsia"/>
          <w:color w:val="auto"/>
          <w:sz w:val="32"/>
          <w:szCs w:val="32"/>
          <w:u w:val="single"/>
        </w:rPr>
        <w:t xml:space="preserve">      </w:t>
      </w:r>
      <w:r>
        <w:rPr>
          <w:color w:val="auto"/>
          <w:sz w:val="32"/>
          <w:szCs w:val="32"/>
          <w:u w:val="single"/>
        </w:rPr>
        <w:t xml:space="preserve">           </w:t>
      </w:r>
      <w:r>
        <w:rPr>
          <w:rFonts w:hint="eastAsia"/>
          <w:color w:val="auto"/>
          <w:sz w:val="32"/>
          <w:szCs w:val="32"/>
          <w:u w:val="single"/>
        </w:rPr>
        <w:t xml:space="preserve">            </w:t>
      </w:r>
    </w:p>
    <w:p w14:paraId="2108E0C6">
      <w:pPr>
        <w:rPr>
          <w:color w:val="auto"/>
        </w:rPr>
      </w:pPr>
    </w:p>
    <w:p w14:paraId="2DAA7C09">
      <w:pPr>
        <w:rPr>
          <w:rFonts w:eastAsia="黑体"/>
          <w:color w:val="auto"/>
          <w:sz w:val="44"/>
          <w:szCs w:val="44"/>
        </w:rPr>
      </w:pPr>
      <w:r>
        <w:rPr>
          <w:rFonts w:eastAsia="黑体"/>
          <w:color w:val="auto"/>
          <w:sz w:val="44"/>
          <w:szCs w:val="44"/>
        </w:rPr>
        <w:br w:type="page"/>
      </w:r>
    </w:p>
    <w:p w14:paraId="18E85B7C">
      <w:pPr>
        <w:rPr>
          <w:rFonts w:eastAsia="黑体"/>
          <w:color w:val="auto"/>
          <w:sz w:val="44"/>
          <w:szCs w:val="44"/>
        </w:rPr>
      </w:pPr>
    </w:p>
    <w:p w14:paraId="58DA8593">
      <w:pPr>
        <w:jc w:val="center"/>
        <w:rPr>
          <w:rFonts w:hint="eastAsia" w:eastAsia="黑体"/>
          <w:color w:val="auto"/>
          <w:sz w:val="44"/>
          <w:szCs w:val="44"/>
          <w:lang w:eastAsia="zh-CN"/>
        </w:rPr>
      </w:pPr>
      <w:r>
        <w:rPr>
          <w:rFonts w:hint="eastAsia" w:eastAsia="黑体"/>
          <w:color w:val="auto"/>
          <w:sz w:val="44"/>
          <w:szCs w:val="44"/>
          <w:lang w:eastAsia="zh-CN"/>
        </w:rPr>
        <w:t>使</w:t>
      </w:r>
      <w:r>
        <w:rPr>
          <w:rFonts w:hint="eastAsia" w:eastAsia="黑体"/>
          <w:color w:val="auto"/>
          <w:sz w:val="44"/>
          <w:szCs w:val="44"/>
          <w:lang w:val="en-US" w:eastAsia="zh-CN"/>
        </w:rPr>
        <w:t xml:space="preserve"> </w:t>
      </w:r>
      <w:r>
        <w:rPr>
          <w:rFonts w:hint="eastAsia" w:eastAsia="黑体"/>
          <w:color w:val="auto"/>
          <w:sz w:val="44"/>
          <w:szCs w:val="44"/>
          <w:lang w:eastAsia="zh-CN"/>
        </w:rPr>
        <w:t>用</w:t>
      </w:r>
      <w:r>
        <w:rPr>
          <w:rFonts w:hint="eastAsia" w:eastAsia="黑体"/>
          <w:color w:val="auto"/>
          <w:sz w:val="44"/>
          <w:szCs w:val="44"/>
          <w:lang w:val="en-US" w:eastAsia="zh-CN"/>
        </w:rPr>
        <w:t xml:space="preserve"> </w:t>
      </w:r>
      <w:r>
        <w:rPr>
          <w:rFonts w:hint="eastAsia" w:eastAsia="黑体"/>
          <w:color w:val="auto"/>
          <w:sz w:val="44"/>
          <w:szCs w:val="44"/>
          <w:lang w:eastAsia="zh-CN"/>
        </w:rPr>
        <w:t>说</w:t>
      </w:r>
      <w:r>
        <w:rPr>
          <w:rFonts w:hint="eastAsia" w:eastAsia="黑体"/>
          <w:color w:val="auto"/>
          <w:sz w:val="44"/>
          <w:szCs w:val="44"/>
          <w:lang w:val="en-US" w:eastAsia="zh-CN"/>
        </w:rPr>
        <w:t xml:space="preserve"> </w:t>
      </w:r>
      <w:r>
        <w:rPr>
          <w:rFonts w:hint="eastAsia" w:eastAsia="黑体"/>
          <w:color w:val="auto"/>
          <w:sz w:val="44"/>
          <w:szCs w:val="44"/>
          <w:lang w:eastAsia="zh-CN"/>
        </w:rPr>
        <w:t>明</w:t>
      </w:r>
    </w:p>
    <w:p w14:paraId="0E5BB601">
      <w:pPr>
        <w:ind w:firstLine="640" w:firstLineChars="200"/>
        <w:rPr>
          <w:rFonts w:hint="eastAsia" w:ascii="仿宋_GB2312" w:hAnsi="仿宋_GB2312" w:eastAsia="仿宋_GB2312" w:cs="仿宋_GB2312"/>
          <w:color w:val="auto"/>
          <w:sz w:val="32"/>
          <w:szCs w:val="32"/>
          <w:lang w:val="en-US" w:eastAsia="zh-CN"/>
        </w:rPr>
      </w:pPr>
    </w:p>
    <w:p w14:paraId="577920AA">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1.本合同标准文本适用于购买现成货物的采购项目，不包括需要供应商定制开发、创新研发的货物采购项目。</w:t>
      </w:r>
    </w:p>
    <w:p w14:paraId="3E9EADA9">
      <w:pPr>
        <w:ind w:firstLine="0" w:firstLineChars="0"/>
        <w:rPr>
          <w:rFonts w:hint="default" w:eastAsia="黑体"/>
          <w:color w:val="auto"/>
          <w:sz w:val="44"/>
          <w:szCs w:val="44"/>
          <w:lang w:val="en-US" w:eastAsia="zh-CN"/>
        </w:rPr>
      </w:pPr>
      <w:r>
        <w:rPr>
          <w:rFonts w:hint="eastAsia" w:eastAsia="黑体"/>
          <w:color w:val="auto"/>
          <w:sz w:val="44"/>
          <w:szCs w:val="44"/>
          <w:lang w:val="en-US" w:eastAsia="zh-CN"/>
        </w:rPr>
        <w:t xml:space="preserve">   </w:t>
      </w:r>
      <w:r>
        <w:rPr>
          <w:rFonts w:hint="eastAsia" w:ascii="仿宋_GB2312" w:hAnsi="仿宋_GB2312" w:eastAsia="仿宋_GB2312" w:cs="仿宋_GB2312"/>
          <w:color w:val="auto"/>
          <w:sz w:val="32"/>
          <w:szCs w:val="32"/>
          <w:lang w:val="en-US" w:eastAsia="zh-CN"/>
        </w:rPr>
        <w:t>2.本合同标准文本为政府采购货物买卖合同编制提供参考，可以结合采购项目具体情况，对文本作必要的调整修订后使用。</w:t>
      </w:r>
    </w:p>
    <w:p w14:paraId="3E5E022B">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3.本合同标准文本各条款中，如涉及填写多家供应商、制造商，多种采购标的、分包主要内容等信息的，可根据采购项目具体情况添加信息项。</w:t>
      </w:r>
    </w:p>
    <w:p w14:paraId="6F0DA208">
      <w:pPr>
        <w:ind w:firstLine="880" w:firstLineChars="200"/>
        <w:jc w:val="both"/>
        <w:rPr>
          <w:rFonts w:eastAsia="黑体"/>
          <w:color w:val="auto"/>
          <w:sz w:val="44"/>
          <w:szCs w:val="44"/>
        </w:rPr>
        <w:sectPr>
          <w:headerReference r:id="rId7" w:type="default"/>
          <w:footerReference r:id="rId8" w:type="default"/>
          <w:pgSz w:w="11906" w:h="16838"/>
          <w:pgMar w:top="1440" w:right="1310" w:bottom="1440" w:left="131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19"/>
    <w:p w14:paraId="548037F1">
      <w:pPr>
        <w:pStyle w:val="3"/>
        <w:adjustRightInd w:val="0"/>
        <w:snapToGrid w:val="0"/>
        <w:spacing w:beforeLines="0" w:line="400" w:lineRule="exact"/>
        <w:jc w:val="center"/>
        <w:rPr>
          <w:rFonts w:hint="eastAsia" w:ascii="黑体" w:hAnsi="华文中宋" w:eastAsia="黑体"/>
          <w:b w:val="0"/>
          <w:bCs w:val="0"/>
          <w:color w:val="auto"/>
          <w:sz w:val="28"/>
          <w:szCs w:val="28"/>
        </w:rPr>
      </w:pPr>
      <w:bookmarkStart w:id="20" w:name="_Toc22209"/>
      <w:r>
        <w:rPr>
          <w:rFonts w:hint="eastAsia" w:ascii="黑体" w:hAnsi="黑体" w:eastAsia="黑体"/>
          <w:b w:val="0"/>
          <w:bCs w:val="0"/>
          <w:color w:val="auto"/>
          <w:sz w:val="28"/>
          <w:szCs w:val="28"/>
        </w:rPr>
        <w:t xml:space="preserve">第一节 </w:t>
      </w:r>
      <w:r>
        <w:rPr>
          <w:rFonts w:hint="eastAsia" w:ascii="黑体" w:hAnsi="华文中宋" w:eastAsia="黑体"/>
          <w:b w:val="0"/>
          <w:bCs w:val="0"/>
          <w:color w:val="auto"/>
          <w:sz w:val="28"/>
          <w:szCs w:val="28"/>
        </w:rPr>
        <w:t>政府采购合同协议书</w:t>
      </w:r>
      <w:bookmarkEnd w:id="20"/>
    </w:p>
    <w:p w14:paraId="430F81E7">
      <w:pPr>
        <w:adjustRightInd w:val="0"/>
        <w:snapToGrid w:val="0"/>
        <w:spacing w:before="0" w:beforeLines="0" w:line="400" w:lineRule="exact"/>
        <w:rPr>
          <w:rFonts w:ascii="宋体" w:hAnsi="宋体"/>
          <w:color w:val="auto"/>
          <w:szCs w:val="21"/>
        </w:rPr>
      </w:pPr>
      <w:r>
        <w:rPr>
          <w:rFonts w:hint="eastAsia" w:ascii="宋体" w:hAnsi="宋体"/>
          <w:color w:val="auto"/>
          <w:szCs w:val="21"/>
        </w:rPr>
        <w:t>甲方（全称）：</w:t>
      </w:r>
      <w:r>
        <w:rPr>
          <w:rFonts w:hint="eastAsia" w:ascii="宋体" w:hAnsi="宋体"/>
          <w:color w:val="auto"/>
          <w:szCs w:val="21"/>
          <w:u w:val="single"/>
        </w:rPr>
        <w:t xml:space="preserve">                        </w:t>
      </w:r>
      <w:r>
        <w:rPr>
          <w:rFonts w:hint="eastAsia" w:ascii="宋体" w:hAnsi="宋体"/>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或采购</w:t>
      </w:r>
      <w:r>
        <w:rPr>
          <w:rFonts w:hint="eastAsia" w:ascii="宋体" w:hAnsi="宋体"/>
          <w:color w:val="auto"/>
          <w:szCs w:val="21"/>
          <w:lang w:val="en-US" w:eastAsia="zh-CN"/>
        </w:rPr>
        <w:tab/>
      </w:r>
      <w:r>
        <w:rPr>
          <w:rFonts w:hint="eastAsia" w:ascii="宋体" w:hAnsi="宋体"/>
          <w:color w:val="auto"/>
          <w:szCs w:val="21"/>
          <w:lang w:val="en-US" w:eastAsia="zh-CN"/>
        </w:rPr>
        <w:t xml:space="preserve">                                   </w:t>
      </w:r>
      <w:r>
        <w:rPr>
          <w:rFonts w:hint="eastAsia" w:ascii="宋体" w:hAnsi="宋体"/>
          <w:color w:val="auto"/>
          <w:szCs w:val="21"/>
        </w:rPr>
        <w:t>文件约定的合同甲方）</w:t>
      </w:r>
    </w:p>
    <w:p w14:paraId="04471A50">
      <w:pPr>
        <w:adjustRightInd w:val="0"/>
        <w:snapToGrid w:val="0"/>
        <w:spacing w:before="0" w:beforeLines="0" w:line="400" w:lineRule="exact"/>
        <w:rPr>
          <w:rFonts w:ascii="宋体" w:hAnsi="宋体"/>
          <w:color w:val="auto"/>
          <w:szCs w:val="21"/>
        </w:rPr>
      </w:pPr>
      <w:r>
        <w:rPr>
          <w:rFonts w:hint="eastAsia" w:ascii="宋体" w:hAnsi="宋体"/>
          <w:color w:val="auto"/>
          <w:szCs w:val="21"/>
        </w:rPr>
        <w:t>乙方</w:t>
      </w:r>
      <w:r>
        <w:rPr>
          <w:rFonts w:hint="eastAsia" w:ascii="宋体" w:hAnsi="宋体"/>
          <w:color w:val="auto"/>
          <w:szCs w:val="21"/>
          <w:lang w:val="en-US" w:eastAsia="zh-CN"/>
        </w:rPr>
        <w:t>1</w:t>
      </w:r>
      <w:r>
        <w:rPr>
          <w:rFonts w:hint="eastAsia" w:ascii="宋体" w:hAnsi="宋体"/>
          <w:color w:val="auto"/>
          <w:szCs w:val="21"/>
        </w:rPr>
        <w:t>（全称）：</w:t>
      </w:r>
      <w:r>
        <w:rPr>
          <w:rFonts w:hint="eastAsia" w:ascii="宋体" w:hAnsi="宋体"/>
          <w:color w:val="auto"/>
          <w:szCs w:val="21"/>
          <w:u w:val="single"/>
        </w:rPr>
        <w:t xml:space="preserve">                       </w:t>
      </w:r>
      <w:r>
        <w:rPr>
          <w:rFonts w:hint="eastAsia" w:ascii="宋体" w:hAnsi="宋体"/>
          <w:color w:val="auto"/>
          <w:szCs w:val="21"/>
        </w:rPr>
        <w:t>（供应商）</w:t>
      </w:r>
    </w:p>
    <w:p w14:paraId="0C670200">
      <w:pPr>
        <w:adjustRightInd w:val="0"/>
        <w:snapToGrid w:val="0"/>
        <w:spacing w:before="0" w:beforeLines="0" w:line="400" w:lineRule="exact"/>
        <w:rPr>
          <w:rFonts w:hint="eastAsia" w:ascii="宋体" w:hAnsi="宋体"/>
          <w:color w:val="auto"/>
          <w:szCs w:val="21"/>
        </w:rPr>
      </w:pPr>
      <w:r>
        <w:rPr>
          <w:rFonts w:hint="eastAsia" w:ascii="宋体" w:hAnsi="宋体"/>
          <w:color w:val="auto"/>
          <w:szCs w:val="21"/>
        </w:rPr>
        <w:t>乙方2（全称）：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15AD6FAB">
      <w:pPr>
        <w:adjustRightInd w:val="0"/>
        <w:snapToGrid w:val="0"/>
        <w:spacing w:before="0" w:beforeLines="0" w:line="400" w:lineRule="exact"/>
        <w:rPr>
          <w:rFonts w:hint="eastAsia" w:ascii="宋体" w:hAnsi="宋体"/>
          <w:color w:val="auto"/>
          <w:szCs w:val="21"/>
        </w:rPr>
      </w:pPr>
      <w:r>
        <w:rPr>
          <w:rFonts w:hint="eastAsia"/>
          <w:color w:val="auto"/>
          <w:lang w:eastAsia="zh-CN"/>
        </w:rPr>
        <w:t>乙方</w:t>
      </w:r>
      <w:r>
        <w:rPr>
          <w:rFonts w:hint="eastAsia" w:ascii="宋体" w:hAnsi="宋体"/>
          <w:color w:val="auto"/>
          <w:szCs w:val="21"/>
          <w:lang w:val="en-US" w:eastAsia="zh-CN"/>
        </w:rPr>
        <w:t>3</w:t>
      </w:r>
      <w:r>
        <w:rPr>
          <w:rFonts w:hint="eastAsia"/>
          <w:color w:val="auto"/>
          <w:lang w:val="en-US" w:eastAsia="zh-CN"/>
        </w:rPr>
        <w:t>（全称）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64281A17">
      <w:pPr>
        <w:spacing w:beforeLines="0" w:line="400" w:lineRule="exact"/>
        <w:rPr>
          <w:rFonts w:hint="default" w:eastAsia="宋体"/>
          <w:color w:val="auto"/>
          <w:lang w:val="en-US" w:eastAsia="zh-CN"/>
        </w:rPr>
      </w:pPr>
    </w:p>
    <w:p w14:paraId="50717E54">
      <w:pPr>
        <w:pStyle w:val="17"/>
        <w:adjustRightInd w:val="0"/>
        <w:snapToGrid w:val="0"/>
        <w:spacing w:before="0" w:beforeLines="0" w:after="0" w:line="400" w:lineRule="exact"/>
        <w:ind w:left="0" w:leftChars="0" w:firstLine="600" w:firstLineChars="200"/>
        <w:rPr>
          <w:rFonts w:ascii="宋体" w:hAnsi="宋体"/>
          <w:color w:val="auto"/>
          <w:szCs w:val="21"/>
        </w:rPr>
      </w:pPr>
      <w:r>
        <w:rPr>
          <w:rFonts w:hint="eastAsia" w:ascii="宋体" w:hAnsi="宋体"/>
          <w:color w:val="auto"/>
          <w:szCs w:val="21"/>
        </w:rPr>
        <w:t>依据《中华人民共和国民法典》</w:t>
      </w:r>
      <w:r>
        <w:rPr>
          <w:rFonts w:hint="eastAsia" w:ascii="宋体" w:hAnsi="宋体"/>
          <w:color w:val="auto"/>
          <w:szCs w:val="21"/>
          <w:lang w:eastAsia="zh-CN"/>
        </w:rPr>
        <w:t>、</w:t>
      </w:r>
      <w:r>
        <w:rPr>
          <w:rFonts w:hint="eastAsia" w:ascii="宋体" w:hAnsi="宋体"/>
          <w:color w:val="auto"/>
          <w:szCs w:val="21"/>
        </w:rPr>
        <w:t>《中华人民共和国政府采购法》等有关的法律法规，以及</w:t>
      </w:r>
      <w:r>
        <w:rPr>
          <w:rFonts w:hint="eastAsia" w:ascii="宋体" w:hAnsi="宋体"/>
          <w:i w:val="0"/>
          <w:iCs w:val="0"/>
          <w:color w:val="auto"/>
          <w:szCs w:val="21"/>
          <w:u w:val="none"/>
          <w:lang w:eastAsia="zh-CN"/>
        </w:rPr>
        <w:t>本采购项目</w:t>
      </w:r>
      <w:r>
        <w:rPr>
          <w:rFonts w:hint="eastAsia" w:ascii="宋体" w:hAnsi="宋体"/>
          <w:color w:val="auto"/>
          <w:szCs w:val="21"/>
        </w:rPr>
        <w:t>的</w:t>
      </w:r>
      <w:r>
        <w:rPr>
          <w:rFonts w:hint="eastAsia" w:ascii="宋体" w:hAnsi="宋体"/>
          <w:color w:val="auto"/>
          <w:szCs w:val="21"/>
          <w:lang w:eastAsia="zh-CN"/>
        </w:rPr>
        <w:t>招标</w:t>
      </w:r>
      <w:r>
        <w:rPr>
          <w:rFonts w:hint="eastAsia" w:ascii="宋体" w:hAnsi="宋体"/>
          <w:color w:val="auto"/>
          <w:szCs w:val="21"/>
          <w:lang w:val="en-US" w:eastAsia="zh-CN"/>
        </w:rPr>
        <w:t>/谈判</w:t>
      </w:r>
      <w:r>
        <w:rPr>
          <w:rFonts w:hint="eastAsia" w:ascii="宋体" w:hAnsi="宋体"/>
          <w:color w:val="auto"/>
          <w:szCs w:val="21"/>
          <w:lang w:eastAsia="zh-CN"/>
        </w:rPr>
        <w:t>文件等</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 xml:space="preserve">乙方的《投标（响应）文件》及《中标（成交）通知书》，甲乙双方同意签订本合同。具体情况及要求如下：     </w:t>
      </w:r>
    </w:p>
    <w:p w14:paraId="7C2C18EF">
      <w:pPr>
        <w:numPr>
          <w:ilvl w:val="0"/>
          <w:numId w:val="4"/>
        </w:numPr>
        <w:adjustRightInd w:val="0"/>
        <w:snapToGrid w:val="0"/>
        <w:spacing w:before="0" w:beforeLines="0" w:line="400" w:lineRule="exact"/>
        <w:ind w:firstLine="422" w:firstLineChars="200"/>
        <w:rPr>
          <w:rFonts w:ascii="宋体" w:hAnsi="宋体"/>
          <w:b/>
          <w:color w:val="auto"/>
          <w:szCs w:val="21"/>
        </w:rPr>
      </w:pPr>
      <w:r>
        <w:rPr>
          <w:rFonts w:hint="eastAsia" w:ascii="宋体" w:hAnsi="宋体"/>
          <w:b/>
          <w:color w:val="auto"/>
          <w:szCs w:val="21"/>
        </w:rPr>
        <w:t>项目信息</w:t>
      </w:r>
    </w:p>
    <w:p w14:paraId="6C84467D">
      <w:pPr>
        <w:pStyle w:val="17"/>
        <w:numPr>
          <w:ilvl w:val="0"/>
          <w:numId w:val="5"/>
        </w:numPr>
        <w:adjustRightInd w:val="0"/>
        <w:snapToGrid w:val="0"/>
        <w:spacing w:before="0" w:beforeLines="0" w:after="0" w:line="400" w:lineRule="exact"/>
        <w:ind w:left="0" w:leftChars="0" w:firstLine="600" w:firstLineChars="200"/>
        <w:rPr>
          <w:rFonts w:ascii="宋体" w:hAnsi="宋体"/>
          <w:color w:val="auto"/>
          <w:szCs w:val="21"/>
          <w:u w:val="single"/>
        </w:rPr>
      </w:pPr>
      <w:r>
        <w:rPr>
          <w:rFonts w:hint="eastAsia" w:ascii="宋体" w:hAnsi="宋体"/>
          <w:color w:val="auto"/>
          <w:szCs w:val="21"/>
        </w:rPr>
        <w:t>采购项目名称：</w:t>
      </w:r>
      <w:r>
        <w:rPr>
          <w:rFonts w:ascii="宋体" w:hAnsi="宋体"/>
          <w:color w:val="auto"/>
          <w:szCs w:val="21"/>
          <w:u w:val="single"/>
        </w:rPr>
        <w:t xml:space="preserve">                                          </w:t>
      </w:r>
    </w:p>
    <w:p w14:paraId="715533A4">
      <w:pPr>
        <w:pStyle w:val="17"/>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u w:val="none"/>
          <w:lang w:val="en-US" w:eastAsia="zh-CN"/>
        </w:rPr>
      </w:pPr>
      <w:r>
        <w:rPr>
          <w:rFonts w:hint="eastAsia" w:ascii="宋体" w:hAnsi="宋体"/>
          <w:color w:val="auto"/>
          <w:szCs w:val="21"/>
          <w:u w:val="none"/>
          <w:lang w:val="en-US" w:eastAsia="zh-CN"/>
        </w:rPr>
        <w:t xml:space="preserve">         采购项目编号：</w:t>
      </w:r>
      <w:r>
        <w:rPr>
          <w:rFonts w:ascii="宋体" w:hAnsi="宋体"/>
          <w:color w:val="auto"/>
          <w:szCs w:val="21"/>
          <w:u w:val="single"/>
        </w:rPr>
        <w:t xml:space="preserve">                                          </w:t>
      </w:r>
    </w:p>
    <w:p w14:paraId="28B0FF65">
      <w:pPr>
        <w:pStyle w:val="17"/>
        <w:adjustRightInd w:val="0"/>
        <w:snapToGrid w:val="0"/>
        <w:spacing w:before="0" w:beforeLines="0" w:after="0" w:line="400" w:lineRule="exact"/>
        <w:ind w:left="0" w:leftChars="0" w:firstLine="600" w:firstLineChars="200"/>
        <w:rPr>
          <w:rFonts w:ascii="宋体" w:hAnsi="宋体"/>
          <w:color w:val="auto"/>
          <w:szCs w:val="21"/>
        </w:rPr>
      </w:pPr>
      <w:r>
        <w:rPr>
          <w:rFonts w:hint="eastAsia" w:ascii="宋体" w:hAnsi="宋体"/>
          <w:color w:val="auto"/>
          <w:szCs w:val="21"/>
        </w:rPr>
        <w:t>（2）采购计划编号：</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p>
    <w:p w14:paraId="599B457A">
      <w:pPr>
        <w:adjustRightInd w:val="0"/>
        <w:snapToGrid w:val="0"/>
        <w:spacing w:before="0" w:beforeLines="0" w:line="400" w:lineRule="exact"/>
        <w:ind w:firstLine="420" w:firstLineChars="200"/>
        <w:rPr>
          <w:rFonts w:hint="eastAsia" w:ascii="宋体" w:hAnsi="宋体"/>
          <w:color w:val="auto"/>
          <w:szCs w:val="21"/>
        </w:rPr>
      </w:pPr>
      <w:r>
        <w:rPr>
          <w:rFonts w:hint="eastAsia" w:ascii="宋体" w:hAnsi="宋体"/>
          <w:color w:val="auto"/>
          <w:szCs w:val="21"/>
        </w:rPr>
        <w:t>（3）项目内容：</w:t>
      </w:r>
    </w:p>
    <w:p w14:paraId="64287E0E">
      <w:pPr>
        <w:adjustRightInd w:val="0"/>
        <w:snapToGrid w:val="0"/>
        <w:spacing w:before="0" w:beforeLines="0" w:line="400" w:lineRule="exact"/>
        <w:ind w:firstLine="420" w:firstLineChars="200"/>
        <w:rPr>
          <w:rFonts w:hint="eastAsia" w:ascii="宋体" w:hAnsi="宋体"/>
          <w:color w:val="auto"/>
          <w:szCs w:val="21"/>
          <w:lang w:val="en-US" w:eastAsia="zh-CN"/>
        </w:rPr>
      </w:pPr>
      <w:r>
        <w:rPr>
          <w:rFonts w:hint="eastAsia" w:ascii="宋体" w:hAnsi="宋体"/>
          <w:color w:val="auto"/>
          <w:szCs w:val="21"/>
          <w:lang w:val="en-US" w:eastAsia="zh-CN"/>
        </w:rPr>
        <w:t xml:space="preserve">     </w:t>
      </w:r>
      <w:r>
        <w:rPr>
          <w:rFonts w:hint="eastAsia" w:ascii="宋体" w:hAnsi="宋体"/>
          <w:color w:val="auto"/>
          <w:szCs w:val="21"/>
          <w:lang w:eastAsia="zh-CN"/>
        </w:rPr>
        <w:t>采购标的及数量</w:t>
      </w:r>
      <w:r>
        <w:rPr>
          <w:rFonts w:hint="eastAsia" w:ascii="宋体" w:hAnsi="宋体"/>
          <w:color w:val="auto"/>
          <w:szCs w:val="21"/>
          <w:lang w:val="en-US" w:eastAsia="zh-CN"/>
        </w:rPr>
        <w:t>（台/套</w:t>
      </w:r>
      <w:r>
        <w:rPr>
          <w:rFonts w:hint="default" w:ascii="宋体" w:hAnsi="宋体"/>
          <w:color w:val="auto"/>
          <w:szCs w:val="21"/>
          <w:lang w:val="en" w:eastAsia="zh-CN"/>
        </w:rPr>
        <w:t>/</w:t>
      </w:r>
      <w:r>
        <w:rPr>
          <w:rFonts w:hint="eastAsia" w:ascii="宋体" w:hAnsi="宋体"/>
          <w:color w:val="auto"/>
          <w:szCs w:val="21"/>
          <w:lang w:val="en" w:eastAsia="zh-CN"/>
        </w:rPr>
        <w:t>个</w:t>
      </w:r>
      <w:r>
        <w:rPr>
          <w:rFonts w:hint="default" w:ascii="宋体" w:hAnsi="宋体"/>
          <w:color w:val="auto"/>
          <w:szCs w:val="21"/>
          <w:lang w:val="en" w:eastAsia="zh-CN"/>
        </w:rPr>
        <w:t>/</w:t>
      </w:r>
      <w:r>
        <w:rPr>
          <w:rFonts w:hint="eastAsia" w:ascii="宋体" w:hAnsi="宋体"/>
          <w:color w:val="auto"/>
          <w:szCs w:val="21"/>
          <w:lang w:val="en" w:eastAsia="zh-CN"/>
        </w:rPr>
        <w:t>架</w:t>
      </w:r>
      <w:r>
        <w:rPr>
          <w:rFonts w:hint="default" w:ascii="宋体" w:hAnsi="宋体"/>
          <w:color w:val="auto"/>
          <w:szCs w:val="21"/>
          <w:lang w:val="en" w:eastAsia="zh-CN"/>
        </w:rPr>
        <w:t>/</w:t>
      </w:r>
      <w:r>
        <w:rPr>
          <w:rFonts w:hint="eastAsia" w:ascii="宋体" w:hAnsi="宋体"/>
          <w:color w:val="auto"/>
          <w:szCs w:val="21"/>
          <w:lang w:val="en" w:eastAsia="zh-CN"/>
        </w:rPr>
        <w:t>组等</w:t>
      </w:r>
      <w:r>
        <w:rPr>
          <w:rFonts w:hint="eastAsia" w:ascii="宋体" w:hAnsi="宋体"/>
          <w:color w:val="auto"/>
          <w:szCs w:val="21"/>
          <w:lang w:val="en-US" w:eastAsia="zh-CN"/>
        </w:rPr>
        <w:t>）</w:t>
      </w:r>
      <w:r>
        <w:rPr>
          <w:rFonts w:hint="eastAsia" w:ascii="宋体" w:hAnsi="宋体"/>
          <w:color w:val="auto"/>
          <w:szCs w:val="21"/>
          <w:lang w:eastAsia="zh-CN"/>
        </w:rPr>
        <w:t>：</w:t>
      </w:r>
      <w:r>
        <w:rPr>
          <w:rFonts w:hint="eastAsia" w:ascii="宋体" w:hAnsi="宋体"/>
          <w:color w:val="auto"/>
          <w:szCs w:val="21"/>
          <w:u w:val="single"/>
          <w:lang w:val="en-US" w:eastAsia="zh-CN"/>
        </w:rPr>
        <w:t xml:space="preserve">                       </w:t>
      </w:r>
      <w:r>
        <w:rPr>
          <w:rFonts w:hint="eastAsia" w:ascii="宋体" w:hAnsi="宋体"/>
          <w:color w:val="auto"/>
          <w:szCs w:val="21"/>
          <w:u w:val="none"/>
          <w:lang w:val="en-US" w:eastAsia="zh-CN"/>
        </w:rPr>
        <w:t xml:space="preserve">            </w:t>
      </w:r>
      <w:r>
        <w:rPr>
          <w:rFonts w:hint="eastAsia" w:ascii="宋体" w:hAnsi="宋体"/>
          <w:color w:val="auto"/>
          <w:szCs w:val="21"/>
          <w:u w:val="single"/>
          <w:lang w:val="en-US" w:eastAsia="zh-CN"/>
        </w:rPr>
        <w:t xml:space="preserve">                  </w:t>
      </w:r>
      <w:r>
        <w:rPr>
          <w:rFonts w:hint="eastAsia" w:ascii="宋体" w:hAnsi="宋体"/>
          <w:color w:val="auto"/>
          <w:szCs w:val="21"/>
          <w:lang w:val="en-US" w:eastAsia="zh-CN"/>
        </w:rPr>
        <w:t xml:space="preserve"> </w:t>
      </w:r>
    </w:p>
    <w:p w14:paraId="35D0ED1A">
      <w:pPr>
        <w:numPr>
          <w:ilvl w:val="-1"/>
          <w:numId w:val="0"/>
        </w:numPr>
        <w:adjustRightInd w:val="0"/>
        <w:snapToGrid w:val="0"/>
        <w:spacing w:before="0" w:beforeLines="0" w:line="400" w:lineRule="exact"/>
        <w:ind w:firstLine="420" w:firstLineChars="200"/>
        <w:rPr>
          <w:rFonts w:hint="default" w:ascii="宋体" w:hAnsi="宋体" w:cs="宋体"/>
          <w:color w:val="auto"/>
          <w:szCs w:val="21"/>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none"/>
          <w:lang w:val="en" w:eastAsia="zh-CN"/>
        </w:rPr>
        <w:t xml:space="preserve">     </w:t>
      </w:r>
      <w:r>
        <w:rPr>
          <w:rFonts w:hint="eastAsia" w:ascii="宋体" w:hAnsi="宋体" w:cs="宋体"/>
          <w:color w:val="auto"/>
          <w:szCs w:val="21"/>
          <w:lang w:val="en-US" w:eastAsia="zh-CN"/>
        </w:rPr>
        <w:t>规格型号：</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p>
    <w:p w14:paraId="3FDE32BB">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4BA54F32">
      <w:pPr>
        <w:numPr>
          <w:ilvl w:val="-1"/>
          <w:numId w:val="0"/>
        </w:numPr>
        <w:adjustRightInd w:val="0"/>
        <w:snapToGrid w:val="0"/>
        <w:spacing w:before="0" w:beforeLines="0" w:line="400" w:lineRule="exact"/>
        <w:ind w:firstLine="945" w:firstLineChars="450"/>
        <w:rPr>
          <w:rFonts w:hint="eastAsia" w:ascii="宋体" w:hAnsi="宋体" w:cs="宋体"/>
          <w:color w:val="auto"/>
          <w:szCs w:val="21"/>
          <w:lang w:val="en-US" w:eastAsia="zh-CN"/>
        </w:rPr>
      </w:pPr>
      <w:r>
        <w:rPr>
          <w:rFonts w:hint="eastAsia" w:ascii="汉仪书宋二S" w:hAnsi="汉仪书宋二S" w:eastAsia="汉仪书宋二S" w:cs="汉仪书宋二S"/>
          <w:color w:val="auto"/>
          <w:szCs w:val="21"/>
          <w:lang w:val="en-US" w:eastAsia="zh-CN"/>
        </w:rPr>
        <w:t>①</w:t>
      </w:r>
      <w:r>
        <w:rPr>
          <w:rFonts w:hint="eastAsia" w:ascii="宋体" w:hAnsi="宋体" w:cs="宋体"/>
          <w:color w:val="auto"/>
          <w:szCs w:val="21"/>
          <w:lang w:val="en-US" w:eastAsia="zh-CN"/>
        </w:rPr>
        <w:t>涉及信息类产品，请填写该产品关键部件的品牌、型号：</w:t>
      </w:r>
    </w:p>
    <w:p w14:paraId="5DDBA1CE">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u w:val="single"/>
          <w:lang w:val="en-US" w:eastAsia="zh-CN"/>
        </w:rPr>
      </w:pPr>
      <w:r>
        <w:rPr>
          <w:rFonts w:hint="eastAsia" w:ascii="宋体" w:hAnsi="宋体" w:cs="宋体"/>
          <w:color w:val="auto"/>
          <w:szCs w:val="21"/>
          <w:lang w:val="en-US" w:eastAsia="zh-CN"/>
        </w:rPr>
        <w:t xml:space="preserve">     标的名称：</w:t>
      </w:r>
      <w:r>
        <w:rPr>
          <w:rFonts w:hint="eastAsia" w:ascii="宋体" w:hAnsi="宋体" w:cs="宋体"/>
          <w:color w:val="auto"/>
          <w:kern w:val="0"/>
          <w:szCs w:val="21"/>
          <w:u w:val="single"/>
          <w:lang w:val="en-US" w:eastAsia="zh-CN"/>
        </w:rPr>
        <w:t xml:space="preserve">      </w:t>
      </w:r>
      <w:r>
        <w:rPr>
          <w:rFonts w:hint="default" w:ascii="宋体" w:hAnsi="宋体" w:cs="宋体"/>
          <w:color w:val="auto"/>
          <w:kern w:val="0"/>
          <w:szCs w:val="21"/>
          <w:u w:val="single"/>
          <w:lang w:val="en" w:eastAsia="zh-CN"/>
        </w:rPr>
        <w:t xml:space="preserve">               </w:t>
      </w:r>
      <w:r>
        <w:rPr>
          <w:rFonts w:hint="eastAsia" w:ascii="宋体" w:hAnsi="宋体" w:cs="宋体"/>
          <w:color w:val="auto"/>
          <w:kern w:val="0"/>
          <w:szCs w:val="21"/>
          <w:u w:val="single"/>
          <w:lang w:val="en-US" w:eastAsia="zh-CN"/>
        </w:rPr>
        <w:t xml:space="preserve">    </w:t>
      </w:r>
    </w:p>
    <w:p w14:paraId="180DCC69">
      <w:pPr>
        <w:numPr>
          <w:ilvl w:val="-1"/>
          <w:numId w:val="0"/>
        </w:numPr>
        <w:adjustRightInd w:val="0"/>
        <w:snapToGrid w:val="0"/>
        <w:spacing w:before="0" w:beforeLines="0" w:line="400" w:lineRule="exact"/>
        <w:ind w:firstLine="420" w:firstLineChars="200"/>
        <w:rPr>
          <w:rFonts w:hint="eastAsia" w:ascii="宋体" w:hAnsi="宋体" w:cs="宋体"/>
          <w:color w:val="auto"/>
          <w:szCs w:val="21"/>
          <w:lang w:val="en-US" w:eastAsia="zh-CN"/>
        </w:rPr>
      </w:pPr>
      <w:r>
        <w:rPr>
          <w:rFonts w:hint="eastAsia" w:ascii="宋体" w:hAnsi="宋体" w:cs="宋体"/>
          <w:color w:val="auto"/>
          <w:szCs w:val="21"/>
          <w:lang w:val="en-US" w:eastAsia="zh-CN"/>
        </w:rPr>
        <w:t xml:space="preserve">     关键部件：</w:t>
      </w:r>
      <w:r>
        <w:rPr>
          <w:rFonts w:hint="eastAsia" w:ascii="宋体" w:hAnsi="宋体" w:cs="宋体"/>
          <w:color w:val="auto"/>
          <w:kern w:val="0"/>
          <w:szCs w:val="21"/>
          <w:u w:val="single"/>
          <w:lang w:val="en-US" w:eastAsia="zh-CN"/>
        </w:rPr>
        <w:t xml:space="preserve">          </w:t>
      </w:r>
      <w:r>
        <w:rPr>
          <w:rFonts w:hint="eastAsia" w:ascii="宋体" w:hAnsi="宋体" w:cs="宋体"/>
          <w:color w:val="auto"/>
          <w:kern w:val="0"/>
          <w:szCs w:val="21"/>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eastAsia" w:ascii="宋体" w:hAnsi="宋体" w:cs="宋体"/>
          <w:color w:val="auto"/>
          <w:szCs w:val="21"/>
          <w:u w:val="none"/>
          <w:lang w:val="en-US" w:eastAsia="zh-CN"/>
        </w:rPr>
        <w:t xml:space="preserve"> </w:t>
      </w:r>
      <w:r>
        <w:rPr>
          <w:rFonts w:hint="eastAsia" w:ascii="宋体" w:hAnsi="宋体" w:cs="宋体"/>
          <w:color w:val="auto"/>
          <w:szCs w:val="21"/>
          <w:lang w:val="en-US" w:eastAsia="zh-CN"/>
        </w:rPr>
        <w:t>型号：</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en-US" w:eastAsia="zh-CN"/>
        </w:rPr>
        <w:t xml:space="preserve"> </w:t>
      </w:r>
    </w:p>
    <w:p w14:paraId="303F1543">
      <w:pPr>
        <w:pStyle w:val="50"/>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kern w:val="2"/>
          <w:sz w:val="21"/>
          <w:szCs w:val="21"/>
          <w:lang w:val="en-US" w:eastAsia="zh-CN"/>
        </w:rPr>
        <w:t>关键部件</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lang w:val="en-US" w:eastAsia="zh-CN"/>
        </w:rPr>
        <w:t xml:space="preserve"> </w:t>
      </w:r>
    </w:p>
    <w:p w14:paraId="572409F8">
      <w:pPr>
        <w:pStyle w:val="50"/>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关键部件：</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p>
    <w:p w14:paraId="77D923CC">
      <w:pPr>
        <w:pStyle w:val="50"/>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31BD5999">
      <w:pPr>
        <w:pStyle w:val="50"/>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汉仪书宋二S" w:hAnsi="汉仪书宋二S" w:eastAsia="汉仪书宋二S" w:cs="汉仪书宋二S"/>
          <w:color w:val="auto"/>
          <w:sz w:val="21"/>
          <w:szCs w:val="21"/>
          <w:lang w:val="en-US" w:eastAsia="zh-CN"/>
        </w:rPr>
        <w:t>②</w:t>
      </w:r>
      <w:r>
        <w:rPr>
          <w:rFonts w:hint="eastAsia" w:ascii="宋体" w:hAnsi="宋体" w:eastAsia="宋体" w:cs="宋体"/>
          <w:color w:val="auto"/>
          <w:sz w:val="21"/>
          <w:szCs w:val="21"/>
          <w:lang w:val="en-US" w:eastAsia="zh-CN"/>
        </w:rPr>
        <w:t>涉及车辆采购，请填写是否属于新能源汽车：</w:t>
      </w:r>
    </w:p>
    <w:p w14:paraId="6D8BC9E6">
      <w:pPr>
        <w:pStyle w:val="5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rPr>
        <w:t>是</w:t>
      </w:r>
      <w:r>
        <w:rPr>
          <w:rFonts w:hint="eastAsia" w:asciiTheme="minorEastAsia" w:hAnsiTheme="minorEastAsia" w:eastAsiaTheme="minorEastAsia" w:cstheme="minorEastAsia"/>
          <w:iCs w:val="0"/>
          <w:color w:val="auto"/>
          <w:sz w:val="21"/>
          <w:szCs w:val="21"/>
          <w:lang w:eastAsia="zh-CN"/>
        </w:rPr>
        <w:t>，《政府采购品目分类目录》底级品目名称</w:t>
      </w:r>
      <w:r>
        <w:rPr>
          <w:rFonts w:hint="eastAsia" w:asciiTheme="minorEastAsia" w:hAnsiTheme="minorEastAsia" w:eastAsiaTheme="minorEastAsia" w:cstheme="minorEastAsia"/>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数量：</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金额：</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iCs w:val="0"/>
          <w:color w:val="auto"/>
          <w:sz w:val="21"/>
          <w:szCs w:val="21"/>
          <w:lang w:val="en-US" w:eastAsia="zh-CN"/>
        </w:rPr>
        <w:t xml:space="preserve"> </w:t>
      </w:r>
    </w:p>
    <w:p w14:paraId="3F959232">
      <w:pPr>
        <w:pStyle w:val="5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否</w:t>
      </w:r>
    </w:p>
    <w:p w14:paraId="7C985F27">
      <w:pPr>
        <w:pStyle w:val="50"/>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default" w:asciiTheme="minorEastAsia" w:hAnsiTheme="minorEastAsia" w:eastAsiaTheme="minorEastAsia" w:cstheme="minorEastAsia"/>
          <w:iCs w:val="0"/>
          <w:color w:val="auto"/>
          <w:sz w:val="21"/>
          <w:szCs w:val="21"/>
          <w:lang w:val="en" w:eastAsia="zh-CN"/>
        </w:rPr>
        <w:t>4</w:t>
      </w:r>
      <w:r>
        <w:rPr>
          <w:rFonts w:hint="eastAsia" w:asciiTheme="minorEastAsia" w:hAnsiTheme="minorEastAsia" w:eastAsiaTheme="minorEastAsia" w:cstheme="minorEastAsia"/>
          <w:iCs w:val="0"/>
          <w:color w:val="auto"/>
          <w:sz w:val="21"/>
          <w:szCs w:val="21"/>
          <w:lang w:val="en-US" w:eastAsia="zh-CN"/>
        </w:rPr>
        <w:t>）政府采购组织形式：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政府集中采购</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 xml:space="preserve">部门集中采购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分散采购</w:t>
      </w:r>
    </w:p>
    <w:p w14:paraId="3402B266">
      <w:pPr>
        <w:pStyle w:val="50"/>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w:t>
      </w:r>
      <w:r>
        <w:rPr>
          <w:rFonts w:hint="default" w:asciiTheme="minorEastAsia" w:hAnsiTheme="minorEastAsia" w:eastAsiaTheme="minorEastAsia" w:cstheme="minorEastAsia"/>
          <w:iCs w:val="0"/>
          <w:color w:val="auto"/>
          <w:sz w:val="21"/>
          <w:szCs w:val="21"/>
          <w:lang w:val="en" w:eastAsia="zh-CN"/>
        </w:rPr>
        <w:t>5</w:t>
      </w:r>
      <w:r>
        <w:rPr>
          <w:rFonts w:hint="eastAsia" w:asciiTheme="minorEastAsia" w:hAnsiTheme="minorEastAsia" w:eastAsiaTheme="minorEastAsia" w:cstheme="minorEastAsia"/>
          <w:iCs w:val="0"/>
          <w:color w:val="auto"/>
          <w:sz w:val="21"/>
          <w:szCs w:val="21"/>
          <w:lang w:val="en-US" w:eastAsia="zh-CN"/>
        </w:rPr>
        <w:t>）政府采购方式：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公开招标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邀请招标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竞争性谈判</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竞争性磋商</w:t>
      </w:r>
    </w:p>
    <w:p w14:paraId="60BD323C">
      <w:pPr>
        <w:pStyle w:val="50"/>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u w:val="single"/>
          <w:lang w:val="en-US" w:eastAsia="zh-CN"/>
        </w:rPr>
      </w:pPr>
      <w:r>
        <w:rPr>
          <w:rFonts w:hint="eastAsia" w:ascii="宋体" w:hAnsi="宋体" w:cs="宋体"/>
          <w:color w:val="auto"/>
          <w:szCs w:val="21"/>
          <w:u w:val="none"/>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询价</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单一来源</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框架协议</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其他：</w:t>
      </w:r>
      <w:r>
        <w:rPr>
          <w:rFonts w:hint="eastAsia" w:ascii="宋体" w:hAnsi="宋体" w:eastAsia="宋体" w:cs="宋体"/>
          <w:iCs w:val="0"/>
          <w:color w:val="auto"/>
          <w:sz w:val="21"/>
          <w:szCs w:val="21"/>
          <w:u w:val="single"/>
          <w:lang w:val="en-US" w:eastAsia="zh-CN"/>
        </w:rPr>
        <w:t xml:space="preserve">          </w:t>
      </w:r>
    </w:p>
    <w:p w14:paraId="594F2CD5">
      <w:pPr>
        <w:pStyle w:val="50"/>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u w:val="none"/>
          <w:lang w:val="en-US" w:eastAsia="zh-CN"/>
        </w:rPr>
      </w:pPr>
      <w:r>
        <w:rPr>
          <w:rFonts w:hint="eastAsia" w:ascii="宋体" w:hAnsi="宋体" w:eastAsia="宋体" w:cs="宋体"/>
          <w:iCs w:val="0"/>
          <w:color w:val="auto"/>
          <w:sz w:val="21"/>
          <w:szCs w:val="21"/>
          <w:u w:val="none"/>
          <w:lang w:val="en-US" w:eastAsia="zh-CN"/>
        </w:rPr>
        <w:t>（注：在框架协议采购的第二阶段，可选择使用该合同文本）</w:t>
      </w:r>
    </w:p>
    <w:p w14:paraId="151A2187">
      <w:pPr>
        <w:pStyle w:val="50"/>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lang w:val="en-US" w:eastAsia="zh-CN" w:bidi="ar-SA"/>
        </w:rPr>
      </w:pPr>
      <w:r>
        <w:rPr>
          <w:rFonts w:hint="eastAsia" w:ascii="宋体" w:hAnsi="宋体"/>
          <w:color w:val="auto"/>
          <w:szCs w:val="21"/>
          <w:lang w:val="en-US" w:eastAsia="zh-CN"/>
        </w:rPr>
        <w:t xml:space="preserve"> （</w:t>
      </w:r>
      <w:r>
        <w:rPr>
          <w:rFonts w:hint="default" w:ascii="宋体" w:hAnsi="宋体"/>
          <w:color w:val="auto"/>
          <w:szCs w:val="21"/>
          <w:lang w:val="en" w:eastAsia="zh-CN"/>
        </w:rPr>
        <w:t>6</w:t>
      </w:r>
      <w:r>
        <w:rPr>
          <w:rFonts w:hint="eastAsia" w:ascii="宋体" w:hAnsi="宋体"/>
          <w:color w:val="auto"/>
          <w:szCs w:val="21"/>
          <w:lang w:val="en-US" w:eastAsia="zh-CN"/>
        </w:rPr>
        <w:t>）</w:t>
      </w:r>
      <w:r>
        <w:rPr>
          <w:rFonts w:hint="eastAsia" w:ascii="宋体" w:hAnsi="宋体" w:eastAsia="宋体" w:cs="Times New Roman"/>
          <w:color w:val="auto"/>
          <w:w w:val="100"/>
          <w:kern w:val="2"/>
          <w:sz w:val="21"/>
          <w:szCs w:val="21"/>
          <w:lang w:val="en-US" w:eastAsia="zh-CN" w:bidi="ar-SA"/>
        </w:rPr>
        <w:t>中标（成交）采购标的制造商是否为中小企业：</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 xml:space="preserve">是      </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否</w:t>
      </w:r>
    </w:p>
    <w:p w14:paraId="60E4A93B">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rPr>
      </w:pPr>
      <w:r>
        <w:rPr>
          <w:rFonts w:hint="eastAsia" w:ascii="宋体" w:hAnsi="宋体"/>
          <w:color w:val="auto"/>
          <w:w w:val="100"/>
          <w:szCs w:val="21"/>
          <w:lang w:val="en-US" w:eastAsia="zh-CN"/>
        </w:rPr>
        <w:t xml:space="preserve">         本合同</w:t>
      </w:r>
      <w:r>
        <w:rPr>
          <w:rFonts w:hint="eastAsia" w:ascii="宋体" w:hAnsi="宋体"/>
          <w:color w:val="auto"/>
          <w:w w:val="100"/>
          <w:szCs w:val="21"/>
        </w:rPr>
        <w:t>是否</w:t>
      </w:r>
      <w:r>
        <w:rPr>
          <w:rFonts w:hint="eastAsia" w:ascii="宋体" w:hAnsi="宋体"/>
          <w:color w:val="auto"/>
          <w:w w:val="100"/>
          <w:szCs w:val="21"/>
          <w:lang w:eastAsia="zh-CN"/>
        </w:rPr>
        <w:t>为专门面向</w:t>
      </w:r>
      <w:r>
        <w:rPr>
          <w:rFonts w:hint="eastAsia" w:ascii="宋体" w:hAnsi="宋体"/>
          <w:color w:val="auto"/>
          <w:w w:val="100"/>
          <w:szCs w:val="21"/>
        </w:rPr>
        <w:t>中小企业</w:t>
      </w:r>
      <w:r>
        <w:rPr>
          <w:rFonts w:hint="eastAsia" w:ascii="宋体" w:hAnsi="宋体"/>
          <w:color w:val="auto"/>
          <w:w w:val="100"/>
          <w:szCs w:val="21"/>
          <w:lang w:eastAsia="zh-CN"/>
        </w:rPr>
        <w:t>的采</w:t>
      </w:r>
      <w:r>
        <w:rPr>
          <w:rFonts w:hint="eastAsia" w:ascii="宋体" w:hAnsi="宋体"/>
          <w:color w:val="auto"/>
          <w:w w:val="100"/>
          <w:szCs w:val="21"/>
          <w:shd w:val="clear"/>
          <w:lang w:eastAsia="zh-CN"/>
        </w:rPr>
        <w:t>购</w:t>
      </w:r>
      <w:r>
        <w:rPr>
          <w:rFonts w:hint="eastAsia" w:ascii="宋体" w:hAnsi="宋体"/>
          <w:color w:val="auto"/>
          <w:w w:val="100"/>
          <w:szCs w:val="21"/>
          <w:shd w:val="clear"/>
        </w:rPr>
        <w:t>合同</w:t>
      </w:r>
      <w:r>
        <w:rPr>
          <w:rFonts w:hint="eastAsia" w:ascii="宋体" w:hAnsi="宋体"/>
          <w:color w:val="auto"/>
          <w:w w:val="100"/>
          <w:szCs w:val="21"/>
          <w:shd w:val="clear"/>
          <w:lang w:eastAsia="zh-CN"/>
        </w:rPr>
        <w:t>（中小企业预留合同）</w:t>
      </w:r>
      <w:r>
        <w:rPr>
          <w:rFonts w:hint="eastAsia" w:ascii="宋体" w:hAnsi="宋体"/>
          <w:color w:val="auto"/>
          <w:szCs w:val="21"/>
          <w:shd w:val="clear"/>
        </w:rPr>
        <w:t>：</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lang w:val="en-US" w:eastAsia="zh-CN"/>
        </w:rPr>
        <w:t xml:space="preserve">  </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否</w:t>
      </w:r>
    </w:p>
    <w:p w14:paraId="45CB4F2C">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若本项目不专门面向中小企业采购，是否给予小微企业评审优惠：</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0DB0348C">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中标（成交）采购标的制造商是否为残疾人福利性单位：</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1CA71658">
      <w:pPr>
        <w:numPr>
          <w:ilvl w:val="0"/>
          <w:numId w:val="0"/>
        </w:numPr>
        <w:snapToGrid w:val="0"/>
        <w:spacing w:beforeLines="0" w:line="400" w:lineRule="exact"/>
        <w:ind w:firstLine="0" w:firstLineChars="0"/>
        <w:rPr>
          <w:rFonts w:hint="default"/>
          <w:color w:val="auto"/>
          <w:lang w:val="en-US" w:eastAsia="zh-CN"/>
        </w:rPr>
      </w:pPr>
      <w:r>
        <w:rPr>
          <w:rFonts w:hint="eastAsia"/>
          <w:color w:val="auto"/>
          <w:lang w:val="en-US" w:eastAsia="zh-CN"/>
        </w:rPr>
        <w:t xml:space="preserve">         中标（成交）采购标的制造商是否为监狱企业：</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508E7A7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default" w:ascii="宋体" w:hAnsi="宋体"/>
          <w:color w:val="auto"/>
          <w:szCs w:val="21"/>
          <w:lang w:val="en" w:eastAsia="zh-CN"/>
        </w:rPr>
        <w:t>7</w:t>
      </w:r>
      <w:r>
        <w:rPr>
          <w:rFonts w:hint="eastAsia" w:ascii="宋体" w:hAnsi="宋体"/>
          <w:color w:val="auto"/>
          <w:szCs w:val="21"/>
        </w:rPr>
        <w:t>）合同是否分包：</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61AE5BDE">
      <w:pPr>
        <w:adjustRightInd w:val="0"/>
        <w:snapToGrid w:val="0"/>
        <w:spacing w:before="0" w:beforeLines="0" w:line="400" w:lineRule="exact"/>
        <w:ind w:firstLine="840" w:firstLineChars="40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分包主要内容：</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38B00E1E">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u w:val="none"/>
          <w:lang w:val="en-US" w:eastAsia="zh-CN"/>
        </w:rPr>
        <w:t xml:space="preserve"> </w:t>
      </w:r>
      <w:r>
        <w:rPr>
          <w:rFonts w:hint="eastAsia" w:ascii="宋体" w:hAnsi="宋体"/>
          <w:color w:val="auto"/>
          <w:szCs w:val="21"/>
        </w:rPr>
        <w:t>分包</w:t>
      </w:r>
      <w:r>
        <w:rPr>
          <w:rFonts w:hint="eastAsia" w:ascii="宋体" w:hAnsi="宋体"/>
          <w:color w:val="auto"/>
          <w:szCs w:val="21"/>
          <w:highlight w:val="none"/>
        </w:rPr>
        <w:t>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2D1F6109">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155DC77F">
      <w:pPr>
        <w:adjustRightInd w:val="0"/>
        <w:snapToGrid w:val="0"/>
        <w:spacing w:before="0" w:beforeLines="0" w:line="400" w:lineRule="exact"/>
        <w:ind w:firstLine="840" w:firstLineChars="400"/>
        <w:rPr>
          <w:rFonts w:hint="eastAsia" w:ascii="宋体" w:hAnsi="宋体"/>
          <w:color w:val="auto"/>
          <w:szCs w:val="21"/>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rPr>
        <w:t>：</w:t>
      </w:r>
    </w:p>
    <w:p w14:paraId="40D0FAB3">
      <w:pPr>
        <w:adjustRightInd w:val="0"/>
        <w:snapToGrid w:val="0"/>
        <w:spacing w:beforeLines="0" w:line="400" w:lineRule="exact"/>
        <w:ind w:firstLine="840" w:firstLineChars="40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大型企业  </w:t>
      </w:r>
      <w:r>
        <w:rPr>
          <w:rFonts w:hint="eastAsia" w:ascii="宋体" w:hAnsi="宋体"/>
          <w:iCs/>
          <w:color w:val="auto"/>
          <w:szCs w:val="21"/>
        </w:rPr>
        <w:sym w:font="Wingdings" w:char="00A8"/>
      </w:r>
      <w:r>
        <w:rPr>
          <w:rFonts w:hint="eastAsia" w:ascii="宋体" w:hAnsi="宋体"/>
          <w:iCs/>
          <w:color w:val="auto"/>
          <w:szCs w:val="21"/>
        </w:rPr>
        <w:t xml:space="preserve">中型企业  </w:t>
      </w:r>
      <w:r>
        <w:rPr>
          <w:rFonts w:hint="eastAsia" w:ascii="宋体" w:hAnsi="宋体"/>
          <w:iCs/>
          <w:color w:val="auto"/>
          <w:szCs w:val="21"/>
        </w:rPr>
        <w:sym w:font="Wingdings" w:char="00A8"/>
      </w:r>
      <w:r>
        <w:rPr>
          <w:rFonts w:hint="eastAsia" w:ascii="宋体" w:hAnsi="宋体"/>
          <w:iCs/>
          <w:color w:val="auto"/>
          <w:szCs w:val="21"/>
        </w:rPr>
        <w:t>小微型企业</w:t>
      </w:r>
      <w:r>
        <w:rPr>
          <w:rFonts w:hint="eastAsia" w:ascii="宋体" w:hAnsi="宋体"/>
          <w:iCs/>
          <w:color w:val="auto"/>
          <w:szCs w:val="21"/>
          <w:lang w:val="en-US" w:eastAsia="zh-CN"/>
        </w:rPr>
        <w:t xml:space="preserve">  </w:t>
      </w:r>
    </w:p>
    <w:p w14:paraId="734EFF2C">
      <w:pPr>
        <w:adjustRightInd w:val="0"/>
        <w:snapToGrid w:val="0"/>
        <w:spacing w:beforeLines="0" w:line="400" w:lineRule="exact"/>
        <w:ind w:firstLine="840" w:firstLineChars="400"/>
        <w:rPr>
          <w:rFonts w:hint="default" w:eastAsia="华文楷体"/>
          <w:color w:val="auto"/>
          <w:u w:val="none"/>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残疾人福利性单位</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监狱</w:t>
      </w:r>
      <w:r>
        <w:rPr>
          <w:rFonts w:hint="eastAsia" w:ascii="宋体" w:hAnsi="宋体"/>
          <w:iCs/>
          <w:color w:val="auto"/>
          <w:szCs w:val="21"/>
        </w:rPr>
        <w:t>企业</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p>
    <w:p w14:paraId="011CA219">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2C420831">
      <w:pPr>
        <w:pStyle w:val="50"/>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6FDF2D44">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u w:val="none"/>
          <w:lang w:val="en-US" w:eastAsia="zh-CN"/>
        </w:rPr>
      </w:pPr>
      <w:r>
        <w:rPr>
          <w:rFonts w:hint="eastAsia" w:ascii="宋体" w:hAnsi="宋体" w:eastAsia="宋体" w:cs="宋体"/>
          <w:b w:val="0"/>
          <w:bCs w:val="0"/>
          <w:color w:val="auto"/>
          <w:sz w:val="21"/>
          <w:szCs w:val="21"/>
          <w:u w:val="none"/>
          <w:lang w:val="en-US" w:eastAsia="zh-CN"/>
        </w:rPr>
        <w:t>（</w:t>
      </w:r>
      <w:r>
        <w:rPr>
          <w:rFonts w:hint="default" w:ascii="宋体" w:hAnsi="宋体" w:cs="宋体"/>
          <w:b w:val="0"/>
          <w:bCs w:val="0"/>
          <w:color w:val="auto"/>
          <w:sz w:val="21"/>
          <w:szCs w:val="21"/>
          <w:u w:val="none"/>
          <w:lang w:val="en" w:eastAsia="zh-CN"/>
        </w:rPr>
        <w:t>9</w:t>
      </w:r>
      <w:r>
        <w:rPr>
          <w:rFonts w:hint="eastAsia" w:ascii="宋体" w:hAnsi="宋体" w:eastAsia="宋体" w:cs="宋体"/>
          <w:b w:val="0"/>
          <w:bCs w:val="0"/>
          <w:color w:val="auto"/>
          <w:sz w:val="21"/>
          <w:szCs w:val="21"/>
          <w:u w:val="none"/>
          <w:lang w:val="en-US" w:eastAsia="zh-CN"/>
        </w:rPr>
        <w:t>）是否涉及进口产品：</w:t>
      </w:r>
    </w:p>
    <w:p w14:paraId="5D1DF4E5">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u w:val="single"/>
          <w:lang w:val="en-US" w:eastAsia="zh-CN"/>
        </w:rPr>
      </w:pPr>
      <w:r>
        <w:rPr>
          <w:rFonts w:hint="eastAsia" w:ascii="宋体" w:hAnsi="宋体" w:cs="宋体"/>
          <w:iCs w:val="0"/>
          <w:color w:val="auto"/>
          <w:szCs w:val="21"/>
          <w:lang w:val="en-US" w:eastAsia="zh-CN"/>
        </w:rPr>
        <w:t xml:space="preserve"> </w:t>
      </w:r>
      <w:r>
        <w:rPr>
          <w:rFonts w:hint="eastAsia" w:ascii="宋体" w:hAnsi="宋体" w:eastAsia="宋体" w:cs="宋体"/>
          <w:iCs w:val="0"/>
          <w:color w:val="auto"/>
          <w:szCs w:val="21"/>
        </w:rPr>
        <w:sym w:font="Wingdings" w:char="00A8"/>
      </w:r>
      <w:r>
        <w:rPr>
          <w:rFonts w:hint="eastAsia" w:ascii="宋体" w:hAnsi="宋体" w:eastAsia="宋体" w:cs="宋体"/>
          <w:iCs w:val="0"/>
          <w:color w:val="auto"/>
          <w:szCs w:val="21"/>
        </w:rPr>
        <w:t>是</w:t>
      </w:r>
      <w:r>
        <w:rPr>
          <w:rFonts w:hint="eastAsia" w:ascii="宋体" w:hAnsi="宋体" w:eastAsia="宋体" w:cs="宋体"/>
          <w:iCs w:val="0"/>
          <w:color w:val="auto"/>
          <w:szCs w:val="21"/>
          <w:lang w:eastAsia="zh-CN"/>
        </w:rPr>
        <w:t>，</w:t>
      </w:r>
      <w:r>
        <w:rPr>
          <w:rFonts w:hint="eastAsia" w:ascii="宋体" w:hAnsi="宋体" w:cs="宋体"/>
          <w:iCs w:val="0"/>
          <w:color w:val="auto"/>
          <w:szCs w:val="21"/>
          <w:lang w:eastAsia="zh-CN"/>
        </w:rPr>
        <w:t>《政府采购品目分类目录》底级品目名称</w:t>
      </w:r>
      <w:r>
        <w:rPr>
          <w:rFonts w:hint="eastAsia" w:ascii="宋体" w:hAnsi="宋体" w:eastAsia="宋体" w:cs="宋体"/>
          <w:color w:val="auto"/>
          <w:szCs w:val="21"/>
          <w:lang w:val="en-US" w:eastAsia="zh-CN"/>
        </w:rPr>
        <w:t>：</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lang w:val="en-US" w:eastAsia="zh-CN"/>
        </w:rPr>
        <w:t xml:space="preserve"> </w:t>
      </w:r>
      <w:r>
        <w:rPr>
          <w:rFonts w:hint="eastAsia" w:ascii="宋体" w:hAnsi="宋体" w:cs="宋体"/>
          <w:color w:val="auto"/>
          <w:szCs w:val="21"/>
          <w:lang w:val="en-US" w:eastAsia="zh-CN"/>
        </w:rPr>
        <w:t>金额：</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p>
    <w:p w14:paraId="062C905B">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rPr>
      </w:pPr>
      <w:r>
        <w:rPr>
          <w:rFonts w:hint="eastAsia" w:ascii="宋体" w:hAnsi="宋体" w:cs="宋体"/>
          <w:color w:val="auto"/>
          <w:szCs w:val="21"/>
          <w:lang w:val="en-US" w:eastAsia="zh-CN"/>
        </w:rPr>
        <w:t xml:space="preserve">        国别：</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lang w:val="en-US" w:eastAsia="zh-CN"/>
        </w:rPr>
        <w:t xml:space="preserve"> </w:t>
      </w:r>
      <w:r>
        <w:rPr>
          <w:rFonts w:hint="eastAsia" w:ascii="宋体" w:hAnsi="宋体" w:eastAsia="宋体" w:cs="宋体"/>
          <w:color w:val="auto"/>
          <w:szCs w:val="21"/>
          <w:lang w:val="en-US" w:eastAsia="zh-CN"/>
        </w:rPr>
        <w:t>品牌：</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u w:val="none"/>
          <w:lang w:val="en-US" w:eastAsia="zh-CN"/>
        </w:rPr>
        <w:t xml:space="preserve"> 规格型号：</w:t>
      </w:r>
      <w:r>
        <w:rPr>
          <w:rFonts w:hint="eastAsia" w:ascii="宋体" w:hAnsi="宋体" w:eastAsia="宋体" w:cs="宋体"/>
          <w:color w:val="auto"/>
          <w:szCs w:val="21"/>
          <w:u w:val="single"/>
          <w:lang w:val="en-US" w:eastAsia="zh-CN"/>
        </w:rPr>
        <w:t xml:space="preserve">        </w:t>
      </w:r>
      <w:r>
        <w:rPr>
          <w:rFonts w:hint="eastAsia" w:ascii="宋体" w:hAnsi="宋体" w:eastAsia="宋体"/>
          <w:iCs w:val="0"/>
          <w:color w:val="auto"/>
          <w:szCs w:val="21"/>
        </w:rPr>
        <w:t xml:space="preserve">      </w:t>
      </w:r>
    </w:p>
    <w:p w14:paraId="646D043D">
      <w:pPr>
        <w:adjustRightInd w:val="0"/>
        <w:snapToGrid w:val="0"/>
        <w:spacing w:before="0" w:beforeLines="0" w:line="400" w:lineRule="exact"/>
        <w:ind w:firstLine="840" w:firstLineChars="400"/>
        <w:rPr>
          <w:rFonts w:hint="eastAsia" w:ascii="宋体" w:hAnsi="宋体"/>
          <w:color w:val="auto"/>
          <w:szCs w:val="21"/>
          <w:u w:val="none"/>
          <w:lang w:val="en-US" w:eastAsia="zh-CN"/>
        </w:rPr>
      </w:pPr>
      <w:r>
        <w:rPr>
          <w:rFonts w:hint="eastAsia" w:ascii="宋体" w:hAnsi="宋体"/>
          <w:iCs w:val="0"/>
          <w:color w:val="auto"/>
          <w:szCs w:val="21"/>
          <w:lang w:val="en-US" w:eastAsia="zh-CN"/>
        </w:rPr>
        <w:t xml:space="preserve"> </w:t>
      </w:r>
      <w:r>
        <w:rPr>
          <w:rFonts w:hint="eastAsia" w:ascii="宋体" w:hAnsi="宋体"/>
          <w:iCs w:val="0"/>
          <w:color w:val="auto"/>
          <w:szCs w:val="21"/>
        </w:rPr>
        <w:sym w:font="Wingdings" w:char="00A8"/>
      </w:r>
      <w:r>
        <w:rPr>
          <w:rFonts w:hint="eastAsia" w:ascii="宋体" w:hAnsi="宋体" w:eastAsia="宋体"/>
          <w:iCs w:val="0"/>
          <w:color w:val="auto"/>
          <w:szCs w:val="21"/>
          <w:lang w:eastAsia="zh-CN"/>
        </w:rPr>
        <w:t>否</w:t>
      </w:r>
    </w:p>
    <w:p w14:paraId="20DA282C">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（1</w:t>
      </w:r>
      <w:r>
        <w:rPr>
          <w:rFonts w:hint="default" w:ascii="宋体" w:hAnsi="宋体"/>
          <w:b w:val="0"/>
          <w:bCs w:val="0"/>
          <w:color w:val="auto"/>
          <w:sz w:val="21"/>
          <w:szCs w:val="21"/>
          <w:u w:val="none"/>
          <w:lang w:val="en" w:eastAsia="zh-CN"/>
        </w:rPr>
        <w:t>0</w:t>
      </w:r>
      <w:r>
        <w:rPr>
          <w:rFonts w:hint="eastAsia" w:ascii="宋体" w:hAnsi="宋体"/>
          <w:b w:val="0"/>
          <w:bCs w:val="0"/>
          <w:color w:val="auto"/>
          <w:sz w:val="21"/>
          <w:szCs w:val="21"/>
          <w:u w:val="none"/>
          <w:lang w:val="en-US" w:eastAsia="zh-CN"/>
        </w:rPr>
        <w:t>）</w:t>
      </w:r>
      <w:r>
        <w:rPr>
          <w:rFonts w:hint="eastAsia" w:ascii="宋体" w:hAnsi="宋体" w:eastAsia="宋体"/>
          <w:b w:val="0"/>
          <w:bCs w:val="0"/>
          <w:color w:val="auto"/>
          <w:sz w:val="21"/>
          <w:szCs w:val="21"/>
          <w:u w:val="none"/>
          <w:lang w:val="en-US" w:eastAsia="zh-CN"/>
        </w:rPr>
        <w:t>是否涉及节能产品：</w:t>
      </w:r>
    </w:p>
    <w:p w14:paraId="750E9714">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《节能产品政府采购品目清单》的底级品目名称：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1A4B3DD4">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2238658C">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50D064BD">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b w:val="0"/>
          <w:bCs w:val="0"/>
          <w:color w:val="auto"/>
          <w:sz w:val="21"/>
          <w:szCs w:val="21"/>
          <w:u w:val="none"/>
          <w:lang w:val="en-US" w:eastAsia="zh-CN"/>
        </w:rPr>
        <w:t>是否涉及</w:t>
      </w:r>
      <w:r>
        <w:rPr>
          <w:rFonts w:hint="eastAsia" w:ascii="宋体" w:hAnsi="宋体"/>
          <w:b w:val="0"/>
          <w:bCs w:val="0"/>
          <w:color w:val="auto"/>
          <w:sz w:val="21"/>
          <w:szCs w:val="21"/>
          <w:u w:val="none"/>
          <w:lang w:val="en-US" w:eastAsia="zh-CN"/>
        </w:rPr>
        <w:t>环境标志</w:t>
      </w:r>
      <w:r>
        <w:rPr>
          <w:rFonts w:hint="eastAsia" w:ascii="宋体" w:hAnsi="宋体" w:eastAsia="宋体"/>
          <w:b w:val="0"/>
          <w:bCs w:val="0"/>
          <w:color w:val="auto"/>
          <w:sz w:val="21"/>
          <w:szCs w:val="21"/>
          <w:u w:val="none"/>
          <w:lang w:val="en-US" w:eastAsia="zh-CN"/>
        </w:rPr>
        <w:t>产品：</w:t>
      </w:r>
    </w:p>
    <w:p w14:paraId="4A6A11BE">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lang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《环境标志产品政府采购品目清单》的底级品目名称：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50D0A0CC">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75F7E013">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u w:val="none"/>
          <w:lang w:val="en-US" w:eastAsia="zh-CN"/>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0C632DD8">
      <w:pPr>
        <w:pStyle w:val="50"/>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cs="Times New Roman"/>
          <w:b w:val="0"/>
          <w:bCs w:val="0"/>
          <w:color w:val="auto"/>
          <w:kern w:val="2"/>
          <w:sz w:val="21"/>
          <w:szCs w:val="21"/>
          <w:u w:val="none"/>
          <w:lang w:val="en-US" w:eastAsia="zh-CN"/>
        </w:rPr>
        <w:t>是否涉及绿色产品：</w:t>
      </w:r>
      <w:r>
        <w:rPr>
          <w:rFonts w:hint="eastAsia" w:ascii="宋体" w:hAnsi="宋体" w:eastAsia="宋体" w:cs="Times New Roman"/>
          <w:iCs w:val="0"/>
          <w:color w:val="auto"/>
          <w:kern w:val="2"/>
          <w:sz w:val="21"/>
          <w:szCs w:val="21"/>
          <w:u w:val="none"/>
          <w:lang w:val="en-US" w:eastAsia="zh-CN"/>
        </w:rPr>
        <w:t xml:space="preserve"> </w:t>
      </w:r>
    </w:p>
    <w:p w14:paraId="26BB97FF">
      <w:pPr>
        <w:pStyle w:val="50"/>
        <w:spacing w:beforeLines="0"/>
        <w:ind w:firstLine="420" w:firstLineChars="0"/>
        <w:rPr>
          <w:rFonts w:hint="eastAsia" w:ascii="宋体" w:hAnsi="宋体" w:eastAsia="宋体"/>
          <w:color w:val="auto"/>
          <w:szCs w:val="21"/>
          <w:u w:val="singl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是</w:t>
      </w:r>
      <w:r>
        <w:rPr>
          <w:rFonts w:hint="eastAsia" w:ascii="宋体" w:hAnsi="宋体" w:eastAsia="宋体" w:cs="Times New Roman"/>
          <w:iCs w:val="0"/>
          <w:color w:val="auto"/>
          <w:kern w:val="2"/>
          <w:sz w:val="21"/>
          <w:szCs w:val="21"/>
          <w:u w:val="none"/>
          <w:lang w:eastAsia="zh-CN"/>
        </w:rPr>
        <w:t>，绿色产品政府采购相关政策确定的底级品目名称：</w:t>
      </w:r>
      <w:r>
        <w:rPr>
          <w:rFonts w:hint="eastAsia" w:ascii="宋体" w:hAnsi="宋体" w:eastAsia="宋体"/>
          <w:color w:val="auto"/>
          <w:szCs w:val="21"/>
          <w:u w:val="single"/>
          <w:lang w:val="en-US" w:eastAsia="zh-CN"/>
        </w:rPr>
        <w:t xml:space="preserve">         </w:t>
      </w:r>
    </w:p>
    <w:p w14:paraId="47552E88">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163DDF42">
      <w:pPr>
        <w:pStyle w:val="50"/>
        <w:spacing w:beforeLines="0"/>
        <w:ind w:firstLine="420" w:firstLineChars="0"/>
        <w:rPr>
          <w:rFonts w:hint="eastAsia" w:ascii="宋体" w:hAnsi="宋体"/>
          <w:b w:val="0"/>
          <w:bCs w:val="0"/>
          <w:color w:val="auto"/>
          <w:sz w:val="21"/>
          <w:szCs w:val="21"/>
          <w:u w:val="non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否</w:t>
      </w:r>
    </w:p>
    <w:p w14:paraId="1FC1D5FC">
      <w:pPr>
        <w:numPr>
          <w:ilvl w:val="-1"/>
          <w:numId w:val="0"/>
        </w:numPr>
        <w:adjustRightInd w:val="0"/>
        <w:snapToGrid w:val="0"/>
        <w:spacing w:before="0" w:beforeLines="0" w:line="400" w:lineRule="exact"/>
        <w:ind w:firstLine="0" w:firstLineChars="0"/>
        <w:rPr>
          <w:rFonts w:hint="eastAsia" w:ascii="宋体" w:hAnsi="宋体" w:eastAsia="宋体"/>
          <w:color w:val="auto"/>
          <w:szCs w:val="21"/>
          <w:lang w:val="en-US" w:eastAsia="zh-CN"/>
        </w:rPr>
      </w:pPr>
      <w:r>
        <w:rPr>
          <w:rFonts w:hint="eastAsia" w:ascii="宋体" w:hAnsi="宋体"/>
          <w:color w:val="auto"/>
          <w:szCs w:val="21"/>
          <w:lang w:val="en-US" w:eastAsia="zh-CN"/>
        </w:rPr>
        <w:t xml:space="preserve">    （1</w:t>
      </w:r>
      <w:r>
        <w:rPr>
          <w:rFonts w:hint="default" w:ascii="宋体" w:hAnsi="宋体"/>
          <w:color w:val="auto"/>
          <w:szCs w:val="21"/>
          <w:lang w:val="en" w:eastAsia="zh-CN"/>
        </w:rPr>
        <w:t>1</w:t>
      </w:r>
      <w:r>
        <w:rPr>
          <w:rFonts w:hint="eastAsia" w:ascii="宋体" w:hAnsi="宋体"/>
          <w:color w:val="auto"/>
          <w:szCs w:val="21"/>
          <w:lang w:val="en-US" w:eastAsia="zh-CN"/>
        </w:rPr>
        <w:t>）</w:t>
      </w:r>
      <w:r>
        <w:rPr>
          <w:rFonts w:hint="eastAsia" w:ascii="宋体" w:hAnsi="宋体" w:eastAsia="宋体"/>
          <w:color w:val="auto"/>
          <w:szCs w:val="21"/>
          <w:lang w:val="en-US" w:eastAsia="zh-CN"/>
        </w:rPr>
        <w:t>涉及商品包装和快递包装的，是否参考</w:t>
      </w:r>
      <w:r>
        <w:rPr>
          <w:rFonts w:hint="eastAsia" w:ascii="宋体" w:hAnsi="宋体"/>
          <w:color w:val="auto"/>
          <w:szCs w:val="21"/>
        </w:rPr>
        <w:t>《商品包装政府采购需求标准（试行）》、《快递包装政府采购需求标准（试行）》</w:t>
      </w:r>
      <w:r>
        <w:rPr>
          <w:rFonts w:hint="eastAsia" w:ascii="宋体" w:hAnsi="宋体" w:eastAsia="宋体"/>
          <w:color w:val="auto"/>
          <w:szCs w:val="21"/>
          <w:lang w:eastAsia="zh-CN"/>
        </w:rPr>
        <w:t>明确产品及相关快递服务的具体包装要求：</w:t>
      </w:r>
    </w:p>
    <w:p w14:paraId="468077FB">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lang w:val="en-US" w:eastAsia="zh-CN"/>
        </w:rPr>
      </w:pPr>
      <w:r>
        <w:rPr>
          <w:rFonts w:hint="eastAsia" w:ascii="宋体" w:hAnsi="宋体" w:eastAsia="宋体"/>
          <w:iCs w:val="0"/>
          <w:color w:val="auto"/>
          <w:szCs w:val="21"/>
        </w:rPr>
        <w:sym w:font="Wingdings" w:char="00A8"/>
      </w:r>
      <w:r>
        <w:rPr>
          <w:rFonts w:hint="eastAsia" w:ascii="宋体" w:hAnsi="宋体" w:eastAsia="宋体"/>
          <w:iCs w:val="0"/>
          <w:color w:val="auto"/>
          <w:szCs w:val="21"/>
        </w:rPr>
        <w:t xml:space="preserve">是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r>
        <w:rPr>
          <w:rFonts w:hint="eastAsia" w:ascii="宋体" w:hAnsi="宋体" w:eastAsia="宋体"/>
          <w:iCs w:val="0"/>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lang w:eastAsia="zh-CN"/>
        </w:rPr>
        <w:t>不涉及</w:t>
      </w:r>
    </w:p>
    <w:p w14:paraId="45FE3D13">
      <w:pPr>
        <w:numPr>
          <w:ilvl w:val="0"/>
          <w:numId w:val="4"/>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7C680122">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（1）合同金额小写：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76F626B2">
      <w:pPr>
        <w:adjustRightInd w:val="0"/>
        <w:snapToGrid w:val="0"/>
        <w:spacing w:before="0" w:beforeLines="0" w:line="400" w:lineRule="exact"/>
        <w:ind w:left="0" w:firstLine="0" w:firstLineChars="0"/>
        <w:rPr>
          <w:rFonts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274C5DA9">
      <w:pPr>
        <w:adjustRightInd w:val="0"/>
        <w:snapToGrid w:val="0"/>
        <w:spacing w:before="0" w:beforeLines="0" w:line="400" w:lineRule="exact"/>
        <w:ind w:firstLine="0" w:firstLineChars="0"/>
        <w:rPr>
          <w:rFonts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rPr>
        <w:t>分包金额</w:t>
      </w:r>
      <w:r>
        <w:rPr>
          <w:rFonts w:hint="eastAsia" w:ascii="宋体" w:hAnsi="宋体"/>
          <w:color w:val="auto"/>
          <w:szCs w:val="21"/>
          <w:lang w:eastAsia="zh-CN"/>
        </w:rPr>
        <w:t>（如有）</w:t>
      </w:r>
      <w:r>
        <w:rPr>
          <w:rFonts w:hint="eastAsia" w:ascii="宋体" w:hAnsi="宋体"/>
          <w:color w:val="auto"/>
          <w:szCs w:val="21"/>
        </w:rPr>
        <w:t>小写：</w:t>
      </w:r>
      <w:r>
        <w:rPr>
          <w:rFonts w:hint="eastAsia" w:ascii="宋体" w:hAnsi="宋体"/>
          <w:color w:val="auto"/>
          <w:szCs w:val="21"/>
          <w:u w:val="single"/>
        </w:rPr>
        <w:t xml:space="preserve">                   </w:t>
      </w:r>
    </w:p>
    <w:p w14:paraId="5EF0E835">
      <w:pPr>
        <w:adjustRightInd w:val="0"/>
        <w:snapToGrid w:val="0"/>
        <w:spacing w:before="0" w:beforeLines="0" w:line="400" w:lineRule="exact"/>
        <w:ind w:firstLine="0" w:firstLineChars="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18510E22">
      <w:pPr>
        <w:adjustRightInd w:val="0"/>
        <w:snapToGrid w:val="0"/>
        <w:spacing w:before="0" w:beforeLines="0" w:line="400" w:lineRule="exact"/>
        <w:ind w:firstLine="0" w:firstLineChars="0"/>
        <w:rPr>
          <w:rFonts w:hint="eastAsia" w:ascii="宋体" w:hAnsi="宋体"/>
          <w:color w:val="auto"/>
          <w:szCs w:val="21"/>
          <w:lang w:val="en-US" w:eastAsia="zh-CN"/>
        </w:rPr>
      </w:pPr>
      <w:r>
        <w:rPr>
          <w:rFonts w:hint="eastAsia" w:ascii="宋体" w:hAnsi="宋体"/>
          <w:color w:val="auto"/>
          <w:szCs w:val="21"/>
          <w:lang w:val="en-US" w:eastAsia="zh-CN"/>
        </w:rPr>
        <w:t xml:space="preserve">    （注：固定单价合同应填写单价和最高限价）</w:t>
      </w:r>
    </w:p>
    <w:p w14:paraId="2F83ED83">
      <w:pPr>
        <w:numPr>
          <w:ilvl w:val="-1"/>
          <w:numId w:val="0"/>
        </w:numPr>
        <w:adjustRightInd w:val="0"/>
        <w:snapToGrid w:val="0"/>
        <w:spacing w:before="0" w:beforeLines="0" w:line="400" w:lineRule="exact"/>
        <w:ind w:firstLine="0" w:firstLineChars="0"/>
        <w:rPr>
          <w:rFonts w:hint="eastAsia"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lang w:eastAsia="zh-CN"/>
        </w:rPr>
        <w:t>（</w:t>
      </w:r>
      <w:r>
        <w:rPr>
          <w:rFonts w:hint="eastAsia" w:ascii="宋体" w:hAnsi="宋体"/>
          <w:color w:val="auto"/>
          <w:szCs w:val="21"/>
          <w:lang w:val="en-US" w:eastAsia="zh-CN"/>
        </w:rPr>
        <w:t>2</w:t>
      </w:r>
      <w:r>
        <w:rPr>
          <w:rFonts w:hint="eastAsia" w:ascii="宋体" w:hAnsi="宋体"/>
          <w:color w:val="auto"/>
          <w:szCs w:val="21"/>
          <w:lang w:eastAsia="zh-CN"/>
        </w:rPr>
        <w:t>）</w:t>
      </w:r>
      <w:r>
        <w:rPr>
          <w:rFonts w:hint="eastAsia" w:ascii="宋体" w:hAnsi="宋体"/>
          <w:color w:val="auto"/>
          <w:szCs w:val="21"/>
        </w:rPr>
        <w:t>合同定价方式</w:t>
      </w:r>
      <w:r>
        <w:rPr>
          <w:rFonts w:hint="eastAsia" w:ascii="宋体" w:hAnsi="宋体"/>
          <w:color w:val="auto"/>
          <w:szCs w:val="21"/>
          <w:lang w:eastAsia="zh-CN"/>
        </w:rPr>
        <w:t>（采用组合定价方式的，可以勾选多项）</w:t>
      </w:r>
      <w:r>
        <w:rPr>
          <w:rFonts w:hint="eastAsia" w:ascii="宋体" w:hAnsi="宋体"/>
          <w:color w:val="auto"/>
          <w:szCs w:val="21"/>
        </w:rPr>
        <w:t>：</w:t>
      </w:r>
    </w:p>
    <w:p w14:paraId="2290AC0D">
      <w:pPr>
        <w:adjustRightInd w:val="0"/>
        <w:snapToGrid w:val="0"/>
        <w:spacing w:before="0" w:beforeLines="0" w:line="400" w:lineRule="exact"/>
        <w:ind w:firstLine="420" w:firstLineChars="200"/>
        <w:rPr>
          <w:rFonts w:hint="eastAsia" w:ascii="宋体" w:hAnsi="宋体" w:eastAsia="宋体"/>
          <w:color w:val="auto"/>
          <w:szCs w:val="21"/>
          <w:lang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固定总价 </w:t>
      </w:r>
      <w:r>
        <w:rPr>
          <w:rFonts w:hint="eastAsia" w:ascii="宋体" w:hAnsi="宋体"/>
          <w:iCs/>
          <w:color w:val="auto"/>
          <w:szCs w:val="21"/>
        </w:rPr>
        <w:sym w:font="Wingdings" w:char="00A8"/>
      </w:r>
      <w:r>
        <w:rPr>
          <w:rFonts w:hint="eastAsia" w:ascii="宋体" w:hAnsi="宋体"/>
          <w:iCs/>
          <w:color w:val="auto"/>
          <w:szCs w:val="21"/>
        </w:rPr>
        <w:t>固定单价</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固定费率</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 xml:space="preserve">成本补偿 </w:t>
      </w:r>
      <w:r>
        <w:rPr>
          <w:rFonts w:hint="eastAsia" w:ascii="宋体" w:hAnsi="宋体"/>
          <w:iCs/>
          <w:color w:val="auto"/>
          <w:szCs w:val="21"/>
        </w:rPr>
        <w:sym w:font="Wingdings" w:char="00A8"/>
      </w:r>
      <w:r>
        <w:rPr>
          <w:rFonts w:hint="eastAsia" w:ascii="宋体" w:hAnsi="宋体"/>
          <w:iCs/>
          <w:color w:val="auto"/>
          <w:szCs w:val="21"/>
        </w:rPr>
        <w:t>绩效激励</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r>
        <w:rPr>
          <w:rFonts w:hint="eastAsia" w:ascii="宋体" w:hAnsi="宋体"/>
          <w:color w:val="auto"/>
          <w:szCs w:val="21"/>
          <w:u w:val="single"/>
        </w:rPr>
        <w:t xml:space="preserve">       </w:t>
      </w:r>
    </w:p>
    <w:p w14:paraId="2F76BC46">
      <w:pPr>
        <w:pStyle w:val="103"/>
        <w:spacing w:beforeLines="0" w:line="400" w:lineRule="exact"/>
        <w:rPr>
          <w:color w:val="auto"/>
        </w:rPr>
      </w:pPr>
      <w:r>
        <w:rPr>
          <w:rFonts w:hint="eastAsia" w:ascii="宋体" w:hAnsi="宋体"/>
          <w:color w:val="auto"/>
        </w:rPr>
        <w:t>（</w:t>
      </w:r>
      <w:r>
        <w:rPr>
          <w:rFonts w:hint="eastAsia" w:ascii="宋体" w:hAnsi="宋体"/>
          <w:color w:val="auto"/>
          <w:lang w:val="en-US" w:eastAsia="zh-CN"/>
        </w:rPr>
        <w:t>3</w:t>
      </w:r>
      <w:r>
        <w:rPr>
          <w:rFonts w:hint="eastAsia" w:ascii="宋体" w:hAnsi="宋体"/>
          <w:color w:val="auto"/>
        </w:rPr>
        <w:t>）付款方式（按项目实际勾选填写）：</w:t>
      </w:r>
    </w:p>
    <w:p w14:paraId="3FC9C3E9">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全额付款：</w:t>
      </w:r>
      <w:r>
        <w:rPr>
          <w:rFonts w:hint="eastAsia" w:ascii="宋体" w:hAnsi="宋体"/>
          <w:color w:val="auto"/>
          <w:szCs w:val="21"/>
          <w:u w:val="single"/>
        </w:rPr>
        <w:t xml:space="preserve">     （应</w:t>
      </w:r>
      <w:r>
        <w:rPr>
          <w:rFonts w:hint="eastAsia" w:ascii="宋体" w:hAnsi="宋体"/>
          <w:color w:val="auto"/>
          <w:szCs w:val="21"/>
          <w:u w:val="single"/>
          <w:lang w:eastAsia="zh-CN"/>
        </w:rPr>
        <w:t>明确</w:t>
      </w:r>
      <w:r>
        <w:rPr>
          <w:rFonts w:hint="eastAsia" w:ascii="宋体" w:hAnsi="宋体"/>
          <w:color w:val="auto"/>
          <w:szCs w:val="21"/>
          <w:u w:val="single"/>
        </w:rPr>
        <w:t>一次性支付合同款项</w:t>
      </w:r>
      <w:r>
        <w:rPr>
          <w:rFonts w:hint="eastAsia" w:ascii="宋体" w:hAnsi="宋体"/>
          <w:color w:val="auto"/>
          <w:szCs w:val="21"/>
          <w:u w:val="single"/>
          <w:lang w:eastAsia="zh-CN"/>
        </w:rPr>
        <w:t>的条件</w:t>
      </w:r>
      <w:r>
        <w:rPr>
          <w:rFonts w:hint="eastAsia" w:ascii="宋体" w:hAnsi="宋体"/>
          <w:color w:val="auto"/>
          <w:szCs w:val="21"/>
          <w:u w:val="single"/>
        </w:rPr>
        <w:t xml:space="preserve">）                    </w:t>
      </w:r>
    </w:p>
    <w:p w14:paraId="156272CF">
      <w:pPr>
        <w:snapToGrid w:val="0"/>
        <w:spacing w:beforeLines="0" w:line="400" w:lineRule="exact"/>
        <w:ind w:firstLine="630" w:firstLineChars="300"/>
        <w:rPr>
          <w:color w:val="auto"/>
        </w:rPr>
      </w:pPr>
      <w:r>
        <w:rPr>
          <w:rFonts w:hint="eastAsia" w:ascii="宋体" w:hAnsi="宋体"/>
          <w:color w:val="auto"/>
          <w:szCs w:val="21"/>
        </w:rPr>
        <w:sym w:font="Wingdings" w:char="00A8"/>
      </w:r>
      <w:r>
        <w:rPr>
          <w:rFonts w:hint="eastAsia" w:ascii="宋体" w:hAnsi="宋体"/>
          <w:color w:val="auto"/>
          <w:szCs w:val="21"/>
        </w:rPr>
        <w:t>分期付款：</w:t>
      </w:r>
      <w:r>
        <w:rPr>
          <w:rFonts w:hint="eastAsia" w:ascii="宋体" w:hAnsi="宋体"/>
          <w:color w:val="auto"/>
          <w:szCs w:val="21"/>
          <w:u w:val="single"/>
        </w:rPr>
        <w:t xml:space="preserve">  （应明确分期支付合同款项的各期比例和支付条件</w:t>
      </w:r>
      <w:r>
        <w:rPr>
          <w:rFonts w:hint="eastAsia" w:ascii="宋体" w:hAnsi="宋体"/>
          <w:color w:val="auto"/>
          <w:szCs w:val="21"/>
          <w:u w:val="single"/>
          <w:lang w:eastAsia="zh-CN"/>
        </w:rPr>
        <w:t>，各期支付条件应与分期履约验收情况挂钩</w:t>
      </w:r>
      <w:r>
        <w:rPr>
          <w:rFonts w:hint="eastAsia" w:ascii="宋体" w:hAnsi="宋体"/>
          <w:color w:val="auto"/>
          <w:szCs w:val="21"/>
          <w:u w:val="single"/>
        </w:rPr>
        <w:t xml:space="preserve">） </w:t>
      </w:r>
      <w:r>
        <w:rPr>
          <w:rFonts w:hint="eastAsia" w:ascii="宋体" w:hAnsi="宋体"/>
          <w:color w:val="auto"/>
          <w:szCs w:val="21"/>
          <w:u w:val="none"/>
          <w:lang w:eastAsia="zh-CN"/>
        </w:rPr>
        <w:t>，</w:t>
      </w:r>
      <w:r>
        <w:rPr>
          <w:rFonts w:hint="eastAsia" w:ascii="宋体" w:hAnsi="宋体"/>
          <w:color w:val="auto"/>
          <w:szCs w:val="21"/>
          <w:lang w:eastAsia="zh-CN"/>
        </w:rPr>
        <w:t>其中涉及预付款的</w:t>
      </w:r>
      <w:r>
        <w:rPr>
          <w:rFonts w:hint="eastAsia" w:ascii="宋体" w:hAnsi="宋体"/>
          <w:color w:val="auto"/>
          <w:szCs w:val="21"/>
        </w:rPr>
        <w:t>：</w:t>
      </w:r>
      <w:r>
        <w:rPr>
          <w:rFonts w:hint="eastAsia" w:ascii="宋体" w:hAnsi="宋体"/>
          <w:color w:val="auto"/>
          <w:szCs w:val="21"/>
          <w:u w:val="single"/>
        </w:rPr>
        <w:t xml:space="preserve"> （应明确预付款的支付比例和支付条件） </w:t>
      </w:r>
    </w:p>
    <w:p w14:paraId="14DF3496">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成本补偿：</w:t>
      </w:r>
      <w:r>
        <w:rPr>
          <w:rFonts w:hint="eastAsia" w:ascii="宋体" w:hAnsi="宋体"/>
          <w:color w:val="auto"/>
          <w:szCs w:val="21"/>
          <w:u w:val="single"/>
        </w:rPr>
        <w:t xml:space="preserve">      （应明确按照成本补偿方式的支付方式和支付条件）   </w:t>
      </w:r>
    </w:p>
    <w:p w14:paraId="558DD4B9">
      <w:pPr>
        <w:adjustRightInd w:val="0"/>
        <w:snapToGrid w:val="0"/>
        <w:spacing w:before="0" w:beforeLines="0" w:line="400" w:lineRule="exact"/>
        <w:ind w:firstLine="630" w:firstLineChars="300"/>
        <w:rPr>
          <w:rFonts w:ascii="宋体" w:hAnsi="宋体"/>
          <w:color w:val="auto"/>
          <w:szCs w:val="21"/>
        </w:rPr>
      </w:pPr>
      <w:r>
        <w:rPr>
          <w:rFonts w:hint="eastAsia" w:ascii="宋体" w:hAnsi="宋体"/>
          <w:color w:val="auto"/>
          <w:szCs w:val="21"/>
        </w:rPr>
        <w:sym w:font="Wingdings" w:char="00A8"/>
      </w:r>
      <w:r>
        <w:rPr>
          <w:rFonts w:hint="eastAsia" w:ascii="宋体" w:hAnsi="宋体"/>
          <w:color w:val="auto"/>
          <w:szCs w:val="21"/>
        </w:rPr>
        <w:t>绩效激励：</w:t>
      </w:r>
      <w:r>
        <w:rPr>
          <w:rFonts w:hint="eastAsia" w:ascii="宋体" w:hAnsi="宋体"/>
          <w:color w:val="auto"/>
          <w:szCs w:val="21"/>
          <w:u w:val="single"/>
        </w:rPr>
        <w:t xml:space="preserve">      （应明确按照绩效激励方式的支付方式和支付条件）   </w:t>
      </w:r>
    </w:p>
    <w:p w14:paraId="00C6D87A">
      <w:pPr>
        <w:numPr>
          <w:ilvl w:val="0"/>
          <w:numId w:val="4"/>
        </w:numPr>
        <w:adjustRightInd w:val="0"/>
        <w:snapToGrid w:val="0"/>
        <w:spacing w:before="0" w:beforeLines="0" w:line="400" w:lineRule="exact"/>
        <w:ind w:firstLine="422" w:firstLineChars="200"/>
        <w:rPr>
          <w:rFonts w:ascii="宋体" w:hAnsi="宋体"/>
          <w:b/>
          <w:bCs w:val="0"/>
          <w:color w:val="auto"/>
          <w:szCs w:val="21"/>
          <w:u w:val="single"/>
        </w:rPr>
      </w:pPr>
      <w:r>
        <w:rPr>
          <w:rFonts w:hint="eastAsia" w:ascii="宋体" w:hAnsi="宋体"/>
          <w:b/>
          <w:bCs w:val="0"/>
          <w:color w:val="auto"/>
          <w:szCs w:val="21"/>
        </w:rPr>
        <w:t>合同履行</w:t>
      </w:r>
    </w:p>
    <w:p w14:paraId="20CA7422">
      <w:pPr>
        <w:adjustRightInd w:val="0"/>
        <w:snapToGrid w:val="0"/>
        <w:spacing w:before="0" w:beforeLines="0" w:line="400" w:lineRule="exact"/>
        <w:ind w:firstLine="420" w:firstLineChars="200"/>
        <w:rPr>
          <w:rFonts w:hint="eastAsia" w:ascii="宋体" w:hAnsi="宋体" w:cs="宋体"/>
          <w:color w:val="auto"/>
          <w:szCs w:val="21"/>
        </w:rPr>
      </w:pPr>
      <w:r>
        <w:rPr>
          <w:rFonts w:hint="eastAsia" w:ascii="宋体" w:hAnsi="宋体" w:cs="宋体"/>
          <w:color w:val="auto"/>
          <w:szCs w:val="21"/>
        </w:rPr>
        <w:t>（1）起始日期：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日，完成日期：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0A795144">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color w:val="auto"/>
          <w:szCs w:val="21"/>
        </w:rPr>
        <w:t>（2）</w:t>
      </w:r>
      <w:r>
        <w:rPr>
          <w:rFonts w:hint="eastAsia" w:ascii="宋体" w:hAnsi="宋体" w:cs="宋体"/>
          <w:color w:val="auto"/>
          <w:szCs w:val="21"/>
          <w:lang w:eastAsia="zh-CN"/>
        </w:rPr>
        <w:t>履约</w:t>
      </w:r>
      <w:r>
        <w:rPr>
          <w:rFonts w:hint="eastAsia" w:ascii="宋体" w:hAnsi="宋体" w:cs="宋体"/>
          <w:color w:val="auto"/>
          <w:szCs w:val="21"/>
        </w:rPr>
        <w:t>地点</w:t>
      </w:r>
      <w:r>
        <w:rPr>
          <w:rFonts w:hint="eastAsia" w:ascii="宋体" w:hAnsi="宋体" w:cs="宋体"/>
          <w:b w:val="0"/>
          <w:bCs/>
          <w:color w:val="auto"/>
          <w:szCs w:val="21"/>
        </w:rPr>
        <w:t>：</w:t>
      </w:r>
      <w:r>
        <w:rPr>
          <w:rFonts w:hint="eastAsia" w:ascii="宋体" w:hAnsi="宋体" w:cs="宋体"/>
          <w:color w:val="auto"/>
          <w:szCs w:val="21"/>
          <w:u w:val="single"/>
        </w:rPr>
        <w:t xml:space="preserve">                             </w:t>
      </w:r>
    </w:p>
    <w:p w14:paraId="54D5EC44">
      <w:pPr>
        <w:adjustRightInd w:val="0"/>
        <w:snapToGrid w:val="0"/>
        <w:spacing w:before="0" w:beforeLines="0" w:line="400" w:lineRule="exact"/>
        <w:ind w:firstLine="420" w:firstLineChars="200"/>
        <w:rPr>
          <w:rFonts w:hint="eastAsia" w:ascii="宋体" w:hAnsi="宋体" w:eastAsia="宋体" w:cs="宋体"/>
          <w:color w:val="auto"/>
          <w:sz w:val="21"/>
          <w:szCs w:val="21"/>
          <w:lang w:eastAsia="zh-CN"/>
        </w:rPr>
      </w:pPr>
      <w:r>
        <w:rPr>
          <w:rFonts w:hint="eastAsia" w:ascii="宋体" w:hAnsi="宋体" w:cs="宋体"/>
          <w:bCs/>
          <w:color w:val="auto"/>
          <w:szCs w:val="21"/>
        </w:rPr>
        <w:t>（3）履约担保：</w:t>
      </w:r>
      <w:r>
        <w:rPr>
          <w:rFonts w:hint="eastAsia" w:ascii="宋体" w:hAnsi="宋体" w:eastAsia="宋体" w:cs="宋体"/>
          <w:color w:val="auto"/>
          <w:sz w:val="21"/>
          <w:lang w:val="en-US" w:eastAsia="zh-CN"/>
        </w:rPr>
        <w:t>是否收取履约保证金：</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是</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否</w:t>
      </w:r>
    </w:p>
    <w:p w14:paraId="0B2E5BB3">
      <w:pPr>
        <w:pStyle w:val="50"/>
        <w:spacing w:beforeLines="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w:t>
      </w:r>
      <w:r>
        <w:rPr>
          <w:rFonts w:hint="eastAsia" w:ascii="宋体" w:hAnsi="宋体" w:eastAsia="宋体" w:cs="宋体"/>
          <w:color w:val="auto"/>
          <w:sz w:val="21"/>
          <w:lang w:val="en-US" w:eastAsia="zh-CN"/>
        </w:rPr>
        <w:t xml:space="preserve">  收取履约保证金形式：</w:t>
      </w:r>
      <w:r>
        <w:rPr>
          <w:rFonts w:hint="eastAsia" w:ascii="宋体" w:hAnsi="宋体" w:eastAsia="宋体" w:cs="宋体"/>
          <w:bCs/>
          <w:color w:val="auto"/>
          <w:sz w:val="21"/>
          <w:szCs w:val="21"/>
          <w:u w:val="single"/>
        </w:rPr>
        <w:t xml:space="preserve">                            </w:t>
      </w:r>
    </w:p>
    <w:p w14:paraId="5AF4B11D">
      <w:pPr>
        <w:pStyle w:val="50"/>
        <w:spacing w:beforeLines="0"/>
        <w:rPr>
          <w:rFonts w:hint="eastAsia" w:ascii="宋体" w:hAnsi="宋体" w:eastAsia="宋体" w:cs="宋体"/>
          <w:color w:val="auto"/>
          <w:sz w:val="21"/>
          <w:lang w:val="en-US" w:eastAsia="zh-CN"/>
        </w:rPr>
      </w:pPr>
      <w:r>
        <w:rPr>
          <w:rFonts w:hint="eastAsia" w:ascii="宋体" w:hAnsi="宋体" w:eastAsia="宋体" w:cs="宋体"/>
          <w:color w:val="auto"/>
          <w:sz w:val="21"/>
          <w:lang w:val="en-US" w:eastAsia="zh-CN"/>
        </w:rPr>
        <w:t xml:space="preserve">    收取履约保证金金额：</w:t>
      </w:r>
      <w:r>
        <w:rPr>
          <w:rFonts w:hint="eastAsia" w:ascii="宋体" w:hAnsi="宋体" w:eastAsia="宋体" w:cs="宋体"/>
          <w:bCs/>
          <w:color w:val="auto"/>
          <w:sz w:val="21"/>
          <w:szCs w:val="21"/>
          <w:u w:val="single"/>
        </w:rPr>
        <w:t xml:space="preserve">                            </w:t>
      </w:r>
    </w:p>
    <w:p w14:paraId="76244B97">
      <w:pPr>
        <w:snapToGrid w:val="0"/>
        <w:spacing w:beforeLines="0" w:line="400" w:lineRule="exact"/>
        <w:ind w:firstLine="420" w:firstLineChars="20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履约担保期限</w:t>
      </w:r>
      <w:r>
        <w:rPr>
          <w:rFonts w:hint="eastAsia" w:ascii="宋体" w:hAnsi="宋体" w:cs="宋体"/>
          <w:bCs/>
          <w:color w:val="auto"/>
          <w:szCs w:val="21"/>
          <w:u w:val="none"/>
          <w:lang w:eastAsia="zh-CN"/>
        </w:rPr>
        <w:t>：</w:t>
      </w:r>
      <w:r>
        <w:rPr>
          <w:rFonts w:hint="eastAsia" w:ascii="宋体" w:hAnsi="宋体" w:eastAsia="宋体" w:cs="宋体"/>
          <w:bCs/>
          <w:color w:val="auto"/>
          <w:sz w:val="21"/>
          <w:szCs w:val="21"/>
          <w:u w:val="single"/>
        </w:rPr>
        <w:t xml:space="preserve">      </w:t>
      </w:r>
      <w:r>
        <w:rPr>
          <w:rFonts w:hint="eastAsia" w:ascii="宋体" w:hAnsi="宋体" w:cs="宋体"/>
          <w:bCs/>
          <w:color w:val="auto"/>
          <w:sz w:val="21"/>
          <w:szCs w:val="21"/>
          <w:u w:val="single"/>
          <w:lang w:val="en-US" w:eastAsia="zh-CN"/>
        </w:rPr>
        <w:t xml:space="preserve">                     </w:t>
      </w:r>
      <w:r>
        <w:rPr>
          <w:rFonts w:hint="eastAsia" w:ascii="宋体" w:hAnsi="宋体" w:eastAsia="宋体" w:cs="宋体"/>
          <w:bCs/>
          <w:color w:val="auto"/>
          <w:sz w:val="21"/>
          <w:szCs w:val="21"/>
          <w:u w:val="single"/>
        </w:rPr>
        <w:t xml:space="preserve">       </w:t>
      </w:r>
    </w:p>
    <w:p w14:paraId="162F5B07">
      <w:pPr>
        <w:adjustRightInd w:val="0"/>
        <w:snapToGrid w:val="0"/>
        <w:spacing w:before="0" w:beforeLines="0" w:line="400" w:lineRule="exact"/>
        <w:ind w:firstLine="420" w:firstLineChars="200"/>
        <w:rPr>
          <w:rFonts w:hint="eastAsia" w:ascii="宋体" w:hAnsi="宋体" w:cs="宋体"/>
          <w:bCs/>
          <w:color w:val="auto"/>
          <w:szCs w:val="21"/>
        </w:rPr>
      </w:pPr>
      <w:r>
        <w:rPr>
          <w:rFonts w:hint="eastAsia" w:ascii="宋体" w:hAnsi="宋体" w:cs="宋体"/>
          <w:bCs/>
          <w:color w:val="auto"/>
          <w:szCs w:val="21"/>
        </w:rPr>
        <w:t>（4）分期履行要求：</w:t>
      </w:r>
      <w:r>
        <w:rPr>
          <w:rFonts w:hint="eastAsia" w:ascii="宋体" w:hAnsi="宋体" w:cs="宋体"/>
          <w:bCs/>
          <w:color w:val="auto"/>
          <w:szCs w:val="21"/>
          <w:u w:val="single"/>
        </w:rPr>
        <w:t xml:space="preserve">                                                   </w:t>
      </w:r>
      <w:r>
        <w:rPr>
          <w:rFonts w:hint="eastAsia" w:ascii="宋体" w:hAnsi="宋体" w:cs="宋体"/>
          <w:bCs/>
          <w:color w:val="auto"/>
          <w:szCs w:val="21"/>
          <w:u w:val="single"/>
          <w:lang w:val="en-US" w:eastAsia="zh-CN"/>
        </w:rPr>
        <w:t xml:space="preserve">    </w:t>
      </w:r>
      <w:r>
        <w:rPr>
          <w:rFonts w:hint="eastAsia" w:ascii="宋体" w:hAnsi="宋体" w:cs="宋体"/>
          <w:bCs/>
          <w:color w:val="auto"/>
          <w:szCs w:val="21"/>
          <w:u w:val="single"/>
        </w:rPr>
        <w:t xml:space="preserve"> </w:t>
      </w:r>
    </w:p>
    <w:p w14:paraId="4EF848A2">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bCs/>
          <w:color w:val="auto"/>
          <w:szCs w:val="21"/>
        </w:rPr>
        <w:t>（5）</w:t>
      </w:r>
      <w:r>
        <w:rPr>
          <w:rFonts w:hint="eastAsia" w:ascii="宋体" w:hAnsi="宋体" w:cs="宋体"/>
          <w:bCs/>
          <w:color w:val="auto"/>
          <w:szCs w:val="21"/>
          <w:lang w:eastAsia="zh-CN"/>
        </w:rPr>
        <w:t>风险处置措施和替代方案</w:t>
      </w:r>
      <w:r>
        <w:rPr>
          <w:rFonts w:hint="eastAsia" w:ascii="宋体" w:hAnsi="宋体" w:cs="宋体"/>
          <w:bCs/>
          <w:color w:val="auto"/>
          <w:szCs w:val="21"/>
        </w:rPr>
        <w:t>：</w:t>
      </w:r>
      <w:r>
        <w:rPr>
          <w:rFonts w:hint="eastAsia" w:ascii="宋体" w:hAnsi="宋体" w:cs="宋体"/>
          <w:color w:val="auto"/>
          <w:szCs w:val="21"/>
          <w:u w:val="single"/>
        </w:rPr>
        <w:t xml:space="preserve">                                                               </w:t>
      </w:r>
    </w:p>
    <w:p w14:paraId="31AF4FE7">
      <w:pPr>
        <w:numPr>
          <w:ilvl w:val="0"/>
          <w:numId w:val="4"/>
        </w:numPr>
        <w:adjustRightInd w:val="0"/>
        <w:snapToGrid w:val="0"/>
        <w:spacing w:before="0" w:beforeLines="0" w:line="400" w:lineRule="exact"/>
        <w:ind w:firstLine="422" w:firstLineChars="200"/>
        <w:rPr>
          <w:rFonts w:ascii="宋体" w:hAnsi="宋体"/>
          <w:b/>
          <w:color w:val="auto"/>
          <w:szCs w:val="21"/>
        </w:rPr>
      </w:pPr>
      <w:r>
        <w:rPr>
          <w:rFonts w:hint="eastAsia" w:ascii="宋体" w:hAnsi="宋体"/>
          <w:b/>
          <w:color w:val="auto"/>
          <w:szCs w:val="21"/>
        </w:rPr>
        <w:t>合同验收</w:t>
      </w:r>
    </w:p>
    <w:p w14:paraId="67A0D6A3">
      <w:pPr>
        <w:numPr>
          <w:ilvl w:val="0"/>
          <w:numId w:val="6"/>
        </w:num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验收组织方式：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自行组织 </w:t>
      </w:r>
      <w:r>
        <w:rPr>
          <w:rFonts w:hint="eastAsia" w:ascii="宋体" w:hAnsi="宋体" w:eastAsia="宋体" w:cs="宋体"/>
          <w:color w:val="auto"/>
          <w:sz w:val="21"/>
          <w:szCs w:val="21"/>
        </w:rPr>
        <w:sym w:font="Wingdings" w:char="00A8"/>
      </w:r>
      <w:r>
        <w:rPr>
          <w:rFonts w:hint="eastAsia" w:ascii="宋体" w:hAnsi="宋体"/>
          <w:bCs/>
          <w:color w:val="auto"/>
          <w:szCs w:val="21"/>
        </w:rPr>
        <w:t>委托第三方组织</w:t>
      </w:r>
    </w:p>
    <w:p w14:paraId="33C484C0">
      <w:pPr>
        <w:numPr>
          <w:ilvl w:val="0"/>
          <w:numId w:val="0"/>
        </w:numPr>
        <w:adjustRightInd w:val="0"/>
        <w:snapToGrid w:val="0"/>
        <w:spacing w:before="0" w:beforeLines="0" w:line="400" w:lineRule="exact"/>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验收主体：</w:t>
      </w:r>
      <w:r>
        <w:rPr>
          <w:rFonts w:hint="eastAsia" w:ascii="宋体" w:hAnsi="宋体"/>
          <w:bCs/>
          <w:color w:val="auto"/>
          <w:szCs w:val="21"/>
          <w:u w:val="single"/>
        </w:rPr>
        <w:t xml:space="preserve">                  </w:t>
      </w:r>
    </w:p>
    <w:p w14:paraId="162ED378">
      <w:pPr>
        <w:adjustRightInd w:val="0"/>
        <w:snapToGrid w:val="0"/>
        <w:spacing w:before="0" w:beforeLines="0" w:line="400" w:lineRule="exact"/>
        <w:ind w:firstLine="0" w:firstLineChars="0"/>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是否邀请本项目的其他供应商</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69543D25">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是否邀请专家</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056F767A">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是否邀请服务对象</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3ABEF820">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是否邀请第三方检测机构</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542231C2">
      <w:pPr>
        <w:adjustRightInd w:val="0"/>
        <w:snapToGrid w:val="0"/>
        <w:spacing w:before="0" w:beforeLines="0" w:line="400" w:lineRule="exact"/>
        <w:ind w:firstLine="840" w:firstLineChars="400"/>
        <w:rPr>
          <w:rFonts w:hint="eastAsia" w:ascii="宋体" w:hAnsi="宋体"/>
          <w:bCs/>
          <w:color w:val="auto"/>
          <w:szCs w:val="21"/>
        </w:rPr>
      </w:pPr>
      <w:r>
        <w:rPr>
          <w:rFonts w:hint="eastAsia" w:ascii="宋体" w:hAnsi="宋体"/>
          <w:bCs/>
          <w:color w:val="auto"/>
          <w:szCs w:val="21"/>
          <w:lang w:eastAsia="zh-CN"/>
        </w:rPr>
        <w:t>是否进行抽查检测：</w:t>
      </w:r>
      <w:r>
        <w:rPr>
          <w:rFonts w:hint="eastAsia" w:ascii="宋体" w:hAnsi="宋体" w:eastAsia="宋体" w:cs="宋体"/>
          <w:color w:val="auto"/>
          <w:sz w:val="21"/>
          <w:szCs w:val="21"/>
        </w:rPr>
        <w:sym w:font="Wingdings" w:char="00A8"/>
      </w:r>
      <w:r>
        <w:rPr>
          <w:rFonts w:hint="eastAsia" w:ascii="宋体" w:hAnsi="宋体"/>
          <w:bCs/>
          <w:color w:val="auto"/>
          <w:szCs w:val="21"/>
        </w:rPr>
        <w:t>是</w:t>
      </w:r>
      <w:r>
        <w:rPr>
          <w:rFonts w:hint="eastAsia" w:ascii="宋体" w:hAnsi="宋体"/>
          <w:bCs/>
          <w:color w:val="auto"/>
          <w:szCs w:val="21"/>
          <w:lang w:eastAsia="zh-CN"/>
        </w:rPr>
        <w:t>，抽查比例：</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r>
        <w:rPr>
          <w:rFonts w:hint="eastAsia" w:ascii="宋体" w:hAnsi="宋体"/>
          <w:bCs/>
          <w:color w:val="auto"/>
          <w:szCs w:val="21"/>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33E6097C">
      <w:pPr>
        <w:adjustRightInd w:val="0"/>
        <w:snapToGrid w:val="0"/>
        <w:spacing w:before="0" w:beforeLines="0" w:line="400" w:lineRule="exact"/>
        <w:ind w:firstLine="840" w:firstLineChars="400"/>
        <w:rPr>
          <w:rFonts w:hint="eastAsia" w:ascii="宋体" w:hAnsi="宋体" w:eastAsia="宋体"/>
          <w:bCs/>
          <w:color w:val="auto"/>
          <w:szCs w:val="21"/>
          <w:u w:val="single"/>
          <w:lang w:eastAsia="zh-CN"/>
        </w:rPr>
      </w:pPr>
      <w:r>
        <w:rPr>
          <w:rFonts w:hint="eastAsia" w:ascii="宋体" w:hAnsi="宋体" w:eastAsia="宋体"/>
          <w:bCs/>
          <w:color w:val="auto"/>
          <w:szCs w:val="21"/>
          <w:lang w:val="en-US" w:eastAsia="zh-CN"/>
        </w:rPr>
        <w:t>是否存在破坏性检测：</w:t>
      </w:r>
      <w:r>
        <w:rPr>
          <w:rFonts w:hint="eastAsia" w:ascii="宋体" w:hAnsi="宋体" w:eastAsia="宋体" w:cs="宋体"/>
          <w:color w:val="auto"/>
          <w:sz w:val="21"/>
          <w:szCs w:val="21"/>
        </w:rPr>
        <w:sym w:font="Wingdings" w:char="00A8"/>
      </w:r>
      <w:r>
        <w:rPr>
          <w:rFonts w:hint="eastAsia" w:ascii="宋体" w:hAnsi="宋体" w:eastAsia="宋体"/>
          <w:bCs/>
          <w:color w:val="auto"/>
          <w:szCs w:val="21"/>
        </w:rPr>
        <w:t>是</w:t>
      </w:r>
      <w:r>
        <w:rPr>
          <w:rFonts w:hint="eastAsia" w:ascii="宋体" w:hAnsi="宋体" w:eastAsia="宋体"/>
          <w:bCs/>
          <w:color w:val="auto"/>
          <w:szCs w:val="21"/>
          <w:lang w:eastAsia="zh-CN"/>
        </w:rPr>
        <w:t>，</w:t>
      </w:r>
      <w:r>
        <w:rPr>
          <w:rFonts w:hint="eastAsia" w:ascii="宋体" w:hAnsi="宋体" w:eastAsia="宋体"/>
          <w:bCs/>
          <w:color w:val="auto"/>
          <w:szCs w:val="21"/>
          <w:u w:val="single"/>
          <w:lang w:eastAsia="zh-CN"/>
        </w:rPr>
        <w:t>（应明确对被破坏的检测产品的处理方式）</w:t>
      </w:r>
    </w:p>
    <w:p w14:paraId="30DE949B">
      <w:pPr>
        <w:adjustRightInd w:val="0"/>
        <w:snapToGrid w:val="0"/>
        <w:spacing w:before="0" w:beforeLines="0" w:line="400" w:lineRule="exact"/>
        <w:ind w:firstLine="840" w:firstLineChars="400"/>
        <w:rPr>
          <w:rFonts w:hint="eastAsia" w:ascii="宋体" w:hAnsi="宋体" w:eastAsia="宋体"/>
          <w:bCs/>
          <w:color w:val="auto"/>
          <w:szCs w:val="21"/>
          <w:lang w:eastAsia="zh-CN"/>
        </w:rPr>
      </w:pPr>
      <w:r>
        <w:rPr>
          <w:rFonts w:hint="eastAsia" w:ascii="宋体" w:hAnsi="宋体" w:eastAsia="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bCs/>
          <w:color w:val="auto"/>
          <w:szCs w:val="21"/>
        </w:rPr>
        <w:t>否</w:t>
      </w:r>
    </w:p>
    <w:p w14:paraId="3C8EC507">
      <w:pPr>
        <w:adjustRightInd w:val="0"/>
        <w:snapToGrid w:val="0"/>
        <w:spacing w:before="0" w:beforeLines="0" w:line="400" w:lineRule="exact"/>
        <w:ind w:firstLine="840" w:firstLineChars="400"/>
        <w:rPr>
          <w:rFonts w:hint="eastAsia" w:ascii="宋体" w:hAnsi="宋体"/>
          <w:bCs/>
          <w:color w:val="auto"/>
          <w:szCs w:val="21"/>
          <w:u w:val="single"/>
        </w:rPr>
      </w:pPr>
      <w:r>
        <w:rPr>
          <w:rFonts w:hint="eastAsia" w:ascii="宋体" w:hAnsi="宋体"/>
          <w:bCs/>
          <w:color w:val="auto"/>
          <w:szCs w:val="21"/>
        </w:rPr>
        <w:t>验收组织的其他事项：</w:t>
      </w:r>
      <w:r>
        <w:rPr>
          <w:rFonts w:hint="eastAsia" w:ascii="宋体" w:hAnsi="宋体"/>
          <w:bCs/>
          <w:color w:val="auto"/>
          <w:szCs w:val="21"/>
          <w:u w:val="single"/>
        </w:rPr>
        <w:t xml:space="preserve">                </w:t>
      </w:r>
    </w:p>
    <w:p w14:paraId="32EBDD24">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（2）履约验收时间：</w:t>
      </w:r>
      <w:r>
        <w:rPr>
          <w:rFonts w:hint="eastAsia" w:ascii="宋体" w:hAnsi="宋体"/>
          <w:bCs/>
          <w:color w:val="auto"/>
          <w:szCs w:val="21"/>
          <w:u w:val="single"/>
        </w:rPr>
        <w:t>（计划于何时验收/供应商提出验收申请之日起   日内组织验收）</w:t>
      </w:r>
      <w:r>
        <w:rPr>
          <w:rFonts w:hint="eastAsia" w:ascii="宋体" w:hAnsi="宋体"/>
          <w:bCs/>
          <w:color w:val="auto"/>
          <w:szCs w:val="21"/>
          <w:u w:val="single"/>
          <w:lang w:val="en-US" w:eastAsia="zh-CN"/>
        </w:rPr>
        <w:t xml:space="preserve"> </w:t>
      </w:r>
    </w:p>
    <w:p w14:paraId="1E7A039A">
      <w:p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（3）履约验收方式：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一次性验收         </w:t>
      </w:r>
    </w:p>
    <w:p w14:paraId="389C9501">
      <w:pPr>
        <w:adjustRightInd w:val="0"/>
        <w:snapToGrid w:val="0"/>
        <w:spacing w:before="0" w:beforeLines="0" w:line="400" w:lineRule="exact"/>
        <w:ind w:firstLine="0" w:firstLineChars="0"/>
        <w:rPr>
          <w:rFonts w:hint="eastAsia" w:ascii="宋体" w:hAnsi="宋体" w:eastAsia="宋体"/>
          <w:bCs/>
          <w:color w:val="auto"/>
          <w:szCs w:val="21"/>
          <w:lang w:val="en-US" w:eastAsia="zh-CN"/>
        </w:rPr>
      </w:pPr>
      <w:r>
        <w:rPr>
          <w:rFonts w:hint="eastAsia" w:ascii="宋体" w:hAnsi="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分期/分项验收</w:t>
      </w:r>
      <w:r>
        <w:rPr>
          <w:rFonts w:hint="eastAsia" w:ascii="宋体" w:hAnsi="宋体"/>
          <w:bCs/>
          <w:color w:val="auto"/>
          <w:szCs w:val="21"/>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eastAsia="zh-CN"/>
        </w:rPr>
        <w:t>（应明确分期</w:t>
      </w:r>
      <w:r>
        <w:rPr>
          <w:rFonts w:hint="default" w:ascii="宋体" w:hAnsi="宋体"/>
          <w:bCs/>
          <w:color w:val="auto"/>
          <w:szCs w:val="21"/>
          <w:u w:val="single"/>
          <w:lang w:val="en" w:eastAsia="zh-CN"/>
        </w:rPr>
        <w:t>/</w:t>
      </w:r>
      <w:r>
        <w:rPr>
          <w:rFonts w:hint="eastAsia" w:ascii="宋体" w:hAnsi="宋体"/>
          <w:bCs/>
          <w:color w:val="auto"/>
          <w:szCs w:val="21"/>
          <w:u w:val="single"/>
          <w:lang w:val="en" w:eastAsia="zh-CN"/>
        </w:rPr>
        <w:t>分项验收的工作安排</w:t>
      </w:r>
      <w:r>
        <w:rPr>
          <w:rFonts w:hint="eastAsia" w:ascii="宋体" w:hAnsi="宋体"/>
          <w:bCs/>
          <w:color w:val="auto"/>
          <w:szCs w:val="21"/>
          <w:u w:val="single"/>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p>
    <w:p w14:paraId="677A7737">
      <w:pPr>
        <w:adjustRightInd w:val="0"/>
        <w:snapToGrid w:val="0"/>
        <w:spacing w:before="0" w:beforeLines="0" w:line="400" w:lineRule="exact"/>
        <w:ind w:firstLine="420" w:firstLineChars="200"/>
        <w:rPr>
          <w:rFonts w:ascii="宋体" w:hAnsi="宋体"/>
          <w:bCs/>
          <w:color w:val="auto"/>
          <w:szCs w:val="21"/>
        </w:rPr>
      </w:pPr>
      <w:r>
        <w:rPr>
          <w:rFonts w:hint="eastAsia" w:ascii="宋体" w:hAnsi="宋体"/>
          <w:bCs/>
          <w:color w:val="auto"/>
          <w:szCs w:val="21"/>
        </w:rPr>
        <w:t>（4）履约验收程序：</w:t>
      </w:r>
      <w:r>
        <w:rPr>
          <w:rFonts w:hint="eastAsia" w:ascii="宋体" w:hAnsi="宋体"/>
          <w:bCs/>
          <w:color w:val="auto"/>
          <w:szCs w:val="21"/>
          <w:u w:val="single"/>
        </w:rPr>
        <w:t xml:space="preserve">                                         </w:t>
      </w:r>
    </w:p>
    <w:p w14:paraId="3A0D89F8">
      <w:pPr>
        <w:adjustRightInd w:val="0"/>
        <w:snapToGrid w:val="0"/>
        <w:spacing w:before="0" w:beforeLines="0" w:line="400" w:lineRule="exact"/>
        <w:ind w:firstLine="420" w:firstLineChars="200"/>
        <w:rPr>
          <w:rFonts w:ascii="宋体" w:hAnsi="宋体"/>
          <w:bCs/>
          <w:color w:val="auto"/>
          <w:szCs w:val="21"/>
          <w:u w:val="single"/>
        </w:rPr>
      </w:pPr>
      <w:r>
        <w:rPr>
          <w:rFonts w:hint="eastAsia" w:ascii="宋体" w:hAnsi="宋体"/>
          <w:bCs/>
          <w:color w:val="auto"/>
          <w:szCs w:val="21"/>
        </w:rPr>
        <w:t>（5）履约验收的内容：</w:t>
      </w:r>
      <w:r>
        <w:rPr>
          <w:rFonts w:hint="eastAsia" w:ascii="宋体" w:hAnsi="宋体"/>
          <w:bCs/>
          <w:color w:val="auto"/>
          <w:szCs w:val="21"/>
          <w:u w:val="single"/>
        </w:rPr>
        <w:t xml:space="preserve"> </w:t>
      </w:r>
      <w:r>
        <w:rPr>
          <w:rFonts w:hint="eastAsia" w:ascii="宋体" w:hAnsi="宋体"/>
          <w:bCs/>
          <w:color w:val="auto"/>
          <w:szCs w:val="21"/>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u w:val="single"/>
        </w:rPr>
        <w:t xml:space="preserve">                                      </w:t>
      </w:r>
    </w:p>
    <w:p w14:paraId="15A3FCF3">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（6）履约验收标准：</w:t>
      </w:r>
      <w:r>
        <w:rPr>
          <w:rFonts w:hint="eastAsia" w:ascii="宋体" w:hAnsi="宋体"/>
          <w:bCs/>
          <w:color w:val="auto"/>
          <w:szCs w:val="21"/>
          <w:u w:val="single"/>
        </w:rPr>
        <w:t xml:space="preserve">                                         </w:t>
      </w:r>
    </w:p>
    <w:p w14:paraId="64CF01FC">
      <w:pPr>
        <w:pStyle w:val="50"/>
        <w:spacing w:beforeLines="0"/>
        <w:rPr>
          <w:rFonts w:hint="eastAsia" w:ascii="宋体" w:hAnsi="宋体" w:eastAsia="宋体" w:cs="宋体"/>
          <w:color w:val="auto"/>
          <w:sz w:val="21"/>
          <w:lang w:eastAsia="zh-CN"/>
        </w:rPr>
      </w:pPr>
      <w:r>
        <w:rPr>
          <w:rFonts w:hint="eastAsia" w:ascii="宋体" w:hAnsi="宋体" w:eastAsia="宋体" w:cs="宋体"/>
          <w:bCs/>
          <w:color w:val="auto"/>
          <w:sz w:val="21"/>
          <w:szCs w:val="21"/>
          <w:u w:val="none"/>
          <w:lang w:eastAsia="zh-CN"/>
        </w:rPr>
        <w:t>（</w:t>
      </w:r>
      <w:r>
        <w:rPr>
          <w:rFonts w:hint="eastAsia" w:ascii="宋体" w:hAnsi="宋体" w:eastAsia="宋体" w:cs="宋体"/>
          <w:bCs/>
          <w:color w:val="auto"/>
          <w:sz w:val="21"/>
          <w:szCs w:val="21"/>
          <w:u w:val="none"/>
          <w:lang w:val="en-US" w:eastAsia="zh-CN"/>
        </w:rPr>
        <w:t>7</w:t>
      </w:r>
      <w:r>
        <w:rPr>
          <w:rFonts w:hint="eastAsia" w:ascii="宋体" w:hAnsi="宋体" w:eastAsia="宋体" w:cs="宋体"/>
          <w:bCs/>
          <w:color w:val="auto"/>
          <w:sz w:val="21"/>
          <w:szCs w:val="21"/>
          <w:u w:val="none"/>
          <w:lang w:eastAsia="zh-CN"/>
        </w:rPr>
        <w:t>）是否以采购活动中供应商提供的样品作为参考：</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 xml:space="preserve">是  </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否</w:t>
      </w:r>
    </w:p>
    <w:p w14:paraId="72F41322">
      <w:pPr>
        <w:adjustRightInd w:val="0"/>
        <w:snapToGrid w:val="0"/>
        <w:spacing w:before="0" w:beforeLines="0" w:line="400" w:lineRule="exact"/>
        <w:ind w:firstLine="420" w:firstLineChars="200"/>
        <w:rPr>
          <w:rFonts w:hint="eastAsia" w:ascii="宋体" w:hAnsi="宋体" w:cs="宋体"/>
          <w:bCs/>
          <w:color w:val="auto"/>
          <w:szCs w:val="21"/>
          <w:u w:val="single"/>
        </w:rPr>
      </w:pPr>
      <w:r>
        <w:rPr>
          <w:rFonts w:hint="eastAsia" w:ascii="宋体" w:hAnsi="宋体" w:cs="宋体"/>
          <w:bCs/>
          <w:color w:val="auto"/>
          <w:szCs w:val="21"/>
        </w:rPr>
        <w:t>（8）履约验收其他事项：</w:t>
      </w:r>
      <w:r>
        <w:rPr>
          <w:rFonts w:hint="eastAsia" w:ascii="宋体" w:hAnsi="宋体" w:cs="宋体"/>
          <w:bCs/>
          <w:color w:val="auto"/>
          <w:szCs w:val="21"/>
          <w:u w:val="single"/>
        </w:rPr>
        <w:t xml:space="preserve">      </w:t>
      </w:r>
      <w:r>
        <w:rPr>
          <w:rFonts w:hint="eastAsia" w:ascii="宋体" w:hAnsi="宋体" w:cs="宋体"/>
          <w:bCs/>
          <w:i w:val="0"/>
          <w:iCs w:val="0"/>
          <w:color w:val="auto"/>
          <w:szCs w:val="21"/>
          <w:u w:val="single"/>
        </w:rPr>
        <w:t>（产权过户登记等）</w:t>
      </w:r>
      <w:r>
        <w:rPr>
          <w:rFonts w:hint="eastAsia" w:ascii="宋体" w:hAnsi="宋体" w:cs="宋体"/>
          <w:bCs/>
          <w:color w:val="auto"/>
          <w:szCs w:val="21"/>
          <w:u w:val="single"/>
        </w:rPr>
        <w:t xml:space="preserve">          </w:t>
      </w:r>
    </w:p>
    <w:p w14:paraId="41E39382">
      <w:pPr>
        <w:numPr>
          <w:ilvl w:val="0"/>
          <w:numId w:val="4"/>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组成合同的文件</w:t>
      </w:r>
    </w:p>
    <w:p w14:paraId="5198AF7F">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本协议书与下列文件一起构成合同文件，如下述文件之间有任何抵触、矛盾或歧义，应按以下顺序解释：</w:t>
      </w:r>
    </w:p>
    <w:p w14:paraId="32F79B0C">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35757CD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2</w:t>
      </w:r>
      <w:r>
        <w:rPr>
          <w:rFonts w:hint="eastAsia" w:ascii="宋体" w:hAnsi="宋体"/>
          <w:color w:val="auto"/>
          <w:szCs w:val="21"/>
        </w:rPr>
        <w:t>）政府采购合同专用条款</w:t>
      </w:r>
    </w:p>
    <w:p w14:paraId="14C6871D">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3</w:t>
      </w:r>
      <w:r>
        <w:rPr>
          <w:rFonts w:hint="eastAsia" w:ascii="宋体" w:hAnsi="宋体"/>
          <w:color w:val="auto"/>
          <w:szCs w:val="21"/>
        </w:rPr>
        <w:t>）政府采购合同通用条款</w:t>
      </w:r>
    </w:p>
    <w:p w14:paraId="7C41FAA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1960D79F">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5</w:t>
      </w:r>
      <w:r>
        <w:rPr>
          <w:rFonts w:hint="eastAsia" w:ascii="宋体" w:hAnsi="宋体"/>
          <w:color w:val="auto"/>
          <w:szCs w:val="21"/>
        </w:rPr>
        <w:t>）投标（响应）文件</w:t>
      </w:r>
    </w:p>
    <w:p w14:paraId="3198D27E">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（6）采购文件</w:t>
      </w:r>
    </w:p>
    <w:p w14:paraId="4EE898A1">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（7）有关技术文件，图纸</w:t>
      </w:r>
    </w:p>
    <w:p w14:paraId="7C117602">
      <w:pPr>
        <w:pStyle w:val="50"/>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218C521C">
      <w:pPr>
        <w:numPr>
          <w:ilvl w:val="0"/>
          <w:numId w:val="4"/>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合同生效</w:t>
      </w:r>
    </w:p>
    <w:p w14:paraId="5B45D77C">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本合同自</w:t>
      </w:r>
      <w:r>
        <w:rPr>
          <w:rFonts w:hint="eastAsia" w:ascii="宋体" w:hAnsi="宋体"/>
          <w:color w:val="auto"/>
          <w:szCs w:val="21"/>
          <w:u w:val="single"/>
        </w:rPr>
        <w:t xml:space="preserve">                             </w:t>
      </w:r>
      <w:r>
        <w:rPr>
          <w:rFonts w:hint="eastAsia" w:ascii="宋体" w:hAnsi="宋体"/>
          <w:color w:val="auto"/>
          <w:szCs w:val="21"/>
        </w:rPr>
        <w:t>生效。</w:t>
      </w:r>
    </w:p>
    <w:p w14:paraId="3249931D">
      <w:pPr>
        <w:numPr>
          <w:ilvl w:val="0"/>
          <w:numId w:val="4"/>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合同份数</w:t>
      </w:r>
    </w:p>
    <w:p w14:paraId="48BCF91F">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本合同一式</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甲方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乙方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份，均具有同等法律效力。</w:t>
      </w:r>
    </w:p>
    <w:p w14:paraId="16A2A45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合同订立时间：</w:t>
      </w:r>
      <w:r>
        <w:rPr>
          <w:rFonts w:hint="eastAsia" w:ascii="宋体" w:hAnsi="宋体"/>
          <w:color w:val="auto"/>
          <w:szCs w:val="21"/>
          <w:u w:val="single"/>
        </w:rPr>
        <w:t xml:space="preserve">         </w:t>
      </w:r>
      <w:r>
        <w:rPr>
          <w:rFonts w:hint="eastAsia" w:ascii="宋体" w:hAnsi="宋体"/>
          <w:color w:val="auto"/>
          <w:szCs w:val="21"/>
        </w:rPr>
        <w:t>年</w:t>
      </w:r>
      <w:r>
        <w:rPr>
          <w:rFonts w:hint="eastAsia" w:ascii="宋体" w:hAnsi="宋体"/>
          <w:color w:val="auto"/>
          <w:szCs w:val="21"/>
          <w:u w:val="single"/>
        </w:rPr>
        <w:t xml:space="preserve">      </w:t>
      </w:r>
      <w:r>
        <w:rPr>
          <w:rFonts w:hint="eastAsia" w:ascii="宋体" w:hAnsi="宋体"/>
          <w:color w:val="auto"/>
          <w:szCs w:val="21"/>
        </w:rPr>
        <w:t>月</w:t>
      </w:r>
      <w:r>
        <w:rPr>
          <w:rFonts w:hint="eastAsia" w:ascii="宋体" w:hAnsi="宋体"/>
          <w:color w:val="auto"/>
          <w:szCs w:val="21"/>
          <w:u w:val="single"/>
        </w:rPr>
        <w:t xml:space="preserve">      </w:t>
      </w:r>
      <w:r>
        <w:rPr>
          <w:rFonts w:hint="eastAsia" w:ascii="宋体" w:hAnsi="宋体"/>
          <w:color w:val="auto"/>
          <w:szCs w:val="21"/>
        </w:rPr>
        <w:t>日</w:t>
      </w:r>
    </w:p>
    <w:p w14:paraId="156F398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合同订立地点：</w:t>
      </w:r>
      <w:r>
        <w:rPr>
          <w:rFonts w:hint="eastAsia" w:ascii="宋体" w:hAnsi="宋体"/>
          <w:color w:val="auto"/>
          <w:szCs w:val="21"/>
          <w:u w:val="single"/>
        </w:rPr>
        <w:t xml:space="preserve">                           </w:t>
      </w:r>
    </w:p>
    <w:p w14:paraId="75A7D6DA">
      <w:pPr>
        <w:adjustRightInd w:val="0"/>
        <w:snapToGrid w:val="0"/>
        <w:spacing w:before="0" w:beforeLines="0" w:line="400" w:lineRule="exact"/>
        <w:ind w:firstLine="420" w:firstLineChars="200"/>
        <w:rPr>
          <w:color w:val="auto"/>
        </w:rPr>
      </w:pPr>
      <w:r>
        <w:rPr>
          <w:rFonts w:hint="eastAsia" w:ascii="宋体" w:hAnsi="宋体"/>
          <w:color w:val="auto"/>
          <w:szCs w:val="21"/>
        </w:rPr>
        <w:t>附件：具体标</w:t>
      </w:r>
      <w:r>
        <w:rPr>
          <w:rFonts w:hint="eastAsia" w:ascii="宋体" w:hAnsi="宋体"/>
          <w:color w:val="auto"/>
          <w:szCs w:val="21"/>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rPr>
        <w:t>、联合协议、分包</w:t>
      </w:r>
      <w:r>
        <w:rPr>
          <w:rFonts w:hint="eastAsia" w:ascii="宋体" w:hAnsi="宋体"/>
          <w:color w:val="auto"/>
          <w:szCs w:val="21"/>
          <w:lang w:eastAsia="zh-CN"/>
        </w:rPr>
        <w:t>意向</w:t>
      </w:r>
      <w:r>
        <w:rPr>
          <w:rFonts w:hint="eastAsia" w:ascii="宋体" w:hAnsi="宋体"/>
          <w:color w:val="auto"/>
          <w:szCs w:val="21"/>
        </w:rPr>
        <w:t>协议等。</w:t>
      </w:r>
    </w:p>
    <w:p w14:paraId="7CDBF555">
      <w:pPr>
        <w:pStyle w:val="103"/>
        <w:spacing w:beforeLines="0" w:line="400" w:lineRule="exact"/>
        <w:rPr>
          <w:color w:val="auto"/>
        </w:rPr>
      </w:pPr>
    </w:p>
    <w:p w14:paraId="6A581029">
      <w:pPr>
        <w:pStyle w:val="3"/>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lang w:val="en"/>
        </w:rPr>
        <w:t xml:space="preserve">   </w:t>
      </w:r>
    </w:p>
    <w:p w14:paraId="65E345CF">
      <w:pPr>
        <w:rPr>
          <w:rFonts w:hint="eastAsia"/>
          <w:color w:val="auto"/>
        </w:rPr>
      </w:pPr>
      <w:r>
        <w:rPr>
          <w:rFonts w:hint="eastAsia"/>
          <w:color w:val="auto"/>
        </w:rPr>
        <w:br w:type="page"/>
      </w:r>
    </w:p>
    <w:p w14:paraId="7904B37C">
      <w:pPr>
        <w:pStyle w:val="103"/>
        <w:rPr>
          <w:rFonts w:hint="eastAsia"/>
          <w:color w:val="auto"/>
        </w:rPr>
      </w:pPr>
    </w:p>
    <w:tbl>
      <w:tblPr>
        <w:tblStyle w:val="4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71"/>
        <w:gridCol w:w="2641"/>
        <w:gridCol w:w="2167"/>
        <w:gridCol w:w="2318"/>
      </w:tblGrid>
      <w:tr w14:paraId="43AA09F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546A0D84">
            <w:pPr>
              <w:adjustRightInd w:val="0"/>
              <w:snapToGrid w:val="0"/>
              <w:spacing w:line="300" w:lineRule="exact"/>
              <w:jc w:val="center"/>
              <w:rPr>
                <w:color w:val="auto"/>
              </w:rPr>
            </w:pPr>
            <w:r>
              <w:rPr>
                <w:color w:val="auto"/>
                <w:szCs w:val="21"/>
              </w:rPr>
              <w:t>甲方</w:t>
            </w:r>
            <w:r>
              <w:rPr>
                <w:rFonts w:hint="eastAsia"/>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w:t>
            </w:r>
            <w:r>
              <w:rPr>
                <w:rFonts w:hint="eastAsia"/>
                <w:color w:val="auto"/>
                <w:szCs w:val="21"/>
              </w:rPr>
              <w:t>采购文件约定的合同甲方）</w:t>
            </w:r>
          </w:p>
        </w:tc>
        <w:tc>
          <w:tcPr>
            <w:tcW w:w="2437" w:type="pct"/>
            <w:gridSpan w:val="2"/>
            <w:tcBorders>
              <w:left w:val="single" w:color="auto" w:sz="2" w:space="0"/>
              <w:bottom w:val="single" w:color="auto" w:sz="2" w:space="0"/>
            </w:tcBorders>
            <w:vAlign w:val="center"/>
          </w:tcPr>
          <w:p w14:paraId="4FDF36BF">
            <w:pPr>
              <w:adjustRightInd w:val="0"/>
              <w:snapToGrid w:val="0"/>
              <w:spacing w:line="300" w:lineRule="exact"/>
              <w:jc w:val="center"/>
              <w:rPr>
                <w:color w:val="auto"/>
              </w:rPr>
            </w:pPr>
            <w:r>
              <w:rPr>
                <w:color w:val="auto"/>
                <w:szCs w:val="21"/>
              </w:rPr>
              <w:t>乙方</w:t>
            </w:r>
            <w:r>
              <w:rPr>
                <w:rFonts w:hint="eastAsia"/>
                <w:color w:val="auto"/>
                <w:szCs w:val="21"/>
              </w:rPr>
              <w:t>（供应商）</w:t>
            </w:r>
          </w:p>
        </w:tc>
      </w:tr>
      <w:tr w14:paraId="35B3A3C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F1E0ACF">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225BCC18">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4F65AD3">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1259" w:type="pct"/>
            <w:tcBorders>
              <w:top w:val="single" w:color="auto" w:sz="2" w:space="0"/>
              <w:left w:val="single" w:color="auto" w:sz="2" w:space="0"/>
              <w:bottom w:val="single" w:color="auto" w:sz="2" w:space="0"/>
            </w:tcBorders>
            <w:vAlign w:val="center"/>
          </w:tcPr>
          <w:p w14:paraId="73D3C5AA">
            <w:pPr>
              <w:adjustRightInd w:val="0"/>
              <w:snapToGrid w:val="0"/>
              <w:spacing w:line="300" w:lineRule="exact"/>
              <w:jc w:val="center"/>
              <w:rPr>
                <w:color w:val="auto"/>
                <w:spacing w:val="20"/>
                <w:szCs w:val="21"/>
              </w:rPr>
            </w:pPr>
          </w:p>
        </w:tc>
      </w:tr>
      <w:tr w14:paraId="167D6C7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3A72ECA1">
            <w:pPr>
              <w:adjustRightInd w:val="0"/>
              <w:snapToGrid w:val="0"/>
              <w:spacing w:line="300" w:lineRule="exact"/>
              <w:jc w:val="center"/>
              <w:rPr>
                <w:color w:val="auto"/>
                <w:szCs w:val="21"/>
              </w:rPr>
            </w:pPr>
            <w:r>
              <w:rPr>
                <w:color w:val="auto"/>
                <w:szCs w:val="21"/>
              </w:rPr>
              <w:t>法定代表人</w:t>
            </w:r>
          </w:p>
          <w:p w14:paraId="46A2A9F6">
            <w:pPr>
              <w:adjustRightInd w:val="0"/>
              <w:snapToGrid w:val="0"/>
              <w:spacing w:line="300" w:lineRule="exact"/>
              <w:ind w:firstLine="100" w:firstLineChars="48"/>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1436" w:type="pct"/>
            <w:vMerge w:val="restart"/>
            <w:tcBorders>
              <w:top w:val="single" w:color="auto" w:sz="2" w:space="0"/>
              <w:left w:val="single" w:color="auto" w:sz="2" w:space="0"/>
              <w:right w:val="single" w:color="auto" w:sz="2" w:space="0"/>
            </w:tcBorders>
            <w:vAlign w:val="center"/>
          </w:tcPr>
          <w:p w14:paraId="7EDBEABE">
            <w:pPr>
              <w:adjustRightInd w:val="0"/>
              <w:snapToGrid w:val="0"/>
              <w:spacing w:line="300" w:lineRule="exact"/>
              <w:jc w:val="center"/>
              <w:rPr>
                <w:color w:val="auto"/>
                <w:szCs w:val="21"/>
              </w:rPr>
            </w:pPr>
          </w:p>
        </w:tc>
        <w:tc>
          <w:tcPr>
            <w:tcW w:w="1178" w:type="pct"/>
            <w:tcBorders>
              <w:top w:val="single" w:color="auto" w:sz="2" w:space="0"/>
              <w:left w:val="single" w:color="auto" w:sz="2" w:space="0"/>
              <w:right w:val="single" w:color="auto" w:sz="2" w:space="0"/>
            </w:tcBorders>
            <w:vAlign w:val="center"/>
          </w:tcPr>
          <w:p w14:paraId="0577837F">
            <w:pPr>
              <w:adjustRightInd w:val="0"/>
              <w:snapToGrid w:val="0"/>
              <w:spacing w:line="300" w:lineRule="exact"/>
              <w:jc w:val="center"/>
              <w:rPr>
                <w:color w:val="auto"/>
                <w:szCs w:val="21"/>
              </w:rPr>
            </w:pPr>
            <w:r>
              <w:rPr>
                <w:color w:val="auto"/>
                <w:szCs w:val="21"/>
              </w:rPr>
              <w:t>法定代表人</w:t>
            </w:r>
          </w:p>
          <w:p w14:paraId="04419868">
            <w:pPr>
              <w:adjustRightInd w:val="0"/>
              <w:snapToGrid w:val="0"/>
              <w:spacing w:line="300" w:lineRule="exact"/>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1259" w:type="pct"/>
            <w:tcBorders>
              <w:top w:val="single" w:color="auto" w:sz="2" w:space="0"/>
              <w:left w:val="single" w:color="auto" w:sz="2" w:space="0"/>
              <w:bottom w:val="single" w:color="auto" w:sz="2" w:space="0"/>
            </w:tcBorders>
            <w:vAlign w:val="center"/>
          </w:tcPr>
          <w:p w14:paraId="5B1C61C9">
            <w:pPr>
              <w:adjustRightInd w:val="0"/>
              <w:snapToGrid w:val="0"/>
              <w:spacing w:line="300" w:lineRule="exact"/>
              <w:jc w:val="center"/>
              <w:rPr>
                <w:color w:val="auto"/>
                <w:szCs w:val="21"/>
              </w:rPr>
            </w:pPr>
          </w:p>
        </w:tc>
      </w:tr>
      <w:tr w14:paraId="700523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48D7CC62">
            <w:pPr>
              <w:adjustRightInd w:val="0"/>
              <w:snapToGrid w:val="0"/>
              <w:spacing w:line="300" w:lineRule="exact"/>
              <w:jc w:val="center"/>
              <w:rPr>
                <w:color w:val="auto"/>
                <w:szCs w:val="21"/>
              </w:rPr>
            </w:pPr>
          </w:p>
        </w:tc>
        <w:tc>
          <w:tcPr>
            <w:tcW w:w="1436" w:type="pct"/>
            <w:vMerge w:val="continue"/>
            <w:tcBorders>
              <w:left w:val="single" w:color="auto" w:sz="2" w:space="0"/>
              <w:bottom w:val="single" w:color="auto" w:sz="2" w:space="0"/>
              <w:right w:val="single" w:color="auto" w:sz="2" w:space="0"/>
            </w:tcBorders>
            <w:vAlign w:val="center"/>
          </w:tcPr>
          <w:p w14:paraId="79914D92">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E843FB3">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542FE922">
            <w:pPr>
              <w:adjustRightInd w:val="0"/>
              <w:snapToGrid w:val="0"/>
              <w:spacing w:line="300" w:lineRule="exact"/>
              <w:jc w:val="center"/>
              <w:rPr>
                <w:color w:val="auto"/>
                <w:spacing w:val="20"/>
                <w:szCs w:val="21"/>
              </w:rPr>
            </w:pPr>
          </w:p>
        </w:tc>
      </w:tr>
      <w:tr w14:paraId="4D2D9FB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E894F80">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167ED59B">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2DC91E6">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1259" w:type="pct"/>
            <w:tcBorders>
              <w:top w:val="single" w:color="auto" w:sz="2" w:space="0"/>
              <w:left w:val="single" w:color="auto" w:sz="2" w:space="0"/>
              <w:bottom w:val="single" w:color="auto" w:sz="2" w:space="0"/>
            </w:tcBorders>
            <w:vAlign w:val="center"/>
          </w:tcPr>
          <w:p w14:paraId="260F9D5D">
            <w:pPr>
              <w:adjustRightInd w:val="0"/>
              <w:snapToGrid w:val="0"/>
              <w:spacing w:line="300" w:lineRule="exact"/>
              <w:jc w:val="center"/>
              <w:rPr>
                <w:color w:val="auto"/>
                <w:spacing w:val="20"/>
                <w:szCs w:val="21"/>
              </w:rPr>
            </w:pPr>
          </w:p>
        </w:tc>
      </w:tr>
      <w:tr w14:paraId="64750E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1F3A2B4">
            <w:pPr>
              <w:adjustRightInd w:val="0"/>
              <w:snapToGrid w:val="0"/>
              <w:spacing w:line="300" w:lineRule="exact"/>
              <w:jc w:val="center"/>
              <w:rPr>
                <w:color w:val="auto"/>
                <w:szCs w:val="21"/>
              </w:rPr>
            </w:pPr>
            <w:r>
              <w:rPr>
                <w:color w:val="auto"/>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6813E71B">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09C9D4E">
            <w:pPr>
              <w:adjustRightInd w:val="0"/>
              <w:snapToGrid w:val="0"/>
              <w:spacing w:line="300" w:lineRule="exact"/>
              <w:jc w:val="center"/>
              <w:rPr>
                <w:color w:val="auto"/>
                <w:szCs w:val="21"/>
              </w:rPr>
            </w:pPr>
            <w:r>
              <w:rPr>
                <w:color w:val="auto"/>
                <w:szCs w:val="21"/>
              </w:rPr>
              <w:t>联 系 人</w:t>
            </w:r>
          </w:p>
        </w:tc>
        <w:tc>
          <w:tcPr>
            <w:tcW w:w="1259" w:type="pct"/>
            <w:tcBorders>
              <w:top w:val="single" w:color="auto" w:sz="2" w:space="0"/>
              <w:left w:val="single" w:color="auto" w:sz="2" w:space="0"/>
              <w:bottom w:val="single" w:color="auto" w:sz="2" w:space="0"/>
            </w:tcBorders>
            <w:vAlign w:val="center"/>
          </w:tcPr>
          <w:p w14:paraId="2BB2700E">
            <w:pPr>
              <w:adjustRightInd w:val="0"/>
              <w:snapToGrid w:val="0"/>
              <w:spacing w:line="300" w:lineRule="exact"/>
              <w:jc w:val="center"/>
              <w:rPr>
                <w:color w:val="auto"/>
                <w:spacing w:val="20"/>
                <w:szCs w:val="21"/>
              </w:rPr>
            </w:pPr>
          </w:p>
        </w:tc>
      </w:tr>
      <w:tr w14:paraId="7016B5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E30E9BF">
            <w:pPr>
              <w:adjustRightInd w:val="0"/>
              <w:snapToGrid w:val="0"/>
              <w:spacing w:line="300" w:lineRule="exact"/>
              <w:jc w:val="center"/>
              <w:rPr>
                <w:color w:val="auto"/>
                <w:szCs w:val="21"/>
              </w:rPr>
            </w:pPr>
            <w:r>
              <w:rPr>
                <w:color w:val="auto"/>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64C38C78">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FE3F2AF">
            <w:pPr>
              <w:adjustRightInd w:val="0"/>
              <w:snapToGrid w:val="0"/>
              <w:spacing w:line="300" w:lineRule="exact"/>
              <w:jc w:val="center"/>
              <w:rPr>
                <w:color w:val="auto"/>
                <w:szCs w:val="21"/>
              </w:rPr>
            </w:pPr>
            <w:r>
              <w:rPr>
                <w:color w:val="auto"/>
                <w:szCs w:val="21"/>
              </w:rPr>
              <w:t>联系电话</w:t>
            </w:r>
          </w:p>
        </w:tc>
        <w:tc>
          <w:tcPr>
            <w:tcW w:w="1259" w:type="pct"/>
            <w:tcBorders>
              <w:top w:val="single" w:color="auto" w:sz="2" w:space="0"/>
              <w:left w:val="single" w:color="auto" w:sz="2" w:space="0"/>
              <w:bottom w:val="single" w:color="auto" w:sz="2" w:space="0"/>
            </w:tcBorders>
            <w:vAlign w:val="center"/>
          </w:tcPr>
          <w:p w14:paraId="1191FEBF">
            <w:pPr>
              <w:adjustRightInd w:val="0"/>
              <w:snapToGrid w:val="0"/>
              <w:spacing w:line="300" w:lineRule="exact"/>
              <w:jc w:val="center"/>
              <w:rPr>
                <w:color w:val="auto"/>
                <w:spacing w:val="20"/>
                <w:szCs w:val="21"/>
              </w:rPr>
            </w:pPr>
          </w:p>
        </w:tc>
      </w:tr>
      <w:tr w14:paraId="34DD15C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48AB074">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7E9219D">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E3F4809">
            <w:pPr>
              <w:adjustRightInd w:val="0"/>
              <w:snapToGrid w:val="0"/>
              <w:spacing w:line="300" w:lineRule="exact"/>
              <w:jc w:val="center"/>
              <w:rPr>
                <w:color w:val="auto"/>
                <w:szCs w:val="21"/>
              </w:rPr>
            </w:pPr>
            <w:r>
              <w:rPr>
                <w:rFonts w:hint="eastAsia"/>
                <w:color w:val="auto"/>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22B661E7">
            <w:pPr>
              <w:adjustRightInd w:val="0"/>
              <w:snapToGrid w:val="0"/>
              <w:spacing w:line="300" w:lineRule="exact"/>
              <w:jc w:val="center"/>
              <w:rPr>
                <w:color w:val="auto"/>
                <w:spacing w:val="20"/>
                <w:szCs w:val="21"/>
              </w:rPr>
            </w:pPr>
          </w:p>
        </w:tc>
      </w:tr>
      <w:tr w14:paraId="4EB64C8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87A97EB">
            <w:pPr>
              <w:adjustRightInd w:val="0"/>
              <w:snapToGrid w:val="0"/>
              <w:spacing w:line="300" w:lineRule="exact"/>
              <w:jc w:val="center"/>
              <w:rPr>
                <w:color w:val="auto"/>
                <w:szCs w:val="21"/>
              </w:rPr>
            </w:pPr>
            <w:r>
              <w:rPr>
                <w:color w:val="auto"/>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78977C34">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F63C5F5">
            <w:pPr>
              <w:adjustRightInd w:val="0"/>
              <w:snapToGrid w:val="0"/>
              <w:spacing w:line="300" w:lineRule="exact"/>
              <w:jc w:val="center"/>
              <w:rPr>
                <w:color w:val="auto"/>
                <w:szCs w:val="21"/>
              </w:rPr>
            </w:pPr>
            <w:r>
              <w:rPr>
                <w:color w:val="auto"/>
                <w:szCs w:val="21"/>
              </w:rPr>
              <w:t>邮政编码</w:t>
            </w:r>
          </w:p>
        </w:tc>
        <w:tc>
          <w:tcPr>
            <w:tcW w:w="1259" w:type="pct"/>
            <w:tcBorders>
              <w:top w:val="single" w:color="auto" w:sz="2" w:space="0"/>
              <w:left w:val="single" w:color="auto" w:sz="2" w:space="0"/>
              <w:bottom w:val="single" w:color="auto" w:sz="2" w:space="0"/>
            </w:tcBorders>
            <w:vAlign w:val="center"/>
          </w:tcPr>
          <w:p w14:paraId="2CDD905F">
            <w:pPr>
              <w:adjustRightInd w:val="0"/>
              <w:snapToGrid w:val="0"/>
              <w:spacing w:line="300" w:lineRule="exact"/>
              <w:jc w:val="center"/>
              <w:rPr>
                <w:color w:val="auto"/>
                <w:spacing w:val="20"/>
                <w:szCs w:val="21"/>
              </w:rPr>
            </w:pPr>
          </w:p>
        </w:tc>
      </w:tr>
      <w:tr w14:paraId="2DCD0F2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E0267B7">
            <w:pPr>
              <w:adjustRightInd w:val="0"/>
              <w:snapToGrid w:val="0"/>
              <w:spacing w:line="300" w:lineRule="exact"/>
              <w:jc w:val="center"/>
              <w:rPr>
                <w:color w:val="auto"/>
                <w:szCs w:val="21"/>
              </w:rPr>
            </w:pPr>
            <w:r>
              <w:rPr>
                <w:rFonts w:hint="eastAsia"/>
                <w:color w:val="auto"/>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10A6B1CD">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F40AF04">
            <w:pPr>
              <w:adjustRightInd w:val="0"/>
              <w:snapToGrid w:val="0"/>
              <w:spacing w:line="300" w:lineRule="exact"/>
              <w:jc w:val="center"/>
              <w:rPr>
                <w:color w:val="auto"/>
                <w:szCs w:val="21"/>
              </w:rPr>
            </w:pPr>
            <w:r>
              <w:rPr>
                <w:rFonts w:hint="eastAsia"/>
                <w:color w:val="auto"/>
                <w:szCs w:val="21"/>
              </w:rPr>
              <w:t>电子邮箱</w:t>
            </w:r>
          </w:p>
        </w:tc>
        <w:tc>
          <w:tcPr>
            <w:tcW w:w="1259" w:type="pct"/>
            <w:tcBorders>
              <w:top w:val="single" w:color="auto" w:sz="2" w:space="0"/>
              <w:left w:val="single" w:color="auto" w:sz="2" w:space="0"/>
              <w:bottom w:val="single" w:color="auto" w:sz="2" w:space="0"/>
            </w:tcBorders>
            <w:vAlign w:val="center"/>
          </w:tcPr>
          <w:p w14:paraId="5E645941">
            <w:pPr>
              <w:adjustRightInd w:val="0"/>
              <w:snapToGrid w:val="0"/>
              <w:spacing w:line="300" w:lineRule="exact"/>
              <w:jc w:val="center"/>
              <w:rPr>
                <w:color w:val="auto"/>
                <w:spacing w:val="20"/>
                <w:szCs w:val="21"/>
              </w:rPr>
            </w:pPr>
          </w:p>
        </w:tc>
      </w:tr>
      <w:tr w14:paraId="14248B3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A4DBF8C">
            <w:pPr>
              <w:adjustRightInd w:val="0"/>
              <w:snapToGrid w:val="0"/>
              <w:spacing w:line="300" w:lineRule="exact"/>
              <w:jc w:val="center"/>
              <w:rPr>
                <w:color w:val="auto"/>
                <w:szCs w:val="21"/>
              </w:rPr>
            </w:pPr>
            <w:r>
              <w:rPr>
                <w:rFonts w:hint="eastAsia"/>
                <w:color w:val="auto"/>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6FC3B991">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2F873019">
            <w:pPr>
              <w:adjustRightInd w:val="0"/>
              <w:snapToGrid w:val="0"/>
              <w:spacing w:line="300" w:lineRule="exact"/>
              <w:jc w:val="center"/>
              <w:rPr>
                <w:color w:val="auto"/>
                <w:szCs w:val="21"/>
              </w:rPr>
            </w:pPr>
            <w:r>
              <w:rPr>
                <w:rFonts w:hint="eastAsia"/>
                <w:color w:val="auto"/>
                <w:szCs w:val="21"/>
              </w:rPr>
              <w:t>统一社会信用代码</w:t>
            </w:r>
          </w:p>
        </w:tc>
        <w:tc>
          <w:tcPr>
            <w:tcW w:w="1259" w:type="pct"/>
            <w:tcBorders>
              <w:top w:val="single" w:color="auto" w:sz="2" w:space="0"/>
              <w:left w:val="single" w:color="auto" w:sz="2" w:space="0"/>
              <w:bottom w:val="single" w:color="auto" w:sz="2" w:space="0"/>
            </w:tcBorders>
            <w:vAlign w:val="center"/>
          </w:tcPr>
          <w:p w14:paraId="6D451F32">
            <w:pPr>
              <w:adjustRightInd w:val="0"/>
              <w:snapToGrid w:val="0"/>
              <w:spacing w:line="300" w:lineRule="exact"/>
              <w:jc w:val="center"/>
              <w:rPr>
                <w:color w:val="auto"/>
                <w:spacing w:val="20"/>
                <w:szCs w:val="21"/>
              </w:rPr>
            </w:pPr>
          </w:p>
        </w:tc>
      </w:tr>
      <w:tr w14:paraId="731091F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2186B59">
            <w:pPr>
              <w:adjustRightInd w:val="0"/>
              <w:snapToGrid w:val="0"/>
              <w:spacing w:line="300" w:lineRule="exact"/>
              <w:jc w:val="center"/>
              <w:rPr>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5E23B626">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57624A3">
            <w:pPr>
              <w:adjustRightInd w:val="0"/>
              <w:snapToGrid w:val="0"/>
              <w:spacing w:line="300" w:lineRule="exact"/>
              <w:jc w:val="center"/>
              <w:rPr>
                <w:color w:val="auto"/>
                <w:szCs w:val="21"/>
              </w:rPr>
            </w:pPr>
            <w:r>
              <w:rPr>
                <w:color w:val="auto"/>
                <w:szCs w:val="21"/>
              </w:rPr>
              <w:t>开户名称</w:t>
            </w:r>
          </w:p>
        </w:tc>
        <w:tc>
          <w:tcPr>
            <w:tcW w:w="1259" w:type="pct"/>
            <w:tcBorders>
              <w:top w:val="single" w:color="auto" w:sz="2" w:space="0"/>
              <w:left w:val="single" w:color="auto" w:sz="2" w:space="0"/>
              <w:bottom w:val="single" w:color="auto" w:sz="2" w:space="0"/>
            </w:tcBorders>
            <w:vAlign w:val="center"/>
          </w:tcPr>
          <w:p w14:paraId="043282CA">
            <w:pPr>
              <w:adjustRightInd w:val="0"/>
              <w:snapToGrid w:val="0"/>
              <w:spacing w:line="300" w:lineRule="exact"/>
              <w:jc w:val="center"/>
              <w:rPr>
                <w:color w:val="auto"/>
                <w:spacing w:val="20"/>
                <w:szCs w:val="21"/>
              </w:rPr>
            </w:pPr>
          </w:p>
        </w:tc>
      </w:tr>
      <w:tr w14:paraId="09A716A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0C978F9">
            <w:pPr>
              <w:adjustRightInd w:val="0"/>
              <w:snapToGrid w:val="0"/>
              <w:spacing w:line="300" w:lineRule="exact"/>
              <w:jc w:val="center"/>
              <w:rPr>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65F83A60">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7F6BB78">
            <w:pPr>
              <w:adjustRightInd w:val="0"/>
              <w:snapToGrid w:val="0"/>
              <w:spacing w:line="300" w:lineRule="exact"/>
              <w:jc w:val="center"/>
              <w:rPr>
                <w:color w:val="auto"/>
                <w:szCs w:val="21"/>
              </w:rPr>
            </w:pPr>
            <w:r>
              <w:rPr>
                <w:color w:val="auto"/>
                <w:szCs w:val="21"/>
              </w:rPr>
              <w:t>开户银行</w:t>
            </w:r>
          </w:p>
        </w:tc>
        <w:tc>
          <w:tcPr>
            <w:tcW w:w="1259" w:type="pct"/>
            <w:tcBorders>
              <w:top w:val="single" w:color="auto" w:sz="2" w:space="0"/>
              <w:left w:val="single" w:color="auto" w:sz="2" w:space="0"/>
              <w:bottom w:val="single" w:color="auto" w:sz="2" w:space="0"/>
            </w:tcBorders>
            <w:vAlign w:val="center"/>
          </w:tcPr>
          <w:p w14:paraId="6FB539BA">
            <w:pPr>
              <w:adjustRightInd w:val="0"/>
              <w:snapToGrid w:val="0"/>
              <w:spacing w:line="300" w:lineRule="exact"/>
              <w:jc w:val="center"/>
              <w:rPr>
                <w:color w:val="auto"/>
                <w:spacing w:val="20"/>
                <w:szCs w:val="21"/>
              </w:rPr>
            </w:pPr>
          </w:p>
        </w:tc>
      </w:tr>
      <w:tr w14:paraId="4D26E8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126" w:type="pct"/>
            <w:tcBorders>
              <w:top w:val="single" w:color="auto" w:sz="2" w:space="0"/>
              <w:bottom w:val="single" w:color="auto" w:sz="2" w:space="0"/>
              <w:right w:val="single" w:color="auto" w:sz="2" w:space="0"/>
            </w:tcBorders>
            <w:vAlign w:val="center"/>
          </w:tcPr>
          <w:p w14:paraId="1AAF3412">
            <w:pPr>
              <w:adjustRightInd w:val="0"/>
              <w:snapToGrid w:val="0"/>
              <w:spacing w:line="300" w:lineRule="exact"/>
              <w:jc w:val="center"/>
              <w:rPr>
                <w:color w:val="auto"/>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6D4FC255">
            <w:pPr>
              <w:adjustRightInd w:val="0"/>
              <w:snapToGrid w:val="0"/>
              <w:spacing w:line="300" w:lineRule="exact"/>
              <w:jc w:val="center"/>
              <w:rPr>
                <w:color w:val="auto"/>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E3ECBEC">
            <w:pPr>
              <w:adjustRightInd w:val="0"/>
              <w:snapToGrid w:val="0"/>
              <w:spacing w:line="300" w:lineRule="exact"/>
              <w:jc w:val="center"/>
              <w:rPr>
                <w:color w:val="auto"/>
                <w:szCs w:val="21"/>
              </w:rPr>
            </w:pPr>
            <w:r>
              <w:rPr>
                <w:color w:val="auto"/>
                <w:szCs w:val="21"/>
              </w:rPr>
              <w:t>银行账号</w:t>
            </w:r>
          </w:p>
        </w:tc>
        <w:tc>
          <w:tcPr>
            <w:tcW w:w="1259" w:type="pct"/>
            <w:tcBorders>
              <w:top w:val="single" w:color="auto" w:sz="2" w:space="0"/>
              <w:left w:val="single" w:color="auto" w:sz="2" w:space="0"/>
              <w:bottom w:val="single" w:color="auto" w:sz="2" w:space="0"/>
            </w:tcBorders>
            <w:vAlign w:val="center"/>
          </w:tcPr>
          <w:p w14:paraId="7554CB8A">
            <w:pPr>
              <w:adjustRightInd w:val="0"/>
              <w:snapToGrid w:val="0"/>
              <w:spacing w:line="300" w:lineRule="exact"/>
              <w:jc w:val="center"/>
              <w:rPr>
                <w:color w:val="auto"/>
                <w:spacing w:val="20"/>
                <w:szCs w:val="21"/>
              </w:rPr>
            </w:pPr>
          </w:p>
        </w:tc>
      </w:tr>
      <w:tr w14:paraId="52F549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62D8A3FC">
            <w:pPr>
              <w:pStyle w:val="17"/>
              <w:adjustRightInd w:val="0"/>
              <w:snapToGrid w:val="0"/>
              <w:spacing w:before="156" w:beforeLines="50" w:after="0" w:line="360" w:lineRule="auto"/>
              <w:ind w:left="0" w:leftChars="0"/>
              <w:jc w:val="left"/>
              <w:rPr>
                <w:color w:val="auto"/>
                <w:spacing w:val="20"/>
                <w:szCs w:val="21"/>
              </w:rPr>
            </w:pPr>
            <w:r>
              <w:rPr>
                <w:rFonts w:hint="eastAsia" w:ascii="宋体" w:hAnsi="宋体"/>
                <w:color w:val="auto"/>
                <w:szCs w:val="21"/>
              </w:rPr>
              <w:t>注：涉及联合体或其他合同主体的信息应按上表格式加列。</w:t>
            </w:r>
          </w:p>
        </w:tc>
      </w:tr>
    </w:tbl>
    <w:p w14:paraId="4CD6B7C5">
      <w:pPr>
        <w:pStyle w:val="3"/>
        <w:adjustRightInd w:val="0"/>
        <w:snapToGrid w:val="0"/>
        <w:spacing w:before="156" w:beforeLines="50"/>
        <w:jc w:val="center"/>
        <w:rPr>
          <w:rFonts w:ascii="黑体" w:hAnsi="黑体" w:eastAsia="黑体"/>
          <w:color w:val="auto"/>
          <w:sz w:val="28"/>
          <w:szCs w:val="28"/>
        </w:rPr>
      </w:pPr>
      <w:r>
        <w:rPr>
          <w:rFonts w:ascii="宋体" w:hAnsi="宋体"/>
          <w:color w:val="auto"/>
          <w:sz w:val="21"/>
          <w:szCs w:val="21"/>
          <w:u w:val="single"/>
        </w:rPr>
        <w:br w:type="page"/>
      </w:r>
      <w:bookmarkStart w:id="21" w:name="_Toc27624"/>
      <w:r>
        <w:rPr>
          <w:rFonts w:hint="eastAsia" w:ascii="黑体" w:hAnsi="黑体" w:eastAsia="黑体"/>
          <w:b w:val="0"/>
          <w:bCs w:val="0"/>
          <w:color w:val="auto"/>
          <w:sz w:val="28"/>
          <w:szCs w:val="28"/>
        </w:rPr>
        <w:t>第二节 政府采购合同通用条款</w:t>
      </w:r>
      <w:bookmarkEnd w:id="21"/>
    </w:p>
    <w:p w14:paraId="1723DBDF">
      <w:pPr>
        <w:tabs>
          <w:tab w:val="left" w:pos="8820"/>
          <w:tab w:val="left" w:pos="9345"/>
          <w:tab w:val="left" w:pos="9765"/>
        </w:tabs>
        <w:adjustRightInd w:val="0"/>
        <w:snapToGrid w:val="0"/>
        <w:spacing w:before="0" w:line="400" w:lineRule="exact"/>
        <w:jc w:val="left"/>
        <w:rPr>
          <w:rFonts w:ascii="宋体" w:hAnsi="宋体"/>
          <w:b/>
          <w:bCs/>
          <w:color w:val="auto"/>
          <w:sz w:val="24"/>
        </w:rPr>
      </w:pPr>
      <w:r>
        <w:rPr>
          <w:rFonts w:hint="eastAsia" w:ascii="宋体" w:hAnsi="宋体"/>
          <w:b/>
          <w:color w:val="auto"/>
          <w:sz w:val="24"/>
        </w:rPr>
        <w:t>1.</w:t>
      </w:r>
      <w:r>
        <w:rPr>
          <w:rFonts w:hint="eastAsia" w:ascii="宋体" w:hAnsi="宋体"/>
          <w:b/>
          <w:color w:val="auto"/>
          <w:sz w:val="24"/>
          <w:lang w:val="en-US" w:eastAsia="zh-CN"/>
        </w:rPr>
        <w:t xml:space="preserve"> </w:t>
      </w:r>
      <w:r>
        <w:rPr>
          <w:rFonts w:hint="eastAsia" w:ascii="宋体" w:hAnsi="宋体"/>
          <w:b/>
          <w:bCs/>
          <w:color w:val="auto"/>
          <w:sz w:val="24"/>
        </w:rPr>
        <w:t>定义</w:t>
      </w:r>
    </w:p>
    <w:p w14:paraId="3DBD3F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72B87AE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61F01DB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33019FE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rPr>
        <w:t>依法参与合同缔结或履行，享有权利、承担义务的合同当事人</w:t>
      </w:r>
      <w:r>
        <w:rPr>
          <w:rFonts w:hint="eastAsia" w:ascii="宋体" w:hAnsi="宋体"/>
          <w:color w:val="auto"/>
          <w:szCs w:val="21"/>
          <w:highlight w:val="none"/>
        </w:rPr>
        <w:t>。</w:t>
      </w:r>
    </w:p>
    <w:p w14:paraId="3F09680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4FEFC9CB">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color w:val="auto"/>
          <w:szCs w:val="21"/>
        </w:rPr>
        <w:t>政府采购合同专用条款</w:t>
      </w:r>
      <w:r>
        <w:rPr>
          <w:rFonts w:hint="eastAsia" w:ascii="宋体" w:hAnsi="宋体"/>
          <w:color w:val="auto"/>
          <w:szCs w:val="21"/>
          <w:lang w:eastAsia="zh-CN"/>
        </w:rPr>
        <w:t>，</w:t>
      </w:r>
      <w:r>
        <w:rPr>
          <w:rFonts w:hint="eastAsia" w:ascii="宋体" w:hAnsi="宋体"/>
          <w:color w:val="auto"/>
          <w:szCs w:val="21"/>
        </w:rPr>
        <w:t>政府采购合同通用条款</w:t>
      </w:r>
      <w:r>
        <w:rPr>
          <w:rFonts w:hint="eastAsia" w:ascii="宋体" w:hAnsi="宋体"/>
          <w:color w:val="auto"/>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color w:val="auto"/>
          <w:szCs w:val="21"/>
        </w:rPr>
        <w:t>投标（响应）文件</w:t>
      </w:r>
      <w:r>
        <w:rPr>
          <w:rFonts w:hint="eastAsia" w:ascii="宋体" w:hAnsi="宋体"/>
          <w:color w:val="auto"/>
          <w:szCs w:val="21"/>
          <w:lang w:eastAsia="zh-CN"/>
        </w:rPr>
        <w:t>，</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有关技术文件</w:t>
      </w:r>
      <w:r>
        <w:rPr>
          <w:rFonts w:hint="eastAsia" w:ascii="宋体" w:hAnsi="宋体"/>
          <w:color w:val="auto"/>
          <w:szCs w:val="21"/>
          <w:lang w:eastAsia="zh-CN"/>
        </w:rPr>
        <w:t>和</w:t>
      </w:r>
      <w:r>
        <w:rPr>
          <w:rFonts w:hint="eastAsia" w:ascii="宋体" w:hAnsi="宋体"/>
          <w:color w:val="auto"/>
          <w:szCs w:val="21"/>
        </w:rPr>
        <w:t>图纸</w:t>
      </w:r>
      <w:r>
        <w:rPr>
          <w:rFonts w:hint="eastAsia" w:ascii="宋体" w:hAnsi="宋体"/>
          <w:color w:val="auto"/>
          <w:szCs w:val="21"/>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6793884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71ED85D">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66B80218">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479E8B69">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14D57ADE">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rPr>
        <w:t>“联合体”系指</w:t>
      </w:r>
      <w:r>
        <w:rPr>
          <w:rFonts w:hint="eastAsia" w:ascii="宋体" w:hAnsi="宋体"/>
          <w:color w:val="auto"/>
          <w:szCs w:val="21"/>
          <w:lang w:eastAsia="zh-CN"/>
        </w:rPr>
        <w:t>由</w:t>
      </w:r>
      <w:r>
        <w:rPr>
          <w:rFonts w:hint="eastAsia" w:ascii="宋体" w:hAnsi="宋体"/>
          <w:color w:val="auto"/>
          <w:szCs w:val="21"/>
        </w:rPr>
        <w:t>两个以上的自然人、法人或者</w:t>
      </w:r>
      <w:r>
        <w:rPr>
          <w:rFonts w:hint="eastAsia" w:ascii="宋体" w:hAnsi="宋体"/>
          <w:color w:val="auto"/>
          <w:szCs w:val="21"/>
          <w:lang w:val="en-US" w:eastAsia="zh-CN"/>
        </w:rPr>
        <w:t>非法人</w:t>
      </w:r>
      <w:r>
        <w:rPr>
          <w:rFonts w:hint="eastAsia" w:ascii="宋体" w:hAnsi="宋体"/>
          <w:color w:val="auto"/>
          <w:szCs w:val="21"/>
        </w:rPr>
        <w:t>组织组成，</w:t>
      </w:r>
      <w:r>
        <w:rPr>
          <w:rFonts w:hint="eastAsia" w:ascii="宋体" w:hAnsi="宋体"/>
          <w:color w:val="auto"/>
          <w:szCs w:val="21"/>
          <w:lang w:eastAsia="zh-CN"/>
        </w:rPr>
        <w:t>以一个供应商的身份共同参加政府采购的主体</w:t>
      </w:r>
      <w:r>
        <w:rPr>
          <w:rFonts w:hint="eastAsia" w:ascii="宋体" w:hAnsi="宋体"/>
          <w:color w:val="auto"/>
          <w:szCs w:val="21"/>
          <w:highlight w:val="none"/>
          <w:lang w:eastAsia="zh-CN"/>
        </w:rPr>
        <w:t>。</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52C04D8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4BA50458">
      <w:pPr>
        <w:numPr>
          <w:ilvl w:val="0"/>
          <w:numId w:val="7"/>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79348E04">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05FFD6E2">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0851E2D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rPr>
        <w:t>乙方应当在约定的时间、地点</w:t>
      </w:r>
      <w:r>
        <w:rPr>
          <w:rFonts w:hint="eastAsia" w:ascii="宋体" w:hAnsi="宋体" w:cs="宋体"/>
          <w:color w:val="auto"/>
          <w:szCs w:val="21"/>
          <w:lang w:eastAsia="zh-CN"/>
        </w:rPr>
        <w:t>，按照约定</w:t>
      </w:r>
      <w:r>
        <w:rPr>
          <w:rFonts w:hint="eastAsia" w:ascii="宋体" w:hAnsi="宋体" w:eastAsia="宋体" w:cs="宋体"/>
          <w:color w:val="auto"/>
          <w:szCs w:val="21"/>
        </w:rPr>
        <w:t>方式履行合同。</w:t>
      </w:r>
    </w:p>
    <w:p w14:paraId="10B25E65">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5505B7F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7067B6E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2CCA147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005C1111">
      <w:pPr>
        <w:snapToGrid w:val="0"/>
        <w:spacing w:line="400" w:lineRule="exact"/>
        <w:ind w:firstLine="420" w:firstLineChars="200"/>
        <w:rPr>
          <w:rFonts w:hint="eastAsia" w:eastAsia="华文楷体"/>
          <w:color w:val="auto"/>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2A566F90">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7892110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5C846C9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109007C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0326316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2057BEB5">
      <w:pPr>
        <w:pStyle w:val="16"/>
        <w:spacing w:after="0" w:line="400" w:lineRule="exact"/>
        <w:ind w:firstLine="424"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1181FD49">
      <w:pPr>
        <w:pStyle w:val="16"/>
        <w:spacing w:after="0" w:line="400" w:lineRule="exact"/>
        <w:ind w:firstLine="424"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2CD78590">
      <w:pPr>
        <w:numPr>
          <w:ilvl w:val="0"/>
          <w:numId w:val="8"/>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5D94A2C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0A544B23">
      <w:pPr>
        <w:autoSpaceDE w:val="0"/>
        <w:autoSpaceDN w:val="0"/>
        <w:adjustRightInd w:val="0"/>
        <w:snapToGrid w:val="0"/>
        <w:spacing w:before="0" w:line="400" w:lineRule="exact"/>
        <w:ind w:firstLine="420" w:firstLineChars="200"/>
        <w:jc w:val="left"/>
        <w:rPr>
          <w:color w:val="auto"/>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61507F9D">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380317A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64CFECF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51478E6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127BBA9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3FEF111B">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rPr>
        <w:t>乙方在运输到达之前</w:t>
      </w:r>
      <w:r>
        <w:rPr>
          <w:rFonts w:hint="eastAsia" w:ascii="宋体" w:hAnsi="宋体" w:cs="宋体"/>
          <w:color w:val="auto"/>
          <w:szCs w:val="21"/>
          <w:lang w:eastAsia="zh-CN"/>
        </w:rPr>
        <w:t>应</w:t>
      </w:r>
      <w:r>
        <w:rPr>
          <w:rFonts w:hint="eastAsia" w:ascii="宋体" w:hAnsi="宋体" w:eastAsia="宋体" w:cs="宋体"/>
          <w:color w:val="auto"/>
          <w:szCs w:val="21"/>
        </w:rPr>
        <w:t>提前通知</w:t>
      </w:r>
      <w:r>
        <w:rPr>
          <w:rFonts w:hint="eastAsia" w:ascii="宋体" w:hAnsi="宋体" w:cs="宋体"/>
          <w:color w:val="auto"/>
          <w:szCs w:val="21"/>
          <w:lang w:eastAsia="zh-CN"/>
        </w:rPr>
        <w:t>甲方</w:t>
      </w:r>
      <w:r>
        <w:rPr>
          <w:rFonts w:hint="eastAsia" w:ascii="宋体" w:hAnsi="宋体" w:eastAsia="宋体" w:cs="宋体"/>
          <w:color w:val="auto"/>
          <w:szCs w:val="21"/>
        </w:rPr>
        <w:t>，并提示货物运输装卸的注意事项</w:t>
      </w:r>
      <w:r>
        <w:rPr>
          <w:rFonts w:hint="eastAsia" w:ascii="宋体" w:hAnsi="宋体" w:cs="宋体"/>
          <w:color w:val="auto"/>
          <w:szCs w:val="21"/>
          <w:lang w:eastAsia="zh-CN"/>
        </w:rPr>
        <w:t>，甲方配合乙方做好货物的接收工作。</w:t>
      </w:r>
    </w:p>
    <w:p w14:paraId="030198C2">
      <w:pPr>
        <w:pStyle w:val="50"/>
        <w:rPr>
          <w:rFonts w:hint="default" w:eastAsia="华文楷体"/>
          <w:color w:val="auto"/>
          <w:sz w:val="21"/>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6BC22097">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3FAA7E8D">
      <w:pPr>
        <w:pStyle w:val="22"/>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52D4E19F">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lang w:eastAsia="zh-CN"/>
        </w:rPr>
        <w:t>约</w:t>
      </w:r>
      <w:r>
        <w:rPr>
          <w:rFonts w:hint="eastAsia" w:ascii="宋体" w:hAnsi="宋体" w:eastAsia="宋体" w:cs="宋体"/>
          <w:color w:val="auto"/>
          <w:szCs w:val="21"/>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0FDF308A">
      <w:pPr>
        <w:pStyle w:val="22"/>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22A745F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285A4FB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6307565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0A1DDBA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rPr>
        <w:t>在其使用寿命期内具</w:t>
      </w:r>
      <w:r>
        <w:rPr>
          <w:rFonts w:hint="eastAsia" w:ascii="宋体" w:hAnsi="宋体" w:cs="宋体"/>
          <w:color w:val="auto"/>
          <w:szCs w:val="21"/>
          <w:lang w:eastAsia="zh-CN"/>
        </w:rPr>
        <w:t>备合同约定</w:t>
      </w:r>
      <w:r>
        <w:rPr>
          <w:rFonts w:hint="eastAsia" w:ascii="宋体" w:hAnsi="宋体" w:eastAsia="宋体" w:cs="宋体"/>
          <w:color w:val="auto"/>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3C283CF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9B24A7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7E93510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4232CAE0">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40B89609">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48DDA24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4B003C7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rPr>
        <w:t>乙方保证在交付的货物上不存在抵押权等担保物权。</w:t>
      </w:r>
    </w:p>
    <w:p w14:paraId="1298ABE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13606B16">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456969A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22" w:name="_Hlk163047038"/>
      <w:r>
        <w:rPr>
          <w:rFonts w:hint="eastAsia" w:ascii="宋体" w:hAnsi="宋体" w:eastAsia="宋体" w:cs="宋体"/>
          <w:color w:val="auto"/>
          <w:szCs w:val="15"/>
        </w:rPr>
        <w:t>因违反前述约定对第三人构成侵权的，应当由乙方向第三人承担法律责任；甲方依法向第三人赔偿后，有权向乙方追偿。甲方有其他损失的，乙方应当赔偿</w:t>
      </w:r>
      <w:bookmarkEnd w:id="22"/>
      <w:r>
        <w:rPr>
          <w:rFonts w:hint="eastAsia" w:ascii="宋体" w:hAnsi="宋体"/>
          <w:color w:val="auto"/>
          <w:szCs w:val="21"/>
          <w:highlight w:val="none"/>
        </w:rPr>
        <w:t>。</w:t>
      </w:r>
    </w:p>
    <w:p w14:paraId="785CB10C">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52E7B61B">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rPr>
      </w:pPr>
      <w:r>
        <w:rPr>
          <w:rFonts w:hint="eastAsia" w:ascii="宋体" w:hAnsi="宋体" w:cs="宋体"/>
          <w:color w:val="auto"/>
          <w:szCs w:val="15"/>
          <w:lang w:val="en-US" w:eastAsia="zh-CN"/>
        </w:rPr>
        <w:t xml:space="preserve">11.1 </w:t>
      </w:r>
      <w:r>
        <w:rPr>
          <w:rFonts w:hint="eastAsia" w:ascii="宋体" w:hAnsi="宋体" w:eastAsia="宋体" w:cs="宋体"/>
          <w:color w:val="auto"/>
          <w:szCs w:val="15"/>
        </w:rPr>
        <w:t>甲、乙双方</w:t>
      </w:r>
      <w:r>
        <w:rPr>
          <w:rFonts w:hint="eastAsia" w:ascii="宋体" w:hAnsi="宋体" w:cs="宋体"/>
          <w:color w:val="auto"/>
          <w:szCs w:val="15"/>
          <w:lang w:eastAsia="zh-CN"/>
        </w:rPr>
        <w:t>对</w:t>
      </w:r>
      <w:r>
        <w:rPr>
          <w:rFonts w:hint="eastAsia" w:ascii="宋体" w:hAnsi="宋体" w:eastAsia="宋体" w:cs="宋体"/>
          <w:color w:val="auto"/>
          <w:szCs w:val="15"/>
        </w:rPr>
        <w:t>采购和合同履行过程中所获悉的</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商业秘密或者其他应当保密的信息，均有保密义务</w:t>
      </w:r>
      <w:r>
        <w:rPr>
          <w:rFonts w:hint="eastAsia" w:ascii="宋体" w:hAnsi="宋体" w:cs="宋体"/>
          <w:color w:val="auto"/>
          <w:szCs w:val="15"/>
          <w:lang w:eastAsia="zh-CN"/>
        </w:rPr>
        <w:t>且不受合同有效期所限，直至该信息成为公开信息</w:t>
      </w:r>
      <w:r>
        <w:rPr>
          <w:rFonts w:hint="eastAsia" w:ascii="宋体" w:hAnsi="宋体" w:eastAsia="宋体" w:cs="宋体"/>
          <w:color w:val="auto"/>
          <w:szCs w:val="15"/>
        </w:rPr>
        <w:t>。泄露、不正当地使用</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w:t>
      </w:r>
      <w:r>
        <w:rPr>
          <w:rFonts w:hint="eastAsia" w:ascii="宋体" w:hAnsi="宋体" w:cs="宋体"/>
          <w:color w:val="auto"/>
          <w:szCs w:val="15"/>
          <w:lang w:eastAsia="zh-CN"/>
        </w:rPr>
        <w:t>其他应当保密的</w:t>
      </w:r>
      <w:r>
        <w:rPr>
          <w:rFonts w:hint="eastAsia" w:ascii="宋体" w:hAnsi="宋体" w:eastAsia="宋体" w:cs="宋体"/>
          <w:color w:val="auto"/>
          <w:szCs w:val="15"/>
        </w:rPr>
        <w:t>信息，应当承担</w:t>
      </w:r>
      <w:r>
        <w:rPr>
          <w:rFonts w:hint="eastAsia" w:ascii="宋体" w:hAnsi="宋体" w:cs="宋体"/>
          <w:color w:val="auto"/>
          <w:szCs w:val="15"/>
          <w:lang w:eastAsia="zh-CN"/>
        </w:rPr>
        <w:t>相应</w:t>
      </w:r>
      <w:r>
        <w:rPr>
          <w:rFonts w:hint="eastAsia" w:ascii="宋体" w:hAnsi="宋体" w:eastAsia="宋体" w:cs="宋体"/>
          <w:color w:val="auto"/>
          <w:szCs w:val="15"/>
        </w:rPr>
        <w:t>责任。其他应当保密的信息由双方在</w:t>
      </w:r>
      <w:r>
        <w:rPr>
          <w:rFonts w:hint="eastAsia" w:ascii="宋体" w:hAnsi="宋体" w:eastAsia="宋体" w:cs="宋体"/>
          <w:b/>
          <w:bCs/>
          <w:color w:val="auto"/>
          <w:szCs w:val="15"/>
        </w:rPr>
        <w:t>【政府采购合同专用条款】</w:t>
      </w:r>
      <w:r>
        <w:rPr>
          <w:rFonts w:hint="eastAsia" w:ascii="宋体" w:hAnsi="宋体" w:eastAsia="宋体" w:cs="宋体"/>
          <w:color w:val="auto"/>
          <w:szCs w:val="15"/>
        </w:rPr>
        <w:t>中约定。</w:t>
      </w:r>
    </w:p>
    <w:p w14:paraId="4A38DE4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03706005">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72832413">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73652A77">
      <w:pPr>
        <w:pStyle w:val="16"/>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7E92CFC9">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rPr>
        <w:t>乙方应当以支票、汇票、本票或者金融机构、担保机构出具的保函等非现金形式提交。</w:t>
      </w:r>
    </w:p>
    <w:p w14:paraId="61FC13D1">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w:t>
      </w:r>
      <w:r>
        <w:rPr>
          <w:rFonts w:hint="eastAsia" w:ascii="宋体" w:hAnsi="宋体" w:cs="宋体"/>
          <w:b w:val="0"/>
          <w:bCs w:val="0"/>
          <w:color w:val="auto"/>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06C6E542">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0BE814B6">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543B0C5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073DF00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1EB5F40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5D9EB9E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08467B8D">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lang w:eastAsia="zh-CN"/>
        </w:rPr>
        <w:t>；</w:t>
      </w:r>
    </w:p>
    <w:p w14:paraId="1D55EDCF">
      <w:pPr>
        <w:pStyle w:val="50"/>
        <w:rPr>
          <w:rFonts w:hint="eastAsia" w:ascii="宋体" w:hAnsi="宋体" w:eastAsia="宋体" w:cs="宋体"/>
          <w:color w:val="auto"/>
          <w:sz w:val="21"/>
          <w:szCs w:val="21"/>
        </w:rPr>
      </w:pPr>
      <w:r>
        <w:rPr>
          <w:rFonts w:hint="eastAsia" w:ascii="宋体" w:hAnsi="宋体" w:eastAsia="宋体" w:cs="宋体"/>
          <w:color w:val="auto"/>
          <w:sz w:val="21"/>
          <w:szCs w:val="21"/>
        </w:rPr>
        <w:t>（5）依照法律、行政法规的规定或者按照</w:t>
      </w:r>
      <w:r>
        <w:rPr>
          <w:rFonts w:hint="eastAsia" w:ascii="宋体" w:hAnsi="宋体" w:eastAsia="宋体" w:cs="宋体"/>
          <w:b/>
          <w:bCs/>
          <w:color w:val="auto"/>
          <w:sz w:val="21"/>
          <w:szCs w:val="21"/>
        </w:rPr>
        <w:t>【政府采购合同专用条款】</w:t>
      </w:r>
      <w:r>
        <w:rPr>
          <w:rFonts w:hint="eastAsia" w:ascii="宋体" w:hAnsi="宋体" w:eastAsia="宋体" w:cs="宋体"/>
          <w:color w:val="auto"/>
          <w:sz w:val="21"/>
          <w:szCs w:val="21"/>
        </w:rPr>
        <w:t>约定，货物在有效使用年限届满后应予回收的，乙方负有自行或者委托第三人对货物予以回收的义务；</w:t>
      </w:r>
    </w:p>
    <w:p w14:paraId="14BA5FA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663559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7EB2F9E1">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3A7DDDE0">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12D014B0">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4C566A68">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1B3812B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62185BF7">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4FC87EA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4CD75F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3DE10CD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43421EC5">
      <w:pPr>
        <w:numPr>
          <w:ilvl w:val="0"/>
          <w:numId w:val="9"/>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436322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524CCB9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23C4DB1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4BC2F6F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71D572E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780332B6">
      <w:pPr>
        <w:pStyle w:val="50"/>
        <w:jc w:val="both"/>
        <w:rPr>
          <w:color w:val="auto"/>
          <w:sz w:val="21"/>
        </w:rPr>
      </w:pPr>
      <w:r>
        <w:rPr>
          <w:rFonts w:hint="eastAsia" w:ascii="宋体" w:hAnsi="宋体" w:eastAsia="宋体" w:cs="宋体"/>
          <w:color w:val="auto"/>
          <w:sz w:val="21"/>
        </w:rPr>
        <w:t>（3）乙方分立、合并或者变更住所的，应当及时以书面形式告知甲方。乙方没有</w:t>
      </w:r>
      <w:r>
        <w:rPr>
          <w:rFonts w:hint="eastAsia" w:ascii="宋体" w:hAnsi="宋体" w:eastAsia="宋体" w:cs="宋体"/>
          <w:color w:val="auto"/>
          <w:sz w:val="21"/>
          <w:lang w:eastAsia="zh-CN"/>
        </w:rPr>
        <w:t>及时告知</w:t>
      </w:r>
      <w:r>
        <w:rPr>
          <w:rFonts w:hint="eastAsia" w:ascii="宋体" w:hAnsi="宋体" w:eastAsia="宋体" w:cs="宋体"/>
          <w:color w:val="auto"/>
          <w:sz w:val="21"/>
        </w:rPr>
        <w:t>甲方，致使</w:t>
      </w:r>
      <w:r>
        <w:rPr>
          <w:rFonts w:hint="eastAsia" w:ascii="宋体" w:hAnsi="宋体" w:eastAsia="宋体" w:cs="宋体"/>
          <w:color w:val="auto"/>
          <w:sz w:val="21"/>
          <w:lang w:eastAsia="zh-CN"/>
        </w:rPr>
        <w:t>合同</w:t>
      </w:r>
      <w:r>
        <w:rPr>
          <w:rFonts w:hint="eastAsia" w:ascii="宋体" w:hAnsi="宋体" w:eastAsia="宋体" w:cs="宋体"/>
          <w:color w:val="auto"/>
          <w:sz w:val="21"/>
        </w:rPr>
        <w:t>履行发生困难的，甲方可以中止合同履行并要求乙方承担由此给甲方造成的损失。</w:t>
      </w:r>
    </w:p>
    <w:p w14:paraId="6FA95E47">
      <w:pPr>
        <w:snapToGrid w:val="0"/>
        <w:spacing w:line="400" w:lineRule="exact"/>
        <w:ind w:firstLine="420" w:firstLineChars="200"/>
        <w:jc w:val="left"/>
        <w:rPr>
          <w:color w:val="auto"/>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4AF6E440">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002F792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5EA43316">
      <w:pPr>
        <w:snapToGrid w:val="0"/>
        <w:spacing w:line="400" w:lineRule="exact"/>
        <w:ind w:firstLine="420" w:firstLineChars="200"/>
        <w:rPr>
          <w:rFonts w:hint="eastAsia" w:ascii="宋体" w:hAnsi="宋体" w:eastAsia="宋体" w:cs="宋体"/>
          <w:color w:val="auto"/>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rPr>
        <w:t>并追究乙方的违约责</w:t>
      </w:r>
      <w:r>
        <w:rPr>
          <w:rFonts w:hint="eastAsia" w:ascii="宋体" w:hAnsi="宋体" w:cs="宋体"/>
          <w:color w:val="auto"/>
          <w:szCs w:val="21"/>
          <w:lang w:val="en-US" w:eastAsia="zh-CN"/>
        </w:rPr>
        <w:t>任</w:t>
      </w:r>
      <w:r>
        <w:rPr>
          <w:rFonts w:hint="eastAsia" w:ascii="宋体" w:hAnsi="宋体"/>
          <w:color w:val="auto"/>
          <w:szCs w:val="21"/>
          <w:highlight w:val="none"/>
        </w:rPr>
        <w:t>。</w:t>
      </w:r>
    </w:p>
    <w:p w14:paraId="020A3AD5">
      <w:pPr>
        <w:pStyle w:val="5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2074DFD7">
      <w:pPr>
        <w:pStyle w:val="50"/>
        <w:jc w:val="both"/>
        <w:rPr>
          <w:color w:val="auto"/>
          <w:sz w:val="21"/>
        </w:rPr>
      </w:pPr>
      <w:r>
        <w:rPr>
          <w:rFonts w:hint="eastAsia" w:ascii="宋体" w:hAnsi="宋体" w:eastAsia="宋体" w:cs="宋体"/>
          <w:color w:val="auto"/>
          <w:sz w:val="21"/>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rPr>
        <w:t>中止</w:t>
      </w:r>
      <w:r>
        <w:rPr>
          <w:rFonts w:hint="eastAsia" w:ascii="宋体" w:hAnsi="宋体" w:eastAsia="宋体" w:cs="宋体"/>
          <w:color w:val="auto"/>
          <w:sz w:val="21"/>
          <w:lang w:eastAsia="zh-CN"/>
        </w:rPr>
        <w:t>或者终止</w:t>
      </w:r>
      <w:r>
        <w:rPr>
          <w:rFonts w:hint="eastAsia" w:ascii="宋体" w:hAnsi="宋体" w:eastAsia="宋体" w:cs="宋体"/>
          <w:color w:val="auto"/>
          <w:sz w:val="21"/>
        </w:rPr>
        <w:t>合同。有过错的一方应当承担赔偿责任，双方都有过错的，各自承担相应的责任。</w:t>
      </w:r>
    </w:p>
    <w:p w14:paraId="59BD679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2876460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2E642FA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37056BD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56D2AD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4ABE353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419329C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548A2728">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02C14C74">
      <w:pPr>
        <w:pStyle w:val="50"/>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.1 因本合同及合同有关事项发生的争议，由</w:t>
      </w:r>
      <w:r>
        <w:rPr>
          <w:rFonts w:hint="eastAsia" w:ascii="宋体" w:hAnsi="宋体" w:eastAsia="宋体" w:cs="宋体"/>
          <w:color w:val="auto"/>
          <w:sz w:val="21"/>
          <w:lang w:eastAsia="zh-CN"/>
        </w:rPr>
        <w:t>甲乙双</w:t>
      </w:r>
      <w:r>
        <w:rPr>
          <w:rFonts w:hint="eastAsia" w:ascii="宋体" w:hAnsi="宋体" w:eastAsia="宋体" w:cs="宋体"/>
          <w:color w:val="auto"/>
          <w:sz w:val="21"/>
        </w:rPr>
        <w:t>方友好协商解决。协商不成时，可以</w:t>
      </w:r>
      <w:r>
        <w:rPr>
          <w:rFonts w:hint="eastAsia" w:ascii="宋体" w:hAnsi="宋体" w:eastAsia="宋体" w:cs="宋体"/>
          <w:color w:val="auto"/>
          <w:sz w:val="21"/>
          <w:lang w:eastAsia="zh-CN"/>
        </w:rPr>
        <w:t>向有关组织申请</w:t>
      </w:r>
      <w:r>
        <w:rPr>
          <w:rFonts w:hint="eastAsia" w:ascii="宋体" w:hAnsi="宋体" w:eastAsia="宋体" w:cs="宋体"/>
          <w:color w:val="auto"/>
          <w:sz w:val="21"/>
        </w:rPr>
        <w:t>调解。合同一方或</w:t>
      </w:r>
      <w:r>
        <w:rPr>
          <w:rFonts w:hint="eastAsia" w:ascii="宋体" w:hAnsi="宋体" w:eastAsia="宋体" w:cs="宋体"/>
          <w:color w:val="auto"/>
          <w:sz w:val="21"/>
          <w:lang w:eastAsia="zh-CN"/>
        </w:rPr>
        <w:t>双</w:t>
      </w:r>
      <w:r>
        <w:rPr>
          <w:rFonts w:hint="eastAsia" w:ascii="宋体" w:hAnsi="宋体" w:eastAsia="宋体" w:cs="宋体"/>
          <w:color w:val="auto"/>
          <w:sz w:val="21"/>
        </w:rPr>
        <w:t>方不愿调解或调解不成的，可以通过仲裁或诉讼的方式解决争议。</w:t>
      </w:r>
    </w:p>
    <w:p w14:paraId="577AF070">
      <w:pPr>
        <w:pStyle w:val="50"/>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中进一步约定选择与争议有实际联系的地点的人民法院管辖，但管辖法院的约定不得违反级别管辖和专属管辖的规定。</w:t>
      </w:r>
    </w:p>
    <w:p w14:paraId="404FC4E1">
      <w:pPr>
        <w:pStyle w:val="50"/>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.3 如</w:t>
      </w:r>
      <w:r>
        <w:rPr>
          <w:rFonts w:hint="eastAsia" w:ascii="宋体" w:hAnsi="宋体" w:eastAsia="宋体" w:cs="宋体"/>
          <w:color w:val="auto"/>
          <w:sz w:val="21"/>
          <w:lang w:eastAsia="zh-CN"/>
        </w:rPr>
        <w:t>甲乙双方</w:t>
      </w:r>
      <w:r>
        <w:rPr>
          <w:rFonts w:hint="eastAsia" w:ascii="宋体" w:hAnsi="宋体" w:eastAsia="宋体" w:cs="宋体"/>
          <w:color w:val="auto"/>
          <w:sz w:val="21"/>
        </w:rPr>
        <w:t>有争议的事项不影响合同其他部分的履行，在争议解决期间，合同其他部分应</w:t>
      </w:r>
      <w:r>
        <w:rPr>
          <w:rFonts w:hint="eastAsia" w:ascii="宋体" w:hAnsi="宋体" w:eastAsia="宋体" w:cs="宋体"/>
          <w:color w:val="auto"/>
          <w:sz w:val="21"/>
          <w:lang w:eastAsia="zh-CN"/>
        </w:rPr>
        <w:t>当</w:t>
      </w:r>
      <w:r>
        <w:rPr>
          <w:rFonts w:hint="eastAsia" w:ascii="宋体" w:hAnsi="宋体" w:eastAsia="宋体" w:cs="宋体"/>
          <w:color w:val="auto"/>
          <w:sz w:val="21"/>
        </w:rPr>
        <w:t>继续履行。</w:t>
      </w:r>
    </w:p>
    <w:p w14:paraId="2E3F21E8">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3C926E09">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lang w:val="en-GB"/>
        </w:rPr>
        <w:t>本合同应当按照规定执行政府采购政策。</w:t>
      </w:r>
    </w:p>
    <w:p w14:paraId="0AB2CA9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lang w:eastAsia="zh-CN"/>
        </w:rPr>
        <w:t>甲乙双方</w:t>
      </w:r>
      <w:r>
        <w:rPr>
          <w:rFonts w:hint="eastAsia" w:ascii="宋体" w:hAnsi="宋体" w:eastAsia="宋体" w:cs="宋体"/>
          <w:color w:val="auto"/>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12617EC4">
      <w:pPr>
        <w:autoSpaceDE w:val="0"/>
        <w:autoSpaceDN w:val="0"/>
        <w:adjustRightInd w:val="0"/>
        <w:snapToGrid w:val="0"/>
        <w:spacing w:before="0" w:line="400" w:lineRule="exact"/>
        <w:ind w:firstLine="420" w:firstLineChars="200"/>
        <w:jc w:val="left"/>
        <w:rPr>
          <w:rFonts w:hint="eastAsia" w:ascii="宋体" w:hAnsi="宋体" w:eastAsia="宋体" w:cs="宋体"/>
          <w:color w:val="auto"/>
          <w:lang w:val="en-GB"/>
        </w:rPr>
      </w:pPr>
      <w:r>
        <w:rPr>
          <w:rFonts w:hint="eastAsia" w:ascii="宋体" w:hAnsi="宋体" w:eastAsia="宋体" w:cs="宋体"/>
          <w:color w:val="auto"/>
          <w:lang w:val="en-GB"/>
        </w:rPr>
        <w:t>2</w:t>
      </w:r>
      <w:r>
        <w:rPr>
          <w:rFonts w:hint="eastAsia" w:ascii="宋体" w:hAnsi="宋体" w:eastAsia="宋体" w:cs="宋体"/>
          <w:color w:val="auto"/>
          <w:lang w:val="en-US" w:eastAsia="zh-CN"/>
        </w:rPr>
        <w:t>0</w:t>
      </w:r>
      <w:r>
        <w:rPr>
          <w:rFonts w:hint="eastAsia" w:ascii="宋体" w:hAnsi="宋体" w:eastAsia="宋体" w:cs="宋体"/>
          <w:color w:val="auto"/>
          <w:lang w:val="en-GB"/>
        </w:rPr>
        <w:t>.</w:t>
      </w:r>
      <w:r>
        <w:rPr>
          <w:rFonts w:hint="eastAsia" w:ascii="宋体" w:hAnsi="宋体" w:eastAsia="宋体" w:cs="宋体"/>
          <w:color w:val="auto"/>
          <w:lang w:val="en-US" w:eastAsia="zh-CN"/>
        </w:rPr>
        <w:t>3</w:t>
      </w:r>
      <w:r>
        <w:rPr>
          <w:rFonts w:hint="eastAsia" w:ascii="宋体" w:hAnsi="宋体" w:eastAsia="宋体" w:cs="宋体"/>
          <w:color w:val="auto"/>
          <w:lang w:val="en-GB"/>
        </w:rPr>
        <w:t xml:space="preserve"> 对于</w:t>
      </w:r>
      <w:r>
        <w:rPr>
          <w:rFonts w:hint="eastAsia" w:ascii="宋体" w:hAnsi="宋体" w:eastAsia="宋体" w:cs="宋体"/>
          <w:color w:val="auto"/>
          <w:lang w:val="en-GB" w:eastAsia="zh-CN"/>
        </w:rPr>
        <w:t>为落实中小企业支持政策，</w:t>
      </w:r>
      <w:r>
        <w:rPr>
          <w:rFonts w:hint="eastAsia" w:ascii="宋体" w:hAnsi="宋体" w:eastAsia="宋体" w:cs="宋体"/>
          <w:color w:val="auto"/>
          <w:lang w:val="en-GB"/>
        </w:rPr>
        <w:t>通过采购项目</w:t>
      </w:r>
      <w:r>
        <w:rPr>
          <w:rFonts w:hint="eastAsia" w:ascii="宋体" w:hAnsi="宋体" w:eastAsia="宋体" w:cs="宋体"/>
          <w:color w:val="auto"/>
          <w:lang w:val="en-GB" w:eastAsia="zh-CN"/>
        </w:rPr>
        <w:t>整体</w:t>
      </w:r>
      <w:r>
        <w:rPr>
          <w:rFonts w:hint="eastAsia" w:ascii="宋体" w:hAnsi="宋体" w:eastAsia="宋体" w:cs="宋体"/>
          <w:color w:val="auto"/>
          <w:lang w:val="en-GB"/>
        </w:rPr>
        <w:t>预留、</w:t>
      </w:r>
      <w:r>
        <w:rPr>
          <w:rFonts w:hint="eastAsia" w:ascii="宋体" w:hAnsi="宋体" w:eastAsia="宋体" w:cs="宋体"/>
          <w:color w:val="auto"/>
          <w:lang w:val="en-GB" w:eastAsia="zh-CN"/>
        </w:rPr>
        <w:t>设置</w:t>
      </w:r>
      <w:r>
        <w:rPr>
          <w:rFonts w:hint="eastAsia" w:ascii="宋体" w:hAnsi="宋体" w:eastAsia="宋体" w:cs="宋体"/>
          <w:color w:val="auto"/>
          <w:lang w:val="en-GB"/>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D9FB564">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58B1B10C">
      <w:pPr>
        <w:pStyle w:val="50"/>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.1 本合同的订立、生效、解释、履行及与本合同有关的争议解决，均适用法律、行政法规。</w:t>
      </w:r>
    </w:p>
    <w:p w14:paraId="39E1E342">
      <w:pPr>
        <w:pStyle w:val="50"/>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.2 本合同条款与法律、行政法规的强制性规定不一致的，双方当事人应按照法律、行政法规的强制性规定修改本合同的相关条款。</w:t>
      </w:r>
    </w:p>
    <w:p w14:paraId="09DFF038">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6916D66F">
      <w:pPr>
        <w:pStyle w:val="50"/>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.1</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本合同任何一方向对方发出的通知、信件、数据电文等，应当发送至本合同第一部分《政府采购合同协议书》所约定的通讯地址、联系人、联系电话或电子邮箱。</w:t>
      </w:r>
    </w:p>
    <w:p w14:paraId="60663261">
      <w:pPr>
        <w:pStyle w:val="50"/>
        <w:ind w:firstLine="0" w:firstLineChars="0"/>
        <w:jc w:val="both"/>
        <w:rPr>
          <w:color w:val="auto"/>
          <w:sz w:val="21"/>
        </w:rPr>
      </w:pP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.2</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一方当事人变更名称、</w:t>
      </w:r>
      <w:r>
        <w:rPr>
          <w:rFonts w:hint="eastAsia" w:ascii="宋体" w:hAnsi="宋体" w:eastAsia="宋体" w:cs="宋体"/>
          <w:color w:val="auto"/>
          <w:sz w:val="21"/>
          <w:lang w:eastAsia="zh-CN"/>
        </w:rPr>
        <w:t>住所</w:t>
      </w:r>
      <w:r>
        <w:rPr>
          <w:rFonts w:hint="eastAsia" w:ascii="宋体" w:hAnsi="宋体" w:eastAsia="宋体" w:cs="宋体"/>
          <w:color w:val="auto"/>
          <w:sz w:val="21"/>
        </w:rPr>
        <w:t>、联系人、联系电话或电子邮箱</w:t>
      </w:r>
      <w:r>
        <w:rPr>
          <w:rFonts w:hint="eastAsia" w:ascii="宋体" w:hAnsi="宋体" w:eastAsia="宋体" w:cs="宋体"/>
          <w:color w:val="auto"/>
          <w:sz w:val="21"/>
          <w:lang w:eastAsia="zh-CN"/>
        </w:rPr>
        <w:t>等信息</w:t>
      </w:r>
      <w:r>
        <w:rPr>
          <w:rFonts w:hint="eastAsia" w:ascii="宋体" w:hAnsi="宋体" w:eastAsia="宋体" w:cs="宋体"/>
          <w:color w:val="auto"/>
          <w:sz w:val="21"/>
        </w:rPr>
        <w:t>的，应当在变更后3日内及时书面通知对方，对方实际收到变更通知前的送达仍为有效送达。</w:t>
      </w:r>
    </w:p>
    <w:p w14:paraId="51005749">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39174779">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0745D00">
      <w:pPr>
        <w:numPr>
          <w:ilvl w:val="0"/>
          <w:numId w:val="10"/>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8EA3365">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71D4C581">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23" w:name="_Toc20313"/>
    </w:p>
    <w:p w14:paraId="03D00451">
      <w:pPr>
        <w:adjustRightInd w:val="0"/>
        <w:snapToGrid w:val="0"/>
        <w:jc w:val="center"/>
        <w:rPr>
          <w:rFonts w:hint="eastAsia" w:ascii="黑体" w:hAnsi="华文中宋" w:eastAsia="黑体"/>
          <w:b w:val="0"/>
          <w:bCs w:val="0"/>
          <w:color w:val="auto"/>
          <w:sz w:val="28"/>
          <w:szCs w:val="28"/>
        </w:rPr>
      </w:pPr>
      <w:r>
        <w:rPr>
          <w:rFonts w:hint="eastAsia" w:ascii="黑体" w:hAnsi="华文中宋" w:eastAsia="黑体"/>
          <w:b w:val="0"/>
          <w:bCs w:val="0"/>
          <w:color w:val="auto"/>
          <w:sz w:val="28"/>
          <w:szCs w:val="28"/>
        </w:rPr>
        <w:br w:type="page"/>
      </w:r>
    </w:p>
    <w:p w14:paraId="29E34B84">
      <w:pPr>
        <w:pStyle w:val="3"/>
        <w:adjustRightInd w:val="0"/>
        <w:snapToGrid w:val="0"/>
        <w:jc w:val="center"/>
        <w:rPr>
          <w:rFonts w:ascii="黑体" w:hAnsi="华文中宋" w:eastAsia="黑体"/>
          <w:b w:val="0"/>
          <w:bCs w:val="0"/>
          <w:color w:val="auto"/>
          <w:sz w:val="28"/>
          <w:szCs w:val="28"/>
        </w:rPr>
      </w:pPr>
      <w:r>
        <w:rPr>
          <w:rFonts w:hint="eastAsia" w:ascii="黑体" w:hAnsi="华文中宋" w:eastAsia="黑体"/>
          <w:b w:val="0"/>
          <w:bCs w:val="0"/>
          <w:color w:val="auto"/>
          <w:sz w:val="28"/>
          <w:szCs w:val="28"/>
        </w:rPr>
        <w:t>第三节 政府采购合同专用条款</w:t>
      </w:r>
      <w:bookmarkEnd w:id="23"/>
    </w:p>
    <w:tbl>
      <w:tblPr>
        <w:tblStyle w:val="4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A4F6D1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603099D">
            <w:pPr>
              <w:adjustRightInd w:val="0"/>
              <w:snapToGrid w:val="0"/>
              <w:jc w:val="center"/>
              <w:rPr>
                <w:rFonts w:ascii="宋体" w:hAnsi="宋体"/>
                <w:color w:val="auto"/>
                <w:szCs w:val="21"/>
              </w:rPr>
            </w:pPr>
            <w:r>
              <w:rPr>
                <w:rFonts w:hint="eastAsia" w:ascii="宋体" w:hAnsi="宋体"/>
                <w:color w:val="auto"/>
                <w:szCs w:val="21"/>
              </w:rPr>
              <w:t>第二节</w:t>
            </w:r>
          </w:p>
          <w:p w14:paraId="2C88E438">
            <w:pPr>
              <w:adjustRightInd w:val="0"/>
              <w:snapToGrid w:val="0"/>
              <w:jc w:val="center"/>
              <w:rPr>
                <w:rFonts w:ascii="宋体" w:hAnsi="宋体"/>
                <w:color w:val="auto"/>
                <w:szCs w:val="21"/>
              </w:rPr>
            </w:pPr>
            <w:r>
              <w:rPr>
                <w:rFonts w:hint="eastAsia" w:ascii="宋体" w:hAnsi="宋体"/>
                <w:color w:val="auto"/>
                <w:szCs w:val="21"/>
              </w:rPr>
              <w:t>第1.2（</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3B1DF403">
            <w:pPr>
              <w:adjustRightInd w:val="0"/>
              <w:snapToGrid w:val="0"/>
              <w:jc w:val="left"/>
              <w:rPr>
                <w:rFonts w:ascii="宋体" w:hAnsi="宋体"/>
                <w:color w:val="auto"/>
                <w:szCs w:val="21"/>
              </w:rPr>
            </w:pPr>
            <w:r>
              <w:rPr>
                <w:rFonts w:hint="eastAsia" w:ascii="宋体" w:hAnsi="宋体"/>
                <w:color w:val="auto"/>
                <w:szCs w:val="21"/>
                <w:lang w:eastAsia="zh-CN"/>
              </w:rPr>
              <w:t>联合体具体要求</w:t>
            </w:r>
          </w:p>
        </w:tc>
        <w:tc>
          <w:tcPr>
            <w:tcW w:w="5170" w:type="dxa"/>
            <w:vAlign w:val="center"/>
          </w:tcPr>
          <w:p w14:paraId="2209475B">
            <w:pPr>
              <w:adjustRightInd w:val="0"/>
              <w:snapToGrid w:val="0"/>
              <w:jc w:val="left"/>
              <w:rPr>
                <w:rFonts w:ascii="宋体" w:hAnsi="宋体"/>
                <w:color w:val="auto"/>
                <w:szCs w:val="21"/>
              </w:rPr>
            </w:pPr>
          </w:p>
        </w:tc>
      </w:tr>
      <w:tr w14:paraId="5A252D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76431480">
            <w:pPr>
              <w:adjustRightInd w:val="0"/>
              <w:snapToGrid w:val="0"/>
              <w:jc w:val="center"/>
              <w:rPr>
                <w:rFonts w:ascii="宋体" w:hAnsi="宋体"/>
                <w:color w:val="auto"/>
                <w:szCs w:val="21"/>
              </w:rPr>
            </w:pPr>
            <w:r>
              <w:rPr>
                <w:rFonts w:hint="eastAsia" w:ascii="宋体" w:hAnsi="宋体"/>
                <w:color w:val="auto"/>
                <w:szCs w:val="21"/>
              </w:rPr>
              <w:t>第二节</w:t>
            </w:r>
          </w:p>
          <w:p w14:paraId="776B4C6D">
            <w:pPr>
              <w:adjustRightInd w:val="0"/>
              <w:snapToGrid w:val="0"/>
              <w:jc w:val="center"/>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第1.2（</w:t>
            </w:r>
            <w:r>
              <w:rPr>
                <w:rFonts w:hint="eastAsia" w:ascii="宋体" w:hAnsi="宋体"/>
                <w:color w:val="auto"/>
                <w:szCs w:val="21"/>
                <w:lang w:val="en-US" w:eastAsia="zh-CN"/>
              </w:rPr>
              <w:t>7</w:t>
            </w:r>
            <w:r>
              <w:rPr>
                <w:rFonts w:hint="eastAsia" w:ascii="宋体" w:hAnsi="宋体"/>
                <w:color w:val="auto"/>
                <w:szCs w:val="21"/>
              </w:rPr>
              <w:t>）项</w:t>
            </w:r>
          </w:p>
        </w:tc>
        <w:tc>
          <w:tcPr>
            <w:tcW w:w="1742" w:type="dxa"/>
            <w:vAlign w:val="center"/>
          </w:tcPr>
          <w:p w14:paraId="2E9F6BD6">
            <w:pPr>
              <w:adjustRightInd w:val="0"/>
              <w:snapToGrid w:val="0"/>
              <w:jc w:val="left"/>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其他术语解释</w:t>
            </w:r>
          </w:p>
        </w:tc>
        <w:tc>
          <w:tcPr>
            <w:tcW w:w="5170" w:type="dxa"/>
            <w:vAlign w:val="center"/>
          </w:tcPr>
          <w:p w14:paraId="1E4175C2">
            <w:pPr>
              <w:adjustRightInd w:val="0"/>
              <w:snapToGrid w:val="0"/>
              <w:jc w:val="left"/>
              <w:rPr>
                <w:rFonts w:ascii="宋体" w:hAnsi="宋体" w:eastAsia="宋体" w:cs="Times New Roman"/>
                <w:color w:val="auto"/>
                <w:kern w:val="2"/>
                <w:sz w:val="21"/>
                <w:szCs w:val="21"/>
                <w:lang w:val="en-US" w:eastAsia="zh-CN" w:bidi="ar-SA"/>
              </w:rPr>
            </w:pPr>
          </w:p>
        </w:tc>
      </w:tr>
      <w:tr w14:paraId="304E05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0D3DFDA">
            <w:pPr>
              <w:adjustRightInd w:val="0"/>
              <w:snapToGrid w:val="0"/>
              <w:jc w:val="center"/>
              <w:rPr>
                <w:rFonts w:ascii="宋体" w:hAnsi="宋体"/>
                <w:color w:val="auto"/>
                <w:szCs w:val="21"/>
              </w:rPr>
            </w:pPr>
            <w:r>
              <w:rPr>
                <w:rFonts w:hint="eastAsia" w:ascii="宋体" w:hAnsi="宋体"/>
                <w:color w:val="auto"/>
                <w:szCs w:val="21"/>
              </w:rPr>
              <w:t>第二节</w:t>
            </w:r>
          </w:p>
          <w:p w14:paraId="51621DB1">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4.4款</w:t>
            </w:r>
          </w:p>
        </w:tc>
        <w:tc>
          <w:tcPr>
            <w:tcW w:w="1742" w:type="dxa"/>
            <w:vAlign w:val="center"/>
          </w:tcPr>
          <w:p w14:paraId="302FA46B">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履约验收中甲方提出异议或作出说明的期限</w:t>
            </w:r>
          </w:p>
        </w:tc>
        <w:tc>
          <w:tcPr>
            <w:tcW w:w="5170" w:type="dxa"/>
            <w:vAlign w:val="center"/>
          </w:tcPr>
          <w:p w14:paraId="2C491797">
            <w:pPr>
              <w:adjustRightInd w:val="0"/>
              <w:snapToGrid w:val="0"/>
              <w:jc w:val="left"/>
              <w:rPr>
                <w:rFonts w:ascii="宋体" w:hAnsi="宋体" w:eastAsia="宋体" w:cs="Times New Roman"/>
                <w:color w:val="auto"/>
                <w:kern w:val="2"/>
                <w:sz w:val="21"/>
                <w:szCs w:val="21"/>
                <w:lang w:val="en-US" w:eastAsia="zh-CN" w:bidi="ar-SA"/>
              </w:rPr>
            </w:pPr>
          </w:p>
        </w:tc>
      </w:tr>
      <w:tr w14:paraId="0C44D5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781A7E5">
            <w:pPr>
              <w:adjustRightInd w:val="0"/>
              <w:snapToGrid w:val="0"/>
              <w:jc w:val="center"/>
              <w:rPr>
                <w:rFonts w:ascii="宋体" w:hAnsi="宋体"/>
                <w:color w:val="auto"/>
                <w:szCs w:val="21"/>
              </w:rPr>
            </w:pPr>
            <w:r>
              <w:rPr>
                <w:rFonts w:hint="eastAsia" w:ascii="宋体" w:hAnsi="宋体"/>
                <w:color w:val="auto"/>
                <w:szCs w:val="21"/>
              </w:rPr>
              <w:t>第二节</w:t>
            </w:r>
          </w:p>
          <w:p w14:paraId="0A84B9A5">
            <w:pPr>
              <w:adjustRightInd w:val="0"/>
              <w:snapToGrid w:val="0"/>
              <w:jc w:val="center"/>
              <w:rPr>
                <w:rFonts w:hint="eastAsia" w:ascii="宋体" w:hAnsi="宋体"/>
                <w:color w:val="auto"/>
                <w:szCs w:val="21"/>
              </w:rPr>
            </w:pPr>
            <w:r>
              <w:rPr>
                <w:rFonts w:hint="eastAsia" w:ascii="宋体" w:hAnsi="宋体"/>
                <w:color w:val="auto"/>
                <w:szCs w:val="21"/>
                <w:lang w:eastAsia="zh-CN"/>
              </w:rPr>
              <w:t>第</w:t>
            </w:r>
            <w:r>
              <w:rPr>
                <w:rFonts w:hint="eastAsia" w:ascii="宋体" w:hAnsi="宋体"/>
                <w:color w:val="auto"/>
                <w:szCs w:val="21"/>
                <w:lang w:val="en-US" w:eastAsia="zh-CN"/>
              </w:rPr>
              <w:t>4.6款</w:t>
            </w:r>
          </w:p>
        </w:tc>
        <w:tc>
          <w:tcPr>
            <w:tcW w:w="1742" w:type="dxa"/>
            <w:vAlign w:val="center"/>
          </w:tcPr>
          <w:p w14:paraId="7F14137B">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约定甲方承担的其他义务和责任</w:t>
            </w:r>
          </w:p>
        </w:tc>
        <w:tc>
          <w:tcPr>
            <w:tcW w:w="5170" w:type="dxa"/>
            <w:vAlign w:val="center"/>
          </w:tcPr>
          <w:p w14:paraId="03323744">
            <w:pPr>
              <w:adjustRightInd w:val="0"/>
              <w:snapToGrid w:val="0"/>
              <w:jc w:val="left"/>
              <w:rPr>
                <w:rFonts w:ascii="宋体" w:hAnsi="宋体" w:eastAsia="宋体" w:cs="Times New Roman"/>
                <w:color w:val="auto"/>
                <w:kern w:val="2"/>
                <w:sz w:val="21"/>
                <w:szCs w:val="21"/>
                <w:lang w:val="en-US" w:eastAsia="zh-CN" w:bidi="ar-SA"/>
              </w:rPr>
            </w:pPr>
          </w:p>
        </w:tc>
      </w:tr>
      <w:tr w14:paraId="415610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E99AECA">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741A7FDA">
            <w:pPr>
              <w:snapToGrid w:val="0"/>
              <w:jc w:val="center"/>
              <w:rPr>
                <w:rFonts w:hint="default"/>
                <w:color w:val="auto"/>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5.4款</w:t>
            </w:r>
          </w:p>
        </w:tc>
        <w:tc>
          <w:tcPr>
            <w:tcW w:w="1742" w:type="dxa"/>
            <w:vAlign w:val="center"/>
          </w:tcPr>
          <w:p w14:paraId="6174D05E">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约定乙方承担的其他义务和责任</w:t>
            </w:r>
          </w:p>
        </w:tc>
        <w:tc>
          <w:tcPr>
            <w:tcW w:w="5170" w:type="dxa"/>
            <w:vAlign w:val="center"/>
          </w:tcPr>
          <w:p w14:paraId="52BD13F1">
            <w:pPr>
              <w:adjustRightInd w:val="0"/>
              <w:snapToGrid w:val="0"/>
              <w:jc w:val="left"/>
              <w:rPr>
                <w:rFonts w:ascii="宋体" w:hAnsi="宋体" w:eastAsia="宋体" w:cs="Times New Roman"/>
                <w:color w:val="auto"/>
                <w:kern w:val="2"/>
                <w:sz w:val="21"/>
                <w:szCs w:val="21"/>
                <w:lang w:val="en-US" w:eastAsia="zh-CN" w:bidi="ar-SA"/>
              </w:rPr>
            </w:pPr>
          </w:p>
        </w:tc>
      </w:tr>
      <w:tr w14:paraId="23017F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E24D967">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6AB70A7C">
            <w:pPr>
              <w:snapToGrid w:val="0"/>
              <w:jc w:val="center"/>
              <w:rPr>
                <w:rFonts w:hint="eastAsia" w:ascii="宋体" w:hAnsi="宋体"/>
                <w:color w:val="auto"/>
                <w:szCs w:val="21"/>
                <w:lang w:eastAsia="zh-CN"/>
              </w:rPr>
            </w:pPr>
            <w:r>
              <w:rPr>
                <w:rFonts w:hint="eastAsia" w:ascii="宋体" w:hAnsi="宋体"/>
                <w:color w:val="auto"/>
                <w:szCs w:val="21"/>
                <w:lang w:eastAsia="zh-CN"/>
              </w:rPr>
              <w:t>第</w:t>
            </w:r>
            <w:r>
              <w:rPr>
                <w:rFonts w:hint="eastAsia" w:ascii="宋体" w:hAnsi="宋体"/>
                <w:color w:val="auto"/>
                <w:szCs w:val="21"/>
                <w:lang w:val="en-US" w:eastAsia="zh-CN"/>
              </w:rPr>
              <w:t>6.1款</w:t>
            </w:r>
          </w:p>
        </w:tc>
        <w:tc>
          <w:tcPr>
            <w:tcW w:w="1742" w:type="dxa"/>
            <w:vAlign w:val="center"/>
          </w:tcPr>
          <w:p w14:paraId="1CE95773">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履行合同义务的顺序</w:t>
            </w:r>
          </w:p>
        </w:tc>
        <w:tc>
          <w:tcPr>
            <w:tcW w:w="5170" w:type="dxa"/>
            <w:vAlign w:val="center"/>
          </w:tcPr>
          <w:p w14:paraId="23E002C5">
            <w:pPr>
              <w:adjustRightInd w:val="0"/>
              <w:snapToGrid w:val="0"/>
              <w:jc w:val="left"/>
              <w:rPr>
                <w:rFonts w:ascii="宋体" w:hAnsi="宋体" w:eastAsia="宋体" w:cs="Times New Roman"/>
                <w:color w:val="auto"/>
                <w:kern w:val="2"/>
                <w:sz w:val="21"/>
                <w:szCs w:val="21"/>
                <w:lang w:val="en-US" w:eastAsia="zh-CN" w:bidi="ar-SA"/>
              </w:rPr>
            </w:pPr>
          </w:p>
        </w:tc>
      </w:tr>
      <w:tr w14:paraId="24855B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67FDA04C">
            <w:pPr>
              <w:adjustRightInd w:val="0"/>
              <w:snapToGrid w:val="0"/>
              <w:jc w:val="center"/>
              <w:rPr>
                <w:rFonts w:ascii="宋体" w:hAnsi="宋体"/>
                <w:color w:val="auto"/>
                <w:szCs w:val="21"/>
              </w:rPr>
            </w:pPr>
            <w:r>
              <w:rPr>
                <w:rFonts w:hint="eastAsia" w:ascii="宋体" w:hAnsi="宋体"/>
                <w:color w:val="auto"/>
                <w:szCs w:val="21"/>
              </w:rPr>
              <w:t>第二节</w:t>
            </w:r>
          </w:p>
          <w:p w14:paraId="7A8660A7">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.1</w:t>
            </w:r>
            <w:r>
              <w:rPr>
                <w:rFonts w:hint="eastAsia" w:ascii="宋体" w:hAnsi="宋体"/>
                <w:color w:val="auto"/>
                <w:szCs w:val="21"/>
                <w:lang w:val="en-US" w:eastAsia="zh-CN"/>
              </w:rPr>
              <w:t>款</w:t>
            </w:r>
          </w:p>
        </w:tc>
        <w:tc>
          <w:tcPr>
            <w:tcW w:w="1742" w:type="dxa"/>
            <w:vAlign w:val="center"/>
          </w:tcPr>
          <w:p w14:paraId="38605DA9">
            <w:pPr>
              <w:adjustRightInd w:val="0"/>
              <w:snapToGrid w:val="0"/>
              <w:jc w:val="left"/>
              <w:rPr>
                <w:rFonts w:ascii="宋体" w:hAnsi="宋体"/>
                <w:color w:val="auto"/>
                <w:szCs w:val="21"/>
              </w:rPr>
            </w:pPr>
            <w:r>
              <w:rPr>
                <w:rFonts w:hint="eastAsia" w:ascii="宋体" w:hAnsi="宋体"/>
                <w:color w:val="auto"/>
                <w:szCs w:val="21"/>
              </w:rPr>
              <w:t>包装</w:t>
            </w:r>
            <w:r>
              <w:rPr>
                <w:rFonts w:hint="eastAsia" w:ascii="宋体" w:hAnsi="宋体"/>
                <w:color w:val="auto"/>
                <w:szCs w:val="21"/>
                <w:lang w:eastAsia="zh-CN"/>
              </w:rPr>
              <w:t>特殊要求</w:t>
            </w:r>
          </w:p>
        </w:tc>
        <w:tc>
          <w:tcPr>
            <w:tcW w:w="5170" w:type="dxa"/>
            <w:vAlign w:val="center"/>
          </w:tcPr>
          <w:p w14:paraId="35D833A4">
            <w:pPr>
              <w:rPr>
                <w:color w:val="auto"/>
              </w:rPr>
            </w:pPr>
          </w:p>
        </w:tc>
      </w:tr>
      <w:tr w14:paraId="23524A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316AF506">
            <w:pPr>
              <w:adjustRightInd w:val="0"/>
              <w:snapToGrid w:val="0"/>
              <w:jc w:val="center"/>
              <w:rPr>
                <w:rFonts w:hint="eastAsia" w:ascii="宋体" w:hAnsi="宋体"/>
                <w:color w:val="auto"/>
                <w:szCs w:val="21"/>
              </w:rPr>
            </w:pPr>
          </w:p>
        </w:tc>
        <w:tc>
          <w:tcPr>
            <w:tcW w:w="1742" w:type="dxa"/>
            <w:vAlign w:val="center"/>
          </w:tcPr>
          <w:p w14:paraId="25C12E8E">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指定现场</w:t>
            </w:r>
          </w:p>
        </w:tc>
        <w:tc>
          <w:tcPr>
            <w:tcW w:w="5170" w:type="dxa"/>
            <w:vAlign w:val="center"/>
          </w:tcPr>
          <w:p w14:paraId="679131D2">
            <w:pPr>
              <w:rPr>
                <w:rFonts w:hint="eastAsia"/>
                <w:color w:val="auto"/>
              </w:rPr>
            </w:pPr>
          </w:p>
        </w:tc>
      </w:tr>
      <w:tr w14:paraId="0ABEB5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7EA9E8BD">
            <w:pPr>
              <w:adjustRightInd w:val="0"/>
              <w:snapToGrid w:val="0"/>
              <w:jc w:val="center"/>
              <w:rPr>
                <w:rFonts w:ascii="宋体" w:hAnsi="宋体"/>
                <w:color w:val="auto"/>
                <w:szCs w:val="21"/>
              </w:rPr>
            </w:pPr>
            <w:r>
              <w:rPr>
                <w:rFonts w:hint="eastAsia" w:ascii="宋体" w:hAnsi="宋体"/>
                <w:color w:val="auto"/>
                <w:szCs w:val="21"/>
              </w:rPr>
              <w:t>第二节</w:t>
            </w:r>
          </w:p>
          <w:p w14:paraId="17F62F3D">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.2</w:t>
            </w:r>
            <w:r>
              <w:rPr>
                <w:rFonts w:hint="eastAsia" w:ascii="宋体" w:hAnsi="宋体"/>
                <w:color w:val="auto"/>
                <w:szCs w:val="21"/>
                <w:lang w:val="en-US" w:eastAsia="zh-CN"/>
              </w:rPr>
              <w:t>款</w:t>
            </w:r>
          </w:p>
        </w:tc>
        <w:tc>
          <w:tcPr>
            <w:tcW w:w="1742" w:type="dxa"/>
            <w:vAlign w:val="center"/>
          </w:tcPr>
          <w:p w14:paraId="76BC09E9">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运输特殊要求</w:t>
            </w:r>
          </w:p>
        </w:tc>
        <w:tc>
          <w:tcPr>
            <w:tcW w:w="5170" w:type="dxa"/>
            <w:vAlign w:val="center"/>
          </w:tcPr>
          <w:p w14:paraId="42F18EDE">
            <w:pPr>
              <w:rPr>
                <w:rFonts w:hint="eastAsia"/>
                <w:color w:val="auto"/>
              </w:rPr>
            </w:pPr>
          </w:p>
        </w:tc>
      </w:tr>
      <w:tr w14:paraId="789084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742494E6">
            <w:pPr>
              <w:adjustRightInd w:val="0"/>
              <w:snapToGrid w:val="0"/>
              <w:jc w:val="center"/>
              <w:rPr>
                <w:rFonts w:ascii="宋体" w:hAnsi="宋体"/>
                <w:color w:val="auto"/>
                <w:szCs w:val="21"/>
              </w:rPr>
            </w:pPr>
            <w:r>
              <w:rPr>
                <w:rFonts w:hint="eastAsia" w:ascii="宋体" w:hAnsi="宋体"/>
                <w:color w:val="auto"/>
                <w:szCs w:val="21"/>
              </w:rPr>
              <w:t>第二节</w:t>
            </w:r>
          </w:p>
          <w:p w14:paraId="1FA747D8">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.3</w:t>
            </w:r>
            <w:r>
              <w:rPr>
                <w:rFonts w:hint="eastAsia" w:ascii="宋体" w:hAnsi="宋体"/>
                <w:color w:val="auto"/>
                <w:szCs w:val="21"/>
                <w:lang w:val="en-US" w:eastAsia="zh-CN"/>
              </w:rPr>
              <w:t>款</w:t>
            </w:r>
          </w:p>
        </w:tc>
        <w:tc>
          <w:tcPr>
            <w:tcW w:w="1742" w:type="dxa"/>
            <w:vAlign w:val="center"/>
          </w:tcPr>
          <w:p w14:paraId="04EF8038">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保险要求</w:t>
            </w:r>
          </w:p>
        </w:tc>
        <w:tc>
          <w:tcPr>
            <w:tcW w:w="5170" w:type="dxa"/>
            <w:vAlign w:val="center"/>
          </w:tcPr>
          <w:p w14:paraId="2BE9E08E">
            <w:pPr>
              <w:rPr>
                <w:rFonts w:hint="eastAsia"/>
                <w:color w:val="auto"/>
              </w:rPr>
            </w:pPr>
          </w:p>
        </w:tc>
      </w:tr>
      <w:tr w14:paraId="1B0537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174653A">
            <w:pPr>
              <w:adjustRightInd w:val="0"/>
              <w:snapToGrid w:val="0"/>
              <w:jc w:val="center"/>
              <w:rPr>
                <w:rFonts w:ascii="宋体" w:hAnsi="宋体"/>
                <w:color w:val="auto"/>
                <w:szCs w:val="21"/>
              </w:rPr>
            </w:pPr>
            <w:r>
              <w:rPr>
                <w:rFonts w:hint="eastAsia" w:ascii="宋体" w:hAnsi="宋体"/>
                <w:color w:val="auto"/>
                <w:szCs w:val="21"/>
              </w:rPr>
              <w:t>第二节</w:t>
            </w:r>
          </w:p>
          <w:p w14:paraId="0D99D83E">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.2（1）项</w:t>
            </w:r>
          </w:p>
        </w:tc>
        <w:tc>
          <w:tcPr>
            <w:tcW w:w="1742" w:type="dxa"/>
            <w:vAlign w:val="center"/>
          </w:tcPr>
          <w:p w14:paraId="620AEEE8">
            <w:pPr>
              <w:adjustRightInd w:val="0"/>
              <w:snapToGrid w:val="0"/>
              <w:jc w:val="left"/>
              <w:rPr>
                <w:rFonts w:ascii="宋体" w:hAnsi="宋体"/>
                <w:color w:val="auto"/>
                <w:szCs w:val="21"/>
              </w:rPr>
            </w:pPr>
            <w:r>
              <w:rPr>
                <w:rFonts w:hint="eastAsia" w:ascii="宋体" w:hAnsi="宋体"/>
                <w:color w:val="auto"/>
                <w:szCs w:val="21"/>
              </w:rPr>
              <w:t>质量保证期</w:t>
            </w:r>
          </w:p>
        </w:tc>
        <w:tc>
          <w:tcPr>
            <w:tcW w:w="5170" w:type="dxa"/>
            <w:vAlign w:val="center"/>
          </w:tcPr>
          <w:p w14:paraId="3CA03E67">
            <w:pPr>
              <w:autoSpaceDE w:val="0"/>
              <w:autoSpaceDN w:val="0"/>
              <w:adjustRightInd w:val="0"/>
              <w:snapToGrid w:val="0"/>
              <w:ind w:firstLine="420" w:firstLineChars="200"/>
              <w:jc w:val="left"/>
              <w:rPr>
                <w:rFonts w:ascii="宋体" w:hAnsi="宋体"/>
                <w:color w:val="auto"/>
                <w:szCs w:val="21"/>
              </w:rPr>
            </w:pPr>
          </w:p>
        </w:tc>
      </w:tr>
      <w:tr w14:paraId="1D85EF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B9B685">
            <w:pPr>
              <w:adjustRightInd w:val="0"/>
              <w:snapToGrid w:val="0"/>
              <w:jc w:val="center"/>
              <w:rPr>
                <w:rFonts w:ascii="宋体" w:hAnsi="宋体"/>
                <w:color w:val="auto"/>
                <w:szCs w:val="21"/>
              </w:rPr>
            </w:pPr>
            <w:r>
              <w:rPr>
                <w:rFonts w:hint="eastAsia" w:ascii="宋体" w:hAnsi="宋体"/>
                <w:color w:val="auto"/>
                <w:szCs w:val="21"/>
              </w:rPr>
              <w:t>第二节</w:t>
            </w:r>
          </w:p>
          <w:p w14:paraId="7F5EBA62">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.2（3）项</w:t>
            </w:r>
          </w:p>
        </w:tc>
        <w:tc>
          <w:tcPr>
            <w:tcW w:w="1742" w:type="dxa"/>
            <w:vAlign w:val="center"/>
          </w:tcPr>
          <w:p w14:paraId="4A257439">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货物质量缺陷</w:t>
            </w:r>
          </w:p>
          <w:p w14:paraId="357992AB">
            <w:pPr>
              <w:adjustRightInd w:val="0"/>
              <w:snapToGrid w:val="0"/>
              <w:jc w:val="left"/>
              <w:rPr>
                <w:rFonts w:ascii="宋体" w:hAnsi="宋体"/>
                <w:color w:val="auto"/>
                <w:szCs w:val="21"/>
              </w:rPr>
            </w:pPr>
            <w:r>
              <w:rPr>
                <w:rFonts w:hint="eastAsia" w:ascii="宋体" w:hAnsi="宋体"/>
                <w:color w:val="auto"/>
                <w:szCs w:val="21"/>
              </w:rPr>
              <w:t>响应时间</w:t>
            </w:r>
          </w:p>
        </w:tc>
        <w:tc>
          <w:tcPr>
            <w:tcW w:w="5170" w:type="dxa"/>
            <w:vAlign w:val="center"/>
          </w:tcPr>
          <w:p w14:paraId="2D42A16D">
            <w:pPr>
              <w:adjustRightInd w:val="0"/>
              <w:snapToGrid w:val="0"/>
              <w:jc w:val="left"/>
              <w:rPr>
                <w:rFonts w:ascii="宋体" w:hAnsi="宋体"/>
                <w:color w:val="auto"/>
                <w:szCs w:val="21"/>
              </w:rPr>
            </w:pPr>
          </w:p>
        </w:tc>
      </w:tr>
      <w:tr w14:paraId="2FE94D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75DF02E">
            <w:pPr>
              <w:snapToGrid w:val="0"/>
              <w:jc w:val="center"/>
              <w:rPr>
                <w:rFonts w:hint="eastAsia" w:ascii="宋体" w:hAnsi="宋体" w:cs="宋体"/>
                <w:color w:val="auto"/>
                <w:szCs w:val="21"/>
                <w:lang w:val="en-US" w:eastAsia="zh-CN"/>
              </w:rPr>
            </w:pPr>
            <w:r>
              <w:rPr>
                <w:rFonts w:hint="eastAsia" w:ascii="宋体" w:hAnsi="宋体" w:cs="宋体"/>
                <w:color w:val="auto"/>
                <w:szCs w:val="21"/>
                <w:lang w:val="en-US" w:eastAsia="zh-CN"/>
              </w:rPr>
              <w:t>第二节</w:t>
            </w:r>
          </w:p>
          <w:p w14:paraId="4FDC71B2">
            <w:pPr>
              <w:pStyle w:val="50"/>
              <w:ind w:firstLine="0" w:firstLineChars="0"/>
              <w:jc w:val="center"/>
              <w:rPr>
                <w:rFonts w:hint="default"/>
                <w:color w:val="auto"/>
                <w:lang w:val="en-US" w:eastAsia="zh-CN"/>
              </w:rPr>
            </w:pPr>
            <w:r>
              <w:rPr>
                <w:rFonts w:hint="eastAsia" w:ascii="宋体" w:hAnsi="宋体" w:eastAsia="宋体" w:cs="宋体"/>
                <w:color w:val="auto"/>
                <w:szCs w:val="21"/>
                <w:lang w:val="en-US" w:eastAsia="zh-CN"/>
              </w:rPr>
              <w:t>第11.1款</w:t>
            </w:r>
          </w:p>
        </w:tc>
        <w:tc>
          <w:tcPr>
            <w:tcW w:w="1742" w:type="dxa"/>
            <w:vAlign w:val="center"/>
          </w:tcPr>
          <w:p w14:paraId="54E0DAE5">
            <w:pPr>
              <w:adjustRightInd w:val="0"/>
              <w:snapToGrid w:val="0"/>
              <w:jc w:val="both"/>
              <w:rPr>
                <w:rFonts w:hint="default" w:ascii="宋体" w:hAnsi="宋体" w:eastAsia="宋体"/>
                <w:color w:val="auto"/>
                <w:szCs w:val="21"/>
                <w:lang w:val="en-US" w:eastAsia="zh-CN"/>
              </w:rPr>
            </w:pPr>
            <w:r>
              <w:rPr>
                <w:rFonts w:hint="eastAsia" w:ascii="宋体" w:hAnsi="宋体"/>
                <w:color w:val="auto"/>
                <w:szCs w:val="21"/>
                <w:lang w:val="en-US" w:eastAsia="zh-CN"/>
              </w:rPr>
              <w:t>其他应当保密的信息</w:t>
            </w:r>
          </w:p>
        </w:tc>
        <w:tc>
          <w:tcPr>
            <w:tcW w:w="5170" w:type="dxa"/>
            <w:vAlign w:val="center"/>
          </w:tcPr>
          <w:p w14:paraId="6F8B1FDA">
            <w:pPr>
              <w:adjustRightInd w:val="0"/>
              <w:snapToGrid w:val="0"/>
              <w:jc w:val="left"/>
              <w:rPr>
                <w:rFonts w:ascii="宋体" w:hAnsi="宋体"/>
                <w:color w:val="auto"/>
                <w:szCs w:val="21"/>
              </w:rPr>
            </w:pPr>
          </w:p>
        </w:tc>
      </w:tr>
      <w:tr w14:paraId="6F8C2B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DA5AA78">
            <w:pPr>
              <w:adjustRightInd w:val="0"/>
              <w:snapToGrid w:val="0"/>
              <w:jc w:val="center"/>
              <w:rPr>
                <w:rFonts w:ascii="宋体" w:hAnsi="宋体"/>
                <w:color w:val="auto"/>
                <w:szCs w:val="21"/>
              </w:rPr>
            </w:pPr>
            <w:r>
              <w:rPr>
                <w:rFonts w:hint="eastAsia" w:ascii="宋体" w:hAnsi="宋体"/>
                <w:color w:val="auto"/>
                <w:szCs w:val="21"/>
              </w:rPr>
              <w:t>第二节</w:t>
            </w:r>
          </w:p>
          <w:p w14:paraId="3E433CB6">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2</w:t>
            </w:r>
            <w:r>
              <w:rPr>
                <w:rFonts w:hint="eastAsia" w:ascii="宋体" w:hAnsi="宋体"/>
                <w:color w:val="auto"/>
                <w:szCs w:val="21"/>
              </w:rPr>
              <w:t>.2款</w:t>
            </w:r>
          </w:p>
        </w:tc>
        <w:tc>
          <w:tcPr>
            <w:tcW w:w="1742" w:type="dxa"/>
            <w:vAlign w:val="center"/>
          </w:tcPr>
          <w:p w14:paraId="552D83E6">
            <w:pPr>
              <w:adjustRightInd w:val="0"/>
              <w:snapToGrid w:val="0"/>
              <w:jc w:val="left"/>
              <w:rPr>
                <w:rFonts w:hint="eastAsia" w:ascii="宋体" w:hAnsi="宋体" w:eastAsia="宋体"/>
                <w:color w:val="auto"/>
                <w:szCs w:val="21"/>
                <w:lang w:eastAsia="zh-CN"/>
              </w:rPr>
            </w:pPr>
            <w:r>
              <w:rPr>
                <w:rFonts w:hint="eastAsia" w:ascii="宋体" w:hAnsi="宋体"/>
                <w:color w:val="auto"/>
                <w:szCs w:val="21"/>
              </w:rPr>
              <w:t>合同价款支付</w:t>
            </w:r>
            <w:r>
              <w:rPr>
                <w:rFonts w:hint="eastAsia" w:ascii="宋体" w:hAnsi="宋体"/>
                <w:color w:val="auto"/>
                <w:szCs w:val="21"/>
                <w:lang w:eastAsia="zh-CN"/>
              </w:rPr>
              <w:t>时间</w:t>
            </w:r>
          </w:p>
        </w:tc>
        <w:tc>
          <w:tcPr>
            <w:tcW w:w="5170" w:type="dxa"/>
            <w:vAlign w:val="center"/>
          </w:tcPr>
          <w:p w14:paraId="04751078">
            <w:pPr>
              <w:adjustRightInd w:val="0"/>
              <w:snapToGrid w:val="0"/>
              <w:jc w:val="left"/>
              <w:rPr>
                <w:rFonts w:ascii="宋体" w:hAnsi="宋体"/>
                <w:color w:val="auto"/>
                <w:szCs w:val="21"/>
              </w:rPr>
            </w:pPr>
          </w:p>
        </w:tc>
      </w:tr>
      <w:tr w14:paraId="7AE5A4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E609EE9">
            <w:pPr>
              <w:adjustRightInd w:val="0"/>
              <w:snapToGrid w:val="0"/>
              <w:jc w:val="center"/>
              <w:rPr>
                <w:rFonts w:hint="eastAsia" w:ascii="宋体" w:hAnsi="宋体"/>
                <w:color w:val="auto"/>
                <w:szCs w:val="21"/>
              </w:rPr>
            </w:pPr>
            <w:r>
              <w:rPr>
                <w:rFonts w:hint="eastAsia" w:ascii="宋体" w:hAnsi="宋体"/>
                <w:color w:val="auto"/>
                <w:szCs w:val="21"/>
              </w:rPr>
              <w:t>第二节</w:t>
            </w:r>
          </w:p>
          <w:p w14:paraId="26460D5D">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13.2</w:t>
            </w:r>
            <w:r>
              <w:rPr>
                <w:rFonts w:hint="eastAsia" w:ascii="宋体" w:hAnsi="宋体"/>
                <w:color w:val="auto"/>
                <w:szCs w:val="21"/>
              </w:rPr>
              <w:t>款</w:t>
            </w:r>
          </w:p>
        </w:tc>
        <w:tc>
          <w:tcPr>
            <w:tcW w:w="1742" w:type="dxa"/>
            <w:vAlign w:val="center"/>
          </w:tcPr>
          <w:p w14:paraId="15B899F8">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履约保证金不予退还的情形</w:t>
            </w:r>
          </w:p>
        </w:tc>
        <w:tc>
          <w:tcPr>
            <w:tcW w:w="5170" w:type="dxa"/>
            <w:vAlign w:val="center"/>
          </w:tcPr>
          <w:p w14:paraId="55584845">
            <w:pPr>
              <w:adjustRightInd w:val="0"/>
              <w:snapToGrid w:val="0"/>
              <w:jc w:val="left"/>
              <w:rPr>
                <w:rFonts w:ascii="宋体" w:hAnsi="宋体"/>
                <w:color w:val="auto"/>
                <w:szCs w:val="21"/>
              </w:rPr>
            </w:pPr>
          </w:p>
        </w:tc>
      </w:tr>
      <w:tr w14:paraId="3BAC81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3C6F920">
            <w:pPr>
              <w:adjustRightInd w:val="0"/>
              <w:snapToGrid w:val="0"/>
              <w:jc w:val="center"/>
              <w:rPr>
                <w:rFonts w:hint="eastAsia" w:ascii="宋体" w:hAnsi="宋体"/>
                <w:color w:val="auto"/>
                <w:szCs w:val="21"/>
              </w:rPr>
            </w:pPr>
            <w:r>
              <w:rPr>
                <w:rFonts w:hint="eastAsia" w:ascii="宋体" w:hAnsi="宋体"/>
                <w:color w:val="auto"/>
                <w:szCs w:val="21"/>
              </w:rPr>
              <w:t>第二节</w:t>
            </w:r>
          </w:p>
          <w:p w14:paraId="11098AE5">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13.3</w:t>
            </w:r>
            <w:r>
              <w:rPr>
                <w:rFonts w:hint="eastAsia" w:ascii="宋体" w:hAnsi="宋体"/>
                <w:color w:val="auto"/>
                <w:szCs w:val="21"/>
              </w:rPr>
              <w:t>款</w:t>
            </w:r>
          </w:p>
        </w:tc>
        <w:tc>
          <w:tcPr>
            <w:tcW w:w="1742" w:type="dxa"/>
            <w:vAlign w:val="center"/>
          </w:tcPr>
          <w:p w14:paraId="46C2F95A">
            <w:pPr>
              <w:adjustRightInd w:val="0"/>
              <w:snapToGrid w:val="0"/>
              <w:jc w:val="left"/>
              <w:rPr>
                <w:rFonts w:ascii="宋体" w:hAnsi="宋体"/>
                <w:color w:val="auto"/>
                <w:szCs w:val="21"/>
              </w:rPr>
            </w:pPr>
            <w:r>
              <w:rPr>
                <w:rFonts w:hint="eastAsia" w:ascii="宋体" w:hAnsi="宋体"/>
                <w:color w:val="auto"/>
                <w:szCs w:val="21"/>
              </w:rPr>
              <w:t>履约保证金退还时间及</w:t>
            </w:r>
            <w:r>
              <w:rPr>
                <w:rFonts w:hint="eastAsia" w:ascii="宋体" w:hAnsi="宋体"/>
                <w:color w:val="auto"/>
                <w:szCs w:val="21"/>
                <w:lang w:eastAsia="zh-CN"/>
              </w:rPr>
              <w:t>逾期退还的</w:t>
            </w:r>
            <w:r>
              <w:rPr>
                <w:rFonts w:hint="eastAsia" w:ascii="宋体" w:hAnsi="宋体"/>
                <w:color w:val="auto"/>
                <w:szCs w:val="21"/>
              </w:rPr>
              <w:t>违约金</w:t>
            </w:r>
          </w:p>
        </w:tc>
        <w:tc>
          <w:tcPr>
            <w:tcW w:w="5170" w:type="dxa"/>
            <w:vAlign w:val="center"/>
          </w:tcPr>
          <w:p w14:paraId="169BB261">
            <w:pPr>
              <w:adjustRightInd w:val="0"/>
              <w:snapToGrid w:val="0"/>
              <w:jc w:val="left"/>
              <w:rPr>
                <w:rFonts w:ascii="宋体" w:hAnsi="宋体"/>
                <w:color w:val="auto"/>
                <w:szCs w:val="21"/>
              </w:rPr>
            </w:pPr>
          </w:p>
        </w:tc>
      </w:tr>
      <w:tr w14:paraId="3ED3E1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8286EEA">
            <w:pPr>
              <w:adjustRightInd w:val="0"/>
              <w:snapToGrid w:val="0"/>
              <w:jc w:val="center"/>
              <w:rPr>
                <w:rFonts w:ascii="宋体" w:hAnsi="宋体"/>
                <w:color w:val="auto"/>
                <w:szCs w:val="21"/>
              </w:rPr>
            </w:pPr>
            <w:r>
              <w:rPr>
                <w:rFonts w:hint="eastAsia" w:ascii="宋体" w:hAnsi="宋体"/>
                <w:color w:val="auto"/>
                <w:szCs w:val="21"/>
              </w:rPr>
              <w:t>第二节</w:t>
            </w:r>
          </w:p>
          <w:p w14:paraId="0D95C038">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3</w:t>
            </w:r>
            <w:r>
              <w:rPr>
                <w:rFonts w:hint="eastAsia" w:ascii="宋体" w:hAnsi="宋体"/>
                <w:color w:val="auto"/>
                <w:szCs w:val="21"/>
              </w:rPr>
              <w:t>）项</w:t>
            </w:r>
          </w:p>
        </w:tc>
        <w:tc>
          <w:tcPr>
            <w:tcW w:w="1742" w:type="dxa"/>
            <w:vAlign w:val="center"/>
          </w:tcPr>
          <w:p w14:paraId="47648004">
            <w:pPr>
              <w:adjustRightInd w:val="0"/>
              <w:snapToGrid w:val="0"/>
              <w:jc w:val="left"/>
              <w:rPr>
                <w:rFonts w:hint="eastAsia" w:ascii="宋体" w:hAnsi="宋体"/>
                <w:color w:val="auto"/>
                <w:szCs w:val="21"/>
                <w:lang w:val="en-US" w:eastAsia="zh-CN"/>
              </w:rPr>
            </w:pPr>
            <w:r>
              <w:rPr>
                <w:rFonts w:hint="eastAsia" w:ascii="宋体" w:hAnsi="宋体"/>
                <w:color w:val="auto"/>
                <w:szCs w:val="21"/>
                <w:lang w:val="en-US" w:eastAsia="zh-CN"/>
              </w:rPr>
              <w:t>运行监督、维修期限</w:t>
            </w:r>
          </w:p>
        </w:tc>
        <w:tc>
          <w:tcPr>
            <w:tcW w:w="5170" w:type="dxa"/>
            <w:vAlign w:val="center"/>
          </w:tcPr>
          <w:p w14:paraId="7E1AAFD5">
            <w:pPr>
              <w:adjustRightInd w:val="0"/>
              <w:snapToGrid w:val="0"/>
              <w:jc w:val="left"/>
              <w:rPr>
                <w:rFonts w:ascii="宋体" w:hAnsi="宋体"/>
                <w:color w:val="auto"/>
                <w:szCs w:val="21"/>
              </w:rPr>
            </w:pPr>
          </w:p>
        </w:tc>
      </w:tr>
      <w:tr w14:paraId="0238D0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7263C4E4">
            <w:pPr>
              <w:adjustRightInd w:val="0"/>
              <w:snapToGrid w:val="0"/>
              <w:jc w:val="center"/>
              <w:rPr>
                <w:rFonts w:ascii="宋体" w:hAnsi="宋体"/>
                <w:color w:val="auto"/>
                <w:szCs w:val="21"/>
              </w:rPr>
            </w:pPr>
            <w:r>
              <w:rPr>
                <w:rFonts w:hint="eastAsia" w:ascii="宋体" w:hAnsi="宋体"/>
                <w:color w:val="auto"/>
                <w:szCs w:val="21"/>
              </w:rPr>
              <w:t>第二节</w:t>
            </w:r>
          </w:p>
          <w:p w14:paraId="230F4B8C">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5</w:t>
            </w:r>
            <w:r>
              <w:rPr>
                <w:rFonts w:hint="eastAsia" w:ascii="宋体" w:hAnsi="宋体"/>
                <w:color w:val="auto"/>
                <w:szCs w:val="21"/>
              </w:rPr>
              <w:t>）项</w:t>
            </w:r>
          </w:p>
        </w:tc>
        <w:tc>
          <w:tcPr>
            <w:tcW w:w="1742" w:type="dxa"/>
            <w:vAlign w:val="center"/>
          </w:tcPr>
          <w:p w14:paraId="3305DAB9">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货物回收的约定</w:t>
            </w:r>
          </w:p>
        </w:tc>
        <w:tc>
          <w:tcPr>
            <w:tcW w:w="5170" w:type="dxa"/>
            <w:vAlign w:val="center"/>
          </w:tcPr>
          <w:p w14:paraId="38DF3882">
            <w:pPr>
              <w:adjustRightInd w:val="0"/>
              <w:snapToGrid w:val="0"/>
              <w:jc w:val="left"/>
              <w:rPr>
                <w:rFonts w:ascii="宋体" w:hAnsi="宋体"/>
                <w:color w:val="auto"/>
                <w:szCs w:val="21"/>
              </w:rPr>
            </w:pPr>
          </w:p>
        </w:tc>
      </w:tr>
      <w:tr w14:paraId="5751B8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18792AF">
            <w:pPr>
              <w:adjustRightInd w:val="0"/>
              <w:snapToGrid w:val="0"/>
              <w:jc w:val="center"/>
              <w:rPr>
                <w:rFonts w:ascii="宋体" w:hAnsi="宋体"/>
                <w:color w:val="auto"/>
                <w:szCs w:val="21"/>
              </w:rPr>
            </w:pPr>
            <w:r>
              <w:rPr>
                <w:rFonts w:hint="eastAsia" w:ascii="宋体" w:hAnsi="宋体"/>
                <w:color w:val="auto"/>
                <w:szCs w:val="21"/>
              </w:rPr>
              <w:t>第二节</w:t>
            </w:r>
          </w:p>
          <w:p w14:paraId="7A3D194D">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70F650A0">
            <w:pPr>
              <w:adjustRightInd w:val="0"/>
              <w:snapToGrid w:val="0"/>
              <w:jc w:val="left"/>
              <w:rPr>
                <w:rFonts w:ascii="宋体" w:hAnsi="宋体"/>
                <w:color w:val="auto"/>
                <w:szCs w:val="21"/>
              </w:rPr>
            </w:pPr>
            <w:r>
              <w:rPr>
                <w:rFonts w:hint="eastAsia" w:ascii="宋体" w:hAnsi="宋体"/>
                <w:color w:val="auto"/>
                <w:szCs w:val="21"/>
              </w:rPr>
              <w:t>乙方提供的其他服务</w:t>
            </w:r>
          </w:p>
        </w:tc>
        <w:tc>
          <w:tcPr>
            <w:tcW w:w="5170" w:type="dxa"/>
            <w:vAlign w:val="center"/>
          </w:tcPr>
          <w:p w14:paraId="79BB1487">
            <w:pPr>
              <w:adjustRightInd w:val="0"/>
              <w:snapToGrid w:val="0"/>
              <w:jc w:val="left"/>
              <w:rPr>
                <w:rFonts w:ascii="宋体" w:hAnsi="宋体"/>
                <w:color w:val="auto"/>
                <w:szCs w:val="21"/>
              </w:rPr>
            </w:pPr>
          </w:p>
        </w:tc>
      </w:tr>
      <w:tr w14:paraId="74A2E8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4598D3">
            <w:pPr>
              <w:adjustRightInd w:val="0"/>
              <w:snapToGrid w:val="0"/>
              <w:jc w:val="center"/>
              <w:rPr>
                <w:rFonts w:ascii="宋体" w:hAnsi="宋体"/>
                <w:color w:val="auto"/>
                <w:szCs w:val="21"/>
              </w:rPr>
            </w:pPr>
            <w:r>
              <w:rPr>
                <w:rFonts w:hint="eastAsia" w:ascii="宋体" w:hAnsi="宋体"/>
                <w:color w:val="auto"/>
                <w:szCs w:val="21"/>
              </w:rPr>
              <w:t>第二节</w:t>
            </w:r>
          </w:p>
          <w:p w14:paraId="425742B5">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1款</w:t>
            </w:r>
          </w:p>
        </w:tc>
        <w:tc>
          <w:tcPr>
            <w:tcW w:w="1742" w:type="dxa"/>
            <w:vAlign w:val="center"/>
          </w:tcPr>
          <w:p w14:paraId="0C2BEC33">
            <w:pPr>
              <w:adjustRightInd w:val="0"/>
              <w:snapToGrid w:val="0"/>
              <w:jc w:val="left"/>
              <w:rPr>
                <w:rFonts w:hint="eastAsia" w:ascii="宋体" w:hAnsi="宋体"/>
                <w:color w:val="auto"/>
                <w:szCs w:val="21"/>
              </w:rPr>
            </w:pPr>
            <w:r>
              <w:rPr>
                <w:rFonts w:hint="eastAsia" w:ascii="宋体" w:hAnsi="宋体"/>
                <w:color w:val="auto"/>
                <w:szCs w:val="21"/>
                <w:highlight w:val="none"/>
                <w:lang w:eastAsia="zh-CN"/>
              </w:rPr>
              <w:t>修理、重作、更换相关具体规定</w:t>
            </w:r>
          </w:p>
        </w:tc>
        <w:tc>
          <w:tcPr>
            <w:tcW w:w="5170" w:type="dxa"/>
            <w:vAlign w:val="center"/>
          </w:tcPr>
          <w:p w14:paraId="0C9E2733">
            <w:pPr>
              <w:adjustRightInd w:val="0"/>
              <w:snapToGrid w:val="0"/>
              <w:jc w:val="left"/>
              <w:rPr>
                <w:rFonts w:ascii="宋体" w:hAnsi="宋体"/>
                <w:color w:val="auto"/>
                <w:szCs w:val="21"/>
              </w:rPr>
            </w:pPr>
          </w:p>
        </w:tc>
      </w:tr>
      <w:tr w14:paraId="4C2B3A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39D77AE">
            <w:pPr>
              <w:adjustRightInd w:val="0"/>
              <w:snapToGrid w:val="0"/>
              <w:jc w:val="center"/>
              <w:rPr>
                <w:rFonts w:ascii="宋体" w:hAnsi="宋体"/>
                <w:color w:val="auto"/>
                <w:szCs w:val="21"/>
              </w:rPr>
            </w:pPr>
            <w:r>
              <w:rPr>
                <w:rFonts w:hint="eastAsia" w:ascii="宋体" w:hAnsi="宋体"/>
                <w:color w:val="auto"/>
                <w:szCs w:val="21"/>
              </w:rPr>
              <w:t>第二节</w:t>
            </w:r>
          </w:p>
          <w:p w14:paraId="51BD1D84">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.2（2）项</w:t>
            </w:r>
          </w:p>
        </w:tc>
        <w:tc>
          <w:tcPr>
            <w:tcW w:w="1742" w:type="dxa"/>
            <w:vAlign w:val="center"/>
          </w:tcPr>
          <w:p w14:paraId="5314F440">
            <w:pPr>
              <w:adjustRightInd w:val="0"/>
              <w:snapToGrid w:val="0"/>
              <w:jc w:val="left"/>
              <w:rPr>
                <w:rFonts w:ascii="宋体" w:hAnsi="宋体"/>
                <w:color w:val="auto"/>
                <w:szCs w:val="21"/>
              </w:rPr>
            </w:pPr>
            <w:r>
              <w:rPr>
                <w:rFonts w:hint="eastAsia" w:ascii="宋体" w:hAnsi="宋体"/>
                <w:color w:val="auto"/>
                <w:szCs w:val="21"/>
              </w:rPr>
              <w:t>迟延交货赔偿费</w:t>
            </w:r>
          </w:p>
        </w:tc>
        <w:tc>
          <w:tcPr>
            <w:tcW w:w="5170" w:type="dxa"/>
            <w:vAlign w:val="center"/>
          </w:tcPr>
          <w:p w14:paraId="5966ACAF">
            <w:pPr>
              <w:adjustRightInd w:val="0"/>
              <w:snapToGrid w:val="0"/>
              <w:jc w:val="left"/>
              <w:rPr>
                <w:rFonts w:ascii="宋体" w:hAnsi="宋体"/>
                <w:color w:val="auto"/>
                <w:szCs w:val="21"/>
                <w:u w:val="single"/>
              </w:rPr>
            </w:pPr>
          </w:p>
        </w:tc>
      </w:tr>
      <w:tr w14:paraId="168EAF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C7F46F6">
            <w:pPr>
              <w:adjustRightInd w:val="0"/>
              <w:snapToGrid w:val="0"/>
              <w:jc w:val="center"/>
              <w:rPr>
                <w:rFonts w:ascii="宋体" w:hAnsi="宋体"/>
                <w:color w:val="auto"/>
                <w:szCs w:val="21"/>
              </w:rPr>
            </w:pPr>
            <w:r>
              <w:rPr>
                <w:rFonts w:hint="eastAsia" w:ascii="宋体" w:hAnsi="宋体"/>
                <w:color w:val="auto"/>
                <w:szCs w:val="21"/>
              </w:rPr>
              <w:t>第二节</w:t>
            </w:r>
          </w:p>
          <w:p w14:paraId="75AFB100">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3款</w:t>
            </w:r>
          </w:p>
        </w:tc>
        <w:tc>
          <w:tcPr>
            <w:tcW w:w="1742" w:type="dxa"/>
            <w:vAlign w:val="center"/>
          </w:tcPr>
          <w:p w14:paraId="48D6AC37">
            <w:pPr>
              <w:adjustRightInd w:val="0"/>
              <w:snapToGrid w:val="0"/>
              <w:jc w:val="left"/>
              <w:rPr>
                <w:rFonts w:hint="eastAsia" w:ascii="宋体" w:hAnsi="宋体"/>
                <w:color w:val="auto"/>
                <w:szCs w:val="21"/>
              </w:rPr>
            </w:pPr>
            <w:r>
              <w:rPr>
                <w:rFonts w:hint="eastAsia" w:ascii="宋体" w:hAnsi="宋体"/>
                <w:color w:val="auto"/>
                <w:szCs w:val="21"/>
              </w:rPr>
              <w:t>逾期付款利息</w:t>
            </w:r>
          </w:p>
        </w:tc>
        <w:tc>
          <w:tcPr>
            <w:tcW w:w="5170" w:type="dxa"/>
            <w:vAlign w:val="center"/>
          </w:tcPr>
          <w:p w14:paraId="0C93E4C5">
            <w:pPr>
              <w:adjustRightInd w:val="0"/>
              <w:snapToGrid w:val="0"/>
              <w:jc w:val="left"/>
              <w:rPr>
                <w:rFonts w:ascii="宋体" w:hAnsi="宋体"/>
                <w:color w:val="auto"/>
                <w:szCs w:val="21"/>
                <w:u w:val="single"/>
              </w:rPr>
            </w:pPr>
          </w:p>
        </w:tc>
      </w:tr>
      <w:tr w14:paraId="475298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2816AC31">
            <w:pPr>
              <w:adjustRightInd w:val="0"/>
              <w:snapToGrid w:val="0"/>
              <w:jc w:val="center"/>
              <w:rPr>
                <w:rFonts w:ascii="宋体" w:hAnsi="宋体"/>
                <w:color w:val="auto"/>
                <w:szCs w:val="21"/>
              </w:rPr>
            </w:pPr>
            <w:r>
              <w:rPr>
                <w:rFonts w:hint="eastAsia" w:ascii="宋体" w:hAnsi="宋体"/>
                <w:color w:val="auto"/>
                <w:szCs w:val="21"/>
              </w:rPr>
              <w:t>第二节</w:t>
            </w:r>
          </w:p>
          <w:p w14:paraId="12B71CBF">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.4</w:t>
            </w:r>
            <w:r>
              <w:rPr>
                <w:rFonts w:hint="eastAsia" w:ascii="宋体" w:hAnsi="宋体"/>
                <w:color w:val="auto"/>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51DDF58B">
            <w:pPr>
              <w:adjustRightInd w:val="0"/>
              <w:snapToGrid w:val="0"/>
              <w:jc w:val="left"/>
              <w:rPr>
                <w:rFonts w:ascii="宋体" w:hAnsi="宋体"/>
                <w:color w:val="auto"/>
                <w:szCs w:val="21"/>
              </w:rPr>
            </w:pPr>
            <w:r>
              <w:rPr>
                <w:rFonts w:hint="eastAsia" w:ascii="宋体" w:hAnsi="宋体"/>
                <w:color w:val="auto"/>
                <w:szCs w:val="21"/>
              </w:rPr>
              <w:t>其他违约责任</w:t>
            </w:r>
          </w:p>
        </w:tc>
        <w:tc>
          <w:tcPr>
            <w:tcW w:w="5170" w:type="dxa"/>
            <w:tcBorders>
              <w:left w:val="single" w:color="auto" w:sz="2" w:space="0"/>
              <w:bottom w:val="single" w:color="auto" w:sz="2" w:space="0"/>
            </w:tcBorders>
            <w:vAlign w:val="center"/>
          </w:tcPr>
          <w:p w14:paraId="05D76DA9">
            <w:pPr>
              <w:adjustRightInd w:val="0"/>
              <w:snapToGrid w:val="0"/>
              <w:jc w:val="left"/>
              <w:rPr>
                <w:rFonts w:ascii="宋体" w:hAnsi="宋体"/>
                <w:color w:val="auto"/>
                <w:szCs w:val="21"/>
                <w:u w:val="single"/>
              </w:rPr>
            </w:pPr>
          </w:p>
        </w:tc>
      </w:tr>
      <w:tr w14:paraId="6B8253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28353EA2">
            <w:pPr>
              <w:adjustRightInd w:val="0"/>
              <w:snapToGrid w:val="0"/>
              <w:jc w:val="center"/>
              <w:rPr>
                <w:rFonts w:ascii="宋体" w:hAnsi="宋体"/>
                <w:color w:val="auto"/>
                <w:szCs w:val="21"/>
              </w:rPr>
            </w:pPr>
            <w:r>
              <w:rPr>
                <w:rFonts w:hint="eastAsia" w:ascii="宋体" w:hAnsi="宋体"/>
                <w:color w:val="auto"/>
                <w:szCs w:val="21"/>
              </w:rPr>
              <w:t>第二节</w:t>
            </w:r>
          </w:p>
          <w:p w14:paraId="16EA69CC">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19</w:t>
            </w:r>
            <w:r>
              <w:rPr>
                <w:rFonts w:hint="eastAsia" w:ascii="宋体" w:hAnsi="宋体"/>
                <w:color w:val="auto"/>
                <w:szCs w:val="21"/>
              </w:rPr>
              <w:t>.2</w:t>
            </w:r>
            <w:r>
              <w:rPr>
                <w:rFonts w:hint="eastAsia" w:ascii="宋体" w:hAnsi="宋体"/>
                <w:color w:val="auto"/>
                <w:szCs w:val="21"/>
                <w:lang w:val="en-US" w:eastAsia="zh-CN"/>
              </w:rPr>
              <w:t>款</w:t>
            </w:r>
          </w:p>
        </w:tc>
        <w:tc>
          <w:tcPr>
            <w:tcW w:w="1742" w:type="dxa"/>
            <w:tcBorders>
              <w:top w:val="single" w:color="auto" w:sz="2" w:space="0"/>
              <w:left w:val="single" w:color="auto" w:sz="2" w:space="0"/>
              <w:right w:val="single" w:color="auto" w:sz="2" w:space="0"/>
            </w:tcBorders>
            <w:vAlign w:val="center"/>
          </w:tcPr>
          <w:p w14:paraId="01E6F949">
            <w:pPr>
              <w:adjustRightInd w:val="0"/>
              <w:snapToGrid w:val="0"/>
              <w:jc w:val="left"/>
              <w:rPr>
                <w:rFonts w:ascii="宋体" w:hAnsi="宋体"/>
                <w:color w:val="auto"/>
                <w:szCs w:val="21"/>
              </w:rPr>
            </w:pPr>
            <w:r>
              <w:rPr>
                <w:rFonts w:hint="eastAsia" w:ascii="宋体" w:hAnsi="宋体"/>
                <w:color w:val="auto"/>
                <w:szCs w:val="21"/>
                <w:lang w:val="en-US" w:eastAsia="zh-CN"/>
              </w:rPr>
              <w:t>解决争议的方法</w:t>
            </w:r>
          </w:p>
        </w:tc>
        <w:tc>
          <w:tcPr>
            <w:tcW w:w="5170" w:type="dxa"/>
            <w:tcBorders>
              <w:top w:val="single" w:color="auto" w:sz="2" w:space="0"/>
              <w:left w:val="single" w:color="auto" w:sz="2" w:space="0"/>
            </w:tcBorders>
            <w:vAlign w:val="center"/>
          </w:tcPr>
          <w:p w14:paraId="2F7A029E">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因本合同及合同有关事项发生的争议，按下列第</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种方式解决：</w:t>
            </w:r>
          </w:p>
          <w:p w14:paraId="738C3EEB">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（1）向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仲裁委员会申请仲裁，仲裁地点为</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w:t>
            </w:r>
          </w:p>
          <w:p w14:paraId="4C888087">
            <w:pPr>
              <w:adjustRightInd w:val="0"/>
              <w:snapToGrid w:val="0"/>
              <w:ind w:firstLine="0" w:firstLineChars="0"/>
              <w:jc w:val="left"/>
              <w:rPr>
                <w:rFonts w:ascii="宋体" w:hAnsi="宋体"/>
                <w:color w:val="auto"/>
                <w:szCs w:val="21"/>
                <w:u w:val="single"/>
              </w:rPr>
            </w:pPr>
            <w:r>
              <w:rPr>
                <w:rFonts w:hint="eastAsia" w:ascii="宋体" w:hAnsi="宋体" w:eastAsia="宋体" w:cs="宋体"/>
                <w:b w:val="0"/>
                <w:bCs w:val="0"/>
                <w:iCs/>
                <w:color w:val="auto"/>
                <w:szCs w:val="21"/>
              </w:rPr>
              <w:t>（2）向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人民法院起诉。</w:t>
            </w:r>
          </w:p>
        </w:tc>
      </w:tr>
      <w:tr w14:paraId="51E96E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0563ED5A">
            <w:pPr>
              <w:adjustRightInd w:val="0"/>
              <w:snapToGrid w:val="0"/>
              <w:jc w:val="center"/>
              <w:rPr>
                <w:rFonts w:ascii="宋体" w:hAnsi="宋体"/>
                <w:color w:val="auto"/>
                <w:szCs w:val="21"/>
              </w:rPr>
            </w:pPr>
            <w:r>
              <w:rPr>
                <w:rFonts w:hint="eastAsia" w:ascii="宋体" w:hAnsi="宋体"/>
                <w:color w:val="auto"/>
                <w:szCs w:val="21"/>
              </w:rPr>
              <w:t>第二节</w:t>
            </w:r>
          </w:p>
          <w:p w14:paraId="0C573D62">
            <w:pPr>
              <w:adjustRightInd w:val="0"/>
              <w:snapToGrid w:val="0"/>
              <w:jc w:val="center"/>
              <w:rPr>
                <w:rFonts w:ascii="宋体" w:hAnsi="宋体"/>
                <w:color w:val="auto"/>
                <w:szCs w:val="21"/>
              </w:rPr>
            </w:pPr>
            <w:r>
              <w:rPr>
                <w:rFonts w:hint="eastAsia" w:ascii="宋体" w:hAnsi="宋体"/>
                <w:color w:val="auto"/>
                <w:szCs w:val="21"/>
              </w:rPr>
              <w:t>第2</w:t>
            </w:r>
            <w:r>
              <w:rPr>
                <w:rFonts w:hint="eastAsia" w:ascii="宋体" w:hAnsi="宋体"/>
                <w:color w:val="auto"/>
                <w:szCs w:val="21"/>
                <w:lang w:val="en-US" w:eastAsia="zh-CN"/>
              </w:rPr>
              <w:t>3.1</w:t>
            </w:r>
            <w:r>
              <w:rPr>
                <w:rFonts w:hint="eastAsia" w:ascii="宋体" w:hAnsi="宋体"/>
                <w:color w:val="auto"/>
                <w:szCs w:val="21"/>
                <w:lang w:eastAsia="zh-CN"/>
              </w:rPr>
              <w:t>款</w:t>
            </w:r>
          </w:p>
        </w:tc>
        <w:tc>
          <w:tcPr>
            <w:tcW w:w="1742" w:type="dxa"/>
            <w:vAlign w:val="center"/>
          </w:tcPr>
          <w:p w14:paraId="5571CBC9">
            <w:pPr>
              <w:adjustRightInd w:val="0"/>
              <w:snapToGrid w:val="0"/>
              <w:jc w:val="left"/>
              <w:rPr>
                <w:rFonts w:ascii="宋体" w:hAnsi="宋体"/>
                <w:color w:val="auto"/>
                <w:szCs w:val="21"/>
              </w:rPr>
            </w:pPr>
            <w:r>
              <w:rPr>
                <w:rFonts w:hint="eastAsia" w:ascii="宋体" w:hAnsi="宋体"/>
                <w:bCs/>
                <w:color w:val="auto"/>
                <w:szCs w:val="21"/>
                <w:highlight w:val="none"/>
                <w:lang w:eastAsia="zh-CN"/>
              </w:rPr>
              <w:t>其他专用条款</w:t>
            </w:r>
          </w:p>
        </w:tc>
        <w:tc>
          <w:tcPr>
            <w:tcW w:w="5170" w:type="dxa"/>
            <w:vAlign w:val="center"/>
          </w:tcPr>
          <w:p w14:paraId="4EEBE704">
            <w:pPr>
              <w:adjustRightInd w:val="0"/>
              <w:snapToGrid w:val="0"/>
              <w:jc w:val="left"/>
              <w:rPr>
                <w:rFonts w:hint="default" w:ascii="宋体" w:hAnsi="宋体" w:eastAsia="宋体"/>
                <w:color w:val="auto"/>
                <w:szCs w:val="21"/>
                <w:lang w:val="en-US" w:eastAsia="zh-CN"/>
              </w:rPr>
            </w:pPr>
          </w:p>
        </w:tc>
      </w:tr>
    </w:tbl>
    <w:p w14:paraId="4EEF9619">
      <w:pPr>
        <w:rPr>
          <w:color w:val="auto"/>
        </w:rPr>
      </w:pPr>
    </w:p>
    <w:p w14:paraId="02E09C82">
      <w:pPr>
        <w:rPr>
          <w:color w:val="auto"/>
        </w:rPr>
      </w:pPr>
    </w:p>
    <w:p w14:paraId="6DF67605">
      <w:pPr>
        <w:rPr>
          <w:rFonts w:ascii="宋体" w:hAnsi="宋体"/>
          <w:b/>
          <w:color w:val="auto"/>
          <w:sz w:val="36"/>
          <w:szCs w:val="36"/>
        </w:rPr>
      </w:pPr>
    </w:p>
    <w:p w14:paraId="6D505C71">
      <w:pPr>
        <w:rPr>
          <w:rFonts w:ascii="宋体" w:hAnsi="宋体"/>
          <w:b/>
          <w:color w:val="auto"/>
          <w:sz w:val="36"/>
          <w:szCs w:val="36"/>
        </w:rPr>
      </w:pPr>
    </w:p>
    <w:p w14:paraId="4B9D4CBC">
      <w:pPr>
        <w:rPr>
          <w:rFonts w:ascii="宋体" w:hAnsi="宋体"/>
          <w:b/>
          <w:color w:val="auto"/>
          <w:sz w:val="36"/>
          <w:szCs w:val="36"/>
        </w:rPr>
      </w:pPr>
    </w:p>
    <w:p w14:paraId="3D387321">
      <w:pPr>
        <w:rPr>
          <w:rFonts w:ascii="宋体" w:hAnsi="宋体"/>
          <w:b/>
          <w:color w:val="auto"/>
          <w:sz w:val="36"/>
          <w:szCs w:val="36"/>
        </w:rPr>
      </w:pPr>
    </w:p>
    <w:p w14:paraId="1F335637">
      <w:pPr>
        <w:rPr>
          <w:rFonts w:ascii="宋体" w:hAnsi="宋体"/>
          <w:b/>
          <w:color w:val="auto"/>
          <w:sz w:val="36"/>
          <w:szCs w:val="36"/>
        </w:rPr>
      </w:pPr>
    </w:p>
    <w:p w14:paraId="01398673">
      <w:pPr>
        <w:rPr>
          <w:rFonts w:ascii="宋体" w:hAnsi="宋体"/>
          <w:b/>
          <w:color w:val="auto"/>
          <w:sz w:val="36"/>
          <w:szCs w:val="36"/>
        </w:rPr>
      </w:pPr>
    </w:p>
    <w:p w14:paraId="306F6D2F">
      <w:pPr>
        <w:rPr>
          <w:rFonts w:ascii="宋体" w:hAnsi="宋体"/>
          <w:b/>
          <w:color w:val="auto"/>
          <w:sz w:val="36"/>
          <w:szCs w:val="36"/>
        </w:rPr>
      </w:pPr>
    </w:p>
    <w:p w14:paraId="6661BCC5">
      <w:pPr>
        <w:rPr>
          <w:rFonts w:ascii="宋体" w:hAnsi="宋体"/>
          <w:b/>
          <w:color w:val="auto"/>
          <w:sz w:val="36"/>
          <w:szCs w:val="36"/>
        </w:rPr>
      </w:pPr>
    </w:p>
    <w:p w14:paraId="37AF0A52">
      <w:pPr>
        <w:rPr>
          <w:rFonts w:ascii="宋体" w:hAnsi="宋体"/>
          <w:b/>
          <w:color w:val="auto"/>
          <w:sz w:val="36"/>
          <w:szCs w:val="36"/>
        </w:rPr>
      </w:pPr>
    </w:p>
    <w:p w14:paraId="12BC8320">
      <w:pPr>
        <w:rPr>
          <w:rFonts w:ascii="宋体" w:hAnsi="宋体"/>
          <w:b/>
          <w:color w:val="auto"/>
          <w:sz w:val="36"/>
          <w:szCs w:val="36"/>
        </w:rPr>
      </w:pPr>
    </w:p>
    <w:p w14:paraId="045B47E2">
      <w:pPr>
        <w:pStyle w:val="50"/>
        <w:rPr>
          <w:rFonts w:ascii="宋体" w:hAnsi="宋体"/>
          <w:b/>
          <w:color w:val="auto"/>
          <w:sz w:val="36"/>
          <w:szCs w:val="36"/>
        </w:rPr>
      </w:pPr>
    </w:p>
    <w:p w14:paraId="03BF5D75">
      <w:pPr>
        <w:pStyle w:val="50"/>
        <w:rPr>
          <w:rFonts w:ascii="宋体" w:hAnsi="宋体"/>
          <w:b/>
          <w:color w:val="auto"/>
          <w:sz w:val="36"/>
          <w:szCs w:val="36"/>
        </w:rPr>
      </w:pPr>
    </w:p>
    <w:p w14:paraId="6CC7F752">
      <w:pPr>
        <w:pStyle w:val="50"/>
        <w:rPr>
          <w:rFonts w:ascii="宋体" w:hAnsi="宋体"/>
          <w:b/>
          <w:color w:val="auto"/>
          <w:sz w:val="36"/>
          <w:szCs w:val="36"/>
        </w:rPr>
      </w:pPr>
    </w:p>
    <w:p w14:paraId="31083B13">
      <w:pPr>
        <w:pStyle w:val="52"/>
        <w:jc w:val="center"/>
        <w:outlineLvl w:val="0"/>
        <w:rPr>
          <w:rFonts w:ascii="宋体" w:hAnsi="宋体" w:eastAsia="宋体" w:cs="仿宋_GB2312"/>
          <w:b/>
          <w:color w:val="auto"/>
          <w:kern w:val="0"/>
          <w:sz w:val="36"/>
          <w:szCs w:val="36"/>
          <w:lang w:val="zh-CN"/>
        </w:rPr>
      </w:pPr>
      <w:bookmarkStart w:id="24" w:name="_Toc103723528"/>
      <w:r>
        <w:rPr>
          <w:rFonts w:hint="eastAsia" w:ascii="宋体" w:hAnsi="宋体" w:eastAsia="宋体" w:cs="仿宋_GB2312"/>
          <w:b/>
          <w:color w:val="auto"/>
          <w:kern w:val="0"/>
          <w:sz w:val="36"/>
          <w:szCs w:val="36"/>
          <w:lang w:val="zh-CN"/>
        </w:rPr>
        <w:t>第五章</w:t>
      </w:r>
      <w:r>
        <w:rPr>
          <w:rFonts w:hint="eastAsia" w:ascii="宋体" w:hAnsi="宋体" w:eastAsia="宋体" w:cs="仿宋_GB2312"/>
          <w:b/>
          <w:color w:val="auto"/>
          <w:kern w:val="0"/>
          <w:sz w:val="36"/>
          <w:szCs w:val="36"/>
          <w:lang w:val="en-US" w:eastAsia="zh-CN"/>
        </w:rPr>
        <w:t xml:space="preserve"> </w:t>
      </w:r>
      <w:r>
        <w:rPr>
          <w:rFonts w:hint="eastAsia" w:ascii="宋体" w:hAnsi="宋体" w:eastAsia="宋体" w:cs="仿宋_GB2312"/>
          <w:b/>
          <w:color w:val="auto"/>
          <w:kern w:val="0"/>
          <w:sz w:val="36"/>
          <w:szCs w:val="36"/>
          <w:lang w:val="zh-CN"/>
        </w:rPr>
        <w:t>评审办法</w:t>
      </w:r>
      <w:bookmarkEnd w:id="24"/>
    </w:p>
    <w:p w14:paraId="729483AD">
      <w:pPr>
        <w:pStyle w:val="52"/>
        <w:spacing w:line="360" w:lineRule="auto"/>
        <w:ind w:firstLine="480" w:firstLineChars="200"/>
        <w:rPr>
          <w:rFonts w:ascii="宋体" w:hAnsi="宋体" w:eastAsia="宋体" w:cs="仿宋_GB2312"/>
          <w:color w:val="auto"/>
          <w:kern w:val="0"/>
          <w:sz w:val="24"/>
          <w:lang w:val="zh-CN"/>
        </w:rPr>
      </w:pPr>
    </w:p>
    <w:p w14:paraId="4FDEDFE7">
      <w:pPr>
        <w:pStyle w:val="52"/>
        <w:spacing w:line="360" w:lineRule="auto"/>
        <w:ind w:firstLine="480" w:firstLineChars="200"/>
        <w:rPr>
          <w:rFonts w:ascii="宋体" w:hAnsi="宋体" w:eastAsia="宋体" w:cs="仿宋_GB2312"/>
          <w:color w:val="auto"/>
          <w:kern w:val="0"/>
          <w:sz w:val="24"/>
          <w:lang w:val="zh-CN"/>
        </w:rPr>
      </w:pPr>
    </w:p>
    <w:p w14:paraId="2FB83F3A">
      <w:pPr>
        <w:pStyle w:val="52"/>
        <w:spacing w:line="360" w:lineRule="auto"/>
        <w:ind w:firstLine="480" w:firstLineChars="200"/>
        <w:rPr>
          <w:rFonts w:ascii="宋体" w:hAnsi="宋体" w:eastAsia="宋体" w:cs="仿宋_GB2312"/>
          <w:color w:val="auto"/>
          <w:kern w:val="0"/>
          <w:sz w:val="24"/>
          <w:lang w:val="zh-CN"/>
        </w:rPr>
      </w:pPr>
    </w:p>
    <w:p w14:paraId="37258A70">
      <w:pPr>
        <w:pStyle w:val="52"/>
        <w:spacing w:line="360" w:lineRule="auto"/>
        <w:ind w:firstLine="480" w:firstLineChars="200"/>
        <w:rPr>
          <w:rFonts w:ascii="宋体" w:hAnsi="宋体" w:eastAsia="宋体" w:cs="仿宋_GB2312"/>
          <w:color w:val="auto"/>
          <w:kern w:val="0"/>
          <w:sz w:val="24"/>
          <w:lang w:val="zh-CN"/>
        </w:rPr>
      </w:pPr>
    </w:p>
    <w:p w14:paraId="6404FAE2">
      <w:pPr>
        <w:pStyle w:val="52"/>
        <w:spacing w:line="360" w:lineRule="auto"/>
        <w:ind w:firstLine="480" w:firstLineChars="200"/>
        <w:rPr>
          <w:rFonts w:ascii="宋体" w:hAnsi="宋体" w:eastAsia="宋体" w:cs="仿宋_GB2312"/>
          <w:color w:val="auto"/>
          <w:kern w:val="0"/>
          <w:sz w:val="24"/>
          <w:lang w:val="zh-CN"/>
        </w:rPr>
      </w:pPr>
    </w:p>
    <w:p w14:paraId="53871772">
      <w:pPr>
        <w:pStyle w:val="52"/>
        <w:spacing w:line="360" w:lineRule="auto"/>
        <w:ind w:firstLine="480" w:firstLineChars="200"/>
        <w:rPr>
          <w:rFonts w:ascii="宋体" w:hAnsi="宋体" w:eastAsia="宋体" w:cs="仿宋_GB2312"/>
          <w:color w:val="auto"/>
          <w:kern w:val="0"/>
          <w:sz w:val="24"/>
          <w:lang w:val="zh-CN"/>
        </w:rPr>
      </w:pPr>
    </w:p>
    <w:p w14:paraId="78776D62">
      <w:pPr>
        <w:pStyle w:val="52"/>
        <w:spacing w:line="360" w:lineRule="auto"/>
        <w:ind w:firstLine="480" w:firstLineChars="200"/>
        <w:rPr>
          <w:rFonts w:ascii="宋体" w:hAnsi="宋体" w:eastAsia="宋体" w:cs="仿宋_GB2312"/>
          <w:color w:val="auto"/>
          <w:kern w:val="0"/>
          <w:sz w:val="24"/>
          <w:lang w:val="zh-CN"/>
        </w:rPr>
      </w:pPr>
    </w:p>
    <w:p w14:paraId="7A672138">
      <w:pPr>
        <w:pStyle w:val="52"/>
        <w:spacing w:line="360" w:lineRule="auto"/>
        <w:ind w:firstLine="480" w:firstLineChars="200"/>
        <w:rPr>
          <w:rFonts w:ascii="宋体" w:hAnsi="宋体" w:eastAsia="宋体" w:cs="仿宋_GB2312"/>
          <w:color w:val="auto"/>
          <w:kern w:val="0"/>
          <w:sz w:val="24"/>
          <w:lang w:val="zh-CN"/>
        </w:rPr>
      </w:pPr>
    </w:p>
    <w:p w14:paraId="25791513">
      <w:pPr>
        <w:pStyle w:val="52"/>
        <w:spacing w:line="360" w:lineRule="auto"/>
        <w:ind w:firstLine="480" w:firstLineChars="200"/>
        <w:rPr>
          <w:rFonts w:ascii="宋体" w:hAnsi="宋体" w:eastAsia="宋体" w:cs="仿宋_GB2312"/>
          <w:color w:val="auto"/>
          <w:kern w:val="0"/>
          <w:sz w:val="24"/>
          <w:lang w:val="zh-CN"/>
        </w:rPr>
      </w:pPr>
    </w:p>
    <w:p w14:paraId="4FD1EA42">
      <w:pPr>
        <w:pStyle w:val="52"/>
        <w:spacing w:line="360" w:lineRule="auto"/>
        <w:ind w:firstLine="480" w:firstLineChars="200"/>
        <w:rPr>
          <w:rFonts w:ascii="宋体" w:hAnsi="宋体" w:eastAsia="宋体" w:cs="仿宋_GB2312"/>
          <w:color w:val="auto"/>
          <w:kern w:val="0"/>
          <w:sz w:val="24"/>
          <w:lang w:val="zh-CN"/>
        </w:rPr>
      </w:pPr>
    </w:p>
    <w:p w14:paraId="0B14470A">
      <w:pPr>
        <w:pStyle w:val="52"/>
        <w:spacing w:line="360" w:lineRule="auto"/>
        <w:ind w:firstLine="480" w:firstLineChars="200"/>
        <w:rPr>
          <w:rFonts w:ascii="宋体" w:hAnsi="宋体" w:eastAsia="宋体" w:cs="仿宋_GB2312"/>
          <w:color w:val="auto"/>
          <w:kern w:val="0"/>
          <w:sz w:val="24"/>
          <w:lang w:val="zh-CN"/>
        </w:rPr>
      </w:pPr>
    </w:p>
    <w:p w14:paraId="7BE05B6F">
      <w:pPr>
        <w:pStyle w:val="52"/>
        <w:spacing w:line="360" w:lineRule="auto"/>
        <w:ind w:firstLine="480" w:firstLineChars="200"/>
        <w:rPr>
          <w:rFonts w:ascii="宋体" w:hAnsi="宋体" w:eastAsia="宋体" w:cs="仿宋_GB2312"/>
          <w:color w:val="auto"/>
          <w:kern w:val="0"/>
          <w:sz w:val="24"/>
          <w:lang w:val="zh-CN"/>
        </w:rPr>
      </w:pPr>
    </w:p>
    <w:p w14:paraId="1009C734">
      <w:pPr>
        <w:pStyle w:val="52"/>
        <w:spacing w:line="360" w:lineRule="auto"/>
        <w:ind w:firstLine="480" w:firstLineChars="200"/>
        <w:rPr>
          <w:rFonts w:ascii="宋体" w:hAnsi="宋体" w:eastAsia="宋体" w:cs="仿宋_GB2312"/>
          <w:color w:val="auto"/>
          <w:kern w:val="0"/>
          <w:sz w:val="24"/>
          <w:lang w:val="zh-CN"/>
        </w:rPr>
      </w:pPr>
    </w:p>
    <w:p w14:paraId="5AB381F3">
      <w:pPr>
        <w:pStyle w:val="52"/>
        <w:spacing w:line="360" w:lineRule="auto"/>
        <w:rPr>
          <w:rFonts w:ascii="宋体" w:hAnsi="宋体" w:eastAsia="宋体" w:cs="仿宋_GB2312"/>
          <w:color w:val="auto"/>
          <w:kern w:val="0"/>
          <w:sz w:val="24"/>
          <w:lang w:val="zh-CN"/>
        </w:rPr>
      </w:pPr>
    </w:p>
    <w:p w14:paraId="262A1097">
      <w:pPr>
        <w:widowControl/>
        <w:jc w:val="left"/>
        <w:rPr>
          <w:rFonts w:ascii="宋体" w:hAnsi="宋体" w:cs="仿宋_GB2312"/>
          <w:b/>
          <w:color w:val="auto"/>
          <w:kern w:val="0"/>
          <w:sz w:val="28"/>
          <w:szCs w:val="28"/>
          <w:lang w:val="zh-CN"/>
        </w:rPr>
      </w:pPr>
      <w:r>
        <w:rPr>
          <w:rFonts w:ascii="宋体" w:hAnsi="宋体" w:cs="仿宋_GB2312"/>
          <w:b/>
          <w:color w:val="auto"/>
          <w:kern w:val="0"/>
          <w:sz w:val="28"/>
          <w:szCs w:val="28"/>
          <w:lang w:val="zh-CN"/>
        </w:rPr>
        <w:br w:type="page"/>
      </w:r>
    </w:p>
    <w:p w14:paraId="1F18A289">
      <w:pPr>
        <w:pStyle w:val="52"/>
        <w:spacing w:line="360" w:lineRule="auto"/>
        <w:ind w:firstLine="562" w:firstLineChars="200"/>
        <w:jc w:val="center"/>
        <w:rPr>
          <w:rFonts w:ascii="宋体" w:hAnsi="宋体" w:eastAsia="宋体" w:cs="仿宋_GB2312"/>
          <w:b/>
          <w:color w:val="auto"/>
          <w:kern w:val="0"/>
          <w:sz w:val="28"/>
          <w:szCs w:val="28"/>
          <w:lang w:val="zh-CN"/>
        </w:rPr>
      </w:pPr>
      <w:r>
        <w:rPr>
          <w:rFonts w:hint="eastAsia" w:ascii="宋体" w:hAnsi="宋体" w:eastAsia="宋体" w:cs="仿宋_GB2312"/>
          <w:b/>
          <w:color w:val="auto"/>
          <w:kern w:val="0"/>
          <w:sz w:val="28"/>
          <w:szCs w:val="28"/>
          <w:lang w:val="zh-CN"/>
        </w:rPr>
        <w:t>评审办法</w:t>
      </w:r>
    </w:p>
    <w:p w14:paraId="5912DCC2">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一、评审标准和方法的制定依据</w:t>
      </w:r>
    </w:p>
    <w:p w14:paraId="05D2EECA">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按照《中华人民共和国政府采购法》、《政府采购货物和服务招标投标管理办法》的有关规定，遵循公开、公平、公正的原则，结合本项目的实际情况，制定蚕产品农残检测辅助系统评审办法。</w:t>
      </w:r>
    </w:p>
    <w:p w14:paraId="3908FD19">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二、评审机构</w:t>
      </w:r>
    </w:p>
    <w:p w14:paraId="030CBBC1">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为依法组建的谈判小组，谈判小组成员由具有</w:t>
      </w:r>
      <w:r>
        <w:rPr>
          <w:rFonts w:hint="eastAsia" w:ascii="宋体" w:hAnsi="宋体" w:eastAsia="宋体" w:cs="仿宋_GB2312"/>
          <w:color w:val="auto"/>
          <w:kern w:val="0"/>
          <w:sz w:val="24"/>
          <w:lang w:val="en-US" w:eastAsia="zh-CN"/>
        </w:rPr>
        <w:t>相关</w:t>
      </w:r>
      <w:r>
        <w:rPr>
          <w:rFonts w:hint="eastAsia" w:ascii="宋体" w:hAnsi="宋体" w:eastAsia="宋体" w:cs="仿宋_GB2312"/>
          <w:color w:val="auto"/>
          <w:kern w:val="0"/>
          <w:sz w:val="24"/>
          <w:lang w:val="zh-CN"/>
        </w:rPr>
        <w:t>职称或具有同等专业水平的相关专家组成。与采购项目有直接利害关系或与响应谈判供应商有任何利害关系的专家，不得进入本项目的评审小组。评审小组成员名单在成交结果确定前应当保密。</w:t>
      </w:r>
    </w:p>
    <w:p w14:paraId="1493206A">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三、评审原则</w:t>
      </w:r>
    </w:p>
    <w:p w14:paraId="7BABFC98">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评审工作严格按照评审标准和方法规定的内容，遵循公平、公正、科学、择优的原则评审，选定成交供应商。</w:t>
      </w:r>
    </w:p>
    <w:p w14:paraId="461AAC2D">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四、评审程序</w:t>
      </w:r>
    </w:p>
    <w:p w14:paraId="5C42B515">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 xml:space="preserve">初步评审和详细评审。 </w:t>
      </w:r>
    </w:p>
    <w:p w14:paraId="4F71353D">
      <w:pPr>
        <w:pStyle w:val="52"/>
        <w:spacing w:line="360" w:lineRule="auto"/>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五、评审标准：</w:t>
      </w:r>
    </w:p>
    <w:p w14:paraId="68EEEDA7">
      <w:pPr>
        <w:pStyle w:val="52"/>
        <w:spacing w:line="360" w:lineRule="auto"/>
        <w:ind w:firstLine="482" w:firstLineChars="200"/>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1</w:t>
      </w:r>
      <w:r>
        <w:rPr>
          <w:rFonts w:hint="eastAsia" w:ascii="宋体" w:hAnsi="宋体" w:eastAsia="宋体" w:cs="仿宋_GB2312"/>
          <w:color w:val="auto"/>
          <w:kern w:val="0"/>
          <w:sz w:val="24"/>
          <w:lang w:val="zh-CN"/>
        </w:rPr>
        <w:t>.</w:t>
      </w:r>
      <w:r>
        <w:rPr>
          <w:rFonts w:hint="eastAsia" w:ascii="宋体" w:hAnsi="宋体" w:eastAsia="宋体" w:cs="仿宋_GB2312"/>
          <w:b/>
          <w:color w:val="auto"/>
          <w:kern w:val="0"/>
          <w:sz w:val="24"/>
          <w:lang w:val="zh-CN"/>
        </w:rPr>
        <w:t>初步评审</w:t>
      </w:r>
    </w:p>
    <w:p w14:paraId="31CA162F">
      <w:pPr>
        <w:pStyle w:val="52"/>
        <w:spacing w:line="360" w:lineRule="auto"/>
        <w:ind w:firstLine="480" w:firstLineChars="200"/>
        <w:rPr>
          <w:rFonts w:ascii="宋体" w:hAnsi="宋体" w:eastAsia="宋体" w:cs="仿宋_GB2312"/>
          <w:bCs/>
          <w:color w:val="auto"/>
          <w:kern w:val="0"/>
          <w:sz w:val="24"/>
          <w:lang w:val="zh-CN"/>
        </w:rPr>
      </w:pPr>
      <w:r>
        <w:rPr>
          <w:rFonts w:hint="eastAsia" w:ascii="宋体" w:hAnsi="宋体" w:eastAsia="宋体" w:cs="仿宋_GB2312"/>
          <w:bCs/>
          <w:color w:val="auto"/>
          <w:kern w:val="0"/>
          <w:sz w:val="24"/>
          <w:lang w:val="zh-CN"/>
        </w:rPr>
        <w:t>1</w:t>
      </w:r>
      <w:r>
        <w:rPr>
          <w:rFonts w:ascii="宋体" w:hAnsi="宋体" w:eastAsia="宋体" w:cs="仿宋_GB2312"/>
          <w:bCs/>
          <w:color w:val="auto"/>
          <w:kern w:val="0"/>
          <w:sz w:val="24"/>
          <w:lang w:val="zh-CN"/>
        </w:rPr>
        <w:t>.1</w:t>
      </w:r>
      <w:r>
        <w:rPr>
          <w:rFonts w:hint="eastAsia" w:ascii="宋体" w:hAnsi="宋体" w:eastAsia="宋体" w:cs="仿宋_GB2312"/>
          <w:bCs/>
          <w:color w:val="auto"/>
          <w:kern w:val="0"/>
          <w:sz w:val="24"/>
          <w:lang w:val="zh-CN"/>
        </w:rPr>
        <w:t>资格评审标准</w:t>
      </w:r>
    </w:p>
    <w:p w14:paraId="20F641EE">
      <w:pPr>
        <w:autoSpaceDE w:val="0"/>
        <w:autoSpaceDN w:val="0"/>
        <w:adjustRightInd w:val="0"/>
        <w:spacing w:line="400" w:lineRule="exact"/>
        <w:jc w:val="center"/>
        <w:rPr>
          <w:rFonts w:hint="eastAsia" w:ascii="宋体" w:hAnsi="宋体" w:eastAsia="宋体" w:cs="宋体"/>
          <w:b/>
          <w:bCs/>
          <w:color w:val="auto"/>
          <w:spacing w:val="-4"/>
          <w:sz w:val="24"/>
          <w:szCs w:val="24"/>
          <w:lang w:eastAsia="zh-CN"/>
        </w:rPr>
      </w:pPr>
      <w:r>
        <w:rPr>
          <w:rFonts w:hint="eastAsia" w:ascii="宋体" w:hAnsi="宋体" w:eastAsia="宋体" w:cs="宋体"/>
          <w:b/>
          <w:bCs/>
          <w:color w:val="auto"/>
          <w:spacing w:val="-4"/>
          <w:sz w:val="24"/>
          <w:szCs w:val="24"/>
        </w:rPr>
        <w:t>资格性审查表</w:t>
      </w:r>
    </w:p>
    <w:tbl>
      <w:tblPr>
        <w:tblStyle w:val="43"/>
        <w:tblW w:w="95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324"/>
        <w:gridCol w:w="3516"/>
        <w:gridCol w:w="4003"/>
      </w:tblGrid>
      <w:tr w14:paraId="36605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735" w:type="dxa"/>
            <w:noWrap w:val="0"/>
            <w:vAlign w:val="center"/>
          </w:tcPr>
          <w:p w14:paraId="5CAB77D4">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b/>
                <w:bCs/>
                <w:color w:val="auto"/>
                <w:spacing w:val="-4"/>
                <w:sz w:val="24"/>
                <w:szCs w:val="24"/>
                <w:vertAlign w:val="baseline"/>
                <w:lang w:eastAsia="zh-CN"/>
              </w:rPr>
            </w:pPr>
            <w:r>
              <w:rPr>
                <w:rFonts w:hint="eastAsia" w:ascii="宋体" w:hAnsi="宋体" w:eastAsia="宋体" w:cs="宋体"/>
                <w:b/>
                <w:bCs/>
                <w:color w:val="auto"/>
                <w:spacing w:val="-5"/>
                <w:sz w:val="24"/>
                <w:szCs w:val="24"/>
              </w:rPr>
              <w:t>序号</w:t>
            </w:r>
          </w:p>
        </w:tc>
        <w:tc>
          <w:tcPr>
            <w:tcW w:w="1324" w:type="dxa"/>
            <w:noWrap w:val="0"/>
            <w:vAlign w:val="center"/>
          </w:tcPr>
          <w:p w14:paraId="11DC9821">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b/>
                <w:bCs/>
                <w:color w:val="auto"/>
                <w:spacing w:val="-4"/>
                <w:sz w:val="24"/>
                <w:szCs w:val="24"/>
                <w:vertAlign w:val="baseline"/>
                <w:lang w:eastAsia="zh-CN"/>
              </w:rPr>
            </w:pPr>
            <w:r>
              <w:rPr>
                <w:rFonts w:hint="eastAsia" w:ascii="宋体" w:hAnsi="宋体" w:eastAsia="宋体" w:cs="宋体"/>
                <w:b/>
                <w:bCs/>
                <w:color w:val="auto"/>
                <w:spacing w:val="-5"/>
                <w:sz w:val="24"/>
                <w:szCs w:val="24"/>
              </w:rPr>
              <w:t>类型</w:t>
            </w:r>
          </w:p>
        </w:tc>
        <w:tc>
          <w:tcPr>
            <w:tcW w:w="3516" w:type="dxa"/>
            <w:noWrap w:val="0"/>
            <w:vAlign w:val="center"/>
          </w:tcPr>
          <w:p w14:paraId="418AD16D">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b/>
                <w:bCs/>
                <w:color w:val="auto"/>
                <w:spacing w:val="-4"/>
                <w:sz w:val="24"/>
                <w:szCs w:val="24"/>
                <w:vertAlign w:val="baseline"/>
                <w:lang w:eastAsia="zh-CN"/>
              </w:rPr>
            </w:pPr>
            <w:r>
              <w:rPr>
                <w:rFonts w:hint="eastAsia" w:ascii="宋体" w:hAnsi="宋体" w:eastAsia="宋体" w:cs="宋体"/>
                <w:b/>
                <w:bCs/>
                <w:color w:val="auto"/>
                <w:spacing w:val="-5"/>
                <w:sz w:val="24"/>
                <w:szCs w:val="24"/>
              </w:rPr>
              <w:t>审查内容</w:t>
            </w:r>
          </w:p>
        </w:tc>
        <w:tc>
          <w:tcPr>
            <w:tcW w:w="4003" w:type="dxa"/>
            <w:noWrap w:val="0"/>
            <w:vAlign w:val="center"/>
          </w:tcPr>
          <w:p w14:paraId="1FD322F8">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b/>
                <w:bCs/>
                <w:color w:val="auto"/>
                <w:spacing w:val="-4"/>
                <w:sz w:val="24"/>
                <w:szCs w:val="24"/>
                <w:vertAlign w:val="baseline"/>
                <w:lang w:eastAsia="zh-CN"/>
              </w:rPr>
            </w:pPr>
            <w:r>
              <w:rPr>
                <w:rFonts w:hint="eastAsia" w:ascii="宋体" w:hAnsi="宋体" w:eastAsia="宋体" w:cs="宋体"/>
                <w:b/>
                <w:bCs/>
                <w:color w:val="auto"/>
                <w:spacing w:val="-3"/>
                <w:sz w:val="24"/>
                <w:szCs w:val="24"/>
              </w:rPr>
              <w:t>要求说明</w:t>
            </w:r>
          </w:p>
        </w:tc>
      </w:tr>
      <w:tr w14:paraId="3717E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35" w:type="dxa"/>
            <w:noWrap w:val="0"/>
            <w:vAlign w:val="center"/>
          </w:tcPr>
          <w:p w14:paraId="510E9884">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val="en-US" w:eastAsia="zh-CN"/>
              </w:rPr>
              <w:t>1</w:t>
            </w:r>
          </w:p>
        </w:tc>
        <w:tc>
          <w:tcPr>
            <w:tcW w:w="1324" w:type="dxa"/>
            <w:noWrap w:val="0"/>
            <w:vAlign w:val="center"/>
          </w:tcPr>
          <w:p w14:paraId="45D2AA7B">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pacing w:val="-4"/>
                <w:sz w:val="24"/>
                <w:szCs w:val="24"/>
                <w:vertAlign w:val="baseline"/>
                <w:lang w:eastAsia="zh-CN"/>
              </w:rPr>
              <w:t>基本资质1</w:t>
            </w:r>
          </w:p>
        </w:tc>
        <w:tc>
          <w:tcPr>
            <w:tcW w:w="3516" w:type="dxa"/>
            <w:noWrap w:val="0"/>
            <w:vAlign w:val="center"/>
          </w:tcPr>
          <w:p w14:paraId="733D92E3">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pacing w:val="-4"/>
                <w:sz w:val="24"/>
                <w:szCs w:val="24"/>
                <w:vertAlign w:val="baseline"/>
                <w:lang w:eastAsia="zh-CN"/>
              </w:rPr>
              <w:t>具有独立承担民事责任的能力。</w:t>
            </w:r>
          </w:p>
        </w:tc>
        <w:tc>
          <w:tcPr>
            <w:tcW w:w="4003" w:type="dxa"/>
            <w:noWrap w:val="0"/>
            <w:vAlign w:val="center"/>
          </w:tcPr>
          <w:p w14:paraId="7C34C871">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pacing w:val="-4"/>
                <w:sz w:val="24"/>
                <w:szCs w:val="24"/>
                <w:vertAlign w:val="baseline"/>
                <w:lang w:eastAsia="zh-CN"/>
              </w:rPr>
              <w:t>投标人为企业（包括合伙企业）的，应提供有效的“营业执照”；</w:t>
            </w:r>
          </w:p>
          <w:p w14:paraId="65F847D3">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pacing w:val="-4"/>
                <w:sz w:val="24"/>
                <w:szCs w:val="24"/>
                <w:vertAlign w:val="baseline"/>
                <w:lang w:eastAsia="zh-CN"/>
              </w:rPr>
              <w:t>投标人为事业单位的，应提供有效的“事业单位法人证书”；</w:t>
            </w:r>
          </w:p>
          <w:p w14:paraId="390F39C0">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pacing w:val="-4"/>
                <w:sz w:val="24"/>
                <w:szCs w:val="24"/>
                <w:vertAlign w:val="baseline"/>
                <w:lang w:eastAsia="zh-CN"/>
              </w:rPr>
              <w:t>投标人是非企业机构的，应提供有效的“执业许可证”、“登记证书”等证明文件；</w:t>
            </w:r>
          </w:p>
          <w:p w14:paraId="1B5C8A84">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pacing w:val="-4"/>
                <w:sz w:val="24"/>
                <w:szCs w:val="24"/>
                <w:vertAlign w:val="baseline"/>
                <w:lang w:eastAsia="zh-CN"/>
              </w:rPr>
              <w:t>投标人是个体工商户的，应提供有效的“个体工商户营业执照”；</w:t>
            </w:r>
          </w:p>
          <w:p w14:paraId="0F25949E">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pacing w:val="-4"/>
                <w:sz w:val="24"/>
                <w:szCs w:val="24"/>
                <w:vertAlign w:val="baseline"/>
                <w:lang w:eastAsia="zh-CN"/>
              </w:rPr>
              <w:t>投标人是自然人的，应提供有效的自然人身份证明。</w:t>
            </w:r>
          </w:p>
        </w:tc>
      </w:tr>
      <w:tr w14:paraId="67C00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35" w:type="dxa"/>
            <w:noWrap w:val="0"/>
            <w:vAlign w:val="center"/>
          </w:tcPr>
          <w:p w14:paraId="04D1181D">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val="en-US" w:eastAsia="zh-CN"/>
              </w:rPr>
              <w:t>2</w:t>
            </w:r>
          </w:p>
        </w:tc>
        <w:tc>
          <w:tcPr>
            <w:tcW w:w="1324" w:type="dxa"/>
            <w:noWrap w:val="0"/>
            <w:vAlign w:val="center"/>
          </w:tcPr>
          <w:p w14:paraId="61E866FB">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eastAsia="zh-CN"/>
              </w:rPr>
              <w:t>基本资质</w:t>
            </w:r>
            <w:r>
              <w:rPr>
                <w:rFonts w:hint="eastAsia" w:ascii="宋体" w:hAnsi="宋体" w:eastAsia="宋体" w:cs="宋体"/>
                <w:color w:val="auto"/>
                <w:spacing w:val="-4"/>
                <w:sz w:val="24"/>
                <w:szCs w:val="24"/>
                <w:vertAlign w:val="baseline"/>
                <w:lang w:val="en-US" w:eastAsia="zh-CN"/>
              </w:rPr>
              <w:t>2</w:t>
            </w:r>
          </w:p>
        </w:tc>
        <w:tc>
          <w:tcPr>
            <w:tcW w:w="3516" w:type="dxa"/>
            <w:noWrap w:val="0"/>
            <w:vAlign w:val="center"/>
          </w:tcPr>
          <w:p w14:paraId="7E80ED5C">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z w:val="24"/>
                <w:szCs w:val="24"/>
                <w:highlight w:val="none"/>
                <w:lang w:val="en-US"/>
              </w:rPr>
              <w:t>具有良好的商业信誉和健全的财务会计制度</w:t>
            </w:r>
            <w:r>
              <w:rPr>
                <w:rFonts w:hint="eastAsia" w:ascii="宋体" w:hAnsi="宋体" w:eastAsia="宋体" w:cs="宋体"/>
                <w:color w:val="auto"/>
                <w:sz w:val="24"/>
                <w:szCs w:val="24"/>
                <w:highlight w:val="none"/>
                <w:lang w:val="en-US" w:eastAsia="zh-CN"/>
              </w:rPr>
              <w:t>、具有依法缴纳税收和社会保障资金的良好记录。</w:t>
            </w:r>
          </w:p>
        </w:tc>
        <w:tc>
          <w:tcPr>
            <w:tcW w:w="4003" w:type="dxa"/>
            <w:noWrap w:val="0"/>
            <w:vAlign w:val="center"/>
          </w:tcPr>
          <w:p w14:paraId="39284BDB">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sz w:val="24"/>
                <w:szCs w:val="24"/>
                <w:vertAlign w:val="baseline"/>
                <w:lang w:eastAsia="zh-CN"/>
              </w:rPr>
            </w:pPr>
            <w:r>
              <w:rPr>
                <w:rFonts w:hint="eastAsia" w:ascii="宋体" w:hAnsi="宋体" w:eastAsia="宋体" w:cs="宋体"/>
                <w:color w:val="auto"/>
                <w:spacing w:val="-4"/>
                <w:sz w:val="24"/>
                <w:szCs w:val="24"/>
                <w:vertAlign w:val="baseline"/>
                <w:lang w:eastAsia="zh-CN"/>
              </w:rPr>
              <w:t>提供资格条件承诺函</w:t>
            </w:r>
          </w:p>
        </w:tc>
      </w:tr>
      <w:tr w14:paraId="1D3E8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35" w:type="dxa"/>
            <w:noWrap w:val="0"/>
            <w:vAlign w:val="center"/>
          </w:tcPr>
          <w:p w14:paraId="2D3B061C">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val="en-US" w:eastAsia="zh-CN"/>
              </w:rPr>
              <w:t>3</w:t>
            </w:r>
          </w:p>
        </w:tc>
        <w:tc>
          <w:tcPr>
            <w:tcW w:w="1324" w:type="dxa"/>
            <w:noWrap w:val="0"/>
            <w:vAlign w:val="center"/>
          </w:tcPr>
          <w:p w14:paraId="4F8B39B3">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eastAsia="zh-CN"/>
              </w:rPr>
              <w:t>基本资质</w:t>
            </w:r>
            <w:r>
              <w:rPr>
                <w:rFonts w:hint="eastAsia" w:ascii="宋体" w:hAnsi="宋体" w:eastAsia="宋体" w:cs="宋体"/>
                <w:color w:val="auto"/>
                <w:spacing w:val="-4"/>
                <w:sz w:val="24"/>
                <w:szCs w:val="24"/>
                <w:vertAlign w:val="baseline"/>
                <w:lang w:val="en-US" w:eastAsia="zh-CN"/>
              </w:rPr>
              <w:t>3</w:t>
            </w:r>
          </w:p>
        </w:tc>
        <w:tc>
          <w:tcPr>
            <w:tcW w:w="3516" w:type="dxa"/>
            <w:noWrap w:val="0"/>
            <w:vAlign w:val="center"/>
          </w:tcPr>
          <w:p w14:paraId="047F550D">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vertAlign w:val="baseline"/>
                <w:lang w:val="en-US" w:eastAsia="zh-CN" w:bidi="ar-SA"/>
              </w:rPr>
            </w:pPr>
            <w:r>
              <w:rPr>
                <w:rFonts w:hint="eastAsia" w:ascii="宋体" w:hAnsi="宋体" w:eastAsia="宋体" w:cs="宋体"/>
                <w:snapToGrid w:val="0"/>
                <w:color w:val="auto"/>
                <w:spacing w:val="-4"/>
                <w:kern w:val="0"/>
                <w:sz w:val="24"/>
                <w:szCs w:val="24"/>
                <w:vertAlign w:val="baseline"/>
                <w:lang w:val="en-US" w:eastAsia="zh-CN" w:bidi="ar-SA"/>
              </w:rPr>
              <w:t>拒绝列入政府取消投标资格记录期间的企业或个人投标。供应商不得为“信用中国”网站（www.creditchina.gov.cn）中列入失信被执行人和重大税收违法失信主体的供应商，不得为中国政府采购网（www.ccgp.gov.cn）政府采购严重违法失信行为记录名单中被财政部门禁止参加政府采购活动的供应商（在处罚决定规定的时间和地域范围内）（详见财库【2016】125号文）。</w:t>
            </w:r>
          </w:p>
        </w:tc>
        <w:tc>
          <w:tcPr>
            <w:tcW w:w="4003" w:type="dxa"/>
            <w:noWrap w:val="0"/>
            <w:vAlign w:val="center"/>
          </w:tcPr>
          <w:p w14:paraId="34BE3097">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vertAlign w:val="baseline"/>
                <w:lang w:val="en-US" w:eastAsia="zh-CN" w:bidi="ar-SA"/>
              </w:rPr>
            </w:pPr>
            <w:r>
              <w:rPr>
                <w:rFonts w:hint="eastAsia" w:ascii="宋体" w:hAnsi="宋体" w:eastAsia="宋体" w:cs="宋体"/>
                <w:color w:val="auto"/>
                <w:spacing w:val="-4"/>
                <w:sz w:val="24"/>
                <w:szCs w:val="24"/>
                <w:vertAlign w:val="baseline"/>
                <w:lang w:eastAsia="zh-CN"/>
              </w:rPr>
              <w:t>提供承诺书及相关网站截图，格式自拟</w:t>
            </w:r>
          </w:p>
        </w:tc>
      </w:tr>
      <w:tr w14:paraId="0F497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35" w:type="dxa"/>
            <w:noWrap w:val="0"/>
            <w:vAlign w:val="center"/>
          </w:tcPr>
          <w:p w14:paraId="5F65409C">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val="en-US" w:eastAsia="zh-CN"/>
              </w:rPr>
              <w:t>4</w:t>
            </w:r>
          </w:p>
        </w:tc>
        <w:tc>
          <w:tcPr>
            <w:tcW w:w="1324" w:type="dxa"/>
            <w:noWrap w:val="0"/>
            <w:vAlign w:val="center"/>
          </w:tcPr>
          <w:p w14:paraId="197E45D7">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eastAsia="zh-CN"/>
              </w:rPr>
              <w:t>基本资质</w:t>
            </w:r>
            <w:r>
              <w:rPr>
                <w:rFonts w:hint="eastAsia" w:ascii="宋体" w:hAnsi="宋体" w:eastAsia="宋体" w:cs="宋体"/>
                <w:color w:val="auto"/>
                <w:spacing w:val="-4"/>
                <w:sz w:val="24"/>
                <w:szCs w:val="24"/>
                <w:vertAlign w:val="baseline"/>
                <w:lang w:val="en-US" w:eastAsia="zh-CN"/>
              </w:rPr>
              <w:t>4</w:t>
            </w:r>
          </w:p>
        </w:tc>
        <w:tc>
          <w:tcPr>
            <w:tcW w:w="3516" w:type="dxa"/>
            <w:noWrap w:val="0"/>
            <w:vAlign w:val="center"/>
          </w:tcPr>
          <w:p w14:paraId="05EC5AA6">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vertAlign w:val="baseline"/>
                <w:lang w:val="en-US" w:eastAsia="zh-CN" w:bidi="ar-SA"/>
              </w:rPr>
            </w:pPr>
            <w:r>
              <w:rPr>
                <w:rFonts w:hint="eastAsia" w:ascii="宋体" w:hAnsi="宋体" w:eastAsia="宋体" w:cs="宋体"/>
                <w:snapToGrid w:val="0"/>
                <w:color w:val="auto"/>
                <w:spacing w:val="-4"/>
                <w:kern w:val="0"/>
                <w:sz w:val="24"/>
                <w:szCs w:val="24"/>
                <w:vertAlign w:val="baseline"/>
                <w:lang w:val="en-US" w:eastAsia="zh-CN" w:bidi="ar-SA"/>
              </w:rPr>
              <w:t>与采购人存在利害关系可能影响招标公正性的法人、其他组织或者个人，不得参加投标。单 位负责人为同一人或者存在控股、管理关系的不同单位，不得参加同一标段投标或者未划分标段的 同一招标项目投标。违反这两款规定的，相关投标均无效。</w:t>
            </w:r>
          </w:p>
        </w:tc>
        <w:tc>
          <w:tcPr>
            <w:tcW w:w="4003" w:type="dxa"/>
            <w:noWrap w:val="0"/>
            <w:vAlign w:val="center"/>
          </w:tcPr>
          <w:p w14:paraId="75D6B8E8">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vertAlign w:val="baseline"/>
                <w:lang w:val="en-US" w:eastAsia="zh-CN" w:bidi="ar-SA"/>
              </w:rPr>
            </w:pPr>
            <w:r>
              <w:rPr>
                <w:rFonts w:hint="eastAsia" w:ascii="宋体" w:hAnsi="宋体" w:eastAsia="宋体" w:cs="宋体"/>
                <w:color w:val="auto"/>
                <w:spacing w:val="-4"/>
                <w:sz w:val="24"/>
                <w:szCs w:val="24"/>
                <w:vertAlign w:val="baseline"/>
                <w:lang w:eastAsia="zh-CN"/>
              </w:rPr>
              <w:t>提供书面声明，格式自拟</w:t>
            </w:r>
          </w:p>
        </w:tc>
      </w:tr>
      <w:tr w14:paraId="64893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35" w:type="dxa"/>
            <w:noWrap w:val="0"/>
            <w:vAlign w:val="center"/>
          </w:tcPr>
          <w:p w14:paraId="2D62DCBE">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val="en-US" w:eastAsia="zh-CN"/>
              </w:rPr>
              <w:t>5</w:t>
            </w:r>
          </w:p>
        </w:tc>
        <w:tc>
          <w:tcPr>
            <w:tcW w:w="1324" w:type="dxa"/>
            <w:noWrap w:val="0"/>
            <w:vAlign w:val="center"/>
          </w:tcPr>
          <w:p w14:paraId="678B82C1">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eastAsia="zh-CN"/>
              </w:rPr>
              <w:t>基本资质</w:t>
            </w:r>
            <w:r>
              <w:rPr>
                <w:rFonts w:hint="eastAsia" w:ascii="宋体" w:hAnsi="宋体" w:eastAsia="宋体" w:cs="宋体"/>
                <w:color w:val="auto"/>
                <w:spacing w:val="-4"/>
                <w:sz w:val="24"/>
                <w:szCs w:val="24"/>
                <w:vertAlign w:val="baseline"/>
                <w:lang w:val="en-US" w:eastAsia="zh-CN"/>
              </w:rPr>
              <w:t>5</w:t>
            </w:r>
          </w:p>
        </w:tc>
        <w:tc>
          <w:tcPr>
            <w:tcW w:w="3516" w:type="dxa"/>
            <w:noWrap w:val="0"/>
            <w:vAlign w:val="center"/>
          </w:tcPr>
          <w:p w14:paraId="7091B2C1">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vertAlign w:val="baseline"/>
                <w:lang w:val="en-US" w:eastAsia="zh-CN" w:bidi="ar-SA"/>
              </w:rPr>
            </w:pPr>
            <w:r>
              <w:rPr>
                <w:rFonts w:hint="eastAsia" w:ascii="宋体" w:hAnsi="宋体" w:eastAsia="宋体" w:cs="宋体"/>
                <w:color w:val="auto"/>
                <w:spacing w:val="-4"/>
                <w:sz w:val="24"/>
                <w:szCs w:val="24"/>
                <w:vertAlign w:val="baseline"/>
                <w:lang w:eastAsia="zh-CN"/>
              </w:rPr>
              <w:t>不接受联合体投标</w:t>
            </w:r>
          </w:p>
        </w:tc>
        <w:tc>
          <w:tcPr>
            <w:tcW w:w="4003" w:type="dxa"/>
            <w:noWrap w:val="0"/>
            <w:vAlign w:val="center"/>
          </w:tcPr>
          <w:p w14:paraId="5824BBDF">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vertAlign w:val="baseline"/>
                <w:lang w:val="en-US" w:eastAsia="zh-CN" w:bidi="ar-SA"/>
              </w:rPr>
            </w:pPr>
            <w:r>
              <w:rPr>
                <w:rFonts w:hint="eastAsia" w:ascii="宋体" w:hAnsi="宋体" w:eastAsia="宋体" w:cs="宋体"/>
                <w:color w:val="auto"/>
                <w:spacing w:val="-4"/>
                <w:sz w:val="24"/>
                <w:szCs w:val="24"/>
                <w:vertAlign w:val="baseline"/>
                <w:lang w:eastAsia="zh-CN"/>
              </w:rPr>
              <w:t>非联合体投标</w:t>
            </w:r>
          </w:p>
        </w:tc>
      </w:tr>
      <w:tr w14:paraId="19482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35" w:type="dxa"/>
            <w:noWrap w:val="0"/>
            <w:vAlign w:val="center"/>
          </w:tcPr>
          <w:p w14:paraId="60985714">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val="en-US" w:eastAsia="zh-CN"/>
              </w:rPr>
              <w:t>6</w:t>
            </w:r>
          </w:p>
        </w:tc>
        <w:tc>
          <w:tcPr>
            <w:tcW w:w="1324" w:type="dxa"/>
            <w:noWrap w:val="0"/>
            <w:vAlign w:val="center"/>
          </w:tcPr>
          <w:p w14:paraId="450E2F59">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sz w:val="24"/>
                <w:szCs w:val="24"/>
                <w:vertAlign w:val="baseline"/>
                <w:lang w:val="en-US" w:eastAsia="zh-CN"/>
              </w:rPr>
            </w:pPr>
            <w:r>
              <w:rPr>
                <w:rFonts w:hint="eastAsia" w:ascii="宋体" w:hAnsi="宋体" w:eastAsia="宋体" w:cs="宋体"/>
                <w:color w:val="auto"/>
                <w:spacing w:val="-4"/>
                <w:sz w:val="24"/>
                <w:szCs w:val="24"/>
                <w:vertAlign w:val="baseline"/>
                <w:lang w:eastAsia="zh-CN"/>
              </w:rPr>
              <w:t>基本资质</w:t>
            </w:r>
            <w:r>
              <w:rPr>
                <w:rFonts w:hint="eastAsia" w:ascii="宋体" w:hAnsi="宋体" w:eastAsia="宋体" w:cs="宋体"/>
                <w:color w:val="auto"/>
                <w:spacing w:val="-4"/>
                <w:sz w:val="24"/>
                <w:szCs w:val="24"/>
                <w:vertAlign w:val="baseline"/>
                <w:lang w:val="en-US" w:eastAsia="zh-CN"/>
              </w:rPr>
              <w:t>6</w:t>
            </w:r>
          </w:p>
        </w:tc>
        <w:tc>
          <w:tcPr>
            <w:tcW w:w="3516" w:type="dxa"/>
            <w:shd w:val="clear" w:color="auto" w:fill="auto"/>
            <w:noWrap w:val="0"/>
            <w:vAlign w:val="center"/>
          </w:tcPr>
          <w:p w14:paraId="068A3065">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color w:val="auto"/>
                <w:spacing w:val="-4"/>
                <w:kern w:val="2"/>
                <w:sz w:val="24"/>
                <w:szCs w:val="24"/>
                <w:highlight w:val="none"/>
                <w:vertAlign w:val="baseline"/>
                <w:lang w:val="en-US" w:eastAsia="zh-CN" w:bidi="ar-SA"/>
              </w:rPr>
            </w:pPr>
            <w:r>
              <w:rPr>
                <w:rFonts w:hint="eastAsia" w:ascii="宋体" w:hAnsi="宋体" w:eastAsia="宋体" w:cs="宋体"/>
                <w:color w:val="auto"/>
                <w:spacing w:val="-4"/>
                <w:sz w:val="24"/>
                <w:szCs w:val="24"/>
                <w:highlight w:val="none"/>
                <w:vertAlign w:val="baseline"/>
                <w:lang w:val="en-US" w:eastAsia="zh-CN"/>
              </w:rPr>
              <w:t>中小企业声明函</w:t>
            </w:r>
          </w:p>
        </w:tc>
        <w:tc>
          <w:tcPr>
            <w:tcW w:w="4003" w:type="dxa"/>
            <w:shd w:val="clear" w:color="auto" w:fill="auto"/>
            <w:noWrap w:val="0"/>
            <w:vAlign w:val="center"/>
          </w:tcPr>
          <w:p w14:paraId="78403164">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highlight w:val="none"/>
                <w:vertAlign w:val="baseline"/>
                <w:lang w:val="en-US" w:eastAsia="zh-CN" w:bidi="ar-SA"/>
              </w:rPr>
            </w:pPr>
            <w:r>
              <w:rPr>
                <w:rFonts w:hint="eastAsia" w:ascii="宋体" w:hAnsi="宋体" w:eastAsia="宋体" w:cs="宋体"/>
                <w:snapToGrid w:val="0"/>
                <w:color w:val="auto"/>
                <w:spacing w:val="-4"/>
                <w:kern w:val="0"/>
                <w:sz w:val="24"/>
                <w:szCs w:val="24"/>
                <w:highlight w:val="none"/>
                <w:vertAlign w:val="baseline"/>
                <w:lang w:val="en-US" w:eastAsia="zh-CN" w:bidi="ar-SA"/>
              </w:rPr>
              <w:t>本项目为专门面向中小企业采购，须提供中小企业声明函。</w:t>
            </w:r>
          </w:p>
        </w:tc>
      </w:tr>
      <w:tr w14:paraId="21870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735" w:type="dxa"/>
            <w:noWrap w:val="0"/>
            <w:vAlign w:val="center"/>
          </w:tcPr>
          <w:p w14:paraId="494D08DB">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kern w:val="2"/>
                <w:sz w:val="24"/>
                <w:szCs w:val="24"/>
                <w:highlight w:val="yellow"/>
                <w:vertAlign w:val="baseline"/>
                <w:lang w:val="en-US" w:eastAsia="zh-CN" w:bidi="ar-SA"/>
              </w:rPr>
            </w:pPr>
            <w:r>
              <w:rPr>
                <w:rFonts w:hint="eastAsia" w:ascii="宋体" w:hAnsi="宋体" w:eastAsia="宋体" w:cs="宋体"/>
                <w:color w:val="auto"/>
                <w:spacing w:val="-4"/>
                <w:sz w:val="24"/>
                <w:szCs w:val="24"/>
                <w:highlight w:val="none"/>
                <w:vertAlign w:val="baseline"/>
                <w:lang w:val="en-US" w:eastAsia="zh-CN"/>
              </w:rPr>
              <w:t>7</w:t>
            </w:r>
          </w:p>
        </w:tc>
        <w:tc>
          <w:tcPr>
            <w:tcW w:w="1324" w:type="dxa"/>
            <w:noWrap w:val="0"/>
            <w:vAlign w:val="center"/>
          </w:tcPr>
          <w:p w14:paraId="61C71828">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9"/>
              <w:rPr>
                <w:rFonts w:hint="eastAsia" w:ascii="宋体" w:hAnsi="宋体" w:eastAsia="宋体" w:cs="宋体"/>
                <w:color w:val="auto"/>
                <w:spacing w:val="-4"/>
                <w:kern w:val="2"/>
                <w:sz w:val="24"/>
                <w:szCs w:val="24"/>
                <w:highlight w:val="none"/>
                <w:vertAlign w:val="baseline"/>
                <w:lang w:val="en-US" w:eastAsia="zh-CN" w:bidi="ar-SA"/>
              </w:rPr>
            </w:pPr>
            <w:r>
              <w:rPr>
                <w:rFonts w:hint="eastAsia" w:ascii="宋体" w:hAnsi="宋体" w:eastAsia="宋体" w:cs="宋体"/>
                <w:color w:val="auto"/>
                <w:spacing w:val="-4"/>
                <w:sz w:val="24"/>
                <w:szCs w:val="24"/>
                <w:highlight w:val="none"/>
                <w:vertAlign w:val="baseline"/>
                <w:lang w:eastAsia="zh-CN"/>
              </w:rPr>
              <w:t>基本资质</w:t>
            </w:r>
            <w:r>
              <w:rPr>
                <w:rFonts w:hint="eastAsia" w:ascii="宋体" w:hAnsi="宋体" w:eastAsia="宋体" w:cs="宋体"/>
                <w:color w:val="auto"/>
                <w:spacing w:val="-4"/>
                <w:sz w:val="24"/>
                <w:szCs w:val="24"/>
                <w:highlight w:val="none"/>
                <w:vertAlign w:val="baseline"/>
                <w:lang w:val="en-US" w:eastAsia="zh-CN"/>
              </w:rPr>
              <w:t>7</w:t>
            </w:r>
          </w:p>
        </w:tc>
        <w:tc>
          <w:tcPr>
            <w:tcW w:w="3516" w:type="dxa"/>
            <w:shd w:val="clear" w:color="auto" w:fill="auto"/>
            <w:noWrap w:val="0"/>
            <w:vAlign w:val="center"/>
          </w:tcPr>
          <w:p w14:paraId="6580C00F">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vertAlign w:val="baseline"/>
                <w:lang w:val="en-US" w:eastAsia="zh-CN" w:bidi="ar-SA"/>
              </w:rPr>
            </w:pPr>
            <w:r>
              <w:rPr>
                <w:rFonts w:hint="eastAsia" w:ascii="宋体" w:hAnsi="宋体" w:eastAsia="宋体" w:cs="宋体"/>
                <w:color w:val="auto"/>
                <w:spacing w:val="-4"/>
                <w:sz w:val="24"/>
                <w:szCs w:val="24"/>
                <w:vertAlign w:val="baseline"/>
                <w:lang w:eastAsia="zh-CN"/>
              </w:rPr>
              <w:t>按文件中的要求提交了投</w:t>
            </w:r>
            <w:r>
              <w:rPr>
                <w:rFonts w:hint="eastAsia" w:ascii="宋体" w:hAnsi="宋体" w:eastAsia="宋体" w:cs="宋体"/>
                <w:color w:val="auto"/>
                <w:spacing w:val="-4"/>
                <w:sz w:val="24"/>
                <w:szCs w:val="24"/>
                <w:vertAlign w:val="baseline"/>
                <w:lang w:val="en-US" w:eastAsia="zh-CN"/>
              </w:rPr>
              <w:t>标</w:t>
            </w:r>
            <w:r>
              <w:rPr>
                <w:rFonts w:hint="eastAsia" w:ascii="宋体" w:hAnsi="宋体" w:eastAsia="宋体" w:cs="宋体"/>
                <w:color w:val="auto"/>
                <w:spacing w:val="-4"/>
                <w:sz w:val="24"/>
                <w:szCs w:val="24"/>
                <w:vertAlign w:val="baseline"/>
                <w:lang w:eastAsia="zh-CN"/>
              </w:rPr>
              <w:t>保证金，保证金金额和形式符合文件要求</w:t>
            </w:r>
          </w:p>
        </w:tc>
        <w:tc>
          <w:tcPr>
            <w:tcW w:w="4003" w:type="dxa"/>
            <w:shd w:val="clear" w:color="auto" w:fill="auto"/>
            <w:noWrap w:val="0"/>
            <w:vAlign w:val="center"/>
          </w:tcPr>
          <w:p w14:paraId="08DD0312">
            <w:pPr>
              <w:keepNext w:val="0"/>
              <w:keepLines w:val="0"/>
              <w:pageBreakBefore w:val="0"/>
              <w:widowControl/>
              <w:kinsoku w:val="0"/>
              <w:wordWrap/>
              <w:overflowPunct/>
              <w:topLinePunct w:val="0"/>
              <w:autoSpaceDE w:val="0"/>
              <w:autoSpaceDN w:val="0"/>
              <w:bidi w:val="0"/>
              <w:adjustRightInd w:val="0"/>
              <w:snapToGrid w:val="0"/>
              <w:spacing w:line="240" w:lineRule="auto"/>
              <w:jc w:val="left"/>
              <w:textAlignment w:val="baseline"/>
              <w:outlineLvl w:val="9"/>
              <w:rPr>
                <w:rFonts w:hint="eastAsia" w:ascii="宋体" w:hAnsi="宋体" w:eastAsia="宋体" w:cs="宋体"/>
                <w:snapToGrid w:val="0"/>
                <w:color w:val="auto"/>
                <w:spacing w:val="-4"/>
                <w:kern w:val="0"/>
                <w:sz w:val="24"/>
                <w:szCs w:val="24"/>
                <w:vertAlign w:val="baseline"/>
                <w:lang w:val="en-US" w:eastAsia="zh-CN" w:bidi="ar-SA"/>
              </w:rPr>
            </w:pPr>
            <w:r>
              <w:rPr>
                <w:rFonts w:hint="eastAsia" w:ascii="宋体" w:hAnsi="宋体" w:eastAsia="宋体" w:cs="宋体"/>
                <w:snapToGrid w:val="0"/>
                <w:color w:val="auto"/>
                <w:spacing w:val="-4"/>
                <w:kern w:val="0"/>
                <w:sz w:val="24"/>
                <w:szCs w:val="24"/>
                <w:vertAlign w:val="baseline"/>
                <w:lang w:val="en-US" w:eastAsia="zh-CN" w:bidi="ar-SA"/>
              </w:rPr>
              <w:t>注：依据长财采购【2021】695号文件的规定，对于满足《中华人民共和国政府采购法》第二十二条有关规定，经“信用中国”网站查询不存在行政处罚信息的、诚信记录良好的投标人，无需交纳投标保证金。</w:t>
            </w:r>
          </w:p>
        </w:tc>
      </w:tr>
    </w:tbl>
    <w:p w14:paraId="7D989189">
      <w:pPr>
        <w:bidi w:val="0"/>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注：</w:t>
      </w:r>
      <w:r>
        <w:rPr>
          <w:rFonts w:hint="eastAsia" w:ascii="宋体" w:hAnsi="宋体" w:eastAsia="宋体" w:cs="宋体"/>
          <w:color w:val="auto"/>
          <w:sz w:val="24"/>
          <w:szCs w:val="24"/>
        </w:rPr>
        <w:t>本表中符合评审内容要求的写“√”,不符合评审内容要求的写“×”。结论为“合格”或“不合格”。</w:t>
      </w:r>
      <w:r>
        <w:rPr>
          <w:rFonts w:hint="eastAsia" w:ascii="宋体" w:hAnsi="宋体" w:eastAsia="宋体" w:cs="宋体"/>
          <w:color w:val="auto"/>
          <w:sz w:val="24"/>
          <w:szCs w:val="24"/>
          <w:lang w:val="en-US" w:eastAsia="zh-CN"/>
        </w:rPr>
        <w:t>不符合资格性审查的不进入符合性审查。</w:t>
      </w:r>
    </w:p>
    <w:p w14:paraId="32425197">
      <w:pPr>
        <w:autoSpaceDE w:val="0"/>
        <w:autoSpaceDN w:val="0"/>
        <w:adjustRightInd w:val="0"/>
        <w:spacing w:line="400" w:lineRule="exact"/>
        <w:jc w:val="left"/>
        <w:rPr>
          <w:rFonts w:hint="eastAsia" w:ascii="宋体" w:hAnsi="宋体" w:eastAsia="宋体" w:cs="宋体"/>
          <w:b/>
          <w:bCs/>
          <w:color w:val="auto"/>
          <w:sz w:val="28"/>
          <w:szCs w:val="28"/>
          <w:highlight w:val="none"/>
          <w:lang w:val="en-US" w:eastAsia="zh-CN"/>
        </w:rPr>
      </w:pPr>
    </w:p>
    <w:p w14:paraId="03B2D9D3">
      <w:pPr>
        <w:pStyle w:val="52"/>
        <w:spacing w:line="360" w:lineRule="auto"/>
        <w:ind w:firstLine="480" w:firstLineChars="200"/>
        <w:rPr>
          <w:rFonts w:ascii="宋体" w:hAnsi="宋体" w:eastAsia="宋体" w:cs="仿宋_GB2312"/>
          <w:bCs/>
          <w:color w:val="auto"/>
          <w:kern w:val="0"/>
          <w:sz w:val="24"/>
          <w:lang w:val="zh-CN"/>
        </w:rPr>
      </w:pPr>
      <w:r>
        <w:rPr>
          <w:rFonts w:hint="eastAsia" w:ascii="宋体" w:hAnsi="宋体" w:eastAsia="宋体" w:cs="仿宋_GB2312"/>
          <w:bCs/>
          <w:color w:val="auto"/>
          <w:kern w:val="0"/>
          <w:sz w:val="24"/>
          <w:lang w:val="zh-CN"/>
        </w:rPr>
        <w:t>1</w:t>
      </w:r>
      <w:r>
        <w:rPr>
          <w:rFonts w:ascii="宋体" w:hAnsi="宋体" w:eastAsia="宋体" w:cs="仿宋_GB2312"/>
          <w:bCs/>
          <w:color w:val="auto"/>
          <w:kern w:val="0"/>
          <w:sz w:val="24"/>
          <w:lang w:val="zh-CN"/>
        </w:rPr>
        <w:t>.2</w:t>
      </w:r>
      <w:r>
        <w:rPr>
          <w:rFonts w:hint="eastAsia" w:ascii="宋体" w:hAnsi="宋体" w:eastAsia="宋体" w:cs="仿宋_GB2312"/>
          <w:bCs/>
          <w:color w:val="auto"/>
          <w:kern w:val="0"/>
          <w:sz w:val="24"/>
          <w:lang w:val="zh-CN"/>
        </w:rPr>
        <w:t>符合性评审标准</w:t>
      </w:r>
    </w:p>
    <w:p w14:paraId="49E4767B">
      <w:pPr>
        <w:spacing w:before="182" w:line="220" w:lineRule="auto"/>
        <w:jc w:val="center"/>
        <w:outlineLvl w:val="9"/>
        <w:rPr>
          <w:rFonts w:hint="eastAsia" w:ascii="宋体" w:hAnsi="宋体" w:eastAsia="宋体" w:cs="宋体"/>
          <w:b/>
          <w:bCs/>
          <w:color w:val="auto"/>
          <w:spacing w:val="-2"/>
          <w:sz w:val="24"/>
          <w:szCs w:val="24"/>
        </w:rPr>
      </w:pPr>
      <w:r>
        <w:rPr>
          <w:rFonts w:hint="eastAsia" w:ascii="宋体" w:hAnsi="宋体" w:eastAsia="宋体" w:cs="宋体"/>
          <w:b/>
          <w:bCs/>
          <w:color w:val="auto"/>
          <w:spacing w:val="-2"/>
          <w:sz w:val="24"/>
          <w:szCs w:val="24"/>
        </w:rPr>
        <w:t>符合性审查表</w:t>
      </w:r>
    </w:p>
    <w:tbl>
      <w:tblPr>
        <w:tblStyle w:val="105"/>
        <w:tblW w:w="937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0"/>
        <w:gridCol w:w="825"/>
        <w:gridCol w:w="2744"/>
        <w:gridCol w:w="5079"/>
      </w:tblGrid>
      <w:tr w14:paraId="6334E0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bottom w:val="single" w:color="000000" w:sz="4" w:space="0"/>
            </w:tcBorders>
            <w:noWrap w:val="0"/>
            <w:vAlign w:val="center"/>
          </w:tcPr>
          <w:p w14:paraId="753E3570">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outlineLvl w:val="9"/>
              <w:rPr>
                <w:rFonts w:hint="eastAsia" w:ascii="宋体" w:hAnsi="宋体" w:eastAsia="宋体" w:cs="宋体"/>
                <w:b/>
                <w:bCs/>
                <w:color w:val="auto"/>
                <w:sz w:val="24"/>
                <w:szCs w:val="24"/>
              </w:rPr>
            </w:pPr>
            <w:r>
              <w:rPr>
                <w:rFonts w:hint="eastAsia" w:ascii="宋体" w:hAnsi="宋体" w:eastAsia="宋体" w:cs="宋体"/>
                <w:b/>
                <w:bCs/>
                <w:color w:val="auto"/>
                <w:spacing w:val="-5"/>
                <w:sz w:val="24"/>
                <w:szCs w:val="24"/>
              </w:rPr>
              <w:t>序号</w:t>
            </w:r>
          </w:p>
        </w:tc>
        <w:tc>
          <w:tcPr>
            <w:tcW w:w="825" w:type="dxa"/>
            <w:tcBorders>
              <w:top w:val="single" w:color="000000" w:sz="4" w:space="0"/>
              <w:bottom w:val="single" w:color="000000" w:sz="4" w:space="0"/>
            </w:tcBorders>
            <w:noWrap w:val="0"/>
            <w:vAlign w:val="center"/>
          </w:tcPr>
          <w:p w14:paraId="6D62C87C">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outlineLvl w:val="9"/>
              <w:rPr>
                <w:rFonts w:hint="eastAsia" w:ascii="宋体" w:hAnsi="宋体" w:eastAsia="宋体" w:cs="宋体"/>
                <w:b/>
                <w:bCs/>
                <w:color w:val="auto"/>
                <w:sz w:val="24"/>
                <w:szCs w:val="24"/>
              </w:rPr>
            </w:pPr>
            <w:r>
              <w:rPr>
                <w:rFonts w:hint="eastAsia" w:ascii="宋体" w:hAnsi="宋体" w:eastAsia="宋体" w:cs="宋体"/>
                <w:b/>
                <w:bCs/>
                <w:color w:val="auto"/>
                <w:spacing w:val="-5"/>
                <w:sz w:val="24"/>
                <w:szCs w:val="24"/>
              </w:rPr>
              <w:t>类型</w:t>
            </w:r>
          </w:p>
        </w:tc>
        <w:tc>
          <w:tcPr>
            <w:tcW w:w="2744" w:type="dxa"/>
            <w:tcBorders>
              <w:top w:val="single" w:color="000000" w:sz="4" w:space="0"/>
              <w:bottom w:val="single" w:color="000000" w:sz="4" w:space="0"/>
              <w:right w:val="single" w:color="000000" w:sz="4" w:space="0"/>
            </w:tcBorders>
            <w:noWrap w:val="0"/>
            <w:vAlign w:val="center"/>
          </w:tcPr>
          <w:p w14:paraId="2090D776">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outlineLvl w:val="9"/>
              <w:rPr>
                <w:rFonts w:hint="eastAsia" w:ascii="宋体" w:hAnsi="宋体" w:eastAsia="宋体" w:cs="宋体"/>
                <w:b/>
                <w:bCs/>
                <w:color w:val="auto"/>
                <w:sz w:val="24"/>
                <w:szCs w:val="24"/>
              </w:rPr>
            </w:pPr>
            <w:r>
              <w:rPr>
                <w:rFonts w:hint="eastAsia" w:ascii="宋体" w:hAnsi="宋体" w:eastAsia="宋体" w:cs="宋体"/>
                <w:b/>
                <w:bCs/>
                <w:color w:val="auto"/>
                <w:spacing w:val="-5"/>
                <w:sz w:val="24"/>
                <w:szCs w:val="24"/>
              </w:rPr>
              <w:t>审查内容</w:t>
            </w:r>
          </w:p>
        </w:tc>
        <w:tc>
          <w:tcPr>
            <w:tcW w:w="5079" w:type="dxa"/>
            <w:tcBorders>
              <w:top w:val="single" w:color="000000" w:sz="4" w:space="0"/>
              <w:left w:val="single" w:color="000000" w:sz="4" w:space="0"/>
              <w:bottom w:val="single" w:color="000000" w:sz="4" w:space="0"/>
            </w:tcBorders>
            <w:noWrap w:val="0"/>
            <w:vAlign w:val="center"/>
          </w:tcPr>
          <w:p w14:paraId="03012DF1">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outlineLvl w:val="9"/>
              <w:rPr>
                <w:rFonts w:hint="eastAsia" w:ascii="宋体" w:hAnsi="宋体" w:eastAsia="宋体" w:cs="宋体"/>
                <w:b/>
                <w:bCs/>
                <w:color w:val="auto"/>
                <w:sz w:val="24"/>
                <w:szCs w:val="24"/>
              </w:rPr>
            </w:pPr>
            <w:r>
              <w:rPr>
                <w:rFonts w:hint="eastAsia" w:ascii="宋体" w:hAnsi="宋体" w:eastAsia="宋体" w:cs="宋体"/>
                <w:b/>
                <w:bCs/>
                <w:color w:val="auto"/>
                <w:spacing w:val="-3"/>
                <w:sz w:val="24"/>
                <w:szCs w:val="24"/>
              </w:rPr>
              <w:t>要求说明</w:t>
            </w:r>
          </w:p>
        </w:tc>
      </w:tr>
      <w:tr w14:paraId="5164B0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bottom w:val="single" w:color="000000" w:sz="4" w:space="0"/>
            </w:tcBorders>
            <w:noWrap w:val="0"/>
            <w:vAlign w:val="center"/>
          </w:tcPr>
          <w:p w14:paraId="537B8F88">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color w:val="auto"/>
                <w:spacing w:val="-3"/>
                <w:sz w:val="24"/>
                <w:szCs w:val="24"/>
                <w:lang w:val="en-US" w:eastAsia="zh-CN"/>
              </w:rPr>
            </w:pPr>
            <w:r>
              <w:rPr>
                <w:rFonts w:hint="eastAsia" w:ascii="宋体" w:hAnsi="宋体" w:eastAsia="宋体" w:cs="宋体"/>
                <w:color w:val="auto"/>
                <w:spacing w:val="-3"/>
                <w:sz w:val="24"/>
                <w:szCs w:val="24"/>
                <w:lang w:val="en-US" w:eastAsia="zh-CN"/>
              </w:rPr>
              <w:t>1</w:t>
            </w:r>
          </w:p>
        </w:tc>
        <w:tc>
          <w:tcPr>
            <w:tcW w:w="825" w:type="dxa"/>
            <w:tcBorders>
              <w:top w:val="single" w:color="000000" w:sz="4" w:space="0"/>
              <w:bottom w:val="single" w:color="000000" w:sz="4" w:space="0"/>
            </w:tcBorders>
            <w:noWrap w:val="0"/>
            <w:vAlign w:val="center"/>
          </w:tcPr>
          <w:p w14:paraId="7BFDC30A">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snapToGrid w:val="0"/>
                <w:color w:val="auto"/>
                <w:kern w:val="0"/>
                <w:sz w:val="24"/>
                <w:szCs w:val="24"/>
                <w:lang w:val="en-US" w:eastAsia="en-US" w:bidi="ar-SA"/>
              </w:rPr>
            </w:pPr>
            <w:r>
              <w:rPr>
                <w:rFonts w:hint="eastAsia" w:ascii="宋体" w:hAnsi="宋体" w:eastAsia="宋体" w:cs="宋体"/>
                <w:color w:val="auto"/>
                <w:spacing w:val="-3"/>
                <w:sz w:val="24"/>
                <w:szCs w:val="24"/>
              </w:rPr>
              <w:t>报价1</w:t>
            </w:r>
          </w:p>
        </w:tc>
        <w:tc>
          <w:tcPr>
            <w:tcW w:w="2744" w:type="dxa"/>
            <w:tcBorders>
              <w:top w:val="single" w:color="000000" w:sz="4" w:space="0"/>
              <w:bottom w:val="single" w:color="000000" w:sz="4" w:space="0"/>
              <w:right w:val="single" w:color="000000" w:sz="4" w:space="0"/>
            </w:tcBorders>
            <w:noWrap w:val="0"/>
            <w:vAlign w:val="center"/>
          </w:tcPr>
          <w:p w14:paraId="12300666">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hanging="3" w:firstLineChars="0"/>
              <w:jc w:val="left"/>
              <w:textAlignment w:val="baseline"/>
              <w:outlineLvl w:val="9"/>
              <w:rPr>
                <w:rFonts w:hint="eastAsia" w:ascii="宋体" w:hAnsi="宋体" w:eastAsia="宋体" w:cs="宋体"/>
                <w:snapToGrid w:val="0"/>
                <w:color w:val="auto"/>
                <w:kern w:val="0"/>
                <w:sz w:val="24"/>
                <w:szCs w:val="24"/>
                <w:lang w:val="en-US" w:eastAsia="en-US" w:bidi="ar-SA"/>
              </w:rPr>
            </w:pPr>
            <w:r>
              <w:rPr>
                <w:rFonts w:hint="eastAsia" w:ascii="宋体" w:hAnsi="宋体" w:eastAsia="宋体" w:cs="宋体"/>
                <w:color w:val="auto"/>
                <w:spacing w:val="-1"/>
                <w:sz w:val="24"/>
                <w:szCs w:val="24"/>
                <w:lang w:val="en-US" w:eastAsia="zh-CN"/>
              </w:rPr>
              <w:t>响应</w:t>
            </w:r>
            <w:r>
              <w:rPr>
                <w:rFonts w:hint="eastAsia" w:ascii="宋体" w:hAnsi="宋体" w:eastAsia="宋体" w:cs="宋体"/>
                <w:color w:val="auto"/>
                <w:spacing w:val="-1"/>
                <w:sz w:val="24"/>
                <w:szCs w:val="24"/>
              </w:rPr>
              <w:t>报价</w:t>
            </w:r>
          </w:p>
        </w:tc>
        <w:tc>
          <w:tcPr>
            <w:tcW w:w="5079" w:type="dxa"/>
            <w:tcBorders>
              <w:top w:val="single" w:color="000000" w:sz="4" w:space="0"/>
              <w:left w:val="single" w:color="000000" w:sz="4" w:space="0"/>
              <w:bottom w:val="single" w:color="000000" w:sz="4" w:space="0"/>
            </w:tcBorders>
            <w:noWrap w:val="0"/>
            <w:vAlign w:val="center"/>
          </w:tcPr>
          <w:p w14:paraId="09422665">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hanging="3" w:firstLineChars="0"/>
              <w:jc w:val="left"/>
              <w:textAlignment w:val="baseline"/>
              <w:outlineLvl w:val="9"/>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color w:val="auto"/>
                <w:spacing w:val="-1"/>
                <w:sz w:val="24"/>
                <w:szCs w:val="24"/>
                <w:lang w:val="en-US" w:eastAsia="zh-CN"/>
              </w:rPr>
              <w:t>响应</w:t>
            </w:r>
            <w:r>
              <w:rPr>
                <w:rFonts w:hint="eastAsia" w:ascii="宋体" w:hAnsi="宋体" w:eastAsia="宋体" w:cs="宋体"/>
                <w:color w:val="auto"/>
                <w:spacing w:val="-1"/>
                <w:sz w:val="24"/>
                <w:szCs w:val="24"/>
              </w:rPr>
              <w:t>报价未超过</w:t>
            </w:r>
            <w:r>
              <w:rPr>
                <w:rFonts w:hint="eastAsia" w:ascii="宋体" w:hAnsi="宋体" w:eastAsia="宋体" w:cs="宋体"/>
                <w:color w:val="auto"/>
                <w:spacing w:val="-1"/>
                <w:sz w:val="24"/>
                <w:szCs w:val="24"/>
                <w:lang w:eastAsia="zh-CN"/>
              </w:rPr>
              <w:t>谈判文件</w:t>
            </w:r>
            <w:r>
              <w:rPr>
                <w:rFonts w:hint="eastAsia" w:ascii="宋体" w:hAnsi="宋体" w:eastAsia="宋体" w:cs="宋体"/>
                <w:color w:val="auto"/>
                <w:spacing w:val="-1"/>
                <w:sz w:val="24"/>
                <w:szCs w:val="24"/>
              </w:rPr>
              <w:t>中规定的最</w:t>
            </w:r>
            <w:r>
              <w:rPr>
                <w:rFonts w:hint="eastAsia" w:ascii="宋体" w:hAnsi="宋体" w:eastAsia="宋体" w:cs="宋体"/>
                <w:color w:val="auto"/>
                <w:spacing w:val="-4"/>
                <w:sz w:val="24"/>
                <w:szCs w:val="24"/>
              </w:rPr>
              <w:t>高限价的</w:t>
            </w:r>
            <w:r>
              <w:rPr>
                <w:rFonts w:hint="eastAsia" w:ascii="宋体" w:hAnsi="宋体" w:eastAsia="宋体" w:cs="宋体"/>
                <w:color w:val="auto"/>
                <w:spacing w:val="-4"/>
                <w:sz w:val="24"/>
                <w:szCs w:val="24"/>
                <w:lang w:eastAsia="zh-CN"/>
              </w:rPr>
              <w:t>。</w:t>
            </w:r>
          </w:p>
        </w:tc>
      </w:tr>
      <w:tr w14:paraId="48675B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bottom w:val="single" w:color="000000" w:sz="4" w:space="0"/>
            </w:tcBorders>
            <w:noWrap w:val="0"/>
            <w:vAlign w:val="center"/>
          </w:tcPr>
          <w:p w14:paraId="4F5510EC">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color w:val="auto"/>
                <w:spacing w:val="-3"/>
                <w:sz w:val="24"/>
                <w:szCs w:val="24"/>
                <w:lang w:val="en-US" w:eastAsia="en-US"/>
              </w:rPr>
            </w:pPr>
            <w:r>
              <w:rPr>
                <w:rFonts w:hint="eastAsia" w:ascii="宋体" w:hAnsi="宋体" w:eastAsia="宋体" w:cs="宋体"/>
                <w:color w:val="auto"/>
                <w:spacing w:val="-3"/>
                <w:sz w:val="24"/>
                <w:szCs w:val="24"/>
              </w:rPr>
              <w:t>2</w:t>
            </w:r>
          </w:p>
        </w:tc>
        <w:tc>
          <w:tcPr>
            <w:tcW w:w="825" w:type="dxa"/>
            <w:tcBorders>
              <w:top w:val="single" w:color="000000" w:sz="4" w:space="0"/>
              <w:bottom w:val="single" w:color="000000" w:sz="4" w:space="0"/>
            </w:tcBorders>
            <w:noWrap w:val="0"/>
            <w:vAlign w:val="center"/>
          </w:tcPr>
          <w:p w14:paraId="6A0F9155">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snapToGrid w:val="0"/>
                <w:color w:val="auto"/>
                <w:spacing w:val="-3"/>
                <w:kern w:val="0"/>
                <w:sz w:val="24"/>
                <w:szCs w:val="24"/>
                <w:lang w:val="en-US" w:eastAsia="zh-CN" w:bidi="ar-SA"/>
              </w:rPr>
            </w:pPr>
            <w:r>
              <w:rPr>
                <w:rFonts w:hint="eastAsia" w:ascii="宋体" w:hAnsi="宋体" w:eastAsia="宋体" w:cs="宋体"/>
                <w:color w:val="auto"/>
                <w:spacing w:val="-3"/>
                <w:sz w:val="24"/>
                <w:szCs w:val="24"/>
              </w:rPr>
              <w:t>报价</w:t>
            </w:r>
            <w:r>
              <w:rPr>
                <w:rFonts w:hint="eastAsia" w:ascii="宋体" w:hAnsi="宋体" w:eastAsia="宋体" w:cs="宋体"/>
                <w:color w:val="auto"/>
                <w:spacing w:val="-3"/>
                <w:sz w:val="24"/>
                <w:szCs w:val="24"/>
                <w:lang w:val="en-US" w:eastAsia="zh-CN"/>
              </w:rPr>
              <w:t>2</w:t>
            </w:r>
          </w:p>
        </w:tc>
        <w:tc>
          <w:tcPr>
            <w:tcW w:w="2744" w:type="dxa"/>
            <w:tcBorders>
              <w:top w:val="single" w:color="000000" w:sz="4" w:space="0"/>
              <w:bottom w:val="single" w:color="000000" w:sz="4" w:space="0"/>
              <w:right w:val="single" w:color="000000" w:sz="4" w:space="0"/>
            </w:tcBorders>
            <w:noWrap w:val="0"/>
            <w:vAlign w:val="center"/>
          </w:tcPr>
          <w:p w14:paraId="6E31B055">
            <w:pPr>
              <w:keepNext w:val="0"/>
              <w:keepLines w:val="0"/>
              <w:widowControl/>
              <w:suppressLineNumbers w:val="0"/>
              <w:jc w:val="left"/>
              <w:rPr>
                <w:rFonts w:hint="eastAsia" w:ascii="宋体" w:hAnsi="宋体" w:eastAsia="宋体" w:cs="宋体"/>
                <w:snapToGrid w:val="0"/>
                <w:color w:val="auto"/>
                <w:spacing w:val="-1"/>
                <w:kern w:val="0"/>
                <w:sz w:val="24"/>
                <w:szCs w:val="24"/>
                <w:lang w:val="en-US" w:eastAsia="en-US" w:bidi="ar-SA"/>
              </w:rPr>
            </w:pPr>
            <w:r>
              <w:rPr>
                <w:rFonts w:hint="eastAsia" w:ascii="宋体" w:hAnsi="宋体" w:eastAsia="宋体" w:cs="宋体"/>
                <w:snapToGrid w:val="0"/>
                <w:color w:val="auto"/>
                <w:kern w:val="0"/>
                <w:sz w:val="24"/>
                <w:szCs w:val="24"/>
                <w:lang w:val="en-US" w:eastAsia="zh-CN" w:bidi="ar"/>
              </w:rPr>
              <w:t>报价唯一性</w:t>
            </w:r>
          </w:p>
        </w:tc>
        <w:tc>
          <w:tcPr>
            <w:tcW w:w="5079" w:type="dxa"/>
            <w:tcBorders>
              <w:top w:val="single" w:color="000000" w:sz="4" w:space="0"/>
              <w:left w:val="single" w:color="000000" w:sz="4" w:space="0"/>
              <w:bottom w:val="single" w:color="000000" w:sz="4" w:space="0"/>
            </w:tcBorders>
            <w:noWrap w:val="0"/>
            <w:vAlign w:val="center"/>
          </w:tcPr>
          <w:p w14:paraId="1E0BC661">
            <w:pPr>
              <w:keepNext w:val="0"/>
              <w:keepLines w:val="0"/>
              <w:widowControl/>
              <w:suppressLineNumbers w:val="0"/>
              <w:jc w:val="left"/>
              <w:rPr>
                <w:rFonts w:hint="eastAsia" w:ascii="宋体" w:hAnsi="宋体" w:eastAsia="宋体" w:cs="宋体"/>
                <w:snapToGrid w:val="0"/>
                <w:color w:val="auto"/>
                <w:spacing w:val="-1"/>
                <w:kern w:val="0"/>
                <w:sz w:val="24"/>
                <w:szCs w:val="24"/>
                <w:lang w:val="en-US" w:eastAsia="en-US" w:bidi="ar-SA"/>
              </w:rPr>
            </w:pPr>
            <w:r>
              <w:rPr>
                <w:rFonts w:hint="eastAsia" w:ascii="宋体" w:hAnsi="宋体" w:eastAsia="宋体" w:cs="宋体"/>
                <w:snapToGrid w:val="0"/>
                <w:color w:val="auto"/>
                <w:kern w:val="0"/>
                <w:sz w:val="24"/>
                <w:szCs w:val="24"/>
                <w:lang w:val="en-US" w:eastAsia="zh-CN" w:bidi="ar"/>
              </w:rPr>
              <w:t>报价文件未出现可选择性或可调整的报价（谈判文件另有规定的除外）。</w:t>
            </w:r>
          </w:p>
        </w:tc>
      </w:tr>
      <w:tr w14:paraId="558A22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bottom w:val="single" w:color="000000" w:sz="4" w:space="0"/>
            </w:tcBorders>
            <w:noWrap w:val="0"/>
            <w:vAlign w:val="center"/>
          </w:tcPr>
          <w:p w14:paraId="1537CD70">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color w:val="auto"/>
                <w:spacing w:val="-3"/>
                <w:sz w:val="24"/>
                <w:szCs w:val="24"/>
                <w:lang w:val="en-US" w:eastAsia="en-US"/>
              </w:rPr>
            </w:pPr>
            <w:r>
              <w:rPr>
                <w:rFonts w:hint="eastAsia" w:ascii="宋体" w:hAnsi="宋体" w:eastAsia="宋体" w:cs="宋体"/>
                <w:color w:val="auto"/>
                <w:spacing w:val="-3"/>
                <w:sz w:val="24"/>
                <w:szCs w:val="24"/>
              </w:rPr>
              <w:t>3</w:t>
            </w:r>
          </w:p>
        </w:tc>
        <w:tc>
          <w:tcPr>
            <w:tcW w:w="825" w:type="dxa"/>
            <w:tcBorders>
              <w:top w:val="single" w:color="000000" w:sz="4" w:space="0"/>
              <w:bottom w:val="single" w:color="000000" w:sz="4" w:space="0"/>
            </w:tcBorders>
            <w:noWrap w:val="0"/>
            <w:vAlign w:val="center"/>
          </w:tcPr>
          <w:p w14:paraId="0779F58C">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color w:val="auto"/>
                <w:spacing w:val="-5"/>
                <w:sz w:val="24"/>
                <w:szCs w:val="24"/>
              </w:rPr>
              <w:t>商务</w:t>
            </w:r>
            <w:r>
              <w:rPr>
                <w:rFonts w:hint="eastAsia" w:ascii="宋体" w:hAnsi="宋体" w:eastAsia="宋体" w:cs="宋体"/>
                <w:color w:val="auto"/>
                <w:spacing w:val="-5"/>
                <w:sz w:val="24"/>
                <w:szCs w:val="24"/>
                <w:lang w:val="en-US" w:eastAsia="zh-CN"/>
              </w:rPr>
              <w:t>3</w:t>
            </w:r>
          </w:p>
        </w:tc>
        <w:tc>
          <w:tcPr>
            <w:tcW w:w="2744" w:type="dxa"/>
            <w:tcBorders>
              <w:top w:val="single" w:color="000000" w:sz="4" w:space="0"/>
              <w:bottom w:val="single" w:color="000000" w:sz="4" w:space="0"/>
              <w:right w:val="single" w:color="000000" w:sz="4" w:space="0"/>
            </w:tcBorders>
            <w:noWrap w:val="0"/>
            <w:vAlign w:val="center"/>
          </w:tcPr>
          <w:p w14:paraId="5AC26BF9">
            <w:pPr>
              <w:keepNext w:val="0"/>
              <w:keepLines w:val="0"/>
              <w:widowControl/>
              <w:suppressLineNumbers w:val="0"/>
              <w:jc w:val="left"/>
              <w:rPr>
                <w:rFonts w:hint="eastAsia" w:ascii="宋体" w:hAnsi="宋体" w:eastAsia="宋体" w:cs="宋体"/>
                <w:snapToGrid w:val="0"/>
                <w:color w:val="auto"/>
                <w:kern w:val="0"/>
                <w:sz w:val="24"/>
                <w:szCs w:val="24"/>
                <w:lang w:val="en-US" w:eastAsia="zh-CN" w:bidi="ar"/>
              </w:rPr>
            </w:pPr>
            <w:r>
              <w:rPr>
                <w:rFonts w:hint="eastAsia" w:ascii="宋体" w:hAnsi="宋体" w:eastAsia="宋体" w:cs="宋体"/>
                <w:snapToGrid w:val="0"/>
                <w:color w:val="auto"/>
                <w:kern w:val="0"/>
                <w:sz w:val="24"/>
                <w:szCs w:val="24"/>
                <w:lang w:val="en-US" w:eastAsia="zh-CN" w:bidi="ar"/>
              </w:rPr>
              <w:t>投标有效期</w:t>
            </w:r>
          </w:p>
        </w:tc>
        <w:tc>
          <w:tcPr>
            <w:tcW w:w="5079" w:type="dxa"/>
            <w:tcBorders>
              <w:top w:val="single" w:color="000000" w:sz="4" w:space="0"/>
              <w:left w:val="single" w:color="000000" w:sz="4" w:space="0"/>
              <w:bottom w:val="single" w:color="000000" w:sz="4" w:space="0"/>
            </w:tcBorders>
            <w:noWrap w:val="0"/>
            <w:vAlign w:val="center"/>
          </w:tcPr>
          <w:p w14:paraId="7258E0FE">
            <w:pPr>
              <w:keepNext w:val="0"/>
              <w:keepLines w:val="0"/>
              <w:widowControl/>
              <w:suppressLineNumbers w:val="0"/>
              <w:jc w:val="left"/>
              <w:rPr>
                <w:rFonts w:hint="eastAsia" w:ascii="宋体" w:hAnsi="宋体" w:eastAsia="宋体" w:cs="宋体"/>
                <w:snapToGrid w:val="0"/>
                <w:color w:val="auto"/>
                <w:kern w:val="0"/>
                <w:sz w:val="24"/>
                <w:szCs w:val="24"/>
                <w:lang w:val="en-US" w:eastAsia="zh-CN" w:bidi="ar"/>
              </w:rPr>
            </w:pPr>
            <w:r>
              <w:rPr>
                <w:rFonts w:hint="eastAsia" w:ascii="宋体" w:hAnsi="宋体" w:eastAsia="宋体" w:cs="宋体"/>
                <w:snapToGrid w:val="0"/>
                <w:color w:val="auto"/>
                <w:kern w:val="0"/>
                <w:sz w:val="24"/>
                <w:szCs w:val="24"/>
                <w:lang w:val="en-US" w:eastAsia="zh-CN" w:bidi="ar"/>
              </w:rPr>
              <w:t>报价文件中承诺的投标有效期满足谈判文件中载明的投标有效期的。</w:t>
            </w:r>
          </w:p>
        </w:tc>
      </w:tr>
      <w:tr w14:paraId="4C0CEB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bottom w:val="single" w:color="000000" w:sz="4" w:space="0"/>
            </w:tcBorders>
            <w:shd w:val="clear" w:color="auto" w:fill="auto"/>
            <w:noWrap w:val="0"/>
            <w:vAlign w:val="center"/>
          </w:tcPr>
          <w:p w14:paraId="320F1CFD">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color w:val="auto"/>
                <w:spacing w:val="-3"/>
                <w:kern w:val="2"/>
                <w:sz w:val="24"/>
                <w:szCs w:val="24"/>
                <w:highlight w:val="none"/>
                <w:lang w:val="en-US" w:eastAsia="en-US" w:bidi="ar-SA"/>
              </w:rPr>
            </w:pPr>
            <w:r>
              <w:rPr>
                <w:rFonts w:hint="eastAsia" w:ascii="宋体" w:hAnsi="宋体" w:eastAsia="宋体" w:cs="宋体"/>
                <w:color w:val="auto"/>
                <w:spacing w:val="-3"/>
                <w:sz w:val="24"/>
                <w:szCs w:val="24"/>
                <w:highlight w:val="none"/>
              </w:rPr>
              <w:t>4</w:t>
            </w:r>
          </w:p>
        </w:tc>
        <w:tc>
          <w:tcPr>
            <w:tcW w:w="825" w:type="dxa"/>
            <w:tcBorders>
              <w:top w:val="single" w:color="000000" w:sz="4" w:space="0"/>
              <w:bottom w:val="single" w:color="000000" w:sz="4" w:space="0"/>
            </w:tcBorders>
            <w:shd w:val="clear" w:color="auto" w:fill="auto"/>
            <w:noWrap w:val="0"/>
            <w:vAlign w:val="center"/>
          </w:tcPr>
          <w:p w14:paraId="2FCF4E00">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color w:val="auto"/>
                <w:spacing w:val="-5"/>
                <w:sz w:val="24"/>
                <w:szCs w:val="24"/>
                <w:highlight w:val="none"/>
              </w:rPr>
              <w:t>商务</w:t>
            </w:r>
            <w:r>
              <w:rPr>
                <w:rFonts w:hint="eastAsia" w:ascii="宋体" w:hAnsi="宋体" w:eastAsia="宋体" w:cs="宋体"/>
                <w:color w:val="auto"/>
                <w:spacing w:val="-5"/>
                <w:sz w:val="24"/>
                <w:szCs w:val="24"/>
                <w:highlight w:val="none"/>
                <w:lang w:val="en-US" w:eastAsia="zh-CN"/>
              </w:rPr>
              <w:t>4</w:t>
            </w:r>
          </w:p>
        </w:tc>
        <w:tc>
          <w:tcPr>
            <w:tcW w:w="2744" w:type="dxa"/>
            <w:tcBorders>
              <w:top w:val="single" w:color="000000" w:sz="4" w:space="0"/>
              <w:bottom w:val="single" w:color="000000" w:sz="4" w:space="0"/>
              <w:right w:val="single" w:color="000000" w:sz="4" w:space="0"/>
            </w:tcBorders>
            <w:shd w:val="clear" w:color="auto" w:fill="auto"/>
            <w:noWrap w:val="0"/>
            <w:vAlign w:val="center"/>
          </w:tcPr>
          <w:p w14:paraId="27E17744">
            <w:pPr>
              <w:keepNext w:val="0"/>
              <w:keepLines w:val="0"/>
              <w:widowControl/>
              <w:suppressLineNumbers w:val="0"/>
              <w:jc w:val="left"/>
              <w:rPr>
                <w:rFonts w:hint="eastAsia" w:ascii="宋体" w:hAnsi="宋体" w:eastAsia="宋体" w:cs="宋体"/>
                <w:snapToGrid w:val="0"/>
                <w:color w:val="auto"/>
                <w:kern w:val="0"/>
                <w:sz w:val="24"/>
                <w:szCs w:val="24"/>
                <w:highlight w:val="none"/>
                <w:lang w:val="en-US" w:eastAsia="zh-CN" w:bidi="ar"/>
              </w:rPr>
            </w:pPr>
            <w:r>
              <w:rPr>
                <w:rFonts w:hint="eastAsia" w:ascii="宋体" w:hAnsi="宋体" w:cs="宋体"/>
                <w:snapToGrid w:val="0"/>
                <w:color w:val="auto"/>
                <w:kern w:val="0"/>
                <w:sz w:val="24"/>
                <w:szCs w:val="24"/>
                <w:highlight w:val="none"/>
                <w:lang w:val="en-US" w:eastAsia="zh-CN" w:bidi="ar"/>
              </w:rPr>
              <w:t>技术</w:t>
            </w:r>
            <w:r>
              <w:rPr>
                <w:rFonts w:hint="eastAsia" w:ascii="宋体" w:hAnsi="宋体" w:eastAsia="宋体" w:cs="宋体"/>
                <w:snapToGrid w:val="0"/>
                <w:color w:val="auto"/>
                <w:kern w:val="0"/>
                <w:sz w:val="24"/>
                <w:szCs w:val="24"/>
                <w:highlight w:val="none"/>
                <w:lang w:val="en-US" w:eastAsia="zh-CN" w:bidi="ar"/>
              </w:rPr>
              <w:t>条款响应</w:t>
            </w:r>
          </w:p>
        </w:tc>
        <w:tc>
          <w:tcPr>
            <w:tcW w:w="5079" w:type="dxa"/>
            <w:tcBorders>
              <w:top w:val="single" w:color="000000" w:sz="4" w:space="0"/>
              <w:left w:val="single" w:color="000000" w:sz="4" w:space="0"/>
              <w:bottom w:val="single" w:color="000000" w:sz="4" w:space="0"/>
            </w:tcBorders>
            <w:shd w:val="clear" w:color="auto" w:fill="auto"/>
            <w:noWrap w:val="0"/>
            <w:vAlign w:val="center"/>
          </w:tcPr>
          <w:p w14:paraId="464F302D">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left"/>
              <w:textAlignment w:val="baseline"/>
              <w:outlineLvl w:val="9"/>
              <w:rPr>
                <w:rFonts w:hint="eastAsia" w:cs="宋体"/>
                <w:color w:val="auto"/>
                <w:spacing w:val="-4"/>
                <w:sz w:val="24"/>
                <w:szCs w:val="24"/>
                <w:highlight w:val="none"/>
                <w:lang w:val="en-US" w:eastAsia="zh-CN"/>
              </w:rPr>
            </w:pPr>
            <w:r>
              <w:rPr>
                <w:rFonts w:hint="eastAsia" w:cs="宋体"/>
                <w:color w:val="auto"/>
                <w:spacing w:val="-4"/>
                <w:sz w:val="24"/>
                <w:szCs w:val="24"/>
                <w:highlight w:val="none"/>
                <w:lang w:val="en-US" w:eastAsia="zh-CN"/>
              </w:rPr>
              <w:t>投标文件满足招标文件第二章项目需求中所有技术条款要求，接受正偏离情况，若出现负偏离或不满足则投标无效。</w:t>
            </w:r>
          </w:p>
        </w:tc>
      </w:tr>
      <w:tr w14:paraId="2A1D3E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bottom w:val="single" w:color="000000" w:sz="4" w:space="0"/>
            </w:tcBorders>
            <w:shd w:val="clear" w:color="auto" w:fill="auto"/>
            <w:noWrap w:val="0"/>
            <w:vAlign w:val="center"/>
          </w:tcPr>
          <w:p w14:paraId="7CF50D43">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color w:val="auto"/>
                <w:spacing w:val="-3"/>
                <w:kern w:val="2"/>
                <w:sz w:val="24"/>
                <w:szCs w:val="24"/>
                <w:highlight w:val="none"/>
                <w:lang w:val="en-US" w:eastAsia="en-US" w:bidi="ar-SA"/>
              </w:rPr>
            </w:pPr>
            <w:r>
              <w:rPr>
                <w:rFonts w:hint="eastAsia" w:ascii="宋体" w:hAnsi="宋体" w:eastAsia="宋体" w:cs="宋体"/>
                <w:color w:val="auto"/>
                <w:spacing w:val="-3"/>
                <w:sz w:val="24"/>
                <w:szCs w:val="24"/>
                <w:highlight w:val="none"/>
                <w:lang w:val="en-US" w:eastAsia="zh-CN"/>
              </w:rPr>
              <w:t>5</w:t>
            </w:r>
          </w:p>
        </w:tc>
        <w:tc>
          <w:tcPr>
            <w:tcW w:w="825" w:type="dxa"/>
            <w:tcBorders>
              <w:top w:val="single" w:color="000000" w:sz="4" w:space="0"/>
              <w:bottom w:val="single" w:color="000000" w:sz="4" w:space="0"/>
            </w:tcBorders>
            <w:shd w:val="clear" w:color="auto" w:fill="auto"/>
            <w:noWrap w:val="0"/>
            <w:vAlign w:val="center"/>
          </w:tcPr>
          <w:p w14:paraId="15A5718D">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color w:val="auto"/>
                <w:spacing w:val="-5"/>
                <w:sz w:val="24"/>
                <w:szCs w:val="24"/>
                <w:highlight w:val="none"/>
              </w:rPr>
              <w:t>商务</w:t>
            </w:r>
            <w:r>
              <w:rPr>
                <w:rFonts w:hint="eastAsia" w:ascii="宋体" w:hAnsi="宋体" w:eastAsia="宋体" w:cs="宋体"/>
                <w:color w:val="auto"/>
                <w:spacing w:val="-5"/>
                <w:sz w:val="24"/>
                <w:szCs w:val="24"/>
                <w:highlight w:val="none"/>
                <w:lang w:val="en-US" w:eastAsia="zh-CN"/>
              </w:rPr>
              <w:t>5</w:t>
            </w:r>
          </w:p>
        </w:tc>
        <w:tc>
          <w:tcPr>
            <w:tcW w:w="2744" w:type="dxa"/>
            <w:tcBorders>
              <w:top w:val="single" w:color="000000" w:sz="4" w:space="0"/>
              <w:bottom w:val="single" w:color="000000" w:sz="4" w:space="0"/>
              <w:right w:val="single" w:color="000000" w:sz="4" w:space="0"/>
            </w:tcBorders>
            <w:noWrap w:val="0"/>
            <w:vAlign w:val="center"/>
          </w:tcPr>
          <w:p w14:paraId="30E1153C">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hanging="14" w:firstLineChars="0"/>
              <w:jc w:val="left"/>
              <w:textAlignment w:val="baseline"/>
              <w:outlineLvl w:val="9"/>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color w:val="auto"/>
                <w:spacing w:val="-8"/>
                <w:sz w:val="24"/>
                <w:szCs w:val="24"/>
                <w:highlight w:val="none"/>
              </w:rPr>
              <w:t>合同履行期限</w:t>
            </w:r>
          </w:p>
        </w:tc>
        <w:tc>
          <w:tcPr>
            <w:tcW w:w="5079" w:type="dxa"/>
            <w:tcBorders>
              <w:top w:val="single" w:color="000000" w:sz="4" w:space="0"/>
              <w:left w:val="single" w:color="000000" w:sz="4" w:space="0"/>
              <w:bottom w:val="single" w:color="000000" w:sz="4" w:space="0"/>
            </w:tcBorders>
            <w:noWrap w:val="0"/>
            <w:vAlign w:val="center"/>
          </w:tcPr>
          <w:p w14:paraId="127339A4">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left"/>
              <w:textAlignment w:val="baseline"/>
              <w:outlineLvl w:val="9"/>
              <w:rPr>
                <w:rFonts w:hint="eastAsia" w:cs="宋体"/>
                <w:color w:val="auto"/>
                <w:spacing w:val="-4"/>
                <w:sz w:val="24"/>
                <w:szCs w:val="24"/>
                <w:highlight w:val="none"/>
                <w:lang w:val="en-US" w:eastAsia="zh-CN"/>
              </w:rPr>
            </w:pPr>
            <w:r>
              <w:rPr>
                <w:rFonts w:hint="eastAsia" w:cs="宋体"/>
                <w:color w:val="auto"/>
                <w:spacing w:val="-4"/>
                <w:sz w:val="24"/>
                <w:szCs w:val="24"/>
                <w:highlight w:val="none"/>
                <w:lang w:val="en-US" w:eastAsia="zh-CN"/>
              </w:rPr>
              <w:t>合同签订后5天内完成运输，安装，结构改造及相关部门检验验收。</w:t>
            </w:r>
          </w:p>
        </w:tc>
      </w:tr>
      <w:tr w14:paraId="034D5A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tcBorders>
            <w:shd w:val="clear" w:color="auto" w:fill="auto"/>
            <w:noWrap w:val="0"/>
            <w:vAlign w:val="center"/>
          </w:tcPr>
          <w:p w14:paraId="1B9AA0A4">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snapToGrid w:val="0"/>
                <w:color w:val="auto"/>
                <w:spacing w:val="-3"/>
                <w:kern w:val="0"/>
                <w:sz w:val="24"/>
                <w:szCs w:val="24"/>
                <w:highlight w:val="none"/>
                <w:lang w:val="en-US" w:eastAsia="zh-CN" w:bidi="ar-SA"/>
              </w:rPr>
            </w:pPr>
            <w:r>
              <w:rPr>
                <w:rFonts w:hint="eastAsia" w:ascii="宋体" w:hAnsi="宋体" w:eastAsia="宋体" w:cs="宋体"/>
                <w:color w:val="auto"/>
                <w:spacing w:val="-3"/>
                <w:sz w:val="24"/>
                <w:szCs w:val="24"/>
                <w:highlight w:val="none"/>
                <w:lang w:val="en-US" w:eastAsia="zh-CN"/>
              </w:rPr>
              <w:t>6</w:t>
            </w:r>
          </w:p>
        </w:tc>
        <w:tc>
          <w:tcPr>
            <w:tcW w:w="825" w:type="dxa"/>
            <w:tcBorders>
              <w:top w:val="single" w:color="000000" w:sz="4" w:space="0"/>
            </w:tcBorders>
            <w:shd w:val="clear" w:color="auto" w:fill="auto"/>
            <w:noWrap w:val="0"/>
            <w:vAlign w:val="center"/>
          </w:tcPr>
          <w:p w14:paraId="244BB980">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color w:val="auto"/>
                <w:spacing w:val="-5"/>
                <w:sz w:val="24"/>
                <w:szCs w:val="24"/>
                <w:highlight w:val="none"/>
              </w:rPr>
              <w:t>商务</w:t>
            </w:r>
            <w:r>
              <w:rPr>
                <w:rFonts w:hint="eastAsia" w:ascii="宋体" w:hAnsi="宋体" w:eastAsia="宋体" w:cs="宋体"/>
                <w:color w:val="auto"/>
                <w:spacing w:val="-5"/>
                <w:sz w:val="24"/>
                <w:szCs w:val="24"/>
                <w:highlight w:val="none"/>
                <w:lang w:val="en-US" w:eastAsia="zh-CN"/>
              </w:rPr>
              <w:t>6</w:t>
            </w:r>
          </w:p>
        </w:tc>
        <w:tc>
          <w:tcPr>
            <w:tcW w:w="2744" w:type="dxa"/>
            <w:tcBorders>
              <w:top w:val="single" w:color="000000" w:sz="4" w:space="0"/>
              <w:right w:val="single" w:color="000000" w:sz="4" w:space="0"/>
            </w:tcBorders>
            <w:noWrap w:val="0"/>
            <w:vAlign w:val="center"/>
          </w:tcPr>
          <w:p w14:paraId="593BBC58">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hanging="1" w:firstLineChars="0"/>
              <w:jc w:val="left"/>
              <w:textAlignment w:val="baseline"/>
              <w:outlineLvl w:val="9"/>
              <w:rPr>
                <w:rFonts w:hint="eastAsia" w:ascii="宋体" w:hAnsi="宋体" w:eastAsia="宋体" w:cs="宋体"/>
                <w:snapToGrid w:val="0"/>
                <w:color w:val="auto"/>
                <w:kern w:val="0"/>
                <w:sz w:val="24"/>
                <w:szCs w:val="24"/>
                <w:lang w:val="en-US" w:eastAsia="en-US" w:bidi="ar-SA"/>
              </w:rPr>
            </w:pPr>
            <w:r>
              <w:rPr>
                <w:rFonts w:hint="eastAsia" w:ascii="宋体" w:hAnsi="宋体" w:eastAsia="宋体" w:cs="宋体"/>
                <w:color w:val="auto"/>
                <w:spacing w:val="-1"/>
                <w:sz w:val="24"/>
                <w:szCs w:val="24"/>
                <w:lang w:eastAsia="zh-CN"/>
              </w:rPr>
              <w:t>报价文件格式</w:t>
            </w:r>
          </w:p>
        </w:tc>
        <w:tc>
          <w:tcPr>
            <w:tcW w:w="5079" w:type="dxa"/>
            <w:tcBorders>
              <w:top w:val="single" w:color="000000" w:sz="4" w:space="0"/>
              <w:left w:val="single" w:color="000000" w:sz="4" w:space="0"/>
              <w:bottom w:val="single" w:color="000000" w:sz="4" w:space="0"/>
            </w:tcBorders>
            <w:noWrap w:val="0"/>
            <w:vAlign w:val="center"/>
          </w:tcPr>
          <w:p w14:paraId="5C4811AB">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left"/>
              <w:textAlignment w:val="baseline"/>
              <w:outlineLvl w:val="9"/>
              <w:rPr>
                <w:rFonts w:hint="eastAsia" w:cs="宋体"/>
                <w:color w:val="auto"/>
                <w:spacing w:val="-4"/>
                <w:sz w:val="24"/>
                <w:szCs w:val="24"/>
                <w:highlight w:val="none"/>
                <w:lang w:val="en-US" w:eastAsia="zh-CN"/>
              </w:rPr>
            </w:pPr>
            <w:r>
              <w:rPr>
                <w:rFonts w:hint="eastAsia" w:cs="宋体"/>
                <w:color w:val="auto"/>
                <w:spacing w:val="-4"/>
                <w:sz w:val="24"/>
                <w:szCs w:val="24"/>
                <w:highlight w:val="none"/>
                <w:lang w:val="en-US" w:eastAsia="zh-CN"/>
              </w:rPr>
              <w:t>报价文件中包括了谈判文件中提供格式的文本，形式上符合谈判文件规定。</w:t>
            </w:r>
            <w:r>
              <w:rPr>
                <w:rFonts w:hint="eastAsia" w:cs="宋体"/>
                <w:color w:val="auto"/>
                <w:spacing w:val="-4"/>
                <w:sz w:val="24"/>
                <w:szCs w:val="24"/>
                <w:highlight w:val="none"/>
                <w:lang w:val="zh-CN" w:eastAsia="zh-CN"/>
              </w:rPr>
              <w:t>谈判响应文件按照谈判文件第六章格式要求填写，无字迹模糊、辨认不清。</w:t>
            </w:r>
          </w:p>
        </w:tc>
      </w:tr>
      <w:tr w14:paraId="0A67AF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tcBorders>
            <w:shd w:val="clear" w:color="auto" w:fill="auto"/>
            <w:noWrap w:val="0"/>
            <w:vAlign w:val="center"/>
          </w:tcPr>
          <w:p w14:paraId="2AF2AF51">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color w:val="auto"/>
                <w:spacing w:val="-3"/>
                <w:kern w:val="2"/>
                <w:sz w:val="24"/>
                <w:szCs w:val="24"/>
                <w:highlight w:val="none"/>
                <w:lang w:val="en-US" w:eastAsia="zh-CN" w:bidi="ar-SA"/>
              </w:rPr>
            </w:pPr>
            <w:r>
              <w:rPr>
                <w:rFonts w:hint="eastAsia" w:ascii="宋体" w:hAnsi="宋体" w:eastAsia="宋体" w:cs="宋体"/>
                <w:color w:val="auto"/>
                <w:spacing w:val="-3"/>
                <w:sz w:val="24"/>
                <w:szCs w:val="24"/>
                <w:highlight w:val="none"/>
                <w:lang w:val="en-US" w:eastAsia="zh-CN"/>
              </w:rPr>
              <w:t>7</w:t>
            </w:r>
          </w:p>
        </w:tc>
        <w:tc>
          <w:tcPr>
            <w:tcW w:w="825" w:type="dxa"/>
            <w:tcBorders>
              <w:top w:val="single" w:color="000000" w:sz="4" w:space="0"/>
            </w:tcBorders>
            <w:shd w:val="clear" w:color="auto" w:fill="auto"/>
            <w:noWrap w:val="0"/>
            <w:vAlign w:val="center"/>
          </w:tcPr>
          <w:p w14:paraId="2E21ECDF">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color w:val="auto"/>
                <w:spacing w:val="-5"/>
                <w:kern w:val="2"/>
                <w:sz w:val="24"/>
                <w:szCs w:val="24"/>
                <w:highlight w:val="none"/>
                <w:lang w:val="en-US" w:eastAsia="zh-CN" w:bidi="ar-SA"/>
              </w:rPr>
            </w:pPr>
            <w:r>
              <w:rPr>
                <w:rFonts w:hint="eastAsia" w:ascii="宋体" w:hAnsi="宋体" w:eastAsia="宋体" w:cs="宋体"/>
                <w:color w:val="auto"/>
                <w:spacing w:val="-5"/>
                <w:sz w:val="24"/>
                <w:szCs w:val="24"/>
                <w:highlight w:val="none"/>
              </w:rPr>
              <w:t>商务</w:t>
            </w:r>
            <w:r>
              <w:rPr>
                <w:rFonts w:hint="eastAsia" w:cs="宋体"/>
                <w:color w:val="auto"/>
                <w:spacing w:val="-5"/>
                <w:sz w:val="24"/>
                <w:szCs w:val="24"/>
                <w:highlight w:val="none"/>
                <w:lang w:val="en-US" w:eastAsia="zh-CN"/>
              </w:rPr>
              <w:t>7</w:t>
            </w:r>
          </w:p>
        </w:tc>
        <w:tc>
          <w:tcPr>
            <w:tcW w:w="2744" w:type="dxa"/>
            <w:tcBorders>
              <w:top w:val="single" w:color="000000" w:sz="4" w:space="0"/>
              <w:right w:val="single" w:color="000000" w:sz="4" w:space="0"/>
            </w:tcBorders>
            <w:noWrap w:val="0"/>
            <w:vAlign w:val="center"/>
          </w:tcPr>
          <w:p w14:paraId="44A48907">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hanging="5" w:firstLineChars="0"/>
              <w:jc w:val="left"/>
              <w:textAlignment w:val="baseline"/>
              <w:outlineLvl w:val="9"/>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color w:val="auto"/>
                <w:spacing w:val="-8"/>
                <w:sz w:val="24"/>
                <w:szCs w:val="24"/>
                <w:lang w:eastAsia="zh-CN"/>
              </w:rPr>
              <w:t>报价文件签字</w:t>
            </w:r>
            <w:r>
              <w:rPr>
                <w:rFonts w:hint="eastAsia" w:ascii="宋体" w:hAnsi="宋体" w:eastAsia="宋体" w:cs="宋体"/>
                <w:color w:val="auto"/>
                <w:spacing w:val="-8"/>
                <w:sz w:val="24"/>
                <w:szCs w:val="24"/>
              </w:rPr>
              <w:t>、盖</w:t>
            </w:r>
            <w:r>
              <w:rPr>
                <w:rFonts w:hint="eastAsia" w:ascii="宋体" w:hAnsi="宋体" w:eastAsia="宋体" w:cs="宋体"/>
                <w:color w:val="auto"/>
                <w:spacing w:val="-9"/>
                <w:sz w:val="24"/>
                <w:szCs w:val="24"/>
              </w:rPr>
              <w:t>章</w:t>
            </w:r>
          </w:p>
        </w:tc>
        <w:tc>
          <w:tcPr>
            <w:tcW w:w="5079" w:type="dxa"/>
            <w:tcBorders>
              <w:top w:val="single" w:color="000000" w:sz="4" w:space="0"/>
              <w:left w:val="single" w:color="000000" w:sz="4" w:space="0"/>
              <w:bottom w:val="single" w:color="000000" w:sz="4" w:space="0"/>
            </w:tcBorders>
            <w:noWrap w:val="0"/>
            <w:vAlign w:val="center"/>
          </w:tcPr>
          <w:p w14:paraId="7F57B5C8">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1" w:firstLineChars="0"/>
              <w:jc w:val="left"/>
              <w:textAlignment w:val="baseline"/>
              <w:outlineLvl w:val="9"/>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color w:val="auto"/>
                <w:spacing w:val="-4"/>
                <w:sz w:val="24"/>
                <w:szCs w:val="24"/>
              </w:rPr>
              <w:t>投标人按照</w:t>
            </w:r>
            <w:r>
              <w:rPr>
                <w:rFonts w:hint="eastAsia" w:ascii="宋体" w:hAnsi="宋体" w:eastAsia="宋体" w:cs="宋体"/>
                <w:color w:val="auto"/>
                <w:spacing w:val="-4"/>
                <w:sz w:val="24"/>
                <w:szCs w:val="24"/>
                <w:lang w:eastAsia="zh-CN"/>
              </w:rPr>
              <w:t>谈判文件</w:t>
            </w:r>
            <w:r>
              <w:rPr>
                <w:rFonts w:hint="eastAsia" w:ascii="宋体" w:hAnsi="宋体" w:eastAsia="宋体" w:cs="宋体"/>
                <w:color w:val="auto"/>
                <w:spacing w:val="-4"/>
                <w:sz w:val="24"/>
                <w:szCs w:val="24"/>
              </w:rPr>
              <w:t>规定要求签署、盖章</w:t>
            </w:r>
            <w:r>
              <w:rPr>
                <w:rFonts w:hint="eastAsia" w:ascii="宋体" w:hAnsi="宋体" w:eastAsia="宋体" w:cs="宋体"/>
                <w:color w:val="auto"/>
                <w:spacing w:val="-4"/>
                <w:sz w:val="24"/>
                <w:szCs w:val="24"/>
                <w:lang w:eastAsia="zh-CN"/>
              </w:rPr>
              <w:t>。</w:t>
            </w:r>
          </w:p>
        </w:tc>
      </w:tr>
      <w:tr w14:paraId="11C2C9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jc w:val="center"/>
        </w:trPr>
        <w:tc>
          <w:tcPr>
            <w:tcW w:w="730" w:type="dxa"/>
            <w:tcBorders>
              <w:top w:val="single" w:color="000000" w:sz="4" w:space="0"/>
              <w:left w:val="single" w:color="000000" w:sz="4" w:space="0"/>
            </w:tcBorders>
            <w:shd w:val="clear" w:color="auto" w:fill="auto"/>
            <w:noWrap w:val="0"/>
            <w:vAlign w:val="center"/>
          </w:tcPr>
          <w:p w14:paraId="0C19D330">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default" w:ascii="宋体" w:hAnsi="宋体" w:eastAsia="宋体" w:cs="宋体"/>
                <w:snapToGrid w:val="0"/>
                <w:color w:val="auto"/>
                <w:spacing w:val="-3"/>
                <w:kern w:val="0"/>
                <w:sz w:val="24"/>
                <w:szCs w:val="24"/>
                <w:lang w:val="en-US" w:eastAsia="zh-CN" w:bidi="ar-SA"/>
              </w:rPr>
            </w:pPr>
            <w:r>
              <w:rPr>
                <w:rFonts w:hint="eastAsia" w:ascii="宋体" w:hAnsi="宋体" w:eastAsia="宋体" w:cs="宋体"/>
                <w:snapToGrid w:val="0"/>
                <w:color w:val="auto"/>
                <w:spacing w:val="-3"/>
                <w:kern w:val="0"/>
                <w:sz w:val="24"/>
                <w:szCs w:val="24"/>
                <w:lang w:val="en-US" w:eastAsia="zh-CN" w:bidi="ar-SA"/>
              </w:rPr>
              <w:t>8</w:t>
            </w:r>
          </w:p>
        </w:tc>
        <w:tc>
          <w:tcPr>
            <w:tcW w:w="825" w:type="dxa"/>
            <w:tcBorders>
              <w:top w:val="single" w:color="000000" w:sz="4" w:space="0"/>
            </w:tcBorders>
            <w:shd w:val="clear" w:color="auto" w:fill="auto"/>
            <w:noWrap w:val="0"/>
            <w:vAlign w:val="center"/>
          </w:tcPr>
          <w:p w14:paraId="5FF86187">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color w:val="auto"/>
                <w:spacing w:val="-5"/>
                <w:sz w:val="24"/>
                <w:szCs w:val="24"/>
              </w:rPr>
              <w:t>商务</w:t>
            </w:r>
            <w:r>
              <w:rPr>
                <w:rFonts w:hint="eastAsia" w:ascii="宋体" w:hAnsi="宋体" w:eastAsia="宋体" w:cs="宋体"/>
                <w:color w:val="auto"/>
                <w:spacing w:val="-5"/>
                <w:sz w:val="24"/>
                <w:szCs w:val="24"/>
                <w:lang w:val="en-US" w:eastAsia="zh-CN"/>
              </w:rPr>
              <w:t>8</w:t>
            </w:r>
          </w:p>
        </w:tc>
        <w:tc>
          <w:tcPr>
            <w:tcW w:w="2744" w:type="dxa"/>
            <w:tcBorders>
              <w:top w:val="single" w:color="000000" w:sz="4" w:space="0"/>
              <w:right w:val="single" w:color="000000" w:sz="4" w:space="0"/>
            </w:tcBorders>
            <w:noWrap w:val="0"/>
            <w:vAlign w:val="center"/>
          </w:tcPr>
          <w:p w14:paraId="3398EBB7">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hanging="5" w:firstLineChars="0"/>
              <w:jc w:val="left"/>
              <w:textAlignment w:val="baseline"/>
              <w:outlineLvl w:val="9"/>
              <w:rPr>
                <w:rFonts w:hint="eastAsia" w:ascii="宋体" w:hAnsi="宋体" w:eastAsia="宋体" w:cs="宋体"/>
                <w:color w:val="auto"/>
                <w:spacing w:val="-8"/>
                <w:sz w:val="24"/>
                <w:szCs w:val="24"/>
                <w:lang w:eastAsia="zh-CN"/>
              </w:rPr>
            </w:pPr>
            <w:r>
              <w:rPr>
                <w:rFonts w:hint="eastAsia" w:ascii="宋体" w:hAnsi="宋体" w:eastAsia="宋体" w:cs="宋体"/>
                <w:color w:val="auto"/>
                <w:spacing w:val="-4"/>
                <w:sz w:val="24"/>
                <w:szCs w:val="24"/>
                <w:lang w:val="en-US" w:eastAsia="zh-CN"/>
              </w:rPr>
              <w:t>技术偏离表</w:t>
            </w:r>
          </w:p>
        </w:tc>
        <w:tc>
          <w:tcPr>
            <w:tcW w:w="5079" w:type="dxa"/>
            <w:tcBorders>
              <w:top w:val="single" w:color="000000" w:sz="4" w:space="0"/>
              <w:left w:val="single" w:color="000000" w:sz="4" w:space="0"/>
              <w:bottom w:val="single" w:color="000000" w:sz="4" w:space="0"/>
            </w:tcBorders>
            <w:noWrap w:val="0"/>
            <w:vAlign w:val="center"/>
          </w:tcPr>
          <w:p w14:paraId="46F5C582">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1" w:firstLineChars="0"/>
              <w:jc w:val="left"/>
              <w:textAlignment w:val="baseline"/>
              <w:outlineLvl w:val="9"/>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lang w:val="en-US" w:eastAsia="zh-CN"/>
              </w:rPr>
              <w:t>逐条对谈判文件要求的技术需求进行应答，详细填写“技术偏离表”。</w:t>
            </w:r>
          </w:p>
        </w:tc>
      </w:tr>
      <w:tr w14:paraId="2638AD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730" w:type="dxa"/>
            <w:tcBorders>
              <w:top w:val="single" w:color="000000" w:sz="4" w:space="0"/>
              <w:left w:val="single" w:color="000000" w:sz="4" w:space="0"/>
            </w:tcBorders>
            <w:noWrap w:val="0"/>
            <w:vAlign w:val="center"/>
          </w:tcPr>
          <w:p w14:paraId="32443F47">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default" w:ascii="宋体" w:hAnsi="宋体" w:eastAsia="宋体" w:cs="宋体"/>
                <w:snapToGrid w:val="0"/>
                <w:color w:val="auto"/>
                <w:spacing w:val="-3"/>
                <w:kern w:val="0"/>
                <w:sz w:val="24"/>
                <w:szCs w:val="24"/>
                <w:lang w:val="en-US" w:eastAsia="zh-CN" w:bidi="ar-SA"/>
              </w:rPr>
            </w:pPr>
            <w:r>
              <w:rPr>
                <w:rFonts w:hint="eastAsia" w:cs="宋体"/>
                <w:snapToGrid w:val="0"/>
                <w:color w:val="auto"/>
                <w:spacing w:val="-3"/>
                <w:kern w:val="0"/>
                <w:sz w:val="24"/>
                <w:szCs w:val="24"/>
                <w:lang w:val="en-US" w:eastAsia="zh-CN" w:bidi="ar-SA"/>
              </w:rPr>
              <w:t>9</w:t>
            </w:r>
          </w:p>
        </w:tc>
        <w:tc>
          <w:tcPr>
            <w:tcW w:w="825" w:type="dxa"/>
            <w:tcBorders>
              <w:top w:val="single" w:color="000000" w:sz="4" w:space="0"/>
            </w:tcBorders>
            <w:noWrap w:val="0"/>
            <w:vAlign w:val="center"/>
          </w:tcPr>
          <w:p w14:paraId="7DEEC68C">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jc w:val="center"/>
              <w:textAlignment w:val="baseline"/>
              <w:outlineLvl w:val="9"/>
              <w:rPr>
                <w:rFonts w:hint="default" w:ascii="宋体" w:hAnsi="宋体" w:eastAsia="宋体" w:cs="宋体"/>
                <w:snapToGrid w:val="0"/>
                <w:color w:val="auto"/>
                <w:kern w:val="0"/>
                <w:sz w:val="24"/>
                <w:szCs w:val="24"/>
                <w:lang w:val="en-US" w:eastAsia="zh-CN" w:bidi="ar-SA"/>
              </w:rPr>
            </w:pPr>
            <w:r>
              <w:rPr>
                <w:rFonts w:hint="eastAsia" w:cs="宋体"/>
                <w:snapToGrid w:val="0"/>
                <w:color w:val="auto"/>
                <w:kern w:val="0"/>
                <w:sz w:val="24"/>
                <w:szCs w:val="24"/>
                <w:lang w:val="en-US" w:eastAsia="zh-CN" w:bidi="ar-SA"/>
              </w:rPr>
              <w:t>商务9</w:t>
            </w:r>
          </w:p>
        </w:tc>
        <w:tc>
          <w:tcPr>
            <w:tcW w:w="2744" w:type="dxa"/>
            <w:tcBorders>
              <w:top w:val="single" w:color="000000" w:sz="4" w:space="0"/>
              <w:right w:val="single" w:color="000000" w:sz="4" w:space="0"/>
            </w:tcBorders>
            <w:noWrap w:val="0"/>
            <w:vAlign w:val="center"/>
          </w:tcPr>
          <w:p w14:paraId="794F423A">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2" w:firstLineChars="0"/>
              <w:jc w:val="left"/>
              <w:textAlignment w:val="baseline"/>
              <w:outlineLvl w:val="9"/>
              <w:rPr>
                <w:rFonts w:hint="eastAsia" w:ascii="宋体" w:hAnsi="宋体" w:eastAsia="宋体" w:cs="宋体"/>
                <w:snapToGrid w:val="0"/>
                <w:color w:val="auto"/>
                <w:kern w:val="0"/>
                <w:sz w:val="24"/>
                <w:szCs w:val="24"/>
                <w:highlight w:val="none"/>
                <w:lang w:val="en-US" w:eastAsia="en-US" w:bidi="ar-SA"/>
              </w:rPr>
            </w:pPr>
            <w:r>
              <w:rPr>
                <w:rFonts w:hint="eastAsia" w:ascii="宋体" w:hAnsi="宋体" w:eastAsia="宋体" w:cs="宋体"/>
                <w:snapToGrid w:val="0"/>
                <w:color w:val="auto"/>
                <w:kern w:val="0"/>
                <w:sz w:val="24"/>
                <w:szCs w:val="24"/>
                <w:highlight w:val="none"/>
                <w:lang w:val="en-US" w:eastAsia="en-US" w:bidi="ar-SA"/>
              </w:rPr>
              <w:t>其他要求</w:t>
            </w:r>
          </w:p>
        </w:tc>
        <w:tc>
          <w:tcPr>
            <w:tcW w:w="5079" w:type="dxa"/>
            <w:tcBorders>
              <w:top w:val="single" w:color="000000" w:sz="4" w:space="0"/>
              <w:left w:val="single" w:color="000000" w:sz="4" w:space="0"/>
              <w:bottom w:val="single" w:color="000000" w:sz="4" w:space="0"/>
            </w:tcBorders>
            <w:noWrap w:val="0"/>
            <w:vAlign w:val="center"/>
          </w:tcPr>
          <w:p w14:paraId="133AB08F">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2" w:firstLineChars="0"/>
              <w:jc w:val="left"/>
              <w:textAlignment w:val="baseline"/>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lang w:val="en-US" w:eastAsia="zh-CN"/>
              </w:rPr>
              <w:t>1</w:t>
            </w:r>
            <w:r>
              <w:rPr>
                <w:rFonts w:hint="eastAsia" w:ascii="宋体" w:hAnsi="宋体" w:eastAsia="宋体" w:cs="宋体"/>
                <w:color w:val="auto"/>
                <w:spacing w:val="-1"/>
                <w:sz w:val="24"/>
                <w:szCs w:val="24"/>
                <w:highlight w:val="none"/>
                <w:lang w:eastAsia="zh-CN"/>
              </w:rPr>
              <w:t>）报价文件</w:t>
            </w:r>
            <w:r>
              <w:rPr>
                <w:rFonts w:hint="eastAsia" w:ascii="宋体" w:hAnsi="宋体" w:eastAsia="宋体" w:cs="宋体"/>
                <w:color w:val="auto"/>
                <w:spacing w:val="-1"/>
                <w:sz w:val="24"/>
                <w:szCs w:val="24"/>
                <w:highlight w:val="none"/>
              </w:rPr>
              <w:t>未含有采购人不能接受的附</w:t>
            </w:r>
            <w:r>
              <w:rPr>
                <w:rFonts w:hint="eastAsia" w:ascii="宋体" w:hAnsi="宋体" w:eastAsia="宋体" w:cs="宋体"/>
                <w:color w:val="auto"/>
                <w:spacing w:val="-2"/>
                <w:sz w:val="24"/>
                <w:szCs w:val="24"/>
                <w:highlight w:val="none"/>
              </w:rPr>
              <w:t>加条件的</w:t>
            </w:r>
            <w:r>
              <w:rPr>
                <w:rFonts w:hint="eastAsia" w:ascii="宋体" w:hAnsi="宋体" w:eastAsia="宋体" w:cs="宋体"/>
                <w:color w:val="auto"/>
                <w:spacing w:val="-2"/>
                <w:sz w:val="24"/>
                <w:szCs w:val="24"/>
                <w:highlight w:val="none"/>
                <w:lang w:eastAsia="zh-CN"/>
              </w:rPr>
              <w:t>。</w:t>
            </w:r>
          </w:p>
          <w:p w14:paraId="6E41C6F1">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2" w:firstLineChars="0"/>
              <w:jc w:val="left"/>
              <w:textAlignment w:val="baseline"/>
              <w:outlineLvl w:val="9"/>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lang w:val="en-US" w:eastAsia="zh-CN"/>
              </w:rPr>
              <w:t>2</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rPr>
              <w:t>对</w:t>
            </w:r>
            <w:r>
              <w:rPr>
                <w:rFonts w:hint="eastAsia" w:ascii="宋体" w:hAnsi="宋体" w:eastAsia="宋体" w:cs="宋体"/>
                <w:color w:val="auto"/>
                <w:spacing w:val="-1"/>
                <w:sz w:val="24"/>
                <w:szCs w:val="24"/>
                <w:highlight w:val="none"/>
                <w:lang w:eastAsia="zh-CN"/>
              </w:rPr>
              <w:t>谈判文件</w:t>
            </w:r>
            <w:r>
              <w:rPr>
                <w:rFonts w:hint="eastAsia" w:ascii="宋体" w:hAnsi="宋体" w:eastAsia="宋体" w:cs="宋体"/>
                <w:color w:val="auto"/>
                <w:spacing w:val="-1"/>
                <w:sz w:val="24"/>
                <w:szCs w:val="24"/>
                <w:highlight w:val="none"/>
              </w:rPr>
              <w:t>的实质性要求作出响应</w:t>
            </w:r>
            <w:r>
              <w:rPr>
                <w:rFonts w:hint="eastAsia" w:ascii="宋体" w:hAnsi="宋体" w:eastAsia="宋体" w:cs="宋体"/>
                <w:color w:val="auto"/>
                <w:spacing w:val="-1"/>
                <w:sz w:val="24"/>
                <w:szCs w:val="24"/>
                <w:highlight w:val="none"/>
                <w:lang w:eastAsia="zh-CN"/>
              </w:rPr>
              <w:t>。</w:t>
            </w:r>
          </w:p>
          <w:p w14:paraId="720111B2">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2" w:firstLineChars="0"/>
              <w:jc w:val="left"/>
              <w:textAlignment w:val="baseline"/>
              <w:outlineLvl w:val="9"/>
              <w:rPr>
                <w:rFonts w:hint="eastAsia" w:ascii="宋体" w:hAnsi="宋体" w:eastAsia="宋体" w:cs="宋体"/>
                <w:color w:val="auto"/>
                <w:spacing w:val="-1"/>
                <w:sz w:val="24"/>
                <w:szCs w:val="24"/>
                <w:highlight w:val="none"/>
                <w:lang w:eastAsia="zh-CN"/>
              </w:rPr>
            </w:pP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lang w:val="en-US" w:eastAsia="zh-CN"/>
              </w:rPr>
              <w:t>3</w:t>
            </w:r>
            <w:r>
              <w:rPr>
                <w:rFonts w:hint="eastAsia" w:ascii="宋体" w:hAnsi="宋体" w:eastAsia="宋体" w:cs="宋体"/>
                <w:color w:val="auto"/>
                <w:spacing w:val="-1"/>
                <w:sz w:val="24"/>
                <w:szCs w:val="24"/>
                <w:highlight w:val="none"/>
                <w:lang w:eastAsia="zh-CN"/>
              </w:rPr>
              <w:t>）</w:t>
            </w:r>
            <w:r>
              <w:rPr>
                <w:rFonts w:hint="eastAsia" w:ascii="宋体" w:hAnsi="宋体" w:eastAsia="宋体" w:cs="宋体"/>
                <w:color w:val="auto"/>
                <w:spacing w:val="-1"/>
                <w:sz w:val="24"/>
                <w:szCs w:val="24"/>
                <w:highlight w:val="none"/>
              </w:rPr>
              <w:t>投标人不存在串通投标行为</w:t>
            </w:r>
            <w:r>
              <w:rPr>
                <w:rFonts w:hint="eastAsia" w:ascii="宋体" w:hAnsi="宋体" w:eastAsia="宋体" w:cs="宋体"/>
                <w:color w:val="auto"/>
                <w:spacing w:val="-1"/>
                <w:sz w:val="24"/>
                <w:szCs w:val="24"/>
                <w:highlight w:val="none"/>
                <w:lang w:eastAsia="zh-CN"/>
              </w:rPr>
              <w:t>。</w:t>
            </w:r>
          </w:p>
          <w:p w14:paraId="2AE0FDCC">
            <w:pPr>
              <w:pStyle w:val="104"/>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2" w:firstLineChars="0"/>
              <w:jc w:val="left"/>
              <w:textAlignment w:val="baseline"/>
              <w:outlineLvl w:val="9"/>
              <w:rPr>
                <w:rFonts w:hint="eastAsia" w:ascii="宋体" w:hAnsi="宋体" w:eastAsia="宋体" w:cs="宋体"/>
                <w:snapToGrid w:val="0"/>
                <w:color w:val="auto"/>
                <w:kern w:val="0"/>
                <w:sz w:val="24"/>
                <w:szCs w:val="24"/>
                <w:highlight w:val="none"/>
                <w:lang w:val="en-US" w:eastAsia="zh-CN" w:bidi="ar-SA"/>
              </w:rPr>
            </w:pPr>
            <w:r>
              <w:rPr>
                <w:rFonts w:hint="eastAsia" w:ascii="宋体" w:hAnsi="宋体" w:eastAsia="宋体" w:cs="宋体"/>
                <w:color w:val="auto"/>
                <w:spacing w:val="-5"/>
                <w:sz w:val="24"/>
                <w:szCs w:val="24"/>
                <w:highlight w:val="none"/>
                <w:lang w:eastAsia="zh-CN"/>
              </w:rPr>
              <w:t>（</w:t>
            </w:r>
            <w:r>
              <w:rPr>
                <w:rFonts w:hint="eastAsia" w:ascii="宋体" w:hAnsi="宋体" w:eastAsia="宋体" w:cs="宋体"/>
                <w:color w:val="auto"/>
                <w:spacing w:val="-5"/>
                <w:sz w:val="24"/>
                <w:szCs w:val="24"/>
                <w:highlight w:val="none"/>
                <w:lang w:val="en-US" w:eastAsia="zh-CN"/>
              </w:rPr>
              <w:t>4</w:t>
            </w:r>
            <w:r>
              <w:rPr>
                <w:rFonts w:hint="eastAsia" w:ascii="宋体" w:hAnsi="宋体" w:eastAsia="宋体" w:cs="宋体"/>
                <w:color w:val="auto"/>
                <w:spacing w:val="-5"/>
                <w:sz w:val="24"/>
                <w:szCs w:val="24"/>
                <w:highlight w:val="none"/>
                <w:lang w:eastAsia="zh-CN"/>
              </w:rPr>
              <w:t>）</w:t>
            </w:r>
            <w:r>
              <w:rPr>
                <w:rFonts w:hint="eastAsia" w:ascii="宋体" w:hAnsi="宋体" w:eastAsia="宋体" w:cs="宋体"/>
                <w:color w:val="auto"/>
                <w:spacing w:val="-5"/>
                <w:sz w:val="24"/>
                <w:szCs w:val="24"/>
                <w:highlight w:val="none"/>
              </w:rPr>
              <w:t>投标人、</w:t>
            </w:r>
            <w:r>
              <w:rPr>
                <w:rFonts w:hint="eastAsia" w:ascii="宋体" w:hAnsi="宋体" w:eastAsia="宋体" w:cs="宋体"/>
                <w:color w:val="auto"/>
                <w:spacing w:val="-5"/>
                <w:sz w:val="24"/>
                <w:szCs w:val="24"/>
                <w:highlight w:val="none"/>
                <w:lang w:eastAsia="zh-CN"/>
              </w:rPr>
              <w:t>报价文件</w:t>
            </w:r>
            <w:r>
              <w:rPr>
                <w:rFonts w:hint="eastAsia" w:ascii="宋体" w:hAnsi="宋体" w:eastAsia="宋体" w:cs="宋体"/>
                <w:color w:val="auto"/>
                <w:spacing w:val="-5"/>
                <w:sz w:val="24"/>
                <w:szCs w:val="24"/>
                <w:highlight w:val="none"/>
              </w:rPr>
              <w:t>不存在不符合法律、</w:t>
            </w:r>
            <w:r>
              <w:rPr>
                <w:rFonts w:hint="eastAsia" w:ascii="宋体" w:hAnsi="宋体" w:eastAsia="宋体" w:cs="宋体"/>
                <w:color w:val="auto"/>
                <w:spacing w:val="-1"/>
                <w:sz w:val="24"/>
                <w:szCs w:val="24"/>
                <w:highlight w:val="none"/>
              </w:rPr>
              <w:t>法规和</w:t>
            </w:r>
            <w:r>
              <w:rPr>
                <w:rFonts w:hint="eastAsia" w:ascii="宋体" w:hAnsi="宋体" w:eastAsia="宋体" w:cs="宋体"/>
                <w:color w:val="auto"/>
                <w:spacing w:val="-1"/>
                <w:sz w:val="24"/>
                <w:szCs w:val="24"/>
                <w:highlight w:val="none"/>
                <w:lang w:val="en-US" w:eastAsia="zh-CN"/>
              </w:rPr>
              <w:t>谈判</w:t>
            </w:r>
            <w:r>
              <w:rPr>
                <w:rFonts w:hint="eastAsia" w:ascii="宋体" w:hAnsi="宋体" w:eastAsia="宋体" w:cs="宋体"/>
                <w:color w:val="auto"/>
                <w:spacing w:val="-1"/>
                <w:sz w:val="24"/>
                <w:szCs w:val="24"/>
                <w:highlight w:val="none"/>
              </w:rPr>
              <w:t>文件规定的其他无效情</w:t>
            </w:r>
            <w:r>
              <w:rPr>
                <w:rFonts w:hint="eastAsia" w:ascii="宋体" w:hAnsi="宋体" w:eastAsia="宋体" w:cs="宋体"/>
                <w:color w:val="auto"/>
                <w:spacing w:val="-7"/>
                <w:sz w:val="24"/>
                <w:szCs w:val="24"/>
                <w:highlight w:val="none"/>
              </w:rPr>
              <w:t>形。</w:t>
            </w:r>
          </w:p>
        </w:tc>
      </w:tr>
    </w:tbl>
    <w:p w14:paraId="5C19547B">
      <w:pPr>
        <w:bidi w:val="0"/>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注：</w:t>
      </w:r>
      <w:r>
        <w:rPr>
          <w:rFonts w:hint="eastAsia" w:ascii="宋体" w:hAnsi="宋体" w:eastAsia="宋体" w:cs="宋体"/>
          <w:color w:val="auto"/>
          <w:sz w:val="24"/>
          <w:szCs w:val="24"/>
        </w:rPr>
        <w:t>本表中符合评审内容要求的写“√”,不符合评审内容要求的写“×”。结论为“合格”或“不合格”。</w:t>
      </w:r>
    </w:p>
    <w:p w14:paraId="05FFFD6C">
      <w:pPr>
        <w:autoSpaceDE w:val="0"/>
        <w:autoSpaceDN w:val="0"/>
        <w:adjustRightInd w:val="0"/>
        <w:spacing w:line="400" w:lineRule="exact"/>
        <w:ind w:firstLine="480" w:firstLineChars="200"/>
        <w:jc w:val="left"/>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1</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“√”为合格，“╳”为不合格；</w:t>
      </w:r>
    </w:p>
    <w:p w14:paraId="4DB1C070">
      <w:pPr>
        <w:widowControl/>
        <w:autoSpaceDE w:val="0"/>
        <w:autoSpaceDN w:val="0"/>
        <w:adjustRightInd w:val="0"/>
        <w:spacing w:line="400" w:lineRule="exact"/>
        <w:ind w:firstLine="480" w:firstLineChars="200"/>
        <w:jc w:val="left"/>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2</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上述评审项其中有一项不合格则视为评审不合格，其不进入谈判阶段。</w:t>
      </w:r>
    </w:p>
    <w:p w14:paraId="688CB1EB">
      <w:pPr>
        <w:widowControl/>
        <w:autoSpaceDE w:val="0"/>
        <w:autoSpaceDN w:val="0"/>
        <w:adjustRightInd w:val="0"/>
        <w:spacing w:line="400" w:lineRule="exact"/>
        <w:ind w:firstLine="480" w:firstLineChars="200"/>
        <w:jc w:val="left"/>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3</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如有一项不满足竞争性谈判文件要求，初步评审不合格。</w:t>
      </w:r>
    </w:p>
    <w:p w14:paraId="75EB5422">
      <w:pPr>
        <w:widowControl/>
        <w:autoSpaceDE w:val="0"/>
        <w:autoSpaceDN w:val="0"/>
        <w:adjustRightInd w:val="0"/>
        <w:spacing w:line="400" w:lineRule="exact"/>
        <w:ind w:firstLine="480" w:firstLineChars="200"/>
        <w:jc w:val="left"/>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4</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如不合格注明不合格原因。</w:t>
      </w:r>
    </w:p>
    <w:p w14:paraId="2F6EB42D">
      <w:pPr>
        <w:widowControl/>
        <w:autoSpaceDE w:val="0"/>
        <w:autoSpaceDN w:val="0"/>
        <w:adjustRightInd w:val="0"/>
        <w:spacing w:line="400" w:lineRule="exact"/>
        <w:ind w:firstLine="480" w:firstLineChars="200"/>
        <w:jc w:val="left"/>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5）</w:t>
      </w:r>
      <w:r>
        <w:rPr>
          <w:rFonts w:hint="eastAsia" w:ascii="宋体" w:hAnsi="宋体" w:eastAsia="宋体" w:cs="宋体"/>
          <w:bCs/>
          <w:color w:val="auto"/>
          <w:kern w:val="0"/>
          <w:sz w:val="24"/>
          <w:szCs w:val="24"/>
          <w:highlight w:val="none"/>
        </w:rPr>
        <w:t>上述表中要求提供的证书、合同文件和相关证明文件等证件的复印件装订在报价文件中。</w:t>
      </w:r>
    </w:p>
    <w:p w14:paraId="63426A8E">
      <w:pPr>
        <w:widowControl/>
        <w:autoSpaceDE w:val="0"/>
        <w:autoSpaceDN w:val="0"/>
        <w:adjustRightInd w:val="0"/>
        <w:spacing w:line="400" w:lineRule="exact"/>
        <w:ind w:firstLine="480" w:firstLineChars="200"/>
        <w:jc w:val="left"/>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lang w:val="en-US" w:eastAsia="zh-CN"/>
        </w:rPr>
        <w:t>6</w:t>
      </w:r>
      <w:r>
        <w:rPr>
          <w:rFonts w:hint="eastAsia" w:ascii="宋体" w:hAnsi="宋体" w:eastAsia="宋体" w:cs="宋体"/>
          <w:bCs/>
          <w:color w:val="auto"/>
          <w:kern w:val="0"/>
          <w:sz w:val="24"/>
          <w:szCs w:val="24"/>
          <w:highlight w:val="none"/>
          <w:lang w:eastAsia="zh-CN"/>
        </w:rPr>
        <w:t>）</w:t>
      </w:r>
      <w:r>
        <w:rPr>
          <w:rFonts w:hint="eastAsia" w:ascii="宋体" w:hAnsi="宋体" w:eastAsia="宋体" w:cs="宋体"/>
          <w:bCs/>
          <w:color w:val="auto"/>
          <w:kern w:val="0"/>
          <w:sz w:val="24"/>
          <w:szCs w:val="24"/>
          <w:highlight w:val="none"/>
        </w:rPr>
        <w:t>上述内容中如某一证件正在年检或换证，需年检或换证部门出具有效证明方可确认。</w:t>
      </w:r>
    </w:p>
    <w:p w14:paraId="74272232">
      <w:pPr>
        <w:pStyle w:val="52"/>
        <w:spacing w:line="360" w:lineRule="auto"/>
        <w:ind w:firstLine="482" w:firstLineChars="200"/>
        <w:rPr>
          <w:rFonts w:ascii="宋体" w:hAnsi="宋体" w:eastAsia="宋体" w:cs="仿宋_GB2312"/>
          <w:b/>
          <w:color w:val="auto"/>
          <w:kern w:val="0"/>
          <w:sz w:val="24"/>
          <w:lang w:val="zh-CN"/>
        </w:rPr>
      </w:pPr>
      <w:r>
        <w:rPr>
          <w:rFonts w:ascii="宋体" w:hAnsi="宋体" w:eastAsia="宋体" w:cs="仿宋_GB2312"/>
          <w:b/>
          <w:color w:val="auto"/>
          <w:kern w:val="0"/>
          <w:sz w:val="24"/>
          <w:lang w:val="zh-CN"/>
        </w:rPr>
        <w:t>2.</w:t>
      </w:r>
      <w:r>
        <w:rPr>
          <w:rFonts w:hint="eastAsia" w:ascii="宋体" w:hAnsi="宋体" w:eastAsia="宋体" w:cs="仿宋_GB2312"/>
          <w:b/>
          <w:color w:val="auto"/>
          <w:kern w:val="0"/>
          <w:sz w:val="24"/>
          <w:lang w:val="zh-CN"/>
        </w:rPr>
        <w:t>竞争性谈判和最终报价</w:t>
      </w:r>
    </w:p>
    <w:p w14:paraId="1A19DCF7">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2.1谈判小组所有成员集中与响应谈判供应商分别进行谈判。谈判</w:t>
      </w:r>
      <w:r>
        <w:rPr>
          <w:rFonts w:ascii="宋体" w:hAnsi="宋体" w:eastAsia="宋体" w:cs="仿宋_GB2312"/>
          <w:color w:val="auto"/>
          <w:kern w:val="0"/>
          <w:sz w:val="24"/>
          <w:lang w:val="zh-CN"/>
        </w:rPr>
        <w:t>小组将</w:t>
      </w:r>
      <w:r>
        <w:rPr>
          <w:rFonts w:hint="eastAsia" w:ascii="宋体" w:hAnsi="宋体" w:eastAsia="宋体" w:cs="仿宋_GB2312"/>
          <w:color w:val="auto"/>
          <w:kern w:val="0"/>
          <w:sz w:val="24"/>
          <w:lang w:val="zh-CN"/>
        </w:rPr>
        <w:t>在</w:t>
      </w:r>
      <w:r>
        <w:rPr>
          <w:rFonts w:ascii="宋体" w:hAnsi="宋体" w:eastAsia="宋体" w:cs="仿宋_GB2312"/>
          <w:color w:val="auto"/>
          <w:kern w:val="0"/>
          <w:sz w:val="24"/>
          <w:lang w:val="zh-CN"/>
        </w:rPr>
        <w:t>资格</w:t>
      </w:r>
      <w:r>
        <w:rPr>
          <w:rFonts w:hint="eastAsia" w:ascii="宋体" w:hAnsi="宋体" w:eastAsia="宋体" w:cs="仿宋_GB2312"/>
          <w:color w:val="auto"/>
          <w:kern w:val="0"/>
          <w:sz w:val="24"/>
          <w:lang w:val="zh-CN"/>
        </w:rPr>
        <w:t>评审</w:t>
      </w:r>
      <w:r>
        <w:rPr>
          <w:rFonts w:ascii="宋体" w:hAnsi="宋体" w:eastAsia="宋体" w:cs="仿宋_GB2312"/>
          <w:color w:val="auto"/>
          <w:kern w:val="0"/>
          <w:sz w:val="24"/>
          <w:lang w:val="zh-CN"/>
        </w:rPr>
        <w:t>和符合性</w:t>
      </w:r>
      <w:r>
        <w:rPr>
          <w:rFonts w:hint="eastAsia" w:ascii="宋体" w:hAnsi="宋体" w:eastAsia="宋体" w:cs="仿宋_GB2312"/>
          <w:color w:val="auto"/>
          <w:kern w:val="0"/>
          <w:sz w:val="24"/>
          <w:lang w:val="zh-CN"/>
        </w:rPr>
        <w:t>评审结束后</w:t>
      </w:r>
      <w:r>
        <w:rPr>
          <w:rFonts w:ascii="宋体" w:hAnsi="宋体" w:eastAsia="宋体" w:cs="仿宋_GB2312"/>
          <w:color w:val="auto"/>
          <w:kern w:val="0"/>
          <w:sz w:val="24"/>
          <w:lang w:val="zh-CN"/>
        </w:rPr>
        <w:t>，发起</w:t>
      </w:r>
      <w:r>
        <w:rPr>
          <w:rFonts w:hint="eastAsia" w:ascii="宋体" w:hAnsi="宋体" w:eastAsia="宋体" w:cs="仿宋_GB2312"/>
          <w:color w:val="auto"/>
          <w:kern w:val="0"/>
          <w:sz w:val="24"/>
          <w:lang w:val="zh-CN"/>
        </w:rPr>
        <w:t>谈判邀请，响应</w:t>
      </w:r>
      <w:r>
        <w:rPr>
          <w:rFonts w:ascii="宋体" w:hAnsi="宋体" w:eastAsia="宋体" w:cs="仿宋_GB2312"/>
          <w:color w:val="auto"/>
          <w:kern w:val="0"/>
          <w:sz w:val="24"/>
          <w:lang w:val="zh-CN"/>
        </w:rPr>
        <w:t>谈判供应商代表</w:t>
      </w:r>
      <w:r>
        <w:rPr>
          <w:rFonts w:hint="eastAsia" w:ascii="宋体" w:hAnsi="宋体" w:eastAsia="宋体" w:cs="仿宋_GB2312"/>
          <w:color w:val="auto"/>
          <w:kern w:val="0"/>
          <w:sz w:val="24"/>
          <w:lang w:val="zh-CN"/>
        </w:rPr>
        <w:t>须在发起</w:t>
      </w:r>
      <w:r>
        <w:rPr>
          <w:rFonts w:ascii="宋体" w:hAnsi="宋体" w:eastAsia="宋体" w:cs="仿宋_GB2312"/>
          <w:color w:val="auto"/>
          <w:kern w:val="0"/>
          <w:sz w:val="24"/>
          <w:lang w:val="zh-CN"/>
        </w:rPr>
        <w:t>谈判后在线上与谈判小组进行谈判</w:t>
      </w:r>
      <w:r>
        <w:rPr>
          <w:rFonts w:hint="eastAsia" w:ascii="宋体" w:hAnsi="宋体" w:eastAsia="宋体" w:cs="仿宋_GB2312"/>
          <w:color w:val="auto"/>
          <w:kern w:val="0"/>
          <w:sz w:val="24"/>
          <w:lang w:val="zh-CN"/>
        </w:rPr>
        <w:t>，所有参加谈判的供应商在规定时间内进行最终报价，具体</w:t>
      </w:r>
      <w:r>
        <w:rPr>
          <w:rFonts w:ascii="宋体" w:hAnsi="宋体" w:eastAsia="宋体" w:cs="仿宋_GB2312"/>
          <w:color w:val="auto"/>
          <w:kern w:val="0"/>
          <w:sz w:val="24"/>
          <w:lang w:val="zh-CN"/>
        </w:rPr>
        <w:t>时间见</w:t>
      </w:r>
      <w:r>
        <w:rPr>
          <w:rFonts w:hint="eastAsia" w:ascii="宋体" w:hAnsi="宋体" w:eastAsia="宋体" w:cs="仿宋_GB2312"/>
          <w:color w:val="auto"/>
          <w:kern w:val="0"/>
          <w:sz w:val="24"/>
          <w:lang w:val="zh-CN"/>
        </w:rPr>
        <w:t>本</w:t>
      </w:r>
      <w:r>
        <w:rPr>
          <w:rFonts w:hint="eastAsia" w:ascii="宋体" w:hAnsi="宋体" w:eastAsia="宋体" w:cs="仿宋_GB2312"/>
          <w:color w:val="auto"/>
          <w:kern w:val="0"/>
          <w:sz w:val="24"/>
          <w:lang w:val="en-US" w:eastAsia="zh-CN"/>
        </w:rPr>
        <w:t>谈判</w:t>
      </w:r>
      <w:r>
        <w:rPr>
          <w:rFonts w:ascii="宋体" w:hAnsi="宋体" w:eastAsia="宋体" w:cs="仿宋_GB2312"/>
          <w:color w:val="auto"/>
          <w:kern w:val="0"/>
          <w:sz w:val="24"/>
          <w:lang w:val="zh-CN"/>
        </w:rPr>
        <w:t>文件第</w:t>
      </w:r>
      <w:r>
        <w:rPr>
          <w:rFonts w:hint="eastAsia" w:ascii="宋体" w:hAnsi="宋体" w:eastAsia="宋体" w:cs="仿宋_GB2312"/>
          <w:color w:val="auto"/>
          <w:kern w:val="0"/>
          <w:sz w:val="24"/>
          <w:lang w:val="zh-CN"/>
        </w:rPr>
        <w:t>三章响应供应商须知前附表。</w:t>
      </w:r>
    </w:p>
    <w:p w14:paraId="21B0AB7C">
      <w:pPr>
        <w:pStyle w:val="52"/>
        <w:spacing w:line="360" w:lineRule="auto"/>
        <w:ind w:firstLine="482" w:firstLineChars="200"/>
        <w:rPr>
          <w:rFonts w:ascii="宋体" w:hAnsi="宋体" w:eastAsia="宋体" w:cs="仿宋_GB2312"/>
          <w:b/>
          <w:color w:val="auto"/>
          <w:kern w:val="0"/>
          <w:sz w:val="24"/>
          <w:lang w:val="zh-CN"/>
        </w:rPr>
      </w:pPr>
      <w:r>
        <w:rPr>
          <w:rFonts w:hint="eastAsia" w:ascii="宋体" w:hAnsi="宋体" w:eastAsia="宋体" w:cs="仿宋_GB2312"/>
          <w:b/>
          <w:color w:val="auto"/>
          <w:kern w:val="0"/>
          <w:sz w:val="24"/>
          <w:lang w:val="zh-CN"/>
        </w:rPr>
        <w:t>3.评定成交标准</w:t>
      </w:r>
    </w:p>
    <w:p w14:paraId="4237F0F1">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3.1本项目评审采用最低评审价法。</w:t>
      </w:r>
    </w:p>
    <w:p w14:paraId="0F2B5783">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s="仿宋_GB2312"/>
          <w:color w:val="auto"/>
          <w:kern w:val="0"/>
          <w:sz w:val="24"/>
          <w:lang w:val="zh-CN"/>
        </w:rPr>
        <w:t>3.2谈判小组应当从质量和服务均能实质性满足谈判文件要求的供应商中，按照报价由低到高的顺序提出成交候选人。如出现响应</w:t>
      </w:r>
      <w:r>
        <w:rPr>
          <w:rFonts w:ascii="宋体" w:hAnsi="宋体" w:eastAsia="宋体" w:cs="仿宋_GB2312"/>
          <w:color w:val="auto"/>
          <w:kern w:val="0"/>
          <w:sz w:val="24"/>
          <w:lang w:val="zh-CN"/>
        </w:rPr>
        <w:t>谈判</w:t>
      </w:r>
      <w:r>
        <w:rPr>
          <w:rFonts w:hint="eastAsia" w:ascii="宋体" w:hAnsi="宋体" w:eastAsia="宋体" w:cs="仿宋_GB2312"/>
          <w:color w:val="auto"/>
          <w:kern w:val="0"/>
          <w:sz w:val="24"/>
          <w:lang w:val="zh-CN"/>
        </w:rPr>
        <w:t>供应商报价相同的情况，按技术指标优劣顺序排列，如出现技术指标相同，按服务优劣顺序排列。</w:t>
      </w:r>
    </w:p>
    <w:p w14:paraId="1A563255">
      <w:pPr>
        <w:spacing w:line="360" w:lineRule="auto"/>
        <w:rPr>
          <w:rFonts w:ascii="宋体" w:hAnsi="宋体" w:cs="仿宋_GB2312"/>
          <w:b/>
          <w:color w:val="auto"/>
          <w:kern w:val="0"/>
          <w:sz w:val="24"/>
          <w:lang w:val="zh-CN"/>
        </w:rPr>
      </w:pPr>
      <w:r>
        <w:rPr>
          <w:rFonts w:hint="eastAsia" w:ascii="宋体" w:hAnsi="宋体" w:cs="仿宋_GB2312"/>
          <w:b/>
          <w:color w:val="auto"/>
          <w:kern w:val="0"/>
          <w:sz w:val="24"/>
          <w:lang w:val="zh-CN"/>
        </w:rPr>
        <w:t>六、确定成交供应商</w:t>
      </w:r>
    </w:p>
    <w:p w14:paraId="1437F0BF">
      <w:pPr>
        <w:pStyle w:val="52"/>
        <w:spacing w:line="360" w:lineRule="auto"/>
        <w:ind w:firstLine="480" w:firstLineChars="200"/>
        <w:rPr>
          <w:rFonts w:ascii="宋体" w:hAnsi="宋体" w:eastAsia="宋体" w:cs="仿宋_GB2312"/>
          <w:color w:val="auto"/>
          <w:kern w:val="0"/>
          <w:sz w:val="24"/>
          <w:lang w:val="zh-CN"/>
        </w:rPr>
      </w:pPr>
      <w:r>
        <w:rPr>
          <w:rFonts w:hint="eastAsia" w:ascii="宋体" w:hAnsi="宋体" w:eastAsia="宋体"/>
          <w:color w:val="auto"/>
          <w:sz w:val="24"/>
        </w:rPr>
        <w:t>采购人授权谈判小组从成交候选人中确定排名第一的为成交供应商,其最终报价为成交价格。</w:t>
      </w:r>
    </w:p>
    <w:p w14:paraId="7A728E6C">
      <w:pPr>
        <w:spacing w:line="360" w:lineRule="auto"/>
        <w:rPr>
          <w:rFonts w:ascii="宋体" w:hAnsi="宋体"/>
          <w:color w:val="auto"/>
          <w:sz w:val="24"/>
        </w:rPr>
      </w:pPr>
    </w:p>
    <w:p w14:paraId="7A3ACDE5">
      <w:pPr>
        <w:rPr>
          <w:rFonts w:hint="eastAsia" w:ascii="宋体" w:hAnsi="宋体"/>
          <w:b/>
          <w:color w:val="auto"/>
          <w:sz w:val="36"/>
          <w:szCs w:val="36"/>
        </w:rPr>
      </w:pPr>
      <w:bookmarkStart w:id="25" w:name="_Toc103723529"/>
      <w:r>
        <w:rPr>
          <w:rFonts w:hint="eastAsia" w:ascii="宋体" w:hAnsi="宋体"/>
          <w:b/>
          <w:color w:val="auto"/>
          <w:sz w:val="36"/>
          <w:szCs w:val="36"/>
        </w:rPr>
        <w:br w:type="page"/>
      </w:r>
    </w:p>
    <w:p w14:paraId="1C822C47">
      <w:pPr>
        <w:widowControl/>
        <w:jc w:val="center"/>
        <w:rPr>
          <w:rFonts w:ascii="宋体" w:hAnsi="宋体"/>
          <w:b/>
          <w:color w:val="auto"/>
          <w:sz w:val="36"/>
          <w:szCs w:val="36"/>
        </w:rPr>
      </w:pPr>
      <w:r>
        <w:rPr>
          <w:rFonts w:hint="eastAsia" w:ascii="宋体" w:hAnsi="宋体"/>
          <w:b/>
          <w:color w:val="auto"/>
          <w:sz w:val="36"/>
          <w:szCs w:val="36"/>
        </w:rPr>
        <w:t>第六章</w:t>
      </w:r>
      <w:r>
        <w:rPr>
          <w:rFonts w:hint="eastAsia" w:ascii="宋体" w:hAnsi="宋体"/>
          <w:b/>
          <w:color w:val="auto"/>
          <w:sz w:val="36"/>
          <w:szCs w:val="36"/>
          <w:lang w:val="en-US" w:eastAsia="zh-CN"/>
        </w:rPr>
        <w:t xml:space="preserve"> </w:t>
      </w:r>
      <w:r>
        <w:rPr>
          <w:rFonts w:hint="eastAsia"/>
          <w:b/>
          <w:color w:val="auto"/>
          <w:sz w:val="36"/>
          <w:szCs w:val="36"/>
        </w:rPr>
        <w:t>谈判响应文件格式</w:t>
      </w:r>
      <w:bookmarkEnd w:id="25"/>
    </w:p>
    <w:p w14:paraId="1A53C949">
      <w:pPr>
        <w:jc w:val="both"/>
        <w:rPr>
          <w:color w:val="auto"/>
          <w:sz w:val="36"/>
        </w:rPr>
      </w:pPr>
    </w:p>
    <w:p w14:paraId="3ABF32A9">
      <w:pPr>
        <w:rPr>
          <w:color w:val="auto"/>
          <w:sz w:val="36"/>
        </w:rPr>
      </w:pPr>
    </w:p>
    <w:p w14:paraId="07C4025A">
      <w:pPr>
        <w:rPr>
          <w:color w:val="auto"/>
          <w:sz w:val="36"/>
        </w:rPr>
      </w:pPr>
    </w:p>
    <w:p w14:paraId="21132EFC">
      <w:pPr>
        <w:rPr>
          <w:color w:val="auto"/>
          <w:sz w:val="36"/>
        </w:rPr>
      </w:pPr>
    </w:p>
    <w:p w14:paraId="104B3D18">
      <w:pPr>
        <w:rPr>
          <w:color w:val="auto"/>
          <w:sz w:val="36"/>
        </w:rPr>
      </w:pPr>
    </w:p>
    <w:p w14:paraId="7A90FD1E">
      <w:pPr>
        <w:rPr>
          <w:color w:val="auto"/>
          <w:sz w:val="36"/>
        </w:rPr>
      </w:pPr>
    </w:p>
    <w:p w14:paraId="3AB9AF20">
      <w:pPr>
        <w:rPr>
          <w:color w:val="auto"/>
          <w:sz w:val="36"/>
        </w:rPr>
      </w:pPr>
    </w:p>
    <w:p w14:paraId="4D90EAAC">
      <w:pPr>
        <w:rPr>
          <w:color w:val="auto"/>
          <w:sz w:val="36"/>
        </w:rPr>
      </w:pPr>
    </w:p>
    <w:p w14:paraId="1CB515CB">
      <w:pPr>
        <w:rPr>
          <w:color w:val="auto"/>
          <w:sz w:val="36"/>
        </w:rPr>
      </w:pPr>
    </w:p>
    <w:p w14:paraId="57291497">
      <w:pPr>
        <w:spacing w:line="360" w:lineRule="auto"/>
        <w:rPr>
          <w:b/>
          <w:bCs/>
          <w:color w:val="auto"/>
          <w:sz w:val="28"/>
        </w:rPr>
      </w:pPr>
    </w:p>
    <w:p w14:paraId="544D68F5">
      <w:pPr>
        <w:spacing w:line="360" w:lineRule="auto"/>
        <w:rPr>
          <w:b/>
          <w:bCs/>
          <w:color w:val="auto"/>
          <w:sz w:val="28"/>
        </w:rPr>
      </w:pPr>
    </w:p>
    <w:p w14:paraId="3B1BDA57">
      <w:pPr>
        <w:spacing w:line="360" w:lineRule="auto"/>
        <w:rPr>
          <w:b/>
          <w:bCs/>
          <w:color w:val="auto"/>
          <w:sz w:val="28"/>
        </w:rPr>
      </w:pPr>
    </w:p>
    <w:p w14:paraId="5D9DA53F">
      <w:pPr>
        <w:spacing w:line="360" w:lineRule="auto"/>
        <w:rPr>
          <w:b/>
          <w:bCs/>
          <w:color w:val="auto"/>
          <w:sz w:val="28"/>
        </w:rPr>
      </w:pPr>
    </w:p>
    <w:p w14:paraId="28393FBB">
      <w:pPr>
        <w:spacing w:line="360" w:lineRule="auto"/>
        <w:rPr>
          <w:b/>
          <w:bCs/>
          <w:color w:val="auto"/>
          <w:sz w:val="28"/>
        </w:rPr>
      </w:pPr>
    </w:p>
    <w:p w14:paraId="703B1C80">
      <w:pPr>
        <w:spacing w:line="360" w:lineRule="auto"/>
        <w:rPr>
          <w:b/>
          <w:bCs/>
          <w:color w:val="auto"/>
          <w:sz w:val="28"/>
        </w:rPr>
      </w:pPr>
    </w:p>
    <w:p w14:paraId="74E1EE74">
      <w:pPr>
        <w:spacing w:line="360" w:lineRule="auto"/>
        <w:rPr>
          <w:b/>
          <w:bCs/>
          <w:color w:val="auto"/>
          <w:sz w:val="28"/>
        </w:rPr>
      </w:pPr>
    </w:p>
    <w:p w14:paraId="6615B57C">
      <w:pPr>
        <w:rPr>
          <w:rFonts w:ascii="宋体" w:hAnsi="宋体"/>
          <w:color w:val="auto"/>
          <w:sz w:val="36"/>
          <w:szCs w:val="36"/>
          <w:u w:val="single"/>
        </w:rPr>
      </w:pPr>
    </w:p>
    <w:p w14:paraId="4E5A7B5E">
      <w:pPr>
        <w:ind w:firstLine="1620"/>
        <w:rPr>
          <w:rFonts w:ascii="宋体" w:hAnsi="宋体"/>
          <w:color w:val="auto"/>
          <w:sz w:val="36"/>
          <w:szCs w:val="36"/>
          <w:u w:val="single"/>
        </w:rPr>
      </w:pPr>
    </w:p>
    <w:p w14:paraId="2FA8DF60">
      <w:pPr>
        <w:spacing w:line="360" w:lineRule="auto"/>
        <w:rPr>
          <w:rFonts w:ascii="宋体" w:hAnsi="宋体"/>
          <w:b/>
          <w:color w:val="auto"/>
          <w:kern w:val="0"/>
          <w:sz w:val="36"/>
          <w:szCs w:val="36"/>
        </w:rPr>
      </w:pPr>
    </w:p>
    <w:p w14:paraId="1CD8D564">
      <w:pPr>
        <w:rPr>
          <w:rFonts w:hint="eastAsia" w:ascii="宋体" w:hAnsi="宋体"/>
          <w:color w:val="auto"/>
          <w:sz w:val="36"/>
          <w:szCs w:val="36"/>
        </w:rPr>
      </w:pPr>
      <w:r>
        <w:rPr>
          <w:rFonts w:hint="eastAsia" w:ascii="宋体" w:hAnsi="宋体"/>
          <w:color w:val="auto"/>
          <w:sz w:val="36"/>
          <w:szCs w:val="36"/>
        </w:rPr>
        <w:br w:type="page"/>
      </w:r>
    </w:p>
    <w:p w14:paraId="6353C716">
      <w:pPr>
        <w:jc w:val="center"/>
        <w:rPr>
          <w:rFonts w:hint="eastAsia" w:ascii="宋体" w:hAnsi="宋体"/>
          <w:color w:val="auto"/>
          <w:sz w:val="36"/>
          <w:szCs w:val="36"/>
        </w:rPr>
      </w:pPr>
    </w:p>
    <w:p w14:paraId="6E754DA4">
      <w:pPr>
        <w:jc w:val="center"/>
        <w:rPr>
          <w:rFonts w:hint="eastAsia" w:ascii="宋体" w:hAnsi="宋体"/>
          <w:color w:val="auto"/>
          <w:sz w:val="36"/>
          <w:szCs w:val="36"/>
        </w:rPr>
      </w:pPr>
    </w:p>
    <w:p w14:paraId="189EADCA">
      <w:pPr>
        <w:jc w:val="center"/>
        <w:rPr>
          <w:rFonts w:ascii="宋体" w:hAnsi="宋体"/>
          <w:b/>
          <w:bCs/>
          <w:color w:val="auto"/>
          <w:sz w:val="48"/>
          <w:szCs w:val="48"/>
        </w:rPr>
      </w:pPr>
      <w:r>
        <w:rPr>
          <w:rFonts w:hint="eastAsia" w:ascii="宋体" w:hAnsi="宋体"/>
          <w:b/>
          <w:bCs/>
          <w:color w:val="auto"/>
          <w:sz w:val="48"/>
          <w:szCs w:val="48"/>
        </w:rPr>
        <w:t>蚕产品农残检测辅助系统</w:t>
      </w:r>
    </w:p>
    <w:p w14:paraId="0E20D93B">
      <w:pPr>
        <w:rPr>
          <w:rFonts w:ascii="宋体" w:hAnsi="宋体"/>
          <w:color w:val="auto"/>
          <w:sz w:val="24"/>
        </w:rPr>
      </w:pPr>
    </w:p>
    <w:p w14:paraId="02DBD43E">
      <w:pPr>
        <w:rPr>
          <w:rFonts w:ascii="宋体" w:hAnsi="宋体"/>
          <w:color w:val="auto"/>
          <w:sz w:val="24"/>
        </w:rPr>
      </w:pPr>
    </w:p>
    <w:p w14:paraId="5DFD591D">
      <w:pPr>
        <w:rPr>
          <w:rFonts w:ascii="宋体" w:hAnsi="宋体"/>
          <w:color w:val="auto"/>
          <w:sz w:val="24"/>
        </w:rPr>
      </w:pPr>
    </w:p>
    <w:p w14:paraId="58C06B96">
      <w:pPr>
        <w:rPr>
          <w:rFonts w:ascii="宋体" w:hAnsi="宋体"/>
          <w:color w:val="auto"/>
          <w:sz w:val="24"/>
        </w:rPr>
      </w:pPr>
    </w:p>
    <w:p w14:paraId="5CE820E5">
      <w:pPr>
        <w:jc w:val="center"/>
        <w:rPr>
          <w:rFonts w:hint="eastAsia" w:ascii="宋体" w:hAnsi="宋体"/>
          <w:b/>
          <w:color w:val="auto"/>
          <w:sz w:val="60"/>
          <w:szCs w:val="60"/>
        </w:rPr>
      </w:pPr>
    </w:p>
    <w:p w14:paraId="621137C2">
      <w:pPr>
        <w:jc w:val="center"/>
        <w:rPr>
          <w:rFonts w:hint="eastAsia" w:ascii="宋体" w:hAnsi="宋体"/>
          <w:b/>
          <w:color w:val="auto"/>
          <w:sz w:val="60"/>
          <w:szCs w:val="60"/>
        </w:rPr>
      </w:pPr>
    </w:p>
    <w:p w14:paraId="14D4CFC3">
      <w:pPr>
        <w:jc w:val="center"/>
        <w:rPr>
          <w:rFonts w:hint="eastAsia" w:ascii="宋体" w:hAnsi="宋体"/>
          <w:b/>
          <w:color w:val="auto"/>
          <w:sz w:val="60"/>
          <w:szCs w:val="60"/>
        </w:rPr>
      </w:pPr>
    </w:p>
    <w:p w14:paraId="42559942">
      <w:pPr>
        <w:jc w:val="center"/>
        <w:rPr>
          <w:rFonts w:ascii="宋体" w:hAnsi="宋体"/>
          <w:b/>
          <w:color w:val="auto"/>
          <w:sz w:val="60"/>
          <w:szCs w:val="60"/>
        </w:rPr>
      </w:pPr>
      <w:r>
        <w:rPr>
          <w:rFonts w:hint="eastAsia" w:ascii="宋体" w:hAnsi="宋体"/>
          <w:b/>
          <w:color w:val="auto"/>
          <w:sz w:val="60"/>
          <w:szCs w:val="60"/>
        </w:rPr>
        <w:t>谈 判 响 应 文 件</w:t>
      </w:r>
    </w:p>
    <w:p w14:paraId="1BD9C148">
      <w:pPr>
        <w:rPr>
          <w:rFonts w:ascii="宋体" w:hAnsi="宋体"/>
          <w:color w:val="auto"/>
          <w:sz w:val="24"/>
        </w:rPr>
      </w:pPr>
    </w:p>
    <w:p w14:paraId="09F3FC2A">
      <w:pPr>
        <w:jc w:val="center"/>
        <w:rPr>
          <w:rFonts w:ascii="宋体" w:hAnsi="宋体"/>
          <w:color w:val="auto"/>
          <w:sz w:val="32"/>
          <w:szCs w:val="32"/>
        </w:rPr>
      </w:pPr>
      <w:r>
        <w:rPr>
          <w:rFonts w:hint="eastAsia" w:ascii="宋体" w:hAnsi="宋体"/>
          <w:color w:val="auto"/>
          <w:sz w:val="32"/>
          <w:szCs w:val="32"/>
        </w:rPr>
        <w:t xml:space="preserve">项目编号：采购计划-[2025]-02672号-JCZX2025-018 </w:t>
      </w:r>
    </w:p>
    <w:p w14:paraId="2F007761">
      <w:pPr>
        <w:rPr>
          <w:rFonts w:ascii="宋体" w:hAnsi="宋体"/>
          <w:color w:val="auto"/>
          <w:sz w:val="24"/>
        </w:rPr>
      </w:pPr>
    </w:p>
    <w:p w14:paraId="7B6DAD23">
      <w:pPr>
        <w:rPr>
          <w:rFonts w:ascii="宋体" w:hAnsi="宋体"/>
          <w:color w:val="auto"/>
          <w:sz w:val="24"/>
        </w:rPr>
      </w:pPr>
    </w:p>
    <w:p w14:paraId="2780EFC2">
      <w:pPr>
        <w:rPr>
          <w:rFonts w:ascii="宋体" w:hAnsi="宋体"/>
          <w:color w:val="auto"/>
          <w:sz w:val="24"/>
        </w:rPr>
      </w:pPr>
    </w:p>
    <w:p w14:paraId="130252B2">
      <w:pPr>
        <w:rPr>
          <w:rFonts w:ascii="宋体" w:hAnsi="宋体"/>
          <w:color w:val="auto"/>
          <w:sz w:val="24"/>
        </w:rPr>
      </w:pPr>
    </w:p>
    <w:p w14:paraId="3B8685E8">
      <w:pPr>
        <w:rPr>
          <w:rFonts w:ascii="宋体" w:hAnsi="宋体"/>
          <w:color w:val="auto"/>
          <w:sz w:val="24"/>
        </w:rPr>
      </w:pPr>
    </w:p>
    <w:p w14:paraId="3DA7ACA9">
      <w:pPr>
        <w:rPr>
          <w:rFonts w:ascii="宋体" w:hAnsi="宋体"/>
          <w:color w:val="auto"/>
          <w:sz w:val="24"/>
        </w:rPr>
      </w:pPr>
    </w:p>
    <w:p w14:paraId="13DA8F52">
      <w:pPr>
        <w:rPr>
          <w:rFonts w:ascii="宋体" w:hAnsi="宋体"/>
          <w:color w:val="auto"/>
          <w:sz w:val="24"/>
        </w:rPr>
      </w:pPr>
    </w:p>
    <w:p w14:paraId="192A0D8C">
      <w:pPr>
        <w:rPr>
          <w:rFonts w:ascii="宋体" w:hAnsi="宋体"/>
          <w:color w:val="auto"/>
          <w:sz w:val="24"/>
        </w:rPr>
      </w:pPr>
    </w:p>
    <w:p w14:paraId="72B26F92">
      <w:pPr>
        <w:rPr>
          <w:rFonts w:ascii="宋体" w:hAnsi="宋体"/>
          <w:color w:val="auto"/>
          <w:sz w:val="24"/>
        </w:rPr>
      </w:pPr>
    </w:p>
    <w:p w14:paraId="4941307F">
      <w:pPr>
        <w:rPr>
          <w:rFonts w:ascii="宋体" w:hAnsi="宋体"/>
          <w:color w:val="auto"/>
          <w:sz w:val="24"/>
        </w:rPr>
      </w:pPr>
    </w:p>
    <w:p w14:paraId="5E78190D">
      <w:pPr>
        <w:rPr>
          <w:rFonts w:ascii="宋体" w:hAnsi="宋体"/>
          <w:color w:val="auto"/>
          <w:sz w:val="24"/>
        </w:rPr>
      </w:pPr>
    </w:p>
    <w:p w14:paraId="0B4B38D9">
      <w:pPr>
        <w:rPr>
          <w:rFonts w:ascii="宋体" w:hAnsi="宋体"/>
          <w:color w:val="auto"/>
          <w:sz w:val="24"/>
        </w:rPr>
      </w:pPr>
    </w:p>
    <w:p w14:paraId="28EE4F74">
      <w:pPr>
        <w:rPr>
          <w:rFonts w:ascii="宋体" w:hAnsi="宋体"/>
          <w:color w:val="auto"/>
          <w:sz w:val="24"/>
        </w:rPr>
      </w:pPr>
      <w:r>
        <w:rPr>
          <w:rFonts w:hint="eastAsia" w:ascii="宋体" w:hAnsi="宋体"/>
          <w:color w:val="auto"/>
          <w:sz w:val="24"/>
        </w:rPr>
        <w:t>响应谈判供应商：（盖公章）</w:t>
      </w:r>
    </w:p>
    <w:p w14:paraId="69827555">
      <w:pPr>
        <w:rPr>
          <w:rFonts w:ascii="宋体" w:hAnsi="宋体"/>
          <w:color w:val="auto"/>
          <w:sz w:val="24"/>
        </w:rPr>
      </w:pPr>
    </w:p>
    <w:p w14:paraId="6A062EFC">
      <w:pPr>
        <w:rPr>
          <w:rFonts w:ascii="宋体" w:hAnsi="宋体"/>
          <w:color w:val="auto"/>
          <w:sz w:val="24"/>
        </w:rPr>
      </w:pPr>
      <w:r>
        <w:rPr>
          <w:rFonts w:hint="eastAsia" w:ascii="宋体" w:hAnsi="宋体"/>
          <w:color w:val="auto"/>
          <w:sz w:val="24"/>
        </w:rPr>
        <w:t xml:space="preserve">法定代表人或被授权委托人：（签字或盖章） </w:t>
      </w:r>
    </w:p>
    <w:p w14:paraId="1821201A">
      <w:pPr>
        <w:rPr>
          <w:rFonts w:ascii="宋体" w:hAnsi="宋体"/>
          <w:color w:val="auto"/>
          <w:sz w:val="24"/>
        </w:rPr>
      </w:pPr>
    </w:p>
    <w:p w14:paraId="31FF1E36">
      <w:pPr>
        <w:rPr>
          <w:rFonts w:ascii="宋体" w:hAnsi="宋体"/>
          <w:color w:val="auto"/>
          <w:sz w:val="24"/>
        </w:rPr>
      </w:pPr>
      <w:r>
        <w:rPr>
          <w:rFonts w:hint="eastAsia" w:ascii="宋体" w:hAnsi="宋体"/>
          <w:color w:val="auto"/>
          <w:sz w:val="24"/>
        </w:rPr>
        <w:t>日期：     年   月   日</w:t>
      </w:r>
    </w:p>
    <w:p w14:paraId="6DFBEF2B">
      <w:pPr>
        <w:rPr>
          <w:color w:val="auto"/>
        </w:rPr>
      </w:pPr>
      <w:r>
        <w:rPr>
          <w:color w:val="auto"/>
        </w:rPr>
        <w:br w:type="page"/>
      </w:r>
    </w:p>
    <w:p w14:paraId="241B6EB9">
      <w:pPr>
        <w:pStyle w:val="19"/>
        <w:rPr>
          <w:color w:val="auto"/>
        </w:rPr>
        <w:sectPr>
          <w:headerReference r:id="rId10" w:type="first"/>
          <w:footerReference r:id="rId11" w:type="default"/>
          <w:headerReference r:id="rId9" w:type="even"/>
          <w:pgSz w:w="11907" w:h="16840"/>
          <w:pgMar w:top="1440" w:right="1310" w:bottom="1440" w:left="1310" w:header="1021" w:footer="1021" w:gutter="170"/>
          <w:paperSrc w:first="15" w:other="15"/>
          <w:pgNumType w:fmt="decimal"/>
          <w:cols w:space="720" w:num="1"/>
          <w:docGrid w:linePitch="271" w:charSpace="0"/>
        </w:sectPr>
      </w:pPr>
    </w:p>
    <w:p w14:paraId="66A0B6EB">
      <w:pPr>
        <w:ind w:right="1424"/>
        <w:jc w:val="center"/>
        <w:rPr>
          <w:rFonts w:hint="eastAsia" w:ascii="宋体" w:hAnsi="宋体"/>
          <w:b/>
          <w:bCs/>
          <w:color w:val="auto"/>
          <w:sz w:val="44"/>
          <w:szCs w:val="44"/>
        </w:rPr>
      </w:pPr>
      <w:r>
        <w:rPr>
          <w:rFonts w:hint="eastAsia" w:ascii="宋体" w:hAnsi="宋体"/>
          <w:b/>
          <w:bCs/>
          <w:color w:val="auto"/>
          <w:sz w:val="44"/>
          <w:szCs w:val="44"/>
        </w:rPr>
        <w:t>目</w:t>
      </w:r>
      <w:r>
        <w:rPr>
          <w:rFonts w:hint="eastAsia" w:ascii="宋体" w:hAnsi="宋体"/>
          <w:b/>
          <w:bCs/>
          <w:color w:val="auto"/>
          <w:sz w:val="44"/>
          <w:szCs w:val="44"/>
          <w:lang w:val="en-US" w:eastAsia="zh-CN"/>
        </w:rPr>
        <w:t xml:space="preserve">  </w:t>
      </w:r>
      <w:r>
        <w:rPr>
          <w:rFonts w:hint="eastAsia" w:ascii="宋体" w:hAnsi="宋体"/>
          <w:b/>
          <w:bCs/>
          <w:color w:val="auto"/>
          <w:sz w:val="44"/>
          <w:szCs w:val="44"/>
        </w:rPr>
        <w:t>录</w:t>
      </w:r>
    </w:p>
    <w:p w14:paraId="0F04C1EE">
      <w:pPr>
        <w:pStyle w:val="19"/>
        <w:rPr>
          <w:rFonts w:hint="eastAsia"/>
          <w:color w:val="auto"/>
          <w:lang w:val="en-US" w:eastAsia="zh-CN"/>
        </w:rPr>
      </w:pPr>
    </w:p>
    <w:p w14:paraId="3FB6413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一、谈判响应函</w:t>
      </w:r>
      <w:r>
        <w:rPr>
          <w:rFonts w:hint="eastAsia" w:ascii="宋体" w:hAnsi="宋体"/>
          <w:color w:val="auto"/>
          <w:sz w:val="22"/>
          <w:szCs w:val="22"/>
          <w:u w:val="none"/>
          <w:lang w:val="en-US" w:eastAsia="zh-CN"/>
        </w:rPr>
        <w:br w:type="textWrapping"/>
      </w:r>
      <w:r>
        <w:rPr>
          <w:rFonts w:hint="eastAsia" w:ascii="宋体" w:hAnsi="宋体"/>
          <w:color w:val="auto"/>
          <w:sz w:val="22"/>
          <w:szCs w:val="22"/>
          <w:u w:val="none"/>
          <w:lang w:val="en-US" w:eastAsia="zh-CN"/>
        </w:rPr>
        <w:t>二、谈判响应首次报价表</w:t>
      </w:r>
      <w:r>
        <w:rPr>
          <w:rFonts w:hint="eastAsia" w:ascii="宋体" w:hAnsi="宋体"/>
          <w:color w:val="auto"/>
          <w:sz w:val="22"/>
          <w:szCs w:val="22"/>
          <w:u w:val="none"/>
          <w:lang w:val="en-US" w:eastAsia="zh-CN"/>
        </w:rPr>
        <w:br w:type="textWrapping"/>
      </w:r>
      <w:r>
        <w:rPr>
          <w:rFonts w:hint="eastAsia" w:ascii="宋体" w:hAnsi="宋体"/>
          <w:color w:val="auto"/>
          <w:sz w:val="22"/>
          <w:szCs w:val="22"/>
          <w:u w:val="none"/>
          <w:lang w:val="en-US" w:eastAsia="zh-CN"/>
        </w:rPr>
        <w:t>三、法定代表人资格证明书</w:t>
      </w:r>
    </w:p>
    <w:p w14:paraId="1DBBF2E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四、法定代表人授权书</w:t>
      </w:r>
    </w:p>
    <w:p w14:paraId="5060AC5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五、响应报价汇总表</w:t>
      </w:r>
    </w:p>
    <w:p w14:paraId="73314E9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六、响应报价明细表</w:t>
      </w:r>
    </w:p>
    <w:p w14:paraId="4234F15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七、资格条件承诺函</w:t>
      </w:r>
    </w:p>
    <w:p w14:paraId="59D7C6C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八、响应谈判供应商简介</w:t>
      </w:r>
    </w:p>
    <w:p w14:paraId="723C88B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九、项目方案</w:t>
      </w:r>
    </w:p>
    <w:p w14:paraId="41BA906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十、技术偏离表</w:t>
      </w:r>
    </w:p>
    <w:p w14:paraId="3751863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十一、节能产品清单说明表</w:t>
      </w:r>
    </w:p>
    <w:p w14:paraId="62A39EA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十二、环境标志产品清单说明表</w:t>
      </w:r>
    </w:p>
    <w:p w14:paraId="2D95EF7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十三、响应谈判提交的其他技术文件</w:t>
      </w:r>
    </w:p>
    <w:p w14:paraId="68CB8BC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十四、资格证明文件</w:t>
      </w:r>
    </w:p>
    <w:p w14:paraId="3B33CEF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sz w:val="22"/>
          <w:szCs w:val="22"/>
          <w:u w:val="none"/>
          <w:lang w:val="en-US" w:eastAsia="zh-CN"/>
        </w:rPr>
      </w:pPr>
      <w:r>
        <w:rPr>
          <w:rFonts w:hint="eastAsia" w:ascii="宋体" w:hAnsi="宋体"/>
          <w:color w:val="auto"/>
          <w:sz w:val="22"/>
          <w:szCs w:val="22"/>
          <w:u w:val="none"/>
          <w:lang w:val="en-US" w:eastAsia="zh-CN"/>
        </w:rPr>
        <w:t>十五、中小企业声明函</w:t>
      </w:r>
      <w:r>
        <w:rPr>
          <w:rFonts w:hint="eastAsia" w:ascii="宋体" w:hAnsi="宋体"/>
          <w:color w:val="auto"/>
          <w:sz w:val="22"/>
          <w:szCs w:val="22"/>
          <w:u w:val="none"/>
          <w:lang w:val="en-US" w:eastAsia="zh-CN"/>
        </w:rPr>
        <w:br w:type="textWrapping"/>
      </w:r>
      <w:r>
        <w:rPr>
          <w:rFonts w:hint="eastAsia" w:ascii="宋体" w:hAnsi="宋体"/>
          <w:color w:val="auto"/>
          <w:sz w:val="22"/>
          <w:szCs w:val="22"/>
          <w:u w:val="none"/>
          <w:lang w:val="en-US" w:eastAsia="zh-CN"/>
        </w:rPr>
        <w:t>附件</w:t>
      </w:r>
    </w:p>
    <w:p w14:paraId="1EE968D3">
      <w:pPr>
        <w:rPr>
          <w:rFonts w:ascii="宋体" w:hAnsi="宋体"/>
          <w:color w:val="auto"/>
          <w:sz w:val="36"/>
          <w:szCs w:val="36"/>
          <w:u w:val="single"/>
        </w:rPr>
      </w:pPr>
    </w:p>
    <w:p w14:paraId="025BDBD0">
      <w:pPr>
        <w:rPr>
          <w:rFonts w:ascii="宋体" w:hAnsi="宋体"/>
          <w:color w:val="auto"/>
          <w:sz w:val="36"/>
          <w:szCs w:val="36"/>
          <w:u w:val="single"/>
        </w:rPr>
      </w:pPr>
    </w:p>
    <w:p w14:paraId="4151A4A4">
      <w:pPr>
        <w:rPr>
          <w:rFonts w:ascii="宋体" w:hAnsi="宋体"/>
          <w:color w:val="auto"/>
          <w:sz w:val="36"/>
          <w:szCs w:val="36"/>
          <w:u w:val="single"/>
        </w:rPr>
      </w:pPr>
    </w:p>
    <w:p w14:paraId="57A253F6">
      <w:pPr>
        <w:rPr>
          <w:rFonts w:ascii="宋体" w:hAnsi="宋体"/>
          <w:color w:val="auto"/>
          <w:sz w:val="36"/>
          <w:szCs w:val="36"/>
          <w:u w:val="single"/>
        </w:rPr>
      </w:pPr>
    </w:p>
    <w:p w14:paraId="0FEFC38E">
      <w:pPr>
        <w:rPr>
          <w:rFonts w:ascii="宋体" w:hAnsi="宋体"/>
          <w:color w:val="auto"/>
          <w:sz w:val="36"/>
          <w:szCs w:val="36"/>
          <w:u w:val="single"/>
        </w:rPr>
      </w:pPr>
    </w:p>
    <w:p w14:paraId="4D1F3D82">
      <w:pPr>
        <w:rPr>
          <w:rFonts w:ascii="宋体" w:hAnsi="宋体"/>
          <w:color w:val="auto"/>
          <w:sz w:val="36"/>
          <w:szCs w:val="36"/>
          <w:u w:val="single"/>
        </w:rPr>
      </w:pPr>
    </w:p>
    <w:p w14:paraId="41E7E04D">
      <w:pPr>
        <w:rPr>
          <w:rFonts w:ascii="宋体" w:hAnsi="宋体"/>
          <w:color w:val="auto"/>
          <w:sz w:val="36"/>
          <w:szCs w:val="36"/>
          <w:u w:val="single"/>
        </w:rPr>
      </w:pPr>
    </w:p>
    <w:p w14:paraId="685E3693">
      <w:pPr>
        <w:rPr>
          <w:rFonts w:hint="eastAsia" w:ascii="仿宋_GB2312"/>
          <w:b/>
          <w:bCs/>
          <w:color w:val="auto"/>
          <w:sz w:val="28"/>
        </w:rPr>
      </w:pPr>
      <w:r>
        <w:rPr>
          <w:rFonts w:hint="eastAsia" w:ascii="仿宋_GB2312"/>
          <w:b/>
          <w:bCs/>
          <w:color w:val="auto"/>
          <w:sz w:val="28"/>
        </w:rPr>
        <w:br w:type="page"/>
      </w:r>
    </w:p>
    <w:p w14:paraId="425EE39D">
      <w:pPr>
        <w:spacing w:line="440" w:lineRule="atLeast"/>
        <w:jc w:val="center"/>
        <w:rPr>
          <w:rFonts w:ascii="仿宋_GB2312"/>
          <w:b/>
          <w:bCs/>
          <w:color w:val="auto"/>
          <w:sz w:val="28"/>
        </w:rPr>
      </w:pPr>
      <w:r>
        <w:rPr>
          <w:rFonts w:hint="eastAsia" w:ascii="仿宋_GB2312"/>
          <w:b/>
          <w:bCs/>
          <w:color w:val="auto"/>
          <w:sz w:val="28"/>
        </w:rPr>
        <w:t>一</w:t>
      </w:r>
      <w:r>
        <w:rPr>
          <w:rFonts w:ascii="仿宋_GB2312"/>
          <w:b/>
          <w:bCs/>
          <w:color w:val="auto"/>
          <w:sz w:val="28"/>
        </w:rPr>
        <w:t>、</w:t>
      </w:r>
      <w:r>
        <w:rPr>
          <w:rFonts w:hint="eastAsia" w:ascii="仿宋_GB2312"/>
          <w:b/>
          <w:bCs/>
          <w:color w:val="auto"/>
          <w:sz w:val="28"/>
        </w:rPr>
        <w:t>谈判响应函</w:t>
      </w:r>
    </w:p>
    <w:p w14:paraId="1D48D938">
      <w:pPr>
        <w:pStyle w:val="52"/>
        <w:spacing w:line="440" w:lineRule="atLeast"/>
        <w:rPr>
          <w:rFonts w:eastAsia="宋体"/>
          <w:color w:val="auto"/>
          <w:sz w:val="24"/>
        </w:rPr>
      </w:pPr>
    </w:p>
    <w:p w14:paraId="2C178857">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致： </w:t>
      </w:r>
      <w:r>
        <w:rPr>
          <w:rFonts w:hint="eastAsia" w:ascii="仿宋_GB2312"/>
          <w:color w:val="auto"/>
          <w:sz w:val="24"/>
        </w:rPr>
        <w:t>吉林省蚕业科学研究院</w:t>
      </w:r>
    </w:p>
    <w:p w14:paraId="2D379AE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根据贵方采购</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项目的编号为</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竞争性谈判文件，本投标人正式授权的下述签字人</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（姓名和职务）代表投标人</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（投标人的名称）， </w:t>
      </w:r>
    </w:p>
    <w:p w14:paraId="28D047BD">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提交下述响应文件正本1份，副本2份,电子版3份。包括谈判文件的响应须知、合同条款、质量要求、服务需求和其他有关文件后、有关质量保证的各项文件。  </w:t>
      </w:r>
    </w:p>
    <w:p w14:paraId="00DEE65F">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据此函，签字人兹宣布同意如下： </w:t>
      </w:r>
    </w:p>
    <w:p w14:paraId="5C40F759">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（1）按竞争性谈判文件规定投标报价为</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万元。 </w:t>
      </w:r>
    </w:p>
    <w:p w14:paraId="428135EF">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（2）投标有效期：90 日历天</w:t>
      </w:r>
    </w:p>
    <w:p w14:paraId="5F16303E">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（3）我们保证根据竞争性谈判文件规定履行合同责任和义务。 </w:t>
      </w:r>
    </w:p>
    <w:p w14:paraId="19D5DB9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（4）我们已详细审核了全部竞争性谈判文件，包括竞争性谈判文件的修改、补充文件（如果有的话）、 参考资料及有关的附件，我们知道必须放弃提出含糊不清或误解的问题的权利。 </w:t>
      </w:r>
    </w:p>
    <w:p w14:paraId="486B0383">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（5）我们如果在规定的投标有效期内撤回投标，则我们的投标保证金可被贵方没收。 </w:t>
      </w:r>
    </w:p>
    <w:p w14:paraId="102F0E5B">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（6）我们同意向贵方提供贵方可能要求的与本投标有关的任何证据或资料。 </w:t>
      </w:r>
    </w:p>
    <w:p w14:paraId="6A52CC49">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（7）我们完全理解贵方不一定要接受最低报价的投标或收到的任何投标。 </w:t>
      </w:r>
    </w:p>
    <w:p w14:paraId="071DA37A">
      <w:pPr>
        <w:keepNext w:val="0"/>
        <w:keepLines w:val="0"/>
        <w:widowControl/>
        <w:suppressLineNumbers w:val="0"/>
        <w:jc w:val="left"/>
        <w:rPr>
          <w:rFonts w:hint="eastAsia" w:ascii="宋体" w:hAnsi="宋体" w:eastAsia="宋体" w:cs="宋体"/>
          <w:color w:val="auto"/>
          <w:kern w:val="0"/>
          <w:sz w:val="24"/>
          <w:szCs w:val="24"/>
          <w:lang w:val="en-US" w:eastAsia="zh-CN" w:bidi="ar"/>
        </w:rPr>
      </w:pPr>
    </w:p>
    <w:p w14:paraId="2F019C3C">
      <w:pPr>
        <w:spacing w:line="440" w:lineRule="atLeast"/>
        <w:rPr>
          <w:rFonts w:hint="eastAsia" w:ascii="仿宋_GB2312" w:hAnsi="Times New Roman" w:eastAsia="宋体" w:cs="Times New Roman"/>
          <w:color w:val="auto"/>
          <w:sz w:val="24"/>
        </w:rPr>
      </w:pPr>
      <w:r>
        <w:rPr>
          <w:rFonts w:hint="eastAsia" w:ascii="仿宋_GB2312" w:hAnsi="Times New Roman" w:eastAsia="宋体" w:cs="Times New Roman"/>
          <w:color w:val="auto"/>
          <w:sz w:val="24"/>
        </w:rPr>
        <w:t>响应谈判供应商：（盖公章）</w:t>
      </w:r>
    </w:p>
    <w:p w14:paraId="46471AD6">
      <w:pPr>
        <w:spacing w:line="440" w:lineRule="atLeast"/>
        <w:rPr>
          <w:rFonts w:hint="eastAsia" w:ascii="仿宋_GB2312" w:hAnsi="Times New Roman" w:eastAsia="宋体" w:cs="Times New Roman"/>
          <w:color w:val="auto"/>
          <w:sz w:val="24"/>
        </w:rPr>
      </w:pPr>
      <w:r>
        <w:rPr>
          <w:rFonts w:hint="eastAsia" w:ascii="仿宋_GB2312" w:hAnsi="Times New Roman" w:eastAsia="宋体" w:cs="Times New Roman"/>
          <w:color w:val="auto"/>
          <w:sz w:val="24"/>
        </w:rPr>
        <w:t xml:space="preserve">法定代表人或被授权委托人：（签字或盖章）    </w:t>
      </w:r>
    </w:p>
    <w:p w14:paraId="06D69878">
      <w:pPr>
        <w:spacing w:line="440" w:lineRule="atLeast"/>
        <w:rPr>
          <w:rFonts w:hint="eastAsia" w:ascii="仿宋_GB2312" w:hAnsi="Times New Roman" w:eastAsia="宋体" w:cs="Times New Roman"/>
          <w:color w:val="auto"/>
          <w:sz w:val="24"/>
        </w:rPr>
      </w:pPr>
      <w:r>
        <w:rPr>
          <w:rFonts w:hint="eastAsia" w:ascii="仿宋_GB2312" w:hAnsi="Times New Roman" w:eastAsia="宋体" w:cs="Times New Roman"/>
          <w:color w:val="auto"/>
          <w:sz w:val="24"/>
        </w:rPr>
        <w:t xml:space="preserve">地址：                               </w:t>
      </w:r>
    </w:p>
    <w:p w14:paraId="49A97FF9">
      <w:pPr>
        <w:spacing w:line="440" w:lineRule="atLeast"/>
        <w:rPr>
          <w:rFonts w:hint="eastAsia" w:ascii="仿宋_GB2312" w:hAnsi="Times New Roman" w:eastAsia="宋体" w:cs="Times New Roman"/>
          <w:color w:val="auto"/>
          <w:sz w:val="24"/>
        </w:rPr>
      </w:pPr>
      <w:r>
        <w:rPr>
          <w:rFonts w:hint="eastAsia" w:ascii="仿宋_GB2312" w:hAnsi="Times New Roman" w:eastAsia="宋体" w:cs="Times New Roman"/>
          <w:color w:val="auto"/>
          <w:sz w:val="24"/>
          <w:lang w:val="en-US" w:eastAsia="zh-CN"/>
        </w:rPr>
        <w:t xml:space="preserve">电话、传真或电传： </w:t>
      </w:r>
    </w:p>
    <w:p w14:paraId="13EECD6F">
      <w:pPr>
        <w:spacing w:line="440" w:lineRule="atLeast"/>
        <w:rPr>
          <w:rFonts w:hint="eastAsia" w:ascii="仿宋_GB2312" w:hAnsi="Times New Roman" w:eastAsia="宋体" w:cs="Times New Roman"/>
          <w:color w:val="auto"/>
          <w:sz w:val="24"/>
        </w:rPr>
      </w:pPr>
      <w:r>
        <w:rPr>
          <w:rFonts w:hint="eastAsia" w:ascii="仿宋_GB2312" w:hAnsi="Times New Roman" w:eastAsia="宋体" w:cs="Times New Roman"/>
          <w:color w:val="auto"/>
          <w:sz w:val="24"/>
          <w:lang w:val="en-US" w:eastAsia="zh-CN"/>
        </w:rPr>
        <w:t xml:space="preserve">邮政编码： </w:t>
      </w:r>
    </w:p>
    <w:p w14:paraId="4EA0BDB4">
      <w:pPr>
        <w:spacing w:line="440" w:lineRule="atLeast"/>
        <w:rPr>
          <w:rFonts w:hint="eastAsia" w:ascii="仿宋_GB2312" w:hAnsi="Times New Roman" w:eastAsia="宋体" w:cs="Times New Roman"/>
          <w:color w:val="auto"/>
          <w:sz w:val="24"/>
        </w:rPr>
      </w:pPr>
      <w:r>
        <w:rPr>
          <w:rFonts w:hint="eastAsia" w:ascii="仿宋_GB2312" w:hAnsi="Times New Roman" w:eastAsia="宋体" w:cs="Times New Roman"/>
          <w:color w:val="auto"/>
          <w:sz w:val="24"/>
        </w:rPr>
        <w:t xml:space="preserve">日期：    年  月  日           </w:t>
      </w:r>
    </w:p>
    <w:p w14:paraId="7D5FBBD4">
      <w:pPr>
        <w:spacing w:line="440" w:lineRule="atLeast"/>
        <w:rPr>
          <w:rFonts w:ascii="仿宋_GB2312"/>
          <w:color w:val="auto"/>
          <w:sz w:val="24"/>
        </w:rPr>
      </w:pPr>
    </w:p>
    <w:p w14:paraId="1017FFE9">
      <w:pPr>
        <w:spacing w:line="440" w:lineRule="atLeast"/>
        <w:rPr>
          <w:rFonts w:ascii="仿宋_GB2312"/>
          <w:color w:val="auto"/>
          <w:sz w:val="24"/>
        </w:rPr>
      </w:pPr>
    </w:p>
    <w:p w14:paraId="4BCD497B">
      <w:pPr>
        <w:spacing w:line="440" w:lineRule="atLeast"/>
        <w:rPr>
          <w:rFonts w:ascii="仿宋_GB2312"/>
          <w:color w:val="auto"/>
          <w:sz w:val="24"/>
        </w:rPr>
      </w:pPr>
    </w:p>
    <w:p w14:paraId="34B33408">
      <w:pPr>
        <w:spacing w:line="440" w:lineRule="atLeast"/>
        <w:rPr>
          <w:rFonts w:ascii="仿宋_GB2312"/>
          <w:color w:val="auto"/>
          <w:sz w:val="24"/>
        </w:rPr>
        <w:sectPr>
          <w:headerReference r:id="rId14" w:type="first"/>
          <w:headerReference r:id="rId12" w:type="default"/>
          <w:footerReference r:id="rId15" w:type="default"/>
          <w:headerReference r:id="rId13" w:type="even"/>
          <w:type w:val="nextColumn"/>
          <w:pgSz w:w="11907" w:h="16840"/>
          <w:pgMar w:top="1440" w:right="1310" w:bottom="1440" w:left="1310" w:header="1021" w:footer="1021" w:gutter="170"/>
          <w:paperSrc w:first="15" w:other="15"/>
          <w:pgNumType w:fmt="decimal"/>
          <w:cols w:space="720" w:num="1"/>
          <w:docGrid w:linePitch="285" w:charSpace="0"/>
        </w:sectPr>
      </w:pPr>
    </w:p>
    <w:p w14:paraId="3D0BE4FC">
      <w:pPr>
        <w:spacing w:line="440" w:lineRule="atLeast"/>
        <w:jc w:val="center"/>
        <w:rPr>
          <w:rFonts w:hint="eastAsia" w:ascii="仿宋_GB2312" w:hAnsi="Times New Roman" w:cs="Times New Roman"/>
          <w:b/>
          <w:bCs/>
          <w:color w:val="auto"/>
          <w:sz w:val="28"/>
        </w:rPr>
      </w:pPr>
      <w:r>
        <w:rPr>
          <w:rFonts w:hint="eastAsia" w:ascii="仿宋_GB2312" w:hAnsi="Times New Roman" w:cs="Times New Roman"/>
          <w:b/>
          <w:bCs/>
          <w:color w:val="auto"/>
          <w:sz w:val="28"/>
        </w:rPr>
        <w:t>二、谈判响应首次报价表</w:t>
      </w:r>
    </w:p>
    <w:p w14:paraId="5CFFCE4D">
      <w:pPr>
        <w:spacing w:line="440" w:lineRule="atLeast"/>
        <w:ind w:firstLine="333" w:firstLineChars="100"/>
        <w:rPr>
          <w:rFonts w:ascii="仿宋_GB2312"/>
          <w:b/>
          <w:color w:val="auto"/>
          <w:spacing w:val="46"/>
          <w:sz w:val="24"/>
        </w:rPr>
      </w:pPr>
    </w:p>
    <w:p w14:paraId="325EA572">
      <w:pPr>
        <w:spacing w:line="440" w:lineRule="atLeast"/>
        <w:ind w:firstLine="240" w:firstLineChars="100"/>
        <w:rPr>
          <w:rFonts w:ascii="仿宋_GB2312"/>
          <w:color w:val="auto"/>
          <w:sz w:val="24"/>
        </w:rPr>
      </w:pPr>
      <w:r>
        <w:rPr>
          <w:rFonts w:hint="eastAsia" w:ascii="仿宋_GB2312"/>
          <w:color w:val="auto"/>
          <w:sz w:val="24"/>
        </w:rPr>
        <w:t>采购项目名称及包号：</w:t>
      </w:r>
    </w:p>
    <w:p w14:paraId="5535A9A7">
      <w:pPr>
        <w:spacing w:line="440" w:lineRule="atLeast"/>
        <w:ind w:firstLine="240" w:firstLineChars="100"/>
        <w:rPr>
          <w:rFonts w:ascii="宋体"/>
          <w:color w:val="auto"/>
          <w:sz w:val="24"/>
        </w:rPr>
      </w:pPr>
      <w:r>
        <w:rPr>
          <w:rFonts w:hint="eastAsia" w:ascii="仿宋_GB2312"/>
          <w:color w:val="auto"/>
          <w:sz w:val="24"/>
        </w:rPr>
        <w:t>谈 判  文 件 编 号：</w:t>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ascii="宋体"/>
          <w:color w:val="auto"/>
          <w:sz w:val="24"/>
        </w:rPr>
        <w:tab/>
      </w:r>
      <w:r>
        <w:rPr>
          <w:rFonts w:ascii="宋体"/>
          <w:color w:val="auto"/>
          <w:sz w:val="24"/>
        </w:rPr>
        <w:tab/>
      </w:r>
      <w:r>
        <w:rPr>
          <w:rFonts w:ascii="宋体"/>
          <w:color w:val="auto"/>
          <w:sz w:val="24"/>
        </w:rPr>
        <w:tab/>
      </w:r>
      <w:r>
        <w:rPr>
          <w:rFonts w:ascii="宋体"/>
          <w:color w:val="auto"/>
          <w:sz w:val="24"/>
        </w:rPr>
        <w:tab/>
      </w:r>
      <w:r>
        <w:rPr>
          <w:rFonts w:ascii="宋体"/>
          <w:color w:val="auto"/>
          <w:sz w:val="24"/>
        </w:rPr>
        <w:tab/>
      </w:r>
      <w:r>
        <w:rPr>
          <w:rFonts w:ascii="宋体"/>
          <w:color w:val="auto"/>
          <w:sz w:val="24"/>
        </w:rPr>
        <w:tab/>
      </w:r>
      <w:r>
        <w:rPr>
          <w:rFonts w:ascii="宋体"/>
          <w:color w:val="auto"/>
          <w:sz w:val="24"/>
        </w:rPr>
        <w:tab/>
      </w:r>
      <w:r>
        <w:rPr>
          <w:rFonts w:ascii="宋体"/>
          <w:color w:val="auto"/>
          <w:sz w:val="24"/>
        </w:rPr>
        <w:tab/>
      </w:r>
      <w:r>
        <w:rPr>
          <w:rFonts w:hint="eastAsia" w:ascii="仿宋_GB2312"/>
          <w:color w:val="auto"/>
          <w:sz w:val="24"/>
        </w:rPr>
        <w:t>开标时间：  年  月  日</w:t>
      </w:r>
    </w:p>
    <w:tbl>
      <w:tblPr>
        <w:tblStyle w:val="42"/>
        <w:tblW w:w="1313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7"/>
        <w:gridCol w:w="5626"/>
        <w:gridCol w:w="2397"/>
        <w:gridCol w:w="2078"/>
      </w:tblGrid>
      <w:tr w14:paraId="75A9C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7" w:hRule="atLeast"/>
        </w:trPr>
        <w:tc>
          <w:tcPr>
            <w:tcW w:w="3037" w:type="dxa"/>
            <w:vAlign w:val="center"/>
          </w:tcPr>
          <w:p w14:paraId="0BE3318D">
            <w:pPr>
              <w:spacing w:line="440" w:lineRule="atLeast"/>
              <w:jc w:val="center"/>
              <w:rPr>
                <w:rFonts w:ascii="仿宋_GB2312"/>
                <w:color w:val="auto"/>
                <w:sz w:val="24"/>
              </w:rPr>
            </w:pPr>
            <w:r>
              <w:rPr>
                <w:rFonts w:hint="eastAsia" w:ascii="仿宋_GB2312"/>
                <w:color w:val="auto"/>
                <w:sz w:val="24"/>
              </w:rPr>
              <w:t>响应谈判供应商名称</w:t>
            </w:r>
          </w:p>
        </w:tc>
        <w:tc>
          <w:tcPr>
            <w:tcW w:w="5626" w:type="dxa"/>
            <w:vAlign w:val="center"/>
          </w:tcPr>
          <w:p w14:paraId="572E2E2F">
            <w:pPr>
              <w:spacing w:line="440" w:lineRule="atLeast"/>
              <w:jc w:val="center"/>
              <w:rPr>
                <w:rFonts w:ascii="仿宋_GB2312"/>
                <w:color w:val="auto"/>
                <w:sz w:val="24"/>
              </w:rPr>
            </w:pPr>
            <w:r>
              <w:rPr>
                <w:rFonts w:hint="eastAsia" w:ascii="仿宋_GB2312"/>
                <w:color w:val="auto"/>
                <w:sz w:val="24"/>
              </w:rPr>
              <w:t>谈判响应报价（元）</w:t>
            </w:r>
          </w:p>
        </w:tc>
        <w:tc>
          <w:tcPr>
            <w:tcW w:w="2397" w:type="dxa"/>
            <w:vAlign w:val="center"/>
          </w:tcPr>
          <w:p w14:paraId="5F48A58A">
            <w:pPr>
              <w:spacing w:line="440" w:lineRule="atLeast"/>
              <w:jc w:val="center"/>
              <w:rPr>
                <w:rFonts w:ascii="仿宋_GB2312"/>
                <w:color w:val="auto"/>
                <w:sz w:val="24"/>
              </w:rPr>
            </w:pPr>
            <w:r>
              <w:rPr>
                <w:rFonts w:hint="eastAsia" w:ascii="仿宋_GB2312"/>
                <w:color w:val="auto"/>
                <w:sz w:val="24"/>
              </w:rPr>
              <w:t>供货期</w:t>
            </w:r>
          </w:p>
        </w:tc>
        <w:tc>
          <w:tcPr>
            <w:tcW w:w="2078" w:type="dxa"/>
            <w:vAlign w:val="center"/>
          </w:tcPr>
          <w:p w14:paraId="32619D05">
            <w:pPr>
              <w:spacing w:line="440" w:lineRule="atLeast"/>
              <w:jc w:val="center"/>
              <w:rPr>
                <w:rFonts w:ascii="仿宋_GB2312"/>
                <w:color w:val="auto"/>
                <w:sz w:val="24"/>
              </w:rPr>
            </w:pPr>
            <w:r>
              <w:rPr>
                <w:rFonts w:hint="eastAsia" w:ascii="仿宋_GB2312"/>
                <w:color w:val="auto"/>
                <w:sz w:val="24"/>
              </w:rPr>
              <w:t>谈判保证金</w:t>
            </w:r>
          </w:p>
        </w:tc>
      </w:tr>
      <w:tr w14:paraId="485E2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2" w:hRule="atLeast"/>
        </w:trPr>
        <w:tc>
          <w:tcPr>
            <w:tcW w:w="3037" w:type="dxa"/>
            <w:tcBorders>
              <w:bottom w:val="single" w:color="auto" w:sz="4" w:space="0"/>
            </w:tcBorders>
          </w:tcPr>
          <w:p w14:paraId="5BCE951A">
            <w:pPr>
              <w:spacing w:line="440" w:lineRule="atLeast"/>
              <w:rPr>
                <w:rFonts w:ascii="宋体"/>
                <w:color w:val="auto"/>
                <w:sz w:val="24"/>
              </w:rPr>
            </w:pPr>
          </w:p>
        </w:tc>
        <w:tc>
          <w:tcPr>
            <w:tcW w:w="5626" w:type="dxa"/>
            <w:tcBorders>
              <w:bottom w:val="single" w:color="auto" w:sz="4" w:space="0"/>
            </w:tcBorders>
            <w:vAlign w:val="center"/>
          </w:tcPr>
          <w:p w14:paraId="5493D992">
            <w:pPr>
              <w:spacing w:line="360" w:lineRule="auto"/>
              <w:jc w:val="left"/>
              <w:rPr>
                <w:rFonts w:ascii="宋体" w:hAnsi="宋体"/>
                <w:bCs/>
                <w:color w:val="auto"/>
                <w:sz w:val="24"/>
              </w:rPr>
            </w:pPr>
          </w:p>
        </w:tc>
        <w:tc>
          <w:tcPr>
            <w:tcW w:w="2397" w:type="dxa"/>
            <w:tcBorders>
              <w:bottom w:val="single" w:color="auto" w:sz="4" w:space="0"/>
            </w:tcBorders>
          </w:tcPr>
          <w:p w14:paraId="6A80FCA3">
            <w:pPr>
              <w:spacing w:line="440" w:lineRule="atLeast"/>
              <w:rPr>
                <w:rFonts w:ascii="宋体"/>
                <w:color w:val="auto"/>
                <w:sz w:val="24"/>
              </w:rPr>
            </w:pPr>
          </w:p>
        </w:tc>
        <w:tc>
          <w:tcPr>
            <w:tcW w:w="2078" w:type="dxa"/>
            <w:tcBorders>
              <w:bottom w:val="single" w:color="auto" w:sz="4" w:space="0"/>
            </w:tcBorders>
          </w:tcPr>
          <w:p w14:paraId="436BED1B">
            <w:pPr>
              <w:spacing w:line="440" w:lineRule="atLeast"/>
              <w:rPr>
                <w:rFonts w:ascii="宋体"/>
                <w:color w:val="auto"/>
                <w:sz w:val="24"/>
              </w:rPr>
            </w:pPr>
          </w:p>
        </w:tc>
      </w:tr>
    </w:tbl>
    <w:p w14:paraId="1253CC52">
      <w:pPr>
        <w:spacing w:line="440" w:lineRule="atLeast"/>
        <w:ind w:firstLine="480" w:firstLineChars="200"/>
        <w:rPr>
          <w:rFonts w:ascii="仿宋_GB2312"/>
          <w:color w:val="auto"/>
          <w:sz w:val="24"/>
        </w:rPr>
      </w:pPr>
      <w:r>
        <w:rPr>
          <w:rFonts w:hint="eastAsia" w:ascii="仿宋_GB2312"/>
          <w:color w:val="auto"/>
          <w:sz w:val="24"/>
        </w:rPr>
        <w:t>注：1. 本表除在谈判响应文件中填写外，还须在“政采云”平台填写</w:t>
      </w:r>
      <w:r>
        <w:rPr>
          <w:rFonts w:ascii="仿宋_GB2312"/>
          <w:color w:val="auto"/>
          <w:sz w:val="24"/>
        </w:rPr>
        <w:t>提交</w:t>
      </w:r>
      <w:r>
        <w:rPr>
          <w:rFonts w:hint="eastAsia" w:ascii="仿宋_GB2312"/>
          <w:color w:val="auto"/>
          <w:sz w:val="24"/>
        </w:rPr>
        <w:t>。</w:t>
      </w:r>
    </w:p>
    <w:p w14:paraId="0B70A942">
      <w:pPr>
        <w:spacing w:line="440" w:lineRule="atLeast"/>
        <w:ind w:firstLine="960" w:firstLineChars="400"/>
        <w:rPr>
          <w:rFonts w:ascii="仿宋_GB2312"/>
          <w:color w:val="auto"/>
          <w:sz w:val="24"/>
        </w:rPr>
      </w:pPr>
      <w:r>
        <w:rPr>
          <w:rFonts w:ascii="仿宋_GB2312"/>
          <w:color w:val="auto"/>
          <w:sz w:val="24"/>
        </w:rPr>
        <w:t>2</w:t>
      </w:r>
      <w:r>
        <w:rPr>
          <w:rFonts w:hint="eastAsia" w:ascii="仿宋_GB2312"/>
          <w:color w:val="auto"/>
          <w:sz w:val="24"/>
        </w:rPr>
        <w:t>.“政采云”平台填写提交内容须与谈判响应文件中一致。</w:t>
      </w:r>
    </w:p>
    <w:p w14:paraId="4B33AE61">
      <w:pPr>
        <w:spacing w:line="440" w:lineRule="atLeast"/>
        <w:ind w:firstLine="1440" w:firstLineChars="600"/>
        <w:rPr>
          <w:rFonts w:ascii="仿宋_GB2312"/>
          <w:color w:val="auto"/>
          <w:sz w:val="24"/>
        </w:rPr>
      </w:pPr>
    </w:p>
    <w:p w14:paraId="25E2CC91">
      <w:pPr>
        <w:spacing w:line="440" w:lineRule="atLeast"/>
        <w:ind w:firstLine="1440" w:firstLineChars="600"/>
        <w:rPr>
          <w:rFonts w:ascii="仿宋_GB2312"/>
          <w:color w:val="auto"/>
          <w:sz w:val="24"/>
        </w:rPr>
      </w:pPr>
    </w:p>
    <w:p w14:paraId="05A20C26">
      <w:pPr>
        <w:spacing w:line="440" w:lineRule="atLeast"/>
        <w:ind w:firstLine="1440" w:firstLineChars="600"/>
        <w:rPr>
          <w:rFonts w:ascii="宋体"/>
          <w:color w:val="auto"/>
          <w:sz w:val="24"/>
        </w:rPr>
      </w:pPr>
      <w:r>
        <w:rPr>
          <w:rFonts w:hint="eastAsia" w:ascii="仿宋_GB2312"/>
          <w:color w:val="auto"/>
          <w:sz w:val="24"/>
        </w:rPr>
        <w:t>响应谈判供应商：（盖公章）                              法定代表人或被授权委托人：（签字或盖章）</w:t>
      </w:r>
    </w:p>
    <w:p w14:paraId="64D62305">
      <w:pPr>
        <w:spacing w:line="440" w:lineRule="atLeast"/>
        <w:rPr>
          <w:rFonts w:ascii="仿宋_GB2312"/>
          <w:color w:val="auto"/>
          <w:sz w:val="24"/>
        </w:rPr>
        <w:sectPr>
          <w:headerReference r:id="rId18" w:type="first"/>
          <w:headerReference r:id="rId16" w:type="default"/>
          <w:footerReference r:id="rId19" w:type="default"/>
          <w:headerReference r:id="rId17" w:type="even"/>
          <w:pgSz w:w="16840" w:h="11907" w:orient="landscape"/>
          <w:pgMar w:top="1531" w:right="1758" w:bottom="1247" w:left="1758" w:header="1134" w:footer="794" w:gutter="170"/>
          <w:paperSrc w:first="25714" w:other="25714"/>
          <w:pgNumType w:fmt="decimal"/>
          <w:cols w:space="720" w:num="1"/>
          <w:docGrid w:linePitch="285" w:charSpace="0"/>
        </w:sectPr>
      </w:pPr>
    </w:p>
    <w:p w14:paraId="4FA522C5">
      <w:pPr>
        <w:spacing w:line="440" w:lineRule="atLeast"/>
        <w:jc w:val="center"/>
        <w:rPr>
          <w:rFonts w:hint="eastAsia" w:ascii="仿宋_GB2312" w:hAnsi="Times New Roman" w:cs="Times New Roman"/>
          <w:b/>
          <w:bCs/>
          <w:color w:val="auto"/>
          <w:sz w:val="28"/>
        </w:rPr>
      </w:pPr>
      <w:r>
        <w:rPr>
          <w:rFonts w:hint="eastAsia" w:ascii="仿宋_GB2312" w:hAnsi="Times New Roman" w:cs="Times New Roman"/>
          <w:b/>
          <w:bCs/>
          <w:color w:val="auto"/>
          <w:sz w:val="28"/>
        </w:rPr>
        <w:t>三、法定代表人资格证明书</w:t>
      </w:r>
    </w:p>
    <w:p w14:paraId="6A1D4085">
      <w:pPr>
        <w:spacing w:line="360" w:lineRule="auto"/>
        <w:rPr>
          <w:rFonts w:ascii="宋体"/>
          <w:color w:val="auto"/>
          <w:sz w:val="24"/>
        </w:rPr>
      </w:pPr>
    </w:p>
    <w:p w14:paraId="467B4313">
      <w:pPr>
        <w:spacing w:line="360" w:lineRule="auto"/>
        <w:rPr>
          <w:rFonts w:ascii="仿宋_GB2312"/>
          <w:color w:val="auto"/>
          <w:sz w:val="24"/>
        </w:rPr>
      </w:pPr>
      <w:r>
        <w:rPr>
          <w:rFonts w:hint="eastAsia" w:ascii="仿宋_GB2312"/>
          <w:color w:val="auto"/>
          <w:sz w:val="24"/>
        </w:rPr>
        <w:t>响应谈判供应商名称：</w:t>
      </w:r>
      <w:r>
        <w:rPr>
          <w:rFonts w:hint="eastAsia" w:ascii="仿宋_GB2312"/>
          <w:color w:val="auto"/>
          <w:sz w:val="24"/>
          <w:u w:val="single"/>
        </w:rPr>
        <w:t xml:space="preserve">                                            </w:t>
      </w:r>
    </w:p>
    <w:p w14:paraId="08902DF6">
      <w:pPr>
        <w:spacing w:line="360" w:lineRule="auto"/>
        <w:rPr>
          <w:rFonts w:ascii="仿宋_GB2312"/>
          <w:color w:val="auto"/>
          <w:sz w:val="24"/>
          <w:u w:val="single"/>
        </w:rPr>
      </w:pPr>
      <w:r>
        <w:rPr>
          <w:rFonts w:hint="eastAsia" w:ascii="仿宋_GB2312"/>
          <w:color w:val="auto"/>
          <w:sz w:val="24"/>
        </w:rPr>
        <w:t>单位性质：</w:t>
      </w:r>
      <w:r>
        <w:rPr>
          <w:rFonts w:hint="eastAsia" w:ascii="仿宋_GB2312"/>
          <w:color w:val="auto"/>
          <w:sz w:val="24"/>
          <w:u w:val="single"/>
        </w:rPr>
        <w:t xml:space="preserve">                                                      </w:t>
      </w:r>
    </w:p>
    <w:p w14:paraId="57B38A68">
      <w:pPr>
        <w:spacing w:line="360" w:lineRule="auto"/>
        <w:rPr>
          <w:rFonts w:ascii="仿宋_GB2312"/>
          <w:color w:val="auto"/>
          <w:sz w:val="24"/>
          <w:u w:val="single"/>
        </w:rPr>
      </w:pPr>
      <w:r>
        <w:rPr>
          <w:rFonts w:hint="eastAsia" w:ascii="仿宋_GB2312"/>
          <w:color w:val="auto"/>
          <w:sz w:val="24"/>
        </w:rPr>
        <w:t>地    址：</w:t>
      </w:r>
      <w:r>
        <w:rPr>
          <w:rFonts w:hint="eastAsia" w:ascii="仿宋_GB2312"/>
          <w:color w:val="auto"/>
          <w:sz w:val="24"/>
          <w:u w:val="single"/>
        </w:rPr>
        <w:t xml:space="preserve">                                                      </w:t>
      </w:r>
    </w:p>
    <w:p w14:paraId="5C132836">
      <w:pPr>
        <w:spacing w:line="360" w:lineRule="auto"/>
        <w:rPr>
          <w:rFonts w:ascii="仿宋_GB2312"/>
          <w:color w:val="auto"/>
          <w:sz w:val="24"/>
        </w:rPr>
      </w:pPr>
      <w:r>
        <w:rPr>
          <w:rFonts w:hint="eastAsia" w:ascii="仿宋_GB2312"/>
          <w:color w:val="auto"/>
          <w:sz w:val="24"/>
        </w:rPr>
        <w:t>成立时间：</w:t>
      </w:r>
      <w:r>
        <w:rPr>
          <w:rFonts w:hint="eastAsia" w:ascii="仿宋_GB2312"/>
          <w:color w:val="auto"/>
          <w:sz w:val="24"/>
          <w:u w:val="single"/>
        </w:rPr>
        <w:t xml:space="preserve">                                                      </w:t>
      </w:r>
    </w:p>
    <w:p w14:paraId="2A5E2744">
      <w:pPr>
        <w:spacing w:line="360" w:lineRule="auto"/>
        <w:rPr>
          <w:rFonts w:ascii="仿宋_GB2312"/>
          <w:color w:val="auto"/>
          <w:sz w:val="24"/>
          <w:u w:val="single"/>
        </w:rPr>
      </w:pPr>
      <w:r>
        <w:rPr>
          <w:rFonts w:hint="eastAsia" w:ascii="仿宋_GB2312"/>
          <w:color w:val="auto"/>
          <w:sz w:val="24"/>
        </w:rPr>
        <w:t>经营期限：</w:t>
      </w:r>
      <w:r>
        <w:rPr>
          <w:rFonts w:hint="eastAsia" w:ascii="仿宋_GB2312"/>
          <w:color w:val="auto"/>
          <w:sz w:val="24"/>
          <w:u w:val="single"/>
        </w:rPr>
        <w:t xml:space="preserve">                                                      </w:t>
      </w:r>
    </w:p>
    <w:p w14:paraId="4E4B5641">
      <w:pPr>
        <w:spacing w:line="360" w:lineRule="auto"/>
        <w:rPr>
          <w:rFonts w:ascii="仿宋_GB2312"/>
          <w:color w:val="auto"/>
          <w:sz w:val="24"/>
          <w:u w:val="single"/>
        </w:rPr>
      </w:pPr>
      <w:r>
        <w:rPr>
          <w:rFonts w:hint="eastAsia" w:ascii="仿宋_GB2312"/>
          <w:color w:val="auto"/>
          <w:sz w:val="24"/>
        </w:rPr>
        <w:t>姓名：</w:t>
      </w:r>
      <w:r>
        <w:rPr>
          <w:rFonts w:hint="eastAsia" w:ascii="仿宋_GB2312"/>
          <w:color w:val="auto"/>
          <w:sz w:val="24"/>
          <w:u w:val="single"/>
        </w:rPr>
        <w:t xml:space="preserve">            </w:t>
      </w:r>
      <w:r>
        <w:rPr>
          <w:rFonts w:hint="eastAsia" w:ascii="仿宋_GB2312"/>
          <w:color w:val="auto"/>
          <w:sz w:val="24"/>
        </w:rPr>
        <w:t>性别：</w:t>
      </w:r>
      <w:r>
        <w:rPr>
          <w:rFonts w:hint="eastAsia" w:ascii="仿宋_GB2312"/>
          <w:color w:val="auto"/>
          <w:sz w:val="24"/>
          <w:u w:val="single"/>
        </w:rPr>
        <w:t xml:space="preserve">        </w:t>
      </w:r>
      <w:r>
        <w:rPr>
          <w:rFonts w:hint="eastAsia" w:ascii="仿宋_GB2312"/>
          <w:color w:val="auto"/>
          <w:sz w:val="24"/>
        </w:rPr>
        <w:tab/>
      </w:r>
      <w:r>
        <w:rPr>
          <w:rFonts w:hint="eastAsia" w:ascii="仿宋_GB2312"/>
          <w:color w:val="auto"/>
          <w:sz w:val="24"/>
        </w:rPr>
        <w:t xml:space="preserve"> 年龄：</w:t>
      </w:r>
      <w:r>
        <w:rPr>
          <w:rFonts w:hint="eastAsia" w:ascii="仿宋_GB2312"/>
          <w:color w:val="auto"/>
          <w:sz w:val="24"/>
          <w:u w:val="single"/>
        </w:rPr>
        <w:t xml:space="preserve">       </w:t>
      </w:r>
      <w:r>
        <w:rPr>
          <w:rFonts w:hint="eastAsia" w:ascii="仿宋_GB2312"/>
          <w:color w:val="auto"/>
          <w:sz w:val="24"/>
        </w:rPr>
        <w:t xml:space="preserve">    职务：</w:t>
      </w:r>
      <w:r>
        <w:rPr>
          <w:rFonts w:hint="eastAsia" w:ascii="仿宋_GB2312"/>
          <w:color w:val="auto"/>
          <w:sz w:val="24"/>
          <w:u w:val="single"/>
        </w:rPr>
        <w:t xml:space="preserve">       </w:t>
      </w:r>
    </w:p>
    <w:p w14:paraId="2005BA3B">
      <w:pPr>
        <w:spacing w:line="360" w:lineRule="auto"/>
        <w:ind w:firstLine="480" w:firstLineChars="200"/>
        <w:rPr>
          <w:rFonts w:ascii="仿宋_GB2312"/>
          <w:color w:val="auto"/>
          <w:sz w:val="24"/>
          <w:u w:val="single"/>
        </w:rPr>
      </w:pPr>
      <w:r>
        <w:rPr>
          <w:rFonts w:hint="eastAsia" w:ascii="仿宋_GB2312"/>
          <w:color w:val="auto"/>
          <w:sz w:val="24"/>
        </w:rPr>
        <w:t>系</w:t>
      </w:r>
      <w:r>
        <w:rPr>
          <w:rFonts w:hint="eastAsia" w:ascii="仿宋_GB2312"/>
          <w:color w:val="auto"/>
          <w:sz w:val="24"/>
          <w:u w:val="single"/>
        </w:rPr>
        <w:t xml:space="preserve">                 </w:t>
      </w:r>
      <w:r>
        <w:rPr>
          <w:rFonts w:hint="eastAsia" w:ascii="仿宋_GB2312"/>
          <w:color w:val="auto"/>
          <w:sz w:val="24"/>
        </w:rPr>
        <w:t>（响应谈判供应商名称）的法定代表人。</w:t>
      </w:r>
    </w:p>
    <w:p w14:paraId="6780838E">
      <w:pPr>
        <w:spacing w:line="360" w:lineRule="auto"/>
        <w:ind w:firstLine="76" w:firstLineChars="32"/>
        <w:rPr>
          <w:rFonts w:ascii="仿宋_GB2312"/>
          <w:color w:val="auto"/>
          <w:sz w:val="24"/>
        </w:rPr>
      </w:pPr>
      <w:r>
        <w:rPr>
          <w:rFonts w:hint="eastAsia" w:ascii="仿宋_GB2312"/>
          <w:color w:val="auto"/>
          <w:sz w:val="24"/>
        </w:rPr>
        <w:t xml:space="preserve">  </w:t>
      </w:r>
    </w:p>
    <w:p w14:paraId="1DA047F9">
      <w:pPr>
        <w:spacing w:line="360" w:lineRule="auto"/>
        <w:ind w:firstLine="552" w:firstLineChars="230"/>
        <w:rPr>
          <w:rFonts w:ascii="仿宋_GB2312"/>
          <w:color w:val="auto"/>
          <w:sz w:val="24"/>
        </w:rPr>
      </w:pPr>
      <w:r>
        <w:rPr>
          <w:rFonts w:hint="eastAsia" w:ascii="仿宋_GB2312"/>
          <w:color w:val="auto"/>
          <w:sz w:val="24"/>
        </w:rPr>
        <w:t>特此证明。</w:t>
      </w:r>
    </w:p>
    <w:p w14:paraId="63F2AE27">
      <w:pPr>
        <w:spacing w:line="440" w:lineRule="atLeast"/>
        <w:ind w:firstLine="76" w:firstLineChars="32"/>
        <w:rPr>
          <w:rFonts w:ascii="仿宋_GB2312"/>
          <w:color w:val="auto"/>
          <w:sz w:val="24"/>
        </w:rPr>
      </w:pPr>
    </w:p>
    <w:p w14:paraId="65C7DA09">
      <w:pPr>
        <w:spacing w:line="440" w:lineRule="atLeast"/>
        <w:ind w:firstLine="76" w:firstLineChars="32"/>
        <w:rPr>
          <w:rFonts w:ascii="仿宋_GB2312"/>
          <w:color w:val="auto"/>
          <w:sz w:val="24"/>
        </w:rPr>
      </w:pPr>
    </w:p>
    <w:p w14:paraId="6D5D3EFA">
      <w:pPr>
        <w:spacing w:line="440" w:lineRule="atLeast"/>
        <w:ind w:firstLine="76" w:firstLineChars="32"/>
        <w:rPr>
          <w:rFonts w:ascii="仿宋_GB2312"/>
          <w:color w:val="auto"/>
          <w:sz w:val="24"/>
        </w:rPr>
      </w:pPr>
    </w:p>
    <w:p w14:paraId="2CEB7FE9">
      <w:pPr>
        <w:spacing w:line="440" w:lineRule="atLeast"/>
        <w:ind w:firstLine="76" w:firstLineChars="32"/>
        <w:rPr>
          <w:rFonts w:ascii="仿宋_GB2312"/>
          <w:color w:val="auto"/>
          <w:sz w:val="24"/>
        </w:rPr>
      </w:pPr>
    </w:p>
    <w:p w14:paraId="2932E08F">
      <w:pPr>
        <w:spacing w:line="440" w:lineRule="atLeast"/>
        <w:ind w:firstLine="76" w:firstLineChars="32"/>
        <w:jc w:val="center"/>
        <w:rPr>
          <w:rFonts w:ascii="仿宋_GB2312"/>
          <w:color w:val="auto"/>
          <w:sz w:val="24"/>
        </w:rPr>
      </w:pPr>
      <w:r>
        <w:rPr>
          <w:rFonts w:hint="eastAsia" w:ascii="仿宋_GB2312"/>
          <w:color w:val="auto"/>
          <w:sz w:val="24"/>
        </w:rPr>
        <w:t>（</w:t>
      </w:r>
      <w:r>
        <w:rPr>
          <w:rFonts w:hint="eastAsia" w:ascii="仿宋_GB2312"/>
          <w:color w:val="auto"/>
          <w:sz w:val="24"/>
          <w:lang w:val="en-US" w:eastAsia="zh-CN"/>
        </w:rPr>
        <w:t>附</w:t>
      </w:r>
      <w:r>
        <w:rPr>
          <w:rFonts w:hint="eastAsia" w:ascii="仿宋_GB2312"/>
          <w:color w:val="auto"/>
          <w:sz w:val="24"/>
        </w:rPr>
        <w:t>法定代表人身份证）</w:t>
      </w:r>
    </w:p>
    <w:p w14:paraId="3748F03D">
      <w:pPr>
        <w:spacing w:line="440" w:lineRule="atLeast"/>
        <w:ind w:firstLine="76" w:firstLineChars="32"/>
        <w:rPr>
          <w:rFonts w:ascii="仿宋_GB2312"/>
          <w:color w:val="auto"/>
          <w:sz w:val="24"/>
        </w:rPr>
      </w:pPr>
    </w:p>
    <w:p w14:paraId="6393B35A">
      <w:pPr>
        <w:spacing w:line="440" w:lineRule="atLeast"/>
        <w:ind w:firstLine="76" w:firstLineChars="32"/>
        <w:rPr>
          <w:rFonts w:ascii="仿宋_GB2312"/>
          <w:color w:val="auto"/>
          <w:sz w:val="24"/>
        </w:rPr>
      </w:pPr>
    </w:p>
    <w:p w14:paraId="0FEF837B">
      <w:pPr>
        <w:spacing w:line="440" w:lineRule="atLeast"/>
        <w:ind w:firstLine="76" w:firstLineChars="32"/>
        <w:rPr>
          <w:rFonts w:ascii="仿宋_GB2312"/>
          <w:color w:val="auto"/>
          <w:sz w:val="24"/>
        </w:rPr>
      </w:pPr>
    </w:p>
    <w:p w14:paraId="49C11840">
      <w:pPr>
        <w:spacing w:line="440" w:lineRule="atLeast"/>
        <w:ind w:firstLine="76" w:firstLineChars="32"/>
        <w:rPr>
          <w:rFonts w:ascii="仿宋_GB2312"/>
          <w:color w:val="auto"/>
          <w:sz w:val="24"/>
        </w:rPr>
      </w:pPr>
    </w:p>
    <w:p w14:paraId="24483D20">
      <w:pPr>
        <w:spacing w:line="440" w:lineRule="atLeast"/>
        <w:ind w:firstLine="76" w:firstLineChars="32"/>
        <w:rPr>
          <w:rFonts w:ascii="仿宋_GB2312"/>
          <w:color w:val="auto"/>
          <w:sz w:val="24"/>
        </w:rPr>
      </w:pPr>
    </w:p>
    <w:p w14:paraId="57BDE286">
      <w:pPr>
        <w:spacing w:line="440" w:lineRule="atLeast"/>
        <w:ind w:firstLine="76" w:firstLineChars="32"/>
        <w:rPr>
          <w:rFonts w:ascii="仿宋_GB2312"/>
          <w:color w:val="auto"/>
          <w:sz w:val="24"/>
        </w:rPr>
      </w:pPr>
    </w:p>
    <w:p w14:paraId="48087CD2">
      <w:pPr>
        <w:spacing w:line="440" w:lineRule="atLeast"/>
        <w:ind w:firstLine="76" w:firstLineChars="32"/>
        <w:rPr>
          <w:rFonts w:ascii="仿宋_GB2312"/>
          <w:color w:val="auto"/>
          <w:sz w:val="24"/>
        </w:rPr>
      </w:pPr>
    </w:p>
    <w:p w14:paraId="718A3465">
      <w:pPr>
        <w:spacing w:line="440" w:lineRule="atLeast"/>
        <w:jc w:val="left"/>
        <w:rPr>
          <w:rFonts w:ascii="仿宋_GB2312"/>
          <w:color w:val="auto"/>
          <w:sz w:val="24"/>
        </w:rPr>
      </w:pPr>
      <w:r>
        <w:rPr>
          <w:rFonts w:hint="eastAsia" w:ascii="仿宋_GB2312"/>
          <w:color w:val="auto"/>
          <w:sz w:val="24"/>
        </w:rPr>
        <w:t>响应谈判供应商：</w:t>
      </w:r>
      <w:r>
        <w:rPr>
          <w:rFonts w:hint="eastAsia" w:ascii="仿宋_GB2312"/>
          <w:color w:val="auto"/>
          <w:sz w:val="24"/>
          <w:lang w:val="en-US" w:eastAsia="zh-CN"/>
        </w:rPr>
        <w:t xml:space="preserve">         </w:t>
      </w:r>
      <w:r>
        <w:rPr>
          <w:rFonts w:hint="eastAsia" w:ascii="仿宋_GB2312"/>
          <w:color w:val="auto"/>
          <w:sz w:val="24"/>
        </w:rPr>
        <w:t>（盖公章）</w:t>
      </w:r>
    </w:p>
    <w:p w14:paraId="00CDFE0B">
      <w:pPr>
        <w:spacing w:line="440" w:lineRule="atLeast"/>
        <w:rPr>
          <w:rFonts w:hint="eastAsia" w:ascii="仿宋_GB2312" w:eastAsia="宋体"/>
          <w:color w:val="auto"/>
          <w:sz w:val="24"/>
          <w:lang w:val="en-US" w:eastAsia="zh-CN"/>
        </w:rPr>
      </w:pPr>
      <w:r>
        <w:rPr>
          <w:rFonts w:hint="eastAsia" w:ascii="仿宋_GB2312"/>
          <w:color w:val="auto"/>
          <w:sz w:val="24"/>
        </w:rPr>
        <w:t>法定代表人</w:t>
      </w:r>
      <w:r>
        <w:rPr>
          <w:rFonts w:hint="eastAsia" w:ascii="仿宋_GB2312"/>
          <w:color w:val="auto"/>
          <w:sz w:val="24"/>
          <w:lang w:eastAsia="zh-CN"/>
        </w:rPr>
        <w:t>：</w:t>
      </w:r>
      <w:r>
        <w:rPr>
          <w:rFonts w:hint="eastAsia" w:ascii="仿宋_GB2312"/>
          <w:color w:val="auto"/>
          <w:sz w:val="24"/>
          <w:lang w:val="en-US" w:eastAsia="zh-CN"/>
        </w:rPr>
        <w:t xml:space="preserve">             </w:t>
      </w:r>
      <w:r>
        <w:rPr>
          <w:rFonts w:hint="eastAsia" w:ascii="仿宋_GB2312"/>
          <w:color w:val="auto"/>
          <w:sz w:val="24"/>
          <w:lang w:eastAsia="zh-CN"/>
        </w:rPr>
        <w:t>（签字或盖章）</w:t>
      </w:r>
    </w:p>
    <w:p w14:paraId="34749E6B">
      <w:pPr>
        <w:spacing w:line="440" w:lineRule="atLeast"/>
        <w:rPr>
          <w:rFonts w:ascii="仿宋_GB2312"/>
          <w:color w:val="auto"/>
          <w:sz w:val="24"/>
        </w:rPr>
      </w:pPr>
      <w:r>
        <w:rPr>
          <w:rFonts w:hint="eastAsia" w:ascii="仿宋_GB2312"/>
          <w:color w:val="auto"/>
          <w:sz w:val="24"/>
        </w:rPr>
        <w:t>日期：</w:t>
      </w:r>
      <w:r>
        <w:rPr>
          <w:rFonts w:hint="eastAsia" w:ascii="仿宋_GB2312"/>
          <w:color w:val="auto"/>
          <w:sz w:val="24"/>
          <w:lang w:val="en-US" w:eastAsia="zh-CN"/>
        </w:rPr>
        <w:t xml:space="preserve">   </w:t>
      </w:r>
      <w:r>
        <w:rPr>
          <w:rFonts w:hint="eastAsia" w:ascii="仿宋_GB2312"/>
          <w:color w:val="auto"/>
          <w:sz w:val="24"/>
        </w:rPr>
        <w:t>年</w:t>
      </w:r>
      <w:r>
        <w:rPr>
          <w:rFonts w:hint="eastAsia" w:ascii="仿宋_GB2312"/>
          <w:color w:val="auto"/>
          <w:sz w:val="24"/>
          <w:lang w:val="en-US" w:eastAsia="zh-CN"/>
        </w:rPr>
        <w:t xml:space="preserve">   </w:t>
      </w:r>
      <w:r>
        <w:rPr>
          <w:rFonts w:hint="eastAsia" w:ascii="仿宋_GB2312"/>
          <w:color w:val="auto"/>
          <w:sz w:val="24"/>
        </w:rPr>
        <w:t>月</w:t>
      </w:r>
      <w:r>
        <w:rPr>
          <w:rFonts w:hint="eastAsia" w:ascii="仿宋_GB2312"/>
          <w:color w:val="auto"/>
          <w:sz w:val="24"/>
          <w:lang w:val="en-US" w:eastAsia="zh-CN"/>
        </w:rPr>
        <w:t xml:space="preserve">   </w:t>
      </w:r>
      <w:r>
        <w:rPr>
          <w:rFonts w:hint="eastAsia" w:ascii="仿宋_GB2312"/>
          <w:color w:val="auto"/>
          <w:sz w:val="24"/>
        </w:rPr>
        <w:t>日</w:t>
      </w:r>
    </w:p>
    <w:p w14:paraId="40B8D809">
      <w:pPr>
        <w:spacing w:line="440" w:lineRule="atLeast"/>
        <w:rPr>
          <w:rFonts w:ascii="宋体"/>
          <w:color w:val="auto"/>
          <w:sz w:val="24"/>
        </w:rPr>
      </w:pPr>
    </w:p>
    <w:p w14:paraId="47215B35">
      <w:pPr>
        <w:spacing w:line="440" w:lineRule="atLeast"/>
        <w:rPr>
          <w:rFonts w:ascii="宋体"/>
          <w:color w:val="auto"/>
          <w:sz w:val="24"/>
        </w:rPr>
      </w:pPr>
    </w:p>
    <w:p w14:paraId="1F2C1924">
      <w:pPr>
        <w:rPr>
          <w:rFonts w:hint="eastAsia" w:ascii="仿宋_GB2312"/>
          <w:b/>
          <w:color w:val="auto"/>
          <w:sz w:val="28"/>
        </w:rPr>
      </w:pPr>
      <w:r>
        <w:rPr>
          <w:rFonts w:hint="eastAsia" w:ascii="仿宋_GB2312"/>
          <w:b/>
          <w:color w:val="auto"/>
          <w:sz w:val="28"/>
        </w:rPr>
        <w:br w:type="page"/>
      </w:r>
    </w:p>
    <w:p w14:paraId="4D42E205">
      <w:pPr>
        <w:spacing w:line="440" w:lineRule="atLeast"/>
        <w:jc w:val="center"/>
        <w:rPr>
          <w:rFonts w:ascii="仿宋_GB2312"/>
          <w:b/>
          <w:color w:val="auto"/>
          <w:sz w:val="28"/>
        </w:rPr>
      </w:pPr>
      <w:r>
        <w:rPr>
          <w:rFonts w:hint="eastAsia" w:ascii="仿宋_GB2312"/>
          <w:b/>
          <w:color w:val="auto"/>
          <w:sz w:val="28"/>
        </w:rPr>
        <w:t>四、法定代表人授权书</w:t>
      </w:r>
    </w:p>
    <w:p w14:paraId="1EA90A51">
      <w:pPr>
        <w:spacing w:line="440" w:lineRule="atLeast"/>
        <w:jc w:val="center"/>
        <w:rPr>
          <w:rFonts w:ascii="宋体" w:hAnsi="宋体"/>
          <w:b/>
          <w:color w:val="auto"/>
          <w:sz w:val="24"/>
          <w:szCs w:val="22"/>
        </w:rPr>
      </w:pPr>
      <w:r>
        <w:rPr>
          <w:rFonts w:hint="eastAsia" w:ascii="宋体" w:hAnsi="宋体"/>
          <w:b/>
          <w:color w:val="auto"/>
          <w:sz w:val="24"/>
          <w:szCs w:val="22"/>
        </w:rPr>
        <w:t>（被授权委托人作为供应商代表时需提供此页）</w:t>
      </w:r>
    </w:p>
    <w:p w14:paraId="76E58208">
      <w:pPr>
        <w:spacing w:line="440" w:lineRule="atLeast"/>
        <w:jc w:val="center"/>
        <w:rPr>
          <w:rFonts w:ascii="仿宋_GB2312"/>
          <w:b/>
          <w:color w:val="auto"/>
          <w:sz w:val="28"/>
        </w:rPr>
      </w:pPr>
    </w:p>
    <w:p w14:paraId="76480D16">
      <w:pPr>
        <w:spacing w:line="440" w:lineRule="atLeast"/>
        <w:rPr>
          <w:rFonts w:ascii="仿宋_GB2312"/>
          <w:bCs/>
          <w:color w:val="auto"/>
          <w:sz w:val="24"/>
        </w:rPr>
      </w:pPr>
      <w:r>
        <w:rPr>
          <w:rFonts w:hint="eastAsia" w:ascii="仿宋_GB2312"/>
          <w:bCs/>
          <w:color w:val="auto"/>
          <w:sz w:val="24"/>
        </w:rPr>
        <w:t xml:space="preserve">  </w:t>
      </w:r>
    </w:p>
    <w:p w14:paraId="45474349">
      <w:pPr>
        <w:spacing w:line="360" w:lineRule="auto"/>
        <w:ind w:left="-36" w:leftChars="-50" w:hanging="69" w:hangingChars="29"/>
        <w:rPr>
          <w:rFonts w:ascii="仿宋_GB2312"/>
          <w:color w:val="auto"/>
          <w:sz w:val="24"/>
        </w:rPr>
      </w:pPr>
      <w:r>
        <w:rPr>
          <w:rFonts w:hint="eastAsia" w:ascii="仿宋_GB2312"/>
          <w:color w:val="auto"/>
          <w:sz w:val="24"/>
        </w:rPr>
        <w:t>吉林省蚕业科学研究院：</w:t>
      </w:r>
    </w:p>
    <w:p w14:paraId="4DBBB467">
      <w:pPr>
        <w:spacing w:line="360" w:lineRule="auto"/>
        <w:ind w:left="-50"/>
        <w:rPr>
          <w:rFonts w:ascii="仿宋_GB2312"/>
          <w:color w:val="auto"/>
          <w:sz w:val="24"/>
        </w:rPr>
      </w:pPr>
      <w:r>
        <w:rPr>
          <w:rFonts w:hint="eastAsia" w:ascii="仿宋_GB2312"/>
          <w:color w:val="auto"/>
          <w:sz w:val="24"/>
        </w:rPr>
        <w:t xml:space="preserve">    本人</w:t>
      </w:r>
      <w:r>
        <w:rPr>
          <w:rFonts w:hint="eastAsia" w:ascii="仿宋_GB2312"/>
          <w:color w:val="auto"/>
          <w:sz w:val="24"/>
          <w:u w:val="single"/>
        </w:rPr>
        <w:t xml:space="preserve">         </w:t>
      </w:r>
      <w:r>
        <w:rPr>
          <w:rFonts w:hint="eastAsia" w:ascii="仿宋_GB2312"/>
          <w:color w:val="auto"/>
          <w:sz w:val="24"/>
        </w:rPr>
        <w:t>（姓名）系</w:t>
      </w:r>
      <w:r>
        <w:rPr>
          <w:rFonts w:hint="eastAsia" w:ascii="仿宋_GB2312"/>
          <w:color w:val="auto"/>
          <w:sz w:val="24"/>
          <w:u w:val="single"/>
        </w:rPr>
        <w:t xml:space="preserve">              </w:t>
      </w:r>
      <w:r>
        <w:rPr>
          <w:rFonts w:hint="eastAsia" w:ascii="仿宋_GB2312"/>
          <w:color w:val="auto"/>
          <w:sz w:val="24"/>
        </w:rPr>
        <w:t>（响应谈判供应商名称）的法定代表人，现授权委托</w:t>
      </w:r>
      <w:r>
        <w:rPr>
          <w:rFonts w:hint="eastAsia" w:ascii="仿宋_GB2312"/>
          <w:color w:val="auto"/>
          <w:sz w:val="24"/>
          <w:u w:val="single"/>
        </w:rPr>
        <w:t xml:space="preserve">         </w:t>
      </w:r>
      <w:r>
        <w:rPr>
          <w:rFonts w:hint="eastAsia" w:ascii="仿宋_GB2312"/>
          <w:color w:val="auto"/>
          <w:sz w:val="24"/>
        </w:rPr>
        <w:t>（姓名）为响应谈判供应商被授权委托人，以本公司的名义参加贵</w:t>
      </w:r>
      <w:r>
        <w:rPr>
          <w:rFonts w:hint="eastAsia" w:ascii="仿宋_GB2312"/>
          <w:color w:val="auto"/>
          <w:sz w:val="24"/>
          <w:lang w:val="en-US" w:eastAsia="zh-CN"/>
        </w:rPr>
        <w:t>单位</w:t>
      </w:r>
      <w:r>
        <w:rPr>
          <w:rFonts w:hint="eastAsia" w:ascii="仿宋_GB2312"/>
          <w:color w:val="auto"/>
          <w:sz w:val="24"/>
        </w:rPr>
        <w:t>组织的</w:t>
      </w:r>
      <w:r>
        <w:rPr>
          <w:rFonts w:hint="eastAsia" w:ascii="仿宋_GB2312"/>
          <w:color w:val="auto"/>
          <w:sz w:val="24"/>
          <w:u w:val="single"/>
        </w:rPr>
        <w:t xml:space="preserve">          </w:t>
      </w:r>
      <w:r>
        <w:rPr>
          <w:rFonts w:hint="eastAsia" w:ascii="仿宋_GB2312"/>
          <w:color w:val="auto"/>
          <w:sz w:val="24"/>
        </w:rPr>
        <w:t>项目谈判活动。</w:t>
      </w:r>
    </w:p>
    <w:p w14:paraId="7300AFE7">
      <w:pPr>
        <w:spacing w:line="360" w:lineRule="auto"/>
        <w:ind w:left="-50" w:firstLine="645"/>
        <w:rPr>
          <w:rFonts w:ascii="仿宋_GB2312"/>
          <w:color w:val="auto"/>
          <w:sz w:val="24"/>
        </w:rPr>
      </w:pPr>
      <w:r>
        <w:rPr>
          <w:rFonts w:hint="eastAsia" w:ascii="仿宋_GB2312"/>
          <w:color w:val="auto"/>
          <w:sz w:val="24"/>
        </w:rPr>
        <w:t>响应谈判供应商被授权委托人在开标、评审、政府采购合同谈判、完成及保修过程中签署的一切文件和处理与之有关的一切事务，我均予以承认。</w:t>
      </w:r>
    </w:p>
    <w:p w14:paraId="3A28B2FA">
      <w:pPr>
        <w:spacing w:line="360" w:lineRule="auto"/>
        <w:ind w:left="-50" w:firstLine="645"/>
        <w:rPr>
          <w:rFonts w:ascii="仿宋_GB2312"/>
          <w:color w:val="auto"/>
          <w:sz w:val="24"/>
        </w:rPr>
      </w:pPr>
      <w:r>
        <w:rPr>
          <w:rFonts w:hint="eastAsia" w:ascii="仿宋_GB2312"/>
          <w:color w:val="auto"/>
          <w:sz w:val="24"/>
        </w:rPr>
        <w:t>响应谈判供应商被授权委托人无权转让授权。</w:t>
      </w:r>
    </w:p>
    <w:p w14:paraId="557E7C50">
      <w:pPr>
        <w:spacing w:line="360" w:lineRule="auto"/>
        <w:ind w:left="-50" w:firstLine="645"/>
        <w:rPr>
          <w:rFonts w:ascii="仿宋_GB2312"/>
          <w:color w:val="auto"/>
          <w:sz w:val="24"/>
        </w:rPr>
      </w:pPr>
      <w:r>
        <w:rPr>
          <w:rFonts w:hint="eastAsia" w:ascii="仿宋_GB2312"/>
          <w:color w:val="auto"/>
          <w:sz w:val="24"/>
        </w:rPr>
        <w:t>特此声明。</w:t>
      </w:r>
    </w:p>
    <w:p w14:paraId="3A7BCB2E">
      <w:pPr>
        <w:spacing w:line="440" w:lineRule="atLeast"/>
        <w:rPr>
          <w:rFonts w:ascii="仿宋_GB2312"/>
          <w:color w:val="auto"/>
          <w:sz w:val="24"/>
        </w:rPr>
      </w:pPr>
      <w:r>
        <w:rPr>
          <w:rFonts w:hint="eastAsia" w:ascii="仿宋_GB2312"/>
          <w:color w:val="auto"/>
          <w:sz w:val="24"/>
        </w:rPr>
        <w:t xml:space="preserve">被授权委托人：（姓名）      </w:t>
      </w:r>
      <w:r>
        <w:rPr>
          <w:rFonts w:ascii="仿宋_GB2312"/>
          <w:color w:val="auto"/>
          <w:sz w:val="24"/>
        </w:rPr>
        <w:t xml:space="preserve">      </w:t>
      </w:r>
      <w:r>
        <w:rPr>
          <w:rFonts w:hint="eastAsia" w:ascii="仿宋_GB2312"/>
          <w:color w:val="auto"/>
          <w:sz w:val="24"/>
        </w:rPr>
        <w:t xml:space="preserve"> 性别：         身份证号码：</w:t>
      </w:r>
    </w:p>
    <w:p w14:paraId="750A17DA">
      <w:pPr>
        <w:spacing w:line="440" w:lineRule="atLeast"/>
        <w:rPr>
          <w:rFonts w:ascii="仿宋_GB2312"/>
          <w:color w:val="auto"/>
          <w:sz w:val="24"/>
        </w:rPr>
      </w:pPr>
      <w:r>
        <w:rPr>
          <w:rFonts w:hint="eastAsia" w:ascii="仿宋_GB2312"/>
          <w:color w:val="auto"/>
          <w:sz w:val="24"/>
        </w:rPr>
        <w:t>单位名称：                        职务：         电话：</w:t>
      </w:r>
    </w:p>
    <w:p w14:paraId="4CEF945F">
      <w:pPr>
        <w:spacing w:line="440" w:lineRule="atLeast"/>
        <w:rPr>
          <w:rFonts w:ascii="仿宋_GB2312"/>
          <w:color w:val="auto"/>
          <w:sz w:val="24"/>
        </w:rPr>
      </w:pPr>
    </w:p>
    <w:p w14:paraId="445625A9">
      <w:pPr>
        <w:spacing w:line="360" w:lineRule="auto"/>
        <w:rPr>
          <w:rFonts w:ascii="仿宋_GB2312"/>
          <w:color w:val="auto"/>
          <w:sz w:val="24"/>
        </w:rPr>
      </w:pPr>
    </w:p>
    <w:p w14:paraId="60646460">
      <w:pPr>
        <w:spacing w:line="360" w:lineRule="auto"/>
        <w:jc w:val="center"/>
        <w:rPr>
          <w:rFonts w:ascii="仿宋_GB2312"/>
          <w:color w:val="auto"/>
          <w:sz w:val="24"/>
        </w:rPr>
      </w:pPr>
      <w:r>
        <w:rPr>
          <w:rFonts w:hint="eastAsia" w:ascii="仿宋_GB2312"/>
          <w:color w:val="auto"/>
          <w:sz w:val="24"/>
        </w:rPr>
        <w:t>（谈判代表身份证复印件）</w:t>
      </w:r>
    </w:p>
    <w:p w14:paraId="048CAB57">
      <w:pPr>
        <w:spacing w:line="360" w:lineRule="auto"/>
        <w:rPr>
          <w:rFonts w:ascii="仿宋_GB2312"/>
          <w:color w:val="auto"/>
          <w:sz w:val="24"/>
        </w:rPr>
      </w:pPr>
    </w:p>
    <w:p w14:paraId="77D20E01">
      <w:pPr>
        <w:spacing w:line="360" w:lineRule="auto"/>
        <w:rPr>
          <w:rFonts w:ascii="仿宋_GB2312"/>
          <w:color w:val="auto"/>
          <w:sz w:val="24"/>
        </w:rPr>
      </w:pPr>
      <w:r>
        <w:rPr>
          <w:rFonts w:hint="eastAsia" w:ascii="仿宋_GB2312"/>
          <w:color w:val="auto"/>
          <w:sz w:val="24"/>
        </w:rPr>
        <w:t>响应谈判供应商：（盖公章）</w:t>
      </w:r>
    </w:p>
    <w:p w14:paraId="03245882">
      <w:pPr>
        <w:spacing w:line="360" w:lineRule="auto"/>
        <w:rPr>
          <w:rFonts w:ascii="仿宋_GB2312"/>
          <w:color w:val="auto"/>
          <w:sz w:val="24"/>
        </w:rPr>
      </w:pPr>
    </w:p>
    <w:p w14:paraId="2F4CD7C1">
      <w:pPr>
        <w:spacing w:line="360" w:lineRule="auto"/>
        <w:rPr>
          <w:rFonts w:ascii="仿宋_GB2312"/>
          <w:color w:val="auto"/>
          <w:sz w:val="24"/>
        </w:rPr>
      </w:pPr>
      <w:r>
        <w:rPr>
          <w:rFonts w:hint="eastAsia" w:ascii="仿宋_GB2312"/>
          <w:color w:val="auto"/>
          <w:sz w:val="24"/>
        </w:rPr>
        <w:t>法定代表人：（签字或</w:t>
      </w:r>
      <w:r>
        <w:rPr>
          <w:rFonts w:ascii="仿宋_GB2312"/>
          <w:color w:val="auto"/>
          <w:sz w:val="24"/>
        </w:rPr>
        <w:t>盖章</w:t>
      </w:r>
      <w:r>
        <w:rPr>
          <w:rFonts w:hint="eastAsia" w:ascii="仿宋_GB2312"/>
          <w:color w:val="auto"/>
          <w:sz w:val="24"/>
        </w:rPr>
        <w:t>）</w:t>
      </w:r>
    </w:p>
    <w:p w14:paraId="4E3E3DF9">
      <w:pPr>
        <w:spacing w:line="360" w:lineRule="auto"/>
        <w:rPr>
          <w:rFonts w:ascii="仿宋_GB2312"/>
          <w:color w:val="auto"/>
          <w:sz w:val="24"/>
        </w:rPr>
      </w:pPr>
    </w:p>
    <w:p w14:paraId="20A83FC6">
      <w:pPr>
        <w:spacing w:line="360" w:lineRule="auto"/>
        <w:rPr>
          <w:rFonts w:ascii="仿宋_GB2312"/>
          <w:color w:val="auto"/>
          <w:sz w:val="24"/>
        </w:rPr>
      </w:pPr>
      <w:r>
        <w:rPr>
          <w:rFonts w:hint="eastAsia" w:ascii="仿宋_GB2312"/>
          <w:color w:val="auto"/>
          <w:sz w:val="24"/>
        </w:rPr>
        <w:t>响应谈判供应商被授权委托人：（签字或</w:t>
      </w:r>
      <w:r>
        <w:rPr>
          <w:rFonts w:ascii="仿宋_GB2312"/>
          <w:color w:val="auto"/>
          <w:sz w:val="24"/>
        </w:rPr>
        <w:t>盖章</w:t>
      </w:r>
      <w:r>
        <w:rPr>
          <w:rFonts w:hint="eastAsia" w:ascii="仿宋_GB2312"/>
          <w:color w:val="auto"/>
          <w:sz w:val="24"/>
        </w:rPr>
        <w:t>）</w:t>
      </w:r>
    </w:p>
    <w:p w14:paraId="5530D8A2">
      <w:pPr>
        <w:spacing w:line="360" w:lineRule="auto"/>
        <w:jc w:val="left"/>
        <w:rPr>
          <w:rFonts w:ascii="仿宋_GB2312"/>
          <w:color w:val="auto"/>
          <w:sz w:val="24"/>
        </w:rPr>
      </w:pPr>
    </w:p>
    <w:p w14:paraId="1312625B">
      <w:pPr>
        <w:spacing w:line="360" w:lineRule="auto"/>
        <w:jc w:val="left"/>
        <w:rPr>
          <w:rFonts w:ascii="仿宋_GB2312"/>
          <w:color w:val="auto"/>
          <w:sz w:val="24"/>
        </w:rPr>
      </w:pPr>
      <w:r>
        <w:rPr>
          <w:rFonts w:hint="eastAsia" w:ascii="仿宋_GB2312"/>
          <w:color w:val="auto"/>
          <w:sz w:val="24"/>
        </w:rPr>
        <w:t>年   月   日</w:t>
      </w:r>
    </w:p>
    <w:p w14:paraId="723D6FB9">
      <w:pPr>
        <w:spacing w:line="440" w:lineRule="atLeast"/>
        <w:rPr>
          <w:rFonts w:ascii="宋体"/>
          <w:color w:val="auto"/>
          <w:sz w:val="24"/>
        </w:rPr>
      </w:pPr>
    </w:p>
    <w:p w14:paraId="0C242BB1">
      <w:pPr>
        <w:pStyle w:val="51"/>
        <w:widowControl w:val="0"/>
        <w:spacing w:before="0" w:beforeAutospacing="0" w:after="0" w:afterAutospacing="0" w:line="440" w:lineRule="atLeast"/>
        <w:jc w:val="both"/>
        <w:rPr>
          <w:rFonts w:ascii="宋体" w:hAnsi="Times New Roman" w:eastAsia="宋体"/>
          <w:color w:val="auto"/>
          <w:kern w:val="2"/>
          <w:szCs w:val="20"/>
        </w:rPr>
      </w:pPr>
    </w:p>
    <w:p w14:paraId="0E75EF51">
      <w:pPr>
        <w:pStyle w:val="51"/>
        <w:widowControl w:val="0"/>
        <w:spacing w:before="0" w:beforeAutospacing="0" w:after="0" w:afterAutospacing="0" w:line="440" w:lineRule="atLeast"/>
        <w:rPr>
          <w:rFonts w:ascii="宋体" w:hAnsi="Times New Roman" w:eastAsia="宋体"/>
          <w:color w:val="auto"/>
          <w:kern w:val="2"/>
          <w:szCs w:val="20"/>
        </w:rPr>
      </w:pPr>
    </w:p>
    <w:p w14:paraId="25B43749">
      <w:pPr>
        <w:spacing w:line="440" w:lineRule="atLeast"/>
        <w:jc w:val="center"/>
        <w:rPr>
          <w:rFonts w:ascii="仿宋_GB2312"/>
          <w:b/>
          <w:color w:val="auto"/>
          <w:sz w:val="28"/>
        </w:rPr>
        <w:sectPr>
          <w:headerReference r:id="rId20" w:type="default"/>
          <w:footerReference r:id="rId21" w:type="default"/>
          <w:pgSz w:w="11907" w:h="16840"/>
          <w:pgMar w:top="1440" w:right="1080" w:bottom="1440" w:left="1310" w:header="1021" w:footer="1021" w:gutter="170"/>
          <w:pgNumType w:fmt="decimal"/>
          <w:cols w:space="720" w:num="1"/>
          <w:docGrid w:linePitch="271" w:charSpace="0"/>
        </w:sectPr>
      </w:pPr>
    </w:p>
    <w:p w14:paraId="03553084">
      <w:pPr>
        <w:spacing w:line="440" w:lineRule="atLeast"/>
        <w:jc w:val="center"/>
        <w:rPr>
          <w:rFonts w:ascii="仿宋_GB2312"/>
          <w:b/>
          <w:color w:val="auto"/>
          <w:sz w:val="28"/>
        </w:rPr>
      </w:pPr>
      <w:r>
        <w:rPr>
          <w:rFonts w:hint="eastAsia" w:ascii="仿宋_GB2312"/>
          <w:b/>
          <w:color w:val="auto"/>
          <w:sz w:val="28"/>
        </w:rPr>
        <w:t>五、响应报价汇总表</w:t>
      </w:r>
    </w:p>
    <w:p w14:paraId="32D4AA62">
      <w:pPr>
        <w:spacing w:line="360" w:lineRule="auto"/>
        <w:rPr>
          <w:rFonts w:ascii="宋体" w:hAnsi="宋体"/>
          <w:color w:val="auto"/>
          <w:sz w:val="24"/>
        </w:rPr>
      </w:pPr>
    </w:p>
    <w:p w14:paraId="50210552">
      <w:pPr>
        <w:spacing w:line="360" w:lineRule="auto"/>
        <w:jc w:val="left"/>
        <w:rPr>
          <w:rFonts w:ascii="宋体" w:hAnsi="宋体"/>
          <w:color w:val="auto"/>
          <w:sz w:val="24"/>
        </w:rPr>
      </w:pPr>
      <w:r>
        <w:rPr>
          <w:rFonts w:hint="eastAsia" w:ascii="宋体" w:hAnsi="宋体"/>
          <w:color w:val="auto"/>
          <w:sz w:val="24"/>
        </w:rPr>
        <w:t xml:space="preserve">项目名称：           </w:t>
      </w:r>
    </w:p>
    <w:p w14:paraId="0DA7E12C">
      <w:pPr>
        <w:spacing w:line="360" w:lineRule="auto"/>
        <w:jc w:val="left"/>
        <w:rPr>
          <w:rFonts w:ascii="宋体" w:hAnsi="宋体"/>
          <w:color w:val="auto"/>
          <w:sz w:val="24"/>
        </w:rPr>
      </w:pPr>
      <w:r>
        <w:rPr>
          <w:rFonts w:hint="eastAsia" w:ascii="宋体" w:hAnsi="宋体"/>
          <w:color w:val="auto"/>
          <w:sz w:val="24"/>
        </w:rPr>
        <w:t>单位：元</w:t>
      </w:r>
    </w:p>
    <w:tbl>
      <w:tblPr>
        <w:tblStyle w:val="42"/>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3544"/>
        <w:gridCol w:w="1984"/>
        <w:gridCol w:w="2127"/>
        <w:gridCol w:w="3118"/>
        <w:gridCol w:w="2835"/>
      </w:tblGrid>
      <w:tr w14:paraId="6341F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709" w:type="dxa"/>
            <w:vAlign w:val="center"/>
          </w:tcPr>
          <w:p w14:paraId="1AC175B4">
            <w:pPr>
              <w:jc w:val="center"/>
              <w:rPr>
                <w:rFonts w:ascii="宋体" w:hAnsi="宋体"/>
                <w:color w:val="auto"/>
                <w:sz w:val="24"/>
              </w:rPr>
            </w:pPr>
            <w:r>
              <w:rPr>
                <w:rFonts w:hint="eastAsia" w:ascii="宋体" w:hAnsi="宋体"/>
                <w:color w:val="auto"/>
                <w:sz w:val="24"/>
              </w:rPr>
              <w:t>序号</w:t>
            </w:r>
          </w:p>
        </w:tc>
        <w:tc>
          <w:tcPr>
            <w:tcW w:w="3544" w:type="dxa"/>
            <w:vAlign w:val="center"/>
          </w:tcPr>
          <w:p w14:paraId="4C2F115C">
            <w:pPr>
              <w:jc w:val="center"/>
              <w:rPr>
                <w:rFonts w:ascii="宋体" w:hAnsi="宋体"/>
                <w:color w:val="auto"/>
                <w:sz w:val="24"/>
              </w:rPr>
            </w:pPr>
            <w:r>
              <w:rPr>
                <w:rFonts w:hint="eastAsia" w:ascii="宋体" w:hAnsi="宋体"/>
                <w:color w:val="auto"/>
                <w:sz w:val="24"/>
              </w:rPr>
              <w:t>采购货物名称</w:t>
            </w:r>
          </w:p>
        </w:tc>
        <w:tc>
          <w:tcPr>
            <w:tcW w:w="1984" w:type="dxa"/>
            <w:vAlign w:val="center"/>
          </w:tcPr>
          <w:p w14:paraId="3118B344">
            <w:pPr>
              <w:jc w:val="center"/>
              <w:rPr>
                <w:rFonts w:ascii="宋体" w:hAnsi="宋体"/>
                <w:color w:val="auto"/>
                <w:sz w:val="24"/>
              </w:rPr>
            </w:pPr>
            <w:r>
              <w:rPr>
                <w:rFonts w:hint="eastAsia" w:ascii="宋体" w:hAnsi="宋体"/>
                <w:color w:val="auto"/>
                <w:sz w:val="24"/>
              </w:rPr>
              <w:t>单位</w:t>
            </w:r>
          </w:p>
        </w:tc>
        <w:tc>
          <w:tcPr>
            <w:tcW w:w="2127" w:type="dxa"/>
            <w:vAlign w:val="center"/>
          </w:tcPr>
          <w:p w14:paraId="25429503">
            <w:pPr>
              <w:jc w:val="center"/>
              <w:rPr>
                <w:rFonts w:ascii="宋体" w:hAnsi="宋体"/>
                <w:color w:val="auto"/>
                <w:sz w:val="24"/>
              </w:rPr>
            </w:pPr>
            <w:r>
              <w:rPr>
                <w:rFonts w:hint="eastAsia" w:ascii="宋体" w:hAnsi="宋体"/>
                <w:color w:val="auto"/>
                <w:sz w:val="24"/>
              </w:rPr>
              <w:t>数量</w:t>
            </w:r>
          </w:p>
        </w:tc>
        <w:tc>
          <w:tcPr>
            <w:tcW w:w="3118" w:type="dxa"/>
            <w:vAlign w:val="center"/>
          </w:tcPr>
          <w:p w14:paraId="75437794">
            <w:pPr>
              <w:jc w:val="center"/>
              <w:rPr>
                <w:rFonts w:ascii="宋体" w:hAnsi="宋体"/>
                <w:color w:val="auto"/>
                <w:sz w:val="24"/>
              </w:rPr>
            </w:pPr>
            <w:r>
              <w:rPr>
                <w:rFonts w:hint="eastAsia" w:ascii="宋体" w:hAnsi="宋体"/>
                <w:color w:val="auto"/>
                <w:sz w:val="24"/>
              </w:rPr>
              <w:t>响应单价</w:t>
            </w:r>
          </w:p>
        </w:tc>
        <w:tc>
          <w:tcPr>
            <w:tcW w:w="2835" w:type="dxa"/>
            <w:vAlign w:val="center"/>
          </w:tcPr>
          <w:p w14:paraId="264653A8">
            <w:pPr>
              <w:jc w:val="center"/>
              <w:rPr>
                <w:rFonts w:ascii="宋体" w:hAnsi="宋体"/>
                <w:color w:val="auto"/>
                <w:sz w:val="24"/>
              </w:rPr>
            </w:pPr>
            <w:r>
              <w:rPr>
                <w:rFonts w:hint="eastAsia" w:ascii="宋体" w:hAnsi="宋体"/>
                <w:color w:val="auto"/>
                <w:sz w:val="24"/>
              </w:rPr>
              <w:t>响应总价</w:t>
            </w:r>
          </w:p>
        </w:tc>
      </w:tr>
      <w:tr w14:paraId="73E47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709" w:type="dxa"/>
            <w:vAlign w:val="center"/>
          </w:tcPr>
          <w:p w14:paraId="7E08D368">
            <w:pPr>
              <w:jc w:val="center"/>
              <w:rPr>
                <w:rFonts w:ascii="宋体" w:hAnsi="宋体"/>
                <w:color w:val="auto"/>
                <w:sz w:val="24"/>
              </w:rPr>
            </w:pPr>
            <w:r>
              <w:rPr>
                <w:rFonts w:hint="eastAsia" w:ascii="宋体" w:hAnsi="宋体"/>
                <w:color w:val="auto"/>
                <w:sz w:val="24"/>
              </w:rPr>
              <w:t>1</w:t>
            </w:r>
          </w:p>
        </w:tc>
        <w:tc>
          <w:tcPr>
            <w:tcW w:w="3544" w:type="dxa"/>
            <w:vAlign w:val="center"/>
          </w:tcPr>
          <w:p w14:paraId="51E9C27E">
            <w:pPr>
              <w:jc w:val="center"/>
              <w:rPr>
                <w:rFonts w:ascii="宋体" w:hAnsi="宋体"/>
                <w:color w:val="auto"/>
                <w:sz w:val="24"/>
              </w:rPr>
            </w:pPr>
          </w:p>
        </w:tc>
        <w:tc>
          <w:tcPr>
            <w:tcW w:w="1984" w:type="dxa"/>
            <w:vAlign w:val="center"/>
          </w:tcPr>
          <w:p w14:paraId="4EC0E9BC">
            <w:pPr>
              <w:jc w:val="center"/>
              <w:rPr>
                <w:rFonts w:ascii="宋体" w:hAnsi="宋体"/>
                <w:color w:val="auto"/>
                <w:sz w:val="24"/>
              </w:rPr>
            </w:pPr>
          </w:p>
        </w:tc>
        <w:tc>
          <w:tcPr>
            <w:tcW w:w="2127" w:type="dxa"/>
            <w:vAlign w:val="center"/>
          </w:tcPr>
          <w:p w14:paraId="64BADC59">
            <w:pPr>
              <w:jc w:val="center"/>
              <w:rPr>
                <w:rFonts w:ascii="宋体" w:hAnsi="宋体"/>
                <w:color w:val="auto"/>
                <w:sz w:val="24"/>
              </w:rPr>
            </w:pPr>
          </w:p>
        </w:tc>
        <w:tc>
          <w:tcPr>
            <w:tcW w:w="3118" w:type="dxa"/>
            <w:vAlign w:val="center"/>
          </w:tcPr>
          <w:p w14:paraId="766491BB">
            <w:pPr>
              <w:jc w:val="center"/>
              <w:rPr>
                <w:rFonts w:ascii="宋体" w:hAnsi="宋体"/>
                <w:color w:val="auto"/>
                <w:sz w:val="24"/>
              </w:rPr>
            </w:pPr>
          </w:p>
        </w:tc>
        <w:tc>
          <w:tcPr>
            <w:tcW w:w="2835" w:type="dxa"/>
            <w:vAlign w:val="center"/>
          </w:tcPr>
          <w:p w14:paraId="5CF64F62">
            <w:pPr>
              <w:jc w:val="center"/>
              <w:rPr>
                <w:rFonts w:ascii="宋体" w:hAnsi="宋体"/>
                <w:color w:val="auto"/>
                <w:sz w:val="24"/>
              </w:rPr>
            </w:pPr>
          </w:p>
        </w:tc>
      </w:tr>
      <w:tr w14:paraId="0752C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709" w:type="dxa"/>
            <w:vAlign w:val="center"/>
          </w:tcPr>
          <w:p w14:paraId="47578C7C">
            <w:pPr>
              <w:jc w:val="center"/>
              <w:rPr>
                <w:rFonts w:ascii="宋体" w:hAnsi="宋体"/>
                <w:color w:val="auto"/>
                <w:sz w:val="24"/>
              </w:rPr>
            </w:pPr>
            <w:r>
              <w:rPr>
                <w:rFonts w:hint="eastAsia" w:ascii="宋体" w:hAnsi="宋体"/>
                <w:color w:val="auto"/>
                <w:sz w:val="24"/>
              </w:rPr>
              <w:t>2</w:t>
            </w:r>
          </w:p>
        </w:tc>
        <w:tc>
          <w:tcPr>
            <w:tcW w:w="3544" w:type="dxa"/>
            <w:vAlign w:val="center"/>
          </w:tcPr>
          <w:p w14:paraId="59AA38EF">
            <w:pPr>
              <w:jc w:val="center"/>
              <w:rPr>
                <w:rFonts w:ascii="宋体" w:hAnsi="宋体"/>
                <w:color w:val="auto"/>
                <w:sz w:val="24"/>
              </w:rPr>
            </w:pPr>
          </w:p>
        </w:tc>
        <w:tc>
          <w:tcPr>
            <w:tcW w:w="1984" w:type="dxa"/>
            <w:vAlign w:val="center"/>
          </w:tcPr>
          <w:p w14:paraId="0E59457F">
            <w:pPr>
              <w:jc w:val="center"/>
              <w:rPr>
                <w:rFonts w:ascii="宋体" w:hAnsi="宋体"/>
                <w:color w:val="auto"/>
                <w:sz w:val="24"/>
              </w:rPr>
            </w:pPr>
          </w:p>
        </w:tc>
        <w:tc>
          <w:tcPr>
            <w:tcW w:w="2127" w:type="dxa"/>
            <w:vAlign w:val="center"/>
          </w:tcPr>
          <w:p w14:paraId="7ADC04F6">
            <w:pPr>
              <w:jc w:val="center"/>
              <w:rPr>
                <w:rFonts w:ascii="宋体" w:hAnsi="宋体"/>
                <w:color w:val="auto"/>
                <w:sz w:val="24"/>
              </w:rPr>
            </w:pPr>
          </w:p>
        </w:tc>
        <w:tc>
          <w:tcPr>
            <w:tcW w:w="3118" w:type="dxa"/>
            <w:vAlign w:val="center"/>
          </w:tcPr>
          <w:p w14:paraId="0EC5AD3A">
            <w:pPr>
              <w:jc w:val="center"/>
              <w:rPr>
                <w:rFonts w:ascii="宋体" w:hAnsi="宋体"/>
                <w:color w:val="auto"/>
                <w:sz w:val="24"/>
              </w:rPr>
            </w:pPr>
          </w:p>
        </w:tc>
        <w:tc>
          <w:tcPr>
            <w:tcW w:w="2835" w:type="dxa"/>
            <w:vAlign w:val="center"/>
          </w:tcPr>
          <w:p w14:paraId="3597155F">
            <w:pPr>
              <w:jc w:val="center"/>
              <w:rPr>
                <w:rFonts w:ascii="宋体" w:hAnsi="宋体"/>
                <w:color w:val="auto"/>
                <w:sz w:val="24"/>
              </w:rPr>
            </w:pPr>
          </w:p>
        </w:tc>
      </w:tr>
      <w:tr w14:paraId="49F4E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709" w:type="dxa"/>
            <w:vAlign w:val="center"/>
          </w:tcPr>
          <w:p w14:paraId="129D6FC6">
            <w:pPr>
              <w:jc w:val="center"/>
              <w:rPr>
                <w:rFonts w:ascii="宋体" w:hAnsi="宋体"/>
                <w:color w:val="auto"/>
                <w:sz w:val="24"/>
              </w:rPr>
            </w:pPr>
            <w:r>
              <w:rPr>
                <w:rFonts w:hint="eastAsia" w:ascii="宋体" w:hAnsi="宋体"/>
                <w:color w:val="auto"/>
                <w:sz w:val="24"/>
              </w:rPr>
              <w:t>3</w:t>
            </w:r>
          </w:p>
        </w:tc>
        <w:tc>
          <w:tcPr>
            <w:tcW w:w="3544" w:type="dxa"/>
            <w:vAlign w:val="center"/>
          </w:tcPr>
          <w:p w14:paraId="7AA0C4AD">
            <w:pPr>
              <w:jc w:val="center"/>
              <w:rPr>
                <w:rFonts w:ascii="宋体" w:hAnsi="宋体"/>
                <w:color w:val="auto"/>
                <w:sz w:val="24"/>
              </w:rPr>
            </w:pPr>
          </w:p>
        </w:tc>
        <w:tc>
          <w:tcPr>
            <w:tcW w:w="1984" w:type="dxa"/>
            <w:vAlign w:val="center"/>
          </w:tcPr>
          <w:p w14:paraId="2DC72DCB">
            <w:pPr>
              <w:jc w:val="center"/>
              <w:rPr>
                <w:rFonts w:ascii="宋体" w:hAnsi="宋体"/>
                <w:color w:val="auto"/>
                <w:sz w:val="24"/>
              </w:rPr>
            </w:pPr>
          </w:p>
        </w:tc>
        <w:tc>
          <w:tcPr>
            <w:tcW w:w="2127" w:type="dxa"/>
            <w:vAlign w:val="center"/>
          </w:tcPr>
          <w:p w14:paraId="6FBD4FE6">
            <w:pPr>
              <w:jc w:val="center"/>
              <w:rPr>
                <w:rFonts w:ascii="宋体" w:hAnsi="宋体"/>
                <w:color w:val="auto"/>
                <w:sz w:val="24"/>
              </w:rPr>
            </w:pPr>
          </w:p>
        </w:tc>
        <w:tc>
          <w:tcPr>
            <w:tcW w:w="3118" w:type="dxa"/>
            <w:vAlign w:val="center"/>
          </w:tcPr>
          <w:p w14:paraId="1BF52739">
            <w:pPr>
              <w:jc w:val="center"/>
              <w:rPr>
                <w:rFonts w:ascii="宋体" w:hAnsi="宋体"/>
                <w:color w:val="auto"/>
                <w:sz w:val="24"/>
              </w:rPr>
            </w:pPr>
          </w:p>
        </w:tc>
        <w:tc>
          <w:tcPr>
            <w:tcW w:w="2835" w:type="dxa"/>
            <w:vAlign w:val="center"/>
          </w:tcPr>
          <w:p w14:paraId="56A5DB81">
            <w:pPr>
              <w:jc w:val="center"/>
              <w:rPr>
                <w:rFonts w:ascii="宋体" w:hAnsi="宋体"/>
                <w:color w:val="auto"/>
                <w:sz w:val="24"/>
              </w:rPr>
            </w:pPr>
          </w:p>
        </w:tc>
      </w:tr>
      <w:tr w14:paraId="58CA9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709" w:type="dxa"/>
            <w:vAlign w:val="center"/>
          </w:tcPr>
          <w:p w14:paraId="4E3DC0B0">
            <w:pPr>
              <w:jc w:val="center"/>
              <w:rPr>
                <w:rFonts w:ascii="宋体" w:hAnsi="宋体"/>
                <w:color w:val="auto"/>
                <w:sz w:val="24"/>
              </w:rPr>
            </w:pPr>
            <w:r>
              <w:rPr>
                <w:rFonts w:hint="eastAsia" w:ascii="宋体" w:hAnsi="宋体"/>
                <w:color w:val="auto"/>
                <w:sz w:val="24"/>
              </w:rPr>
              <w:t>…</w:t>
            </w:r>
          </w:p>
        </w:tc>
        <w:tc>
          <w:tcPr>
            <w:tcW w:w="3544" w:type="dxa"/>
            <w:vAlign w:val="center"/>
          </w:tcPr>
          <w:p w14:paraId="50BD4BE9">
            <w:pPr>
              <w:jc w:val="center"/>
              <w:rPr>
                <w:rFonts w:ascii="宋体" w:hAnsi="宋体"/>
                <w:color w:val="auto"/>
                <w:sz w:val="24"/>
              </w:rPr>
            </w:pPr>
          </w:p>
        </w:tc>
        <w:tc>
          <w:tcPr>
            <w:tcW w:w="1984" w:type="dxa"/>
            <w:vAlign w:val="center"/>
          </w:tcPr>
          <w:p w14:paraId="27BA6760">
            <w:pPr>
              <w:jc w:val="center"/>
              <w:rPr>
                <w:rFonts w:ascii="宋体" w:hAnsi="宋体"/>
                <w:color w:val="auto"/>
                <w:sz w:val="24"/>
              </w:rPr>
            </w:pPr>
          </w:p>
        </w:tc>
        <w:tc>
          <w:tcPr>
            <w:tcW w:w="2127" w:type="dxa"/>
            <w:vAlign w:val="center"/>
          </w:tcPr>
          <w:p w14:paraId="79F4D177">
            <w:pPr>
              <w:jc w:val="center"/>
              <w:rPr>
                <w:rFonts w:ascii="宋体" w:hAnsi="宋体"/>
                <w:color w:val="auto"/>
                <w:sz w:val="24"/>
              </w:rPr>
            </w:pPr>
          </w:p>
        </w:tc>
        <w:tc>
          <w:tcPr>
            <w:tcW w:w="3118" w:type="dxa"/>
            <w:vAlign w:val="center"/>
          </w:tcPr>
          <w:p w14:paraId="024556F2">
            <w:pPr>
              <w:jc w:val="center"/>
              <w:rPr>
                <w:rFonts w:ascii="宋体" w:hAnsi="宋体"/>
                <w:color w:val="auto"/>
                <w:sz w:val="24"/>
              </w:rPr>
            </w:pPr>
          </w:p>
        </w:tc>
        <w:tc>
          <w:tcPr>
            <w:tcW w:w="2835" w:type="dxa"/>
            <w:vAlign w:val="center"/>
          </w:tcPr>
          <w:p w14:paraId="7E8408E3">
            <w:pPr>
              <w:jc w:val="center"/>
              <w:rPr>
                <w:rFonts w:ascii="宋体" w:hAnsi="宋体"/>
                <w:color w:val="auto"/>
                <w:sz w:val="24"/>
              </w:rPr>
            </w:pPr>
          </w:p>
        </w:tc>
      </w:tr>
      <w:tr w14:paraId="1B5CF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4253" w:type="dxa"/>
            <w:gridSpan w:val="2"/>
            <w:vAlign w:val="center"/>
          </w:tcPr>
          <w:p w14:paraId="30E52E96">
            <w:pPr>
              <w:jc w:val="center"/>
              <w:rPr>
                <w:rFonts w:ascii="宋体" w:hAnsi="宋体"/>
                <w:color w:val="auto"/>
                <w:sz w:val="24"/>
              </w:rPr>
            </w:pPr>
            <w:r>
              <w:rPr>
                <w:rFonts w:hint="eastAsia" w:ascii="宋体" w:hAnsi="宋体"/>
                <w:color w:val="auto"/>
                <w:sz w:val="24"/>
              </w:rPr>
              <w:t>合计报价</w:t>
            </w:r>
          </w:p>
        </w:tc>
        <w:tc>
          <w:tcPr>
            <w:tcW w:w="10064" w:type="dxa"/>
            <w:gridSpan w:val="4"/>
            <w:vAlign w:val="center"/>
          </w:tcPr>
          <w:p w14:paraId="6DFDAB29">
            <w:pPr>
              <w:jc w:val="center"/>
              <w:rPr>
                <w:rFonts w:ascii="宋体" w:hAnsi="宋体"/>
                <w:color w:val="auto"/>
                <w:sz w:val="24"/>
              </w:rPr>
            </w:pPr>
          </w:p>
        </w:tc>
      </w:tr>
    </w:tbl>
    <w:p w14:paraId="737D2BD9">
      <w:pPr>
        <w:spacing w:line="440" w:lineRule="atLeast"/>
        <w:rPr>
          <w:rFonts w:ascii="仿宋_GB2312"/>
          <w:bCs/>
          <w:color w:val="auto"/>
          <w:sz w:val="24"/>
          <w:szCs w:val="20"/>
        </w:rPr>
      </w:pPr>
    </w:p>
    <w:p w14:paraId="57E63B98">
      <w:pPr>
        <w:spacing w:line="440" w:lineRule="atLeast"/>
        <w:rPr>
          <w:rFonts w:ascii="仿宋_GB2312"/>
          <w:bCs/>
          <w:color w:val="auto"/>
          <w:sz w:val="24"/>
          <w:szCs w:val="20"/>
        </w:rPr>
      </w:pPr>
    </w:p>
    <w:p w14:paraId="7252CD8E">
      <w:pPr>
        <w:spacing w:line="440" w:lineRule="atLeast"/>
        <w:rPr>
          <w:rFonts w:ascii="仿宋_GB2312"/>
          <w:bCs/>
          <w:color w:val="auto"/>
          <w:sz w:val="24"/>
          <w:szCs w:val="20"/>
        </w:rPr>
      </w:pPr>
      <w:r>
        <w:rPr>
          <w:rFonts w:hint="eastAsia" w:ascii="仿宋_GB2312"/>
          <w:bCs/>
          <w:color w:val="auto"/>
          <w:sz w:val="24"/>
          <w:szCs w:val="20"/>
        </w:rPr>
        <w:t>响应谈判供应商：（公章）</w:t>
      </w:r>
    </w:p>
    <w:p w14:paraId="44AA3B0F">
      <w:pPr>
        <w:spacing w:line="440" w:lineRule="atLeast"/>
        <w:rPr>
          <w:rFonts w:ascii="仿宋_GB2312"/>
          <w:bCs/>
          <w:color w:val="auto"/>
          <w:sz w:val="24"/>
          <w:szCs w:val="20"/>
        </w:rPr>
      </w:pPr>
    </w:p>
    <w:p w14:paraId="33F7DB6A">
      <w:pPr>
        <w:spacing w:line="440" w:lineRule="atLeast"/>
        <w:rPr>
          <w:rFonts w:ascii="仿宋_GB2312"/>
          <w:bCs/>
          <w:color w:val="auto"/>
          <w:sz w:val="24"/>
          <w:szCs w:val="20"/>
        </w:rPr>
      </w:pPr>
      <w:r>
        <w:rPr>
          <w:rFonts w:hint="eastAsia" w:ascii="仿宋_GB2312"/>
          <w:bCs/>
          <w:color w:val="auto"/>
          <w:sz w:val="24"/>
          <w:szCs w:val="20"/>
        </w:rPr>
        <w:t>法定代表人或被授权委托人：（签字或</w:t>
      </w:r>
      <w:r>
        <w:rPr>
          <w:rFonts w:ascii="仿宋_GB2312"/>
          <w:bCs/>
          <w:color w:val="auto"/>
          <w:sz w:val="24"/>
          <w:szCs w:val="20"/>
        </w:rPr>
        <w:t>盖章</w:t>
      </w:r>
      <w:r>
        <w:rPr>
          <w:rFonts w:hint="eastAsia" w:ascii="仿宋_GB2312"/>
          <w:bCs/>
          <w:color w:val="auto"/>
          <w:sz w:val="24"/>
          <w:szCs w:val="20"/>
        </w:rPr>
        <w:t xml:space="preserve">） </w:t>
      </w:r>
    </w:p>
    <w:p w14:paraId="5365C377">
      <w:pPr>
        <w:spacing w:line="440" w:lineRule="atLeast"/>
        <w:rPr>
          <w:rFonts w:ascii="仿宋_GB2312"/>
          <w:bCs/>
          <w:color w:val="auto"/>
          <w:sz w:val="24"/>
          <w:szCs w:val="20"/>
        </w:rPr>
      </w:pPr>
    </w:p>
    <w:p w14:paraId="3D0FD3DE">
      <w:pPr>
        <w:spacing w:line="440" w:lineRule="atLeast"/>
        <w:rPr>
          <w:rFonts w:ascii="仿宋_GB2312"/>
          <w:bCs/>
          <w:color w:val="auto"/>
          <w:sz w:val="24"/>
          <w:szCs w:val="20"/>
        </w:rPr>
      </w:pPr>
      <w:r>
        <w:rPr>
          <w:rFonts w:hint="eastAsia" w:ascii="仿宋_GB2312"/>
          <w:bCs/>
          <w:color w:val="auto"/>
          <w:sz w:val="24"/>
          <w:szCs w:val="20"/>
        </w:rPr>
        <w:t>日期：   年   月    日</w:t>
      </w:r>
    </w:p>
    <w:p w14:paraId="5F191201">
      <w:pPr>
        <w:pStyle w:val="51"/>
        <w:widowControl w:val="0"/>
        <w:spacing w:before="0" w:beforeAutospacing="0" w:after="0" w:afterAutospacing="0" w:line="440" w:lineRule="atLeast"/>
        <w:rPr>
          <w:rFonts w:ascii="宋体" w:hAnsi="Times New Roman" w:eastAsia="宋体"/>
          <w:color w:val="auto"/>
          <w:kern w:val="2"/>
          <w:szCs w:val="20"/>
        </w:rPr>
      </w:pPr>
    </w:p>
    <w:p w14:paraId="1C95B9B4">
      <w:pPr>
        <w:spacing w:line="440" w:lineRule="atLeast"/>
        <w:jc w:val="center"/>
        <w:rPr>
          <w:b/>
          <w:color w:val="auto"/>
          <w:sz w:val="24"/>
        </w:rPr>
        <w:sectPr>
          <w:pgSz w:w="16840" w:h="11907" w:orient="landscape"/>
          <w:pgMar w:top="1440" w:right="1310" w:bottom="1440" w:left="1310" w:header="1021" w:footer="1021" w:gutter="170"/>
          <w:pgNumType w:fmt="decimal"/>
          <w:cols w:space="720" w:num="1"/>
          <w:docGrid w:linePitch="271" w:charSpace="0"/>
        </w:sectPr>
      </w:pPr>
      <w:bookmarkStart w:id="26" w:name="_Hlk26283175"/>
    </w:p>
    <w:p w14:paraId="2FD1309C">
      <w:pPr>
        <w:spacing w:line="440" w:lineRule="atLeast"/>
        <w:jc w:val="center"/>
        <w:rPr>
          <w:rFonts w:ascii="仿宋_GB2312"/>
          <w:b/>
          <w:color w:val="auto"/>
          <w:sz w:val="28"/>
        </w:rPr>
      </w:pPr>
      <w:r>
        <w:rPr>
          <w:rFonts w:hint="eastAsia"/>
          <w:b/>
          <w:color w:val="auto"/>
          <w:sz w:val="24"/>
        </w:rPr>
        <w:t>六、</w:t>
      </w:r>
      <w:r>
        <w:rPr>
          <w:rFonts w:hint="eastAsia" w:ascii="仿宋_GB2312"/>
          <w:b/>
          <w:color w:val="auto"/>
          <w:sz w:val="28"/>
        </w:rPr>
        <w:t>响应报价明细表</w:t>
      </w:r>
    </w:p>
    <w:p w14:paraId="6E1FAF9C">
      <w:pPr>
        <w:spacing w:line="360" w:lineRule="auto"/>
        <w:ind w:left="1"/>
        <w:jc w:val="left"/>
        <w:rPr>
          <w:rFonts w:ascii="宋体" w:hAnsi="宋体"/>
          <w:color w:val="auto"/>
          <w:sz w:val="24"/>
        </w:rPr>
      </w:pPr>
    </w:p>
    <w:p w14:paraId="540BDA48">
      <w:pPr>
        <w:spacing w:line="360" w:lineRule="auto"/>
        <w:ind w:firstLine="360" w:firstLineChars="150"/>
        <w:rPr>
          <w:rFonts w:ascii="宋体" w:hAnsi="宋体"/>
          <w:color w:val="auto"/>
          <w:sz w:val="24"/>
        </w:rPr>
      </w:pPr>
      <w:r>
        <w:rPr>
          <w:rFonts w:hint="eastAsia" w:ascii="宋体" w:hAnsi="宋体"/>
          <w:color w:val="auto"/>
          <w:sz w:val="24"/>
        </w:rPr>
        <w:t>项目名称：                                                                                          单位：元</w:t>
      </w:r>
    </w:p>
    <w:tbl>
      <w:tblPr>
        <w:tblStyle w:val="42"/>
        <w:tblW w:w="138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2552"/>
        <w:gridCol w:w="1134"/>
        <w:gridCol w:w="1134"/>
        <w:gridCol w:w="2409"/>
        <w:gridCol w:w="1276"/>
        <w:gridCol w:w="1276"/>
        <w:gridCol w:w="1559"/>
        <w:gridCol w:w="1617"/>
      </w:tblGrid>
      <w:tr w14:paraId="2E1A3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938" w:type="dxa"/>
            <w:tcBorders>
              <w:top w:val="single" w:color="auto" w:sz="4" w:space="0"/>
              <w:left w:val="single" w:color="auto" w:sz="4" w:space="0"/>
              <w:right w:val="single" w:color="auto" w:sz="4" w:space="0"/>
            </w:tcBorders>
            <w:vAlign w:val="center"/>
          </w:tcPr>
          <w:p w14:paraId="05420B9C">
            <w:pPr>
              <w:widowControl/>
              <w:jc w:val="center"/>
              <w:rPr>
                <w:rFonts w:ascii="宋体" w:hAnsi="宋体" w:cs="宋体"/>
                <w:color w:val="auto"/>
                <w:kern w:val="0"/>
                <w:sz w:val="24"/>
              </w:rPr>
            </w:pPr>
            <w:r>
              <w:rPr>
                <w:rFonts w:hint="eastAsia" w:ascii="宋体" w:hAnsi="宋体" w:cs="宋体"/>
                <w:color w:val="auto"/>
                <w:kern w:val="0"/>
                <w:sz w:val="24"/>
              </w:rPr>
              <w:t>序号</w:t>
            </w:r>
          </w:p>
        </w:tc>
        <w:tc>
          <w:tcPr>
            <w:tcW w:w="2552" w:type="dxa"/>
            <w:tcBorders>
              <w:top w:val="single" w:color="auto" w:sz="4" w:space="0"/>
              <w:left w:val="single" w:color="auto" w:sz="4" w:space="0"/>
              <w:right w:val="single" w:color="auto" w:sz="4" w:space="0"/>
            </w:tcBorders>
            <w:vAlign w:val="center"/>
          </w:tcPr>
          <w:p w14:paraId="23E60B61">
            <w:pPr>
              <w:widowControl/>
              <w:jc w:val="center"/>
              <w:rPr>
                <w:rFonts w:ascii="宋体" w:hAnsi="宋体" w:cs="宋体"/>
                <w:color w:val="auto"/>
                <w:kern w:val="0"/>
                <w:sz w:val="24"/>
              </w:rPr>
            </w:pPr>
            <w:r>
              <w:rPr>
                <w:rFonts w:hint="eastAsia" w:ascii="宋体" w:hAnsi="宋体" w:cs="宋体"/>
                <w:color w:val="auto"/>
                <w:kern w:val="0"/>
                <w:sz w:val="24"/>
              </w:rPr>
              <w:t>采购货物名称</w:t>
            </w:r>
          </w:p>
        </w:tc>
        <w:tc>
          <w:tcPr>
            <w:tcW w:w="1134" w:type="dxa"/>
            <w:tcBorders>
              <w:top w:val="single" w:color="auto" w:sz="4" w:space="0"/>
              <w:left w:val="single" w:color="auto" w:sz="4" w:space="0"/>
              <w:right w:val="single" w:color="auto" w:sz="4" w:space="0"/>
            </w:tcBorders>
            <w:vAlign w:val="center"/>
          </w:tcPr>
          <w:p w14:paraId="121B3CA2">
            <w:pPr>
              <w:widowControl/>
              <w:jc w:val="center"/>
              <w:rPr>
                <w:rFonts w:ascii="宋体" w:hAnsi="宋体" w:cs="宋体"/>
                <w:color w:val="auto"/>
                <w:kern w:val="0"/>
                <w:sz w:val="24"/>
              </w:rPr>
            </w:pPr>
            <w:r>
              <w:rPr>
                <w:rFonts w:hint="eastAsia" w:ascii="宋体" w:hAnsi="宋体" w:cs="宋体"/>
                <w:color w:val="auto"/>
                <w:kern w:val="0"/>
                <w:sz w:val="24"/>
              </w:rPr>
              <w:t>报价货物品牌</w:t>
            </w:r>
          </w:p>
        </w:tc>
        <w:tc>
          <w:tcPr>
            <w:tcW w:w="1134" w:type="dxa"/>
            <w:tcBorders>
              <w:top w:val="single" w:color="auto" w:sz="4" w:space="0"/>
              <w:left w:val="single" w:color="auto" w:sz="4" w:space="0"/>
              <w:right w:val="single" w:color="auto" w:sz="4" w:space="0"/>
            </w:tcBorders>
            <w:vAlign w:val="center"/>
          </w:tcPr>
          <w:p w14:paraId="52D1B8B8">
            <w:pPr>
              <w:widowControl/>
              <w:jc w:val="center"/>
              <w:rPr>
                <w:rFonts w:ascii="宋体" w:hAnsi="宋体" w:cs="宋体"/>
                <w:color w:val="auto"/>
                <w:kern w:val="0"/>
                <w:sz w:val="24"/>
              </w:rPr>
            </w:pPr>
            <w:r>
              <w:rPr>
                <w:rFonts w:hint="eastAsia" w:ascii="宋体" w:hAnsi="宋体" w:cs="宋体"/>
                <w:color w:val="auto"/>
                <w:kern w:val="0"/>
                <w:sz w:val="24"/>
              </w:rPr>
              <w:t>报价货物型号</w:t>
            </w:r>
          </w:p>
        </w:tc>
        <w:tc>
          <w:tcPr>
            <w:tcW w:w="2409" w:type="dxa"/>
            <w:tcBorders>
              <w:top w:val="single" w:color="auto" w:sz="4" w:space="0"/>
              <w:left w:val="single" w:color="auto" w:sz="4" w:space="0"/>
              <w:right w:val="single" w:color="auto" w:sz="4" w:space="0"/>
            </w:tcBorders>
            <w:vAlign w:val="center"/>
          </w:tcPr>
          <w:p w14:paraId="3180A147">
            <w:pPr>
              <w:widowControl/>
              <w:jc w:val="center"/>
              <w:rPr>
                <w:rFonts w:ascii="宋体" w:hAnsi="宋体" w:cs="宋体"/>
                <w:color w:val="auto"/>
                <w:kern w:val="0"/>
                <w:sz w:val="24"/>
              </w:rPr>
            </w:pPr>
            <w:r>
              <w:rPr>
                <w:rFonts w:hint="eastAsia" w:ascii="宋体" w:hAnsi="宋体" w:cs="宋体"/>
                <w:color w:val="auto"/>
                <w:kern w:val="0"/>
                <w:sz w:val="24"/>
              </w:rPr>
              <w:t>报价货物技术参数</w:t>
            </w:r>
          </w:p>
        </w:tc>
        <w:tc>
          <w:tcPr>
            <w:tcW w:w="1276" w:type="dxa"/>
            <w:tcBorders>
              <w:top w:val="single" w:color="auto" w:sz="4" w:space="0"/>
              <w:left w:val="single" w:color="auto" w:sz="4" w:space="0"/>
              <w:right w:val="single" w:color="auto" w:sz="4" w:space="0"/>
            </w:tcBorders>
            <w:vAlign w:val="center"/>
          </w:tcPr>
          <w:p w14:paraId="6A4171FD">
            <w:pPr>
              <w:widowControl/>
              <w:jc w:val="center"/>
              <w:rPr>
                <w:rFonts w:ascii="宋体" w:hAnsi="宋体" w:cs="宋体"/>
                <w:color w:val="auto"/>
                <w:kern w:val="0"/>
                <w:sz w:val="24"/>
              </w:rPr>
            </w:pPr>
            <w:r>
              <w:rPr>
                <w:rFonts w:hint="eastAsia" w:ascii="宋体" w:hAnsi="宋体" w:cs="宋体"/>
                <w:color w:val="auto"/>
                <w:kern w:val="0"/>
                <w:sz w:val="24"/>
              </w:rPr>
              <w:t>单位</w:t>
            </w:r>
          </w:p>
        </w:tc>
        <w:tc>
          <w:tcPr>
            <w:tcW w:w="1276" w:type="dxa"/>
            <w:tcBorders>
              <w:top w:val="single" w:color="auto" w:sz="4" w:space="0"/>
              <w:left w:val="single" w:color="auto" w:sz="4" w:space="0"/>
              <w:bottom w:val="single" w:color="auto" w:sz="4" w:space="0"/>
              <w:right w:val="single" w:color="auto" w:sz="4" w:space="0"/>
            </w:tcBorders>
            <w:vAlign w:val="center"/>
          </w:tcPr>
          <w:p w14:paraId="115114D2">
            <w:pPr>
              <w:widowControl/>
              <w:jc w:val="center"/>
              <w:rPr>
                <w:rFonts w:ascii="宋体" w:hAnsi="宋体" w:cs="宋体"/>
                <w:color w:val="auto"/>
                <w:kern w:val="0"/>
                <w:sz w:val="24"/>
              </w:rPr>
            </w:pPr>
            <w:r>
              <w:rPr>
                <w:rFonts w:hint="eastAsia" w:ascii="宋体" w:hAnsi="宋体" w:cs="宋体"/>
                <w:color w:val="auto"/>
                <w:kern w:val="0"/>
                <w:sz w:val="24"/>
              </w:rPr>
              <w:t>数量</w:t>
            </w:r>
          </w:p>
        </w:tc>
        <w:tc>
          <w:tcPr>
            <w:tcW w:w="1559" w:type="dxa"/>
            <w:tcBorders>
              <w:top w:val="single" w:color="auto" w:sz="4" w:space="0"/>
              <w:left w:val="single" w:color="auto" w:sz="4" w:space="0"/>
              <w:bottom w:val="single" w:color="auto" w:sz="4" w:space="0"/>
              <w:right w:val="single" w:color="auto" w:sz="4" w:space="0"/>
            </w:tcBorders>
            <w:vAlign w:val="center"/>
          </w:tcPr>
          <w:p w14:paraId="0B82D3D0">
            <w:pPr>
              <w:widowControl/>
              <w:jc w:val="center"/>
              <w:rPr>
                <w:rFonts w:ascii="宋体" w:hAnsi="宋体" w:cs="宋体"/>
                <w:color w:val="auto"/>
                <w:kern w:val="0"/>
                <w:sz w:val="24"/>
              </w:rPr>
            </w:pPr>
            <w:r>
              <w:rPr>
                <w:rFonts w:hint="eastAsia" w:ascii="宋体" w:hAnsi="宋体" w:cs="宋体"/>
                <w:color w:val="auto"/>
                <w:kern w:val="0"/>
                <w:sz w:val="24"/>
              </w:rPr>
              <w:t>单价</w:t>
            </w:r>
          </w:p>
        </w:tc>
        <w:tc>
          <w:tcPr>
            <w:tcW w:w="1617" w:type="dxa"/>
            <w:tcBorders>
              <w:top w:val="single" w:color="auto" w:sz="4" w:space="0"/>
              <w:left w:val="single" w:color="auto" w:sz="4" w:space="0"/>
              <w:bottom w:val="single" w:color="auto" w:sz="4" w:space="0"/>
              <w:right w:val="single" w:color="auto" w:sz="4" w:space="0"/>
            </w:tcBorders>
            <w:vAlign w:val="center"/>
          </w:tcPr>
          <w:p w14:paraId="478F4CCC">
            <w:pPr>
              <w:widowControl/>
              <w:jc w:val="center"/>
              <w:rPr>
                <w:rFonts w:ascii="宋体" w:hAnsi="宋体" w:cs="宋体"/>
                <w:color w:val="auto"/>
                <w:kern w:val="0"/>
                <w:sz w:val="24"/>
              </w:rPr>
            </w:pPr>
            <w:r>
              <w:rPr>
                <w:rFonts w:hint="eastAsia" w:ascii="宋体" w:hAnsi="宋体" w:cs="宋体"/>
                <w:color w:val="auto"/>
                <w:kern w:val="0"/>
                <w:sz w:val="24"/>
              </w:rPr>
              <w:t>总价</w:t>
            </w:r>
          </w:p>
        </w:tc>
      </w:tr>
      <w:tr w14:paraId="37406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938" w:type="dxa"/>
            <w:tcBorders>
              <w:top w:val="single" w:color="auto" w:sz="4" w:space="0"/>
              <w:left w:val="single" w:color="auto" w:sz="4" w:space="0"/>
              <w:bottom w:val="single" w:color="auto" w:sz="4" w:space="0"/>
              <w:right w:val="single" w:color="auto" w:sz="4" w:space="0"/>
            </w:tcBorders>
            <w:vAlign w:val="center"/>
          </w:tcPr>
          <w:p w14:paraId="35C67CA2">
            <w:pPr>
              <w:widowControl/>
              <w:jc w:val="center"/>
              <w:rPr>
                <w:rFonts w:ascii="宋体" w:hAnsi="宋体" w:cs="宋体"/>
                <w:color w:val="auto"/>
                <w:kern w:val="0"/>
                <w:sz w:val="24"/>
              </w:rPr>
            </w:pPr>
            <w:r>
              <w:rPr>
                <w:rFonts w:hint="eastAsia" w:ascii="宋体" w:hAnsi="宋体" w:cs="宋体"/>
                <w:color w:val="auto"/>
                <w:kern w:val="0"/>
                <w:sz w:val="24"/>
              </w:rPr>
              <w:t>1</w:t>
            </w:r>
          </w:p>
        </w:tc>
        <w:tc>
          <w:tcPr>
            <w:tcW w:w="2552" w:type="dxa"/>
            <w:tcBorders>
              <w:top w:val="single" w:color="auto" w:sz="4" w:space="0"/>
              <w:left w:val="single" w:color="auto" w:sz="4" w:space="0"/>
              <w:bottom w:val="single" w:color="auto" w:sz="4" w:space="0"/>
              <w:right w:val="single" w:color="auto" w:sz="4" w:space="0"/>
            </w:tcBorders>
            <w:vAlign w:val="center"/>
          </w:tcPr>
          <w:p w14:paraId="21D07158">
            <w:pPr>
              <w:widowControl/>
              <w:jc w:val="left"/>
              <w:rPr>
                <w:rFonts w:ascii="宋体" w:hAnsi="宋体" w:cs="宋体"/>
                <w:color w:val="auto"/>
                <w:kern w:val="0"/>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5D073DD2">
            <w:pPr>
              <w:widowControl/>
              <w:jc w:val="left"/>
              <w:rPr>
                <w:rFonts w:ascii="宋体" w:hAnsi="宋体" w:cs="宋体"/>
                <w:color w:val="auto"/>
                <w:kern w:val="0"/>
                <w:sz w:val="24"/>
              </w:rPr>
            </w:pPr>
          </w:p>
        </w:tc>
        <w:tc>
          <w:tcPr>
            <w:tcW w:w="1134" w:type="dxa"/>
            <w:tcBorders>
              <w:top w:val="single" w:color="auto" w:sz="4" w:space="0"/>
              <w:left w:val="single" w:color="auto" w:sz="4" w:space="0"/>
              <w:bottom w:val="single" w:color="auto" w:sz="4" w:space="0"/>
              <w:right w:val="single" w:color="auto" w:sz="4" w:space="0"/>
            </w:tcBorders>
          </w:tcPr>
          <w:p w14:paraId="6CFB1132">
            <w:pPr>
              <w:widowControl/>
              <w:jc w:val="center"/>
              <w:rPr>
                <w:rFonts w:ascii="宋体" w:hAnsi="宋体" w:cs="宋体"/>
                <w:color w:val="auto"/>
                <w:kern w:val="0"/>
                <w:sz w:val="24"/>
              </w:rPr>
            </w:pPr>
          </w:p>
        </w:tc>
        <w:tc>
          <w:tcPr>
            <w:tcW w:w="2409" w:type="dxa"/>
            <w:tcBorders>
              <w:top w:val="single" w:color="auto" w:sz="4" w:space="0"/>
              <w:left w:val="single" w:color="auto" w:sz="4" w:space="0"/>
              <w:bottom w:val="single" w:color="auto" w:sz="4" w:space="0"/>
              <w:right w:val="single" w:color="auto" w:sz="4" w:space="0"/>
            </w:tcBorders>
          </w:tcPr>
          <w:p w14:paraId="4742DCA5">
            <w:pPr>
              <w:widowControl/>
              <w:jc w:val="center"/>
              <w:rPr>
                <w:rFonts w:ascii="宋体" w:hAnsi="宋体" w:cs="宋体"/>
                <w:color w:val="auto"/>
                <w:kern w:val="0"/>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67F7A71A">
            <w:pPr>
              <w:widowControl/>
              <w:jc w:val="center"/>
              <w:rPr>
                <w:rFonts w:ascii="宋体" w:hAnsi="宋体" w:cs="宋体"/>
                <w:color w:val="auto"/>
                <w:kern w:val="0"/>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4523C0A6">
            <w:pPr>
              <w:widowControl/>
              <w:jc w:val="center"/>
              <w:rPr>
                <w:rFonts w:ascii="宋体" w:hAnsi="宋体" w:cs="宋体"/>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58DACA69">
            <w:pPr>
              <w:widowControl/>
              <w:jc w:val="left"/>
              <w:rPr>
                <w:rFonts w:ascii="宋体" w:hAnsi="宋体" w:cs="宋体"/>
                <w:color w:val="auto"/>
                <w:kern w:val="0"/>
                <w:sz w:val="24"/>
              </w:rPr>
            </w:pPr>
          </w:p>
        </w:tc>
        <w:tc>
          <w:tcPr>
            <w:tcW w:w="1617" w:type="dxa"/>
            <w:tcBorders>
              <w:top w:val="single" w:color="auto" w:sz="4" w:space="0"/>
              <w:left w:val="single" w:color="auto" w:sz="4" w:space="0"/>
              <w:bottom w:val="single" w:color="auto" w:sz="4" w:space="0"/>
              <w:right w:val="single" w:color="auto" w:sz="4" w:space="0"/>
            </w:tcBorders>
            <w:vAlign w:val="center"/>
          </w:tcPr>
          <w:p w14:paraId="4E11042B">
            <w:pPr>
              <w:widowControl/>
              <w:jc w:val="left"/>
              <w:rPr>
                <w:rFonts w:ascii="宋体" w:hAnsi="宋体" w:cs="宋体"/>
                <w:color w:val="auto"/>
                <w:kern w:val="0"/>
                <w:sz w:val="24"/>
              </w:rPr>
            </w:pPr>
          </w:p>
        </w:tc>
      </w:tr>
      <w:tr w14:paraId="22815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938" w:type="dxa"/>
            <w:tcBorders>
              <w:top w:val="single" w:color="auto" w:sz="4" w:space="0"/>
              <w:left w:val="single" w:color="auto" w:sz="4" w:space="0"/>
              <w:bottom w:val="single" w:color="auto" w:sz="4" w:space="0"/>
              <w:right w:val="single" w:color="auto" w:sz="4" w:space="0"/>
            </w:tcBorders>
            <w:vAlign w:val="center"/>
          </w:tcPr>
          <w:p w14:paraId="3C87B478">
            <w:pPr>
              <w:widowControl/>
              <w:jc w:val="center"/>
              <w:rPr>
                <w:rFonts w:ascii="宋体" w:hAnsi="宋体" w:cs="宋体"/>
                <w:color w:val="auto"/>
                <w:kern w:val="0"/>
                <w:sz w:val="24"/>
              </w:rPr>
            </w:pPr>
            <w:r>
              <w:rPr>
                <w:rFonts w:hint="eastAsia" w:ascii="宋体" w:hAnsi="宋体" w:cs="宋体"/>
                <w:color w:val="auto"/>
                <w:kern w:val="0"/>
                <w:sz w:val="24"/>
              </w:rPr>
              <w:t>2</w:t>
            </w:r>
          </w:p>
        </w:tc>
        <w:tc>
          <w:tcPr>
            <w:tcW w:w="2552" w:type="dxa"/>
            <w:tcBorders>
              <w:top w:val="single" w:color="auto" w:sz="4" w:space="0"/>
              <w:left w:val="single" w:color="auto" w:sz="4" w:space="0"/>
              <w:bottom w:val="single" w:color="auto" w:sz="4" w:space="0"/>
              <w:right w:val="single" w:color="auto" w:sz="4" w:space="0"/>
            </w:tcBorders>
            <w:vAlign w:val="center"/>
          </w:tcPr>
          <w:p w14:paraId="24A521FF">
            <w:pPr>
              <w:widowControl/>
              <w:jc w:val="left"/>
              <w:rPr>
                <w:rFonts w:ascii="宋体" w:hAnsi="宋体" w:cs="宋体"/>
                <w:color w:val="auto"/>
                <w:kern w:val="0"/>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449458CC">
            <w:pPr>
              <w:widowControl/>
              <w:jc w:val="left"/>
              <w:rPr>
                <w:rFonts w:ascii="宋体" w:hAnsi="宋体" w:cs="宋体"/>
                <w:color w:val="auto"/>
                <w:kern w:val="0"/>
                <w:sz w:val="24"/>
              </w:rPr>
            </w:pPr>
          </w:p>
        </w:tc>
        <w:tc>
          <w:tcPr>
            <w:tcW w:w="1134" w:type="dxa"/>
            <w:tcBorders>
              <w:top w:val="single" w:color="auto" w:sz="4" w:space="0"/>
              <w:left w:val="single" w:color="auto" w:sz="4" w:space="0"/>
              <w:bottom w:val="single" w:color="auto" w:sz="4" w:space="0"/>
              <w:right w:val="single" w:color="auto" w:sz="4" w:space="0"/>
            </w:tcBorders>
          </w:tcPr>
          <w:p w14:paraId="78AC51BC">
            <w:pPr>
              <w:widowControl/>
              <w:jc w:val="center"/>
              <w:rPr>
                <w:rFonts w:ascii="宋体" w:hAnsi="宋体" w:cs="宋体"/>
                <w:color w:val="auto"/>
                <w:kern w:val="0"/>
                <w:sz w:val="24"/>
              </w:rPr>
            </w:pPr>
          </w:p>
        </w:tc>
        <w:tc>
          <w:tcPr>
            <w:tcW w:w="2409" w:type="dxa"/>
            <w:tcBorders>
              <w:top w:val="single" w:color="auto" w:sz="4" w:space="0"/>
              <w:left w:val="single" w:color="auto" w:sz="4" w:space="0"/>
              <w:bottom w:val="single" w:color="auto" w:sz="4" w:space="0"/>
              <w:right w:val="single" w:color="auto" w:sz="4" w:space="0"/>
            </w:tcBorders>
          </w:tcPr>
          <w:p w14:paraId="01131926">
            <w:pPr>
              <w:widowControl/>
              <w:jc w:val="center"/>
              <w:rPr>
                <w:rFonts w:ascii="宋体" w:hAnsi="宋体" w:cs="宋体"/>
                <w:color w:val="auto"/>
                <w:kern w:val="0"/>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15504520">
            <w:pPr>
              <w:widowControl/>
              <w:jc w:val="center"/>
              <w:rPr>
                <w:rFonts w:ascii="宋体" w:hAnsi="宋体" w:cs="宋体"/>
                <w:color w:val="auto"/>
                <w:kern w:val="0"/>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4E21FC67">
            <w:pPr>
              <w:widowControl/>
              <w:jc w:val="center"/>
              <w:rPr>
                <w:rFonts w:ascii="宋体" w:hAnsi="宋体" w:cs="宋体"/>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508517D6">
            <w:pPr>
              <w:widowControl/>
              <w:jc w:val="left"/>
              <w:rPr>
                <w:rFonts w:ascii="宋体" w:hAnsi="宋体" w:cs="宋体"/>
                <w:color w:val="auto"/>
                <w:kern w:val="0"/>
                <w:sz w:val="24"/>
              </w:rPr>
            </w:pPr>
          </w:p>
        </w:tc>
        <w:tc>
          <w:tcPr>
            <w:tcW w:w="1617" w:type="dxa"/>
            <w:tcBorders>
              <w:top w:val="single" w:color="auto" w:sz="4" w:space="0"/>
              <w:left w:val="single" w:color="auto" w:sz="4" w:space="0"/>
              <w:bottom w:val="single" w:color="auto" w:sz="4" w:space="0"/>
              <w:right w:val="single" w:color="auto" w:sz="4" w:space="0"/>
            </w:tcBorders>
            <w:vAlign w:val="center"/>
          </w:tcPr>
          <w:p w14:paraId="158BE82D">
            <w:pPr>
              <w:widowControl/>
              <w:jc w:val="left"/>
              <w:rPr>
                <w:rFonts w:ascii="宋体" w:hAnsi="宋体" w:cs="宋体"/>
                <w:color w:val="auto"/>
                <w:kern w:val="0"/>
                <w:sz w:val="24"/>
              </w:rPr>
            </w:pPr>
          </w:p>
        </w:tc>
      </w:tr>
      <w:tr w14:paraId="51C68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938" w:type="dxa"/>
            <w:tcBorders>
              <w:top w:val="single" w:color="auto" w:sz="4" w:space="0"/>
              <w:left w:val="single" w:color="auto" w:sz="4" w:space="0"/>
              <w:bottom w:val="single" w:color="auto" w:sz="4" w:space="0"/>
              <w:right w:val="single" w:color="auto" w:sz="4" w:space="0"/>
            </w:tcBorders>
            <w:vAlign w:val="center"/>
          </w:tcPr>
          <w:p w14:paraId="63A05B47">
            <w:pPr>
              <w:widowControl/>
              <w:jc w:val="center"/>
              <w:rPr>
                <w:rFonts w:ascii="宋体" w:hAnsi="宋体" w:cs="宋体"/>
                <w:color w:val="auto"/>
                <w:kern w:val="0"/>
                <w:sz w:val="24"/>
              </w:rPr>
            </w:pPr>
            <w:r>
              <w:rPr>
                <w:rFonts w:hint="eastAsia" w:ascii="宋体" w:hAnsi="宋体" w:cs="宋体"/>
                <w:color w:val="auto"/>
                <w:kern w:val="0"/>
                <w:sz w:val="24"/>
              </w:rPr>
              <w:t>3</w:t>
            </w:r>
          </w:p>
        </w:tc>
        <w:tc>
          <w:tcPr>
            <w:tcW w:w="2552" w:type="dxa"/>
            <w:tcBorders>
              <w:top w:val="single" w:color="auto" w:sz="4" w:space="0"/>
              <w:left w:val="single" w:color="auto" w:sz="4" w:space="0"/>
              <w:bottom w:val="single" w:color="auto" w:sz="4" w:space="0"/>
              <w:right w:val="single" w:color="auto" w:sz="4" w:space="0"/>
            </w:tcBorders>
            <w:vAlign w:val="center"/>
          </w:tcPr>
          <w:p w14:paraId="749EC299">
            <w:pPr>
              <w:widowControl/>
              <w:jc w:val="left"/>
              <w:rPr>
                <w:rFonts w:ascii="宋体" w:hAnsi="宋体" w:cs="宋体"/>
                <w:color w:val="auto"/>
                <w:kern w:val="0"/>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3CD437DE">
            <w:pPr>
              <w:widowControl/>
              <w:jc w:val="left"/>
              <w:rPr>
                <w:rFonts w:ascii="宋体" w:hAnsi="宋体" w:cs="宋体"/>
                <w:color w:val="auto"/>
                <w:kern w:val="0"/>
                <w:sz w:val="24"/>
              </w:rPr>
            </w:pPr>
          </w:p>
        </w:tc>
        <w:tc>
          <w:tcPr>
            <w:tcW w:w="1134" w:type="dxa"/>
            <w:tcBorders>
              <w:top w:val="single" w:color="auto" w:sz="4" w:space="0"/>
              <w:left w:val="single" w:color="auto" w:sz="4" w:space="0"/>
              <w:bottom w:val="single" w:color="auto" w:sz="4" w:space="0"/>
              <w:right w:val="single" w:color="auto" w:sz="4" w:space="0"/>
            </w:tcBorders>
          </w:tcPr>
          <w:p w14:paraId="5EC25C01">
            <w:pPr>
              <w:widowControl/>
              <w:jc w:val="center"/>
              <w:rPr>
                <w:rFonts w:ascii="宋体" w:hAnsi="宋体" w:cs="宋体"/>
                <w:color w:val="auto"/>
                <w:kern w:val="0"/>
                <w:sz w:val="24"/>
              </w:rPr>
            </w:pPr>
          </w:p>
        </w:tc>
        <w:tc>
          <w:tcPr>
            <w:tcW w:w="2409" w:type="dxa"/>
            <w:tcBorders>
              <w:top w:val="single" w:color="auto" w:sz="4" w:space="0"/>
              <w:left w:val="single" w:color="auto" w:sz="4" w:space="0"/>
              <w:bottom w:val="single" w:color="auto" w:sz="4" w:space="0"/>
              <w:right w:val="single" w:color="auto" w:sz="4" w:space="0"/>
            </w:tcBorders>
          </w:tcPr>
          <w:p w14:paraId="1A2E36CF">
            <w:pPr>
              <w:widowControl/>
              <w:jc w:val="center"/>
              <w:rPr>
                <w:rFonts w:ascii="宋体" w:hAnsi="宋体" w:cs="宋体"/>
                <w:color w:val="auto"/>
                <w:kern w:val="0"/>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1A199F41">
            <w:pPr>
              <w:widowControl/>
              <w:jc w:val="center"/>
              <w:rPr>
                <w:rFonts w:ascii="宋体" w:hAnsi="宋体" w:cs="宋体"/>
                <w:color w:val="auto"/>
                <w:kern w:val="0"/>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4732F880">
            <w:pPr>
              <w:widowControl/>
              <w:jc w:val="center"/>
              <w:rPr>
                <w:rFonts w:ascii="宋体" w:hAnsi="宋体" w:cs="宋体"/>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3677FC09">
            <w:pPr>
              <w:widowControl/>
              <w:jc w:val="left"/>
              <w:rPr>
                <w:rFonts w:ascii="宋体" w:hAnsi="宋体" w:cs="宋体"/>
                <w:color w:val="auto"/>
                <w:kern w:val="0"/>
                <w:sz w:val="24"/>
              </w:rPr>
            </w:pPr>
          </w:p>
        </w:tc>
        <w:tc>
          <w:tcPr>
            <w:tcW w:w="1617" w:type="dxa"/>
            <w:tcBorders>
              <w:top w:val="single" w:color="auto" w:sz="4" w:space="0"/>
              <w:left w:val="single" w:color="auto" w:sz="4" w:space="0"/>
              <w:bottom w:val="single" w:color="auto" w:sz="4" w:space="0"/>
              <w:right w:val="single" w:color="auto" w:sz="4" w:space="0"/>
            </w:tcBorders>
            <w:vAlign w:val="center"/>
          </w:tcPr>
          <w:p w14:paraId="42FD2C51">
            <w:pPr>
              <w:widowControl/>
              <w:jc w:val="left"/>
              <w:rPr>
                <w:rFonts w:ascii="宋体" w:hAnsi="宋体" w:cs="宋体"/>
                <w:color w:val="auto"/>
                <w:kern w:val="0"/>
                <w:sz w:val="24"/>
              </w:rPr>
            </w:pPr>
          </w:p>
        </w:tc>
      </w:tr>
      <w:tr w14:paraId="35B2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938" w:type="dxa"/>
            <w:tcBorders>
              <w:top w:val="single" w:color="auto" w:sz="4" w:space="0"/>
              <w:left w:val="single" w:color="auto" w:sz="4" w:space="0"/>
              <w:bottom w:val="single" w:color="auto" w:sz="4" w:space="0"/>
              <w:right w:val="single" w:color="auto" w:sz="4" w:space="0"/>
            </w:tcBorders>
            <w:vAlign w:val="center"/>
          </w:tcPr>
          <w:p w14:paraId="557ED167">
            <w:pPr>
              <w:widowControl/>
              <w:jc w:val="center"/>
              <w:rPr>
                <w:rFonts w:ascii="宋体" w:hAnsi="宋体" w:cs="宋体"/>
                <w:color w:val="auto"/>
                <w:kern w:val="0"/>
                <w:sz w:val="24"/>
              </w:rPr>
            </w:pPr>
            <w:r>
              <w:rPr>
                <w:rFonts w:ascii="宋体" w:hAnsi="宋体" w:cs="宋体"/>
                <w:color w:val="auto"/>
                <w:kern w:val="0"/>
                <w:sz w:val="24"/>
              </w:rPr>
              <w:t>…</w:t>
            </w:r>
          </w:p>
        </w:tc>
        <w:tc>
          <w:tcPr>
            <w:tcW w:w="2552" w:type="dxa"/>
            <w:tcBorders>
              <w:top w:val="single" w:color="auto" w:sz="4" w:space="0"/>
              <w:left w:val="single" w:color="auto" w:sz="4" w:space="0"/>
              <w:bottom w:val="single" w:color="auto" w:sz="4" w:space="0"/>
              <w:right w:val="single" w:color="auto" w:sz="4" w:space="0"/>
            </w:tcBorders>
            <w:vAlign w:val="center"/>
          </w:tcPr>
          <w:p w14:paraId="56F0878D">
            <w:pPr>
              <w:widowControl/>
              <w:jc w:val="left"/>
              <w:rPr>
                <w:rFonts w:ascii="宋体" w:hAnsi="宋体" w:cs="宋体"/>
                <w:color w:val="auto"/>
                <w:kern w:val="0"/>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75410997">
            <w:pPr>
              <w:widowControl/>
              <w:jc w:val="left"/>
              <w:rPr>
                <w:rFonts w:ascii="宋体" w:hAnsi="宋体" w:cs="宋体"/>
                <w:color w:val="auto"/>
                <w:kern w:val="0"/>
                <w:sz w:val="24"/>
              </w:rPr>
            </w:pPr>
          </w:p>
        </w:tc>
        <w:tc>
          <w:tcPr>
            <w:tcW w:w="1134" w:type="dxa"/>
            <w:tcBorders>
              <w:top w:val="single" w:color="auto" w:sz="4" w:space="0"/>
              <w:left w:val="single" w:color="auto" w:sz="4" w:space="0"/>
              <w:bottom w:val="single" w:color="auto" w:sz="4" w:space="0"/>
              <w:right w:val="single" w:color="auto" w:sz="4" w:space="0"/>
            </w:tcBorders>
          </w:tcPr>
          <w:p w14:paraId="5C7E72EA">
            <w:pPr>
              <w:widowControl/>
              <w:jc w:val="center"/>
              <w:rPr>
                <w:rFonts w:ascii="宋体" w:hAnsi="宋体" w:cs="宋体"/>
                <w:color w:val="auto"/>
                <w:kern w:val="0"/>
                <w:sz w:val="24"/>
              </w:rPr>
            </w:pPr>
          </w:p>
        </w:tc>
        <w:tc>
          <w:tcPr>
            <w:tcW w:w="2409" w:type="dxa"/>
            <w:tcBorders>
              <w:top w:val="single" w:color="auto" w:sz="4" w:space="0"/>
              <w:left w:val="single" w:color="auto" w:sz="4" w:space="0"/>
              <w:bottom w:val="single" w:color="auto" w:sz="4" w:space="0"/>
              <w:right w:val="single" w:color="auto" w:sz="4" w:space="0"/>
            </w:tcBorders>
          </w:tcPr>
          <w:p w14:paraId="0E39CEAD">
            <w:pPr>
              <w:widowControl/>
              <w:jc w:val="center"/>
              <w:rPr>
                <w:rFonts w:ascii="宋体" w:hAnsi="宋体" w:cs="宋体"/>
                <w:color w:val="auto"/>
                <w:kern w:val="0"/>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53B879F9">
            <w:pPr>
              <w:widowControl/>
              <w:jc w:val="center"/>
              <w:rPr>
                <w:rFonts w:ascii="宋体" w:hAnsi="宋体" w:cs="宋体"/>
                <w:color w:val="auto"/>
                <w:kern w:val="0"/>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06BF59AE">
            <w:pPr>
              <w:widowControl/>
              <w:jc w:val="center"/>
              <w:rPr>
                <w:rFonts w:ascii="宋体" w:hAnsi="宋体" w:cs="宋体"/>
                <w:color w:val="auto"/>
                <w:kern w:val="0"/>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124E9CEA">
            <w:pPr>
              <w:widowControl/>
              <w:jc w:val="left"/>
              <w:rPr>
                <w:rFonts w:ascii="宋体" w:hAnsi="宋体" w:cs="宋体"/>
                <w:color w:val="auto"/>
                <w:kern w:val="0"/>
                <w:sz w:val="24"/>
              </w:rPr>
            </w:pPr>
          </w:p>
        </w:tc>
        <w:tc>
          <w:tcPr>
            <w:tcW w:w="1617" w:type="dxa"/>
            <w:tcBorders>
              <w:top w:val="single" w:color="auto" w:sz="4" w:space="0"/>
              <w:left w:val="single" w:color="auto" w:sz="4" w:space="0"/>
              <w:bottom w:val="single" w:color="auto" w:sz="4" w:space="0"/>
              <w:right w:val="single" w:color="auto" w:sz="4" w:space="0"/>
            </w:tcBorders>
            <w:vAlign w:val="center"/>
          </w:tcPr>
          <w:p w14:paraId="08486DC4">
            <w:pPr>
              <w:widowControl/>
              <w:jc w:val="left"/>
              <w:rPr>
                <w:rFonts w:ascii="宋体" w:hAnsi="宋体" w:cs="宋体"/>
                <w:color w:val="auto"/>
                <w:kern w:val="0"/>
                <w:sz w:val="24"/>
              </w:rPr>
            </w:pPr>
          </w:p>
        </w:tc>
      </w:tr>
      <w:tr w14:paraId="2E209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3490" w:type="dxa"/>
            <w:gridSpan w:val="2"/>
            <w:tcBorders>
              <w:top w:val="single" w:color="auto" w:sz="4" w:space="0"/>
              <w:left w:val="single" w:color="auto" w:sz="4" w:space="0"/>
              <w:bottom w:val="single" w:color="auto" w:sz="4" w:space="0"/>
              <w:right w:val="single" w:color="auto" w:sz="4" w:space="0"/>
            </w:tcBorders>
            <w:vAlign w:val="center"/>
          </w:tcPr>
          <w:p w14:paraId="75F94EE8">
            <w:pPr>
              <w:widowControl/>
              <w:jc w:val="left"/>
              <w:rPr>
                <w:rFonts w:ascii="宋体" w:hAnsi="宋体" w:cs="宋体"/>
                <w:color w:val="auto"/>
                <w:kern w:val="0"/>
                <w:sz w:val="24"/>
              </w:rPr>
            </w:pPr>
            <w:r>
              <w:rPr>
                <w:rFonts w:hint="eastAsia" w:ascii="宋体" w:hAnsi="宋体" w:cs="宋体"/>
                <w:color w:val="auto"/>
                <w:kern w:val="0"/>
                <w:sz w:val="24"/>
              </w:rPr>
              <w:t>合计报价：</w:t>
            </w:r>
          </w:p>
        </w:tc>
        <w:tc>
          <w:tcPr>
            <w:tcW w:w="10405" w:type="dxa"/>
            <w:gridSpan w:val="7"/>
            <w:tcBorders>
              <w:top w:val="single" w:color="auto" w:sz="4" w:space="0"/>
              <w:left w:val="single" w:color="auto" w:sz="4" w:space="0"/>
              <w:bottom w:val="single" w:color="auto" w:sz="4" w:space="0"/>
              <w:right w:val="single" w:color="auto" w:sz="4" w:space="0"/>
            </w:tcBorders>
            <w:vAlign w:val="center"/>
          </w:tcPr>
          <w:p w14:paraId="1A049A49">
            <w:pPr>
              <w:widowControl/>
              <w:jc w:val="left"/>
              <w:rPr>
                <w:rFonts w:ascii="宋体" w:hAnsi="宋体" w:cs="宋体"/>
                <w:color w:val="auto"/>
                <w:kern w:val="0"/>
                <w:sz w:val="24"/>
              </w:rPr>
            </w:pPr>
          </w:p>
        </w:tc>
      </w:tr>
    </w:tbl>
    <w:p w14:paraId="59938EEE">
      <w:pPr>
        <w:spacing w:line="440" w:lineRule="atLeast"/>
        <w:rPr>
          <w:rFonts w:hint="eastAsia" w:ascii="仿宋_GB2312"/>
          <w:bCs/>
          <w:color w:val="auto"/>
          <w:sz w:val="24"/>
          <w:szCs w:val="20"/>
        </w:rPr>
      </w:pPr>
    </w:p>
    <w:p w14:paraId="1DD3F8AE">
      <w:pPr>
        <w:spacing w:line="440" w:lineRule="atLeast"/>
        <w:ind w:firstLine="240" w:firstLineChars="100"/>
        <w:rPr>
          <w:rFonts w:ascii="仿宋_GB2312"/>
          <w:bCs/>
          <w:color w:val="auto"/>
          <w:sz w:val="24"/>
          <w:szCs w:val="20"/>
        </w:rPr>
      </w:pPr>
      <w:r>
        <w:rPr>
          <w:rFonts w:hint="eastAsia" w:ascii="仿宋_GB2312"/>
          <w:bCs/>
          <w:color w:val="auto"/>
          <w:sz w:val="24"/>
          <w:szCs w:val="20"/>
        </w:rPr>
        <w:t>响应谈判供应商：（公章）</w:t>
      </w:r>
    </w:p>
    <w:p w14:paraId="7B81C2BF">
      <w:pPr>
        <w:spacing w:line="440" w:lineRule="atLeast"/>
        <w:rPr>
          <w:rFonts w:ascii="仿宋_GB2312"/>
          <w:bCs/>
          <w:color w:val="auto"/>
          <w:sz w:val="24"/>
          <w:szCs w:val="20"/>
        </w:rPr>
      </w:pPr>
    </w:p>
    <w:p w14:paraId="6040D2FA">
      <w:pPr>
        <w:spacing w:line="440" w:lineRule="atLeast"/>
        <w:ind w:firstLine="240" w:firstLineChars="100"/>
        <w:rPr>
          <w:rFonts w:ascii="仿宋_GB2312"/>
          <w:bCs/>
          <w:color w:val="auto"/>
          <w:sz w:val="24"/>
          <w:szCs w:val="20"/>
        </w:rPr>
      </w:pPr>
      <w:r>
        <w:rPr>
          <w:rFonts w:hint="eastAsia" w:ascii="仿宋_GB2312"/>
          <w:bCs/>
          <w:color w:val="auto"/>
          <w:sz w:val="24"/>
          <w:szCs w:val="20"/>
        </w:rPr>
        <w:t>法定代表人或被授权委托人：（签字或</w:t>
      </w:r>
      <w:r>
        <w:rPr>
          <w:rFonts w:ascii="仿宋_GB2312"/>
          <w:bCs/>
          <w:color w:val="auto"/>
          <w:sz w:val="24"/>
          <w:szCs w:val="20"/>
        </w:rPr>
        <w:t>盖章</w:t>
      </w:r>
      <w:r>
        <w:rPr>
          <w:rFonts w:hint="eastAsia" w:ascii="仿宋_GB2312"/>
          <w:bCs/>
          <w:color w:val="auto"/>
          <w:sz w:val="24"/>
          <w:szCs w:val="20"/>
        </w:rPr>
        <w:t xml:space="preserve">） </w:t>
      </w:r>
    </w:p>
    <w:p w14:paraId="5269FEB7">
      <w:pPr>
        <w:spacing w:line="440" w:lineRule="atLeast"/>
        <w:rPr>
          <w:rFonts w:ascii="仿宋_GB2312"/>
          <w:bCs/>
          <w:color w:val="auto"/>
          <w:sz w:val="24"/>
          <w:szCs w:val="20"/>
        </w:rPr>
      </w:pPr>
    </w:p>
    <w:p w14:paraId="624E62EB">
      <w:pPr>
        <w:spacing w:line="440" w:lineRule="atLeast"/>
        <w:ind w:firstLine="240" w:firstLineChars="100"/>
        <w:rPr>
          <w:rFonts w:ascii="仿宋_GB2312"/>
          <w:bCs/>
          <w:color w:val="auto"/>
          <w:sz w:val="24"/>
          <w:szCs w:val="20"/>
        </w:rPr>
      </w:pPr>
      <w:r>
        <w:rPr>
          <w:rFonts w:hint="eastAsia" w:ascii="仿宋_GB2312"/>
          <w:bCs/>
          <w:color w:val="auto"/>
          <w:sz w:val="24"/>
          <w:szCs w:val="20"/>
        </w:rPr>
        <w:t>日期：   年   月    日</w:t>
      </w:r>
    </w:p>
    <w:p w14:paraId="6EB1DDC8">
      <w:pPr>
        <w:spacing w:line="440" w:lineRule="atLeast"/>
        <w:rPr>
          <w:b/>
          <w:color w:val="auto"/>
          <w:sz w:val="24"/>
        </w:rPr>
        <w:sectPr>
          <w:pgSz w:w="16840" w:h="11907" w:orient="landscape"/>
          <w:pgMar w:top="1418" w:right="1134" w:bottom="1134" w:left="1134" w:header="1021" w:footer="1021" w:gutter="170"/>
          <w:pgNumType w:fmt="decimal"/>
          <w:cols w:space="720" w:num="1"/>
          <w:docGrid w:linePitch="271" w:charSpace="0"/>
        </w:sectPr>
      </w:pPr>
    </w:p>
    <w:p w14:paraId="5A46700A">
      <w:pPr>
        <w:jc w:val="center"/>
        <w:rPr>
          <w:rFonts w:hint="eastAsia" w:ascii="仿宋_GB2312" w:hAnsi="Times New Roman" w:cs="Times New Roman"/>
          <w:b/>
          <w:color w:val="auto"/>
          <w:sz w:val="28"/>
        </w:rPr>
      </w:pPr>
      <w:r>
        <w:rPr>
          <w:rFonts w:hint="eastAsia" w:ascii="仿宋_GB2312" w:hAnsi="Times New Roman" w:cs="Times New Roman"/>
          <w:b/>
          <w:color w:val="auto"/>
          <w:sz w:val="28"/>
        </w:rPr>
        <w:t>七、</w:t>
      </w:r>
      <w:bookmarkEnd w:id="26"/>
      <w:r>
        <w:rPr>
          <w:rFonts w:hint="eastAsia" w:ascii="仿宋_GB2312" w:hAnsi="Times New Roman" w:cs="Times New Roman"/>
          <w:b/>
          <w:color w:val="auto"/>
          <w:sz w:val="28"/>
        </w:rPr>
        <w:t>资格条件承诺函</w:t>
      </w:r>
    </w:p>
    <w:p w14:paraId="7C71F0C2">
      <w:pPr>
        <w:rPr>
          <w:color w:val="auto"/>
        </w:rPr>
      </w:pPr>
    </w:p>
    <w:p w14:paraId="19841B9C">
      <w:pPr>
        <w:rPr>
          <w:color w:val="auto"/>
        </w:rPr>
      </w:pPr>
    </w:p>
    <w:p w14:paraId="16F993FE">
      <w:pPr>
        <w:spacing w:line="360" w:lineRule="auto"/>
        <w:rPr>
          <w:color w:val="auto"/>
          <w:sz w:val="24"/>
          <w:szCs w:val="22"/>
          <w:u w:val="single"/>
        </w:rPr>
      </w:pPr>
      <w:r>
        <w:rPr>
          <w:rFonts w:hint="eastAsia"/>
          <w:color w:val="auto"/>
          <w:sz w:val="24"/>
          <w:szCs w:val="22"/>
        </w:rPr>
        <w:t>致：</w:t>
      </w:r>
      <w:r>
        <w:rPr>
          <w:rFonts w:hint="eastAsia"/>
          <w:color w:val="auto"/>
          <w:sz w:val="24"/>
          <w:szCs w:val="22"/>
          <w:u w:val="single"/>
        </w:rPr>
        <w:t xml:space="preserve"> （采购人、采购代理机构） </w:t>
      </w:r>
    </w:p>
    <w:p w14:paraId="53094899">
      <w:pPr>
        <w:spacing w:line="360" w:lineRule="auto"/>
        <w:ind w:firstLine="480" w:firstLineChars="200"/>
        <w:rPr>
          <w:color w:val="auto"/>
          <w:sz w:val="24"/>
          <w:szCs w:val="22"/>
        </w:rPr>
      </w:pPr>
      <w:r>
        <w:rPr>
          <w:rFonts w:hint="eastAsia"/>
          <w:color w:val="auto"/>
          <w:sz w:val="24"/>
          <w:szCs w:val="22"/>
        </w:rPr>
        <w:t>我单位（公司）参与</w:t>
      </w:r>
      <w:r>
        <w:rPr>
          <w:rFonts w:hint="eastAsia"/>
          <w:color w:val="auto"/>
          <w:sz w:val="24"/>
          <w:szCs w:val="22"/>
          <w:u w:val="single"/>
        </w:rPr>
        <w:t xml:space="preserve"> （采购项目名称</w:t>
      </w:r>
      <w:r>
        <w:rPr>
          <w:rFonts w:hint="eastAsia"/>
          <w:color w:val="auto"/>
          <w:sz w:val="24"/>
          <w:szCs w:val="22"/>
          <w:u w:val="single"/>
        </w:rPr>
        <w:tab/>
      </w:r>
      <w:r>
        <w:rPr>
          <w:rFonts w:hint="eastAsia"/>
          <w:color w:val="auto"/>
          <w:sz w:val="24"/>
          <w:szCs w:val="22"/>
          <w:u w:val="single"/>
        </w:rPr>
        <w:t xml:space="preserve">项目编号） </w:t>
      </w:r>
      <w:r>
        <w:rPr>
          <w:rFonts w:hint="eastAsia"/>
          <w:color w:val="auto"/>
          <w:sz w:val="24"/>
          <w:szCs w:val="22"/>
        </w:rPr>
        <w:t>采购项目的政府采购活动，现承诺如下：</w:t>
      </w:r>
    </w:p>
    <w:p w14:paraId="233B724D">
      <w:pPr>
        <w:pStyle w:val="71"/>
        <w:numPr>
          <w:ilvl w:val="0"/>
          <w:numId w:val="0"/>
        </w:numPr>
        <w:spacing w:line="360" w:lineRule="auto"/>
        <w:ind w:leftChars="200"/>
        <w:rPr>
          <w:rFonts w:hint="eastAsia" w:ascii="宋体" w:hAnsi="宋体" w:eastAsia="宋体" w:cs="宋体"/>
          <w:color w:val="auto"/>
          <w:sz w:val="24"/>
          <w:szCs w:val="21"/>
        </w:rPr>
      </w:pPr>
      <w:r>
        <w:rPr>
          <w:rFonts w:hint="eastAsia" w:ascii="宋体" w:hAnsi="宋体" w:eastAsia="宋体" w:cs="宋体"/>
          <w:color w:val="auto"/>
          <w:sz w:val="24"/>
          <w:szCs w:val="21"/>
          <w:lang w:val="en-US" w:eastAsia="zh-CN"/>
        </w:rPr>
        <w:t>1.</w:t>
      </w:r>
      <w:r>
        <w:rPr>
          <w:rFonts w:hint="eastAsia" w:ascii="宋体" w:hAnsi="宋体" w:eastAsia="宋体" w:cs="宋体"/>
          <w:color w:val="auto"/>
          <w:sz w:val="24"/>
          <w:szCs w:val="21"/>
        </w:rPr>
        <w:t>具有良好的商业信誉和健全的财务会计制度；</w:t>
      </w:r>
    </w:p>
    <w:p w14:paraId="2E772E0C">
      <w:pPr>
        <w:pStyle w:val="71"/>
        <w:numPr>
          <w:ilvl w:val="0"/>
          <w:numId w:val="0"/>
        </w:numPr>
        <w:spacing w:line="360" w:lineRule="auto"/>
        <w:ind w:leftChars="200"/>
        <w:rPr>
          <w:rFonts w:hint="eastAsia" w:ascii="宋体" w:hAnsi="宋体" w:eastAsia="宋体" w:cs="宋体"/>
          <w:color w:val="auto"/>
          <w:sz w:val="24"/>
          <w:szCs w:val="21"/>
        </w:rPr>
      </w:pPr>
      <w:r>
        <w:rPr>
          <w:rFonts w:hint="eastAsia" w:ascii="宋体" w:hAnsi="宋体" w:eastAsia="宋体" w:cs="宋体"/>
          <w:color w:val="auto"/>
          <w:sz w:val="24"/>
          <w:szCs w:val="21"/>
          <w:lang w:val="en-US" w:eastAsia="zh-CN"/>
        </w:rPr>
        <w:t>2.</w:t>
      </w:r>
      <w:r>
        <w:rPr>
          <w:rFonts w:hint="eastAsia" w:ascii="宋体" w:hAnsi="宋体" w:eastAsia="宋体" w:cs="宋体"/>
          <w:color w:val="auto"/>
          <w:sz w:val="24"/>
          <w:szCs w:val="21"/>
        </w:rPr>
        <w:t>具有依法缴纳税收的良好记录；</w:t>
      </w:r>
    </w:p>
    <w:p w14:paraId="2226BC7F">
      <w:pPr>
        <w:pStyle w:val="71"/>
        <w:numPr>
          <w:ilvl w:val="0"/>
          <w:numId w:val="0"/>
        </w:numPr>
        <w:spacing w:line="360" w:lineRule="auto"/>
        <w:ind w:leftChars="200"/>
        <w:rPr>
          <w:rFonts w:hint="eastAsia" w:ascii="宋体" w:hAnsi="宋体" w:eastAsia="宋体" w:cs="宋体"/>
          <w:color w:val="auto"/>
          <w:sz w:val="24"/>
          <w:szCs w:val="21"/>
        </w:rPr>
      </w:pPr>
      <w:r>
        <w:rPr>
          <w:rFonts w:hint="eastAsia" w:ascii="宋体" w:hAnsi="宋体" w:eastAsia="宋体" w:cs="宋体"/>
          <w:color w:val="auto"/>
          <w:sz w:val="24"/>
          <w:szCs w:val="21"/>
          <w:lang w:val="en-US" w:eastAsia="zh-CN"/>
        </w:rPr>
        <w:t>3.</w:t>
      </w:r>
      <w:r>
        <w:rPr>
          <w:rFonts w:hint="eastAsia" w:ascii="宋体" w:hAnsi="宋体" w:eastAsia="宋体" w:cs="宋体"/>
          <w:color w:val="auto"/>
          <w:sz w:val="24"/>
          <w:szCs w:val="21"/>
        </w:rPr>
        <w:t>具有依法缴纳社会保障金的良好记录。</w:t>
      </w:r>
    </w:p>
    <w:p w14:paraId="1F0248EA">
      <w:pPr>
        <w:spacing w:line="360" w:lineRule="auto"/>
        <w:ind w:firstLine="480" w:firstLineChars="200"/>
        <w:rPr>
          <w:color w:val="auto"/>
          <w:sz w:val="24"/>
          <w:szCs w:val="22"/>
        </w:rPr>
      </w:pPr>
      <w:r>
        <w:rPr>
          <w:rFonts w:hint="eastAsia"/>
          <w:color w:val="auto"/>
          <w:sz w:val="24"/>
          <w:szCs w:val="22"/>
        </w:rPr>
        <w:t>我方在采购项目评审（评标）环节结束后，随时接受采购人、采购代理机构的检查验证，配合提供相关证明材料，证明符合《中华人民共和国政府采购法》规定的供应商基本资格条件。</w:t>
      </w:r>
    </w:p>
    <w:p w14:paraId="1DD64A03">
      <w:pPr>
        <w:spacing w:line="360" w:lineRule="auto"/>
        <w:ind w:firstLine="480" w:firstLineChars="200"/>
        <w:rPr>
          <w:color w:val="auto"/>
          <w:sz w:val="24"/>
          <w:szCs w:val="22"/>
        </w:rPr>
      </w:pPr>
      <w:r>
        <w:rPr>
          <w:rFonts w:hint="eastAsia"/>
          <w:color w:val="auto"/>
          <w:sz w:val="24"/>
          <w:szCs w:val="22"/>
        </w:rPr>
        <w:t>我单位（公司）对上述承诺的真实性负责。如有虚假，将依法承担相应责任。</w:t>
      </w:r>
    </w:p>
    <w:p w14:paraId="500778F3">
      <w:pPr>
        <w:spacing w:line="360" w:lineRule="auto"/>
        <w:ind w:firstLine="480" w:firstLineChars="200"/>
        <w:rPr>
          <w:color w:val="auto"/>
          <w:sz w:val="24"/>
          <w:szCs w:val="22"/>
        </w:rPr>
      </w:pPr>
      <w:r>
        <w:rPr>
          <w:rFonts w:hint="eastAsia"/>
          <w:color w:val="auto"/>
          <w:sz w:val="24"/>
          <w:szCs w:val="22"/>
        </w:rPr>
        <w:t>特此承诺。</w:t>
      </w:r>
    </w:p>
    <w:p w14:paraId="15859A2B">
      <w:pPr>
        <w:spacing w:line="360" w:lineRule="auto"/>
        <w:rPr>
          <w:color w:val="auto"/>
          <w:sz w:val="24"/>
          <w:szCs w:val="22"/>
        </w:rPr>
      </w:pPr>
    </w:p>
    <w:p w14:paraId="00C19B25">
      <w:pPr>
        <w:spacing w:line="360" w:lineRule="auto"/>
        <w:rPr>
          <w:color w:val="auto"/>
          <w:sz w:val="24"/>
          <w:szCs w:val="22"/>
        </w:rPr>
      </w:pPr>
    </w:p>
    <w:p w14:paraId="5D30AC87">
      <w:pPr>
        <w:spacing w:line="360" w:lineRule="auto"/>
        <w:rPr>
          <w:color w:val="auto"/>
          <w:sz w:val="24"/>
          <w:szCs w:val="22"/>
        </w:rPr>
      </w:pPr>
      <w:r>
        <w:rPr>
          <w:rFonts w:hint="eastAsia"/>
          <w:color w:val="auto"/>
          <w:sz w:val="24"/>
          <w:szCs w:val="22"/>
        </w:rPr>
        <w:t>供应商</w:t>
      </w:r>
      <w:r>
        <w:rPr>
          <w:color w:val="auto"/>
          <w:sz w:val="24"/>
          <w:szCs w:val="22"/>
        </w:rPr>
        <w:t>名称（</w:t>
      </w:r>
      <w:r>
        <w:rPr>
          <w:rFonts w:hint="eastAsia"/>
          <w:color w:val="auto"/>
          <w:sz w:val="24"/>
          <w:szCs w:val="22"/>
        </w:rPr>
        <w:t>加盖公章</w:t>
      </w:r>
      <w:r>
        <w:rPr>
          <w:color w:val="auto"/>
          <w:sz w:val="24"/>
          <w:szCs w:val="22"/>
        </w:rPr>
        <w:t>）</w:t>
      </w:r>
      <w:r>
        <w:rPr>
          <w:rFonts w:hint="eastAsia"/>
          <w:color w:val="auto"/>
          <w:sz w:val="24"/>
          <w:szCs w:val="22"/>
        </w:rPr>
        <w:t>：</w:t>
      </w:r>
    </w:p>
    <w:p w14:paraId="5C5FBAC9">
      <w:pPr>
        <w:spacing w:line="360" w:lineRule="auto"/>
        <w:rPr>
          <w:color w:val="auto"/>
          <w:sz w:val="24"/>
          <w:szCs w:val="22"/>
        </w:rPr>
      </w:pPr>
      <w:r>
        <w:rPr>
          <w:rFonts w:hint="eastAsia"/>
          <w:color w:val="auto"/>
          <w:sz w:val="24"/>
          <w:szCs w:val="22"/>
        </w:rPr>
        <w:t>法定</w:t>
      </w:r>
      <w:r>
        <w:rPr>
          <w:color w:val="auto"/>
          <w:sz w:val="24"/>
          <w:szCs w:val="22"/>
        </w:rPr>
        <w:t>代表人或被授权委托人</w:t>
      </w:r>
      <w:r>
        <w:rPr>
          <w:rFonts w:hint="eastAsia"/>
          <w:color w:val="auto"/>
          <w:sz w:val="24"/>
          <w:szCs w:val="22"/>
        </w:rPr>
        <w:t>（签字或</w:t>
      </w:r>
      <w:r>
        <w:rPr>
          <w:color w:val="auto"/>
          <w:sz w:val="24"/>
          <w:szCs w:val="22"/>
        </w:rPr>
        <w:t>盖章</w:t>
      </w:r>
      <w:r>
        <w:rPr>
          <w:rFonts w:hint="eastAsia"/>
          <w:color w:val="auto"/>
          <w:sz w:val="24"/>
          <w:szCs w:val="22"/>
        </w:rPr>
        <w:t>）：</w:t>
      </w:r>
    </w:p>
    <w:p w14:paraId="1FC12C48">
      <w:pPr>
        <w:spacing w:line="360" w:lineRule="auto"/>
        <w:rPr>
          <w:color w:val="auto"/>
          <w:sz w:val="24"/>
          <w:szCs w:val="22"/>
        </w:rPr>
      </w:pPr>
      <w:r>
        <w:rPr>
          <w:rFonts w:hint="eastAsia"/>
          <w:color w:val="auto"/>
          <w:sz w:val="24"/>
          <w:szCs w:val="22"/>
        </w:rPr>
        <w:t>日期</w:t>
      </w:r>
      <w:r>
        <w:rPr>
          <w:color w:val="auto"/>
          <w:sz w:val="24"/>
          <w:szCs w:val="22"/>
        </w:rPr>
        <w:t>：</w:t>
      </w:r>
    </w:p>
    <w:p w14:paraId="65A847C4">
      <w:pPr>
        <w:widowControl/>
        <w:jc w:val="left"/>
        <w:rPr>
          <w:rFonts w:ascii="宋体" w:hAnsi="宋体"/>
          <w:b/>
          <w:color w:val="auto"/>
          <w:sz w:val="32"/>
          <w:szCs w:val="32"/>
        </w:rPr>
      </w:pPr>
    </w:p>
    <w:p w14:paraId="0E57AC61">
      <w:pPr>
        <w:rPr>
          <w:rFonts w:hint="eastAsia" w:ascii="宋体" w:hAnsi="宋体"/>
          <w:b/>
          <w:color w:val="auto"/>
          <w:sz w:val="32"/>
          <w:szCs w:val="32"/>
          <w:lang w:val="en-US" w:eastAsia="zh-CN"/>
        </w:rPr>
      </w:pPr>
      <w:r>
        <w:rPr>
          <w:rFonts w:hint="eastAsia" w:ascii="宋体" w:hAnsi="宋体"/>
          <w:b/>
          <w:color w:val="auto"/>
          <w:sz w:val="32"/>
          <w:szCs w:val="32"/>
          <w:lang w:val="en-US" w:eastAsia="zh-CN"/>
        </w:rPr>
        <w:br w:type="page"/>
      </w:r>
    </w:p>
    <w:p w14:paraId="7A2A48B7">
      <w:pPr>
        <w:spacing w:line="360" w:lineRule="auto"/>
        <w:jc w:val="center"/>
        <w:rPr>
          <w:rFonts w:ascii="宋体" w:hAnsi="宋体"/>
          <w:b/>
          <w:color w:val="auto"/>
          <w:sz w:val="28"/>
          <w:szCs w:val="28"/>
        </w:rPr>
      </w:pPr>
      <w:r>
        <w:rPr>
          <w:rFonts w:hint="eastAsia" w:ascii="宋体" w:hAnsi="宋体"/>
          <w:b/>
          <w:color w:val="auto"/>
          <w:sz w:val="28"/>
          <w:szCs w:val="28"/>
          <w:lang w:val="en-US" w:eastAsia="zh-CN"/>
        </w:rPr>
        <w:t>八</w:t>
      </w:r>
      <w:r>
        <w:rPr>
          <w:rFonts w:hint="eastAsia" w:ascii="宋体" w:hAnsi="宋体"/>
          <w:b/>
          <w:color w:val="auto"/>
          <w:sz w:val="28"/>
          <w:szCs w:val="28"/>
        </w:rPr>
        <w:t>、响应谈判供应商简介</w:t>
      </w:r>
    </w:p>
    <w:p w14:paraId="5A1BAFBC">
      <w:pPr>
        <w:spacing w:line="360" w:lineRule="auto"/>
        <w:ind w:firstLine="480" w:firstLineChars="200"/>
        <w:rPr>
          <w:rFonts w:ascii="宋体" w:hAnsi="宋体"/>
          <w:b/>
          <w:color w:val="auto"/>
          <w:sz w:val="24"/>
          <w:szCs w:val="24"/>
        </w:rPr>
      </w:pPr>
      <w:r>
        <w:rPr>
          <w:rFonts w:hint="eastAsia" w:ascii="宋体" w:hAnsi="宋体"/>
          <w:bCs/>
          <w:color w:val="auto"/>
          <w:sz w:val="24"/>
          <w:szCs w:val="24"/>
        </w:rPr>
        <w:t>响应谈判供应商应阐述企业的自然情况</w:t>
      </w:r>
      <w:r>
        <w:rPr>
          <w:rFonts w:hint="eastAsia" w:ascii="宋体" w:hAnsi="宋体"/>
          <w:color w:val="auto"/>
          <w:sz w:val="24"/>
          <w:szCs w:val="24"/>
        </w:rPr>
        <w:t>、谈判响应货物市场评价及取得的荣誉信息等，格式自拟。</w:t>
      </w:r>
    </w:p>
    <w:p w14:paraId="6BF7D368">
      <w:pPr>
        <w:spacing w:line="360" w:lineRule="auto"/>
        <w:ind w:firstLine="643" w:firstLineChars="200"/>
        <w:jc w:val="center"/>
        <w:rPr>
          <w:rFonts w:ascii="宋体" w:hAnsi="宋体"/>
          <w:b/>
          <w:color w:val="auto"/>
          <w:sz w:val="32"/>
          <w:szCs w:val="32"/>
        </w:rPr>
      </w:pPr>
    </w:p>
    <w:p w14:paraId="2B2AAB88">
      <w:pPr>
        <w:spacing w:line="360" w:lineRule="auto"/>
        <w:jc w:val="center"/>
        <w:rPr>
          <w:rFonts w:ascii="宋体" w:hAnsi="宋体"/>
          <w:b/>
          <w:color w:val="auto"/>
          <w:sz w:val="32"/>
          <w:szCs w:val="32"/>
        </w:rPr>
      </w:pPr>
    </w:p>
    <w:p w14:paraId="53101A68">
      <w:pPr>
        <w:spacing w:line="360" w:lineRule="auto"/>
        <w:jc w:val="center"/>
        <w:rPr>
          <w:rFonts w:ascii="宋体" w:hAnsi="宋体"/>
          <w:b/>
          <w:color w:val="auto"/>
          <w:sz w:val="32"/>
          <w:szCs w:val="32"/>
        </w:rPr>
      </w:pPr>
    </w:p>
    <w:p w14:paraId="7D49F7BB">
      <w:pPr>
        <w:spacing w:line="360" w:lineRule="auto"/>
        <w:jc w:val="center"/>
        <w:rPr>
          <w:rFonts w:ascii="宋体" w:hAnsi="宋体"/>
          <w:b/>
          <w:color w:val="auto"/>
          <w:sz w:val="32"/>
          <w:szCs w:val="32"/>
        </w:rPr>
      </w:pPr>
    </w:p>
    <w:p w14:paraId="4D5397B0">
      <w:pPr>
        <w:spacing w:line="360" w:lineRule="auto"/>
        <w:jc w:val="center"/>
        <w:rPr>
          <w:rFonts w:ascii="宋体" w:hAnsi="宋体"/>
          <w:b/>
          <w:color w:val="auto"/>
          <w:sz w:val="32"/>
          <w:szCs w:val="32"/>
        </w:rPr>
      </w:pPr>
    </w:p>
    <w:p w14:paraId="360A267E">
      <w:pPr>
        <w:rPr>
          <w:rFonts w:hint="eastAsia" w:ascii="宋体" w:hAnsi="宋体"/>
          <w:b/>
          <w:color w:val="auto"/>
          <w:sz w:val="32"/>
          <w:szCs w:val="32"/>
          <w:lang w:val="en-US" w:eastAsia="zh-CN"/>
        </w:rPr>
      </w:pPr>
      <w:r>
        <w:rPr>
          <w:rFonts w:hint="eastAsia" w:ascii="宋体" w:hAnsi="宋体"/>
          <w:b/>
          <w:color w:val="auto"/>
          <w:sz w:val="32"/>
          <w:szCs w:val="32"/>
          <w:lang w:val="en-US" w:eastAsia="zh-CN"/>
        </w:rPr>
        <w:br w:type="page"/>
      </w:r>
    </w:p>
    <w:p w14:paraId="119A739E">
      <w:pPr>
        <w:spacing w:line="360" w:lineRule="auto"/>
        <w:jc w:val="center"/>
        <w:rPr>
          <w:rFonts w:ascii="宋体" w:hAnsi="宋体" w:cs="宋体"/>
          <w:b/>
          <w:color w:val="auto"/>
          <w:sz w:val="28"/>
          <w:szCs w:val="28"/>
        </w:rPr>
      </w:pPr>
      <w:r>
        <w:rPr>
          <w:rFonts w:hint="eastAsia" w:ascii="宋体" w:hAnsi="宋体"/>
          <w:b/>
          <w:color w:val="auto"/>
          <w:sz w:val="28"/>
          <w:szCs w:val="28"/>
          <w:lang w:val="en-US" w:eastAsia="zh-CN"/>
        </w:rPr>
        <w:t>九</w:t>
      </w:r>
      <w:r>
        <w:rPr>
          <w:rFonts w:ascii="宋体" w:hAnsi="宋体"/>
          <w:b/>
          <w:color w:val="auto"/>
          <w:sz w:val="28"/>
          <w:szCs w:val="28"/>
        </w:rPr>
        <w:t>、</w:t>
      </w:r>
      <w:r>
        <w:rPr>
          <w:rFonts w:hint="eastAsia" w:ascii="宋体" w:hAnsi="宋体" w:cs="宋体"/>
          <w:b/>
          <w:color w:val="auto"/>
          <w:sz w:val="28"/>
          <w:szCs w:val="28"/>
        </w:rPr>
        <w:t>项目方案</w:t>
      </w:r>
    </w:p>
    <w:p w14:paraId="04B9AE55">
      <w:pPr>
        <w:spacing w:line="360" w:lineRule="auto"/>
        <w:ind w:firstLine="480" w:firstLineChars="200"/>
        <w:rPr>
          <w:rFonts w:ascii="宋体" w:hAnsi="宋体" w:cs="宋体"/>
          <w:b/>
          <w:color w:val="auto"/>
          <w:sz w:val="28"/>
          <w:szCs w:val="28"/>
        </w:rPr>
        <w:sectPr>
          <w:headerReference r:id="rId24" w:type="first"/>
          <w:headerReference r:id="rId22" w:type="default"/>
          <w:footerReference r:id="rId25" w:type="default"/>
          <w:headerReference r:id="rId23" w:type="even"/>
          <w:pgSz w:w="11907" w:h="16840"/>
          <w:pgMar w:top="1440" w:right="1310" w:bottom="1440" w:left="1310" w:header="1021" w:footer="1021" w:gutter="0"/>
          <w:pgNumType w:fmt="decimal"/>
          <w:cols w:space="720" w:num="1"/>
          <w:docGrid w:linePitch="271" w:charSpace="0"/>
        </w:sectPr>
      </w:pPr>
      <w:r>
        <w:rPr>
          <w:rFonts w:hint="eastAsia" w:ascii="宋体" w:hAnsi="宋体"/>
          <w:color w:val="auto"/>
          <w:sz w:val="24"/>
        </w:rPr>
        <w:t>本部分阐述内容应包括响应</w:t>
      </w:r>
      <w:r>
        <w:rPr>
          <w:rFonts w:ascii="宋体" w:hAnsi="宋体"/>
          <w:color w:val="auto"/>
          <w:sz w:val="24"/>
        </w:rPr>
        <w:t>谈判供应商供货方案、</w:t>
      </w:r>
      <w:r>
        <w:rPr>
          <w:rFonts w:hint="eastAsia" w:ascii="宋体" w:hAnsi="宋体"/>
          <w:color w:val="auto"/>
          <w:sz w:val="24"/>
        </w:rPr>
        <w:t>组织计划、进度计划、安装机具的配置、项目人员安排及安全保障措施等，格式自拟。</w:t>
      </w:r>
    </w:p>
    <w:p w14:paraId="7F21F253">
      <w:pPr>
        <w:spacing w:line="360" w:lineRule="auto"/>
        <w:jc w:val="center"/>
        <w:rPr>
          <w:rFonts w:ascii="宋体" w:hAnsi="宋体" w:cs="宋体"/>
          <w:b/>
          <w:color w:val="auto"/>
          <w:sz w:val="28"/>
          <w:szCs w:val="28"/>
        </w:rPr>
      </w:pPr>
      <w:r>
        <w:rPr>
          <w:rFonts w:hint="eastAsia" w:ascii="宋体" w:hAnsi="宋体" w:cs="宋体"/>
          <w:b/>
          <w:color w:val="auto"/>
          <w:sz w:val="28"/>
          <w:szCs w:val="28"/>
        </w:rPr>
        <w:t>十</w:t>
      </w:r>
      <w:r>
        <w:rPr>
          <w:rFonts w:ascii="宋体" w:hAnsi="宋体" w:cs="宋体"/>
          <w:b/>
          <w:color w:val="auto"/>
          <w:sz w:val="28"/>
          <w:szCs w:val="28"/>
        </w:rPr>
        <w:t>、技术偏离表</w:t>
      </w:r>
    </w:p>
    <w:tbl>
      <w:tblPr>
        <w:tblStyle w:val="42"/>
        <w:tblW w:w="5000" w:type="pct"/>
        <w:tblInd w:w="0" w:type="dxa"/>
        <w:tblLayout w:type="autofit"/>
        <w:tblCellMar>
          <w:top w:w="0" w:type="dxa"/>
          <w:left w:w="10" w:type="dxa"/>
          <w:bottom w:w="0" w:type="dxa"/>
          <w:right w:w="10" w:type="dxa"/>
        </w:tblCellMar>
      </w:tblPr>
      <w:tblGrid>
        <w:gridCol w:w="777"/>
        <w:gridCol w:w="1261"/>
        <w:gridCol w:w="1281"/>
        <w:gridCol w:w="1569"/>
        <w:gridCol w:w="1373"/>
        <w:gridCol w:w="1728"/>
        <w:gridCol w:w="1344"/>
      </w:tblGrid>
      <w:tr w14:paraId="357DB33E">
        <w:tblPrEx>
          <w:tblCellMar>
            <w:top w:w="0" w:type="dxa"/>
            <w:left w:w="10" w:type="dxa"/>
            <w:bottom w:w="0" w:type="dxa"/>
            <w:right w:w="10" w:type="dxa"/>
          </w:tblCellMar>
        </w:tblPrEx>
        <w:trPr>
          <w:trHeight w:val="1149" w:hRule="atLeast"/>
        </w:trPr>
        <w:tc>
          <w:tcPr>
            <w:tcW w:w="416" w:type="pct"/>
            <w:tcBorders>
              <w:top w:val="single" w:color="000000" w:sz="4" w:space="0"/>
              <w:left w:val="single" w:color="000000" w:sz="4" w:space="0"/>
              <w:right w:val="single" w:color="000000" w:sz="4" w:space="0"/>
            </w:tcBorders>
            <w:tcMar>
              <w:left w:w="108" w:type="dxa"/>
              <w:right w:w="108" w:type="dxa"/>
            </w:tcMar>
            <w:vAlign w:val="center"/>
          </w:tcPr>
          <w:p w14:paraId="353EA5FA">
            <w:pPr>
              <w:jc w:val="center"/>
              <w:rPr>
                <w:rFonts w:ascii="宋体" w:hAnsi="宋体" w:cs="宋体"/>
                <w:color w:val="auto"/>
                <w:sz w:val="24"/>
                <w:szCs w:val="24"/>
              </w:rPr>
            </w:pPr>
            <w:r>
              <w:rPr>
                <w:rFonts w:ascii="宋体" w:hAnsi="宋体" w:cs="宋体"/>
                <w:color w:val="auto"/>
                <w:sz w:val="24"/>
                <w:szCs w:val="24"/>
              </w:rPr>
              <w:t>序号</w:t>
            </w:r>
          </w:p>
        </w:tc>
        <w:tc>
          <w:tcPr>
            <w:tcW w:w="675" w:type="pct"/>
            <w:tcBorders>
              <w:top w:val="single" w:color="000000" w:sz="4" w:space="0"/>
              <w:left w:val="single" w:color="000000" w:sz="4" w:space="0"/>
              <w:right w:val="single" w:color="000000" w:sz="4" w:space="0"/>
            </w:tcBorders>
            <w:tcMar>
              <w:left w:w="108" w:type="dxa"/>
              <w:right w:w="108" w:type="dxa"/>
            </w:tcMar>
            <w:vAlign w:val="center"/>
          </w:tcPr>
          <w:p w14:paraId="22B410F7">
            <w:pPr>
              <w:jc w:val="center"/>
              <w:rPr>
                <w:rFonts w:ascii="宋体" w:hAnsi="宋体" w:cs="宋体"/>
                <w:color w:val="auto"/>
                <w:sz w:val="24"/>
                <w:szCs w:val="24"/>
              </w:rPr>
            </w:pPr>
            <w:r>
              <w:rPr>
                <w:rFonts w:hint="eastAsia" w:ascii="宋体" w:hAnsi="宋体" w:cs="宋体"/>
                <w:color w:val="auto"/>
                <w:sz w:val="24"/>
                <w:szCs w:val="24"/>
              </w:rPr>
              <w:t>采购</w:t>
            </w:r>
            <w:r>
              <w:rPr>
                <w:rFonts w:ascii="宋体" w:hAnsi="宋体" w:cs="宋体"/>
                <w:color w:val="auto"/>
                <w:sz w:val="24"/>
                <w:szCs w:val="24"/>
              </w:rPr>
              <w:t>货物名称</w:t>
            </w:r>
          </w:p>
        </w:tc>
        <w:tc>
          <w:tcPr>
            <w:tcW w:w="686" w:type="pct"/>
            <w:tcBorders>
              <w:top w:val="single" w:color="000000" w:sz="4" w:space="0"/>
              <w:left w:val="single" w:color="000000" w:sz="4" w:space="0"/>
              <w:right w:val="single" w:color="000000" w:sz="4" w:space="0"/>
            </w:tcBorders>
            <w:tcMar>
              <w:left w:w="108" w:type="dxa"/>
              <w:right w:w="108" w:type="dxa"/>
            </w:tcMar>
            <w:vAlign w:val="center"/>
          </w:tcPr>
          <w:p w14:paraId="0379AFFF">
            <w:pPr>
              <w:jc w:val="center"/>
              <w:rPr>
                <w:rFonts w:ascii="宋体" w:hAnsi="宋体" w:cs="宋体"/>
                <w:color w:val="auto"/>
                <w:sz w:val="24"/>
                <w:szCs w:val="24"/>
              </w:rPr>
            </w:pPr>
            <w:r>
              <w:rPr>
                <w:rFonts w:hint="eastAsia" w:ascii="宋体" w:hAnsi="宋体" w:cs="宋体"/>
                <w:color w:val="auto"/>
                <w:sz w:val="24"/>
                <w:szCs w:val="24"/>
              </w:rPr>
              <w:t>采购</w:t>
            </w:r>
            <w:r>
              <w:rPr>
                <w:rFonts w:ascii="宋体" w:hAnsi="宋体" w:cs="宋体"/>
                <w:color w:val="auto"/>
                <w:sz w:val="24"/>
                <w:szCs w:val="24"/>
              </w:rPr>
              <w:t>货物</w:t>
            </w:r>
            <w:r>
              <w:rPr>
                <w:rFonts w:hint="eastAsia" w:ascii="宋体" w:hAnsi="宋体" w:cs="宋体"/>
                <w:color w:val="auto"/>
                <w:sz w:val="24"/>
                <w:szCs w:val="24"/>
              </w:rPr>
              <w:t>技术参数</w:t>
            </w:r>
          </w:p>
        </w:tc>
        <w:tc>
          <w:tcPr>
            <w:tcW w:w="840" w:type="pct"/>
            <w:tcBorders>
              <w:top w:val="single" w:color="000000" w:sz="4" w:space="0"/>
              <w:left w:val="single" w:color="000000" w:sz="4" w:space="0"/>
              <w:right w:val="single" w:color="000000" w:sz="4" w:space="0"/>
            </w:tcBorders>
            <w:tcMar>
              <w:left w:w="108" w:type="dxa"/>
              <w:right w:w="108" w:type="dxa"/>
            </w:tcMar>
            <w:vAlign w:val="center"/>
          </w:tcPr>
          <w:p w14:paraId="1CF62120">
            <w:pPr>
              <w:jc w:val="center"/>
              <w:rPr>
                <w:rFonts w:ascii="宋体" w:hAnsi="宋体" w:cs="宋体"/>
                <w:color w:val="auto"/>
                <w:sz w:val="24"/>
                <w:szCs w:val="24"/>
              </w:rPr>
            </w:pPr>
            <w:r>
              <w:rPr>
                <w:rFonts w:hint="eastAsia" w:ascii="宋体" w:hAnsi="宋体" w:cs="宋体"/>
                <w:color w:val="auto"/>
                <w:sz w:val="24"/>
                <w:szCs w:val="24"/>
              </w:rPr>
              <w:t>响应谈判</w:t>
            </w:r>
          </w:p>
          <w:p w14:paraId="39FE09CF">
            <w:pPr>
              <w:jc w:val="center"/>
              <w:rPr>
                <w:rFonts w:ascii="宋体" w:hAnsi="宋体" w:cs="宋体"/>
                <w:color w:val="auto"/>
                <w:sz w:val="24"/>
                <w:szCs w:val="24"/>
              </w:rPr>
            </w:pPr>
            <w:r>
              <w:rPr>
                <w:rFonts w:ascii="宋体" w:hAnsi="宋体" w:cs="宋体"/>
                <w:color w:val="auto"/>
                <w:sz w:val="24"/>
                <w:szCs w:val="24"/>
              </w:rPr>
              <w:t>货物品牌</w:t>
            </w:r>
          </w:p>
        </w:tc>
        <w:tc>
          <w:tcPr>
            <w:tcW w:w="735" w:type="pct"/>
            <w:tcBorders>
              <w:top w:val="single" w:color="000000" w:sz="4" w:space="0"/>
              <w:left w:val="single" w:color="000000" w:sz="4" w:space="0"/>
              <w:right w:val="single" w:color="000000" w:sz="4" w:space="0"/>
            </w:tcBorders>
            <w:vAlign w:val="center"/>
          </w:tcPr>
          <w:p w14:paraId="5094DA4E">
            <w:pPr>
              <w:jc w:val="center"/>
              <w:rPr>
                <w:rFonts w:ascii="宋体" w:hAnsi="宋体" w:cs="宋体"/>
                <w:color w:val="auto"/>
                <w:sz w:val="24"/>
                <w:szCs w:val="24"/>
              </w:rPr>
            </w:pPr>
            <w:r>
              <w:rPr>
                <w:rFonts w:hint="eastAsia" w:ascii="宋体" w:hAnsi="宋体" w:cs="宋体"/>
                <w:color w:val="auto"/>
                <w:sz w:val="24"/>
                <w:szCs w:val="24"/>
              </w:rPr>
              <w:t>响应谈判</w:t>
            </w:r>
          </w:p>
          <w:p w14:paraId="167081CB">
            <w:pPr>
              <w:jc w:val="center"/>
              <w:rPr>
                <w:rFonts w:ascii="宋体" w:hAnsi="宋体" w:cs="宋体"/>
                <w:color w:val="auto"/>
                <w:sz w:val="24"/>
                <w:szCs w:val="24"/>
              </w:rPr>
            </w:pPr>
            <w:r>
              <w:rPr>
                <w:rFonts w:hint="eastAsia" w:ascii="宋体" w:hAnsi="宋体" w:cs="宋体"/>
                <w:color w:val="auto"/>
                <w:sz w:val="24"/>
                <w:szCs w:val="24"/>
              </w:rPr>
              <w:t>货物型号</w:t>
            </w:r>
          </w:p>
        </w:tc>
        <w:tc>
          <w:tcPr>
            <w:tcW w:w="925" w:type="pct"/>
            <w:tcBorders>
              <w:top w:val="single" w:color="000000" w:sz="4" w:space="0"/>
              <w:left w:val="single" w:color="000000" w:sz="4" w:space="0"/>
              <w:right w:val="single" w:color="000000" w:sz="4" w:space="0"/>
            </w:tcBorders>
            <w:tcMar>
              <w:left w:w="108" w:type="dxa"/>
              <w:right w:w="108" w:type="dxa"/>
            </w:tcMar>
            <w:vAlign w:val="center"/>
          </w:tcPr>
          <w:p w14:paraId="4B2B2402">
            <w:pPr>
              <w:jc w:val="center"/>
              <w:rPr>
                <w:rFonts w:ascii="宋体" w:hAnsi="宋体" w:cs="宋体"/>
                <w:color w:val="auto"/>
                <w:sz w:val="24"/>
                <w:szCs w:val="24"/>
              </w:rPr>
            </w:pPr>
            <w:r>
              <w:rPr>
                <w:rFonts w:hint="eastAsia" w:ascii="宋体" w:hAnsi="宋体" w:cs="宋体"/>
                <w:color w:val="auto"/>
                <w:sz w:val="24"/>
                <w:szCs w:val="24"/>
              </w:rPr>
              <w:t>响应谈判</w:t>
            </w:r>
            <w:r>
              <w:rPr>
                <w:rFonts w:ascii="宋体" w:hAnsi="宋体" w:cs="宋体"/>
                <w:color w:val="auto"/>
                <w:sz w:val="24"/>
                <w:szCs w:val="24"/>
              </w:rPr>
              <w:t>货物</w:t>
            </w:r>
            <w:r>
              <w:rPr>
                <w:rFonts w:hint="eastAsia" w:ascii="宋体" w:hAnsi="宋体" w:cs="宋体"/>
                <w:color w:val="auto"/>
                <w:sz w:val="24"/>
                <w:szCs w:val="24"/>
              </w:rPr>
              <w:t>技术参数</w:t>
            </w:r>
          </w:p>
        </w:tc>
        <w:tc>
          <w:tcPr>
            <w:tcW w:w="719" w:type="pct"/>
            <w:tcBorders>
              <w:top w:val="single" w:color="000000" w:sz="4" w:space="0"/>
              <w:left w:val="single" w:color="000000" w:sz="4" w:space="0"/>
              <w:right w:val="single" w:color="000000" w:sz="4" w:space="0"/>
            </w:tcBorders>
            <w:tcMar>
              <w:left w:w="108" w:type="dxa"/>
              <w:right w:w="108" w:type="dxa"/>
            </w:tcMar>
            <w:vAlign w:val="center"/>
          </w:tcPr>
          <w:p w14:paraId="237006AB">
            <w:pPr>
              <w:jc w:val="center"/>
              <w:rPr>
                <w:rFonts w:ascii="宋体" w:hAnsi="宋体" w:cs="宋体"/>
                <w:color w:val="auto"/>
                <w:sz w:val="24"/>
                <w:szCs w:val="24"/>
              </w:rPr>
            </w:pPr>
            <w:r>
              <w:rPr>
                <w:rFonts w:ascii="宋体" w:hAnsi="宋体" w:cs="宋体"/>
                <w:color w:val="auto"/>
                <w:sz w:val="24"/>
                <w:szCs w:val="24"/>
              </w:rPr>
              <w:t>偏离说明</w:t>
            </w:r>
          </w:p>
        </w:tc>
      </w:tr>
      <w:tr w14:paraId="0B09A7FC">
        <w:tblPrEx>
          <w:tblCellMar>
            <w:top w:w="0" w:type="dxa"/>
            <w:left w:w="10" w:type="dxa"/>
            <w:bottom w:w="0" w:type="dxa"/>
            <w:right w:w="10" w:type="dxa"/>
          </w:tblCellMar>
        </w:tblPrEx>
        <w:trPr>
          <w:trHeight w:val="1694" w:hRule="atLeast"/>
        </w:trPr>
        <w:tc>
          <w:tcPr>
            <w:tcW w:w="416" w:type="pct"/>
            <w:tcBorders>
              <w:top w:val="single" w:color="000000" w:sz="4" w:space="0"/>
              <w:left w:val="single" w:color="000000" w:sz="4" w:space="0"/>
              <w:right w:val="single" w:color="000000" w:sz="4" w:space="0"/>
            </w:tcBorders>
            <w:tcMar>
              <w:left w:w="108" w:type="dxa"/>
              <w:right w:w="108" w:type="dxa"/>
            </w:tcMar>
            <w:vAlign w:val="center"/>
          </w:tcPr>
          <w:p w14:paraId="4C610C62">
            <w:pPr>
              <w:jc w:val="center"/>
              <w:rPr>
                <w:rFonts w:ascii="宋体" w:hAnsi="宋体" w:cs="宋体"/>
                <w:color w:val="auto"/>
                <w:sz w:val="24"/>
                <w:szCs w:val="24"/>
              </w:rPr>
            </w:pPr>
            <w:r>
              <w:rPr>
                <w:rFonts w:ascii="宋体" w:hAnsi="宋体" w:cs="宋体"/>
                <w:color w:val="auto"/>
                <w:sz w:val="24"/>
                <w:szCs w:val="24"/>
              </w:rPr>
              <w:t>1</w:t>
            </w:r>
          </w:p>
        </w:tc>
        <w:tc>
          <w:tcPr>
            <w:tcW w:w="675" w:type="pct"/>
            <w:tcBorders>
              <w:top w:val="single" w:color="000000" w:sz="4" w:space="0"/>
              <w:left w:val="single" w:color="000000" w:sz="4" w:space="0"/>
              <w:right w:val="single" w:color="000000" w:sz="4" w:space="0"/>
            </w:tcBorders>
            <w:tcMar>
              <w:left w:w="108" w:type="dxa"/>
              <w:right w:w="108" w:type="dxa"/>
            </w:tcMar>
            <w:vAlign w:val="center"/>
          </w:tcPr>
          <w:p w14:paraId="1A887CE1">
            <w:pPr>
              <w:jc w:val="center"/>
              <w:rPr>
                <w:rFonts w:ascii="宋体" w:hAnsi="宋体" w:cs="宋体"/>
                <w:color w:val="auto"/>
                <w:sz w:val="24"/>
                <w:szCs w:val="24"/>
              </w:rPr>
            </w:pPr>
          </w:p>
        </w:tc>
        <w:tc>
          <w:tcPr>
            <w:tcW w:w="686" w:type="pct"/>
            <w:tcBorders>
              <w:top w:val="single" w:color="000000" w:sz="4" w:space="0"/>
              <w:left w:val="single" w:color="000000" w:sz="4" w:space="0"/>
              <w:right w:val="single" w:color="000000" w:sz="4" w:space="0"/>
            </w:tcBorders>
            <w:tcMar>
              <w:left w:w="108" w:type="dxa"/>
              <w:right w:w="108" w:type="dxa"/>
            </w:tcMar>
            <w:vAlign w:val="center"/>
          </w:tcPr>
          <w:p w14:paraId="2DF669C8">
            <w:pPr>
              <w:widowControl/>
              <w:jc w:val="left"/>
              <w:rPr>
                <w:rFonts w:ascii="宋体" w:hAnsi="宋体" w:cs="宋体"/>
                <w:color w:val="auto"/>
                <w:kern w:val="0"/>
                <w:sz w:val="24"/>
                <w:szCs w:val="24"/>
              </w:rPr>
            </w:pPr>
          </w:p>
        </w:tc>
        <w:tc>
          <w:tcPr>
            <w:tcW w:w="840" w:type="pct"/>
            <w:tcBorders>
              <w:top w:val="single" w:color="000000" w:sz="4" w:space="0"/>
              <w:left w:val="single" w:color="000000" w:sz="4" w:space="0"/>
              <w:right w:val="single" w:color="000000" w:sz="4" w:space="0"/>
            </w:tcBorders>
            <w:tcMar>
              <w:left w:w="108" w:type="dxa"/>
              <w:right w:w="108" w:type="dxa"/>
            </w:tcMar>
            <w:vAlign w:val="center"/>
          </w:tcPr>
          <w:p w14:paraId="644E3360">
            <w:pPr>
              <w:spacing w:line="400" w:lineRule="auto"/>
              <w:jc w:val="center"/>
              <w:rPr>
                <w:rFonts w:ascii="宋体" w:hAnsi="宋体" w:cs="宋体"/>
                <w:color w:val="auto"/>
                <w:sz w:val="24"/>
                <w:szCs w:val="24"/>
              </w:rPr>
            </w:pPr>
          </w:p>
        </w:tc>
        <w:tc>
          <w:tcPr>
            <w:tcW w:w="735" w:type="pct"/>
            <w:tcBorders>
              <w:top w:val="single" w:color="000000" w:sz="4" w:space="0"/>
              <w:left w:val="single" w:color="000000" w:sz="4" w:space="0"/>
              <w:right w:val="single" w:color="000000" w:sz="4" w:space="0"/>
            </w:tcBorders>
            <w:vAlign w:val="center"/>
          </w:tcPr>
          <w:p w14:paraId="71EF69EA">
            <w:pPr>
              <w:spacing w:line="400" w:lineRule="auto"/>
              <w:jc w:val="center"/>
              <w:rPr>
                <w:rFonts w:ascii="宋体" w:hAnsi="宋体" w:cs="宋体"/>
                <w:color w:val="auto"/>
                <w:sz w:val="24"/>
                <w:szCs w:val="24"/>
              </w:rPr>
            </w:pPr>
          </w:p>
        </w:tc>
        <w:tc>
          <w:tcPr>
            <w:tcW w:w="925" w:type="pct"/>
            <w:tcBorders>
              <w:top w:val="single" w:color="000000" w:sz="4" w:space="0"/>
              <w:left w:val="single" w:color="000000" w:sz="4" w:space="0"/>
              <w:right w:val="single" w:color="000000" w:sz="4" w:space="0"/>
            </w:tcBorders>
            <w:tcMar>
              <w:left w:w="108" w:type="dxa"/>
              <w:right w:w="108" w:type="dxa"/>
            </w:tcMar>
            <w:vAlign w:val="center"/>
          </w:tcPr>
          <w:p w14:paraId="6BF3C6FF">
            <w:pPr>
              <w:spacing w:line="400" w:lineRule="auto"/>
              <w:jc w:val="center"/>
              <w:rPr>
                <w:rFonts w:ascii="宋体" w:hAnsi="宋体" w:cs="宋体"/>
                <w:color w:val="auto"/>
                <w:sz w:val="24"/>
                <w:szCs w:val="24"/>
              </w:rPr>
            </w:pPr>
          </w:p>
          <w:p w14:paraId="07DC8BE7">
            <w:pPr>
              <w:spacing w:line="400" w:lineRule="auto"/>
              <w:jc w:val="center"/>
              <w:rPr>
                <w:rFonts w:ascii="宋体" w:hAnsi="宋体" w:cs="宋体"/>
                <w:color w:val="auto"/>
                <w:sz w:val="24"/>
                <w:szCs w:val="24"/>
              </w:rPr>
            </w:pPr>
          </w:p>
        </w:tc>
        <w:tc>
          <w:tcPr>
            <w:tcW w:w="719" w:type="pct"/>
            <w:tcBorders>
              <w:top w:val="single" w:color="000000" w:sz="4" w:space="0"/>
              <w:left w:val="single" w:color="000000" w:sz="4" w:space="0"/>
              <w:right w:val="single" w:color="000000" w:sz="4" w:space="0"/>
            </w:tcBorders>
            <w:tcMar>
              <w:left w:w="108" w:type="dxa"/>
              <w:right w:w="108" w:type="dxa"/>
            </w:tcMar>
            <w:vAlign w:val="center"/>
          </w:tcPr>
          <w:p w14:paraId="0BC2B6F9">
            <w:pPr>
              <w:spacing w:line="400" w:lineRule="auto"/>
              <w:jc w:val="center"/>
              <w:rPr>
                <w:rFonts w:ascii="宋体" w:hAnsi="宋体" w:cs="宋体"/>
                <w:color w:val="auto"/>
                <w:sz w:val="24"/>
                <w:szCs w:val="24"/>
              </w:rPr>
            </w:pPr>
          </w:p>
        </w:tc>
      </w:tr>
      <w:tr w14:paraId="61D43060">
        <w:tblPrEx>
          <w:tblCellMar>
            <w:top w:w="0" w:type="dxa"/>
            <w:left w:w="10" w:type="dxa"/>
            <w:bottom w:w="0" w:type="dxa"/>
            <w:right w:w="10" w:type="dxa"/>
          </w:tblCellMar>
        </w:tblPrEx>
        <w:trPr>
          <w:trHeight w:val="1832" w:hRule="atLeast"/>
        </w:trPr>
        <w:tc>
          <w:tcPr>
            <w:tcW w:w="416" w:type="pct"/>
            <w:tcBorders>
              <w:top w:val="single" w:color="000000" w:sz="4" w:space="0"/>
              <w:left w:val="single" w:color="000000" w:sz="4" w:space="0"/>
              <w:right w:val="single" w:color="000000" w:sz="4" w:space="0"/>
            </w:tcBorders>
            <w:tcMar>
              <w:left w:w="108" w:type="dxa"/>
              <w:right w:w="108" w:type="dxa"/>
            </w:tcMar>
            <w:vAlign w:val="center"/>
          </w:tcPr>
          <w:p w14:paraId="42F2F2F6">
            <w:pPr>
              <w:jc w:val="center"/>
              <w:rPr>
                <w:rFonts w:ascii="宋体" w:hAnsi="宋体" w:cs="宋体"/>
                <w:color w:val="auto"/>
                <w:sz w:val="24"/>
                <w:szCs w:val="24"/>
              </w:rPr>
            </w:pPr>
            <w:r>
              <w:rPr>
                <w:rFonts w:ascii="宋体" w:hAnsi="宋体" w:cs="宋体"/>
                <w:color w:val="auto"/>
                <w:sz w:val="24"/>
                <w:szCs w:val="24"/>
              </w:rPr>
              <w:t>2</w:t>
            </w:r>
          </w:p>
        </w:tc>
        <w:tc>
          <w:tcPr>
            <w:tcW w:w="675" w:type="pct"/>
            <w:tcBorders>
              <w:top w:val="single" w:color="000000" w:sz="4" w:space="0"/>
              <w:left w:val="single" w:color="000000" w:sz="4" w:space="0"/>
              <w:right w:val="single" w:color="000000" w:sz="4" w:space="0"/>
            </w:tcBorders>
            <w:tcMar>
              <w:left w:w="108" w:type="dxa"/>
              <w:right w:w="108" w:type="dxa"/>
            </w:tcMar>
            <w:vAlign w:val="center"/>
          </w:tcPr>
          <w:p w14:paraId="6CFDCB71">
            <w:pPr>
              <w:jc w:val="center"/>
              <w:rPr>
                <w:rFonts w:ascii="宋体" w:hAnsi="宋体" w:cs="宋体"/>
                <w:color w:val="auto"/>
                <w:sz w:val="24"/>
                <w:szCs w:val="24"/>
              </w:rPr>
            </w:pPr>
          </w:p>
        </w:tc>
        <w:tc>
          <w:tcPr>
            <w:tcW w:w="686" w:type="pct"/>
            <w:tcBorders>
              <w:top w:val="single" w:color="000000" w:sz="4" w:space="0"/>
              <w:left w:val="single" w:color="000000" w:sz="4" w:space="0"/>
              <w:right w:val="single" w:color="000000" w:sz="4" w:space="0"/>
            </w:tcBorders>
            <w:tcMar>
              <w:left w:w="108" w:type="dxa"/>
              <w:right w:w="108" w:type="dxa"/>
            </w:tcMar>
            <w:vAlign w:val="center"/>
          </w:tcPr>
          <w:p w14:paraId="2AA3B46E">
            <w:pPr>
              <w:widowControl/>
              <w:jc w:val="left"/>
              <w:rPr>
                <w:rFonts w:ascii="宋体" w:hAnsi="宋体" w:cs="宋体"/>
                <w:color w:val="auto"/>
                <w:kern w:val="0"/>
                <w:sz w:val="24"/>
                <w:szCs w:val="24"/>
              </w:rPr>
            </w:pPr>
          </w:p>
        </w:tc>
        <w:tc>
          <w:tcPr>
            <w:tcW w:w="840" w:type="pct"/>
            <w:tcBorders>
              <w:top w:val="single" w:color="000000" w:sz="4" w:space="0"/>
              <w:left w:val="single" w:color="000000" w:sz="4" w:space="0"/>
              <w:right w:val="single" w:color="000000" w:sz="4" w:space="0"/>
            </w:tcBorders>
            <w:tcMar>
              <w:left w:w="108" w:type="dxa"/>
              <w:right w:w="108" w:type="dxa"/>
            </w:tcMar>
            <w:vAlign w:val="center"/>
          </w:tcPr>
          <w:p w14:paraId="62013203">
            <w:pPr>
              <w:spacing w:line="400" w:lineRule="auto"/>
              <w:jc w:val="center"/>
              <w:rPr>
                <w:rFonts w:ascii="宋体" w:hAnsi="宋体" w:cs="宋体"/>
                <w:color w:val="auto"/>
                <w:sz w:val="24"/>
                <w:szCs w:val="24"/>
              </w:rPr>
            </w:pPr>
          </w:p>
        </w:tc>
        <w:tc>
          <w:tcPr>
            <w:tcW w:w="735" w:type="pct"/>
            <w:tcBorders>
              <w:top w:val="single" w:color="000000" w:sz="4" w:space="0"/>
              <w:left w:val="single" w:color="000000" w:sz="4" w:space="0"/>
              <w:right w:val="single" w:color="000000" w:sz="4" w:space="0"/>
            </w:tcBorders>
            <w:vAlign w:val="center"/>
          </w:tcPr>
          <w:p w14:paraId="7A2662C3">
            <w:pPr>
              <w:spacing w:line="400" w:lineRule="auto"/>
              <w:jc w:val="center"/>
              <w:rPr>
                <w:rFonts w:ascii="宋体" w:hAnsi="宋体" w:cs="宋体"/>
                <w:color w:val="auto"/>
                <w:sz w:val="24"/>
                <w:szCs w:val="24"/>
              </w:rPr>
            </w:pPr>
          </w:p>
        </w:tc>
        <w:tc>
          <w:tcPr>
            <w:tcW w:w="925" w:type="pct"/>
            <w:tcBorders>
              <w:top w:val="single" w:color="000000" w:sz="4" w:space="0"/>
              <w:left w:val="single" w:color="000000" w:sz="4" w:space="0"/>
              <w:right w:val="single" w:color="000000" w:sz="4" w:space="0"/>
            </w:tcBorders>
            <w:tcMar>
              <w:left w:w="108" w:type="dxa"/>
              <w:right w:w="108" w:type="dxa"/>
            </w:tcMar>
            <w:vAlign w:val="center"/>
          </w:tcPr>
          <w:p w14:paraId="02898E13">
            <w:pPr>
              <w:spacing w:line="400" w:lineRule="auto"/>
              <w:jc w:val="center"/>
              <w:rPr>
                <w:rFonts w:ascii="宋体" w:hAnsi="宋体" w:cs="宋体"/>
                <w:color w:val="auto"/>
                <w:sz w:val="24"/>
                <w:szCs w:val="24"/>
              </w:rPr>
            </w:pPr>
          </w:p>
        </w:tc>
        <w:tc>
          <w:tcPr>
            <w:tcW w:w="719" w:type="pct"/>
            <w:tcBorders>
              <w:top w:val="single" w:color="000000" w:sz="4" w:space="0"/>
              <w:left w:val="single" w:color="000000" w:sz="4" w:space="0"/>
              <w:right w:val="single" w:color="000000" w:sz="4" w:space="0"/>
            </w:tcBorders>
            <w:tcMar>
              <w:left w:w="108" w:type="dxa"/>
              <w:right w:w="108" w:type="dxa"/>
            </w:tcMar>
            <w:vAlign w:val="center"/>
          </w:tcPr>
          <w:p w14:paraId="2B85361B">
            <w:pPr>
              <w:spacing w:line="400" w:lineRule="auto"/>
              <w:jc w:val="center"/>
              <w:rPr>
                <w:rFonts w:ascii="宋体" w:hAnsi="宋体" w:cs="宋体"/>
                <w:color w:val="auto"/>
                <w:sz w:val="24"/>
                <w:szCs w:val="24"/>
              </w:rPr>
            </w:pPr>
          </w:p>
        </w:tc>
      </w:tr>
      <w:tr w14:paraId="68278C81">
        <w:tblPrEx>
          <w:tblCellMar>
            <w:top w:w="0" w:type="dxa"/>
            <w:left w:w="10" w:type="dxa"/>
            <w:bottom w:w="0" w:type="dxa"/>
            <w:right w:w="10" w:type="dxa"/>
          </w:tblCellMar>
        </w:tblPrEx>
        <w:trPr>
          <w:trHeight w:val="1495" w:hRule="atLeast"/>
        </w:trPr>
        <w:tc>
          <w:tcPr>
            <w:tcW w:w="416" w:type="pct"/>
            <w:tcBorders>
              <w:top w:val="single" w:color="000000" w:sz="4" w:space="0"/>
              <w:left w:val="single" w:color="000000" w:sz="4" w:space="0"/>
              <w:bottom w:val="single" w:color="auto" w:sz="4" w:space="0"/>
              <w:right w:val="single" w:color="000000" w:sz="4" w:space="0"/>
            </w:tcBorders>
            <w:tcMar>
              <w:left w:w="108" w:type="dxa"/>
              <w:right w:w="108" w:type="dxa"/>
            </w:tcMar>
            <w:vAlign w:val="center"/>
          </w:tcPr>
          <w:p w14:paraId="5E674A76">
            <w:pPr>
              <w:jc w:val="center"/>
              <w:rPr>
                <w:rFonts w:ascii="宋体" w:hAnsi="宋体" w:cs="宋体"/>
                <w:color w:val="auto"/>
                <w:sz w:val="24"/>
                <w:szCs w:val="24"/>
              </w:rPr>
            </w:pPr>
            <w:r>
              <w:rPr>
                <w:rFonts w:ascii="宋体" w:hAnsi="宋体" w:cs="宋体"/>
                <w:color w:val="auto"/>
                <w:sz w:val="24"/>
                <w:szCs w:val="24"/>
              </w:rPr>
              <w:t>…</w:t>
            </w:r>
          </w:p>
        </w:tc>
        <w:tc>
          <w:tcPr>
            <w:tcW w:w="675" w:type="pct"/>
            <w:tcBorders>
              <w:top w:val="single" w:color="000000" w:sz="4" w:space="0"/>
              <w:left w:val="single" w:color="000000" w:sz="4" w:space="0"/>
              <w:bottom w:val="single" w:color="auto" w:sz="4" w:space="0"/>
              <w:right w:val="single" w:color="000000" w:sz="4" w:space="0"/>
            </w:tcBorders>
            <w:tcMar>
              <w:left w:w="108" w:type="dxa"/>
              <w:right w:w="108" w:type="dxa"/>
            </w:tcMar>
            <w:vAlign w:val="center"/>
          </w:tcPr>
          <w:p w14:paraId="6B78CC20">
            <w:pPr>
              <w:jc w:val="center"/>
              <w:rPr>
                <w:rFonts w:ascii="宋体" w:hAnsi="宋体" w:cs="宋体"/>
                <w:color w:val="auto"/>
                <w:sz w:val="24"/>
                <w:szCs w:val="24"/>
              </w:rPr>
            </w:pPr>
          </w:p>
        </w:tc>
        <w:tc>
          <w:tcPr>
            <w:tcW w:w="686" w:type="pct"/>
            <w:tcBorders>
              <w:top w:val="single" w:color="000000" w:sz="4" w:space="0"/>
              <w:left w:val="single" w:color="000000" w:sz="4" w:space="0"/>
              <w:bottom w:val="single" w:color="auto" w:sz="4" w:space="0"/>
              <w:right w:val="single" w:color="000000" w:sz="4" w:space="0"/>
            </w:tcBorders>
            <w:tcMar>
              <w:left w:w="108" w:type="dxa"/>
              <w:right w:w="108" w:type="dxa"/>
            </w:tcMar>
            <w:vAlign w:val="center"/>
          </w:tcPr>
          <w:p w14:paraId="1E2E50B7">
            <w:pPr>
              <w:widowControl/>
              <w:jc w:val="left"/>
              <w:rPr>
                <w:rFonts w:ascii="宋体" w:hAnsi="宋体" w:cs="宋体"/>
                <w:color w:val="auto"/>
                <w:kern w:val="0"/>
                <w:sz w:val="24"/>
                <w:szCs w:val="24"/>
              </w:rPr>
            </w:pPr>
          </w:p>
        </w:tc>
        <w:tc>
          <w:tcPr>
            <w:tcW w:w="840" w:type="pct"/>
            <w:tcBorders>
              <w:top w:val="single" w:color="000000" w:sz="4" w:space="0"/>
              <w:left w:val="single" w:color="000000" w:sz="4" w:space="0"/>
              <w:bottom w:val="single" w:color="auto" w:sz="4" w:space="0"/>
              <w:right w:val="single" w:color="000000" w:sz="4" w:space="0"/>
            </w:tcBorders>
            <w:tcMar>
              <w:left w:w="108" w:type="dxa"/>
              <w:right w:w="108" w:type="dxa"/>
            </w:tcMar>
            <w:vAlign w:val="center"/>
          </w:tcPr>
          <w:p w14:paraId="3F32A32D">
            <w:pPr>
              <w:spacing w:line="400" w:lineRule="auto"/>
              <w:jc w:val="center"/>
              <w:rPr>
                <w:rFonts w:ascii="宋体" w:hAnsi="宋体" w:cs="宋体"/>
                <w:color w:val="auto"/>
                <w:sz w:val="24"/>
                <w:szCs w:val="24"/>
              </w:rPr>
            </w:pPr>
          </w:p>
        </w:tc>
        <w:tc>
          <w:tcPr>
            <w:tcW w:w="735" w:type="pct"/>
            <w:tcBorders>
              <w:top w:val="single" w:color="000000" w:sz="4" w:space="0"/>
              <w:left w:val="single" w:color="000000" w:sz="4" w:space="0"/>
              <w:bottom w:val="single" w:color="auto" w:sz="4" w:space="0"/>
              <w:right w:val="single" w:color="000000" w:sz="4" w:space="0"/>
            </w:tcBorders>
            <w:vAlign w:val="center"/>
          </w:tcPr>
          <w:p w14:paraId="7F27360C">
            <w:pPr>
              <w:spacing w:line="400" w:lineRule="auto"/>
              <w:jc w:val="center"/>
              <w:rPr>
                <w:rFonts w:ascii="宋体" w:hAnsi="宋体" w:cs="宋体"/>
                <w:color w:val="auto"/>
                <w:sz w:val="24"/>
                <w:szCs w:val="24"/>
              </w:rPr>
            </w:pPr>
          </w:p>
        </w:tc>
        <w:tc>
          <w:tcPr>
            <w:tcW w:w="925" w:type="pct"/>
            <w:tcBorders>
              <w:top w:val="single" w:color="000000" w:sz="4" w:space="0"/>
              <w:left w:val="single" w:color="000000" w:sz="4" w:space="0"/>
              <w:bottom w:val="single" w:color="auto" w:sz="4" w:space="0"/>
              <w:right w:val="single" w:color="000000" w:sz="4" w:space="0"/>
            </w:tcBorders>
            <w:tcMar>
              <w:left w:w="108" w:type="dxa"/>
              <w:right w:w="108" w:type="dxa"/>
            </w:tcMar>
            <w:vAlign w:val="center"/>
          </w:tcPr>
          <w:p w14:paraId="2A949802">
            <w:pPr>
              <w:spacing w:line="400" w:lineRule="auto"/>
              <w:jc w:val="center"/>
              <w:rPr>
                <w:rFonts w:ascii="宋体" w:hAnsi="宋体" w:cs="宋体"/>
                <w:color w:val="auto"/>
                <w:sz w:val="24"/>
                <w:szCs w:val="24"/>
              </w:rPr>
            </w:pPr>
          </w:p>
        </w:tc>
        <w:tc>
          <w:tcPr>
            <w:tcW w:w="719" w:type="pct"/>
            <w:tcBorders>
              <w:top w:val="single" w:color="000000" w:sz="4" w:space="0"/>
              <w:left w:val="single" w:color="000000" w:sz="4" w:space="0"/>
              <w:bottom w:val="single" w:color="auto" w:sz="4" w:space="0"/>
              <w:right w:val="single" w:color="000000" w:sz="4" w:space="0"/>
            </w:tcBorders>
            <w:tcMar>
              <w:left w:w="108" w:type="dxa"/>
              <w:right w:w="108" w:type="dxa"/>
            </w:tcMar>
            <w:vAlign w:val="center"/>
          </w:tcPr>
          <w:p w14:paraId="6D7B8CA8">
            <w:pPr>
              <w:spacing w:line="400" w:lineRule="auto"/>
              <w:jc w:val="center"/>
              <w:rPr>
                <w:rFonts w:ascii="宋体" w:hAnsi="宋体" w:cs="宋体"/>
                <w:color w:val="auto"/>
                <w:sz w:val="24"/>
                <w:szCs w:val="24"/>
              </w:rPr>
            </w:pPr>
          </w:p>
        </w:tc>
      </w:tr>
    </w:tbl>
    <w:p w14:paraId="2943383B">
      <w:pPr>
        <w:spacing w:line="400" w:lineRule="auto"/>
        <w:ind w:firstLine="482"/>
        <w:rPr>
          <w:rFonts w:ascii="宋体" w:hAnsi="宋体" w:cs="宋体"/>
          <w:b/>
          <w:color w:val="auto"/>
          <w:sz w:val="22"/>
          <w:szCs w:val="22"/>
        </w:rPr>
      </w:pPr>
      <w:r>
        <w:rPr>
          <w:rFonts w:hint="eastAsia" w:ascii="宋体" w:hAnsi="宋体" w:cs="宋体"/>
          <w:b/>
          <w:color w:val="auto"/>
          <w:sz w:val="22"/>
          <w:szCs w:val="22"/>
        </w:rPr>
        <w:t>填表</w:t>
      </w:r>
      <w:r>
        <w:rPr>
          <w:rFonts w:ascii="宋体" w:hAnsi="宋体" w:cs="宋体"/>
          <w:b/>
          <w:color w:val="auto"/>
          <w:sz w:val="22"/>
          <w:szCs w:val="22"/>
        </w:rPr>
        <w:t>说明：</w:t>
      </w:r>
    </w:p>
    <w:p w14:paraId="65883A66">
      <w:pPr>
        <w:spacing w:line="400" w:lineRule="auto"/>
        <w:ind w:firstLine="482"/>
        <w:rPr>
          <w:rFonts w:hint="eastAsia" w:ascii="宋体" w:hAnsi="宋体" w:cs="宋体"/>
          <w:b/>
          <w:color w:val="auto"/>
          <w:sz w:val="22"/>
          <w:szCs w:val="22"/>
          <w:lang w:eastAsia="zh-CN"/>
        </w:rPr>
      </w:pPr>
      <w:r>
        <w:rPr>
          <w:rFonts w:hint="eastAsia" w:ascii="宋体" w:hAnsi="宋体" w:cs="宋体"/>
          <w:b/>
          <w:color w:val="auto"/>
          <w:sz w:val="22"/>
          <w:szCs w:val="22"/>
        </w:rPr>
        <w:t>1.技术偏离表应按招标文件第二章货物需求中技术要求逐条填写，应填写响应货物的实际参数，不能将谈判文件中的参数要求</w:t>
      </w:r>
      <w:r>
        <w:rPr>
          <w:rFonts w:hint="eastAsia" w:ascii="宋体" w:hAnsi="宋体" w:cs="宋体"/>
          <w:b/>
          <w:color w:val="auto"/>
          <w:sz w:val="22"/>
          <w:szCs w:val="22"/>
          <w:lang w:val="en-US" w:eastAsia="zh-CN"/>
        </w:rPr>
        <w:t>完全</w:t>
      </w:r>
      <w:r>
        <w:rPr>
          <w:rFonts w:hint="eastAsia" w:ascii="宋体" w:hAnsi="宋体" w:cs="宋体"/>
          <w:b/>
          <w:color w:val="auto"/>
          <w:sz w:val="22"/>
          <w:szCs w:val="22"/>
        </w:rPr>
        <w:t>复制粘贴，否则响应无效</w:t>
      </w:r>
      <w:r>
        <w:rPr>
          <w:rFonts w:hint="eastAsia" w:ascii="宋体" w:hAnsi="宋体" w:cs="宋体"/>
          <w:b/>
          <w:color w:val="auto"/>
          <w:sz w:val="22"/>
          <w:szCs w:val="22"/>
          <w:lang w:eastAsia="zh-CN"/>
        </w:rPr>
        <w:t>。</w:t>
      </w:r>
    </w:p>
    <w:p w14:paraId="06C7B5F4">
      <w:pPr>
        <w:spacing w:line="400" w:lineRule="auto"/>
        <w:ind w:firstLine="482"/>
        <w:rPr>
          <w:rFonts w:hint="eastAsia" w:ascii="宋体" w:hAnsi="宋体" w:cs="宋体"/>
          <w:b/>
          <w:color w:val="auto"/>
          <w:sz w:val="22"/>
          <w:szCs w:val="22"/>
        </w:rPr>
      </w:pPr>
      <w:r>
        <w:rPr>
          <w:rFonts w:hint="eastAsia" w:ascii="宋体" w:hAnsi="宋体" w:cs="宋体"/>
          <w:b/>
          <w:color w:val="auto"/>
          <w:sz w:val="22"/>
          <w:szCs w:val="22"/>
        </w:rPr>
        <w:t>2.技术偏离表填写</w:t>
      </w:r>
      <w:r>
        <w:rPr>
          <w:rFonts w:hint="eastAsia" w:ascii="宋体" w:hAnsi="宋体" w:cs="宋体"/>
          <w:b/>
          <w:color w:val="auto"/>
          <w:sz w:val="22"/>
          <w:szCs w:val="22"/>
          <w:lang w:val="en-US" w:eastAsia="zh-CN"/>
        </w:rPr>
        <w:t>报价</w:t>
      </w:r>
      <w:r>
        <w:rPr>
          <w:rFonts w:hint="eastAsia" w:ascii="宋体" w:hAnsi="宋体" w:cs="宋体"/>
          <w:b/>
          <w:color w:val="auto"/>
          <w:sz w:val="22"/>
          <w:szCs w:val="22"/>
        </w:rPr>
        <w:t>技术参数</w:t>
      </w:r>
      <w:r>
        <w:rPr>
          <w:rFonts w:hint="eastAsia" w:ascii="宋体" w:hAnsi="宋体" w:cs="宋体"/>
          <w:b/>
          <w:color w:val="auto"/>
          <w:sz w:val="22"/>
          <w:szCs w:val="22"/>
          <w:lang w:val="en-US" w:eastAsia="zh-CN"/>
        </w:rPr>
        <w:t>偏离情况</w:t>
      </w:r>
      <w:r>
        <w:rPr>
          <w:rFonts w:hint="eastAsia" w:ascii="宋体" w:hAnsi="宋体" w:cs="宋体"/>
          <w:b/>
          <w:color w:val="auto"/>
          <w:sz w:val="22"/>
          <w:szCs w:val="22"/>
        </w:rPr>
        <w:t>，本</w:t>
      </w:r>
      <w:r>
        <w:rPr>
          <w:rFonts w:hint="eastAsia" w:ascii="宋体" w:hAnsi="宋体" w:cs="宋体"/>
          <w:b/>
          <w:color w:val="auto"/>
          <w:sz w:val="22"/>
          <w:szCs w:val="22"/>
          <w:lang w:val="en-US" w:eastAsia="zh-CN"/>
        </w:rPr>
        <w:t>此采购</w:t>
      </w:r>
      <w:r>
        <w:rPr>
          <w:rFonts w:hint="eastAsia" w:ascii="宋体" w:hAnsi="宋体" w:cs="宋体"/>
          <w:b/>
          <w:color w:val="auto"/>
          <w:sz w:val="22"/>
          <w:szCs w:val="22"/>
        </w:rPr>
        <w:t>不接受负偏离的</w:t>
      </w:r>
      <w:r>
        <w:rPr>
          <w:rFonts w:hint="eastAsia" w:ascii="宋体" w:hAnsi="宋体" w:cs="宋体"/>
          <w:b/>
          <w:color w:val="auto"/>
          <w:sz w:val="22"/>
          <w:szCs w:val="22"/>
          <w:lang w:val="en-US" w:eastAsia="zh-CN"/>
        </w:rPr>
        <w:t>参数</w:t>
      </w:r>
      <w:r>
        <w:rPr>
          <w:rFonts w:hint="eastAsia" w:ascii="宋体" w:hAnsi="宋体" w:cs="宋体"/>
          <w:b/>
          <w:color w:val="auto"/>
          <w:sz w:val="22"/>
          <w:szCs w:val="22"/>
        </w:rPr>
        <w:t>谈判报价。</w:t>
      </w:r>
    </w:p>
    <w:p w14:paraId="183624A3">
      <w:pPr>
        <w:spacing w:line="400" w:lineRule="auto"/>
        <w:ind w:firstLine="482"/>
        <w:rPr>
          <w:rFonts w:hint="eastAsia" w:ascii="宋体" w:hAnsi="宋体" w:cs="宋体"/>
          <w:b/>
          <w:color w:val="auto"/>
          <w:sz w:val="22"/>
          <w:szCs w:val="22"/>
        </w:rPr>
      </w:pPr>
      <w:r>
        <w:rPr>
          <w:rFonts w:hint="eastAsia" w:ascii="宋体" w:hAnsi="宋体" w:cs="宋体"/>
          <w:b/>
          <w:color w:val="auto"/>
          <w:sz w:val="22"/>
          <w:szCs w:val="22"/>
          <w:lang w:val="en-US" w:eastAsia="zh-CN"/>
        </w:rPr>
        <w:t>3.</w:t>
      </w:r>
      <w:r>
        <w:rPr>
          <w:rFonts w:hint="eastAsia" w:ascii="宋体" w:hAnsi="宋体" w:cs="宋体"/>
          <w:b/>
          <w:color w:val="auto"/>
          <w:sz w:val="22"/>
          <w:szCs w:val="22"/>
        </w:rPr>
        <w:t>“偏离情况”列应据实填写“无偏离”、“正偏离”或“负偏离”。</w:t>
      </w:r>
    </w:p>
    <w:p w14:paraId="639447E8">
      <w:pPr>
        <w:spacing w:line="400" w:lineRule="auto"/>
        <w:ind w:firstLine="482"/>
        <w:rPr>
          <w:rFonts w:ascii="宋体" w:hAnsi="宋体" w:cs="宋体"/>
          <w:b/>
          <w:color w:val="auto"/>
          <w:sz w:val="22"/>
          <w:szCs w:val="22"/>
        </w:rPr>
        <w:sectPr>
          <w:headerReference r:id="rId26" w:type="default"/>
          <w:pgSz w:w="11907" w:h="16840"/>
          <w:pgMar w:top="1440" w:right="1310" w:bottom="1440" w:left="1310" w:header="1021" w:footer="1021" w:gutter="170"/>
          <w:pgNumType w:fmt="decimal"/>
          <w:cols w:space="720" w:num="1"/>
          <w:docGrid w:linePitch="286" w:charSpace="0"/>
        </w:sectPr>
      </w:pPr>
      <w:r>
        <w:rPr>
          <w:rFonts w:hint="eastAsia" w:ascii="宋体" w:hAnsi="宋体" w:cs="宋体"/>
          <w:b/>
          <w:color w:val="auto"/>
          <w:sz w:val="22"/>
          <w:szCs w:val="22"/>
        </w:rPr>
        <w:t>4.如投标人投标文件有任何造假，即便非主要参数，一经发现，采购人有权取消中标资格，投标人需按中标金额10%予以赔偿，须投标人以书面对以上内容做出承诺，并加盖公章，否则，投标无效。</w:t>
      </w:r>
      <w:r>
        <w:rPr>
          <w:rFonts w:hint="eastAsia" w:ascii="宋体" w:hAnsi="宋体" w:cs="宋体"/>
          <w:b/>
          <w:color w:val="auto"/>
          <w:sz w:val="22"/>
          <w:szCs w:val="22"/>
        </w:rPr>
        <w:br w:type="textWrapping"/>
      </w:r>
    </w:p>
    <w:p w14:paraId="2C946457">
      <w:pPr>
        <w:spacing w:line="360" w:lineRule="auto"/>
        <w:jc w:val="center"/>
        <w:rPr>
          <w:rFonts w:ascii="宋体" w:hAnsi="宋体"/>
          <w:b/>
          <w:color w:val="auto"/>
          <w:sz w:val="28"/>
          <w:szCs w:val="28"/>
        </w:rPr>
      </w:pPr>
      <w:r>
        <w:rPr>
          <w:rFonts w:ascii="宋体" w:hAnsi="宋体" w:cs="宋体"/>
          <w:b/>
          <w:color w:val="auto"/>
          <w:sz w:val="28"/>
          <w:szCs w:val="28"/>
        </w:rPr>
        <w:tab/>
      </w:r>
      <w:r>
        <w:rPr>
          <w:rFonts w:hint="eastAsia" w:ascii="宋体" w:hAnsi="宋体"/>
          <w:b/>
          <w:color w:val="auto"/>
          <w:sz w:val="28"/>
          <w:szCs w:val="28"/>
        </w:rPr>
        <w:t>十</w:t>
      </w:r>
      <w:r>
        <w:rPr>
          <w:rFonts w:hint="eastAsia" w:ascii="宋体" w:hAnsi="宋体"/>
          <w:b/>
          <w:color w:val="auto"/>
          <w:sz w:val="28"/>
          <w:szCs w:val="28"/>
          <w:lang w:val="en-US" w:eastAsia="zh-CN"/>
        </w:rPr>
        <w:t>一</w:t>
      </w:r>
      <w:r>
        <w:rPr>
          <w:rFonts w:hint="eastAsia" w:ascii="宋体" w:hAnsi="宋体"/>
          <w:b/>
          <w:color w:val="auto"/>
          <w:sz w:val="28"/>
          <w:szCs w:val="28"/>
        </w:rPr>
        <w:t>、节能产品清单</w:t>
      </w:r>
      <w:r>
        <w:rPr>
          <w:rFonts w:ascii="宋体" w:hAnsi="宋体"/>
          <w:b/>
          <w:color w:val="auto"/>
          <w:sz w:val="28"/>
          <w:szCs w:val="28"/>
        </w:rPr>
        <w:t>说明表</w:t>
      </w:r>
    </w:p>
    <w:p w14:paraId="2172C0E3">
      <w:pPr>
        <w:spacing w:line="360" w:lineRule="auto"/>
        <w:jc w:val="center"/>
        <w:rPr>
          <w:rFonts w:ascii="宋体" w:hAnsi="宋体"/>
          <w:b/>
          <w:color w:val="auto"/>
          <w:sz w:val="24"/>
          <w:szCs w:val="24"/>
        </w:rPr>
      </w:pPr>
      <w:r>
        <w:rPr>
          <w:rFonts w:hint="eastAsia" w:ascii="宋体" w:hAnsi="宋体"/>
          <w:b/>
          <w:color w:val="auto"/>
          <w:sz w:val="24"/>
          <w:szCs w:val="24"/>
        </w:rPr>
        <w:t>（节能</w:t>
      </w:r>
      <w:r>
        <w:rPr>
          <w:rFonts w:ascii="宋体" w:hAnsi="宋体"/>
          <w:b/>
          <w:color w:val="auto"/>
          <w:sz w:val="24"/>
          <w:szCs w:val="24"/>
        </w:rPr>
        <w:t>产品按下列格式提供</w:t>
      </w:r>
      <w:r>
        <w:rPr>
          <w:rFonts w:hint="eastAsia" w:ascii="宋体" w:hAnsi="宋体"/>
          <w:b/>
          <w:color w:val="auto"/>
          <w:sz w:val="24"/>
          <w:szCs w:val="24"/>
        </w:rPr>
        <w:t>）</w:t>
      </w:r>
    </w:p>
    <w:p w14:paraId="281CA5E9">
      <w:pPr>
        <w:spacing w:line="360" w:lineRule="auto"/>
        <w:jc w:val="left"/>
        <w:rPr>
          <w:rFonts w:ascii="宋体" w:hAnsi="宋体" w:cs="宋体"/>
          <w:color w:val="auto"/>
          <w:sz w:val="24"/>
        </w:rPr>
      </w:pPr>
      <w:r>
        <w:rPr>
          <w:rFonts w:hint="eastAsia" w:ascii="宋体" w:hAnsi="宋体" w:cs="宋体"/>
          <w:color w:val="auto"/>
          <w:sz w:val="24"/>
        </w:rPr>
        <w:t>采购</w:t>
      </w:r>
      <w:r>
        <w:rPr>
          <w:rFonts w:ascii="宋体" w:hAnsi="宋体" w:cs="宋体"/>
          <w:color w:val="auto"/>
          <w:sz w:val="24"/>
        </w:rPr>
        <w:t>项目</w:t>
      </w:r>
      <w:r>
        <w:rPr>
          <w:rFonts w:hint="eastAsia" w:ascii="宋体" w:hAnsi="宋体" w:cs="宋体"/>
          <w:color w:val="auto"/>
          <w:sz w:val="24"/>
        </w:rPr>
        <w:t>名称</w:t>
      </w:r>
      <w:r>
        <w:rPr>
          <w:rFonts w:ascii="宋体" w:hAnsi="宋体" w:cs="宋体"/>
          <w:color w:val="auto"/>
          <w:sz w:val="24"/>
        </w:rPr>
        <w:t>：</w:t>
      </w:r>
    </w:p>
    <w:p w14:paraId="0FD02013">
      <w:pPr>
        <w:spacing w:line="360" w:lineRule="auto"/>
        <w:jc w:val="left"/>
        <w:rPr>
          <w:rFonts w:ascii="宋体" w:hAnsi="宋体" w:cs="宋体"/>
          <w:color w:val="auto"/>
          <w:sz w:val="24"/>
        </w:rPr>
      </w:pPr>
      <w:r>
        <w:rPr>
          <w:rFonts w:hint="eastAsia" w:ascii="宋体" w:hAnsi="宋体" w:cs="宋体"/>
          <w:color w:val="auto"/>
          <w:sz w:val="24"/>
        </w:rPr>
        <w:t>采购</w:t>
      </w:r>
      <w:r>
        <w:rPr>
          <w:rFonts w:ascii="宋体" w:hAnsi="宋体" w:cs="宋体"/>
          <w:color w:val="auto"/>
          <w:sz w:val="24"/>
        </w:rPr>
        <w:t>项目编号：</w:t>
      </w:r>
    </w:p>
    <w:tbl>
      <w:tblPr>
        <w:tblStyle w:val="42"/>
        <w:tblW w:w="0" w:type="auto"/>
        <w:tblInd w:w="98" w:type="dxa"/>
        <w:tblLayout w:type="fixed"/>
        <w:tblCellMar>
          <w:top w:w="0" w:type="dxa"/>
          <w:left w:w="10" w:type="dxa"/>
          <w:bottom w:w="0" w:type="dxa"/>
          <w:right w:w="10" w:type="dxa"/>
        </w:tblCellMar>
      </w:tblPr>
      <w:tblGrid>
        <w:gridCol w:w="436"/>
        <w:gridCol w:w="1275"/>
        <w:gridCol w:w="851"/>
        <w:gridCol w:w="1417"/>
        <w:gridCol w:w="1134"/>
        <w:gridCol w:w="1276"/>
        <w:gridCol w:w="1276"/>
        <w:gridCol w:w="1701"/>
      </w:tblGrid>
      <w:tr w14:paraId="072C4B36">
        <w:tblPrEx>
          <w:tblCellMar>
            <w:top w:w="0" w:type="dxa"/>
            <w:left w:w="10" w:type="dxa"/>
            <w:bottom w:w="0" w:type="dxa"/>
            <w:right w:w="10" w:type="dxa"/>
          </w:tblCellMar>
        </w:tblPrEx>
        <w:trPr>
          <w:trHeight w:val="746" w:hRule="atLeast"/>
        </w:trPr>
        <w:tc>
          <w:tcPr>
            <w:tcW w:w="436" w:type="dxa"/>
            <w:vMerge w:val="restart"/>
            <w:tcBorders>
              <w:top w:val="single" w:color="000000" w:sz="4" w:space="0"/>
              <w:left w:val="single" w:color="000000" w:sz="4" w:space="0"/>
              <w:right w:val="single" w:color="000000" w:sz="4" w:space="0"/>
            </w:tcBorders>
            <w:tcMar>
              <w:left w:w="108" w:type="dxa"/>
              <w:right w:w="108" w:type="dxa"/>
            </w:tcMar>
            <w:vAlign w:val="center"/>
          </w:tcPr>
          <w:p w14:paraId="671EB573">
            <w:pPr>
              <w:jc w:val="center"/>
              <w:rPr>
                <w:rFonts w:ascii="宋体" w:hAnsi="宋体" w:cs="宋体"/>
                <w:color w:val="auto"/>
                <w:sz w:val="24"/>
              </w:rPr>
            </w:pPr>
            <w:r>
              <w:rPr>
                <w:rFonts w:ascii="宋体" w:hAnsi="宋体" w:cs="宋体"/>
                <w:color w:val="auto"/>
                <w:sz w:val="24"/>
              </w:rPr>
              <w:t>序号</w:t>
            </w:r>
          </w:p>
        </w:tc>
        <w:tc>
          <w:tcPr>
            <w:tcW w:w="1275" w:type="dxa"/>
            <w:vMerge w:val="restart"/>
            <w:tcBorders>
              <w:top w:val="single" w:color="000000" w:sz="4" w:space="0"/>
              <w:left w:val="single" w:color="000000" w:sz="4" w:space="0"/>
              <w:right w:val="single" w:color="000000" w:sz="4" w:space="0"/>
            </w:tcBorders>
            <w:tcMar>
              <w:left w:w="108" w:type="dxa"/>
              <w:right w:w="108" w:type="dxa"/>
            </w:tcMar>
            <w:vAlign w:val="center"/>
          </w:tcPr>
          <w:p w14:paraId="7A9DD522">
            <w:pPr>
              <w:jc w:val="center"/>
              <w:rPr>
                <w:rFonts w:ascii="宋体" w:hAnsi="宋体" w:cs="宋体"/>
                <w:color w:val="auto"/>
                <w:sz w:val="24"/>
              </w:rPr>
            </w:pPr>
            <w:r>
              <w:rPr>
                <w:rFonts w:hint="eastAsia" w:ascii="宋体" w:hAnsi="宋体" w:cs="宋体"/>
                <w:color w:val="auto"/>
                <w:sz w:val="24"/>
              </w:rPr>
              <w:t>货物</w:t>
            </w:r>
            <w:r>
              <w:rPr>
                <w:rFonts w:ascii="宋体" w:hAnsi="宋体" w:cs="宋体"/>
                <w:color w:val="auto"/>
                <w:sz w:val="24"/>
              </w:rPr>
              <w:t>名称</w:t>
            </w:r>
          </w:p>
        </w:tc>
        <w:tc>
          <w:tcPr>
            <w:tcW w:w="851" w:type="dxa"/>
            <w:vMerge w:val="restart"/>
            <w:tcBorders>
              <w:top w:val="single" w:color="000000" w:sz="4" w:space="0"/>
              <w:left w:val="single" w:color="000000" w:sz="4" w:space="0"/>
              <w:right w:val="single" w:color="000000" w:sz="4" w:space="0"/>
            </w:tcBorders>
            <w:tcMar>
              <w:left w:w="108" w:type="dxa"/>
              <w:right w:w="108" w:type="dxa"/>
            </w:tcMar>
            <w:vAlign w:val="center"/>
          </w:tcPr>
          <w:p w14:paraId="39056B50">
            <w:pPr>
              <w:jc w:val="center"/>
              <w:rPr>
                <w:rFonts w:ascii="宋体" w:hAnsi="宋体" w:cs="宋体"/>
                <w:color w:val="auto"/>
                <w:sz w:val="24"/>
              </w:rPr>
            </w:pPr>
            <w:r>
              <w:rPr>
                <w:rFonts w:hint="eastAsia" w:ascii="宋体" w:hAnsi="宋体" w:cs="宋体"/>
                <w:color w:val="auto"/>
                <w:sz w:val="24"/>
              </w:rPr>
              <w:t>规格型号</w:t>
            </w:r>
          </w:p>
        </w:tc>
        <w:tc>
          <w:tcPr>
            <w:tcW w:w="6804"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75E35F7">
            <w:pPr>
              <w:jc w:val="center"/>
              <w:rPr>
                <w:rFonts w:ascii="宋体" w:hAnsi="宋体" w:cs="宋体"/>
                <w:color w:val="auto"/>
                <w:sz w:val="24"/>
              </w:rPr>
            </w:pPr>
            <w:r>
              <w:rPr>
                <w:rFonts w:hint="eastAsia" w:ascii="宋体" w:hAnsi="宋体" w:cs="宋体"/>
                <w:color w:val="auto"/>
                <w:sz w:val="24"/>
              </w:rPr>
              <w:t>节能</w:t>
            </w:r>
            <w:r>
              <w:rPr>
                <w:rFonts w:ascii="宋体" w:hAnsi="宋体" w:cs="宋体"/>
                <w:color w:val="auto"/>
                <w:sz w:val="24"/>
              </w:rPr>
              <w:t>产品政府采购清单</w:t>
            </w:r>
          </w:p>
        </w:tc>
      </w:tr>
      <w:tr w14:paraId="5151FDD7">
        <w:tblPrEx>
          <w:tblCellMar>
            <w:top w:w="0" w:type="dxa"/>
            <w:left w:w="10" w:type="dxa"/>
            <w:bottom w:w="0" w:type="dxa"/>
            <w:right w:w="10" w:type="dxa"/>
          </w:tblCellMar>
        </w:tblPrEx>
        <w:trPr>
          <w:trHeight w:val="746" w:hRule="atLeast"/>
        </w:trPr>
        <w:tc>
          <w:tcPr>
            <w:tcW w:w="436" w:type="dxa"/>
            <w:vMerge w:val="continue"/>
            <w:tcBorders>
              <w:left w:val="single" w:color="000000" w:sz="4" w:space="0"/>
              <w:bottom w:val="single" w:color="000000" w:sz="4" w:space="0"/>
              <w:right w:val="single" w:color="000000" w:sz="4" w:space="0"/>
            </w:tcBorders>
            <w:tcMar>
              <w:left w:w="108" w:type="dxa"/>
              <w:right w:w="108" w:type="dxa"/>
            </w:tcMar>
            <w:vAlign w:val="center"/>
          </w:tcPr>
          <w:p w14:paraId="23CCD8CB">
            <w:pPr>
              <w:jc w:val="center"/>
              <w:rPr>
                <w:rFonts w:ascii="宋体" w:hAnsi="宋体" w:cs="宋体"/>
                <w:color w:val="auto"/>
                <w:sz w:val="24"/>
              </w:rPr>
            </w:pPr>
          </w:p>
        </w:tc>
        <w:tc>
          <w:tcPr>
            <w:tcW w:w="1275" w:type="dxa"/>
            <w:vMerge w:val="continue"/>
            <w:tcBorders>
              <w:left w:val="single" w:color="000000" w:sz="4" w:space="0"/>
              <w:bottom w:val="single" w:color="000000" w:sz="4" w:space="0"/>
              <w:right w:val="single" w:color="000000" w:sz="4" w:space="0"/>
            </w:tcBorders>
            <w:tcMar>
              <w:left w:w="108" w:type="dxa"/>
              <w:right w:w="108" w:type="dxa"/>
            </w:tcMar>
            <w:vAlign w:val="center"/>
          </w:tcPr>
          <w:p w14:paraId="718C9949">
            <w:pPr>
              <w:jc w:val="center"/>
              <w:rPr>
                <w:rFonts w:ascii="宋体" w:hAnsi="宋体" w:cs="宋体"/>
                <w:color w:val="auto"/>
                <w:sz w:val="24"/>
              </w:rPr>
            </w:pPr>
          </w:p>
        </w:tc>
        <w:tc>
          <w:tcPr>
            <w:tcW w:w="851" w:type="dxa"/>
            <w:vMerge w:val="continue"/>
            <w:tcBorders>
              <w:left w:val="single" w:color="000000" w:sz="4" w:space="0"/>
              <w:bottom w:val="single" w:color="000000" w:sz="4" w:space="0"/>
              <w:right w:val="single" w:color="000000" w:sz="4" w:space="0"/>
            </w:tcBorders>
            <w:tcMar>
              <w:left w:w="108" w:type="dxa"/>
              <w:right w:w="108" w:type="dxa"/>
            </w:tcMar>
            <w:vAlign w:val="center"/>
          </w:tcPr>
          <w:p w14:paraId="7F382DFB">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D12E11E">
            <w:pPr>
              <w:jc w:val="center"/>
              <w:rPr>
                <w:rFonts w:ascii="宋体" w:hAnsi="宋体" w:cs="宋体"/>
                <w:color w:val="auto"/>
                <w:sz w:val="24"/>
              </w:rPr>
            </w:pPr>
            <w:r>
              <w:rPr>
                <w:rFonts w:hint="eastAsia" w:ascii="宋体" w:hAnsi="宋体" w:cs="宋体"/>
                <w:color w:val="auto"/>
                <w:sz w:val="24"/>
              </w:rPr>
              <w:t>已取</w:t>
            </w:r>
            <w:r>
              <w:rPr>
                <w:rFonts w:ascii="宋体" w:hAnsi="宋体" w:cs="宋体"/>
                <w:color w:val="auto"/>
                <w:sz w:val="24"/>
              </w:rPr>
              <w:t>得证书日期</w:t>
            </w:r>
          </w:p>
        </w:tc>
        <w:tc>
          <w:tcPr>
            <w:tcW w:w="1134" w:type="dxa"/>
            <w:tcBorders>
              <w:top w:val="single" w:color="000000" w:sz="4" w:space="0"/>
              <w:left w:val="single" w:color="000000" w:sz="4" w:space="0"/>
              <w:bottom w:val="single" w:color="000000" w:sz="4" w:space="0"/>
              <w:right w:val="single" w:color="000000" w:sz="4" w:space="0"/>
            </w:tcBorders>
            <w:vAlign w:val="center"/>
          </w:tcPr>
          <w:p w14:paraId="23629B90">
            <w:pPr>
              <w:jc w:val="center"/>
              <w:rPr>
                <w:rFonts w:ascii="宋体" w:hAnsi="宋体" w:cs="宋体"/>
                <w:color w:val="auto"/>
                <w:sz w:val="24"/>
              </w:rPr>
            </w:pPr>
            <w:r>
              <w:rPr>
                <w:rFonts w:hint="eastAsia" w:ascii="宋体" w:hAnsi="宋体" w:cs="宋体"/>
                <w:color w:val="auto"/>
                <w:sz w:val="24"/>
              </w:rPr>
              <w:t>清单型号</w:t>
            </w: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CD28B96">
            <w:pPr>
              <w:jc w:val="center"/>
              <w:rPr>
                <w:rFonts w:ascii="宋体" w:hAnsi="宋体" w:cs="宋体"/>
                <w:color w:val="auto"/>
                <w:sz w:val="24"/>
              </w:rPr>
            </w:pPr>
            <w:r>
              <w:rPr>
                <w:rFonts w:hint="eastAsia" w:ascii="宋体" w:hAnsi="宋体" w:cs="宋体"/>
                <w:color w:val="auto"/>
                <w:sz w:val="24"/>
              </w:rPr>
              <w:t>证书</w:t>
            </w:r>
            <w:r>
              <w:rPr>
                <w:rFonts w:ascii="宋体" w:hAnsi="宋体" w:cs="宋体"/>
                <w:color w:val="auto"/>
                <w:sz w:val="24"/>
              </w:rPr>
              <w:t>编号</w:t>
            </w: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A4F892C">
            <w:pPr>
              <w:jc w:val="center"/>
              <w:rPr>
                <w:rFonts w:ascii="宋体" w:hAnsi="宋体" w:cs="宋体"/>
                <w:color w:val="auto"/>
                <w:sz w:val="24"/>
              </w:rPr>
            </w:pPr>
            <w:r>
              <w:rPr>
                <w:rFonts w:hint="eastAsia" w:ascii="宋体" w:hAnsi="宋体" w:cs="宋体"/>
                <w:color w:val="auto"/>
                <w:sz w:val="24"/>
              </w:rPr>
              <w:t>认证</w:t>
            </w:r>
            <w:r>
              <w:rPr>
                <w:rFonts w:ascii="宋体" w:hAnsi="宋体" w:cs="宋体"/>
                <w:color w:val="auto"/>
                <w:sz w:val="24"/>
              </w:rPr>
              <w:t>证书有效期截止时间</w:t>
            </w: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182FB14">
            <w:pPr>
              <w:jc w:val="center"/>
              <w:rPr>
                <w:rFonts w:ascii="宋体" w:hAnsi="宋体" w:cs="宋体"/>
                <w:color w:val="auto"/>
                <w:sz w:val="24"/>
              </w:rPr>
            </w:pPr>
            <w:r>
              <w:rPr>
                <w:rFonts w:hint="eastAsia" w:ascii="宋体" w:hAnsi="宋体" w:cs="宋体"/>
                <w:color w:val="auto"/>
                <w:sz w:val="24"/>
              </w:rPr>
              <w:t>位于</w:t>
            </w:r>
            <w:r>
              <w:rPr>
                <w:rFonts w:ascii="宋体" w:hAnsi="宋体" w:cs="宋体"/>
                <w:color w:val="auto"/>
                <w:sz w:val="24"/>
              </w:rPr>
              <w:t>节能产品</w:t>
            </w:r>
            <w:r>
              <w:rPr>
                <w:rFonts w:hint="eastAsia" w:ascii="宋体" w:hAnsi="宋体" w:cs="宋体"/>
                <w:color w:val="auto"/>
                <w:sz w:val="24"/>
              </w:rPr>
              <w:t>政府</w:t>
            </w:r>
            <w:r>
              <w:rPr>
                <w:rFonts w:ascii="宋体" w:hAnsi="宋体" w:cs="宋体"/>
                <w:color w:val="auto"/>
                <w:sz w:val="24"/>
              </w:rPr>
              <w:t>采购清单页次</w:t>
            </w:r>
          </w:p>
        </w:tc>
      </w:tr>
      <w:tr w14:paraId="32709561">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3C5AE04">
            <w:pPr>
              <w:jc w:val="center"/>
              <w:rPr>
                <w:rFonts w:ascii="宋体" w:hAnsi="宋体" w:cs="宋体"/>
                <w:color w:val="auto"/>
                <w:sz w:val="24"/>
                <w:szCs w:val="22"/>
              </w:rPr>
            </w:pPr>
            <w:r>
              <w:rPr>
                <w:rFonts w:ascii="宋体" w:hAnsi="宋体" w:cs="宋体"/>
                <w:color w:val="auto"/>
                <w:sz w:val="24"/>
                <w:szCs w:val="22"/>
              </w:rPr>
              <w:t>1</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7C33B61">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36D9030">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A66948C">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58C03888">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7086C06">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CA8C0A5">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3E333DE">
            <w:pPr>
              <w:jc w:val="center"/>
              <w:rPr>
                <w:rFonts w:ascii="宋体" w:hAnsi="宋体" w:cs="宋体"/>
                <w:color w:val="auto"/>
                <w:sz w:val="24"/>
              </w:rPr>
            </w:pPr>
            <w:r>
              <w:rPr>
                <w:rFonts w:hint="eastAsia" w:ascii="宋体" w:hAnsi="宋体" w:cs="宋体"/>
                <w:color w:val="auto"/>
                <w:sz w:val="24"/>
              </w:rPr>
              <w:t>第XX页</w:t>
            </w:r>
            <w:r>
              <w:rPr>
                <w:rFonts w:ascii="宋体" w:hAnsi="宋体" w:cs="宋体"/>
                <w:color w:val="auto"/>
                <w:sz w:val="24"/>
              </w:rPr>
              <w:t>第</w:t>
            </w:r>
            <w:r>
              <w:rPr>
                <w:rFonts w:hint="eastAsia" w:ascii="宋体" w:hAnsi="宋体" w:cs="宋体"/>
                <w:color w:val="auto"/>
                <w:sz w:val="24"/>
              </w:rPr>
              <w:t>XX大行</w:t>
            </w:r>
            <w:r>
              <w:rPr>
                <w:rFonts w:ascii="宋体" w:hAnsi="宋体" w:cs="宋体"/>
                <w:color w:val="auto"/>
                <w:sz w:val="24"/>
              </w:rPr>
              <w:t>第</w:t>
            </w:r>
            <w:r>
              <w:rPr>
                <w:rFonts w:hint="eastAsia" w:ascii="宋体" w:hAnsi="宋体" w:cs="宋体"/>
                <w:color w:val="auto"/>
                <w:sz w:val="24"/>
              </w:rPr>
              <w:t>XX行</w:t>
            </w:r>
          </w:p>
        </w:tc>
      </w:tr>
      <w:tr w14:paraId="096E9A20">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0548547">
            <w:pPr>
              <w:jc w:val="center"/>
              <w:rPr>
                <w:rFonts w:ascii="宋体" w:hAnsi="宋体" w:cs="宋体"/>
                <w:color w:val="auto"/>
                <w:sz w:val="24"/>
                <w:szCs w:val="22"/>
              </w:rPr>
            </w:pPr>
            <w:r>
              <w:rPr>
                <w:rFonts w:ascii="宋体" w:hAnsi="宋体" w:cs="宋体"/>
                <w:color w:val="auto"/>
                <w:sz w:val="24"/>
                <w:szCs w:val="22"/>
              </w:rPr>
              <w:t>2</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04D8981">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AC6957C">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20A9C41">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3B16476B">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141478A">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B236007">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AF19189">
            <w:pPr>
              <w:spacing w:line="400" w:lineRule="auto"/>
              <w:jc w:val="center"/>
              <w:rPr>
                <w:rFonts w:ascii="宋体" w:hAnsi="宋体" w:cs="宋体"/>
                <w:color w:val="auto"/>
                <w:sz w:val="24"/>
              </w:rPr>
            </w:pPr>
          </w:p>
        </w:tc>
      </w:tr>
      <w:tr w14:paraId="09B7A78A">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C2ECDBF">
            <w:pPr>
              <w:jc w:val="center"/>
              <w:rPr>
                <w:rFonts w:ascii="宋体" w:hAnsi="宋体" w:cs="宋体"/>
                <w:color w:val="auto"/>
                <w:sz w:val="24"/>
                <w:szCs w:val="22"/>
              </w:rPr>
            </w:pPr>
            <w:r>
              <w:rPr>
                <w:rFonts w:ascii="宋体" w:hAnsi="宋体" w:cs="宋体"/>
                <w:color w:val="auto"/>
                <w:sz w:val="24"/>
                <w:szCs w:val="22"/>
              </w:rPr>
              <w:t>3</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0D0E6C5">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DAD3A7D">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15B74CE">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393679F2">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DDAB0C4">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2EF1EA0">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D7EE34B">
            <w:pPr>
              <w:spacing w:line="400" w:lineRule="auto"/>
              <w:jc w:val="center"/>
              <w:rPr>
                <w:rFonts w:ascii="宋体" w:hAnsi="宋体" w:cs="宋体"/>
                <w:color w:val="auto"/>
                <w:sz w:val="24"/>
              </w:rPr>
            </w:pPr>
          </w:p>
        </w:tc>
      </w:tr>
      <w:tr w14:paraId="4ECB2C1F">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EE2DB97">
            <w:pPr>
              <w:jc w:val="center"/>
              <w:rPr>
                <w:rFonts w:ascii="宋体" w:hAnsi="宋体" w:cs="宋体"/>
                <w:color w:val="auto"/>
                <w:sz w:val="24"/>
                <w:szCs w:val="22"/>
              </w:rPr>
            </w:pPr>
            <w:r>
              <w:rPr>
                <w:rFonts w:hint="eastAsia" w:ascii="宋体" w:hAnsi="宋体" w:cs="宋体"/>
                <w:color w:val="auto"/>
                <w:sz w:val="24"/>
                <w:szCs w:val="22"/>
              </w:rPr>
              <w:t>4</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6D0FC3C">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C4DFB4E">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D93DA00">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0DF8C0C4">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588257E">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C3D1EFD">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F977817">
            <w:pPr>
              <w:spacing w:line="400" w:lineRule="auto"/>
              <w:jc w:val="center"/>
              <w:rPr>
                <w:rFonts w:ascii="宋体" w:hAnsi="宋体" w:cs="宋体"/>
                <w:color w:val="auto"/>
                <w:sz w:val="24"/>
              </w:rPr>
            </w:pPr>
          </w:p>
        </w:tc>
      </w:tr>
      <w:tr w14:paraId="6A2126B3">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3BC5F62">
            <w:pPr>
              <w:jc w:val="center"/>
              <w:rPr>
                <w:rFonts w:ascii="宋体" w:hAnsi="宋体" w:cs="宋体"/>
                <w:color w:val="auto"/>
                <w:sz w:val="24"/>
                <w:szCs w:val="22"/>
              </w:rPr>
            </w:pPr>
            <w:r>
              <w:rPr>
                <w:rFonts w:hint="eastAsia" w:ascii="宋体" w:hAnsi="宋体" w:cs="宋体"/>
                <w:color w:val="auto"/>
                <w:sz w:val="24"/>
                <w:szCs w:val="22"/>
              </w:rPr>
              <w:t>5</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77709E4">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1E0A28C">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1735C56">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7F3B261D">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D8F6463">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3DDA5DC">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23AA002">
            <w:pPr>
              <w:spacing w:line="400" w:lineRule="auto"/>
              <w:jc w:val="center"/>
              <w:rPr>
                <w:rFonts w:ascii="宋体" w:hAnsi="宋体" w:cs="宋体"/>
                <w:color w:val="auto"/>
                <w:sz w:val="24"/>
              </w:rPr>
            </w:pPr>
          </w:p>
        </w:tc>
      </w:tr>
      <w:tr w14:paraId="68D8A9F5">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410518D">
            <w:pPr>
              <w:jc w:val="center"/>
              <w:rPr>
                <w:rFonts w:ascii="宋体" w:hAnsi="宋体" w:cs="宋体"/>
                <w:color w:val="auto"/>
                <w:sz w:val="24"/>
                <w:szCs w:val="22"/>
              </w:rPr>
            </w:pPr>
            <w:r>
              <w:rPr>
                <w:rFonts w:ascii="宋体" w:hAnsi="宋体" w:cs="宋体"/>
                <w:color w:val="auto"/>
                <w:sz w:val="24"/>
                <w:szCs w:val="22"/>
              </w:rPr>
              <w:t>…</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369F10B">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9BB2DE7">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524D885">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02DA908D">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1BDD761">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E40B65E">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89A4DB3">
            <w:pPr>
              <w:spacing w:line="400" w:lineRule="auto"/>
              <w:jc w:val="center"/>
              <w:rPr>
                <w:rFonts w:ascii="宋体" w:hAnsi="宋体" w:cs="宋体"/>
                <w:color w:val="auto"/>
                <w:sz w:val="24"/>
              </w:rPr>
            </w:pPr>
          </w:p>
        </w:tc>
      </w:tr>
    </w:tbl>
    <w:p w14:paraId="099DACDA">
      <w:pPr>
        <w:spacing w:line="360" w:lineRule="auto"/>
        <w:rPr>
          <w:rFonts w:ascii="宋体" w:hAnsi="宋体"/>
          <w:color w:val="auto"/>
          <w:sz w:val="24"/>
        </w:rPr>
      </w:pPr>
      <w:r>
        <w:rPr>
          <w:rFonts w:hint="eastAsia" w:ascii="宋体" w:hAnsi="宋体"/>
          <w:color w:val="auto"/>
          <w:sz w:val="24"/>
        </w:rPr>
        <w:t>注：1.上述</w:t>
      </w:r>
      <w:r>
        <w:rPr>
          <w:rFonts w:ascii="宋体" w:hAnsi="宋体"/>
          <w:color w:val="auto"/>
          <w:sz w:val="24"/>
        </w:rPr>
        <w:t>“</w:t>
      </w:r>
      <w:r>
        <w:rPr>
          <w:rFonts w:hint="eastAsia" w:ascii="宋体" w:hAnsi="宋体"/>
          <w:color w:val="auto"/>
          <w:sz w:val="24"/>
        </w:rPr>
        <w:t>节能</w:t>
      </w:r>
      <w:r>
        <w:rPr>
          <w:rFonts w:ascii="宋体" w:hAnsi="宋体"/>
          <w:color w:val="auto"/>
          <w:sz w:val="24"/>
        </w:rPr>
        <w:t>产品政府采购清单”</w:t>
      </w:r>
      <w:r>
        <w:rPr>
          <w:rFonts w:hint="eastAsia" w:ascii="宋体" w:hAnsi="宋体"/>
          <w:color w:val="auto"/>
          <w:sz w:val="24"/>
        </w:rPr>
        <w:t>以</w:t>
      </w:r>
      <w:r>
        <w:rPr>
          <w:rFonts w:ascii="宋体" w:hAnsi="宋体"/>
          <w:color w:val="auto"/>
          <w:sz w:val="24"/>
        </w:rPr>
        <w:t>相关</w:t>
      </w:r>
      <w:r>
        <w:rPr>
          <w:rFonts w:hint="eastAsia" w:ascii="宋体" w:hAnsi="宋体"/>
          <w:color w:val="auto"/>
          <w:sz w:val="24"/>
        </w:rPr>
        <w:t>职能</w:t>
      </w:r>
      <w:r>
        <w:rPr>
          <w:rFonts w:ascii="宋体" w:hAnsi="宋体"/>
          <w:color w:val="auto"/>
          <w:sz w:val="24"/>
        </w:rPr>
        <w:t>部门</w:t>
      </w:r>
      <w:r>
        <w:rPr>
          <w:rFonts w:hint="eastAsia" w:ascii="宋体" w:hAnsi="宋体"/>
          <w:color w:val="auto"/>
          <w:sz w:val="24"/>
        </w:rPr>
        <w:t>正式</w:t>
      </w:r>
      <w:r>
        <w:rPr>
          <w:rFonts w:ascii="宋体" w:hAnsi="宋体"/>
          <w:color w:val="auto"/>
          <w:sz w:val="24"/>
        </w:rPr>
        <w:t>发布的最新一期为准。</w:t>
      </w:r>
    </w:p>
    <w:p w14:paraId="3333B41E">
      <w:pPr>
        <w:spacing w:line="360" w:lineRule="auto"/>
        <w:ind w:firstLine="480" w:firstLineChars="200"/>
        <w:rPr>
          <w:rFonts w:ascii="宋体" w:hAnsi="宋体"/>
          <w:color w:val="auto"/>
          <w:sz w:val="24"/>
        </w:rPr>
      </w:pPr>
      <w:r>
        <w:rPr>
          <w:rFonts w:ascii="宋体" w:hAnsi="宋体"/>
          <w:color w:val="auto"/>
          <w:sz w:val="24"/>
        </w:rPr>
        <w:t>2.</w:t>
      </w:r>
      <w:r>
        <w:rPr>
          <w:rFonts w:hint="eastAsia" w:ascii="宋体" w:hAnsi="宋体"/>
          <w:color w:val="auto"/>
          <w:sz w:val="24"/>
        </w:rPr>
        <w:t>提供“节能</w:t>
      </w:r>
      <w:r>
        <w:rPr>
          <w:rFonts w:ascii="宋体" w:hAnsi="宋体"/>
          <w:color w:val="auto"/>
          <w:sz w:val="24"/>
        </w:rPr>
        <w:t>产品政府采购清单</w:t>
      </w:r>
      <w:r>
        <w:rPr>
          <w:rFonts w:hint="eastAsia" w:ascii="宋体" w:hAnsi="宋体"/>
          <w:color w:val="auto"/>
          <w:sz w:val="24"/>
        </w:rPr>
        <w:t>”中</w:t>
      </w:r>
      <w:r>
        <w:rPr>
          <w:rFonts w:ascii="宋体" w:hAnsi="宋体"/>
          <w:color w:val="auto"/>
          <w:sz w:val="24"/>
        </w:rPr>
        <w:t>涉及产品所在页的复印件。</w:t>
      </w:r>
    </w:p>
    <w:p w14:paraId="52877B73">
      <w:pPr>
        <w:spacing w:line="360" w:lineRule="auto"/>
        <w:rPr>
          <w:rFonts w:ascii="宋体" w:hAnsi="宋体"/>
          <w:color w:val="auto"/>
          <w:sz w:val="24"/>
        </w:rPr>
      </w:pPr>
    </w:p>
    <w:p w14:paraId="6978AD15">
      <w:pPr>
        <w:spacing w:line="360" w:lineRule="auto"/>
        <w:rPr>
          <w:rFonts w:ascii="宋体" w:hAnsi="宋体"/>
          <w:color w:val="auto"/>
          <w:sz w:val="24"/>
        </w:rPr>
      </w:pPr>
    </w:p>
    <w:p w14:paraId="26AD5ED6">
      <w:pPr>
        <w:spacing w:line="360" w:lineRule="auto"/>
        <w:rPr>
          <w:rFonts w:ascii="宋体" w:hAnsi="宋体"/>
          <w:color w:val="auto"/>
          <w:sz w:val="24"/>
        </w:rPr>
      </w:pPr>
      <w:r>
        <w:rPr>
          <w:rFonts w:hint="eastAsia" w:ascii="宋体" w:hAnsi="宋体"/>
          <w:color w:val="auto"/>
          <w:sz w:val="24"/>
        </w:rPr>
        <w:t>响应谈判供应商：（公章）</w:t>
      </w:r>
    </w:p>
    <w:p w14:paraId="5E096C7F">
      <w:pPr>
        <w:spacing w:line="360" w:lineRule="auto"/>
        <w:rPr>
          <w:rFonts w:ascii="宋体" w:hAnsi="宋体"/>
          <w:color w:val="auto"/>
          <w:sz w:val="24"/>
        </w:rPr>
      </w:pPr>
    </w:p>
    <w:p w14:paraId="5272BDE9">
      <w:pPr>
        <w:spacing w:line="360" w:lineRule="auto"/>
        <w:rPr>
          <w:rFonts w:ascii="宋体" w:hAnsi="宋体"/>
          <w:color w:val="auto"/>
          <w:sz w:val="24"/>
        </w:rPr>
      </w:pPr>
      <w:r>
        <w:rPr>
          <w:rFonts w:hint="eastAsia" w:ascii="仿宋_GB2312"/>
          <w:bCs/>
          <w:color w:val="auto"/>
          <w:sz w:val="24"/>
          <w:szCs w:val="20"/>
        </w:rPr>
        <w:t>法定代表人或被受权委托人</w:t>
      </w:r>
      <w:r>
        <w:rPr>
          <w:rFonts w:hint="eastAsia" w:ascii="宋体" w:hAnsi="宋体"/>
          <w:color w:val="auto"/>
          <w:sz w:val="24"/>
        </w:rPr>
        <w:t xml:space="preserve">（签字）： </w:t>
      </w:r>
    </w:p>
    <w:p w14:paraId="7C7173CB">
      <w:pPr>
        <w:spacing w:line="360" w:lineRule="auto"/>
        <w:rPr>
          <w:rFonts w:ascii="宋体" w:hAnsi="宋体"/>
          <w:color w:val="auto"/>
          <w:sz w:val="24"/>
        </w:rPr>
      </w:pPr>
    </w:p>
    <w:p w14:paraId="0FB5956C">
      <w:pPr>
        <w:spacing w:line="360" w:lineRule="auto"/>
        <w:rPr>
          <w:rFonts w:ascii="宋体" w:hAnsi="宋体"/>
          <w:color w:val="auto"/>
          <w:sz w:val="24"/>
        </w:rPr>
      </w:pPr>
      <w:r>
        <w:rPr>
          <w:rFonts w:hint="eastAsia" w:ascii="宋体" w:hAnsi="宋体"/>
          <w:color w:val="auto"/>
          <w:sz w:val="24"/>
        </w:rPr>
        <w:t>日期：   年   月    日</w:t>
      </w:r>
    </w:p>
    <w:p w14:paraId="4720F313">
      <w:pPr>
        <w:spacing w:line="360" w:lineRule="auto"/>
        <w:rPr>
          <w:rFonts w:ascii="宋体" w:hAnsi="宋体"/>
          <w:color w:val="auto"/>
          <w:sz w:val="24"/>
        </w:rPr>
      </w:pPr>
    </w:p>
    <w:p w14:paraId="391DB9A1">
      <w:pPr>
        <w:spacing w:line="360" w:lineRule="auto"/>
        <w:rPr>
          <w:rFonts w:ascii="宋体" w:hAnsi="宋体"/>
          <w:color w:val="auto"/>
          <w:sz w:val="24"/>
        </w:rPr>
      </w:pPr>
    </w:p>
    <w:p w14:paraId="301DE735">
      <w:pPr>
        <w:spacing w:line="360" w:lineRule="auto"/>
        <w:rPr>
          <w:rFonts w:ascii="宋体" w:hAnsi="宋体"/>
          <w:b/>
          <w:color w:val="auto"/>
          <w:sz w:val="28"/>
          <w:szCs w:val="28"/>
        </w:rPr>
      </w:pPr>
    </w:p>
    <w:p w14:paraId="4E539942">
      <w:pPr>
        <w:spacing w:line="360" w:lineRule="auto"/>
        <w:jc w:val="center"/>
        <w:rPr>
          <w:rFonts w:ascii="宋体" w:hAnsi="宋体"/>
          <w:b/>
          <w:color w:val="auto"/>
          <w:sz w:val="28"/>
          <w:szCs w:val="28"/>
        </w:rPr>
      </w:pPr>
      <w:r>
        <w:rPr>
          <w:rFonts w:hint="eastAsia" w:ascii="宋体" w:hAnsi="宋体"/>
          <w:b/>
          <w:color w:val="auto"/>
          <w:sz w:val="28"/>
          <w:szCs w:val="28"/>
        </w:rPr>
        <w:t>十</w:t>
      </w:r>
      <w:r>
        <w:rPr>
          <w:rFonts w:hint="eastAsia" w:ascii="宋体" w:hAnsi="宋体"/>
          <w:b/>
          <w:color w:val="auto"/>
          <w:sz w:val="28"/>
          <w:szCs w:val="28"/>
          <w:lang w:val="en-US" w:eastAsia="zh-CN"/>
        </w:rPr>
        <w:t>二</w:t>
      </w:r>
      <w:r>
        <w:rPr>
          <w:rFonts w:hint="eastAsia" w:ascii="宋体" w:hAnsi="宋体"/>
          <w:b/>
          <w:color w:val="auto"/>
          <w:sz w:val="28"/>
          <w:szCs w:val="28"/>
        </w:rPr>
        <w:t>、环境</w:t>
      </w:r>
      <w:r>
        <w:rPr>
          <w:rFonts w:ascii="宋体" w:hAnsi="宋体"/>
          <w:b/>
          <w:color w:val="auto"/>
          <w:sz w:val="28"/>
          <w:szCs w:val="28"/>
        </w:rPr>
        <w:t>标志产品清单说明表</w:t>
      </w:r>
    </w:p>
    <w:p w14:paraId="25822B65">
      <w:pPr>
        <w:spacing w:line="360" w:lineRule="auto"/>
        <w:jc w:val="center"/>
        <w:rPr>
          <w:rFonts w:ascii="宋体" w:hAnsi="宋体"/>
          <w:b/>
          <w:color w:val="auto"/>
          <w:sz w:val="24"/>
          <w:szCs w:val="24"/>
        </w:rPr>
      </w:pPr>
      <w:r>
        <w:rPr>
          <w:rFonts w:hint="eastAsia" w:ascii="宋体" w:hAnsi="宋体"/>
          <w:b/>
          <w:color w:val="auto"/>
          <w:sz w:val="24"/>
          <w:szCs w:val="24"/>
        </w:rPr>
        <w:t>（环境</w:t>
      </w:r>
      <w:r>
        <w:rPr>
          <w:rFonts w:ascii="宋体" w:hAnsi="宋体"/>
          <w:b/>
          <w:color w:val="auto"/>
          <w:sz w:val="24"/>
          <w:szCs w:val="24"/>
        </w:rPr>
        <w:t>标志产品按下列格式提供</w:t>
      </w:r>
      <w:r>
        <w:rPr>
          <w:rFonts w:hint="eastAsia" w:ascii="宋体" w:hAnsi="宋体"/>
          <w:b/>
          <w:color w:val="auto"/>
          <w:sz w:val="24"/>
          <w:szCs w:val="24"/>
        </w:rPr>
        <w:t>）</w:t>
      </w:r>
    </w:p>
    <w:p w14:paraId="335BC19B">
      <w:pPr>
        <w:spacing w:line="360" w:lineRule="auto"/>
        <w:jc w:val="left"/>
        <w:rPr>
          <w:rFonts w:ascii="宋体" w:hAnsi="宋体" w:cs="宋体"/>
          <w:color w:val="auto"/>
          <w:sz w:val="24"/>
        </w:rPr>
      </w:pPr>
      <w:r>
        <w:rPr>
          <w:rFonts w:hint="eastAsia" w:ascii="宋体" w:hAnsi="宋体" w:cs="宋体"/>
          <w:color w:val="auto"/>
          <w:sz w:val="24"/>
        </w:rPr>
        <w:t>采购</w:t>
      </w:r>
      <w:r>
        <w:rPr>
          <w:rFonts w:ascii="宋体" w:hAnsi="宋体" w:cs="宋体"/>
          <w:color w:val="auto"/>
          <w:sz w:val="24"/>
        </w:rPr>
        <w:t>项目</w:t>
      </w:r>
      <w:r>
        <w:rPr>
          <w:rFonts w:hint="eastAsia" w:ascii="宋体" w:hAnsi="宋体" w:cs="宋体"/>
          <w:color w:val="auto"/>
          <w:sz w:val="24"/>
        </w:rPr>
        <w:t>名称</w:t>
      </w:r>
      <w:r>
        <w:rPr>
          <w:rFonts w:ascii="宋体" w:hAnsi="宋体" w:cs="宋体"/>
          <w:color w:val="auto"/>
          <w:sz w:val="24"/>
        </w:rPr>
        <w:t>：</w:t>
      </w:r>
    </w:p>
    <w:p w14:paraId="033A43C0">
      <w:pPr>
        <w:spacing w:line="360" w:lineRule="auto"/>
        <w:jc w:val="left"/>
        <w:rPr>
          <w:rFonts w:ascii="宋体" w:hAnsi="宋体" w:cs="宋体"/>
          <w:color w:val="auto"/>
          <w:sz w:val="24"/>
        </w:rPr>
      </w:pPr>
      <w:r>
        <w:rPr>
          <w:rFonts w:hint="eastAsia" w:ascii="宋体" w:hAnsi="宋体" w:cs="宋体"/>
          <w:color w:val="auto"/>
          <w:sz w:val="24"/>
        </w:rPr>
        <w:t>采购</w:t>
      </w:r>
      <w:r>
        <w:rPr>
          <w:rFonts w:ascii="宋体" w:hAnsi="宋体" w:cs="宋体"/>
          <w:color w:val="auto"/>
          <w:sz w:val="24"/>
        </w:rPr>
        <w:t>项目编号：</w:t>
      </w:r>
    </w:p>
    <w:tbl>
      <w:tblPr>
        <w:tblStyle w:val="42"/>
        <w:tblW w:w="0" w:type="auto"/>
        <w:tblInd w:w="98" w:type="dxa"/>
        <w:tblLayout w:type="fixed"/>
        <w:tblCellMar>
          <w:top w:w="0" w:type="dxa"/>
          <w:left w:w="10" w:type="dxa"/>
          <w:bottom w:w="0" w:type="dxa"/>
          <w:right w:w="10" w:type="dxa"/>
        </w:tblCellMar>
      </w:tblPr>
      <w:tblGrid>
        <w:gridCol w:w="436"/>
        <w:gridCol w:w="1275"/>
        <w:gridCol w:w="851"/>
        <w:gridCol w:w="1417"/>
        <w:gridCol w:w="1134"/>
        <w:gridCol w:w="1276"/>
        <w:gridCol w:w="1276"/>
        <w:gridCol w:w="1701"/>
      </w:tblGrid>
      <w:tr w14:paraId="5692227F">
        <w:tblPrEx>
          <w:tblCellMar>
            <w:top w:w="0" w:type="dxa"/>
            <w:left w:w="10" w:type="dxa"/>
            <w:bottom w:w="0" w:type="dxa"/>
            <w:right w:w="10" w:type="dxa"/>
          </w:tblCellMar>
        </w:tblPrEx>
        <w:trPr>
          <w:trHeight w:val="746" w:hRule="atLeast"/>
        </w:trPr>
        <w:tc>
          <w:tcPr>
            <w:tcW w:w="436" w:type="dxa"/>
            <w:vMerge w:val="restart"/>
            <w:tcBorders>
              <w:top w:val="single" w:color="000000" w:sz="4" w:space="0"/>
              <w:left w:val="single" w:color="000000" w:sz="4" w:space="0"/>
              <w:right w:val="single" w:color="000000" w:sz="4" w:space="0"/>
            </w:tcBorders>
            <w:tcMar>
              <w:left w:w="108" w:type="dxa"/>
              <w:right w:w="108" w:type="dxa"/>
            </w:tcMar>
            <w:vAlign w:val="center"/>
          </w:tcPr>
          <w:p w14:paraId="47CE69FA">
            <w:pPr>
              <w:jc w:val="center"/>
              <w:rPr>
                <w:rFonts w:ascii="宋体" w:hAnsi="宋体" w:cs="宋体"/>
                <w:color w:val="auto"/>
                <w:sz w:val="24"/>
              </w:rPr>
            </w:pPr>
            <w:r>
              <w:rPr>
                <w:rFonts w:ascii="宋体" w:hAnsi="宋体" w:cs="宋体"/>
                <w:color w:val="auto"/>
                <w:sz w:val="24"/>
              </w:rPr>
              <w:t>序号</w:t>
            </w:r>
          </w:p>
        </w:tc>
        <w:tc>
          <w:tcPr>
            <w:tcW w:w="1275" w:type="dxa"/>
            <w:vMerge w:val="restart"/>
            <w:tcBorders>
              <w:top w:val="single" w:color="000000" w:sz="4" w:space="0"/>
              <w:left w:val="single" w:color="000000" w:sz="4" w:space="0"/>
              <w:right w:val="single" w:color="000000" w:sz="4" w:space="0"/>
            </w:tcBorders>
            <w:tcMar>
              <w:left w:w="108" w:type="dxa"/>
              <w:right w:w="108" w:type="dxa"/>
            </w:tcMar>
            <w:vAlign w:val="center"/>
          </w:tcPr>
          <w:p w14:paraId="2D455333">
            <w:pPr>
              <w:jc w:val="center"/>
              <w:rPr>
                <w:rFonts w:ascii="宋体" w:hAnsi="宋体" w:cs="宋体"/>
                <w:color w:val="auto"/>
                <w:sz w:val="24"/>
              </w:rPr>
            </w:pPr>
            <w:r>
              <w:rPr>
                <w:rFonts w:hint="eastAsia" w:ascii="宋体" w:hAnsi="宋体" w:cs="宋体"/>
                <w:color w:val="auto"/>
                <w:sz w:val="24"/>
              </w:rPr>
              <w:t>货物</w:t>
            </w:r>
            <w:r>
              <w:rPr>
                <w:rFonts w:ascii="宋体" w:hAnsi="宋体" w:cs="宋体"/>
                <w:color w:val="auto"/>
                <w:sz w:val="24"/>
              </w:rPr>
              <w:t>名称</w:t>
            </w:r>
          </w:p>
        </w:tc>
        <w:tc>
          <w:tcPr>
            <w:tcW w:w="851" w:type="dxa"/>
            <w:vMerge w:val="restart"/>
            <w:tcBorders>
              <w:top w:val="single" w:color="000000" w:sz="4" w:space="0"/>
              <w:left w:val="single" w:color="000000" w:sz="4" w:space="0"/>
              <w:right w:val="single" w:color="000000" w:sz="4" w:space="0"/>
            </w:tcBorders>
            <w:tcMar>
              <w:left w:w="108" w:type="dxa"/>
              <w:right w:w="108" w:type="dxa"/>
            </w:tcMar>
            <w:vAlign w:val="center"/>
          </w:tcPr>
          <w:p w14:paraId="4665DFB3">
            <w:pPr>
              <w:jc w:val="center"/>
              <w:rPr>
                <w:rFonts w:ascii="宋体" w:hAnsi="宋体" w:cs="宋体"/>
                <w:color w:val="auto"/>
                <w:sz w:val="24"/>
              </w:rPr>
            </w:pPr>
            <w:r>
              <w:rPr>
                <w:rFonts w:hint="eastAsia" w:ascii="宋体" w:hAnsi="宋体" w:cs="宋体"/>
                <w:color w:val="auto"/>
                <w:sz w:val="24"/>
              </w:rPr>
              <w:t>规格型号</w:t>
            </w:r>
          </w:p>
        </w:tc>
        <w:tc>
          <w:tcPr>
            <w:tcW w:w="6804" w:type="dxa"/>
            <w:gridSpan w:val="5"/>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D2DF8B4">
            <w:pPr>
              <w:jc w:val="center"/>
              <w:rPr>
                <w:rFonts w:ascii="宋体" w:hAnsi="宋体" w:cs="宋体"/>
                <w:color w:val="auto"/>
                <w:sz w:val="24"/>
              </w:rPr>
            </w:pPr>
            <w:r>
              <w:rPr>
                <w:rFonts w:hint="eastAsia" w:ascii="宋体" w:hAnsi="宋体" w:cs="宋体"/>
                <w:color w:val="auto"/>
                <w:sz w:val="24"/>
              </w:rPr>
              <w:t>环保</w:t>
            </w:r>
            <w:r>
              <w:rPr>
                <w:rFonts w:ascii="宋体" w:hAnsi="宋体" w:cs="宋体"/>
                <w:color w:val="auto"/>
                <w:sz w:val="24"/>
              </w:rPr>
              <w:t>产品</w:t>
            </w:r>
            <w:r>
              <w:rPr>
                <w:rFonts w:hint="eastAsia" w:ascii="宋体" w:hAnsi="宋体" w:cs="宋体"/>
                <w:color w:val="auto"/>
                <w:sz w:val="24"/>
              </w:rPr>
              <w:t>认证</w:t>
            </w:r>
            <w:r>
              <w:rPr>
                <w:rFonts w:ascii="宋体" w:hAnsi="宋体" w:cs="宋体"/>
                <w:color w:val="auto"/>
                <w:sz w:val="24"/>
              </w:rPr>
              <w:t>清单</w:t>
            </w:r>
          </w:p>
        </w:tc>
      </w:tr>
      <w:tr w14:paraId="46108CBF">
        <w:tblPrEx>
          <w:tblCellMar>
            <w:top w:w="0" w:type="dxa"/>
            <w:left w:w="10" w:type="dxa"/>
            <w:bottom w:w="0" w:type="dxa"/>
            <w:right w:w="10" w:type="dxa"/>
          </w:tblCellMar>
        </w:tblPrEx>
        <w:trPr>
          <w:trHeight w:val="746" w:hRule="atLeast"/>
        </w:trPr>
        <w:tc>
          <w:tcPr>
            <w:tcW w:w="436" w:type="dxa"/>
            <w:vMerge w:val="continue"/>
            <w:tcBorders>
              <w:left w:val="single" w:color="000000" w:sz="4" w:space="0"/>
              <w:bottom w:val="single" w:color="000000" w:sz="4" w:space="0"/>
              <w:right w:val="single" w:color="000000" w:sz="4" w:space="0"/>
            </w:tcBorders>
            <w:tcMar>
              <w:left w:w="108" w:type="dxa"/>
              <w:right w:w="108" w:type="dxa"/>
            </w:tcMar>
            <w:vAlign w:val="center"/>
          </w:tcPr>
          <w:p w14:paraId="7BDEC13C">
            <w:pPr>
              <w:jc w:val="center"/>
              <w:rPr>
                <w:rFonts w:ascii="宋体" w:hAnsi="宋体" w:cs="宋体"/>
                <w:color w:val="auto"/>
                <w:sz w:val="24"/>
              </w:rPr>
            </w:pPr>
          </w:p>
        </w:tc>
        <w:tc>
          <w:tcPr>
            <w:tcW w:w="1275" w:type="dxa"/>
            <w:vMerge w:val="continue"/>
            <w:tcBorders>
              <w:left w:val="single" w:color="000000" w:sz="4" w:space="0"/>
              <w:bottom w:val="single" w:color="000000" w:sz="4" w:space="0"/>
              <w:right w:val="single" w:color="000000" w:sz="4" w:space="0"/>
            </w:tcBorders>
            <w:tcMar>
              <w:left w:w="108" w:type="dxa"/>
              <w:right w:w="108" w:type="dxa"/>
            </w:tcMar>
            <w:vAlign w:val="center"/>
          </w:tcPr>
          <w:p w14:paraId="6BF7AAD1">
            <w:pPr>
              <w:jc w:val="center"/>
              <w:rPr>
                <w:rFonts w:ascii="宋体" w:hAnsi="宋体" w:cs="宋体"/>
                <w:color w:val="auto"/>
                <w:sz w:val="24"/>
              </w:rPr>
            </w:pPr>
          </w:p>
        </w:tc>
        <w:tc>
          <w:tcPr>
            <w:tcW w:w="851" w:type="dxa"/>
            <w:vMerge w:val="continue"/>
            <w:tcBorders>
              <w:left w:val="single" w:color="000000" w:sz="4" w:space="0"/>
              <w:bottom w:val="single" w:color="000000" w:sz="4" w:space="0"/>
              <w:right w:val="single" w:color="000000" w:sz="4" w:space="0"/>
            </w:tcBorders>
            <w:tcMar>
              <w:left w:w="108" w:type="dxa"/>
              <w:right w:w="108" w:type="dxa"/>
            </w:tcMar>
            <w:vAlign w:val="center"/>
          </w:tcPr>
          <w:p w14:paraId="2B7F2C42">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B016BA3">
            <w:pPr>
              <w:jc w:val="center"/>
              <w:rPr>
                <w:rFonts w:ascii="宋体" w:hAnsi="宋体" w:cs="宋体"/>
                <w:color w:val="auto"/>
                <w:sz w:val="24"/>
              </w:rPr>
            </w:pPr>
            <w:r>
              <w:rPr>
                <w:rFonts w:hint="eastAsia" w:ascii="宋体" w:hAnsi="宋体" w:cs="宋体"/>
                <w:color w:val="auto"/>
                <w:sz w:val="24"/>
              </w:rPr>
              <w:t>已取</w:t>
            </w:r>
            <w:r>
              <w:rPr>
                <w:rFonts w:ascii="宋体" w:hAnsi="宋体" w:cs="宋体"/>
                <w:color w:val="auto"/>
                <w:sz w:val="24"/>
              </w:rPr>
              <w:t>得证书日期</w:t>
            </w:r>
          </w:p>
        </w:tc>
        <w:tc>
          <w:tcPr>
            <w:tcW w:w="1134" w:type="dxa"/>
            <w:tcBorders>
              <w:top w:val="single" w:color="000000" w:sz="4" w:space="0"/>
              <w:left w:val="single" w:color="000000" w:sz="4" w:space="0"/>
              <w:bottom w:val="single" w:color="000000" w:sz="4" w:space="0"/>
              <w:right w:val="single" w:color="000000" w:sz="4" w:space="0"/>
            </w:tcBorders>
            <w:vAlign w:val="center"/>
          </w:tcPr>
          <w:p w14:paraId="008F1EF3">
            <w:pPr>
              <w:jc w:val="center"/>
              <w:rPr>
                <w:rFonts w:ascii="宋体" w:hAnsi="宋体" w:cs="宋体"/>
                <w:color w:val="auto"/>
                <w:sz w:val="24"/>
              </w:rPr>
            </w:pPr>
            <w:r>
              <w:rPr>
                <w:rFonts w:hint="eastAsia" w:ascii="宋体" w:hAnsi="宋体" w:cs="宋体"/>
                <w:color w:val="auto"/>
                <w:sz w:val="24"/>
              </w:rPr>
              <w:t>清单型号</w:t>
            </w: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AE0F791">
            <w:pPr>
              <w:jc w:val="center"/>
              <w:rPr>
                <w:rFonts w:ascii="宋体" w:hAnsi="宋体" w:cs="宋体"/>
                <w:color w:val="auto"/>
                <w:sz w:val="24"/>
              </w:rPr>
            </w:pPr>
            <w:r>
              <w:rPr>
                <w:rFonts w:hint="eastAsia" w:ascii="宋体" w:hAnsi="宋体" w:cs="宋体"/>
                <w:color w:val="auto"/>
                <w:sz w:val="24"/>
              </w:rPr>
              <w:t>证书</w:t>
            </w:r>
            <w:r>
              <w:rPr>
                <w:rFonts w:ascii="宋体" w:hAnsi="宋体" w:cs="宋体"/>
                <w:color w:val="auto"/>
                <w:sz w:val="24"/>
              </w:rPr>
              <w:t>编号</w:t>
            </w: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623721E">
            <w:pPr>
              <w:jc w:val="center"/>
              <w:rPr>
                <w:rFonts w:ascii="宋体" w:hAnsi="宋体" w:cs="宋体"/>
                <w:color w:val="auto"/>
                <w:sz w:val="24"/>
              </w:rPr>
            </w:pPr>
            <w:r>
              <w:rPr>
                <w:rFonts w:hint="eastAsia" w:ascii="宋体" w:hAnsi="宋体" w:cs="宋体"/>
                <w:color w:val="auto"/>
                <w:sz w:val="24"/>
              </w:rPr>
              <w:t>认证</w:t>
            </w:r>
            <w:r>
              <w:rPr>
                <w:rFonts w:ascii="宋体" w:hAnsi="宋体" w:cs="宋体"/>
                <w:color w:val="auto"/>
                <w:sz w:val="24"/>
              </w:rPr>
              <w:t>证书有效期截止时间</w:t>
            </w: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E0A35BD">
            <w:pPr>
              <w:jc w:val="center"/>
              <w:rPr>
                <w:rFonts w:ascii="宋体" w:hAnsi="宋体" w:cs="宋体"/>
                <w:color w:val="auto"/>
                <w:sz w:val="24"/>
              </w:rPr>
            </w:pPr>
            <w:r>
              <w:rPr>
                <w:rFonts w:hint="eastAsia" w:ascii="宋体" w:hAnsi="宋体" w:cs="宋体"/>
                <w:color w:val="auto"/>
                <w:sz w:val="24"/>
              </w:rPr>
              <w:t>位于环境标志</w:t>
            </w:r>
            <w:r>
              <w:rPr>
                <w:rFonts w:ascii="宋体" w:hAnsi="宋体" w:cs="宋体"/>
                <w:color w:val="auto"/>
                <w:sz w:val="24"/>
              </w:rPr>
              <w:t>产品</w:t>
            </w:r>
            <w:r>
              <w:rPr>
                <w:rFonts w:hint="eastAsia" w:ascii="宋体" w:hAnsi="宋体" w:cs="宋体"/>
                <w:color w:val="auto"/>
                <w:sz w:val="24"/>
              </w:rPr>
              <w:t>政府</w:t>
            </w:r>
            <w:r>
              <w:rPr>
                <w:rFonts w:ascii="宋体" w:hAnsi="宋体" w:cs="宋体"/>
                <w:color w:val="auto"/>
                <w:sz w:val="24"/>
              </w:rPr>
              <w:t>采购清单页次</w:t>
            </w:r>
          </w:p>
        </w:tc>
      </w:tr>
      <w:tr w14:paraId="72DE7112">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CFAFB94">
            <w:pPr>
              <w:jc w:val="center"/>
              <w:rPr>
                <w:rFonts w:ascii="宋体" w:hAnsi="宋体" w:cs="宋体"/>
                <w:color w:val="auto"/>
                <w:sz w:val="24"/>
                <w:szCs w:val="22"/>
              </w:rPr>
            </w:pPr>
            <w:r>
              <w:rPr>
                <w:rFonts w:ascii="宋体" w:hAnsi="宋体" w:cs="宋体"/>
                <w:color w:val="auto"/>
                <w:sz w:val="24"/>
                <w:szCs w:val="22"/>
              </w:rPr>
              <w:t>1</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7E10C31">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AE93095">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41F119A">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631D4EF7">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EC6E57D">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EDC252E">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A6C9DA9">
            <w:pPr>
              <w:jc w:val="center"/>
              <w:rPr>
                <w:rFonts w:ascii="宋体" w:hAnsi="宋体" w:cs="宋体"/>
                <w:color w:val="auto"/>
                <w:sz w:val="24"/>
              </w:rPr>
            </w:pPr>
            <w:r>
              <w:rPr>
                <w:rFonts w:hint="eastAsia" w:ascii="宋体" w:hAnsi="宋体" w:cs="宋体"/>
                <w:color w:val="auto"/>
                <w:sz w:val="24"/>
              </w:rPr>
              <w:t>第XX页</w:t>
            </w:r>
            <w:r>
              <w:rPr>
                <w:rFonts w:ascii="宋体" w:hAnsi="宋体" w:cs="宋体"/>
                <w:color w:val="auto"/>
                <w:sz w:val="24"/>
              </w:rPr>
              <w:t>第</w:t>
            </w:r>
            <w:r>
              <w:rPr>
                <w:rFonts w:hint="eastAsia" w:ascii="宋体" w:hAnsi="宋体" w:cs="宋体"/>
                <w:color w:val="auto"/>
                <w:sz w:val="24"/>
              </w:rPr>
              <w:t>XX大行</w:t>
            </w:r>
            <w:r>
              <w:rPr>
                <w:rFonts w:ascii="宋体" w:hAnsi="宋体" w:cs="宋体"/>
                <w:color w:val="auto"/>
                <w:sz w:val="24"/>
              </w:rPr>
              <w:t>第</w:t>
            </w:r>
            <w:r>
              <w:rPr>
                <w:rFonts w:hint="eastAsia" w:ascii="宋体" w:hAnsi="宋体" w:cs="宋体"/>
                <w:color w:val="auto"/>
                <w:sz w:val="24"/>
              </w:rPr>
              <w:t>XX行</w:t>
            </w:r>
          </w:p>
        </w:tc>
      </w:tr>
      <w:tr w14:paraId="1939475A">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0954969">
            <w:pPr>
              <w:jc w:val="center"/>
              <w:rPr>
                <w:rFonts w:ascii="宋体" w:hAnsi="宋体" w:cs="宋体"/>
                <w:color w:val="auto"/>
                <w:sz w:val="24"/>
                <w:szCs w:val="22"/>
              </w:rPr>
            </w:pPr>
            <w:r>
              <w:rPr>
                <w:rFonts w:ascii="宋体" w:hAnsi="宋体" w:cs="宋体"/>
                <w:color w:val="auto"/>
                <w:sz w:val="24"/>
                <w:szCs w:val="22"/>
              </w:rPr>
              <w:t>2</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3B02FAB">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3765FD6">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E08FF4E">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73AB0DC2">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C9E328E">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53DDEE1">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A5AB5B1">
            <w:pPr>
              <w:spacing w:line="400" w:lineRule="auto"/>
              <w:jc w:val="center"/>
              <w:rPr>
                <w:rFonts w:ascii="宋体" w:hAnsi="宋体" w:cs="宋体"/>
                <w:color w:val="auto"/>
                <w:sz w:val="24"/>
              </w:rPr>
            </w:pPr>
          </w:p>
        </w:tc>
      </w:tr>
      <w:tr w14:paraId="086A4B77">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648B2E0">
            <w:pPr>
              <w:jc w:val="center"/>
              <w:rPr>
                <w:rFonts w:ascii="宋体" w:hAnsi="宋体" w:cs="宋体"/>
                <w:color w:val="auto"/>
                <w:sz w:val="24"/>
                <w:szCs w:val="22"/>
              </w:rPr>
            </w:pPr>
            <w:r>
              <w:rPr>
                <w:rFonts w:ascii="宋体" w:hAnsi="宋体" w:cs="宋体"/>
                <w:color w:val="auto"/>
                <w:sz w:val="24"/>
                <w:szCs w:val="22"/>
              </w:rPr>
              <w:t>3</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9422909">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5A10C1D">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CB22FBC">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7A1AB061">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E8BD1D0">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69ECD1C">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A6F93A6">
            <w:pPr>
              <w:spacing w:line="400" w:lineRule="auto"/>
              <w:jc w:val="center"/>
              <w:rPr>
                <w:rFonts w:ascii="宋体" w:hAnsi="宋体" w:cs="宋体"/>
                <w:color w:val="auto"/>
                <w:sz w:val="24"/>
              </w:rPr>
            </w:pPr>
          </w:p>
        </w:tc>
      </w:tr>
      <w:tr w14:paraId="60A76DD7">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5BBB442">
            <w:pPr>
              <w:jc w:val="center"/>
              <w:rPr>
                <w:rFonts w:ascii="宋体" w:hAnsi="宋体" w:cs="宋体"/>
                <w:color w:val="auto"/>
                <w:sz w:val="24"/>
                <w:szCs w:val="22"/>
              </w:rPr>
            </w:pPr>
            <w:r>
              <w:rPr>
                <w:rFonts w:hint="eastAsia" w:ascii="宋体" w:hAnsi="宋体" w:cs="宋体"/>
                <w:color w:val="auto"/>
                <w:sz w:val="24"/>
                <w:szCs w:val="22"/>
              </w:rPr>
              <w:t>4</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B05555E">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504F3AC">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1421E6B1">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7233C80C">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028D5F20">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81F5057">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5B47344">
            <w:pPr>
              <w:spacing w:line="400" w:lineRule="auto"/>
              <w:jc w:val="center"/>
              <w:rPr>
                <w:rFonts w:ascii="宋体" w:hAnsi="宋体" w:cs="宋体"/>
                <w:color w:val="auto"/>
                <w:sz w:val="24"/>
              </w:rPr>
            </w:pPr>
          </w:p>
        </w:tc>
      </w:tr>
      <w:tr w14:paraId="5A47599A">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DF53E01">
            <w:pPr>
              <w:jc w:val="center"/>
              <w:rPr>
                <w:rFonts w:ascii="宋体" w:hAnsi="宋体" w:cs="宋体"/>
                <w:color w:val="auto"/>
                <w:sz w:val="24"/>
                <w:szCs w:val="22"/>
              </w:rPr>
            </w:pPr>
            <w:r>
              <w:rPr>
                <w:rFonts w:hint="eastAsia" w:ascii="宋体" w:hAnsi="宋体" w:cs="宋体"/>
                <w:color w:val="auto"/>
                <w:sz w:val="24"/>
                <w:szCs w:val="22"/>
              </w:rPr>
              <w:t>5</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E4EFA38">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B59A75E">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DC76984">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24B40EF2">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57F2E5D">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7B00BC9">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31F2A617">
            <w:pPr>
              <w:spacing w:line="400" w:lineRule="auto"/>
              <w:jc w:val="center"/>
              <w:rPr>
                <w:rFonts w:ascii="宋体" w:hAnsi="宋体" w:cs="宋体"/>
                <w:color w:val="auto"/>
                <w:sz w:val="24"/>
              </w:rPr>
            </w:pPr>
          </w:p>
        </w:tc>
      </w:tr>
      <w:tr w14:paraId="0DEB8CCB">
        <w:tblPrEx>
          <w:tblCellMar>
            <w:top w:w="0" w:type="dxa"/>
            <w:left w:w="10" w:type="dxa"/>
            <w:bottom w:w="0" w:type="dxa"/>
            <w:right w:w="10" w:type="dxa"/>
          </w:tblCellMar>
        </w:tblPrEx>
        <w:trPr>
          <w:trHeight w:val="746" w:hRule="atLeast"/>
        </w:trPr>
        <w:tc>
          <w:tcPr>
            <w:tcW w:w="43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8B8B4F3">
            <w:pPr>
              <w:jc w:val="center"/>
              <w:rPr>
                <w:rFonts w:ascii="宋体" w:hAnsi="宋体" w:cs="宋体"/>
                <w:color w:val="auto"/>
                <w:sz w:val="24"/>
                <w:szCs w:val="22"/>
              </w:rPr>
            </w:pPr>
            <w:r>
              <w:rPr>
                <w:rFonts w:ascii="宋体" w:hAnsi="宋体" w:cs="宋体"/>
                <w:color w:val="auto"/>
                <w:sz w:val="24"/>
                <w:szCs w:val="22"/>
              </w:rPr>
              <w:t>…</w:t>
            </w:r>
          </w:p>
        </w:tc>
        <w:tc>
          <w:tcPr>
            <w:tcW w:w="1275"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F703FD0">
            <w:pPr>
              <w:spacing w:line="400" w:lineRule="auto"/>
              <w:jc w:val="center"/>
              <w:rPr>
                <w:rFonts w:ascii="宋体" w:hAnsi="宋体" w:cs="宋体"/>
                <w:color w:val="auto"/>
                <w:sz w:val="24"/>
              </w:rPr>
            </w:pPr>
          </w:p>
        </w:tc>
        <w:tc>
          <w:tcPr>
            <w:tcW w:w="85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23C1EC73">
            <w:pPr>
              <w:spacing w:line="400" w:lineRule="auto"/>
              <w:jc w:val="center"/>
              <w:rPr>
                <w:rFonts w:ascii="宋体" w:hAnsi="宋体" w:cs="宋体"/>
                <w:color w:val="auto"/>
                <w:sz w:val="24"/>
              </w:rPr>
            </w:pPr>
          </w:p>
        </w:tc>
        <w:tc>
          <w:tcPr>
            <w:tcW w:w="1417"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48510A50">
            <w:pPr>
              <w:spacing w:line="400" w:lineRule="auto"/>
              <w:jc w:val="center"/>
              <w:rPr>
                <w:rFonts w:ascii="宋体" w:hAnsi="宋体" w:cs="宋体"/>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07E50662">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74CD1F8C">
            <w:pPr>
              <w:spacing w:line="400" w:lineRule="auto"/>
              <w:jc w:val="center"/>
              <w:rPr>
                <w:rFonts w:ascii="宋体" w:hAnsi="宋体" w:cs="宋体"/>
                <w:color w:val="auto"/>
                <w:sz w:val="24"/>
              </w:rPr>
            </w:pPr>
          </w:p>
        </w:tc>
        <w:tc>
          <w:tcPr>
            <w:tcW w:w="1276"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5F1C53D7">
            <w:pPr>
              <w:spacing w:line="400" w:lineRule="auto"/>
              <w:jc w:val="center"/>
              <w:rPr>
                <w:rFonts w:ascii="宋体" w:hAnsi="宋体" w:cs="宋体"/>
                <w:color w:val="auto"/>
                <w:sz w:val="24"/>
              </w:rPr>
            </w:pPr>
          </w:p>
        </w:tc>
        <w:tc>
          <w:tcPr>
            <w:tcW w:w="1701" w:type="dxa"/>
            <w:tcBorders>
              <w:top w:val="single" w:color="000000" w:sz="4" w:space="0"/>
              <w:left w:val="single" w:color="000000" w:sz="4" w:space="0"/>
              <w:bottom w:val="single" w:color="000000" w:sz="4" w:space="0"/>
              <w:right w:val="single" w:color="000000" w:sz="4" w:space="0"/>
            </w:tcBorders>
            <w:tcMar>
              <w:left w:w="108" w:type="dxa"/>
              <w:right w:w="108" w:type="dxa"/>
            </w:tcMar>
            <w:vAlign w:val="center"/>
          </w:tcPr>
          <w:p w14:paraId="696D5A36">
            <w:pPr>
              <w:spacing w:line="400" w:lineRule="auto"/>
              <w:jc w:val="center"/>
              <w:rPr>
                <w:rFonts w:ascii="宋体" w:hAnsi="宋体" w:cs="宋体"/>
                <w:color w:val="auto"/>
                <w:sz w:val="24"/>
              </w:rPr>
            </w:pPr>
          </w:p>
        </w:tc>
      </w:tr>
    </w:tbl>
    <w:p w14:paraId="166E076B">
      <w:pPr>
        <w:spacing w:line="360" w:lineRule="auto"/>
        <w:rPr>
          <w:rFonts w:ascii="宋体" w:hAnsi="宋体"/>
          <w:color w:val="auto"/>
          <w:sz w:val="24"/>
        </w:rPr>
      </w:pPr>
      <w:r>
        <w:rPr>
          <w:rFonts w:hint="eastAsia" w:ascii="宋体" w:hAnsi="宋体"/>
          <w:color w:val="auto"/>
          <w:sz w:val="24"/>
        </w:rPr>
        <w:t>注：1.上述</w:t>
      </w:r>
      <w:r>
        <w:rPr>
          <w:rFonts w:ascii="宋体" w:hAnsi="宋体"/>
          <w:color w:val="auto"/>
          <w:sz w:val="24"/>
        </w:rPr>
        <w:t>“</w:t>
      </w:r>
      <w:r>
        <w:rPr>
          <w:rFonts w:hint="eastAsia" w:ascii="宋体" w:hAnsi="宋体"/>
          <w:color w:val="auto"/>
          <w:sz w:val="24"/>
        </w:rPr>
        <w:t>环境标志</w:t>
      </w:r>
      <w:r>
        <w:rPr>
          <w:rFonts w:ascii="宋体" w:hAnsi="宋体"/>
          <w:color w:val="auto"/>
          <w:sz w:val="24"/>
        </w:rPr>
        <w:t>产品</w:t>
      </w:r>
      <w:r>
        <w:rPr>
          <w:rFonts w:hint="eastAsia" w:ascii="宋体" w:hAnsi="宋体"/>
          <w:color w:val="auto"/>
          <w:sz w:val="24"/>
        </w:rPr>
        <w:t>政府</w:t>
      </w:r>
      <w:r>
        <w:rPr>
          <w:rFonts w:ascii="宋体" w:hAnsi="宋体"/>
          <w:color w:val="auto"/>
          <w:sz w:val="24"/>
        </w:rPr>
        <w:t>采购清单”</w:t>
      </w:r>
      <w:r>
        <w:rPr>
          <w:rFonts w:hint="eastAsia" w:ascii="宋体" w:hAnsi="宋体"/>
          <w:color w:val="auto"/>
          <w:sz w:val="24"/>
        </w:rPr>
        <w:t>以</w:t>
      </w:r>
      <w:r>
        <w:rPr>
          <w:rFonts w:ascii="宋体" w:hAnsi="宋体"/>
          <w:color w:val="auto"/>
          <w:sz w:val="24"/>
        </w:rPr>
        <w:t>相关</w:t>
      </w:r>
      <w:r>
        <w:rPr>
          <w:rFonts w:hint="eastAsia" w:ascii="宋体" w:hAnsi="宋体"/>
          <w:color w:val="auto"/>
          <w:sz w:val="24"/>
        </w:rPr>
        <w:t>职能</w:t>
      </w:r>
      <w:r>
        <w:rPr>
          <w:rFonts w:ascii="宋体" w:hAnsi="宋体"/>
          <w:color w:val="auto"/>
          <w:sz w:val="24"/>
        </w:rPr>
        <w:t>部门</w:t>
      </w:r>
      <w:r>
        <w:rPr>
          <w:rFonts w:hint="eastAsia" w:ascii="宋体" w:hAnsi="宋体"/>
          <w:color w:val="auto"/>
          <w:sz w:val="24"/>
        </w:rPr>
        <w:t>正式</w:t>
      </w:r>
      <w:r>
        <w:rPr>
          <w:rFonts w:ascii="宋体" w:hAnsi="宋体"/>
          <w:color w:val="auto"/>
          <w:sz w:val="24"/>
        </w:rPr>
        <w:t>发布的最新一期为准。</w:t>
      </w:r>
    </w:p>
    <w:p w14:paraId="24241515">
      <w:pPr>
        <w:spacing w:line="360" w:lineRule="auto"/>
        <w:ind w:firstLine="480" w:firstLineChars="200"/>
        <w:rPr>
          <w:rFonts w:ascii="宋体" w:hAnsi="宋体"/>
          <w:color w:val="auto"/>
          <w:sz w:val="24"/>
        </w:rPr>
      </w:pPr>
      <w:r>
        <w:rPr>
          <w:rFonts w:ascii="宋体" w:hAnsi="宋体"/>
          <w:color w:val="auto"/>
          <w:sz w:val="24"/>
        </w:rPr>
        <w:t>2</w:t>
      </w:r>
      <w:r>
        <w:rPr>
          <w:rFonts w:hint="eastAsia" w:ascii="宋体" w:hAnsi="宋体"/>
          <w:color w:val="auto"/>
          <w:sz w:val="24"/>
        </w:rPr>
        <w:t>.提供“环境</w:t>
      </w:r>
      <w:r>
        <w:rPr>
          <w:rFonts w:ascii="宋体" w:hAnsi="宋体"/>
          <w:color w:val="auto"/>
          <w:sz w:val="24"/>
        </w:rPr>
        <w:t>标志产品政府采购清单</w:t>
      </w:r>
      <w:r>
        <w:rPr>
          <w:rFonts w:hint="eastAsia" w:ascii="宋体" w:hAnsi="宋体"/>
          <w:color w:val="auto"/>
          <w:sz w:val="24"/>
        </w:rPr>
        <w:t>”中</w:t>
      </w:r>
      <w:r>
        <w:rPr>
          <w:rFonts w:ascii="宋体" w:hAnsi="宋体"/>
          <w:color w:val="auto"/>
          <w:sz w:val="24"/>
        </w:rPr>
        <w:t>涉及产品所在页的复印件。</w:t>
      </w:r>
    </w:p>
    <w:p w14:paraId="1442D2ED">
      <w:pPr>
        <w:spacing w:line="360" w:lineRule="auto"/>
        <w:rPr>
          <w:rFonts w:ascii="宋体" w:hAnsi="宋体"/>
          <w:color w:val="auto"/>
          <w:sz w:val="24"/>
        </w:rPr>
      </w:pPr>
    </w:p>
    <w:p w14:paraId="1426EAA7">
      <w:pPr>
        <w:spacing w:line="360" w:lineRule="auto"/>
        <w:rPr>
          <w:rFonts w:ascii="宋体" w:hAnsi="宋体"/>
          <w:color w:val="auto"/>
          <w:sz w:val="24"/>
        </w:rPr>
      </w:pPr>
    </w:p>
    <w:p w14:paraId="5982C13C">
      <w:pPr>
        <w:spacing w:line="360" w:lineRule="auto"/>
        <w:rPr>
          <w:rFonts w:ascii="宋体" w:hAnsi="宋体"/>
          <w:color w:val="auto"/>
          <w:sz w:val="24"/>
        </w:rPr>
      </w:pPr>
      <w:r>
        <w:rPr>
          <w:rFonts w:hint="eastAsia" w:ascii="宋体" w:hAnsi="宋体"/>
          <w:color w:val="auto"/>
          <w:sz w:val="24"/>
        </w:rPr>
        <w:t>响应谈判</w:t>
      </w:r>
      <w:r>
        <w:rPr>
          <w:rFonts w:ascii="宋体" w:hAnsi="宋体"/>
          <w:color w:val="auto"/>
          <w:sz w:val="24"/>
        </w:rPr>
        <w:t>供应商</w:t>
      </w:r>
      <w:r>
        <w:rPr>
          <w:rFonts w:hint="eastAsia" w:ascii="宋体" w:hAnsi="宋体"/>
          <w:color w:val="auto"/>
          <w:sz w:val="24"/>
        </w:rPr>
        <w:t>：（公章）</w:t>
      </w:r>
    </w:p>
    <w:p w14:paraId="3B290680">
      <w:pPr>
        <w:spacing w:line="360" w:lineRule="auto"/>
        <w:rPr>
          <w:rFonts w:ascii="宋体" w:hAnsi="宋体"/>
          <w:color w:val="auto"/>
          <w:sz w:val="24"/>
        </w:rPr>
      </w:pPr>
    </w:p>
    <w:p w14:paraId="7D671B5E">
      <w:pPr>
        <w:spacing w:line="360" w:lineRule="auto"/>
        <w:rPr>
          <w:rFonts w:ascii="宋体" w:hAnsi="宋体"/>
          <w:color w:val="auto"/>
          <w:sz w:val="24"/>
        </w:rPr>
      </w:pPr>
      <w:r>
        <w:rPr>
          <w:rFonts w:hint="eastAsia" w:ascii="仿宋_GB2312"/>
          <w:bCs/>
          <w:color w:val="auto"/>
          <w:sz w:val="24"/>
          <w:szCs w:val="20"/>
        </w:rPr>
        <w:t>法定代表人或被受权委托人</w:t>
      </w:r>
      <w:r>
        <w:rPr>
          <w:rFonts w:hint="eastAsia" w:ascii="宋体" w:hAnsi="宋体"/>
          <w:color w:val="auto"/>
          <w:sz w:val="24"/>
        </w:rPr>
        <w:t xml:space="preserve">（签字）： </w:t>
      </w:r>
    </w:p>
    <w:p w14:paraId="511939AE">
      <w:pPr>
        <w:spacing w:line="360" w:lineRule="auto"/>
        <w:rPr>
          <w:rFonts w:ascii="宋体" w:hAnsi="宋体"/>
          <w:color w:val="auto"/>
          <w:sz w:val="24"/>
        </w:rPr>
      </w:pPr>
    </w:p>
    <w:p w14:paraId="5527A043">
      <w:pPr>
        <w:spacing w:line="360" w:lineRule="auto"/>
        <w:rPr>
          <w:rFonts w:ascii="宋体" w:hAnsi="宋体"/>
          <w:color w:val="auto"/>
          <w:sz w:val="24"/>
        </w:rPr>
      </w:pPr>
      <w:r>
        <w:rPr>
          <w:rFonts w:hint="eastAsia" w:ascii="宋体" w:hAnsi="宋体"/>
          <w:color w:val="auto"/>
          <w:sz w:val="24"/>
        </w:rPr>
        <w:t>日期：   年   月    日</w:t>
      </w:r>
    </w:p>
    <w:p w14:paraId="3CF5E3EE">
      <w:pPr>
        <w:spacing w:line="360" w:lineRule="auto"/>
        <w:jc w:val="center"/>
        <w:rPr>
          <w:rFonts w:ascii="宋体" w:hAnsi="宋体"/>
          <w:color w:val="auto"/>
          <w:sz w:val="24"/>
        </w:rPr>
      </w:pPr>
    </w:p>
    <w:p w14:paraId="70BF1D84">
      <w:pPr>
        <w:spacing w:line="360" w:lineRule="auto"/>
        <w:jc w:val="center"/>
        <w:rPr>
          <w:rFonts w:ascii="宋体" w:hAnsi="宋体"/>
          <w:color w:val="auto"/>
          <w:sz w:val="24"/>
        </w:rPr>
      </w:pPr>
    </w:p>
    <w:p w14:paraId="4EDFEB69">
      <w:pPr>
        <w:spacing w:line="360" w:lineRule="auto"/>
        <w:jc w:val="center"/>
        <w:rPr>
          <w:rFonts w:ascii="宋体" w:hAnsi="宋体"/>
          <w:color w:val="auto"/>
          <w:sz w:val="24"/>
        </w:rPr>
      </w:pPr>
    </w:p>
    <w:p w14:paraId="474742A8">
      <w:pPr>
        <w:spacing w:line="360" w:lineRule="auto"/>
        <w:jc w:val="center"/>
        <w:rPr>
          <w:rFonts w:ascii="宋体" w:hAnsi="宋体"/>
          <w:b/>
          <w:color w:val="auto"/>
          <w:sz w:val="28"/>
          <w:szCs w:val="28"/>
        </w:rPr>
      </w:pPr>
      <w:r>
        <w:rPr>
          <w:rFonts w:hint="eastAsia" w:ascii="宋体" w:hAnsi="宋体"/>
          <w:b/>
          <w:color w:val="auto"/>
          <w:sz w:val="28"/>
          <w:szCs w:val="28"/>
        </w:rPr>
        <w:t>十</w:t>
      </w:r>
      <w:r>
        <w:rPr>
          <w:rFonts w:hint="eastAsia" w:ascii="宋体" w:hAnsi="宋体"/>
          <w:b/>
          <w:color w:val="auto"/>
          <w:sz w:val="28"/>
          <w:szCs w:val="28"/>
          <w:lang w:val="en-US" w:eastAsia="zh-CN"/>
        </w:rPr>
        <w:t>三</w:t>
      </w:r>
      <w:r>
        <w:rPr>
          <w:rFonts w:hint="eastAsia" w:ascii="宋体" w:hAnsi="宋体"/>
          <w:b/>
          <w:color w:val="auto"/>
          <w:sz w:val="28"/>
          <w:szCs w:val="28"/>
        </w:rPr>
        <w:t>、响应谈判提交的其他技术文件</w:t>
      </w:r>
    </w:p>
    <w:p w14:paraId="6B93DE00">
      <w:pPr>
        <w:spacing w:line="500" w:lineRule="exact"/>
        <w:ind w:firstLine="480" w:firstLineChars="200"/>
        <w:rPr>
          <w:rFonts w:ascii="宋体" w:hAnsi="宋体" w:cs="宋体"/>
          <w:color w:val="auto"/>
          <w:sz w:val="24"/>
        </w:rPr>
      </w:pPr>
      <w:r>
        <w:rPr>
          <w:rFonts w:hint="eastAsia" w:ascii="宋体" w:hAnsi="宋体" w:cs="宋体"/>
          <w:color w:val="auto"/>
          <w:sz w:val="24"/>
        </w:rPr>
        <w:t>1.响应货物的品牌、型号、技术参数的证明材料；</w:t>
      </w:r>
    </w:p>
    <w:p w14:paraId="7B863E7C">
      <w:pPr>
        <w:spacing w:line="500" w:lineRule="exact"/>
        <w:ind w:firstLine="480" w:firstLineChars="200"/>
        <w:rPr>
          <w:rFonts w:ascii="宋体" w:hAnsi="宋体" w:cs="宋体"/>
          <w:color w:val="auto"/>
          <w:sz w:val="24"/>
        </w:rPr>
      </w:pPr>
      <w:r>
        <w:rPr>
          <w:rFonts w:ascii="宋体" w:hAnsi="宋体" w:cs="宋体"/>
          <w:color w:val="auto"/>
          <w:sz w:val="24"/>
        </w:rPr>
        <w:t>2</w:t>
      </w:r>
      <w:r>
        <w:rPr>
          <w:rFonts w:hint="eastAsia" w:ascii="宋体" w:hAnsi="宋体" w:cs="宋体"/>
          <w:color w:val="auto"/>
          <w:sz w:val="24"/>
        </w:rPr>
        <w:t>.技术参数存在正偏离响应货物的技术参数证明材料；</w:t>
      </w:r>
    </w:p>
    <w:p w14:paraId="0FF032E8">
      <w:pPr>
        <w:spacing w:line="500" w:lineRule="exact"/>
        <w:ind w:firstLine="480" w:firstLineChars="200"/>
        <w:rPr>
          <w:rFonts w:ascii="宋体" w:hAnsi="宋体" w:cs="宋体"/>
          <w:color w:val="auto"/>
          <w:sz w:val="24"/>
        </w:rPr>
      </w:pPr>
      <w:r>
        <w:rPr>
          <w:rFonts w:ascii="宋体" w:hAnsi="宋体" w:cs="宋体"/>
          <w:color w:val="auto"/>
          <w:sz w:val="24"/>
        </w:rPr>
        <w:t>3</w:t>
      </w:r>
      <w:r>
        <w:rPr>
          <w:rFonts w:hint="eastAsia" w:ascii="宋体" w:hAnsi="宋体" w:cs="宋体"/>
          <w:color w:val="auto"/>
          <w:sz w:val="24"/>
        </w:rPr>
        <w:t>.</w:t>
      </w:r>
      <w:r>
        <w:rPr>
          <w:rFonts w:hint="eastAsia" w:ascii="宋体" w:hAnsi="宋体" w:cs="宋体"/>
          <w:color w:val="auto"/>
          <w:sz w:val="24"/>
          <w:lang w:val="en-US" w:eastAsia="zh-CN"/>
        </w:rPr>
        <w:t>供应商</w:t>
      </w:r>
      <w:r>
        <w:rPr>
          <w:rFonts w:hint="eastAsia" w:ascii="宋体" w:hAnsi="宋体" w:eastAsia="宋体" w:cs="宋体"/>
          <w:color w:val="auto"/>
          <w:sz w:val="24"/>
          <w:shd w:val="clear" w:color="auto" w:fill="FFFFFF"/>
        </w:rPr>
        <w:t>认为有必要提供的</w:t>
      </w:r>
      <w:r>
        <w:rPr>
          <w:rFonts w:hint="eastAsia" w:ascii="宋体" w:hAnsi="宋体" w:cs="宋体"/>
          <w:color w:val="auto"/>
          <w:sz w:val="24"/>
        </w:rPr>
        <w:t>其他</w:t>
      </w:r>
      <w:r>
        <w:rPr>
          <w:rFonts w:hint="eastAsia" w:ascii="宋体" w:hAnsi="宋体" w:eastAsia="宋体" w:cs="宋体"/>
          <w:color w:val="auto"/>
          <w:sz w:val="24"/>
          <w:shd w:val="clear" w:color="auto" w:fill="FFFFFF"/>
        </w:rPr>
        <w:t>资料</w:t>
      </w:r>
      <w:r>
        <w:rPr>
          <w:rFonts w:hint="eastAsia" w:ascii="宋体" w:hAnsi="宋体" w:cs="宋体"/>
          <w:color w:val="auto"/>
          <w:sz w:val="24"/>
        </w:rPr>
        <w:t>文件。</w:t>
      </w:r>
    </w:p>
    <w:p w14:paraId="0D4E156A">
      <w:pPr>
        <w:spacing w:line="500" w:lineRule="exact"/>
        <w:ind w:firstLine="482" w:firstLineChars="200"/>
        <w:rPr>
          <w:rFonts w:ascii="宋体" w:hAnsi="宋体" w:cs="宋体"/>
          <w:b/>
          <w:color w:val="auto"/>
          <w:sz w:val="24"/>
        </w:rPr>
      </w:pPr>
    </w:p>
    <w:p w14:paraId="035C87DE">
      <w:pPr>
        <w:spacing w:line="360" w:lineRule="auto"/>
        <w:jc w:val="center"/>
        <w:rPr>
          <w:rFonts w:ascii="宋体" w:hAnsi="宋体" w:cs="宋体"/>
          <w:b/>
          <w:color w:val="auto"/>
          <w:sz w:val="28"/>
          <w:szCs w:val="28"/>
        </w:rPr>
      </w:pPr>
    </w:p>
    <w:p w14:paraId="66161B58">
      <w:pPr>
        <w:spacing w:line="360" w:lineRule="auto"/>
        <w:rPr>
          <w:rFonts w:ascii="宋体" w:hAnsi="宋体"/>
          <w:b/>
          <w:color w:val="auto"/>
          <w:sz w:val="28"/>
          <w:szCs w:val="28"/>
        </w:rPr>
        <w:sectPr>
          <w:headerReference r:id="rId28" w:type="first"/>
          <w:footerReference r:id="rId29" w:type="default"/>
          <w:headerReference r:id="rId27" w:type="even"/>
          <w:pgSz w:w="11907" w:h="16840"/>
          <w:pgMar w:top="1440" w:right="1310" w:bottom="1440" w:left="1310" w:header="1021" w:footer="1021" w:gutter="170"/>
          <w:pgNumType w:fmt="decimal"/>
          <w:cols w:space="720" w:num="1"/>
          <w:docGrid w:linePitch="271" w:charSpace="0"/>
        </w:sectPr>
      </w:pPr>
    </w:p>
    <w:p w14:paraId="2BFCB0CC">
      <w:pPr>
        <w:spacing w:line="360" w:lineRule="auto"/>
        <w:jc w:val="center"/>
        <w:rPr>
          <w:rFonts w:hint="eastAsia" w:ascii="宋体" w:hAnsi="宋体" w:cs="Times New Roman"/>
          <w:b/>
          <w:color w:val="auto"/>
          <w:sz w:val="28"/>
          <w:szCs w:val="28"/>
        </w:rPr>
      </w:pPr>
      <w:r>
        <w:rPr>
          <w:rFonts w:hint="eastAsia" w:ascii="宋体" w:hAnsi="宋体" w:cs="Times New Roman"/>
          <w:b/>
          <w:color w:val="auto"/>
          <w:sz w:val="28"/>
          <w:szCs w:val="28"/>
        </w:rPr>
        <w:t>十</w:t>
      </w:r>
      <w:r>
        <w:rPr>
          <w:rFonts w:hint="eastAsia" w:ascii="宋体" w:hAnsi="宋体" w:cs="Times New Roman"/>
          <w:b/>
          <w:color w:val="auto"/>
          <w:sz w:val="28"/>
          <w:szCs w:val="28"/>
          <w:lang w:val="en-US" w:eastAsia="zh-CN"/>
        </w:rPr>
        <w:t>四</w:t>
      </w:r>
      <w:r>
        <w:rPr>
          <w:rFonts w:hint="eastAsia" w:ascii="宋体" w:hAnsi="宋体" w:cs="Times New Roman"/>
          <w:b/>
          <w:color w:val="auto"/>
          <w:sz w:val="28"/>
          <w:szCs w:val="28"/>
        </w:rPr>
        <w:t>、资格证明文件</w:t>
      </w:r>
    </w:p>
    <w:p w14:paraId="35C20193">
      <w:pPr>
        <w:spacing w:line="360" w:lineRule="auto"/>
        <w:jc w:val="left"/>
        <w:rPr>
          <w:rFonts w:hint="default" w:ascii="宋体" w:hAnsi="宋体" w:eastAsia="宋体"/>
          <w:color w:val="auto"/>
          <w:sz w:val="24"/>
          <w:lang w:val="en-US" w:eastAsia="zh-CN"/>
        </w:rPr>
      </w:pPr>
      <w:r>
        <w:rPr>
          <w:rFonts w:hint="eastAsia" w:ascii="宋体" w:hAnsi="宋体"/>
          <w:color w:val="auto"/>
          <w:sz w:val="24"/>
          <w:lang w:val="en-US" w:eastAsia="zh-CN"/>
        </w:rPr>
        <w:t>根据文件要求进行提供，格式自拟</w:t>
      </w:r>
    </w:p>
    <w:p w14:paraId="13D354CA">
      <w:pPr>
        <w:spacing w:line="360" w:lineRule="auto"/>
        <w:jc w:val="left"/>
        <w:rPr>
          <w:rFonts w:ascii="宋体" w:hAnsi="宋体"/>
          <w:color w:val="auto"/>
          <w:sz w:val="24"/>
        </w:rPr>
      </w:pPr>
    </w:p>
    <w:p w14:paraId="5F11F020">
      <w:pPr>
        <w:spacing w:line="360" w:lineRule="auto"/>
        <w:jc w:val="left"/>
        <w:rPr>
          <w:rFonts w:ascii="宋体" w:hAnsi="宋体"/>
          <w:color w:val="auto"/>
          <w:sz w:val="24"/>
        </w:rPr>
      </w:pPr>
    </w:p>
    <w:p w14:paraId="6ABF6923">
      <w:pPr>
        <w:spacing w:line="360" w:lineRule="auto"/>
        <w:jc w:val="left"/>
        <w:rPr>
          <w:rFonts w:ascii="宋体" w:hAnsi="宋体"/>
          <w:color w:val="auto"/>
          <w:sz w:val="24"/>
        </w:rPr>
      </w:pPr>
    </w:p>
    <w:p w14:paraId="30973F7C">
      <w:pPr>
        <w:spacing w:line="360" w:lineRule="auto"/>
        <w:jc w:val="left"/>
        <w:rPr>
          <w:rFonts w:ascii="宋体" w:hAnsi="宋体"/>
          <w:color w:val="auto"/>
          <w:sz w:val="24"/>
        </w:rPr>
      </w:pPr>
    </w:p>
    <w:p w14:paraId="0D4692E0">
      <w:pPr>
        <w:spacing w:line="360" w:lineRule="auto"/>
        <w:jc w:val="left"/>
        <w:rPr>
          <w:rFonts w:ascii="宋体" w:hAnsi="宋体"/>
          <w:color w:val="auto"/>
          <w:sz w:val="24"/>
        </w:rPr>
      </w:pPr>
    </w:p>
    <w:p w14:paraId="6BBDE034">
      <w:pPr>
        <w:spacing w:line="360" w:lineRule="auto"/>
        <w:jc w:val="left"/>
        <w:rPr>
          <w:rFonts w:ascii="宋体" w:hAnsi="宋体"/>
          <w:color w:val="auto"/>
          <w:sz w:val="24"/>
        </w:rPr>
      </w:pPr>
    </w:p>
    <w:p w14:paraId="46085B19">
      <w:pPr>
        <w:spacing w:line="360" w:lineRule="auto"/>
        <w:jc w:val="left"/>
        <w:rPr>
          <w:rFonts w:ascii="宋体" w:hAnsi="宋体"/>
          <w:color w:val="auto"/>
          <w:sz w:val="24"/>
        </w:rPr>
      </w:pPr>
    </w:p>
    <w:p w14:paraId="249E7F1A">
      <w:pPr>
        <w:spacing w:line="360" w:lineRule="auto"/>
        <w:jc w:val="left"/>
        <w:rPr>
          <w:rFonts w:ascii="宋体" w:hAnsi="宋体"/>
          <w:color w:val="auto"/>
          <w:sz w:val="24"/>
        </w:rPr>
      </w:pPr>
    </w:p>
    <w:p w14:paraId="06AE7573">
      <w:pPr>
        <w:spacing w:line="360" w:lineRule="auto"/>
        <w:jc w:val="left"/>
        <w:rPr>
          <w:rFonts w:ascii="宋体" w:hAnsi="宋体"/>
          <w:color w:val="auto"/>
          <w:sz w:val="24"/>
        </w:rPr>
      </w:pPr>
    </w:p>
    <w:p w14:paraId="2E2CD55E">
      <w:pPr>
        <w:spacing w:line="360" w:lineRule="auto"/>
        <w:jc w:val="left"/>
        <w:rPr>
          <w:rFonts w:ascii="宋体" w:hAnsi="宋体"/>
          <w:color w:val="auto"/>
          <w:sz w:val="24"/>
        </w:rPr>
      </w:pPr>
    </w:p>
    <w:p w14:paraId="1AAFF88B">
      <w:pPr>
        <w:spacing w:line="360" w:lineRule="auto"/>
        <w:jc w:val="left"/>
        <w:rPr>
          <w:rFonts w:ascii="宋体" w:hAnsi="宋体"/>
          <w:color w:val="auto"/>
          <w:sz w:val="24"/>
        </w:rPr>
      </w:pPr>
    </w:p>
    <w:p w14:paraId="5224346C">
      <w:pPr>
        <w:spacing w:line="360" w:lineRule="auto"/>
        <w:jc w:val="left"/>
        <w:rPr>
          <w:rFonts w:ascii="宋体" w:hAnsi="宋体"/>
          <w:color w:val="auto"/>
          <w:sz w:val="24"/>
        </w:rPr>
      </w:pPr>
    </w:p>
    <w:p w14:paraId="45236329">
      <w:pPr>
        <w:spacing w:line="360" w:lineRule="auto"/>
        <w:jc w:val="left"/>
        <w:rPr>
          <w:rFonts w:ascii="宋体" w:hAnsi="宋体"/>
          <w:color w:val="auto"/>
          <w:sz w:val="24"/>
        </w:rPr>
      </w:pPr>
    </w:p>
    <w:p w14:paraId="62A93A71">
      <w:pPr>
        <w:spacing w:line="360" w:lineRule="auto"/>
        <w:jc w:val="left"/>
        <w:rPr>
          <w:rFonts w:ascii="宋体" w:hAnsi="宋体"/>
          <w:color w:val="auto"/>
          <w:sz w:val="24"/>
        </w:rPr>
      </w:pPr>
    </w:p>
    <w:p w14:paraId="261C5793">
      <w:pPr>
        <w:spacing w:line="360" w:lineRule="auto"/>
        <w:jc w:val="left"/>
        <w:rPr>
          <w:rFonts w:ascii="宋体" w:hAnsi="宋体"/>
          <w:color w:val="auto"/>
          <w:sz w:val="24"/>
        </w:rPr>
      </w:pPr>
    </w:p>
    <w:p w14:paraId="5996CB45">
      <w:pPr>
        <w:spacing w:line="360" w:lineRule="auto"/>
        <w:jc w:val="left"/>
        <w:rPr>
          <w:rFonts w:ascii="宋体" w:hAnsi="宋体"/>
          <w:color w:val="auto"/>
          <w:sz w:val="24"/>
        </w:rPr>
      </w:pPr>
    </w:p>
    <w:p w14:paraId="07A5F2F9">
      <w:pPr>
        <w:spacing w:line="360" w:lineRule="auto"/>
        <w:jc w:val="left"/>
        <w:rPr>
          <w:rFonts w:ascii="宋体" w:hAnsi="宋体"/>
          <w:color w:val="auto"/>
          <w:sz w:val="24"/>
        </w:rPr>
      </w:pPr>
    </w:p>
    <w:p w14:paraId="7E7165F8">
      <w:pPr>
        <w:spacing w:line="360" w:lineRule="auto"/>
        <w:jc w:val="left"/>
        <w:rPr>
          <w:rFonts w:ascii="宋体" w:hAnsi="宋体"/>
          <w:color w:val="auto"/>
          <w:sz w:val="24"/>
        </w:rPr>
      </w:pPr>
    </w:p>
    <w:p w14:paraId="0C5745CF">
      <w:pPr>
        <w:spacing w:line="360" w:lineRule="auto"/>
        <w:jc w:val="left"/>
        <w:rPr>
          <w:rFonts w:ascii="宋体" w:hAnsi="宋体"/>
          <w:color w:val="auto"/>
          <w:sz w:val="24"/>
        </w:rPr>
      </w:pPr>
    </w:p>
    <w:p w14:paraId="4372B632">
      <w:pPr>
        <w:rPr>
          <w:rFonts w:hint="eastAsia" w:ascii="宋体" w:hAnsi="宋体"/>
          <w:b/>
          <w:color w:val="auto"/>
          <w:sz w:val="28"/>
          <w:szCs w:val="28"/>
        </w:rPr>
      </w:pPr>
      <w:r>
        <w:rPr>
          <w:rFonts w:hint="eastAsia" w:ascii="宋体" w:hAnsi="宋体"/>
          <w:b/>
          <w:color w:val="auto"/>
          <w:sz w:val="28"/>
          <w:szCs w:val="28"/>
        </w:rPr>
        <w:br w:type="page"/>
      </w:r>
    </w:p>
    <w:p w14:paraId="54484AB2">
      <w:pPr>
        <w:spacing w:line="360" w:lineRule="auto"/>
        <w:jc w:val="center"/>
        <w:rPr>
          <w:rFonts w:ascii="宋体" w:hAnsi="宋体"/>
          <w:b/>
          <w:color w:val="auto"/>
          <w:sz w:val="28"/>
          <w:szCs w:val="28"/>
        </w:rPr>
      </w:pPr>
      <w:r>
        <w:rPr>
          <w:rFonts w:hint="eastAsia" w:ascii="宋体" w:hAnsi="宋体"/>
          <w:b/>
          <w:color w:val="auto"/>
          <w:sz w:val="28"/>
          <w:szCs w:val="28"/>
        </w:rPr>
        <w:t>十</w:t>
      </w:r>
      <w:r>
        <w:rPr>
          <w:rFonts w:hint="eastAsia" w:ascii="宋体" w:hAnsi="宋体"/>
          <w:b/>
          <w:color w:val="auto"/>
          <w:sz w:val="28"/>
          <w:szCs w:val="28"/>
          <w:lang w:val="en-US" w:eastAsia="zh-CN"/>
        </w:rPr>
        <w:t>五</w:t>
      </w:r>
      <w:r>
        <w:rPr>
          <w:rFonts w:hint="eastAsia" w:ascii="宋体" w:hAnsi="宋体"/>
          <w:b/>
          <w:color w:val="auto"/>
          <w:sz w:val="28"/>
          <w:szCs w:val="28"/>
        </w:rPr>
        <w:t>、中小企业声明函（响应</w:t>
      </w:r>
      <w:r>
        <w:rPr>
          <w:rFonts w:ascii="宋体" w:hAnsi="宋体"/>
          <w:b/>
          <w:color w:val="auto"/>
          <w:sz w:val="28"/>
          <w:szCs w:val="28"/>
        </w:rPr>
        <w:t>谈判</w:t>
      </w:r>
      <w:r>
        <w:rPr>
          <w:rFonts w:hint="eastAsia" w:ascii="宋体" w:hAnsi="宋体"/>
          <w:b/>
          <w:color w:val="auto"/>
          <w:sz w:val="28"/>
          <w:szCs w:val="28"/>
        </w:rPr>
        <w:t>供应商）</w:t>
      </w:r>
    </w:p>
    <w:p w14:paraId="192193E9">
      <w:pPr>
        <w:spacing w:before="78" w:line="219" w:lineRule="auto"/>
        <w:ind w:left="487"/>
        <w:rPr>
          <w:rFonts w:ascii="宋体" w:hAnsi="宋体" w:cs="宋体"/>
          <w:color w:val="auto"/>
          <w:sz w:val="24"/>
        </w:rPr>
      </w:pPr>
      <w:r>
        <w:rPr>
          <w:rFonts w:ascii="宋体" w:hAnsi="宋体" w:cs="宋体"/>
          <w:color w:val="auto"/>
          <w:spacing w:val="1"/>
          <w:sz w:val="24"/>
        </w:rPr>
        <w:t>公司郑重声明，根据《政府采购促进中小企业发展管理办法》(</w:t>
      </w:r>
      <w:r>
        <w:rPr>
          <w:rFonts w:ascii="宋体" w:hAnsi="宋体" w:cs="宋体"/>
          <w:color w:val="auto"/>
          <w:sz w:val="24"/>
        </w:rPr>
        <w:t>财库[2020]46 号)</w:t>
      </w:r>
    </w:p>
    <w:p w14:paraId="0EC0687D">
      <w:pPr>
        <w:spacing w:before="235" w:line="400" w:lineRule="auto"/>
        <w:ind w:left="7" w:right="96" w:firstLine="12"/>
        <w:rPr>
          <w:rFonts w:ascii="宋体" w:hAnsi="宋体" w:cs="宋体"/>
          <w:color w:val="auto"/>
          <w:sz w:val="24"/>
        </w:rPr>
      </w:pPr>
      <w:r>
        <w:rPr>
          <w:rFonts w:ascii="宋体" w:hAnsi="宋体" w:cs="宋体"/>
          <w:color w:val="auto"/>
          <w:spacing w:val="-12"/>
          <w:sz w:val="24"/>
        </w:rPr>
        <w:t>的</w:t>
      </w:r>
      <w:r>
        <w:rPr>
          <w:rFonts w:ascii="宋体" w:hAnsi="宋体" w:cs="宋体"/>
          <w:color w:val="auto"/>
          <w:spacing w:val="-7"/>
          <w:sz w:val="24"/>
        </w:rPr>
        <w:t>规定， 本公司为______ (请填写： 中型、小型、微型) 企业。即，本公司同时满足以</w:t>
      </w:r>
      <w:r>
        <w:rPr>
          <w:rFonts w:ascii="宋体" w:hAnsi="宋体" w:cs="宋体"/>
          <w:color w:val="auto"/>
          <w:sz w:val="24"/>
        </w:rPr>
        <w:t xml:space="preserve"> </w:t>
      </w:r>
      <w:r>
        <w:rPr>
          <w:rFonts w:ascii="宋体" w:hAnsi="宋体" w:cs="宋体"/>
          <w:color w:val="auto"/>
          <w:spacing w:val="-15"/>
          <w:sz w:val="24"/>
        </w:rPr>
        <w:t>下</w:t>
      </w:r>
      <w:r>
        <w:rPr>
          <w:rFonts w:ascii="宋体" w:hAnsi="宋体" w:cs="宋体"/>
          <w:color w:val="auto"/>
          <w:spacing w:val="-13"/>
          <w:sz w:val="24"/>
        </w:rPr>
        <w:t>条件：</w:t>
      </w:r>
    </w:p>
    <w:p w14:paraId="1D739DE5">
      <w:pPr>
        <w:spacing w:line="400" w:lineRule="auto"/>
        <w:ind w:left="9" w:right="78" w:firstLine="488"/>
        <w:rPr>
          <w:rFonts w:ascii="宋体" w:hAnsi="宋体" w:cs="宋体"/>
          <w:color w:val="auto"/>
          <w:sz w:val="24"/>
        </w:rPr>
      </w:pPr>
      <w:r>
        <w:rPr>
          <w:rFonts w:ascii="宋体" w:hAnsi="宋体" w:cs="宋体"/>
          <w:color w:val="auto"/>
          <w:spacing w:val="-2"/>
          <w:sz w:val="24"/>
        </w:rPr>
        <w:t>根据《工业和信息化部、国家统计局、国家发展和改革委员会、财政部关于印发</w:t>
      </w:r>
      <w:r>
        <w:rPr>
          <w:rFonts w:ascii="宋体" w:hAnsi="宋体" w:cs="宋体"/>
          <w:color w:val="auto"/>
          <w:sz w:val="24"/>
        </w:rPr>
        <w:t xml:space="preserve"> </w:t>
      </w:r>
      <w:r>
        <w:rPr>
          <w:rFonts w:ascii="宋体" w:hAnsi="宋体" w:cs="宋体"/>
          <w:color w:val="auto"/>
          <w:spacing w:val="6"/>
          <w:sz w:val="24"/>
        </w:rPr>
        <w:t>中小企业划型标准规定的</w:t>
      </w:r>
      <w:r>
        <w:rPr>
          <w:rFonts w:ascii="宋体" w:hAnsi="宋体" w:cs="宋体"/>
          <w:color w:val="auto"/>
          <w:spacing w:val="3"/>
          <w:sz w:val="24"/>
        </w:rPr>
        <w:t>通知》(工信部联企业[2011]300 号)规定的划分标准：本公</w:t>
      </w:r>
      <w:r>
        <w:rPr>
          <w:rFonts w:ascii="宋体" w:hAnsi="宋体" w:cs="宋体"/>
          <w:color w:val="auto"/>
          <w:sz w:val="24"/>
        </w:rPr>
        <w:t xml:space="preserve"> </w:t>
      </w:r>
      <w:r>
        <w:rPr>
          <w:rFonts w:ascii="宋体" w:hAnsi="宋体" w:cs="宋体"/>
          <w:color w:val="auto"/>
          <w:spacing w:val="2"/>
          <w:sz w:val="24"/>
        </w:rPr>
        <w:t>司属于第四条第______项______</w:t>
      </w:r>
      <w:r>
        <w:rPr>
          <w:rFonts w:ascii="宋体" w:hAnsi="宋体" w:cs="宋体"/>
          <w:color w:val="auto"/>
          <w:spacing w:val="1"/>
          <w:sz w:val="24"/>
        </w:rPr>
        <w:t>行业，为______ (请填写：中型、小型、微型)企业。</w:t>
      </w:r>
    </w:p>
    <w:p w14:paraId="03BE1AE0">
      <w:pPr>
        <w:spacing w:before="1" w:line="218" w:lineRule="auto"/>
        <w:ind w:left="480"/>
        <w:rPr>
          <w:rFonts w:ascii="宋体" w:hAnsi="宋体" w:cs="宋体"/>
          <w:color w:val="auto"/>
          <w:sz w:val="24"/>
        </w:rPr>
      </w:pPr>
      <w:r>
        <w:rPr>
          <w:rFonts w:ascii="宋体" w:hAnsi="宋体" w:cs="宋体"/>
          <w:color w:val="auto"/>
          <w:spacing w:val="-2"/>
          <w:sz w:val="24"/>
        </w:rPr>
        <w:t>本公司对上述声明的真实性负</w:t>
      </w:r>
      <w:r>
        <w:rPr>
          <w:rFonts w:ascii="宋体" w:hAnsi="宋体" w:cs="宋体"/>
          <w:color w:val="auto"/>
          <w:spacing w:val="-1"/>
          <w:sz w:val="24"/>
        </w:rPr>
        <w:t>责。如有虚假，将依法承担相应责任。</w:t>
      </w:r>
    </w:p>
    <w:p w14:paraId="54A6AD56">
      <w:pPr>
        <w:spacing w:before="236" w:line="219" w:lineRule="auto"/>
        <w:ind w:left="480"/>
        <w:rPr>
          <w:rFonts w:ascii="宋体" w:hAnsi="宋体" w:cs="宋体"/>
          <w:color w:val="auto"/>
          <w:sz w:val="24"/>
        </w:rPr>
      </w:pPr>
      <w:r>
        <w:rPr>
          <w:rFonts w:ascii="宋体" w:hAnsi="宋体" w:cs="宋体"/>
          <w:color w:val="auto"/>
          <w:spacing w:val="-2"/>
          <w:sz w:val="24"/>
        </w:rPr>
        <w:t>注：提供其他中小</w:t>
      </w:r>
      <w:r>
        <w:rPr>
          <w:rFonts w:ascii="宋体" w:hAnsi="宋体" w:cs="宋体"/>
          <w:color w:val="auto"/>
          <w:spacing w:val="-1"/>
          <w:sz w:val="24"/>
        </w:rPr>
        <w:t>微企业制造的货物，必须同时提供该中小微企业的声明函。</w:t>
      </w:r>
    </w:p>
    <w:p w14:paraId="72011CAF">
      <w:pPr>
        <w:spacing w:line="297" w:lineRule="auto"/>
        <w:rPr>
          <w:rFonts w:ascii="Arial"/>
          <w:color w:val="auto"/>
        </w:rPr>
      </w:pPr>
    </w:p>
    <w:p w14:paraId="58E1789B">
      <w:pPr>
        <w:spacing w:line="297" w:lineRule="auto"/>
        <w:rPr>
          <w:rFonts w:ascii="Arial"/>
          <w:color w:val="auto"/>
        </w:rPr>
      </w:pPr>
    </w:p>
    <w:p w14:paraId="403B048B">
      <w:pPr>
        <w:spacing w:line="298" w:lineRule="auto"/>
        <w:rPr>
          <w:rFonts w:ascii="Arial"/>
          <w:color w:val="auto"/>
        </w:rPr>
      </w:pPr>
    </w:p>
    <w:p w14:paraId="7895E57D">
      <w:pPr>
        <w:spacing w:line="298" w:lineRule="auto"/>
        <w:rPr>
          <w:rFonts w:ascii="Arial"/>
          <w:color w:val="auto"/>
        </w:rPr>
      </w:pPr>
    </w:p>
    <w:p w14:paraId="4A04D76E">
      <w:pPr>
        <w:spacing w:before="79" w:line="219" w:lineRule="auto"/>
        <w:ind w:left="482"/>
        <w:rPr>
          <w:rFonts w:ascii="宋体" w:hAnsi="宋体" w:cs="宋体"/>
          <w:color w:val="auto"/>
          <w:sz w:val="24"/>
        </w:rPr>
      </w:pPr>
      <w:r>
        <w:rPr>
          <w:rFonts w:hint="eastAsia" w:ascii="宋体" w:hAnsi="宋体" w:cs="宋体"/>
          <w:color w:val="auto"/>
          <w:spacing w:val="19"/>
          <w:sz w:val="24"/>
        </w:rPr>
        <w:t>响应谈判</w:t>
      </w:r>
      <w:r>
        <w:rPr>
          <w:rFonts w:ascii="宋体" w:hAnsi="宋体" w:cs="宋体"/>
          <w:color w:val="auto"/>
          <w:spacing w:val="19"/>
          <w:sz w:val="24"/>
        </w:rPr>
        <w:t>供应商</w:t>
      </w:r>
      <w:r>
        <w:rPr>
          <w:rFonts w:ascii="宋体" w:hAnsi="宋体" w:cs="宋体"/>
          <w:color w:val="auto"/>
          <w:spacing w:val="17"/>
          <w:sz w:val="24"/>
        </w:rPr>
        <w:t>名称(盖章)：</w:t>
      </w:r>
    </w:p>
    <w:p w14:paraId="213EE8F9">
      <w:pPr>
        <w:spacing w:before="236" w:line="519" w:lineRule="exact"/>
        <w:ind w:left="480"/>
        <w:rPr>
          <w:rFonts w:ascii="宋体" w:hAnsi="宋体" w:cs="宋体"/>
          <w:color w:val="auto"/>
          <w:sz w:val="24"/>
        </w:rPr>
      </w:pPr>
      <w:r>
        <w:rPr>
          <w:rFonts w:ascii="宋体" w:hAnsi="宋体" w:cs="宋体"/>
          <w:color w:val="auto"/>
          <w:spacing w:val="18"/>
          <w:position w:val="21"/>
          <w:sz w:val="24"/>
        </w:rPr>
        <w:t>法</w:t>
      </w:r>
      <w:r>
        <w:rPr>
          <w:rFonts w:ascii="宋体" w:hAnsi="宋体" w:cs="宋体"/>
          <w:color w:val="auto"/>
          <w:spacing w:val="12"/>
          <w:position w:val="21"/>
          <w:sz w:val="24"/>
        </w:rPr>
        <w:t>定</w:t>
      </w:r>
      <w:r>
        <w:rPr>
          <w:rFonts w:ascii="宋体" w:hAnsi="宋体" w:cs="宋体"/>
          <w:color w:val="auto"/>
          <w:spacing w:val="9"/>
          <w:position w:val="21"/>
          <w:sz w:val="24"/>
        </w:rPr>
        <w:t>代表人或被授权人(签字或印章)：</w:t>
      </w:r>
    </w:p>
    <w:p w14:paraId="6C37A53B">
      <w:pPr>
        <w:spacing w:line="219" w:lineRule="auto"/>
        <w:ind w:left="521"/>
        <w:rPr>
          <w:rFonts w:ascii="宋体" w:hAnsi="宋体" w:cs="宋体"/>
          <w:color w:val="auto"/>
          <w:sz w:val="24"/>
        </w:rPr>
      </w:pPr>
      <w:r>
        <w:rPr>
          <w:rFonts w:ascii="宋体" w:hAnsi="宋体" w:cs="宋体"/>
          <w:color w:val="auto"/>
          <w:spacing w:val="-12"/>
          <w:sz w:val="24"/>
        </w:rPr>
        <w:t>日</w:t>
      </w:r>
      <w:r>
        <w:rPr>
          <w:rFonts w:ascii="宋体" w:hAnsi="宋体" w:cs="宋体"/>
          <w:color w:val="auto"/>
          <w:spacing w:val="-9"/>
          <w:sz w:val="24"/>
        </w:rPr>
        <w:t xml:space="preserve"> 期：  年  月  日</w:t>
      </w:r>
    </w:p>
    <w:p w14:paraId="455B7DAA">
      <w:pPr>
        <w:rPr>
          <w:color w:val="auto"/>
          <w:sz w:val="24"/>
        </w:rPr>
      </w:pPr>
    </w:p>
    <w:p w14:paraId="65C9ED83">
      <w:pPr>
        <w:rPr>
          <w:color w:val="auto"/>
          <w:sz w:val="24"/>
        </w:rPr>
      </w:pPr>
    </w:p>
    <w:p w14:paraId="1A73570B">
      <w:pPr>
        <w:rPr>
          <w:color w:val="auto"/>
          <w:sz w:val="24"/>
        </w:rPr>
      </w:pPr>
    </w:p>
    <w:p w14:paraId="68C64FD1">
      <w:pPr>
        <w:rPr>
          <w:color w:val="auto"/>
          <w:sz w:val="24"/>
        </w:rPr>
      </w:pPr>
    </w:p>
    <w:p w14:paraId="583D1189">
      <w:pPr>
        <w:rPr>
          <w:color w:val="auto"/>
          <w:sz w:val="24"/>
        </w:rPr>
      </w:pPr>
    </w:p>
    <w:p w14:paraId="3AF6F464">
      <w:pPr>
        <w:rPr>
          <w:color w:val="auto"/>
          <w:sz w:val="24"/>
        </w:rPr>
      </w:pPr>
    </w:p>
    <w:p w14:paraId="43A2B193">
      <w:pPr>
        <w:rPr>
          <w:color w:val="auto"/>
          <w:sz w:val="24"/>
        </w:rPr>
      </w:pPr>
    </w:p>
    <w:p w14:paraId="7ED18C16">
      <w:pPr>
        <w:widowControl/>
        <w:jc w:val="left"/>
        <w:rPr>
          <w:rFonts w:ascii="宋体" w:hAnsi="宋体"/>
          <w:color w:val="auto"/>
          <w:sz w:val="24"/>
        </w:rPr>
      </w:pPr>
      <w:r>
        <w:rPr>
          <w:rFonts w:ascii="宋体" w:hAnsi="宋体"/>
          <w:color w:val="auto"/>
          <w:sz w:val="24"/>
        </w:rPr>
        <w:br w:type="page"/>
      </w:r>
    </w:p>
    <w:p w14:paraId="20A0304C">
      <w:pPr>
        <w:spacing w:line="360" w:lineRule="auto"/>
        <w:jc w:val="center"/>
        <w:rPr>
          <w:rFonts w:ascii="宋体" w:hAnsi="宋体"/>
          <w:b/>
          <w:bCs/>
          <w:color w:val="auto"/>
          <w:sz w:val="28"/>
          <w:szCs w:val="28"/>
        </w:rPr>
      </w:pPr>
      <w:r>
        <w:rPr>
          <w:rFonts w:hint="eastAsia" w:ascii="宋体" w:hAnsi="宋体"/>
          <w:b/>
          <w:bCs/>
          <w:color w:val="auto"/>
          <w:sz w:val="28"/>
          <w:szCs w:val="28"/>
        </w:rPr>
        <w:t>中小企业声明函（响应货物制造商）</w:t>
      </w:r>
    </w:p>
    <w:p w14:paraId="6BA5816B">
      <w:pPr>
        <w:widowControl/>
        <w:shd w:val="clear" w:color="auto" w:fill="FFFFFF"/>
        <w:spacing w:line="360" w:lineRule="auto"/>
        <w:ind w:firstLine="480"/>
        <w:jc w:val="left"/>
        <w:rPr>
          <w:color w:val="auto"/>
          <w:kern w:val="0"/>
          <w:sz w:val="24"/>
        </w:rPr>
      </w:pPr>
      <w:r>
        <w:rPr>
          <w:color w:val="auto"/>
          <w:kern w:val="0"/>
          <w:sz w:val="24"/>
        </w:rPr>
        <w:t>本公司（联合体）郑重声明，根据《政府采购促进中小 企业发展管理办法》（财库﹝2020﹞46 号）的规定，本公司（联合体）参加</w:t>
      </w:r>
      <w:r>
        <w:rPr>
          <w:i/>
          <w:iCs/>
          <w:color w:val="auto"/>
          <w:kern w:val="0"/>
          <w:sz w:val="24"/>
          <w:u w:val="single"/>
        </w:rPr>
        <w:t>（单位名称）</w:t>
      </w:r>
      <w:r>
        <w:rPr>
          <w:color w:val="auto"/>
          <w:kern w:val="0"/>
          <w:sz w:val="24"/>
        </w:rPr>
        <w:t>的</w:t>
      </w:r>
      <w:r>
        <w:rPr>
          <w:i/>
          <w:iCs/>
          <w:color w:val="auto"/>
          <w:kern w:val="0"/>
          <w:sz w:val="24"/>
          <w:u w:val="single"/>
        </w:rPr>
        <w:t>（项目名称）</w:t>
      </w:r>
      <w:r>
        <w:rPr>
          <w:color w:val="auto"/>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07F25013">
      <w:pPr>
        <w:widowControl/>
        <w:shd w:val="clear" w:color="auto" w:fill="FFFFFF"/>
        <w:spacing w:line="360" w:lineRule="auto"/>
        <w:ind w:firstLine="480"/>
        <w:jc w:val="left"/>
        <w:rPr>
          <w:color w:val="auto"/>
          <w:kern w:val="0"/>
          <w:sz w:val="24"/>
        </w:rPr>
      </w:pPr>
      <w:r>
        <w:rPr>
          <w:color w:val="auto"/>
          <w:kern w:val="0"/>
          <w:sz w:val="24"/>
        </w:rPr>
        <w:t xml:space="preserve"> 1.</w:t>
      </w:r>
      <w:r>
        <w:rPr>
          <w:i/>
          <w:iCs/>
          <w:color w:val="auto"/>
          <w:kern w:val="0"/>
          <w:sz w:val="24"/>
          <w:u w:val="single"/>
        </w:rPr>
        <w:t>（</w:t>
      </w:r>
      <w:r>
        <w:rPr>
          <w:rFonts w:hint="eastAsia"/>
          <w:i/>
          <w:iCs/>
          <w:color w:val="auto"/>
          <w:kern w:val="0"/>
          <w:sz w:val="24"/>
          <w:u w:val="single"/>
        </w:rPr>
        <w:t>响应货物</w:t>
      </w:r>
      <w:r>
        <w:rPr>
          <w:i/>
          <w:iCs/>
          <w:color w:val="auto"/>
          <w:kern w:val="0"/>
          <w:sz w:val="24"/>
          <w:u w:val="single"/>
        </w:rPr>
        <w:t>名称）</w:t>
      </w:r>
      <w:r>
        <w:rPr>
          <w:color w:val="auto"/>
          <w:kern w:val="0"/>
          <w:sz w:val="24"/>
        </w:rPr>
        <w:t>，属于</w:t>
      </w:r>
      <w:r>
        <w:rPr>
          <w:i/>
          <w:iCs/>
          <w:color w:val="auto"/>
          <w:kern w:val="0"/>
          <w:sz w:val="24"/>
          <w:u w:val="single"/>
        </w:rPr>
        <w:t>（采购文件中明确的所属行业）</w:t>
      </w:r>
      <w:r>
        <w:rPr>
          <w:color w:val="auto"/>
          <w:kern w:val="0"/>
          <w:sz w:val="24"/>
        </w:rPr>
        <w:t>；承建（承接）企业为</w:t>
      </w:r>
      <w:r>
        <w:rPr>
          <w:i/>
          <w:iCs/>
          <w:color w:val="auto"/>
          <w:kern w:val="0"/>
          <w:sz w:val="24"/>
          <w:u w:val="single"/>
        </w:rPr>
        <w:t>（企业名称）</w:t>
      </w:r>
      <w:r>
        <w:rPr>
          <w:color w:val="auto"/>
          <w:kern w:val="0"/>
          <w:sz w:val="24"/>
        </w:rPr>
        <w:t>，从业人员</w:t>
      </w:r>
      <w:r>
        <w:rPr>
          <w:color w:val="auto"/>
          <w:kern w:val="0"/>
          <w:sz w:val="24"/>
          <w:u w:val="single"/>
        </w:rPr>
        <w:t xml:space="preserve">     </w:t>
      </w:r>
      <w:r>
        <w:rPr>
          <w:color w:val="auto"/>
          <w:kern w:val="0"/>
          <w:sz w:val="24"/>
        </w:rPr>
        <w:t>人，营业收入为</w:t>
      </w:r>
      <w:r>
        <w:rPr>
          <w:color w:val="auto"/>
          <w:kern w:val="0"/>
          <w:sz w:val="24"/>
          <w:u w:val="single"/>
        </w:rPr>
        <w:t xml:space="preserve">     </w:t>
      </w:r>
      <w:r>
        <w:rPr>
          <w:color w:val="auto"/>
          <w:kern w:val="0"/>
          <w:sz w:val="24"/>
        </w:rPr>
        <w:t>万元，资产总额为</w:t>
      </w:r>
      <w:r>
        <w:rPr>
          <w:color w:val="auto"/>
          <w:kern w:val="0"/>
          <w:sz w:val="24"/>
          <w:u w:val="single"/>
        </w:rPr>
        <w:t xml:space="preserve">     </w:t>
      </w:r>
      <w:r>
        <w:rPr>
          <w:color w:val="auto"/>
          <w:kern w:val="0"/>
          <w:sz w:val="24"/>
        </w:rPr>
        <w:t>万元</w:t>
      </w:r>
      <w:r>
        <w:rPr>
          <w:color w:val="auto"/>
          <w:kern w:val="0"/>
          <w:sz w:val="24"/>
          <w:vertAlign w:val="superscript"/>
        </w:rPr>
        <w:t>1</w:t>
      </w:r>
      <w:r>
        <w:rPr>
          <w:color w:val="auto"/>
          <w:kern w:val="0"/>
          <w:sz w:val="24"/>
        </w:rPr>
        <w:t>，属于</w:t>
      </w:r>
      <w:r>
        <w:rPr>
          <w:i/>
          <w:iCs/>
          <w:color w:val="auto"/>
          <w:kern w:val="0"/>
          <w:sz w:val="24"/>
          <w:u w:val="single"/>
        </w:rPr>
        <w:t>（中型企业、 小型企业、微型企业）</w:t>
      </w:r>
      <w:r>
        <w:rPr>
          <w:color w:val="auto"/>
          <w:kern w:val="0"/>
          <w:sz w:val="24"/>
        </w:rPr>
        <w:t>；</w:t>
      </w:r>
    </w:p>
    <w:p w14:paraId="27388784">
      <w:pPr>
        <w:widowControl/>
        <w:shd w:val="clear" w:color="auto" w:fill="FFFFFF"/>
        <w:spacing w:line="360" w:lineRule="auto"/>
        <w:ind w:firstLine="480"/>
        <w:jc w:val="left"/>
        <w:rPr>
          <w:color w:val="auto"/>
          <w:kern w:val="0"/>
          <w:sz w:val="24"/>
        </w:rPr>
      </w:pPr>
      <w:r>
        <w:rPr>
          <w:color w:val="auto"/>
          <w:kern w:val="0"/>
          <w:sz w:val="24"/>
        </w:rPr>
        <w:t xml:space="preserve"> 2. </w:t>
      </w:r>
      <w:r>
        <w:rPr>
          <w:i/>
          <w:iCs/>
          <w:color w:val="auto"/>
          <w:kern w:val="0"/>
          <w:sz w:val="24"/>
          <w:u w:val="single"/>
        </w:rPr>
        <w:t>（</w:t>
      </w:r>
      <w:r>
        <w:rPr>
          <w:rFonts w:hint="eastAsia"/>
          <w:i/>
          <w:iCs/>
          <w:color w:val="auto"/>
          <w:kern w:val="0"/>
          <w:sz w:val="24"/>
          <w:u w:val="single"/>
        </w:rPr>
        <w:t>响应货物</w:t>
      </w:r>
      <w:r>
        <w:rPr>
          <w:i/>
          <w:iCs/>
          <w:color w:val="auto"/>
          <w:kern w:val="0"/>
          <w:sz w:val="24"/>
          <w:u w:val="single"/>
        </w:rPr>
        <w:t>名称）</w:t>
      </w:r>
      <w:r>
        <w:rPr>
          <w:color w:val="auto"/>
          <w:kern w:val="0"/>
          <w:sz w:val="24"/>
        </w:rPr>
        <w:t>，属于</w:t>
      </w:r>
      <w:r>
        <w:rPr>
          <w:i/>
          <w:iCs/>
          <w:color w:val="auto"/>
          <w:kern w:val="0"/>
          <w:sz w:val="24"/>
          <w:u w:val="single"/>
        </w:rPr>
        <w:t>（采购文件中明确的所属行业）</w:t>
      </w:r>
      <w:r>
        <w:rPr>
          <w:color w:val="auto"/>
          <w:kern w:val="0"/>
          <w:sz w:val="24"/>
        </w:rPr>
        <w:t>； 承建（承接）企业为</w:t>
      </w:r>
      <w:r>
        <w:rPr>
          <w:i/>
          <w:iCs/>
          <w:color w:val="auto"/>
          <w:kern w:val="0"/>
          <w:sz w:val="24"/>
          <w:u w:val="single"/>
        </w:rPr>
        <w:t>（企业名称）</w:t>
      </w:r>
      <w:r>
        <w:rPr>
          <w:color w:val="auto"/>
          <w:kern w:val="0"/>
          <w:sz w:val="24"/>
        </w:rPr>
        <w:t>，从业人员</w:t>
      </w:r>
      <w:r>
        <w:rPr>
          <w:color w:val="auto"/>
          <w:kern w:val="0"/>
          <w:sz w:val="24"/>
          <w:u w:val="single"/>
        </w:rPr>
        <w:t xml:space="preserve">     </w:t>
      </w:r>
      <w:r>
        <w:rPr>
          <w:color w:val="auto"/>
          <w:kern w:val="0"/>
          <w:sz w:val="24"/>
        </w:rPr>
        <w:t>人，营业收入为</w:t>
      </w:r>
      <w:r>
        <w:rPr>
          <w:color w:val="auto"/>
          <w:kern w:val="0"/>
          <w:sz w:val="24"/>
          <w:u w:val="single"/>
        </w:rPr>
        <w:t xml:space="preserve">     </w:t>
      </w:r>
      <w:r>
        <w:rPr>
          <w:color w:val="auto"/>
          <w:kern w:val="0"/>
          <w:sz w:val="24"/>
        </w:rPr>
        <w:t>万元，资产总额为</w:t>
      </w:r>
      <w:r>
        <w:rPr>
          <w:color w:val="auto"/>
          <w:kern w:val="0"/>
          <w:sz w:val="24"/>
          <w:u w:val="single"/>
        </w:rPr>
        <w:t xml:space="preserve">     </w:t>
      </w:r>
      <w:r>
        <w:rPr>
          <w:color w:val="auto"/>
          <w:kern w:val="0"/>
          <w:sz w:val="24"/>
        </w:rPr>
        <w:t>万元，属于</w:t>
      </w:r>
      <w:r>
        <w:rPr>
          <w:i/>
          <w:iCs/>
          <w:color w:val="auto"/>
          <w:kern w:val="0"/>
          <w:sz w:val="24"/>
          <w:u w:val="single"/>
        </w:rPr>
        <w:t>（中型企业、 小型企业、微型企业）</w:t>
      </w:r>
      <w:r>
        <w:rPr>
          <w:color w:val="auto"/>
          <w:kern w:val="0"/>
          <w:sz w:val="24"/>
        </w:rPr>
        <w:t>；</w:t>
      </w:r>
    </w:p>
    <w:p w14:paraId="2BC59D08">
      <w:pPr>
        <w:widowControl/>
        <w:shd w:val="clear" w:color="auto" w:fill="FFFFFF"/>
        <w:spacing w:line="360" w:lineRule="auto"/>
        <w:ind w:firstLine="480"/>
        <w:jc w:val="left"/>
        <w:rPr>
          <w:b/>
          <w:bCs/>
          <w:color w:val="auto"/>
          <w:kern w:val="0"/>
          <w:sz w:val="24"/>
        </w:rPr>
      </w:pPr>
      <w:r>
        <w:rPr>
          <w:b/>
          <w:bCs/>
          <w:color w:val="auto"/>
          <w:kern w:val="0"/>
          <w:sz w:val="24"/>
        </w:rPr>
        <w:t xml:space="preserve"> …… </w:t>
      </w:r>
    </w:p>
    <w:p w14:paraId="5FAF1E1B">
      <w:pPr>
        <w:widowControl/>
        <w:shd w:val="clear" w:color="auto" w:fill="FFFFFF"/>
        <w:spacing w:line="360" w:lineRule="auto"/>
        <w:ind w:firstLine="480"/>
        <w:jc w:val="left"/>
        <w:rPr>
          <w:color w:val="auto"/>
          <w:kern w:val="0"/>
          <w:sz w:val="24"/>
        </w:rPr>
      </w:pPr>
      <w:r>
        <w:rPr>
          <w:color w:val="auto"/>
          <w:kern w:val="0"/>
          <w:sz w:val="24"/>
        </w:rPr>
        <w:t>以上企业，不属于大企业的分支机构，不存在控股股东为大企业的情形，也不存在与大企业的负责人为同一人的情形。</w:t>
      </w:r>
    </w:p>
    <w:p w14:paraId="67302202">
      <w:pPr>
        <w:widowControl/>
        <w:shd w:val="clear" w:color="auto" w:fill="FFFFFF"/>
        <w:spacing w:line="360" w:lineRule="auto"/>
        <w:ind w:firstLine="480"/>
        <w:jc w:val="left"/>
        <w:rPr>
          <w:color w:val="auto"/>
          <w:kern w:val="0"/>
          <w:sz w:val="24"/>
        </w:rPr>
      </w:pPr>
      <w:r>
        <w:rPr>
          <w:color w:val="auto"/>
          <w:kern w:val="0"/>
          <w:sz w:val="24"/>
        </w:rPr>
        <w:t>本企业对上述声明内容的真实性负责。如有虚假，将依法承担相应责任。</w:t>
      </w:r>
    </w:p>
    <w:p w14:paraId="7253AEC2">
      <w:pPr>
        <w:widowControl/>
        <w:shd w:val="clear" w:color="auto" w:fill="FFFFFF"/>
        <w:spacing w:line="360" w:lineRule="auto"/>
        <w:ind w:right="480"/>
        <w:jc w:val="center"/>
        <w:rPr>
          <w:color w:val="auto"/>
          <w:kern w:val="0"/>
          <w:sz w:val="24"/>
        </w:rPr>
      </w:pPr>
      <w:r>
        <w:rPr>
          <w:rFonts w:hint="eastAsia"/>
          <w:color w:val="auto"/>
          <w:kern w:val="0"/>
          <w:sz w:val="24"/>
        </w:rPr>
        <w:t xml:space="preserve"> </w:t>
      </w:r>
      <w:r>
        <w:rPr>
          <w:color w:val="auto"/>
          <w:kern w:val="0"/>
          <w:sz w:val="24"/>
        </w:rPr>
        <w:t xml:space="preserve">                                                 企业名称（盖章）：</w:t>
      </w:r>
    </w:p>
    <w:p w14:paraId="306E5137">
      <w:pPr>
        <w:widowControl/>
        <w:shd w:val="clear" w:color="auto" w:fill="FFFFFF"/>
        <w:spacing w:line="360" w:lineRule="auto"/>
        <w:ind w:right="480" w:firstLine="6240" w:firstLineChars="2600"/>
        <w:rPr>
          <w:color w:val="auto"/>
          <w:kern w:val="0"/>
          <w:sz w:val="24"/>
        </w:rPr>
      </w:pPr>
      <w:r>
        <w:rPr>
          <w:color w:val="auto"/>
          <w:kern w:val="0"/>
          <w:sz w:val="24"/>
        </w:rPr>
        <w:t>日 期：</w:t>
      </w:r>
    </w:p>
    <w:p w14:paraId="3CB5C96F">
      <w:pPr>
        <w:widowControl/>
        <w:shd w:val="clear" w:color="auto" w:fill="FFFFFF"/>
        <w:spacing w:line="360" w:lineRule="auto"/>
        <w:ind w:firstLine="480"/>
        <w:jc w:val="left"/>
        <w:rPr>
          <w:color w:val="auto"/>
          <w:kern w:val="0"/>
          <w:sz w:val="24"/>
        </w:rPr>
      </w:pPr>
      <w:r>
        <w:rPr>
          <w:color w:val="auto"/>
          <w:kern w:val="0"/>
          <w:sz w:val="24"/>
        </w:rPr>
        <w:t xml:space="preserve"> </w:t>
      </w:r>
    </w:p>
    <w:p w14:paraId="12BC9640">
      <w:pPr>
        <w:widowControl/>
        <w:shd w:val="clear" w:color="auto" w:fill="FFFFFF"/>
        <w:spacing w:line="360" w:lineRule="auto"/>
        <w:ind w:firstLine="480"/>
        <w:jc w:val="left"/>
        <w:rPr>
          <w:color w:val="auto"/>
          <w:kern w:val="0"/>
          <w:sz w:val="24"/>
        </w:rPr>
      </w:pPr>
    </w:p>
    <w:p w14:paraId="172F60D9">
      <w:pPr>
        <w:widowControl/>
        <w:shd w:val="clear" w:color="auto" w:fill="FFFFFF"/>
        <w:spacing w:line="360" w:lineRule="auto"/>
        <w:ind w:firstLine="480"/>
        <w:jc w:val="left"/>
        <w:rPr>
          <w:color w:val="auto"/>
          <w:kern w:val="0"/>
          <w:sz w:val="24"/>
        </w:rPr>
      </w:pPr>
    </w:p>
    <w:p w14:paraId="34FA9334">
      <w:pPr>
        <w:widowControl/>
        <w:shd w:val="clear" w:color="auto" w:fill="FFFFFF"/>
        <w:spacing w:line="360" w:lineRule="auto"/>
        <w:ind w:firstLine="480"/>
        <w:jc w:val="left"/>
        <w:rPr>
          <w:color w:val="auto"/>
          <w:kern w:val="0"/>
          <w:sz w:val="24"/>
          <w:u w:val="single"/>
        </w:rPr>
      </w:pPr>
      <w:r>
        <w:rPr>
          <w:color w:val="auto"/>
          <w:kern w:val="0"/>
          <w:sz w:val="24"/>
          <w:u w:val="single"/>
        </w:rPr>
        <w:t xml:space="preserve">                               </w:t>
      </w:r>
    </w:p>
    <w:p w14:paraId="2627F1D9">
      <w:pPr>
        <w:widowControl/>
        <w:shd w:val="clear" w:color="auto" w:fill="FFFFFF"/>
        <w:spacing w:line="360" w:lineRule="auto"/>
        <w:ind w:firstLine="480"/>
        <w:jc w:val="left"/>
        <w:rPr>
          <w:color w:val="auto"/>
          <w:kern w:val="0"/>
          <w:sz w:val="24"/>
        </w:rPr>
      </w:pPr>
      <w:r>
        <w:rPr>
          <w:color w:val="auto"/>
          <w:kern w:val="0"/>
          <w:sz w:val="24"/>
          <w:vertAlign w:val="superscript"/>
        </w:rPr>
        <w:t>1</w:t>
      </w:r>
      <w:r>
        <w:rPr>
          <w:color w:val="auto"/>
          <w:kern w:val="0"/>
          <w:sz w:val="24"/>
        </w:rPr>
        <w:t>从业人员、营业收入、资产总额填报上一年度数据，无上一年度数据的新成立企业可不填报。</w:t>
      </w:r>
    </w:p>
    <w:p w14:paraId="2EEEC99C">
      <w:pPr>
        <w:rPr>
          <w:color w:val="auto"/>
          <w:sz w:val="24"/>
        </w:rPr>
      </w:pPr>
    </w:p>
    <w:p w14:paraId="52E1BB45">
      <w:pPr>
        <w:rPr>
          <w:color w:val="auto"/>
          <w:sz w:val="24"/>
        </w:rPr>
      </w:pPr>
    </w:p>
    <w:p w14:paraId="3747A415">
      <w:pPr>
        <w:rPr>
          <w:color w:val="auto"/>
          <w:sz w:val="24"/>
        </w:rPr>
      </w:pPr>
    </w:p>
    <w:p w14:paraId="7AF099C3">
      <w:pPr>
        <w:rPr>
          <w:color w:val="auto"/>
          <w:sz w:val="24"/>
        </w:rPr>
      </w:pPr>
    </w:p>
    <w:p w14:paraId="38EEA057">
      <w:pPr>
        <w:rPr>
          <w:rFonts w:ascii="宋体" w:hAnsi="宋体"/>
          <w:color w:val="auto"/>
          <w:sz w:val="24"/>
        </w:rPr>
      </w:pPr>
    </w:p>
    <w:p w14:paraId="07D72113">
      <w:pPr>
        <w:rPr>
          <w:rFonts w:ascii="宋体" w:hAnsi="宋体"/>
          <w:color w:val="auto"/>
          <w:sz w:val="24"/>
        </w:rPr>
      </w:pPr>
    </w:p>
    <w:p w14:paraId="5FD2D2D2">
      <w:pPr>
        <w:rPr>
          <w:rFonts w:ascii="宋体" w:hAnsi="宋体"/>
          <w:b/>
          <w:bCs/>
          <w:color w:val="auto"/>
          <w:sz w:val="28"/>
          <w:szCs w:val="28"/>
        </w:rPr>
      </w:pPr>
      <w:r>
        <w:rPr>
          <w:rFonts w:ascii="宋体" w:hAnsi="宋体"/>
          <w:b/>
          <w:bCs/>
          <w:color w:val="auto"/>
          <w:sz w:val="28"/>
          <w:szCs w:val="28"/>
        </w:rPr>
        <w:br w:type="page"/>
      </w:r>
    </w:p>
    <w:p w14:paraId="39452F44">
      <w:pPr>
        <w:jc w:val="center"/>
        <w:rPr>
          <w:rFonts w:ascii="宋体" w:hAnsi="宋体"/>
          <w:b/>
          <w:bCs/>
          <w:color w:val="auto"/>
          <w:sz w:val="28"/>
          <w:szCs w:val="28"/>
        </w:rPr>
      </w:pPr>
      <w:r>
        <w:rPr>
          <w:rFonts w:ascii="宋体" w:hAnsi="宋体"/>
          <w:b/>
          <w:bCs/>
          <w:color w:val="auto"/>
          <w:sz w:val="28"/>
          <w:szCs w:val="28"/>
        </w:rPr>
        <w:t>残疾人福利性单位声明函</w:t>
      </w:r>
    </w:p>
    <w:p w14:paraId="232C74E8">
      <w:pPr>
        <w:widowControl/>
        <w:shd w:val="clear" w:color="auto" w:fill="FFFFFF"/>
        <w:spacing w:line="360" w:lineRule="auto"/>
        <w:jc w:val="center"/>
        <w:rPr>
          <w:color w:val="auto"/>
          <w:kern w:val="0"/>
          <w:szCs w:val="21"/>
        </w:rPr>
      </w:pPr>
      <w:r>
        <w:rPr>
          <w:b/>
          <w:bCs/>
          <w:color w:val="auto"/>
          <w:kern w:val="0"/>
          <w:sz w:val="24"/>
        </w:rPr>
        <w:t>（残疾人福利性单位按下列格式提供）</w:t>
      </w:r>
    </w:p>
    <w:p w14:paraId="40DDCACF">
      <w:pPr>
        <w:widowControl/>
        <w:shd w:val="clear" w:color="auto" w:fill="FFFFFF"/>
        <w:spacing w:line="360" w:lineRule="auto"/>
        <w:ind w:firstLine="480"/>
        <w:jc w:val="left"/>
        <w:rPr>
          <w:color w:val="auto"/>
          <w:kern w:val="0"/>
          <w:szCs w:val="21"/>
        </w:rPr>
      </w:pPr>
      <w:r>
        <w:rPr>
          <w:color w:val="auto"/>
          <w:kern w:val="0"/>
          <w:sz w:val="24"/>
        </w:rPr>
        <w:t>本公司郑重声明，根据《财政部 民政部 中国残疾人联合会关于促进残疾人就业政府采购政策的通知》（财库〔2017〕141号）的规定，本单位为符合条件的残疾人福利性单</w:t>
      </w:r>
    </w:p>
    <w:p w14:paraId="666B3A72">
      <w:pPr>
        <w:pStyle w:val="99"/>
        <w:shd w:val="clear" w:color="auto" w:fill="FFFFFF"/>
        <w:spacing w:before="0" w:beforeAutospacing="0" w:after="0" w:afterAutospacing="0" w:line="360" w:lineRule="auto"/>
        <w:rPr>
          <w:rFonts w:ascii="Times New Roman" w:hAnsi="Times New Roman" w:cs="Times New Roman"/>
          <w:color w:val="auto"/>
          <w:sz w:val="21"/>
          <w:szCs w:val="21"/>
        </w:rPr>
      </w:pPr>
      <w:r>
        <w:rPr>
          <w:rStyle w:val="98"/>
          <w:rFonts w:ascii="Times New Roman" w:hAnsi="Times New Roman" w:cs="Times New Roman"/>
          <w:color w:val="auto"/>
        </w:rPr>
        <w:t>位，且本公司参加</w:t>
      </w:r>
      <w:r>
        <w:rPr>
          <w:rStyle w:val="98"/>
          <w:rFonts w:ascii="Times New Roman" w:hAnsi="Times New Roman" w:cs="Times New Roman"/>
          <w:color w:val="auto"/>
          <w:u w:val="single"/>
        </w:rPr>
        <w:t xml:space="preserve"> </w:t>
      </w:r>
      <w:r>
        <w:rPr>
          <w:rStyle w:val="98"/>
          <w:rFonts w:ascii="Times New Roman" w:hAnsi="Times New Roman" w:cs="Times New Roman"/>
          <w:color w:val="auto"/>
        </w:rPr>
        <w:t>单位的</w:t>
      </w:r>
      <w:r>
        <w:rPr>
          <w:rStyle w:val="98"/>
          <w:rFonts w:ascii="Times New Roman" w:hAnsi="Times New Roman" w:cs="Times New Roman"/>
          <w:color w:val="auto"/>
          <w:u w:val="single"/>
        </w:rPr>
        <w:t xml:space="preserve"> </w:t>
      </w:r>
      <w:r>
        <w:rPr>
          <w:rStyle w:val="98"/>
          <w:rFonts w:ascii="Times New Roman" w:hAnsi="Times New Roman" w:cs="Times New Roman"/>
          <w:color w:val="auto"/>
        </w:rPr>
        <w:t>项目采购活动提供本公司制造的货物（由本公司承担工程/提供服务），或者提供其他残疾人福利性单位制造的货物（不包括使用非残疾人福利性单位注册商标的货物）。</w:t>
      </w:r>
    </w:p>
    <w:p w14:paraId="6EE72AD7">
      <w:pPr>
        <w:pStyle w:val="99"/>
        <w:shd w:val="clear" w:color="auto" w:fill="FFFFFF"/>
        <w:spacing w:before="0" w:beforeAutospacing="0" w:after="0" w:afterAutospacing="0" w:line="360" w:lineRule="auto"/>
        <w:ind w:firstLine="420"/>
        <w:rPr>
          <w:rFonts w:ascii="Times New Roman" w:hAnsi="Times New Roman" w:cs="Times New Roman"/>
          <w:color w:val="auto"/>
          <w:sz w:val="21"/>
          <w:szCs w:val="21"/>
        </w:rPr>
      </w:pPr>
      <w:r>
        <w:rPr>
          <w:rStyle w:val="98"/>
          <w:rFonts w:ascii="Times New Roman" w:hAnsi="Times New Roman" w:cs="Times New Roman"/>
          <w:color w:val="auto"/>
        </w:rPr>
        <w:t>本公司对上述声明的真实性负责。如有虚假，将依法承担相应责任。</w:t>
      </w:r>
    </w:p>
    <w:p w14:paraId="38A77872">
      <w:pPr>
        <w:pStyle w:val="99"/>
        <w:shd w:val="clear" w:color="auto" w:fill="FFFFFF"/>
        <w:spacing w:before="0" w:beforeAutospacing="0" w:after="0" w:afterAutospacing="0" w:line="360" w:lineRule="auto"/>
        <w:rPr>
          <w:rFonts w:ascii="Times New Roman" w:hAnsi="Times New Roman" w:cs="Times New Roman"/>
          <w:color w:val="auto"/>
          <w:sz w:val="21"/>
          <w:szCs w:val="21"/>
        </w:rPr>
      </w:pPr>
      <w:r>
        <w:rPr>
          <w:rFonts w:ascii="Times New Roman" w:hAnsi="Times New Roman" w:cs="Times New Roman"/>
          <w:color w:val="auto"/>
        </w:rPr>
        <w:br w:type="textWrapping"/>
      </w:r>
    </w:p>
    <w:p w14:paraId="2310928D">
      <w:pPr>
        <w:pStyle w:val="99"/>
        <w:shd w:val="clear" w:color="auto" w:fill="FFFFFF"/>
        <w:spacing w:before="0" w:beforeAutospacing="0" w:after="0" w:afterAutospacing="0" w:line="360" w:lineRule="auto"/>
        <w:ind w:firstLine="420"/>
        <w:rPr>
          <w:rFonts w:ascii="Times New Roman" w:hAnsi="Times New Roman" w:cs="Times New Roman"/>
          <w:color w:val="auto"/>
          <w:sz w:val="21"/>
          <w:szCs w:val="21"/>
        </w:rPr>
      </w:pPr>
      <w:r>
        <w:rPr>
          <w:rStyle w:val="98"/>
          <w:rFonts w:ascii="Times New Roman" w:hAnsi="Times New Roman" w:cs="Times New Roman"/>
          <w:color w:val="auto"/>
        </w:rPr>
        <w:t>响应谈判供应商名称（加盖公章）：</w:t>
      </w:r>
      <w:r>
        <w:rPr>
          <w:rStyle w:val="98"/>
          <w:rFonts w:ascii="Times New Roman" w:hAnsi="Times New Roman" w:cs="Times New Roman"/>
          <w:color w:val="auto"/>
          <w:u w:val="single"/>
        </w:rPr>
        <w:t xml:space="preserve"> </w:t>
      </w:r>
    </w:p>
    <w:p w14:paraId="74BECE0E">
      <w:pPr>
        <w:pStyle w:val="99"/>
        <w:shd w:val="clear" w:color="auto" w:fill="FFFFFF"/>
        <w:spacing w:before="0" w:beforeAutospacing="0" w:after="0" w:afterAutospacing="0" w:line="360" w:lineRule="auto"/>
        <w:ind w:firstLine="420"/>
        <w:rPr>
          <w:rFonts w:ascii="Times New Roman" w:hAnsi="Times New Roman" w:cs="Times New Roman"/>
          <w:color w:val="auto"/>
          <w:sz w:val="21"/>
          <w:szCs w:val="21"/>
        </w:rPr>
      </w:pPr>
      <w:r>
        <w:rPr>
          <w:rStyle w:val="98"/>
          <w:rFonts w:ascii="Times New Roman" w:hAnsi="Times New Roman" w:cs="Times New Roman"/>
          <w:color w:val="auto"/>
        </w:rPr>
        <w:t>响应谈判供应商法定代表人或授权代表（签字或盖章）：</w:t>
      </w:r>
      <w:r>
        <w:rPr>
          <w:rStyle w:val="98"/>
          <w:rFonts w:ascii="Times New Roman" w:hAnsi="Times New Roman" w:cs="Times New Roman"/>
          <w:color w:val="auto"/>
          <w:u w:val="single"/>
        </w:rPr>
        <w:t xml:space="preserve"> </w:t>
      </w:r>
    </w:p>
    <w:p w14:paraId="07014C9F">
      <w:pPr>
        <w:pStyle w:val="99"/>
        <w:shd w:val="clear" w:color="auto" w:fill="FFFFFF"/>
        <w:spacing w:before="0" w:beforeAutospacing="0" w:after="0" w:afterAutospacing="0" w:line="360" w:lineRule="auto"/>
        <w:ind w:firstLine="420"/>
        <w:rPr>
          <w:rFonts w:ascii="Times New Roman" w:hAnsi="Times New Roman" w:cs="Times New Roman"/>
          <w:color w:val="auto"/>
          <w:sz w:val="21"/>
          <w:szCs w:val="21"/>
        </w:rPr>
      </w:pPr>
      <w:r>
        <w:rPr>
          <w:rStyle w:val="98"/>
          <w:rFonts w:ascii="Times New Roman" w:hAnsi="Times New Roman" w:cs="Times New Roman"/>
          <w:color w:val="auto"/>
        </w:rPr>
        <w:t>日期：</w:t>
      </w:r>
      <w:r>
        <w:rPr>
          <w:rStyle w:val="98"/>
          <w:rFonts w:ascii="Times New Roman" w:hAnsi="Times New Roman" w:cs="Times New Roman"/>
          <w:color w:val="auto"/>
          <w:u w:val="single"/>
        </w:rPr>
        <w:t xml:space="preserve"> </w:t>
      </w:r>
      <w:r>
        <w:rPr>
          <w:rStyle w:val="98"/>
          <w:rFonts w:ascii="Times New Roman" w:hAnsi="Times New Roman" w:cs="Times New Roman"/>
          <w:color w:val="auto"/>
        </w:rPr>
        <w:t>年</w:t>
      </w:r>
      <w:r>
        <w:rPr>
          <w:rStyle w:val="98"/>
          <w:rFonts w:ascii="Times New Roman" w:hAnsi="Times New Roman" w:cs="Times New Roman"/>
          <w:color w:val="auto"/>
          <w:u w:val="single"/>
        </w:rPr>
        <w:t xml:space="preserve"> </w:t>
      </w:r>
      <w:r>
        <w:rPr>
          <w:rStyle w:val="98"/>
          <w:rFonts w:ascii="Times New Roman" w:hAnsi="Times New Roman" w:cs="Times New Roman"/>
          <w:color w:val="auto"/>
        </w:rPr>
        <w:t>月</w:t>
      </w:r>
      <w:r>
        <w:rPr>
          <w:rStyle w:val="98"/>
          <w:rFonts w:ascii="Times New Roman" w:hAnsi="Times New Roman" w:cs="Times New Roman"/>
          <w:color w:val="auto"/>
          <w:u w:val="single"/>
        </w:rPr>
        <w:t xml:space="preserve"> </w:t>
      </w:r>
      <w:r>
        <w:rPr>
          <w:rStyle w:val="98"/>
          <w:rFonts w:ascii="Times New Roman" w:hAnsi="Times New Roman" w:cs="Times New Roman"/>
          <w:color w:val="auto"/>
        </w:rPr>
        <w:t>日</w:t>
      </w:r>
    </w:p>
    <w:p w14:paraId="11B80487">
      <w:pPr>
        <w:spacing w:line="360" w:lineRule="auto"/>
        <w:rPr>
          <w:color w:val="auto"/>
          <w:sz w:val="24"/>
        </w:rPr>
      </w:pPr>
      <w:r>
        <w:rPr>
          <w:rFonts w:hint="eastAsia"/>
          <w:color w:val="auto"/>
          <w:sz w:val="24"/>
        </w:rPr>
        <w:t>五、监狱企业声明函（监狱企业提交，格式自拟。）</w:t>
      </w:r>
    </w:p>
    <w:p w14:paraId="545FD51E">
      <w:pPr>
        <w:spacing w:line="360" w:lineRule="auto"/>
        <w:rPr>
          <w:color w:val="auto"/>
          <w:sz w:val="24"/>
        </w:rPr>
      </w:pPr>
      <w:r>
        <w:rPr>
          <w:rFonts w:hint="eastAsia"/>
          <w:color w:val="auto"/>
          <w:sz w:val="24"/>
        </w:rPr>
        <w:t>六、响应谈判供应商提交的其它文件</w:t>
      </w:r>
    </w:p>
    <w:p w14:paraId="1864ECE7">
      <w:pPr>
        <w:rPr>
          <w:rFonts w:ascii="宋体" w:hAnsi="宋体"/>
          <w:b/>
          <w:color w:val="auto"/>
          <w:sz w:val="36"/>
          <w:szCs w:val="36"/>
        </w:rPr>
      </w:pPr>
    </w:p>
    <w:p w14:paraId="68EDED0B">
      <w:pPr>
        <w:adjustRightInd w:val="0"/>
        <w:snapToGrid w:val="0"/>
        <w:spacing w:line="300" w:lineRule="auto"/>
        <w:jc w:val="center"/>
        <w:outlineLvl w:val="0"/>
        <w:rPr>
          <w:rFonts w:ascii="宋体" w:hAnsi="宋体"/>
          <w:b/>
          <w:color w:val="auto"/>
          <w:sz w:val="30"/>
          <w:szCs w:val="30"/>
        </w:rPr>
      </w:pPr>
    </w:p>
    <w:p w14:paraId="6697063F">
      <w:pPr>
        <w:adjustRightInd w:val="0"/>
        <w:snapToGrid w:val="0"/>
        <w:spacing w:line="300" w:lineRule="auto"/>
        <w:jc w:val="center"/>
        <w:outlineLvl w:val="0"/>
        <w:rPr>
          <w:rFonts w:ascii="宋体" w:hAnsi="宋体"/>
          <w:b/>
          <w:color w:val="auto"/>
          <w:sz w:val="30"/>
          <w:szCs w:val="30"/>
        </w:rPr>
      </w:pPr>
    </w:p>
    <w:p w14:paraId="0C153ACE">
      <w:pPr>
        <w:adjustRightInd w:val="0"/>
        <w:snapToGrid w:val="0"/>
        <w:spacing w:line="300" w:lineRule="auto"/>
        <w:jc w:val="center"/>
        <w:outlineLvl w:val="0"/>
        <w:rPr>
          <w:rFonts w:ascii="宋体" w:hAnsi="宋体"/>
          <w:b/>
          <w:color w:val="auto"/>
          <w:sz w:val="30"/>
          <w:szCs w:val="30"/>
        </w:rPr>
      </w:pPr>
    </w:p>
    <w:p w14:paraId="2437B595">
      <w:pPr>
        <w:adjustRightInd w:val="0"/>
        <w:snapToGrid w:val="0"/>
        <w:spacing w:line="300" w:lineRule="auto"/>
        <w:jc w:val="center"/>
        <w:outlineLvl w:val="0"/>
        <w:rPr>
          <w:rFonts w:ascii="宋体" w:hAnsi="宋体"/>
          <w:b/>
          <w:color w:val="auto"/>
          <w:sz w:val="30"/>
          <w:szCs w:val="30"/>
        </w:rPr>
      </w:pPr>
    </w:p>
    <w:p w14:paraId="366D26D5">
      <w:pPr>
        <w:adjustRightInd w:val="0"/>
        <w:snapToGrid w:val="0"/>
        <w:spacing w:line="300" w:lineRule="auto"/>
        <w:jc w:val="center"/>
        <w:outlineLvl w:val="0"/>
        <w:rPr>
          <w:rFonts w:ascii="宋体" w:hAnsi="宋体"/>
          <w:b/>
          <w:color w:val="auto"/>
          <w:sz w:val="30"/>
          <w:szCs w:val="30"/>
        </w:rPr>
      </w:pPr>
    </w:p>
    <w:p w14:paraId="0C4D83F1">
      <w:pPr>
        <w:adjustRightInd w:val="0"/>
        <w:snapToGrid w:val="0"/>
        <w:spacing w:line="300" w:lineRule="auto"/>
        <w:jc w:val="center"/>
        <w:outlineLvl w:val="0"/>
        <w:rPr>
          <w:rFonts w:ascii="宋体" w:hAnsi="宋体"/>
          <w:b/>
          <w:color w:val="auto"/>
          <w:sz w:val="30"/>
          <w:szCs w:val="30"/>
        </w:rPr>
      </w:pPr>
    </w:p>
    <w:p w14:paraId="4803C5DF">
      <w:pPr>
        <w:adjustRightInd w:val="0"/>
        <w:snapToGrid w:val="0"/>
        <w:spacing w:line="300" w:lineRule="auto"/>
        <w:jc w:val="center"/>
        <w:outlineLvl w:val="0"/>
        <w:rPr>
          <w:rFonts w:ascii="宋体" w:hAnsi="宋体"/>
          <w:b/>
          <w:color w:val="auto"/>
          <w:sz w:val="30"/>
          <w:szCs w:val="30"/>
        </w:rPr>
      </w:pPr>
    </w:p>
    <w:p w14:paraId="6AF079F9">
      <w:pPr>
        <w:adjustRightInd w:val="0"/>
        <w:snapToGrid w:val="0"/>
        <w:spacing w:line="300" w:lineRule="auto"/>
        <w:jc w:val="center"/>
        <w:outlineLvl w:val="0"/>
        <w:rPr>
          <w:rFonts w:ascii="宋体" w:hAnsi="宋体"/>
          <w:b/>
          <w:color w:val="auto"/>
          <w:sz w:val="30"/>
          <w:szCs w:val="30"/>
        </w:rPr>
      </w:pPr>
    </w:p>
    <w:p w14:paraId="1B6C5DD9">
      <w:pPr>
        <w:adjustRightInd w:val="0"/>
        <w:snapToGrid w:val="0"/>
        <w:spacing w:line="300" w:lineRule="auto"/>
        <w:jc w:val="center"/>
        <w:outlineLvl w:val="0"/>
        <w:rPr>
          <w:rFonts w:ascii="宋体" w:hAnsi="宋体"/>
          <w:b/>
          <w:color w:val="auto"/>
          <w:sz w:val="30"/>
          <w:szCs w:val="30"/>
        </w:rPr>
      </w:pPr>
    </w:p>
    <w:p w14:paraId="2D0E67AB">
      <w:pPr>
        <w:adjustRightInd w:val="0"/>
        <w:snapToGrid w:val="0"/>
        <w:spacing w:line="300" w:lineRule="auto"/>
        <w:jc w:val="center"/>
        <w:outlineLvl w:val="0"/>
        <w:rPr>
          <w:rFonts w:ascii="宋体" w:hAnsi="宋体"/>
          <w:b/>
          <w:color w:val="auto"/>
          <w:sz w:val="30"/>
          <w:szCs w:val="30"/>
        </w:rPr>
      </w:pPr>
    </w:p>
    <w:p w14:paraId="64017CB9">
      <w:pPr>
        <w:adjustRightInd w:val="0"/>
        <w:snapToGrid w:val="0"/>
        <w:spacing w:line="300" w:lineRule="auto"/>
        <w:jc w:val="center"/>
        <w:outlineLvl w:val="0"/>
        <w:rPr>
          <w:rFonts w:ascii="宋体" w:hAnsi="宋体"/>
          <w:b/>
          <w:color w:val="auto"/>
          <w:sz w:val="30"/>
          <w:szCs w:val="30"/>
        </w:rPr>
      </w:pPr>
    </w:p>
    <w:p w14:paraId="744A8837">
      <w:pPr>
        <w:rPr>
          <w:rFonts w:hint="eastAsia" w:ascii="宋体" w:hAnsi="宋体"/>
          <w:b/>
          <w:color w:val="auto"/>
          <w:sz w:val="24"/>
          <w:szCs w:val="24"/>
        </w:rPr>
      </w:pPr>
      <w:bookmarkStart w:id="27" w:name="_Toc103723530"/>
      <w:r>
        <w:rPr>
          <w:rFonts w:hint="eastAsia" w:ascii="宋体" w:hAnsi="宋体"/>
          <w:b/>
          <w:color w:val="auto"/>
          <w:sz w:val="24"/>
          <w:szCs w:val="24"/>
        </w:rPr>
        <w:br w:type="page"/>
      </w:r>
    </w:p>
    <w:p w14:paraId="43208614">
      <w:pPr>
        <w:adjustRightInd w:val="0"/>
        <w:snapToGrid w:val="0"/>
        <w:spacing w:line="300" w:lineRule="auto"/>
        <w:jc w:val="both"/>
        <w:outlineLvl w:val="0"/>
        <w:rPr>
          <w:rFonts w:ascii="华文中宋" w:hAnsi="华文中宋" w:eastAsia="华文中宋"/>
          <w:b/>
          <w:bCs w:val="0"/>
          <w:color w:val="auto"/>
          <w:sz w:val="28"/>
          <w:szCs w:val="28"/>
        </w:rPr>
      </w:pPr>
      <w:r>
        <w:rPr>
          <w:rFonts w:hint="eastAsia" w:ascii="宋体" w:hAnsi="宋体"/>
          <w:b/>
          <w:bCs w:val="0"/>
          <w:color w:val="auto"/>
          <w:sz w:val="28"/>
          <w:szCs w:val="28"/>
        </w:rPr>
        <w:t>附件一：</w:t>
      </w:r>
      <w:bookmarkEnd w:id="27"/>
      <w:r>
        <w:rPr>
          <w:rFonts w:hint="eastAsia" w:ascii="宋体" w:hAnsi="宋体" w:cs="宋体"/>
          <w:b/>
          <w:bCs w:val="0"/>
          <w:color w:val="auto"/>
          <w:sz w:val="28"/>
          <w:szCs w:val="28"/>
        </w:rPr>
        <w:t>关于印发中小企业划型标准规定的通知</w:t>
      </w:r>
    </w:p>
    <w:p w14:paraId="42AB42A3">
      <w:pPr>
        <w:widowControl/>
        <w:spacing w:before="100" w:beforeAutospacing="1" w:after="100" w:afterAutospacing="1" w:line="360" w:lineRule="auto"/>
        <w:jc w:val="center"/>
        <w:rPr>
          <w:rFonts w:ascii="宋体" w:hAnsi="宋体" w:cs="宋体"/>
          <w:color w:val="auto"/>
          <w:kern w:val="0"/>
          <w:sz w:val="24"/>
        </w:rPr>
      </w:pPr>
      <w:r>
        <w:rPr>
          <w:rFonts w:hint="eastAsia" w:ascii="宋体" w:hAnsi="宋体" w:cs="宋体"/>
          <w:color w:val="auto"/>
          <w:kern w:val="0"/>
          <w:sz w:val="24"/>
        </w:rPr>
        <w:t>工信部联企业〔2011〕300号</w:t>
      </w:r>
    </w:p>
    <w:p w14:paraId="0D5E055E">
      <w:pPr>
        <w:adjustRightInd w:val="0"/>
        <w:snapToGrid w:val="0"/>
        <w:spacing w:line="360" w:lineRule="auto"/>
        <w:jc w:val="left"/>
        <w:rPr>
          <w:rFonts w:ascii="华文中宋" w:hAnsi="华文中宋" w:eastAsia="华文中宋"/>
          <w:b/>
          <w:color w:val="auto"/>
          <w:sz w:val="24"/>
        </w:rPr>
      </w:pPr>
      <w:r>
        <w:rPr>
          <w:rFonts w:hint="eastAsia" w:ascii="宋体" w:hAnsi="宋体" w:cs="宋体"/>
          <w:color w:val="auto"/>
          <w:kern w:val="0"/>
          <w:sz w:val="24"/>
        </w:rPr>
        <w:t>各省、自治区、直辖市人民政府，国务院各部委、各直属机构及有关单位：</w:t>
      </w:r>
      <w:r>
        <w:rPr>
          <w:rFonts w:hint="eastAsia" w:ascii="宋体" w:hAnsi="宋体" w:cs="宋体"/>
          <w:color w:val="auto"/>
          <w:kern w:val="0"/>
          <w:sz w:val="24"/>
        </w:rPr>
        <w:br w:type="textWrapping"/>
      </w:r>
      <w:r>
        <w:rPr>
          <w:rFonts w:hint="eastAsia" w:ascii="宋体" w:hAnsi="宋体" w:cs="宋体"/>
          <w:color w:val="auto"/>
          <w:kern w:val="0"/>
          <w:sz w:val="24"/>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r>
        <w:rPr>
          <w:rFonts w:hint="eastAsia" w:ascii="华文中宋" w:hAnsi="华文中宋" w:eastAsia="华文中宋"/>
          <w:b/>
          <w:color w:val="auto"/>
          <w:sz w:val="24"/>
        </w:rPr>
        <w:t xml:space="preserve"> </w:t>
      </w:r>
    </w:p>
    <w:p w14:paraId="1589867D">
      <w:pPr>
        <w:adjustRightInd w:val="0"/>
        <w:snapToGrid w:val="0"/>
        <w:spacing w:line="360" w:lineRule="auto"/>
        <w:jc w:val="right"/>
        <w:rPr>
          <w:rFonts w:ascii="华文中宋" w:hAnsi="华文中宋" w:eastAsia="华文中宋"/>
          <w:b/>
          <w:color w:val="auto"/>
          <w:sz w:val="24"/>
        </w:rPr>
      </w:pPr>
      <w:r>
        <w:rPr>
          <w:rFonts w:hint="eastAsia" w:ascii="宋体" w:hAnsi="宋体" w:cs="宋体"/>
          <w:color w:val="auto"/>
          <w:kern w:val="0"/>
          <w:sz w:val="24"/>
        </w:rPr>
        <w:t>工业和信息化部　国家统计局</w:t>
      </w:r>
      <w:r>
        <w:rPr>
          <w:rFonts w:hint="eastAsia" w:ascii="宋体" w:hAnsi="宋体" w:cs="宋体"/>
          <w:color w:val="auto"/>
          <w:kern w:val="0"/>
          <w:sz w:val="24"/>
        </w:rPr>
        <w:br w:type="textWrapping"/>
      </w:r>
      <w:r>
        <w:rPr>
          <w:rFonts w:hint="eastAsia" w:ascii="宋体" w:hAnsi="宋体" w:cs="宋体"/>
          <w:color w:val="auto"/>
          <w:kern w:val="0"/>
          <w:sz w:val="24"/>
        </w:rPr>
        <w:t xml:space="preserve">                                     国家发展和改革委员会　财政部                                                　                   二○一一年六月十八日</w:t>
      </w:r>
    </w:p>
    <w:p w14:paraId="68F27C17">
      <w:pPr>
        <w:widowControl/>
        <w:spacing w:before="100" w:beforeAutospacing="1" w:after="100" w:afterAutospacing="1"/>
        <w:jc w:val="center"/>
        <w:rPr>
          <w:rFonts w:ascii="宋体" w:hAnsi="宋体" w:cs="宋体"/>
          <w:color w:val="auto"/>
          <w:kern w:val="0"/>
          <w:sz w:val="28"/>
          <w:szCs w:val="28"/>
        </w:rPr>
      </w:pPr>
      <w:r>
        <w:rPr>
          <w:rFonts w:hint="eastAsia" w:ascii="宋体" w:hAnsi="宋体"/>
          <w:b/>
          <w:color w:val="auto"/>
          <w:sz w:val="30"/>
          <w:szCs w:val="30"/>
        </w:rPr>
        <w:t>中小企业划型标准规定</w:t>
      </w:r>
    </w:p>
    <w:p w14:paraId="7DA3E18F">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一、根据《中华人民共和国中小企业促进法》和《国务院关于进一步促进中小企业发展的若干意见》(国发〔2009〕36号)，制定本规定。</w:t>
      </w:r>
    </w:p>
    <w:p w14:paraId="3A2D08B4">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二、中小企业划分为中型、小型、微型三种类型，具体标准根据企业从业人员、营业收入、资产总额等指标，结合行业特点制定。</w:t>
      </w:r>
    </w:p>
    <w:p w14:paraId="646531DD">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87DAACB">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四、各行业划型标准为：</w:t>
      </w:r>
    </w:p>
    <w:p w14:paraId="6D7C4BEC">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（一）农、林、牧、渔业。营业收入20000万元以下的为中小微型企业。其中，营业收入500万元及以上的为中型企业，营业收入50万元及以上的为小型企业，营业收入50万元以下的为微型企业。</w:t>
      </w:r>
    </w:p>
    <w:p w14:paraId="35B342F7">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D84178A">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FD32517">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A0EC42E">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085C975">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8EAA5A9">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9B49DFA">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7887F9C">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3DB883F">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21BB5C0">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5EAB4E4">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624EDAF">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AFB0E1A">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594A8EA">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F124911">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（十六）其他未列明行业。从业人员300人以下的为中小微型企业。其中，从业人员100人及以上的为中型企业；从业人员10人及以上的为小型企业；从业人员10人以下的为微型企业。</w:t>
      </w:r>
    </w:p>
    <w:p w14:paraId="77FBD633">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五、企业类型的划分以统计部门的统计数据为依据。</w:t>
      </w:r>
    </w:p>
    <w:p w14:paraId="427FAA55">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六、本规定适用于在中华人民共和国境内依法设立的各类所有制和各种组织形式的企业。个体工商户和本规定以外的行业，参照本规定进行划型。</w:t>
      </w:r>
    </w:p>
    <w:p w14:paraId="03157F26">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七、本规定的中型企业标准上限即为大型企业标准的下限，国家统计部门据此制定大中小微型企业的统计分类。国务院有关部门据此进行相关数据分析，不得制定与本规定不一致的企业划型标准。</w:t>
      </w:r>
    </w:p>
    <w:p w14:paraId="2E0DDA36">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八、本规定由工业和信息化部、国家统计局会同有关部门根据《国民经济行业分类》修订情况和企业发展变化情况适时修订。</w:t>
      </w:r>
    </w:p>
    <w:p w14:paraId="4A8DF293">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九、本规定由工业和信息化部、国家统计局会同有关部门负责解释。</w:t>
      </w:r>
    </w:p>
    <w:p w14:paraId="399C0807">
      <w:pPr>
        <w:adjustRightInd w:val="0"/>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十、本规定自发布之日起执行，原国家经贸委、原国家计委、财政部和国家统计局2003年颁布的《中小企业标准暂行规定》同时废止。</w:t>
      </w:r>
    </w:p>
    <w:p w14:paraId="1F58412D">
      <w:pPr>
        <w:adjustRightInd w:val="0"/>
        <w:snapToGrid w:val="0"/>
        <w:spacing w:line="360" w:lineRule="auto"/>
        <w:ind w:firstLine="480" w:firstLineChars="200"/>
        <w:jc w:val="left"/>
        <w:rPr>
          <w:rFonts w:ascii="宋体" w:hAnsi="宋体" w:cs="宋体"/>
          <w:color w:val="auto"/>
          <w:kern w:val="0"/>
          <w:sz w:val="24"/>
        </w:rPr>
      </w:pPr>
    </w:p>
    <w:p w14:paraId="61ADA0C8">
      <w:pPr>
        <w:adjustRightInd w:val="0"/>
        <w:snapToGrid w:val="0"/>
        <w:spacing w:line="360" w:lineRule="auto"/>
        <w:jc w:val="center"/>
        <w:outlineLvl w:val="0"/>
        <w:rPr>
          <w:rFonts w:ascii="宋体" w:hAnsi="宋体"/>
          <w:b/>
          <w:color w:val="auto"/>
          <w:sz w:val="30"/>
          <w:szCs w:val="30"/>
        </w:rPr>
      </w:pPr>
    </w:p>
    <w:p w14:paraId="1123A97F">
      <w:pPr>
        <w:rPr>
          <w:rFonts w:ascii="宋体" w:hAnsi="宋体"/>
          <w:color w:val="auto"/>
          <w:sz w:val="24"/>
        </w:rPr>
      </w:pPr>
      <w:r>
        <w:rPr>
          <w:rFonts w:ascii="宋体" w:hAnsi="宋体"/>
          <w:color w:val="auto"/>
          <w:sz w:val="24"/>
        </w:rPr>
        <w:br w:type="page"/>
      </w:r>
    </w:p>
    <w:p w14:paraId="6BA0BEDA">
      <w:pPr>
        <w:adjustRightInd w:val="0"/>
        <w:snapToGrid w:val="0"/>
        <w:spacing w:line="300" w:lineRule="auto"/>
        <w:jc w:val="both"/>
        <w:outlineLvl w:val="0"/>
        <w:rPr>
          <w:rFonts w:hint="eastAsia" w:ascii="宋体" w:hAnsi="宋体" w:cs="Times New Roman"/>
          <w:b/>
          <w:bCs w:val="0"/>
          <w:color w:val="auto"/>
          <w:sz w:val="28"/>
          <w:szCs w:val="28"/>
        </w:rPr>
      </w:pPr>
      <w:r>
        <w:rPr>
          <w:rFonts w:hint="eastAsia" w:ascii="宋体" w:hAnsi="宋体" w:cs="Times New Roman"/>
          <w:b/>
          <w:bCs w:val="0"/>
          <w:color w:val="auto"/>
          <w:sz w:val="28"/>
          <w:szCs w:val="28"/>
          <w:lang w:val="en-US" w:eastAsia="zh-CN"/>
        </w:rPr>
        <w:t>附二、</w:t>
      </w:r>
      <w:r>
        <w:rPr>
          <w:rFonts w:hint="eastAsia" w:ascii="宋体" w:hAnsi="宋体" w:cs="Times New Roman"/>
          <w:b/>
          <w:bCs w:val="0"/>
          <w:color w:val="auto"/>
          <w:sz w:val="28"/>
          <w:szCs w:val="28"/>
        </w:rPr>
        <w:t>谈判响应最终报价表</w:t>
      </w:r>
    </w:p>
    <w:p w14:paraId="6AC5CCAF">
      <w:pPr>
        <w:spacing w:line="440" w:lineRule="atLeast"/>
        <w:rPr>
          <w:rFonts w:ascii="仿宋_GB2312"/>
          <w:b/>
          <w:bCs/>
          <w:color w:val="auto"/>
          <w:spacing w:val="46"/>
          <w:sz w:val="28"/>
        </w:rPr>
      </w:pPr>
    </w:p>
    <w:p w14:paraId="3971247F">
      <w:pPr>
        <w:spacing w:line="440" w:lineRule="atLeast"/>
        <w:ind w:firstLine="120" w:firstLineChars="50"/>
        <w:rPr>
          <w:rFonts w:ascii="仿宋_GB2312"/>
          <w:color w:val="auto"/>
          <w:sz w:val="24"/>
        </w:rPr>
      </w:pPr>
      <w:r>
        <w:rPr>
          <w:rFonts w:hint="eastAsia" w:ascii="仿宋_GB2312"/>
          <w:color w:val="auto"/>
          <w:sz w:val="24"/>
        </w:rPr>
        <w:t xml:space="preserve">项目名称： </w:t>
      </w:r>
    </w:p>
    <w:p w14:paraId="111350C5">
      <w:pPr>
        <w:spacing w:line="440" w:lineRule="atLeast"/>
        <w:ind w:left="105" w:leftChars="50"/>
        <w:rPr>
          <w:rFonts w:ascii="宋体"/>
          <w:color w:val="auto"/>
          <w:sz w:val="24"/>
        </w:rPr>
      </w:pPr>
      <w:r>
        <w:rPr>
          <w:rFonts w:hint="eastAsia" w:ascii="仿宋_GB2312"/>
          <w:color w:val="auto"/>
          <w:sz w:val="24"/>
        </w:rPr>
        <w:t>项目编号：</w:t>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hint="eastAsia" w:ascii="宋体"/>
          <w:color w:val="auto"/>
          <w:sz w:val="24"/>
        </w:rPr>
        <w:tab/>
      </w:r>
      <w:r>
        <w:rPr>
          <w:rFonts w:ascii="宋体"/>
          <w:color w:val="auto"/>
          <w:sz w:val="24"/>
        </w:rPr>
        <w:t xml:space="preserve">            </w:t>
      </w:r>
    </w:p>
    <w:p w14:paraId="0FBE1533">
      <w:pPr>
        <w:spacing w:line="440" w:lineRule="atLeast"/>
        <w:ind w:left="105" w:leftChars="50"/>
        <w:rPr>
          <w:rFonts w:ascii="宋体"/>
          <w:color w:val="auto"/>
          <w:sz w:val="24"/>
        </w:rPr>
      </w:pPr>
      <w:r>
        <w:rPr>
          <w:rFonts w:hint="eastAsia" w:ascii="仿宋_GB2312"/>
          <w:color w:val="auto"/>
          <w:sz w:val="24"/>
        </w:rPr>
        <w:t xml:space="preserve">谈判时间：               </w:t>
      </w:r>
      <w:r>
        <w:rPr>
          <w:rFonts w:ascii="仿宋_GB2312"/>
          <w:color w:val="auto"/>
          <w:sz w:val="24"/>
        </w:rPr>
        <w:t xml:space="preserve">                                      </w:t>
      </w:r>
      <w:r>
        <w:rPr>
          <w:rFonts w:hint="eastAsia" w:ascii="仿宋_GB2312"/>
          <w:color w:val="auto"/>
          <w:sz w:val="24"/>
        </w:rPr>
        <w:t>年  月  日</w:t>
      </w:r>
    </w:p>
    <w:tbl>
      <w:tblPr>
        <w:tblStyle w:val="4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0"/>
        <w:gridCol w:w="1960"/>
        <w:gridCol w:w="2255"/>
        <w:gridCol w:w="1079"/>
        <w:gridCol w:w="2059"/>
      </w:tblGrid>
      <w:tr w14:paraId="5A21E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5" w:hRule="atLeast"/>
        </w:trPr>
        <w:tc>
          <w:tcPr>
            <w:tcW w:w="1061" w:type="pct"/>
            <w:tcBorders>
              <w:bottom w:val="single" w:color="auto" w:sz="4" w:space="0"/>
            </w:tcBorders>
            <w:vAlign w:val="center"/>
          </w:tcPr>
          <w:p w14:paraId="705A6DFF">
            <w:pPr>
              <w:spacing w:line="440" w:lineRule="atLeast"/>
              <w:jc w:val="center"/>
              <w:rPr>
                <w:rFonts w:ascii="仿宋_GB2312"/>
                <w:color w:val="auto"/>
                <w:sz w:val="24"/>
              </w:rPr>
            </w:pPr>
            <w:r>
              <w:rPr>
                <w:rFonts w:hint="eastAsia" w:ascii="仿宋_GB2312"/>
                <w:color w:val="auto"/>
                <w:sz w:val="24"/>
              </w:rPr>
              <w:t>响应谈判供应商名称</w:t>
            </w:r>
          </w:p>
        </w:tc>
        <w:tc>
          <w:tcPr>
            <w:tcW w:w="1050" w:type="pct"/>
            <w:tcBorders>
              <w:bottom w:val="single" w:color="auto" w:sz="4" w:space="0"/>
            </w:tcBorders>
            <w:vAlign w:val="center"/>
          </w:tcPr>
          <w:p w14:paraId="23E79779">
            <w:pPr>
              <w:spacing w:line="440" w:lineRule="atLeast"/>
              <w:jc w:val="center"/>
              <w:rPr>
                <w:rFonts w:ascii="仿宋_GB2312"/>
                <w:color w:val="auto"/>
                <w:sz w:val="24"/>
              </w:rPr>
            </w:pPr>
            <w:r>
              <w:rPr>
                <w:rFonts w:hint="eastAsia" w:ascii="仿宋_GB2312"/>
                <w:color w:val="auto"/>
                <w:sz w:val="24"/>
              </w:rPr>
              <w:t>谈判响应报价（元）</w:t>
            </w:r>
          </w:p>
        </w:tc>
        <w:tc>
          <w:tcPr>
            <w:tcW w:w="1208" w:type="pct"/>
            <w:tcBorders>
              <w:bottom w:val="single" w:color="auto" w:sz="4" w:space="0"/>
            </w:tcBorders>
            <w:vAlign w:val="center"/>
          </w:tcPr>
          <w:p w14:paraId="0DBFE38F">
            <w:pPr>
              <w:spacing w:line="440" w:lineRule="atLeast"/>
              <w:jc w:val="center"/>
              <w:rPr>
                <w:rFonts w:ascii="仿宋_GB2312"/>
                <w:color w:val="auto"/>
                <w:sz w:val="24"/>
              </w:rPr>
            </w:pPr>
            <w:r>
              <w:rPr>
                <w:rFonts w:hint="eastAsia" w:ascii="仿宋_GB2312"/>
                <w:color w:val="auto"/>
                <w:sz w:val="24"/>
              </w:rPr>
              <w:t>谈判保证金</w:t>
            </w:r>
          </w:p>
          <w:p w14:paraId="130F9B67">
            <w:pPr>
              <w:spacing w:line="440" w:lineRule="atLeast"/>
              <w:jc w:val="center"/>
              <w:rPr>
                <w:rFonts w:ascii="仿宋_GB2312"/>
                <w:color w:val="auto"/>
                <w:sz w:val="24"/>
              </w:rPr>
            </w:pPr>
            <w:r>
              <w:rPr>
                <w:rFonts w:hint="eastAsia" w:ascii="仿宋_GB2312"/>
                <w:color w:val="auto"/>
                <w:sz w:val="24"/>
              </w:rPr>
              <w:t>（有/无）</w:t>
            </w:r>
          </w:p>
        </w:tc>
        <w:tc>
          <w:tcPr>
            <w:tcW w:w="578" w:type="pct"/>
            <w:tcBorders>
              <w:bottom w:val="single" w:color="auto" w:sz="4" w:space="0"/>
            </w:tcBorders>
            <w:vAlign w:val="center"/>
          </w:tcPr>
          <w:p w14:paraId="647982A3">
            <w:pPr>
              <w:spacing w:line="440" w:lineRule="atLeast"/>
              <w:jc w:val="center"/>
              <w:rPr>
                <w:rFonts w:ascii="仿宋_GB2312"/>
                <w:color w:val="auto"/>
                <w:sz w:val="24"/>
              </w:rPr>
            </w:pPr>
            <w:r>
              <w:rPr>
                <w:rFonts w:hint="eastAsia" w:ascii="仿宋_GB2312"/>
                <w:color w:val="auto"/>
                <w:sz w:val="24"/>
              </w:rPr>
              <w:t>供货期</w:t>
            </w:r>
          </w:p>
        </w:tc>
        <w:tc>
          <w:tcPr>
            <w:tcW w:w="1103" w:type="pct"/>
            <w:tcBorders>
              <w:bottom w:val="single" w:color="auto" w:sz="4" w:space="0"/>
            </w:tcBorders>
            <w:vAlign w:val="center"/>
          </w:tcPr>
          <w:p w14:paraId="6239FA38">
            <w:pPr>
              <w:spacing w:line="440" w:lineRule="atLeast"/>
              <w:jc w:val="center"/>
              <w:rPr>
                <w:rFonts w:ascii="仿宋_GB2312"/>
                <w:color w:val="auto"/>
                <w:sz w:val="24"/>
              </w:rPr>
            </w:pPr>
            <w:r>
              <w:rPr>
                <w:rFonts w:hint="eastAsia" w:ascii="仿宋_GB2312"/>
                <w:color w:val="auto"/>
                <w:sz w:val="24"/>
              </w:rPr>
              <w:t>其他承诺</w:t>
            </w:r>
          </w:p>
        </w:tc>
      </w:tr>
      <w:tr w14:paraId="247E3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5" w:hRule="atLeast"/>
        </w:trPr>
        <w:tc>
          <w:tcPr>
            <w:tcW w:w="1061" w:type="pct"/>
            <w:tcBorders>
              <w:bottom w:val="single" w:color="auto" w:sz="4" w:space="0"/>
            </w:tcBorders>
          </w:tcPr>
          <w:p w14:paraId="6EBF88BA">
            <w:pPr>
              <w:spacing w:line="440" w:lineRule="atLeast"/>
              <w:rPr>
                <w:rFonts w:ascii="宋体"/>
                <w:color w:val="auto"/>
                <w:sz w:val="24"/>
              </w:rPr>
            </w:pPr>
          </w:p>
        </w:tc>
        <w:tc>
          <w:tcPr>
            <w:tcW w:w="1050" w:type="pct"/>
            <w:tcBorders>
              <w:bottom w:val="single" w:color="auto" w:sz="4" w:space="0"/>
            </w:tcBorders>
          </w:tcPr>
          <w:p w14:paraId="083B4DEC">
            <w:pPr>
              <w:spacing w:line="440" w:lineRule="atLeast"/>
              <w:rPr>
                <w:rFonts w:ascii="宋体"/>
                <w:color w:val="auto"/>
                <w:sz w:val="24"/>
              </w:rPr>
            </w:pPr>
          </w:p>
        </w:tc>
        <w:tc>
          <w:tcPr>
            <w:tcW w:w="1208" w:type="pct"/>
            <w:tcBorders>
              <w:bottom w:val="single" w:color="auto" w:sz="4" w:space="0"/>
            </w:tcBorders>
          </w:tcPr>
          <w:p w14:paraId="06105798">
            <w:pPr>
              <w:spacing w:line="440" w:lineRule="atLeast"/>
              <w:rPr>
                <w:rFonts w:ascii="宋体"/>
                <w:color w:val="auto"/>
                <w:sz w:val="24"/>
              </w:rPr>
            </w:pPr>
          </w:p>
        </w:tc>
        <w:tc>
          <w:tcPr>
            <w:tcW w:w="578" w:type="pct"/>
            <w:tcBorders>
              <w:bottom w:val="single" w:color="auto" w:sz="4" w:space="0"/>
            </w:tcBorders>
          </w:tcPr>
          <w:p w14:paraId="272FB408">
            <w:pPr>
              <w:spacing w:line="440" w:lineRule="atLeast"/>
              <w:rPr>
                <w:rFonts w:ascii="宋体"/>
                <w:color w:val="auto"/>
                <w:sz w:val="24"/>
              </w:rPr>
            </w:pPr>
          </w:p>
        </w:tc>
        <w:tc>
          <w:tcPr>
            <w:tcW w:w="1103" w:type="pct"/>
            <w:tcBorders>
              <w:bottom w:val="single" w:color="auto" w:sz="4" w:space="0"/>
            </w:tcBorders>
          </w:tcPr>
          <w:p w14:paraId="00680906">
            <w:pPr>
              <w:spacing w:line="440" w:lineRule="atLeast"/>
              <w:rPr>
                <w:rFonts w:ascii="宋体"/>
                <w:color w:val="auto"/>
                <w:sz w:val="24"/>
              </w:rPr>
            </w:pPr>
          </w:p>
        </w:tc>
      </w:tr>
    </w:tbl>
    <w:p w14:paraId="5DAF7D0C">
      <w:pPr>
        <w:spacing w:line="440" w:lineRule="atLeast"/>
        <w:rPr>
          <w:rFonts w:ascii="仿宋_GB2312"/>
          <w:b/>
          <w:color w:val="auto"/>
          <w:sz w:val="24"/>
        </w:rPr>
      </w:pPr>
      <w:r>
        <w:rPr>
          <w:rFonts w:hint="eastAsia" w:ascii="仿宋_GB2312"/>
          <w:b/>
          <w:color w:val="auto"/>
          <w:sz w:val="24"/>
        </w:rPr>
        <w:t>注：1、本表无需在谈判响应文件中，只做谈判的最终报价使用，在“政采云”谈判的最终环节单独提交。</w:t>
      </w:r>
    </w:p>
    <w:p w14:paraId="17F1EF15">
      <w:pPr>
        <w:spacing w:line="440" w:lineRule="atLeast"/>
        <w:ind w:firstLine="482" w:firstLineChars="200"/>
        <w:rPr>
          <w:rFonts w:ascii="仿宋_GB2312"/>
          <w:b/>
          <w:color w:val="auto"/>
          <w:sz w:val="24"/>
        </w:rPr>
      </w:pPr>
      <w:r>
        <w:rPr>
          <w:rFonts w:hint="eastAsia" w:ascii="仿宋_GB2312"/>
          <w:b/>
          <w:color w:val="auto"/>
          <w:sz w:val="24"/>
        </w:rPr>
        <w:t>2、谈判报价为谈判内容的报价总和。</w:t>
      </w:r>
    </w:p>
    <w:p w14:paraId="5358FC0F">
      <w:pPr>
        <w:spacing w:line="440" w:lineRule="atLeast"/>
        <w:ind w:firstLine="482" w:firstLineChars="200"/>
        <w:rPr>
          <w:rFonts w:ascii="仿宋_GB2312"/>
          <w:b/>
          <w:color w:val="auto"/>
          <w:sz w:val="24"/>
        </w:rPr>
      </w:pPr>
      <w:r>
        <w:rPr>
          <w:rFonts w:hint="eastAsia" w:ascii="仿宋_GB2312"/>
          <w:b/>
          <w:color w:val="auto"/>
          <w:sz w:val="24"/>
        </w:rPr>
        <w:t>3</w:t>
      </w:r>
      <w:r>
        <w:rPr>
          <w:rFonts w:hint="eastAsia" w:ascii="仿宋_GB2312"/>
          <w:b/>
          <w:color w:val="auto"/>
          <w:sz w:val="24"/>
          <w:lang w:eastAsia="zh-CN"/>
        </w:rPr>
        <w:t>、</w:t>
      </w:r>
      <w:r>
        <w:rPr>
          <w:rFonts w:hint="eastAsia" w:ascii="仿宋_GB2312"/>
          <w:b/>
          <w:color w:val="auto"/>
          <w:sz w:val="24"/>
        </w:rPr>
        <w:t>未按要求在发起时间内提交响应谈判最终报价的视为响应谈判无效。</w:t>
      </w:r>
    </w:p>
    <w:p w14:paraId="0F064CDD">
      <w:pPr>
        <w:spacing w:line="440" w:lineRule="atLeast"/>
        <w:rPr>
          <w:rFonts w:ascii="仿宋_GB2312"/>
          <w:color w:val="auto"/>
          <w:sz w:val="24"/>
        </w:rPr>
      </w:pPr>
    </w:p>
    <w:p w14:paraId="6D47C4EF">
      <w:pPr>
        <w:spacing w:line="440" w:lineRule="atLeast"/>
        <w:rPr>
          <w:rFonts w:ascii="仿宋_GB2312"/>
          <w:color w:val="auto"/>
          <w:sz w:val="24"/>
        </w:rPr>
      </w:pPr>
    </w:p>
    <w:p w14:paraId="37E1E659">
      <w:pPr>
        <w:spacing w:line="440" w:lineRule="atLeast"/>
        <w:rPr>
          <w:rFonts w:ascii="仿宋_GB2312"/>
          <w:color w:val="auto"/>
          <w:sz w:val="24"/>
        </w:rPr>
      </w:pPr>
      <w:r>
        <w:rPr>
          <w:rFonts w:hint="eastAsia" w:ascii="仿宋_GB2312"/>
          <w:color w:val="auto"/>
          <w:sz w:val="24"/>
        </w:rPr>
        <w:t>响应谈判供应商：</w:t>
      </w:r>
      <w:r>
        <w:rPr>
          <w:rFonts w:hint="eastAsia" w:ascii="仿宋_GB2312"/>
          <w:color w:val="auto"/>
          <w:sz w:val="24"/>
          <w:lang w:val="en-US" w:eastAsia="zh-CN"/>
        </w:rPr>
        <w:t xml:space="preserve">    </w:t>
      </w:r>
      <w:r>
        <w:rPr>
          <w:rFonts w:hint="eastAsia" w:ascii="仿宋_GB2312"/>
          <w:color w:val="auto"/>
          <w:sz w:val="24"/>
        </w:rPr>
        <w:t xml:space="preserve">（盖公章）                              </w:t>
      </w:r>
    </w:p>
    <w:p w14:paraId="4FBC05C2">
      <w:pPr>
        <w:spacing w:line="440" w:lineRule="atLeast"/>
        <w:rPr>
          <w:rFonts w:hint="eastAsia" w:ascii="仿宋_GB2312"/>
          <w:color w:val="auto"/>
          <w:sz w:val="24"/>
        </w:rPr>
      </w:pPr>
    </w:p>
    <w:p w14:paraId="27CE89B3">
      <w:pPr>
        <w:spacing w:line="440" w:lineRule="atLeast"/>
        <w:rPr>
          <w:rFonts w:ascii="仿宋_GB2312"/>
          <w:color w:val="auto"/>
          <w:sz w:val="24"/>
        </w:rPr>
      </w:pPr>
      <w:r>
        <w:rPr>
          <w:rFonts w:hint="eastAsia" w:ascii="仿宋_GB2312"/>
          <w:color w:val="auto"/>
          <w:sz w:val="24"/>
        </w:rPr>
        <w:t>法定代表人或被授权委托人：</w:t>
      </w:r>
      <w:r>
        <w:rPr>
          <w:rFonts w:hint="eastAsia" w:ascii="仿宋_GB2312"/>
          <w:color w:val="auto"/>
          <w:sz w:val="24"/>
          <w:lang w:val="en-US" w:eastAsia="zh-CN"/>
        </w:rPr>
        <w:t xml:space="preserve">     </w:t>
      </w:r>
      <w:r>
        <w:rPr>
          <w:rFonts w:hint="eastAsia" w:ascii="仿宋_GB2312"/>
          <w:color w:val="auto"/>
          <w:sz w:val="24"/>
        </w:rPr>
        <w:t>（签字或</w:t>
      </w:r>
      <w:r>
        <w:rPr>
          <w:rFonts w:ascii="仿宋_GB2312"/>
          <w:color w:val="auto"/>
          <w:sz w:val="24"/>
        </w:rPr>
        <w:t>盖章</w:t>
      </w:r>
      <w:r>
        <w:rPr>
          <w:rFonts w:hint="eastAsia" w:ascii="仿宋_GB2312"/>
          <w:color w:val="auto"/>
          <w:sz w:val="24"/>
        </w:rPr>
        <w:t>）</w:t>
      </w:r>
    </w:p>
    <w:p w14:paraId="22D21562">
      <w:pPr>
        <w:widowControl/>
        <w:jc w:val="left"/>
        <w:rPr>
          <w:rFonts w:ascii="仿宋_GB2312"/>
          <w:color w:val="auto"/>
          <w:sz w:val="24"/>
        </w:rPr>
      </w:pPr>
      <w:r>
        <w:rPr>
          <w:rFonts w:ascii="仿宋_GB2312"/>
          <w:color w:val="auto"/>
          <w:sz w:val="24"/>
        </w:rPr>
        <w:br w:type="page"/>
      </w:r>
    </w:p>
    <w:p w14:paraId="3158F658">
      <w:pPr>
        <w:spacing w:line="440" w:lineRule="atLeast"/>
        <w:jc w:val="both"/>
        <w:rPr>
          <w:rFonts w:ascii="仿宋_GB2312"/>
          <w:b/>
          <w:color w:val="auto"/>
          <w:sz w:val="28"/>
        </w:rPr>
      </w:pPr>
      <w:r>
        <w:rPr>
          <w:rFonts w:hint="eastAsia" w:ascii="宋体" w:hAnsi="宋体" w:cs="Times New Roman"/>
          <w:b/>
          <w:bCs w:val="0"/>
          <w:color w:val="auto"/>
          <w:sz w:val="28"/>
          <w:szCs w:val="28"/>
          <w:lang w:val="en-US" w:eastAsia="zh-CN"/>
        </w:rPr>
        <w:t>附三、</w:t>
      </w:r>
      <w:r>
        <w:rPr>
          <w:rFonts w:hint="eastAsia" w:ascii="仿宋_GB2312"/>
          <w:b/>
          <w:color w:val="auto"/>
          <w:sz w:val="28"/>
        </w:rPr>
        <w:t>最终响应报价明细表</w:t>
      </w:r>
    </w:p>
    <w:p w14:paraId="7665C4E3">
      <w:pPr>
        <w:spacing w:line="360" w:lineRule="auto"/>
        <w:ind w:left="1"/>
        <w:jc w:val="left"/>
        <w:rPr>
          <w:rFonts w:ascii="宋体" w:hAnsi="宋体"/>
          <w:color w:val="auto"/>
          <w:sz w:val="24"/>
        </w:rPr>
      </w:pPr>
    </w:p>
    <w:p w14:paraId="7140C8C4">
      <w:pPr>
        <w:spacing w:line="360" w:lineRule="auto"/>
        <w:ind w:left="315" w:leftChars="150"/>
        <w:jc w:val="left"/>
        <w:rPr>
          <w:rFonts w:ascii="宋体" w:hAnsi="宋体"/>
          <w:color w:val="auto"/>
          <w:sz w:val="24"/>
        </w:rPr>
      </w:pPr>
      <w:r>
        <w:rPr>
          <w:rFonts w:hint="eastAsia" w:ascii="宋体" w:hAnsi="宋体"/>
          <w:color w:val="auto"/>
          <w:sz w:val="24"/>
        </w:rPr>
        <w:t>项目名称：                                                                                          单    位：元</w:t>
      </w:r>
    </w:p>
    <w:tbl>
      <w:tblPr>
        <w:tblStyle w:val="42"/>
        <w:tblW w:w="503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7"/>
        <w:gridCol w:w="1949"/>
        <w:gridCol w:w="849"/>
        <w:gridCol w:w="849"/>
        <w:gridCol w:w="1838"/>
        <w:gridCol w:w="960"/>
        <w:gridCol w:w="960"/>
        <w:gridCol w:w="774"/>
        <w:gridCol w:w="520"/>
      </w:tblGrid>
      <w:tr w14:paraId="326EA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371" w:type="pct"/>
            <w:tcBorders>
              <w:top w:val="single" w:color="auto" w:sz="4" w:space="0"/>
              <w:left w:val="single" w:color="auto" w:sz="4" w:space="0"/>
              <w:right w:val="single" w:color="auto" w:sz="4" w:space="0"/>
            </w:tcBorders>
            <w:vAlign w:val="center"/>
          </w:tcPr>
          <w:p w14:paraId="5795A630">
            <w:pPr>
              <w:widowControl/>
              <w:jc w:val="center"/>
              <w:rPr>
                <w:rFonts w:ascii="宋体" w:hAnsi="宋体" w:cs="宋体"/>
                <w:color w:val="auto"/>
                <w:kern w:val="0"/>
                <w:sz w:val="24"/>
              </w:rPr>
            </w:pPr>
            <w:r>
              <w:rPr>
                <w:rFonts w:hint="eastAsia" w:ascii="宋体" w:hAnsi="宋体" w:cs="宋体"/>
                <w:color w:val="auto"/>
                <w:kern w:val="0"/>
                <w:sz w:val="24"/>
              </w:rPr>
              <w:t>序号</w:t>
            </w:r>
          </w:p>
        </w:tc>
        <w:tc>
          <w:tcPr>
            <w:tcW w:w="1037" w:type="pct"/>
            <w:tcBorders>
              <w:top w:val="single" w:color="auto" w:sz="4" w:space="0"/>
              <w:left w:val="single" w:color="auto" w:sz="4" w:space="0"/>
              <w:right w:val="single" w:color="auto" w:sz="4" w:space="0"/>
            </w:tcBorders>
            <w:vAlign w:val="center"/>
          </w:tcPr>
          <w:p w14:paraId="67893052">
            <w:pPr>
              <w:widowControl/>
              <w:jc w:val="center"/>
              <w:rPr>
                <w:rFonts w:ascii="宋体" w:hAnsi="宋体" w:cs="宋体"/>
                <w:color w:val="auto"/>
                <w:kern w:val="0"/>
                <w:sz w:val="24"/>
              </w:rPr>
            </w:pPr>
            <w:r>
              <w:rPr>
                <w:rFonts w:hint="eastAsia" w:ascii="宋体" w:hAnsi="宋体" w:cs="宋体"/>
                <w:color w:val="auto"/>
                <w:kern w:val="0"/>
                <w:sz w:val="24"/>
              </w:rPr>
              <w:t>采购货物名称</w:t>
            </w:r>
          </w:p>
        </w:tc>
        <w:tc>
          <w:tcPr>
            <w:tcW w:w="452" w:type="pct"/>
            <w:tcBorders>
              <w:top w:val="single" w:color="auto" w:sz="4" w:space="0"/>
              <w:left w:val="single" w:color="auto" w:sz="4" w:space="0"/>
              <w:right w:val="single" w:color="auto" w:sz="4" w:space="0"/>
            </w:tcBorders>
            <w:vAlign w:val="center"/>
          </w:tcPr>
          <w:p w14:paraId="68D30E0D">
            <w:pPr>
              <w:widowControl/>
              <w:jc w:val="center"/>
              <w:rPr>
                <w:rFonts w:ascii="宋体" w:hAnsi="宋体" w:cs="宋体"/>
                <w:color w:val="auto"/>
                <w:kern w:val="0"/>
                <w:sz w:val="24"/>
              </w:rPr>
            </w:pPr>
            <w:r>
              <w:rPr>
                <w:rFonts w:hint="eastAsia" w:ascii="宋体" w:hAnsi="宋体" w:cs="宋体"/>
                <w:color w:val="auto"/>
                <w:kern w:val="0"/>
                <w:sz w:val="24"/>
              </w:rPr>
              <w:t>报价货物品牌</w:t>
            </w:r>
          </w:p>
        </w:tc>
        <w:tc>
          <w:tcPr>
            <w:tcW w:w="452" w:type="pct"/>
            <w:tcBorders>
              <w:top w:val="single" w:color="auto" w:sz="4" w:space="0"/>
              <w:left w:val="single" w:color="auto" w:sz="4" w:space="0"/>
              <w:right w:val="single" w:color="auto" w:sz="4" w:space="0"/>
            </w:tcBorders>
            <w:vAlign w:val="center"/>
          </w:tcPr>
          <w:p w14:paraId="27DAE11C">
            <w:pPr>
              <w:widowControl/>
              <w:jc w:val="center"/>
              <w:rPr>
                <w:rFonts w:ascii="宋体" w:hAnsi="宋体" w:cs="宋体"/>
                <w:color w:val="auto"/>
                <w:kern w:val="0"/>
                <w:sz w:val="24"/>
              </w:rPr>
            </w:pPr>
            <w:r>
              <w:rPr>
                <w:rFonts w:hint="eastAsia" w:ascii="宋体" w:hAnsi="宋体" w:cs="宋体"/>
                <w:color w:val="auto"/>
                <w:kern w:val="0"/>
                <w:sz w:val="24"/>
              </w:rPr>
              <w:t>报价货物型号</w:t>
            </w:r>
          </w:p>
        </w:tc>
        <w:tc>
          <w:tcPr>
            <w:tcW w:w="978" w:type="pct"/>
            <w:tcBorders>
              <w:top w:val="single" w:color="auto" w:sz="4" w:space="0"/>
              <w:left w:val="single" w:color="auto" w:sz="4" w:space="0"/>
              <w:right w:val="single" w:color="auto" w:sz="4" w:space="0"/>
            </w:tcBorders>
            <w:vAlign w:val="center"/>
          </w:tcPr>
          <w:p w14:paraId="34B655EF">
            <w:pPr>
              <w:widowControl/>
              <w:jc w:val="center"/>
              <w:rPr>
                <w:rFonts w:ascii="宋体" w:hAnsi="宋体" w:cs="宋体"/>
                <w:color w:val="auto"/>
                <w:kern w:val="0"/>
                <w:sz w:val="24"/>
              </w:rPr>
            </w:pPr>
            <w:r>
              <w:rPr>
                <w:rFonts w:hint="eastAsia" w:ascii="宋体" w:hAnsi="宋体" w:cs="宋体"/>
                <w:color w:val="auto"/>
                <w:kern w:val="0"/>
                <w:sz w:val="24"/>
              </w:rPr>
              <w:t>报价货物技术参数</w:t>
            </w:r>
          </w:p>
        </w:tc>
        <w:tc>
          <w:tcPr>
            <w:tcW w:w="511" w:type="pct"/>
            <w:tcBorders>
              <w:top w:val="single" w:color="auto" w:sz="4" w:space="0"/>
              <w:left w:val="single" w:color="auto" w:sz="4" w:space="0"/>
              <w:right w:val="single" w:color="auto" w:sz="4" w:space="0"/>
            </w:tcBorders>
            <w:vAlign w:val="center"/>
          </w:tcPr>
          <w:p w14:paraId="2CC2CE9E">
            <w:pPr>
              <w:widowControl/>
              <w:jc w:val="center"/>
              <w:rPr>
                <w:rFonts w:ascii="宋体" w:hAnsi="宋体" w:cs="宋体"/>
                <w:color w:val="auto"/>
                <w:kern w:val="0"/>
                <w:sz w:val="24"/>
              </w:rPr>
            </w:pPr>
            <w:r>
              <w:rPr>
                <w:rFonts w:hint="eastAsia" w:ascii="宋体" w:hAnsi="宋体" w:cs="宋体"/>
                <w:color w:val="auto"/>
                <w:kern w:val="0"/>
                <w:sz w:val="24"/>
              </w:rPr>
              <w:t>单位</w:t>
            </w:r>
          </w:p>
        </w:tc>
        <w:tc>
          <w:tcPr>
            <w:tcW w:w="511" w:type="pct"/>
            <w:tcBorders>
              <w:top w:val="single" w:color="auto" w:sz="4" w:space="0"/>
              <w:left w:val="single" w:color="auto" w:sz="4" w:space="0"/>
              <w:bottom w:val="single" w:color="auto" w:sz="4" w:space="0"/>
              <w:right w:val="single" w:color="auto" w:sz="4" w:space="0"/>
            </w:tcBorders>
            <w:vAlign w:val="center"/>
          </w:tcPr>
          <w:p w14:paraId="07DB29A8">
            <w:pPr>
              <w:widowControl/>
              <w:jc w:val="center"/>
              <w:rPr>
                <w:rFonts w:ascii="宋体" w:hAnsi="宋体" w:cs="宋体"/>
                <w:color w:val="auto"/>
                <w:kern w:val="0"/>
                <w:sz w:val="24"/>
              </w:rPr>
            </w:pPr>
            <w:r>
              <w:rPr>
                <w:rFonts w:hint="eastAsia" w:ascii="宋体" w:hAnsi="宋体" w:cs="宋体"/>
                <w:color w:val="auto"/>
                <w:kern w:val="0"/>
                <w:sz w:val="24"/>
              </w:rPr>
              <w:t>数量</w:t>
            </w:r>
          </w:p>
        </w:tc>
        <w:tc>
          <w:tcPr>
            <w:tcW w:w="412" w:type="pct"/>
            <w:tcBorders>
              <w:top w:val="single" w:color="auto" w:sz="4" w:space="0"/>
              <w:left w:val="single" w:color="auto" w:sz="4" w:space="0"/>
              <w:bottom w:val="single" w:color="auto" w:sz="4" w:space="0"/>
              <w:right w:val="single" w:color="auto" w:sz="4" w:space="0"/>
            </w:tcBorders>
            <w:vAlign w:val="center"/>
          </w:tcPr>
          <w:p w14:paraId="1C73D934">
            <w:pPr>
              <w:widowControl/>
              <w:jc w:val="center"/>
              <w:rPr>
                <w:rFonts w:ascii="宋体" w:hAnsi="宋体" w:cs="宋体"/>
                <w:color w:val="auto"/>
                <w:kern w:val="0"/>
                <w:sz w:val="24"/>
              </w:rPr>
            </w:pPr>
            <w:r>
              <w:rPr>
                <w:rFonts w:hint="eastAsia" w:ascii="宋体" w:hAnsi="宋体" w:cs="宋体"/>
                <w:color w:val="auto"/>
                <w:kern w:val="0"/>
                <w:sz w:val="24"/>
              </w:rPr>
              <w:t>单价</w:t>
            </w:r>
          </w:p>
        </w:tc>
        <w:tc>
          <w:tcPr>
            <w:tcW w:w="274" w:type="pct"/>
            <w:tcBorders>
              <w:top w:val="single" w:color="auto" w:sz="4" w:space="0"/>
              <w:left w:val="single" w:color="auto" w:sz="4" w:space="0"/>
              <w:bottom w:val="single" w:color="auto" w:sz="4" w:space="0"/>
              <w:right w:val="single" w:color="auto" w:sz="4" w:space="0"/>
            </w:tcBorders>
            <w:vAlign w:val="center"/>
          </w:tcPr>
          <w:p w14:paraId="5AA1A1D3">
            <w:pPr>
              <w:widowControl/>
              <w:jc w:val="center"/>
              <w:rPr>
                <w:rFonts w:ascii="宋体" w:hAnsi="宋体" w:cs="宋体"/>
                <w:color w:val="auto"/>
                <w:kern w:val="0"/>
                <w:sz w:val="24"/>
              </w:rPr>
            </w:pPr>
            <w:r>
              <w:rPr>
                <w:rFonts w:hint="eastAsia" w:ascii="宋体" w:hAnsi="宋体" w:cs="宋体"/>
                <w:color w:val="auto"/>
                <w:kern w:val="0"/>
                <w:sz w:val="24"/>
              </w:rPr>
              <w:t>总价</w:t>
            </w:r>
          </w:p>
        </w:tc>
      </w:tr>
      <w:tr w14:paraId="22472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371" w:type="pct"/>
            <w:tcBorders>
              <w:top w:val="single" w:color="auto" w:sz="4" w:space="0"/>
              <w:left w:val="single" w:color="auto" w:sz="4" w:space="0"/>
              <w:bottom w:val="single" w:color="auto" w:sz="4" w:space="0"/>
              <w:right w:val="single" w:color="auto" w:sz="4" w:space="0"/>
            </w:tcBorders>
            <w:vAlign w:val="center"/>
          </w:tcPr>
          <w:p w14:paraId="2AFDE408">
            <w:pPr>
              <w:widowControl/>
              <w:jc w:val="center"/>
              <w:rPr>
                <w:rFonts w:ascii="宋体" w:hAnsi="宋体" w:cs="宋体"/>
                <w:color w:val="auto"/>
                <w:kern w:val="0"/>
                <w:sz w:val="24"/>
              </w:rPr>
            </w:pPr>
            <w:r>
              <w:rPr>
                <w:rFonts w:hint="eastAsia" w:ascii="宋体" w:hAnsi="宋体" w:cs="宋体"/>
                <w:color w:val="auto"/>
                <w:kern w:val="0"/>
                <w:sz w:val="24"/>
              </w:rPr>
              <w:t>1</w:t>
            </w:r>
          </w:p>
        </w:tc>
        <w:tc>
          <w:tcPr>
            <w:tcW w:w="1037" w:type="pct"/>
            <w:tcBorders>
              <w:top w:val="single" w:color="auto" w:sz="4" w:space="0"/>
              <w:left w:val="single" w:color="auto" w:sz="4" w:space="0"/>
              <w:bottom w:val="single" w:color="auto" w:sz="4" w:space="0"/>
              <w:right w:val="single" w:color="auto" w:sz="4" w:space="0"/>
            </w:tcBorders>
            <w:vAlign w:val="center"/>
          </w:tcPr>
          <w:p w14:paraId="24E28D91">
            <w:pPr>
              <w:widowControl/>
              <w:jc w:val="left"/>
              <w:rPr>
                <w:rFonts w:ascii="宋体" w:hAnsi="宋体" w:cs="宋体"/>
                <w:color w:val="auto"/>
                <w:kern w:val="0"/>
                <w:sz w:val="24"/>
              </w:rPr>
            </w:pPr>
          </w:p>
        </w:tc>
        <w:tc>
          <w:tcPr>
            <w:tcW w:w="452" w:type="pct"/>
            <w:tcBorders>
              <w:top w:val="single" w:color="auto" w:sz="4" w:space="0"/>
              <w:left w:val="single" w:color="auto" w:sz="4" w:space="0"/>
              <w:bottom w:val="single" w:color="auto" w:sz="4" w:space="0"/>
              <w:right w:val="single" w:color="auto" w:sz="4" w:space="0"/>
            </w:tcBorders>
            <w:vAlign w:val="center"/>
          </w:tcPr>
          <w:p w14:paraId="27EEBDA7">
            <w:pPr>
              <w:widowControl/>
              <w:jc w:val="left"/>
              <w:rPr>
                <w:rFonts w:ascii="宋体" w:hAnsi="宋体" w:cs="宋体"/>
                <w:color w:val="auto"/>
                <w:kern w:val="0"/>
                <w:sz w:val="24"/>
              </w:rPr>
            </w:pPr>
          </w:p>
        </w:tc>
        <w:tc>
          <w:tcPr>
            <w:tcW w:w="452" w:type="pct"/>
            <w:tcBorders>
              <w:top w:val="single" w:color="auto" w:sz="4" w:space="0"/>
              <w:left w:val="single" w:color="auto" w:sz="4" w:space="0"/>
              <w:bottom w:val="single" w:color="auto" w:sz="4" w:space="0"/>
              <w:right w:val="single" w:color="auto" w:sz="4" w:space="0"/>
            </w:tcBorders>
          </w:tcPr>
          <w:p w14:paraId="2CA11468">
            <w:pPr>
              <w:widowControl/>
              <w:jc w:val="center"/>
              <w:rPr>
                <w:rFonts w:ascii="宋体" w:hAnsi="宋体" w:cs="宋体"/>
                <w:color w:val="auto"/>
                <w:kern w:val="0"/>
                <w:sz w:val="24"/>
              </w:rPr>
            </w:pPr>
          </w:p>
        </w:tc>
        <w:tc>
          <w:tcPr>
            <w:tcW w:w="978" w:type="pct"/>
            <w:tcBorders>
              <w:top w:val="single" w:color="auto" w:sz="4" w:space="0"/>
              <w:left w:val="single" w:color="auto" w:sz="4" w:space="0"/>
              <w:bottom w:val="single" w:color="auto" w:sz="4" w:space="0"/>
              <w:right w:val="single" w:color="auto" w:sz="4" w:space="0"/>
            </w:tcBorders>
          </w:tcPr>
          <w:p w14:paraId="4BEBEE64">
            <w:pPr>
              <w:widowControl/>
              <w:jc w:val="center"/>
              <w:rPr>
                <w:rFonts w:ascii="宋体" w:hAnsi="宋体" w:cs="宋体"/>
                <w:color w:val="auto"/>
                <w:kern w:val="0"/>
                <w:sz w:val="24"/>
              </w:rPr>
            </w:pPr>
          </w:p>
        </w:tc>
        <w:tc>
          <w:tcPr>
            <w:tcW w:w="511" w:type="pct"/>
            <w:tcBorders>
              <w:top w:val="single" w:color="auto" w:sz="4" w:space="0"/>
              <w:left w:val="single" w:color="auto" w:sz="4" w:space="0"/>
              <w:bottom w:val="single" w:color="auto" w:sz="4" w:space="0"/>
              <w:right w:val="single" w:color="auto" w:sz="4" w:space="0"/>
            </w:tcBorders>
            <w:vAlign w:val="center"/>
          </w:tcPr>
          <w:p w14:paraId="5A746223">
            <w:pPr>
              <w:widowControl/>
              <w:jc w:val="center"/>
              <w:rPr>
                <w:rFonts w:ascii="宋体" w:hAnsi="宋体" w:cs="宋体"/>
                <w:color w:val="auto"/>
                <w:kern w:val="0"/>
                <w:sz w:val="24"/>
              </w:rPr>
            </w:pPr>
          </w:p>
        </w:tc>
        <w:tc>
          <w:tcPr>
            <w:tcW w:w="511" w:type="pct"/>
            <w:tcBorders>
              <w:top w:val="single" w:color="auto" w:sz="4" w:space="0"/>
              <w:left w:val="single" w:color="auto" w:sz="4" w:space="0"/>
              <w:bottom w:val="single" w:color="auto" w:sz="4" w:space="0"/>
              <w:right w:val="single" w:color="auto" w:sz="4" w:space="0"/>
            </w:tcBorders>
            <w:vAlign w:val="center"/>
          </w:tcPr>
          <w:p w14:paraId="52BE182E">
            <w:pPr>
              <w:widowControl/>
              <w:jc w:val="center"/>
              <w:rPr>
                <w:rFonts w:ascii="宋体" w:hAnsi="宋体" w:cs="宋体"/>
                <w:color w:val="auto"/>
                <w:kern w:val="0"/>
                <w:sz w:val="24"/>
              </w:rPr>
            </w:pPr>
          </w:p>
        </w:tc>
        <w:tc>
          <w:tcPr>
            <w:tcW w:w="412" w:type="pct"/>
            <w:tcBorders>
              <w:top w:val="single" w:color="auto" w:sz="4" w:space="0"/>
              <w:left w:val="single" w:color="auto" w:sz="4" w:space="0"/>
              <w:bottom w:val="single" w:color="auto" w:sz="4" w:space="0"/>
              <w:right w:val="single" w:color="auto" w:sz="4" w:space="0"/>
            </w:tcBorders>
            <w:vAlign w:val="center"/>
          </w:tcPr>
          <w:p w14:paraId="2D778DE3">
            <w:pPr>
              <w:widowControl/>
              <w:jc w:val="left"/>
              <w:rPr>
                <w:rFonts w:ascii="宋体" w:hAnsi="宋体" w:cs="宋体"/>
                <w:color w:val="auto"/>
                <w:kern w:val="0"/>
                <w:sz w:val="24"/>
              </w:rPr>
            </w:pPr>
          </w:p>
        </w:tc>
        <w:tc>
          <w:tcPr>
            <w:tcW w:w="274" w:type="pct"/>
            <w:tcBorders>
              <w:top w:val="single" w:color="auto" w:sz="4" w:space="0"/>
              <w:left w:val="single" w:color="auto" w:sz="4" w:space="0"/>
              <w:bottom w:val="single" w:color="auto" w:sz="4" w:space="0"/>
              <w:right w:val="single" w:color="auto" w:sz="4" w:space="0"/>
            </w:tcBorders>
            <w:vAlign w:val="center"/>
          </w:tcPr>
          <w:p w14:paraId="2B6ED777">
            <w:pPr>
              <w:widowControl/>
              <w:jc w:val="left"/>
              <w:rPr>
                <w:rFonts w:ascii="宋体" w:hAnsi="宋体" w:cs="宋体"/>
                <w:color w:val="auto"/>
                <w:kern w:val="0"/>
                <w:sz w:val="24"/>
              </w:rPr>
            </w:pPr>
          </w:p>
        </w:tc>
      </w:tr>
      <w:tr w14:paraId="69813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371" w:type="pct"/>
            <w:tcBorders>
              <w:top w:val="single" w:color="auto" w:sz="4" w:space="0"/>
              <w:left w:val="single" w:color="auto" w:sz="4" w:space="0"/>
              <w:bottom w:val="single" w:color="auto" w:sz="4" w:space="0"/>
              <w:right w:val="single" w:color="auto" w:sz="4" w:space="0"/>
            </w:tcBorders>
            <w:vAlign w:val="center"/>
          </w:tcPr>
          <w:p w14:paraId="47420104">
            <w:pPr>
              <w:widowControl/>
              <w:jc w:val="center"/>
              <w:rPr>
                <w:rFonts w:ascii="宋体" w:hAnsi="宋体" w:cs="宋体"/>
                <w:color w:val="auto"/>
                <w:kern w:val="0"/>
                <w:sz w:val="24"/>
              </w:rPr>
            </w:pPr>
            <w:r>
              <w:rPr>
                <w:rFonts w:hint="eastAsia" w:ascii="宋体" w:hAnsi="宋体" w:cs="宋体"/>
                <w:color w:val="auto"/>
                <w:kern w:val="0"/>
                <w:sz w:val="24"/>
              </w:rPr>
              <w:t>2</w:t>
            </w:r>
          </w:p>
        </w:tc>
        <w:tc>
          <w:tcPr>
            <w:tcW w:w="1037" w:type="pct"/>
            <w:tcBorders>
              <w:top w:val="single" w:color="auto" w:sz="4" w:space="0"/>
              <w:left w:val="single" w:color="auto" w:sz="4" w:space="0"/>
              <w:bottom w:val="single" w:color="auto" w:sz="4" w:space="0"/>
              <w:right w:val="single" w:color="auto" w:sz="4" w:space="0"/>
            </w:tcBorders>
            <w:vAlign w:val="center"/>
          </w:tcPr>
          <w:p w14:paraId="31BB3638">
            <w:pPr>
              <w:widowControl/>
              <w:jc w:val="left"/>
              <w:rPr>
                <w:rFonts w:ascii="宋体" w:hAnsi="宋体" w:cs="宋体"/>
                <w:color w:val="auto"/>
                <w:kern w:val="0"/>
                <w:sz w:val="24"/>
              </w:rPr>
            </w:pPr>
          </w:p>
        </w:tc>
        <w:tc>
          <w:tcPr>
            <w:tcW w:w="452" w:type="pct"/>
            <w:tcBorders>
              <w:top w:val="single" w:color="auto" w:sz="4" w:space="0"/>
              <w:left w:val="single" w:color="auto" w:sz="4" w:space="0"/>
              <w:bottom w:val="single" w:color="auto" w:sz="4" w:space="0"/>
              <w:right w:val="single" w:color="auto" w:sz="4" w:space="0"/>
            </w:tcBorders>
            <w:vAlign w:val="center"/>
          </w:tcPr>
          <w:p w14:paraId="76E7340F">
            <w:pPr>
              <w:widowControl/>
              <w:jc w:val="left"/>
              <w:rPr>
                <w:rFonts w:ascii="宋体" w:hAnsi="宋体" w:cs="宋体"/>
                <w:color w:val="auto"/>
                <w:kern w:val="0"/>
                <w:sz w:val="24"/>
              </w:rPr>
            </w:pPr>
          </w:p>
        </w:tc>
        <w:tc>
          <w:tcPr>
            <w:tcW w:w="452" w:type="pct"/>
            <w:tcBorders>
              <w:top w:val="single" w:color="auto" w:sz="4" w:space="0"/>
              <w:left w:val="single" w:color="auto" w:sz="4" w:space="0"/>
              <w:bottom w:val="single" w:color="auto" w:sz="4" w:space="0"/>
              <w:right w:val="single" w:color="auto" w:sz="4" w:space="0"/>
            </w:tcBorders>
          </w:tcPr>
          <w:p w14:paraId="726E8DE7">
            <w:pPr>
              <w:widowControl/>
              <w:jc w:val="center"/>
              <w:rPr>
                <w:rFonts w:ascii="宋体" w:hAnsi="宋体" w:cs="宋体"/>
                <w:color w:val="auto"/>
                <w:kern w:val="0"/>
                <w:sz w:val="24"/>
              </w:rPr>
            </w:pPr>
          </w:p>
        </w:tc>
        <w:tc>
          <w:tcPr>
            <w:tcW w:w="978" w:type="pct"/>
            <w:tcBorders>
              <w:top w:val="single" w:color="auto" w:sz="4" w:space="0"/>
              <w:left w:val="single" w:color="auto" w:sz="4" w:space="0"/>
              <w:bottom w:val="single" w:color="auto" w:sz="4" w:space="0"/>
              <w:right w:val="single" w:color="auto" w:sz="4" w:space="0"/>
            </w:tcBorders>
          </w:tcPr>
          <w:p w14:paraId="60BAC985">
            <w:pPr>
              <w:widowControl/>
              <w:jc w:val="center"/>
              <w:rPr>
                <w:rFonts w:ascii="宋体" w:hAnsi="宋体" w:cs="宋体"/>
                <w:color w:val="auto"/>
                <w:kern w:val="0"/>
                <w:sz w:val="24"/>
              </w:rPr>
            </w:pPr>
          </w:p>
        </w:tc>
        <w:tc>
          <w:tcPr>
            <w:tcW w:w="511" w:type="pct"/>
            <w:tcBorders>
              <w:top w:val="single" w:color="auto" w:sz="4" w:space="0"/>
              <w:left w:val="single" w:color="auto" w:sz="4" w:space="0"/>
              <w:bottom w:val="single" w:color="auto" w:sz="4" w:space="0"/>
              <w:right w:val="single" w:color="auto" w:sz="4" w:space="0"/>
            </w:tcBorders>
            <w:vAlign w:val="center"/>
          </w:tcPr>
          <w:p w14:paraId="0826A2C1">
            <w:pPr>
              <w:widowControl/>
              <w:jc w:val="center"/>
              <w:rPr>
                <w:rFonts w:ascii="宋体" w:hAnsi="宋体" w:cs="宋体"/>
                <w:color w:val="auto"/>
                <w:kern w:val="0"/>
                <w:sz w:val="24"/>
              </w:rPr>
            </w:pPr>
          </w:p>
        </w:tc>
        <w:tc>
          <w:tcPr>
            <w:tcW w:w="511" w:type="pct"/>
            <w:tcBorders>
              <w:top w:val="single" w:color="auto" w:sz="4" w:space="0"/>
              <w:left w:val="single" w:color="auto" w:sz="4" w:space="0"/>
              <w:bottom w:val="single" w:color="auto" w:sz="4" w:space="0"/>
              <w:right w:val="single" w:color="auto" w:sz="4" w:space="0"/>
            </w:tcBorders>
            <w:vAlign w:val="center"/>
          </w:tcPr>
          <w:p w14:paraId="6E2B8FE5">
            <w:pPr>
              <w:widowControl/>
              <w:jc w:val="center"/>
              <w:rPr>
                <w:rFonts w:ascii="宋体" w:hAnsi="宋体" w:cs="宋体"/>
                <w:color w:val="auto"/>
                <w:kern w:val="0"/>
                <w:sz w:val="24"/>
              </w:rPr>
            </w:pPr>
          </w:p>
        </w:tc>
        <w:tc>
          <w:tcPr>
            <w:tcW w:w="412" w:type="pct"/>
            <w:tcBorders>
              <w:top w:val="single" w:color="auto" w:sz="4" w:space="0"/>
              <w:left w:val="single" w:color="auto" w:sz="4" w:space="0"/>
              <w:bottom w:val="single" w:color="auto" w:sz="4" w:space="0"/>
              <w:right w:val="single" w:color="auto" w:sz="4" w:space="0"/>
            </w:tcBorders>
            <w:vAlign w:val="center"/>
          </w:tcPr>
          <w:p w14:paraId="5A0C25A5">
            <w:pPr>
              <w:widowControl/>
              <w:jc w:val="left"/>
              <w:rPr>
                <w:rFonts w:ascii="宋体" w:hAnsi="宋体" w:cs="宋体"/>
                <w:color w:val="auto"/>
                <w:kern w:val="0"/>
                <w:sz w:val="24"/>
              </w:rPr>
            </w:pPr>
          </w:p>
        </w:tc>
        <w:tc>
          <w:tcPr>
            <w:tcW w:w="274" w:type="pct"/>
            <w:tcBorders>
              <w:top w:val="single" w:color="auto" w:sz="4" w:space="0"/>
              <w:left w:val="single" w:color="auto" w:sz="4" w:space="0"/>
              <w:bottom w:val="single" w:color="auto" w:sz="4" w:space="0"/>
              <w:right w:val="single" w:color="auto" w:sz="4" w:space="0"/>
            </w:tcBorders>
            <w:vAlign w:val="center"/>
          </w:tcPr>
          <w:p w14:paraId="5EE8978E">
            <w:pPr>
              <w:widowControl/>
              <w:jc w:val="left"/>
              <w:rPr>
                <w:rFonts w:ascii="宋体" w:hAnsi="宋体" w:cs="宋体"/>
                <w:color w:val="auto"/>
                <w:kern w:val="0"/>
                <w:sz w:val="24"/>
              </w:rPr>
            </w:pPr>
          </w:p>
        </w:tc>
      </w:tr>
      <w:tr w14:paraId="43894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371" w:type="pct"/>
            <w:tcBorders>
              <w:top w:val="single" w:color="auto" w:sz="4" w:space="0"/>
              <w:left w:val="single" w:color="auto" w:sz="4" w:space="0"/>
              <w:bottom w:val="single" w:color="auto" w:sz="4" w:space="0"/>
              <w:right w:val="single" w:color="auto" w:sz="4" w:space="0"/>
            </w:tcBorders>
            <w:vAlign w:val="center"/>
          </w:tcPr>
          <w:p w14:paraId="2943782C">
            <w:pPr>
              <w:widowControl/>
              <w:jc w:val="center"/>
              <w:rPr>
                <w:rFonts w:ascii="宋体" w:hAnsi="宋体" w:cs="宋体"/>
                <w:color w:val="auto"/>
                <w:kern w:val="0"/>
                <w:sz w:val="24"/>
              </w:rPr>
            </w:pPr>
            <w:r>
              <w:rPr>
                <w:rFonts w:hint="eastAsia" w:ascii="宋体" w:hAnsi="宋体" w:cs="宋体"/>
                <w:color w:val="auto"/>
                <w:kern w:val="0"/>
                <w:sz w:val="24"/>
              </w:rPr>
              <w:t>3</w:t>
            </w:r>
          </w:p>
        </w:tc>
        <w:tc>
          <w:tcPr>
            <w:tcW w:w="1037" w:type="pct"/>
            <w:tcBorders>
              <w:top w:val="single" w:color="auto" w:sz="4" w:space="0"/>
              <w:left w:val="single" w:color="auto" w:sz="4" w:space="0"/>
              <w:bottom w:val="single" w:color="auto" w:sz="4" w:space="0"/>
              <w:right w:val="single" w:color="auto" w:sz="4" w:space="0"/>
            </w:tcBorders>
            <w:vAlign w:val="center"/>
          </w:tcPr>
          <w:p w14:paraId="6D20EC5B">
            <w:pPr>
              <w:widowControl/>
              <w:jc w:val="left"/>
              <w:rPr>
                <w:rFonts w:ascii="宋体" w:hAnsi="宋体" w:cs="宋体"/>
                <w:color w:val="auto"/>
                <w:kern w:val="0"/>
                <w:sz w:val="24"/>
              </w:rPr>
            </w:pPr>
          </w:p>
        </w:tc>
        <w:tc>
          <w:tcPr>
            <w:tcW w:w="452" w:type="pct"/>
            <w:tcBorders>
              <w:top w:val="single" w:color="auto" w:sz="4" w:space="0"/>
              <w:left w:val="single" w:color="auto" w:sz="4" w:space="0"/>
              <w:bottom w:val="single" w:color="auto" w:sz="4" w:space="0"/>
              <w:right w:val="single" w:color="auto" w:sz="4" w:space="0"/>
            </w:tcBorders>
            <w:vAlign w:val="center"/>
          </w:tcPr>
          <w:p w14:paraId="77266885">
            <w:pPr>
              <w:widowControl/>
              <w:jc w:val="left"/>
              <w:rPr>
                <w:rFonts w:ascii="宋体" w:hAnsi="宋体" w:cs="宋体"/>
                <w:color w:val="auto"/>
                <w:kern w:val="0"/>
                <w:sz w:val="24"/>
              </w:rPr>
            </w:pPr>
          </w:p>
        </w:tc>
        <w:tc>
          <w:tcPr>
            <w:tcW w:w="452" w:type="pct"/>
            <w:tcBorders>
              <w:top w:val="single" w:color="auto" w:sz="4" w:space="0"/>
              <w:left w:val="single" w:color="auto" w:sz="4" w:space="0"/>
              <w:bottom w:val="single" w:color="auto" w:sz="4" w:space="0"/>
              <w:right w:val="single" w:color="auto" w:sz="4" w:space="0"/>
            </w:tcBorders>
          </w:tcPr>
          <w:p w14:paraId="1E7EEE41">
            <w:pPr>
              <w:widowControl/>
              <w:jc w:val="center"/>
              <w:rPr>
                <w:rFonts w:ascii="宋体" w:hAnsi="宋体" w:cs="宋体"/>
                <w:color w:val="auto"/>
                <w:kern w:val="0"/>
                <w:sz w:val="24"/>
              </w:rPr>
            </w:pPr>
          </w:p>
        </w:tc>
        <w:tc>
          <w:tcPr>
            <w:tcW w:w="978" w:type="pct"/>
            <w:tcBorders>
              <w:top w:val="single" w:color="auto" w:sz="4" w:space="0"/>
              <w:left w:val="single" w:color="auto" w:sz="4" w:space="0"/>
              <w:bottom w:val="single" w:color="auto" w:sz="4" w:space="0"/>
              <w:right w:val="single" w:color="auto" w:sz="4" w:space="0"/>
            </w:tcBorders>
          </w:tcPr>
          <w:p w14:paraId="081DF83F">
            <w:pPr>
              <w:widowControl/>
              <w:jc w:val="center"/>
              <w:rPr>
                <w:rFonts w:ascii="宋体" w:hAnsi="宋体" w:cs="宋体"/>
                <w:color w:val="auto"/>
                <w:kern w:val="0"/>
                <w:sz w:val="24"/>
              </w:rPr>
            </w:pPr>
          </w:p>
        </w:tc>
        <w:tc>
          <w:tcPr>
            <w:tcW w:w="511" w:type="pct"/>
            <w:tcBorders>
              <w:top w:val="single" w:color="auto" w:sz="4" w:space="0"/>
              <w:left w:val="single" w:color="auto" w:sz="4" w:space="0"/>
              <w:bottom w:val="single" w:color="auto" w:sz="4" w:space="0"/>
              <w:right w:val="single" w:color="auto" w:sz="4" w:space="0"/>
            </w:tcBorders>
            <w:vAlign w:val="center"/>
          </w:tcPr>
          <w:p w14:paraId="4E042451">
            <w:pPr>
              <w:widowControl/>
              <w:jc w:val="center"/>
              <w:rPr>
                <w:rFonts w:ascii="宋体" w:hAnsi="宋体" w:cs="宋体"/>
                <w:color w:val="auto"/>
                <w:kern w:val="0"/>
                <w:sz w:val="24"/>
              </w:rPr>
            </w:pPr>
          </w:p>
        </w:tc>
        <w:tc>
          <w:tcPr>
            <w:tcW w:w="511" w:type="pct"/>
            <w:tcBorders>
              <w:top w:val="single" w:color="auto" w:sz="4" w:space="0"/>
              <w:left w:val="single" w:color="auto" w:sz="4" w:space="0"/>
              <w:bottom w:val="single" w:color="auto" w:sz="4" w:space="0"/>
              <w:right w:val="single" w:color="auto" w:sz="4" w:space="0"/>
            </w:tcBorders>
            <w:vAlign w:val="center"/>
          </w:tcPr>
          <w:p w14:paraId="7711AA54">
            <w:pPr>
              <w:widowControl/>
              <w:jc w:val="center"/>
              <w:rPr>
                <w:rFonts w:ascii="宋体" w:hAnsi="宋体" w:cs="宋体"/>
                <w:color w:val="auto"/>
                <w:kern w:val="0"/>
                <w:sz w:val="24"/>
              </w:rPr>
            </w:pPr>
          </w:p>
        </w:tc>
        <w:tc>
          <w:tcPr>
            <w:tcW w:w="412" w:type="pct"/>
            <w:tcBorders>
              <w:top w:val="single" w:color="auto" w:sz="4" w:space="0"/>
              <w:left w:val="single" w:color="auto" w:sz="4" w:space="0"/>
              <w:bottom w:val="single" w:color="auto" w:sz="4" w:space="0"/>
              <w:right w:val="single" w:color="auto" w:sz="4" w:space="0"/>
            </w:tcBorders>
            <w:vAlign w:val="center"/>
          </w:tcPr>
          <w:p w14:paraId="135811D8">
            <w:pPr>
              <w:widowControl/>
              <w:jc w:val="left"/>
              <w:rPr>
                <w:rFonts w:ascii="宋体" w:hAnsi="宋体" w:cs="宋体"/>
                <w:color w:val="auto"/>
                <w:kern w:val="0"/>
                <w:sz w:val="24"/>
              </w:rPr>
            </w:pPr>
          </w:p>
        </w:tc>
        <w:tc>
          <w:tcPr>
            <w:tcW w:w="274" w:type="pct"/>
            <w:tcBorders>
              <w:top w:val="single" w:color="auto" w:sz="4" w:space="0"/>
              <w:left w:val="single" w:color="auto" w:sz="4" w:space="0"/>
              <w:bottom w:val="single" w:color="auto" w:sz="4" w:space="0"/>
              <w:right w:val="single" w:color="auto" w:sz="4" w:space="0"/>
            </w:tcBorders>
            <w:vAlign w:val="center"/>
          </w:tcPr>
          <w:p w14:paraId="0B500D40">
            <w:pPr>
              <w:widowControl/>
              <w:jc w:val="left"/>
              <w:rPr>
                <w:rFonts w:ascii="宋体" w:hAnsi="宋体" w:cs="宋体"/>
                <w:color w:val="auto"/>
                <w:kern w:val="0"/>
                <w:sz w:val="24"/>
              </w:rPr>
            </w:pPr>
          </w:p>
        </w:tc>
      </w:tr>
      <w:tr w14:paraId="7BFD5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371" w:type="pct"/>
            <w:tcBorders>
              <w:top w:val="single" w:color="auto" w:sz="4" w:space="0"/>
              <w:left w:val="single" w:color="auto" w:sz="4" w:space="0"/>
              <w:bottom w:val="single" w:color="auto" w:sz="4" w:space="0"/>
              <w:right w:val="single" w:color="auto" w:sz="4" w:space="0"/>
            </w:tcBorders>
            <w:vAlign w:val="center"/>
          </w:tcPr>
          <w:p w14:paraId="542A3D5A">
            <w:pPr>
              <w:widowControl/>
              <w:jc w:val="center"/>
              <w:rPr>
                <w:rFonts w:ascii="宋体" w:hAnsi="宋体" w:cs="宋体"/>
                <w:color w:val="auto"/>
                <w:kern w:val="0"/>
                <w:sz w:val="24"/>
              </w:rPr>
            </w:pPr>
            <w:r>
              <w:rPr>
                <w:rFonts w:ascii="宋体" w:hAnsi="宋体" w:cs="宋体"/>
                <w:color w:val="auto"/>
                <w:kern w:val="0"/>
                <w:sz w:val="24"/>
              </w:rPr>
              <w:t>…</w:t>
            </w:r>
          </w:p>
        </w:tc>
        <w:tc>
          <w:tcPr>
            <w:tcW w:w="1037" w:type="pct"/>
            <w:tcBorders>
              <w:top w:val="single" w:color="auto" w:sz="4" w:space="0"/>
              <w:left w:val="single" w:color="auto" w:sz="4" w:space="0"/>
              <w:bottom w:val="single" w:color="auto" w:sz="4" w:space="0"/>
              <w:right w:val="single" w:color="auto" w:sz="4" w:space="0"/>
            </w:tcBorders>
            <w:vAlign w:val="center"/>
          </w:tcPr>
          <w:p w14:paraId="51D076AB">
            <w:pPr>
              <w:widowControl/>
              <w:jc w:val="left"/>
              <w:rPr>
                <w:rFonts w:ascii="宋体" w:hAnsi="宋体" w:cs="宋体"/>
                <w:color w:val="auto"/>
                <w:kern w:val="0"/>
                <w:sz w:val="24"/>
              </w:rPr>
            </w:pPr>
          </w:p>
        </w:tc>
        <w:tc>
          <w:tcPr>
            <w:tcW w:w="452" w:type="pct"/>
            <w:tcBorders>
              <w:top w:val="single" w:color="auto" w:sz="4" w:space="0"/>
              <w:left w:val="single" w:color="auto" w:sz="4" w:space="0"/>
              <w:bottom w:val="single" w:color="auto" w:sz="4" w:space="0"/>
              <w:right w:val="single" w:color="auto" w:sz="4" w:space="0"/>
            </w:tcBorders>
            <w:vAlign w:val="center"/>
          </w:tcPr>
          <w:p w14:paraId="11D9BB68">
            <w:pPr>
              <w:widowControl/>
              <w:jc w:val="left"/>
              <w:rPr>
                <w:rFonts w:ascii="宋体" w:hAnsi="宋体" w:cs="宋体"/>
                <w:color w:val="auto"/>
                <w:kern w:val="0"/>
                <w:sz w:val="24"/>
              </w:rPr>
            </w:pPr>
          </w:p>
        </w:tc>
        <w:tc>
          <w:tcPr>
            <w:tcW w:w="452" w:type="pct"/>
            <w:tcBorders>
              <w:top w:val="single" w:color="auto" w:sz="4" w:space="0"/>
              <w:left w:val="single" w:color="auto" w:sz="4" w:space="0"/>
              <w:bottom w:val="single" w:color="auto" w:sz="4" w:space="0"/>
              <w:right w:val="single" w:color="auto" w:sz="4" w:space="0"/>
            </w:tcBorders>
          </w:tcPr>
          <w:p w14:paraId="3B2A809A">
            <w:pPr>
              <w:widowControl/>
              <w:jc w:val="center"/>
              <w:rPr>
                <w:rFonts w:ascii="宋体" w:hAnsi="宋体" w:cs="宋体"/>
                <w:color w:val="auto"/>
                <w:kern w:val="0"/>
                <w:sz w:val="24"/>
              </w:rPr>
            </w:pPr>
          </w:p>
        </w:tc>
        <w:tc>
          <w:tcPr>
            <w:tcW w:w="978" w:type="pct"/>
            <w:tcBorders>
              <w:top w:val="single" w:color="auto" w:sz="4" w:space="0"/>
              <w:left w:val="single" w:color="auto" w:sz="4" w:space="0"/>
              <w:bottom w:val="single" w:color="auto" w:sz="4" w:space="0"/>
              <w:right w:val="single" w:color="auto" w:sz="4" w:space="0"/>
            </w:tcBorders>
          </w:tcPr>
          <w:p w14:paraId="66DD84E5">
            <w:pPr>
              <w:widowControl/>
              <w:jc w:val="center"/>
              <w:rPr>
                <w:rFonts w:ascii="宋体" w:hAnsi="宋体" w:cs="宋体"/>
                <w:color w:val="auto"/>
                <w:kern w:val="0"/>
                <w:sz w:val="24"/>
              </w:rPr>
            </w:pPr>
          </w:p>
        </w:tc>
        <w:tc>
          <w:tcPr>
            <w:tcW w:w="511" w:type="pct"/>
            <w:tcBorders>
              <w:top w:val="single" w:color="auto" w:sz="4" w:space="0"/>
              <w:left w:val="single" w:color="auto" w:sz="4" w:space="0"/>
              <w:bottom w:val="single" w:color="auto" w:sz="4" w:space="0"/>
              <w:right w:val="single" w:color="auto" w:sz="4" w:space="0"/>
            </w:tcBorders>
            <w:vAlign w:val="center"/>
          </w:tcPr>
          <w:p w14:paraId="16E18CA7">
            <w:pPr>
              <w:widowControl/>
              <w:jc w:val="center"/>
              <w:rPr>
                <w:rFonts w:ascii="宋体" w:hAnsi="宋体" w:cs="宋体"/>
                <w:color w:val="auto"/>
                <w:kern w:val="0"/>
                <w:sz w:val="24"/>
              </w:rPr>
            </w:pPr>
          </w:p>
        </w:tc>
        <w:tc>
          <w:tcPr>
            <w:tcW w:w="511" w:type="pct"/>
            <w:tcBorders>
              <w:top w:val="single" w:color="auto" w:sz="4" w:space="0"/>
              <w:left w:val="single" w:color="auto" w:sz="4" w:space="0"/>
              <w:bottom w:val="single" w:color="auto" w:sz="4" w:space="0"/>
              <w:right w:val="single" w:color="auto" w:sz="4" w:space="0"/>
            </w:tcBorders>
            <w:vAlign w:val="center"/>
          </w:tcPr>
          <w:p w14:paraId="6F200A66">
            <w:pPr>
              <w:widowControl/>
              <w:jc w:val="center"/>
              <w:rPr>
                <w:rFonts w:ascii="宋体" w:hAnsi="宋体" w:cs="宋体"/>
                <w:color w:val="auto"/>
                <w:kern w:val="0"/>
                <w:sz w:val="24"/>
              </w:rPr>
            </w:pPr>
          </w:p>
        </w:tc>
        <w:tc>
          <w:tcPr>
            <w:tcW w:w="412" w:type="pct"/>
            <w:tcBorders>
              <w:top w:val="single" w:color="auto" w:sz="4" w:space="0"/>
              <w:left w:val="single" w:color="auto" w:sz="4" w:space="0"/>
              <w:bottom w:val="single" w:color="auto" w:sz="4" w:space="0"/>
              <w:right w:val="single" w:color="auto" w:sz="4" w:space="0"/>
            </w:tcBorders>
            <w:vAlign w:val="center"/>
          </w:tcPr>
          <w:p w14:paraId="3DB528DC">
            <w:pPr>
              <w:widowControl/>
              <w:jc w:val="left"/>
              <w:rPr>
                <w:rFonts w:ascii="宋体" w:hAnsi="宋体" w:cs="宋体"/>
                <w:color w:val="auto"/>
                <w:kern w:val="0"/>
                <w:sz w:val="24"/>
              </w:rPr>
            </w:pPr>
          </w:p>
        </w:tc>
        <w:tc>
          <w:tcPr>
            <w:tcW w:w="274" w:type="pct"/>
            <w:tcBorders>
              <w:top w:val="single" w:color="auto" w:sz="4" w:space="0"/>
              <w:left w:val="single" w:color="auto" w:sz="4" w:space="0"/>
              <w:bottom w:val="single" w:color="auto" w:sz="4" w:space="0"/>
              <w:right w:val="single" w:color="auto" w:sz="4" w:space="0"/>
            </w:tcBorders>
            <w:vAlign w:val="center"/>
          </w:tcPr>
          <w:p w14:paraId="7DE77C64">
            <w:pPr>
              <w:widowControl/>
              <w:jc w:val="left"/>
              <w:rPr>
                <w:rFonts w:ascii="宋体" w:hAnsi="宋体" w:cs="宋体"/>
                <w:color w:val="auto"/>
                <w:kern w:val="0"/>
                <w:sz w:val="24"/>
              </w:rPr>
            </w:pPr>
          </w:p>
        </w:tc>
      </w:tr>
      <w:tr w14:paraId="39EBE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1408" w:type="pct"/>
            <w:gridSpan w:val="2"/>
            <w:tcBorders>
              <w:top w:val="single" w:color="auto" w:sz="4" w:space="0"/>
              <w:left w:val="single" w:color="auto" w:sz="4" w:space="0"/>
              <w:bottom w:val="single" w:color="auto" w:sz="4" w:space="0"/>
              <w:right w:val="single" w:color="auto" w:sz="4" w:space="0"/>
            </w:tcBorders>
            <w:vAlign w:val="center"/>
          </w:tcPr>
          <w:p w14:paraId="094CFFA3">
            <w:pPr>
              <w:widowControl/>
              <w:jc w:val="left"/>
              <w:rPr>
                <w:rFonts w:ascii="宋体" w:hAnsi="宋体" w:cs="宋体"/>
                <w:color w:val="auto"/>
                <w:kern w:val="0"/>
                <w:sz w:val="24"/>
              </w:rPr>
            </w:pPr>
            <w:r>
              <w:rPr>
                <w:rFonts w:hint="eastAsia" w:ascii="宋体" w:hAnsi="宋体" w:cs="宋体"/>
                <w:color w:val="auto"/>
                <w:kern w:val="0"/>
                <w:sz w:val="24"/>
              </w:rPr>
              <w:t>合计报价：</w:t>
            </w:r>
          </w:p>
        </w:tc>
        <w:tc>
          <w:tcPr>
            <w:tcW w:w="3592" w:type="pct"/>
            <w:gridSpan w:val="7"/>
            <w:tcBorders>
              <w:top w:val="single" w:color="auto" w:sz="4" w:space="0"/>
              <w:left w:val="single" w:color="auto" w:sz="4" w:space="0"/>
              <w:bottom w:val="single" w:color="auto" w:sz="4" w:space="0"/>
              <w:right w:val="single" w:color="auto" w:sz="4" w:space="0"/>
            </w:tcBorders>
            <w:vAlign w:val="center"/>
          </w:tcPr>
          <w:p w14:paraId="73F6BE5F">
            <w:pPr>
              <w:widowControl/>
              <w:jc w:val="left"/>
              <w:rPr>
                <w:rFonts w:ascii="宋体" w:hAnsi="宋体" w:cs="宋体"/>
                <w:color w:val="auto"/>
                <w:kern w:val="0"/>
                <w:sz w:val="24"/>
              </w:rPr>
            </w:pPr>
          </w:p>
        </w:tc>
      </w:tr>
    </w:tbl>
    <w:p w14:paraId="1E9B36BB">
      <w:pPr>
        <w:spacing w:line="440" w:lineRule="atLeast"/>
        <w:rPr>
          <w:rFonts w:ascii="仿宋_GB2312"/>
          <w:bCs/>
          <w:color w:val="auto"/>
          <w:sz w:val="24"/>
          <w:szCs w:val="20"/>
        </w:rPr>
      </w:pPr>
      <w:r>
        <w:rPr>
          <w:rFonts w:hint="eastAsia" w:ascii="仿宋_GB2312"/>
          <w:bCs/>
          <w:color w:val="auto"/>
          <w:sz w:val="24"/>
          <w:szCs w:val="20"/>
        </w:rPr>
        <w:t>注</w:t>
      </w:r>
      <w:r>
        <w:rPr>
          <w:rFonts w:ascii="仿宋_GB2312"/>
          <w:bCs/>
          <w:color w:val="auto"/>
          <w:sz w:val="24"/>
          <w:szCs w:val="20"/>
        </w:rPr>
        <w:t>：</w:t>
      </w:r>
      <w:r>
        <w:rPr>
          <w:rFonts w:hint="eastAsia" w:ascii="仿宋_GB2312"/>
          <w:bCs/>
          <w:color w:val="auto"/>
          <w:sz w:val="24"/>
          <w:szCs w:val="20"/>
        </w:rPr>
        <w:t>须在</w:t>
      </w:r>
      <w:r>
        <w:rPr>
          <w:rFonts w:ascii="仿宋_GB2312"/>
          <w:bCs/>
          <w:color w:val="auto"/>
          <w:sz w:val="24"/>
          <w:szCs w:val="20"/>
        </w:rPr>
        <w:t>“</w:t>
      </w:r>
      <w:r>
        <w:rPr>
          <w:rFonts w:hint="eastAsia" w:ascii="仿宋_GB2312"/>
          <w:bCs/>
          <w:color w:val="auto"/>
          <w:sz w:val="24"/>
          <w:szCs w:val="20"/>
        </w:rPr>
        <w:t>政采云</w:t>
      </w:r>
      <w:r>
        <w:rPr>
          <w:rFonts w:ascii="仿宋_GB2312"/>
          <w:bCs/>
          <w:color w:val="auto"/>
          <w:sz w:val="24"/>
          <w:szCs w:val="20"/>
        </w:rPr>
        <w:t>”</w:t>
      </w:r>
      <w:r>
        <w:rPr>
          <w:rFonts w:hint="eastAsia" w:ascii="仿宋_GB2312"/>
          <w:bCs/>
          <w:color w:val="auto"/>
          <w:sz w:val="24"/>
          <w:szCs w:val="20"/>
        </w:rPr>
        <w:t>最终</w:t>
      </w:r>
      <w:r>
        <w:rPr>
          <w:rFonts w:ascii="仿宋_GB2312"/>
          <w:bCs/>
          <w:color w:val="auto"/>
          <w:sz w:val="24"/>
          <w:szCs w:val="20"/>
        </w:rPr>
        <w:t>报价</w:t>
      </w:r>
      <w:r>
        <w:rPr>
          <w:rFonts w:hint="eastAsia" w:ascii="仿宋_GB2312"/>
          <w:bCs/>
          <w:color w:val="auto"/>
          <w:sz w:val="24"/>
          <w:szCs w:val="20"/>
        </w:rPr>
        <w:t>阶段</w:t>
      </w:r>
      <w:r>
        <w:rPr>
          <w:rFonts w:ascii="仿宋_GB2312"/>
          <w:bCs/>
          <w:color w:val="auto"/>
          <w:sz w:val="24"/>
          <w:szCs w:val="20"/>
        </w:rPr>
        <w:t>上传</w:t>
      </w:r>
      <w:r>
        <w:rPr>
          <w:rFonts w:hint="eastAsia" w:ascii="仿宋_GB2312"/>
          <w:bCs/>
          <w:color w:val="auto"/>
          <w:sz w:val="24"/>
          <w:szCs w:val="20"/>
        </w:rPr>
        <w:t>《最终报价</w:t>
      </w:r>
      <w:r>
        <w:rPr>
          <w:rFonts w:ascii="仿宋_GB2312"/>
          <w:bCs/>
          <w:color w:val="auto"/>
          <w:sz w:val="24"/>
          <w:szCs w:val="20"/>
        </w:rPr>
        <w:t>明细表</w:t>
      </w:r>
      <w:r>
        <w:rPr>
          <w:rFonts w:hint="eastAsia" w:ascii="仿宋_GB2312"/>
          <w:bCs/>
          <w:color w:val="auto"/>
          <w:sz w:val="24"/>
          <w:szCs w:val="20"/>
        </w:rPr>
        <w:t>》</w:t>
      </w:r>
      <w:r>
        <w:rPr>
          <w:rFonts w:ascii="仿宋_GB2312"/>
          <w:bCs/>
          <w:color w:val="auto"/>
          <w:sz w:val="24"/>
          <w:szCs w:val="20"/>
        </w:rPr>
        <w:t>。</w:t>
      </w:r>
    </w:p>
    <w:p w14:paraId="3F7ED21A">
      <w:pPr>
        <w:spacing w:line="440" w:lineRule="atLeast"/>
        <w:rPr>
          <w:rFonts w:ascii="仿宋_GB2312"/>
          <w:bCs/>
          <w:color w:val="auto"/>
          <w:sz w:val="24"/>
          <w:szCs w:val="20"/>
        </w:rPr>
      </w:pPr>
      <w:r>
        <w:rPr>
          <w:rFonts w:hint="eastAsia" w:ascii="仿宋_GB2312"/>
          <w:bCs/>
          <w:color w:val="auto"/>
          <w:sz w:val="24"/>
          <w:szCs w:val="20"/>
        </w:rPr>
        <w:t>响应谈判供应商：（公章）</w:t>
      </w:r>
    </w:p>
    <w:p w14:paraId="3F237A74">
      <w:pPr>
        <w:spacing w:line="440" w:lineRule="atLeast"/>
        <w:rPr>
          <w:rFonts w:ascii="仿宋_GB2312"/>
          <w:bCs/>
          <w:color w:val="auto"/>
          <w:sz w:val="24"/>
          <w:szCs w:val="20"/>
        </w:rPr>
      </w:pPr>
    </w:p>
    <w:p w14:paraId="01CD2E04">
      <w:pPr>
        <w:spacing w:line="440" w:lineRule="atLeast"/>
        <w:rPr>
          <w:rFonts w:ascii="仿宋_GB2312"/>
          <w:bCs/>
          <w:color w:val="auto"/>
          <w:sz w:val="24"/>
          <w:szCs w:val="20"/>
        </w:rPr>
      </w:pPr>
      <w:r>
        <w:rPr>
          <w:rFonts w:hint="eastAsia" w:ascii="仿宋_GB2312"/>
          <w:bCs/>
          <w:color w:val="auto"/>
          <w:sz w:val="24"/>
          <w:szCs w:val="20"/>
        </w:rPr>
        <w:t>法定代表人或被授权委托人：（签字或</w:t>
      </w:r>
      <w:r>
        <w:rPr>
          <w:rFonts w:ascii="仿宋_GB2312"/>
          <w:bCs/>
          <w:color w:val="auto"/>
          <w:sz w:val="24"/>
          <w:szCs w:val="20"/>
        </w:rPr>
        <w:t>盖章</w:t>
      </w:r>
      <w:r>
        <w:rPr>
          <w:rFonts w:hint="eastAsia" w:ascii="仿宋_GB2312"/>
          <w:bCs/>
          <w:color w:val="auto"/>
          <w:sz w:val="24"/>
          <w:szCs w:val="20"/>
        </w:rPr>
        <w:t xml:space="preserve">） </w:t>
      </w:r>
    </w:p>
    <w:p w14:paraId="1231C9B4">
      <w:pPr>
        <w:spacing w:line="440" w:lineRule="atLeast"/>
        <w:rPr>
          <w:rFonts w:hint="eastAsia" w:ascii="仿宋_GB2312"/>
          <w:bCs/>
          <w:color w:val="auto"/>
          <w:sz w:val="24"/>
          <w:szCs w:val="20"/>
        </w:rPr>
      </w:pPr>
      <w:r>
        <w:rPr>
          <w:rFonts w:hint="eastAsia" w:ascii="仿宋_GB2312"/>
          <w:bCs/>
          <w:color w:val="auto"/>
          <w:sz w:val="24"/>
          <w:szCs w:val="20"/>
        </w:rPr>
        <w:t>日期：   年   月    日</w:t>
      </w:r>
    </w:p>
    <w:p w14:paraId="11DA6091">
      <w:pPr>
        <w:widowControl/>
        <w:jc w:val="left"/>
        <w:rPr>
          <w:rFonts w:ascii="宋体" w:hAnsi="宋体"/>
          <w:b/>
          <w:color w:val="auto"/>
          <w:sz w:val="30"/>
          <w:szCs w:val="30"/>
        </w:rPr>
      </w:pPr>
    </w:p>
    <w:sectPr>
      <w:headerReference r:id="rId31" w:type="first"/>
      <w:footerReference r:id="rId32" w:type="default"/>
      <w:headerReference r:id="rId30" w:type="even"/>
      <w:pgSz w:w="11907" w:h="16840"/>
      <w:pgMar w:top="1440" w:right="1310" w:bottom="1440" w:left="1310" w:header="1021" w:footer="1021" w:gutter="170"/>
      <w:pgNumType w:fmt="decimal"/>
      <w:cols w:space="720" w:num="1"/>
      <w:docGrid w:linePitch="27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Arial Unicode MS">
    <w:panose1 w:val="020B0604020202020204"/>
    <w:charset w:val="86"/>
    <w:family w:val="roman"/>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27F25F">
    <w:pPr>
      <w:pStyle w:val="27"/>
      <w:framePr w:wrap="around" w:vAnchor="text" w:hAnchor="margin" w:xAlign="center" w:y="1"/>
      <w:rPr>
        <w:rStyle w:val="46"/>
      </w:rPr>
    </w:pPr>
    <w:r>
      <w:fldChar w:fldCharType="begin"/>
    </w:r>
    <w:r>
      <w:rPr>
        <w:rStyle w:val="46"/>
      </w:rPr>
      <w:instrText xml:space="preserve">PAGE  </w:instrText>
    </w:r>
    <w:r>
      <w:fldChar w:fldCharType="end"/>
    </w:r>
  </w:p>
  <w:p w14:paraId="79B4FF90">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2DF13">
    <w:pPr>
      <w:pStyle w:val="27"/>
    </w:pPr>
    <w:r>
      <w:rPr>
        <w:sz w:val="18"/>
      </w:rPr>
      <w:pict>
        <v:shape id="_x0000_s4122" o:spid="_x0000_s4122" o:spt="202" type="#_x0000_t202" style="position:absolute;left:0pt;margin-top:0pt;height:144pt;width:144pt;mso-position-horizontal:center;mso-position-horizontal-relative:margin;mso-wrap-style:none;z-index:251672576;mso-width-relative:page;mso-height-relative:page;" filled="f" stroked="f" coordsize="21600,21600">
          <v:path/>
          <v:fill on="f" focussize="0,0"/>
          <v:stroke on="f"/>
          <v:imagedata o:title=""/>
          <o:lock v:ext="edit" aspectratio="f"/>
          <v:textbox inset="0mm,0mm,0mm,0mm" style="mso-fit-shape-to-text:t;">
            <w:txbxContent>
              <w:p w14:paraId="5746B456">
                <w:pPr>
                  <w:pStyle w:val="27"/>
                </w:pPr>
                <w:r>
                  <w:fldChar w:fldCharType="begin"/>
                </w:r>
                <w:r>
                  <w:instrText xml:space="preserve"> PAGE  \* MERGEFORMAT </w:instrText>
                </w:r>
                <w:r>
                  <w:fldChar w:fldCharType="separate"/>
                </w:r>
                <w:r>
                  <w:t>- 1 -</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E1283">
    <w:pPr>
      <w:pStyle w:val="27"/>
    </w:pPr>
    <w:r>
      <w:rPr>
        <w:sz w:val="18"/>
      </w:rPr>
      <w:pict>
        <v:shape id="_x0000_s4123" o:spid="_x0000_s4123" o:spt="202" type="#_x0000_t202" style="position:absolute;left:0pt;margin-top:0pt;height:144pt;width:144pt;mso-position-horizontal:center;mso-position-horizontal-relative:margin;mso-wrap-style:none;z-index:251673600;mso-width-relative:page;mso-height-relative:page;" filled="f" stroked="f" coordsize="21600,21600">
          <v:path/>
          <v:fill on="f" focussize="0,0"/>
          <v:stroke on="f"/>
          <v:imagedata o:title=""/>
          <o:lock v:ext="edit" aspectratio="f"/>
          <v:textbox inset="0mm,0mm,0mm,0mm" style="mso-fit-shape-to-text:t;">
            <w:txbxContent>
              <w:p w14:paraId="665E7CD2">
                <w:pPr>
                  <w:pStyle w:val="27"/>
                </w:pPr>
                <w:r>
                  <w:fldChar w:fldCharType="begin"/>
                </w:r>
                <w:r>
                  <w:instrText xml:space="preserve"> PAGE  \* MERGEFORMAT </w:instrText>
                </w:r>
                <w:r>
                  <w:fldChar w:fldCharType="separate"/>
                </w:r>
                <w:r>
                  <w:t>- 1 -</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64A91">
    <w:pPr>
      <w:pStyle w:val="27"/>
    </w:pPr>
    <w:r>
      <w:rPr>
        <w:sz w:val="18"/>
      </w:rPr>
      <w:pict>
        <v:shape id="_x0000_s4124" o:spid="_x0000_s4124" o:spt="202" type="#_x0000_t202" style="position:absolute;left:0pt;margin-top:0pt;height:144pt;width:144pt;mso-position-horizontal:center;mso-position-horizontal-relative:margin;mso-wrap-style:none;z-index:251674624;mso-width-relative:page;mso-height-relative:page;" filled="f" stroked="f" coordsize="21600,21600">
          <v:path/>
          <v:fill on="f" focussize="0,0"/>
          <v:stroke on="f"/>
          <v:imagedata o:title=""/>
          <o:lock v:ext="edit" aspectratio="f"/>
          <v:textbox inset="0mm,0mm,0mm,0mm" style="mso-fit-shape-to-text:t;">
            <w:txbxContent>
              <w:p w14:paraId="3A60FE3C">
                <w:pPr>
                  <w:pStyle w:val="27"/>
                </w:pPr>
                <w:r>
                  <w:fldChar w:fldCharType="begin"/>
                </w:r>
                <w:r>
                  <w:instrText xml:space="preserve"> PAGE  \* MERGEFORMAT </w:instrText>
                </w:r>
                <w:r>
                  <w:fldChar w:fldCharType="separate"/>
                </w:r>
                <w:r>
                  <w:t>- 2 -</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ED39F">
    <w:pPr>
      <w:pStyle w:val="27"/>
      <w:jc w:val="center"/>
      <w:rPr>
        <w:szCs w:val="18"/>
      </w:rPr>
    </w:pPr>
    <w:r>
      <w:rPr>
        <w:sz w:val="18"/>
      </w:rPr>
      <w:pict>
        <v:shape id="_x0000_s4125" o:spid="_x0000_s4125" o:spt="202" type="#_x0000_t202" style="position:absolute;left:0pt;margin-top:0pt;height:144pt;width:144pt;mso-position-horizontal:center;mso-position-horizontal-relative:margin;mso-wrap-style:none;z-index:251675648;mso-width-relative:page;mso-height-relative:page;" filled="f" stroked="f" coordsize="21600,21600">
          <v:path/>
          <v:fill on="f" focussize="0,0"/>
          <v:stroke on="f"/>
          <v:imagedata o:title=""/>
          <o:lock v:ext="edit" aspectratio="f"/>
          <v:textbox inset="0mm,0mm,0mm,0mm" style="mso-fit-shape-to-text:t;">
            <w:txbxContent>
              <w:p w14:paraId="5D9FB94A">
                <w:pPr>
                  <w:pStyle w:val="27"/>
                </w:pPr>
                <w:r>
                  <w:fldChar w:fldCharType="begin"/>
                </w:r>
                <w:r>
                  <w:instrText xml:space="preserve"> PAGE  \* MERGEFORMAT </w:instrText>
                </w:r>
                <w:r>
                  <w:fldChar w:fldCharType="separate"/>
                </w:r>
                <w:r>
                  <w:t>- 30 -</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A07F6">
    <w:pPr>
      <w:pStyle w:val="27"/>
      <w:jc w:val="center"/>
      <w:rPr>
        <w:rFonts w:ascii="宋体" w:hAnsi="宋体"/>
        <w:b/>
        <w:szCs w:val="18"/>
      </w:rPr>
    </w:pPr>
    <w:r>
      <w:rPr>
        <w:sz w:val="18"/>
      </w:rPr>
      <w:pict>
        <v:shape id="_x0000_s4126" o:spid="_x0000_s4126" o:spt="202" type="#_x0000_t202" style="position:absolute;left:0pt;margin-top:0pt;height:144pt;width:144pt;mso-position-horizontal:center;mso-position-horizontal-relative:margin;mso-wrap-style:none;z-index:251676672;mso-width-relative:page;mso-height-relative:page;" filled="f" stroked="f" coordsize="21600,21600">
          <v:path/>
          <v:fill on="f" focussize="0,0"/>
          <v:stroke on="f"/>
          <v:imagedata o:title=""/>
          <o:lock v:ext="edit" aspectratio="f"/>
          <v:textbox inset="0mm,0mm,0mm,0mm" style="mso-fit-shape-to-text:t;">
            <w:txbxContent>
              <w:p w14:paraId="7FEA98ED">
                <w:pPr>
                  <w:pStyle w:val="27"/>
                </w:pPr>
                <w:r>
                  <w:fldChar w:fldCharType="begin"/>
                </w:r>
                <w:r>
                  <w:instrText xml:space="preserve"> PAGE  \* MERGEFORMAT </w:instrText>
                </w:r>
                <w:r>
                  <w:fldChar w:fldCharType="separate"/>
                </w:r>
                <w:r>
                  <w:t>- 49 -</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3D034">
    <w:pPr>
      <w:pStyle w:val="27"/>
      <w:jc w:val="center"/>
      <w:rPr>
        <w:rFonts w:ascii="宋体" w:hAnsi="宋体"/>
        <w:szCs w:val="18"/>
      </w:rPr>
    </w:pPr>
    <w:r>
      <w:rPr>
        <w:sz w:val="18"/>
      </w:rPr>
      <w:pict>
        <v:shape id="_x0000_s4127" o:spid="_x0000_s4127" o:spt="202" type="#_x0000_t202" style="position:absolute;left:0pt;margin-top:0pt;height:144pt;width:144pt;mso-position-horizontal:center;mso-position-horizontal-relative:margin;mso-wrap-style:none;z-index:251677696;mso-width-relative:page;mso-height-relative:page;" filled="f" stroked="f" coordsize="21600,21600">
          <v:path/>
          <v:fill on="f" focussize="0,0"/>
          <v:stroke on="f"/>
          <v:imagedata o:title=""/>
          <o:lock v:ext="edit" aspectratio="f"/>
          <v:textbox inset="0mm,0mm,0mm,0mm" style="mso-fit-shape-to-text:t;">
            <w:txbxContent>
              <w:p w14:paraId="15AC2805">
                <w:pPr>
                  <w:pStyle w:val="27"/>
                </w:pPr>
                <w:r>
                  <w:fldChar w:fldCharType="begin"/>
                </w:r>
                <w:r>
                  <w:instrText xml:space="preserve"> PAGE  \* MERGEFORMAT </w:instrText>
                </w:r>
                <w:r>
                  <w:fldChar w:fldCharType="separate"/>
                </w:r>
                <w:r>
                  <w:t>- 51 -</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0EF49">
    <w:pPr>
      <w:pStyle w:val="27"/>
      <w:jc w:val="center"/>
      <w:rPr>
        <w:rFonts w:ascii="宋体" w:hAnsi="宋体"/>
        <w:b/>
        <w:szCs w:val="18"/>
      </w:rPr>
    </w:pPr>
    <w:r>
      <w:rPr>
        <w:sz w:val="18"/>
      </w:rPr>
      <w:pict>
        <v:shape id="_x0000_s4128" o:spid="_x0000_s4128" o:spt="202" type="#_x0000_t202" style="position:absolute;left:0pt;margin-top:0pt;height:144pt;width:144pt;mso-position-horizontal:center;mso-position-horizontal-relative:margin;mso-wrap-style:none;z-index:251678720;mso-width-relative:page;mso-height-relative:page;" filled="f" stroked="f" coordsize="21600,21600">
          <v:path/>
          <v:fill on="f" focussize="0,0"/>
          <v:stroke on="f"/>
          <v:imagedata o:title=""/>
          <o:lock v:ext="edit" aspectratio="f"/>
          <v:textbox inset="0mm,0mm,0mm,0mm" style="mso-fit-shape-to-text:t;">
            <w:txbxContent>
              <w:p w14:paraId="637673AF">
                <w:pPr>
                  <w:pStyle w:val="27"/>
                </w:pPr>
                <w:r>
                  <w:fldChar w:fldCharType="begin"/>
                </w:r>
                <w:r>
                  <w:instrText xml:space="preserve"> PAGE  \* MERGEFORMAT </w:instrText>
                </w:r>
                <w:r>
                  <w:fldChar w:fldCharType="separate"/>
                </w:r>
                <w:r>
                  <w:t>- 52 -</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6C5AB">
    <w:pPr>
      <w:pStyle w:val="27"/>
      <w:jc w:val="center"/>
      <w:rPr>
        <w:rFonts w:ascii="宋体" w:hAnsi="宋体"/>
        <w:b/>
        <w:szCs w:val="18"/>
      </w:rPr>
    </w:pPr>
    <w:r>
      <w:rPr>
        <w:sz w:val="18"/>
      </w:rPr>
      <w:pict>
        <v:shape id="_x0000_s4129" o:spid="_x0000_s4129" o:spt="202" type="#_x0000_t202" style="position:absolute;left:0pt;margin-top:0pt;height:144pt;width:144pt;mso-position-horizontal:center;mso-position-horizontal-relative:margin;mso-wrap-style:none;z-index:251679744;mso-width-relative:page;mso-height-relative:page;" filled="f" stroked="f" coordsize="21600,21600">
          <v:path/>
          <v:fill on="f" focussize="0,0"/>
          <v:stroke on="f"/>
          <v:imagedata o:title=""/>
          <o:lock v:ext="edit" aspectratio="f"/>
          <v:textbox inset="0mm,0mm,0mm,0mm" style="mso-fit-shape-to-text:t;">
            <w:txbxContent>
              <w:p w14:paraId="2BD8A89E">
                <w:pPr>
                  <w:pStyle w:val="27"/>
                </w:pPr>
                <w:r>
                  <w:fldChar w:fldCharType="begin"/>
                </w:r>
                <w:r>
                  <w:instrText xml:space="preserve"> PAGE  \* MERGEFORMAT </w:instrText>
                </w:r>
                <w:r>
                  <w:fldChar w:fldCharType="separate"/>
                </w:r>
                <w:r>
                  <w:t>- 56 -</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FE5E0">
    <w:pPr>
      <w:pStyle w:val="27"/>
      <w:jc w:val="center"/>
      <w:rPr>
        <w:rFonts w:ascii="宋体" w:hAnsi="宋体"/>
        <w:b/>
        <w:szCs w:val="18"/>
      </w:rPr>
    </w:pPr>
    <w:r>
      <w:rPr>
        <w:sz w:val="18"/>
      </w:rPr>
      <w:pict>
        <v:shape id="_x0000_s4130" o:spid="_x0000_s4130" o:spt="202" type="#_x0000_t202" style="position:absolute;left:0pt;margin-top:0pt;height:144pt;width:144pt;mso-position-horizontal:center;mso-position-horizontal-relative:margin;mso-wrap-style:none;z-index:251680768;mso-width-relative:page;mso-height-relative:page;" filled="f" stroked="f" coordsize="21600,21600">
          <v:path/>
          <v:fill on="f" focussize="0,0"/>
          <v:stroke on="f"/>
          <v:imagedata o:title=""/>
          <o:lock v:ext="edit" aspectratio="f"/>
          <v:textbox inset="0mm,0mm,0mm,0mm" style="mso-fit-shape-to-text:t;">
            <w:txbxContent>
              <w:p w14:paraId="373F3A5F">
                <w:pPr>
                  <w:pStyle w:val="27"/>
                </w:pPr>
                <w:r>
                  <w:fldChar w:fldCharType="begin"/>
                </w:r>
                <w:r>
                  <w:instrText xml:space="preserve"> PAGE  \* MERGEFORMAT </w:instrText>
                </w:r>
                <w:r>
                  <w:fldChar w:fldCharType="separate"/>
                </w:r>
                <w:r>
                  <w:t>- 60 -</w:t>
                </w:r>
                <w:r>
                  <w:fldChar w:fldCharType="end"/>
                </w:r>
              </w:p>
            </w:txbxContent>
          </v:textbox>
        </v:shape>
      </w:pict>
    </w:r>
  </w:p>
  <w:p w14:paraId="78A7A78C"/>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1A443">
    <w:pPr>
      <w:pStyle w:val="27"/>
      <w:jc w:val="center"/>
      <w:rPr>
        <w:b/>
        <w:szCs w:val="18"/>
      </w:rPr>
    </w:pPr>
    <w:r>
      <w:rPr>
        <w:sz w:val="18"/>
      </w:rPr>
      <w:pict>
        <v:shape id="_x0000_s4131" o:spid="_x0000_s4131" o:spt="202" type="#_x0000_t202" style="position:absolute;left:0pt;margin-top:0pt;height:144pt;width:144pt;mso-position-horizontal:center;mso-position-horizontal-relative:margin;mso-wrap-style:none;z-index:251681792;mso-width-relative:page;mso-height-relative:page;" filled="f" stroked="f" coordsize="21600,21600">
          <v:path/>
          <v:fill on="f" focussize="0,0"/>
          <v:stroke on="f"/>
          <v:imagedata o:title=""/>
          <o:lock v:ext="edit" aspectratio="f"/>
          <v:textbox inset="0mm,0mm,0mm,0mm" style="mso-fit-shape-to-text:t;">
            <w:txbxContent>
              <w:p w14:paraId="217DA33F">
                <w:pPr>
                  <w:pStyle w:val="27"/>
                </w:pPr>
                <w:r>
                  <w:fldChar w:fldCharType="begin"/>
                </w:r>
                <w:r>
                  <w:instrText xml:space="preserve"> PAGE  \* MERGEFORMAT </w:instrText>
                </w:r>
                <w:r>
                  <w:fldChar w:fldCharType="separate"/>
                </w:r>
                <w:r>
                  <w:t>- 63 -</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F838A">
    <w:pPr>
      <w:pStyle w:val="28"/>
    </w:pPr>
    <w:r>
      <w:pict>
        <v:shape id="WordPictureWatermark23652685" o:spid="_x0000_s4097" o:spt="75" type="#_x0000_t75" style="position:absolute;left:0pt;height:648.65pt;width:458.45pt;mso-position-horizontal:center;mso-position-horizontal-relative:margin;mso-position-vertical:center;mso-position-vertical-relative:margin;z-index:-251657216;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BE0959">
    <w:pPr>
      <w:pStyle w:val="28"/>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17CC0">
    <w:pPr>
      <w:pStyle w:val="28"/>
    </w:pPr>
    <w:r>
      <w:pict>
        <v:shape id="WordPictureWatermark23652694" o:spid="_x0000_s4101" o:spt="75" type="#_x0000_t75" style="position:absolute;left:0pt;height:648.65pt;width:458.45pt;mso-position-horizontal:center;mso-position-horizontal-relative:margin;mso-position-vertical:center;mso-position-vertical-relative:margin;z-index:-251655168;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F60B7">
    <w:pPr>
      <w:pStyle w:val="28"/>
    </w:pPr>
    <w:r>
      <w:pict>
        <v:shape id="WordPictureWatermark23652693" o:spid="_x0000_s4100" o:spt="75" type="#_x0000_t75" style="position:absolute;left:0pt;height:648.65pt;width:458.45pt;mso-position-horizontal:center;mso-position-horizontal-relative:margin;mso-position-vertical:center;mso-position-vertical-relative:margin;z-index:-251656192;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71893">
    <w:pPr>
      <w:pStyle w:val="28"/>
      <w:pBdr>
        <w:bottom w:val="none" w:color="auto" w:sz="0" w:space="1"/>
      </w:pBdr>
      <w:jc w:val="both"/>
    </w:pPr>
    <w:r>
      <w:pict>
        <v:shape id="WordPictureWatermark23652698" o:spid="_x0000_s4103" o:spt="75" type="#_x0000_t75" style="position:absolute;left:0pt;height:648.65pt;width:458.45pt;mso-position-horizontal:center;mso-position-horizontal-relative:margin;mso-position-vertical:center;mso-position-vertical-relative:margin;z-index:-251652096;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50DA4">
    <w:pPr>
      <w:pStyle w:val="28"/>
    </w:pPr>
    <w:r>
      <w:pict>
        <v:shape id="WordPictureWatermark23652697" o:spid="_x0000_s4104" o:spt="75" type="#_x0000_t75" style="position:absolute;left:0pt;height:648.65pt;width:458.45pt;mso-position-horizontal:center;mso-position-horizontal-relative:margin;mso-position-vertical:center;mso-position-vertical-relative:margin;z-index:-251653120;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8854D8">
    <w:pPr>
      <w:pStyle w:val="28"/>
    </w:pPr>
    <w:r>
      <w:pict>
        <v:shape id="WordPictureWatermark23652696" o:spid="_x0000_s4102" o:spt="75" type="#_x0000_t75" style="position:absolute;left:0pt;height:648.65pt;width:458.45pt;mso-position-horizontal:center;mso-position-horizontal-relative:margin;mso-position-vertical:center;mso-position-vertical-relative:margin;z-index:-251654144;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22D5F">
    <w:pPr>
      <w:pStyle w:val="28"/>
      <w:pBdr>
        <w:bottom w:val="none" w:color="auto" w:sz="0" w:space="1"/>
      </w:pBdr>
      <w:jc w:val="both"/>
    </w:pPr>
    <w:r>
      <w:rPr>
        <w:rFonts w:hint="eastAsia"/>
      </w:rPr>
      <w:t xml:space="preserve">            </w:t>
    </w:r>
    <w:r>
      <w:t xml:space="preserve">                         </w:t>
    </w:r>
    <w:r>
      <w:pict>
        <v:shape id="_x0000_s4106" o:spid="_x0000_s4106" o:spt="75" type="#_x0000_t75" style="position:absolute;left:0pt;height:648.65pt;width:458.45pt;mso-position-horizontal:center;mso-position-horizontal-relative:margin;mso-position-vertical:center;mso-position-vertical-relative:margin;z-index:-251644928;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E7024">
    <w:pPr>
      <w:pStyle w:val="28"/>
    </w:pPr>
    <w:r>
      <w:pict>
        <v:shape id="WordPictureWatermark23652700" o:spid="_x0000_s4107" o:spt="75" type="#_x0000_t75" style="position:absolute;left:0pt;height:648.65pt;width:458.45pt;mso-position-horizontal:center;mso-position-horizontal-relative:margin;mso-position-vertical:center;mso-position-vertical-relative:margin;z-index:-251650048;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43905">
    <w:pPr>
      <w:pStyle w:val="28"/>
    </w:pPr>
    <w:r>
      <w:pict>
        <v:shape id="WordPictureWatermark23652699" o:spid="_x0000_s4105" o:spt="75" type="#_x0000_t75" style="position:absolute;left:0pt;height:648.65pt;width:458.45pt;mso-position-horizontal:center;mso-position-horizontal-relative:margin;mso-position-vertical:center;mso-position-vertical-relative:margin;z-index:-251651072;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647F1">
    <w:pPr>
      <w:pStyle w:val="28"/>
      <w:pBdr>
        <w:bottom w:val="none" w:color="auto" w:sz="0" w:space="1"/>
      </w:pBdr>
      <w:rPr>
        <w:rFonts w:asciiTheme="minorEastAsia" w:hAnsiTheme="minorEastAsia" w:eastAsiaTheme="minorEastAsia"/>
        <w:szCs w:val="18"/>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D97B5">
    <w:pPr>
      <w:pStyle w:val="28"/>
      <w:pBdr>
        <w:bottom w:val="none" w:color="auto" w:sz="0" w:space="1"/>
      </w:pBdr>
      <w:jc w:val="left"/>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17B840">
    <w:pPr>
      <w:pStyle w:val="28"/>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28FF60">
    <w:pPr>
      <w:pStyle w:val="28"/>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50D1A">
    <w:pPr>
      <w:pStyle w:val="28"/>
      <w:pBdr>
        <w:bottom w:val="none" w:color="auto" w:sz="0" w:space="1"/>
      </w:pBdr>
      <w:jc w:val="left"/>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7E4E7">
    <w:pPr>
      <w:pStyle w:val="28"/>
    </w:pPr>
    <w:r>
      <w:pict>
        <v:shape id="WordPictureWatermark23652706" o:spid="_x0000_s4109" o:spt="75" type="#_x0000_t75" style="position:absolute;left:0pt;height:648.65pt;width:458.45pt;mso-position-horizontal:center;mso-position-horizontal-relative:margin;mso-position-vertical:center;mso-position-vertical-relative:margin;z-index:-251648000;mso-width-relative:page;mso-height-relative:page;" filled="f" o:preferrelative="t" stroked="f" coordsize="21600,21600" o:allowincell="f">
          <v:path/>
          <v:fill on="f" focussize="0,0"/>
          <v:stroke on="f" joinstyle="miter"/>
          <v:imagedata r:id="rId1" gain="19661f" blacklevel="22938f" o:title="背景"/>
          <o:lock v:ext="edit" aspectratio="t"/>
        </v:shape>
      </w:pict>
    </w:r>
  </w:p>
  <w:p w14:paraId="78538110"/>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4A2D39">
    <w:pPr>
      <w:pStyle w:val="28"/>
    </w:pPr>
    <w:r>
      <w:pict>
        <v:shape id="WordPictureWatermark23652705" o:spid="_x0000_s4108" o:spt="75" type="#_x0000_t75" style="position:absolute;left:0pt;height:648.65pt;width:458.45pt;mso-position-horizontal:center;mso-position-horizontal-relative:margin;mso-position-vertical:center;mso-position-vertical-relative:margin;z-index:-251649024;mso-width-relative:page;mso-height-relative:page;" filled="f" o:preferrelative="t" stroked="f" coordsize="21600,21600" o:allowincell="f">
          <v:path/>
          <v:fill on="f" focussize="0,0"/>
          <v:stroke on="f" joinstyle="miter"/>
          <v:imagedata r:id="rId1" gain="19661f" blacklevel="22938f" o:title="背景"/>
          <o:lock v:ext="edit" aspectratio="t"/>
        </v:shape>
      </w:pict>
    </w:r>
  </w:p>
  <w:p w14:paraId="4DD9A3F6"/>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35AAC">
    <w:pPr>
      <w:pStyle w:val="28"/>
    </w:pPr>
    <w:r>
      <w:pict>
        <v:shape id="WordPictureWatermark23652709" o:spid="_x0000_s4111" o:spt="75" type="#_x0000_t75" style="position:absolute;left:0pt;height:648.65pt;width:458.45pt;mso-position-horizontal:center;mso-position-horizontal-relative:margin;mso-position-vertical:center;mso-position-vertical-relative:margin;z-index:-251645952;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BA241">
    <w:pPr>
      <w:pStyle w:val="28"/>
    </w:pPr>
    <w:r>
      <w:pict>
        <v:shape id="WordPictureWatermark23652708" o:spid="_x0000_s4110" o:spt="75" type="#_x0000_t75" style="position:absolute;left:0pt;height:648.65pt;width:458.45pt;mso-position-horizontal:center;mso-position-horizontal-relative:margin;mso-position-vertical:center;mso-position-vertical-relative:margin;z-index:-251646976;mso-width-relative:page;mso-height-relative:page;" filled="f" o:preferrelative="t" stroked="f" coordsize="21600,21600" o:allowincell="f">
          <v:path/>
          <v:fill on="f" focussize="0,0"/>
          <v:stroke on="f" joinstyle="miter"/>
          <v:imagedata r:id="rId1" gain="19661f" blacklevel="22938f" o:title="背景"/>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60AE39CC"/>
    <w:multiLevelType w:val="multilevel"/>
    <w:tmpl w:val="60AE39C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4"/>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7"/>
      <w:lvlText w:val="           "/>
      <w:lvlJc w:val="left"/>
      <w:pPr>
        <w:tabs>
          <w:tab w:val="left" w:pos="1440"/>
        </w:tabs>
        <w:ind w:left="1152" w:hanging="1152"/>
      </w:pPr>
      <w:rPr>
        <w:rFonts w:hint="eastAsia"/>
      </w:rPr>
    </w:lvl>
    <w:lvl w:ilvl="6" w:tentative="0">
      <w:start w:val="1"/>
      <w:numFmt w:val="decimal"/>
      <w:pStyle w:val="8"/>
      <w:lvlText w:val="%1.%2.%3.%4.%5.%6.%7"/>
      <w:lvlJc w:val="left"/>
      <w:pPr>
        <w:tabs>
          <w:tab w:val="left" w:pos="2520"/>
        </w:tabs>
        <w:ind w:left="1296" w:hanging="1296"/>
      </w:pPr>
      <w:rPr>
        <w:rFonts w:hint="eastAsia"/>
      </w:rPr>
    </w:lvl>
    <w:lvl w:ilvl="7" w:tentative="0">
      <w:start w:val="1"/>
      <w:numFmt w:val="decimal"/>
      <w:pStyle w:val="9"/>
      <w:lvlText w:val="%1.%2.%3.%4.%5.%6.%7.%8"/>
      <w:lvlJc w:val="left"/>
      <w:pPr>
        <w:tabs>
          <w:tab w:val="left" w:pos="1440"/>
        </w:tabs>
        <w:ind w:left="1440" w:hanging="1440"/>
      </w:pPr>
      <w:rPr>
        <w:rFonts w:hint="eastAsia"/>
      </w:rPr>
    </w:lvl>
    <w:lvl w:ilvl="8" w:tentative="0">
      <w:start w:val="1"/>
      <w:numFmt w:val="decimal"/>
      <w:pStyle w:val="10"/>
      <w:lvlText w:val="%1.%2.%3.%4.%5.%6.%7.%8.%9"/>
      <w:lvlJc w:val="left"/>
      <w:pPr>
        <w:tabs>
          <w:tab w:val="left" w:pos="1584"/>
        </w:tabs>
        <w:ind w:left="1584" w:hanging="1584"/>
      </w:pPr>
      <w:rPr>
        <w:rFonts w:hint="eastAsia"/>
      </w:rPr>
    </w:lvl>
  </w:abstractNum>
  <w:abstractNum w:abstractNumId="7">
    <w:nsid w:val="640011BD"/>
    <w:multiLevelType w:val="multilevel"/>
    <w:tmpl w:val="640011BD"/>
    <w:lvl w:ilvl="0" w:tentative="0">
      <w:start w:val="1"/>
      <w:numFmt w:val="japaneseCounting"/>
      <w:pStyle w:val="74"/>
      <w:lvlText w:val="%1、"/>
      <w:lvlJc w:val="left"/>
      <w:pPr>
        <w:tabs>
          <w:tab w:val="left" w:pos="570"/>
        </w:tabs>
        <w:ind w:left="570" w:hanging="570"/>
      </w:pPr>
      <w:rPr>
        <w:rFonts w:hint="eastAsia" w:ascii="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74553FAA"/>
    <w:multiLevelType w:val="multilevel"/>
    <w:tmpl w:val="74553FAA"/>
    <w:lvl w:ilvl="0" w:tentative="0">
      <w:start w:val="1"/>
      <w:numFmt w:val="decimal"/>
      <w:lvlText w:val="%1."/>
      <w:lvlJc w:val="left"/>
      <w:pPr>
        <w:tabs>
          <w:tab w:val="left" w:pos="425"/>
        </w:tabs>
        <w:ind w:left="425" w:hanging="425"/>
      </w:pPr>
      <w:rPr>
        <w:rFonts w:hint="eastAsia"/>
      </w:rPr>
    </w:lvl>
    <w:lvl w:ilvl="1" w:tentative="0">
      <w:start w:val="1"/>
      <w:numFmt w:val="decimal"/>
      <w:pStyle w:val="53"/>
      <w:lvlText w:val="1.%2."/>
      <w:lvlJc w:val="left"/>
      <w:pPr>
        <w:tabs>
          <w:tab w:val="left" w:pos="720"/>
        </w:tabs>
        <w:ind w:left="567" w:hanging="567"/>
      </w:pPr>
      <w:rPr>
        <w:rFonts w:hint="eastAsia"/>
      </w:rPr>
    </w:lvl>
    <w:lvl w:ilvl="2" w:tentative="0">
      <w:start w:val="1"/>
      <w:numFmt w:val="decimal"/>
      <w:lvlText w:val="%1.%2.%3."/>
      <w:lvlJc w:val="left"/>
      <w:pPr>
        <w:tabs>
          <w:tab w:val="left" w:pos="1080"/>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9">
    <w:nsid w:val="7A0F6431"/>
    <w:multiLevelType w:val="singleLevel"/>
    <w:tmpl w:val="7A0F6431"/>
    <w:lvl w:ilvl="0" w:tentative="0">
      <w:start w:val="1"/>
      <w:numFmt w:val="decimal"/>
      <w:suff w:val="space"/>
      <w:lvlText w:val="%1."/>
      <w:lvlJc w:val="left"/>
    </w:lvl>
  </w:abstractNum>
  <w:num w:numId="1">
    <w:abstractNumId w:val="6"/>
  </w:num>
  <w:num w:numId="2">
    <w:abstractNumId w:val="8"/>
  </w:num>
  <w:num w:numId="3">
    <w:abstractNumId w:val="7"/>
  </w:num>
  <w:num w:numId="4">
    <w:abstractNumId w:val="9"/>
  </w:num>
  <w:num w:numId="5">
    <w:abstractNumId w:val="1"/>
  </w:num>
  <w:num w:numId="6">
    <w:abstractNumId w:val="5"/>
  </w:num>
  <w:num w:numId="7">
    <w:abstractNumId w:val="3"/>
  </w:num>
  <w:num w:numId="8">
    <w:abstractNumId w:val="2"/>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documentProtection w:edit="readOnly"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jhjMzQ1YjAxMjVlMTUxYzFkZTk4MDM0MzdlYTVjZmEifQ=="/>
  </w:docVars>
  <w:rsids>
    <w:rsidRoot w:val="00172A27"/>
    <w:rsid w:val="00000C9B"/>
    <w:rsid w:val="000016C8"/>
    <w:rsid w:val="0000253D"/>
    <w:rsid w:val="00003672"/>
    <w:rsid w:val="00003E92"/>
    <w:rsid w:val="000065C8"/>
    <w:rsid w:val="000069B9"/>
    <w:rsid w:val="00006E5C"/>
    <w:rsid w:val="000078E1"/>
    <w:rsid w:val="00010D0E"/>
    <w:rsid w:val="00011423"/>
    <w:rsid w:val="00011462"/>
    <w:rsid w:val="000118A1"/>
    <w:rsid w:val="00011A6E"/>
    <w:rsid w:val="00011EBC"/>
    <w:rsid w:val="00012715"/>
    <w:rsid w:val="00012EF8"/>
    <w:rsid w:val="00014AB0"/>
    <w:rsid w:val="000150B6"/>
    <w:rsid w:val="00017C66"/>
    <w:rsid w:val="00020A84"/>
    <w:rsid w:val="00020AE1"/>
    <w:rsid w:val="00020CD5"/>
    <w:rsid w:val="00020D41"/>
    <w:rsid w:val="00020EB4"/>
    <w:rsid w:val="0002353A"/>
    <w:rsid w:val="00023B79"/>
    <w:rsid w:val="00023FAD"/>
    <w:rsid w:val="00024351"/>
    <w:rsid w:val="000245C0"/>
    <w:rsid w:val="00024DD0"/>
    <w:rsid w:val="00025A9A"/>
    <w:rsid w:val="0002677B"/>
    <w:rsid w:val="0002728A"/>
    <w:rsid w:val="0002731B"/>
    <w:rsid w:val="00027DDB"/>
    <w:rsid w:val="000300C8"/>
    <w:rsid w:val="00030CAC"/>
    <w:rsid w:val="00032D71"/>
    <w:rsid w:val="0003307C"/>
    <w:rsid w:val="0003391C"/>
    <w:rsid w:val="00033F14"/>
    <w:rsid w:val="000341B1"/>
    <w:rsid w:val="000347A4"/>
    <w:rsid w:val="0003495F"/>
    <w:rsid w:val="000355E5"/>
    <w:rsid w:val="00036622"/>
    <w:rsid w:val="000372D6"/>
    <w:rsid w:val="0003764E"/>
    <w:rsid w:val="00037DB7"/>
    <w:rsid w:val="00037E27"/>
    <w:rsid w:val="00037E8F"/>
    <w:rsid w:val="0004070C"/>
    <w:rsid w:val="000413F8"/>
    <w:rsid w:val="00041FBE"/>
    <w:rsid w:val="0004343C"/>
    <w:rsid w:val="00043824"/>
    <w:rsid w:val="00044821"/>
    <w:rsid w:val="000467B8"/>
    <w:rsid w:val="00046E85"/>
    <w:rsid w:val="00047A4C"/>
    <w:rsid w:val="00050FB1"/>
    <w:rsid w:val="00051615"/>
    <w:rsid w:val="00051894"/>
    <w:rsid w:val="000557D2"/>
    <w:rsid w:val="00055824"/>
    <w:rsid w:val="00055A45"/>
    <w:rsid w:val="00056CC0"/>
    <w:rsid w:val="00062641"/>
    <w:rsid w:val="000643FC"/>
    <w:rsid w:val="00064C2B"/>
    <w:rsid w:val="00064D8B"/>
    <w:rsid w:val="00065503"/>
    <w:rsid w:val="00065BB1"/>
    <w:rsid w:val="00066E38"/>
    <w:rsid w:val="0006792D"/>
    <w:rsid w:val="00067A98"/>
    <w:rsid w:val="0007021C"/>
    <w:rsid w:val="00071892"/>
    <w:rsid w:val="000727C7"/>
    <w:rsid w:val="00074992"/>
    <w:rsid w:val="000751DC"/>
    <w:rsid w:val="00075FF3"/>
    <w:rsid w:val="0007606C"/>
    <w:rsid w:val="00076FC4"/>
    <w:rsid w:val="00077255"/>
    <w:rsid w:val="000774F8"/>
    <w:rsid w:val="00077C4E"/>
    <w:rsid w:val="000807D2"/>
    <w:rsid w:val="00081C04"/>
    <w:rsid w:val="000835FA"/>
    <w:rsid w:val="00083D83"/>
    <w:rsid w:val="000843FF"/>
    <w:rsid w:val="00084CD7"/>
    <w:rsid w:val="000850F6"/>
    <w:rsid w:val="00085D8A"/>
    <w:rsid w:val="00085E74"/>
    <w:rsid w:val="00087122"/>
    <w:rsid w:val="0008730D"/>
    <w:rsid w:val="00087CFE"/>
    <w:rsid w:val="0009409C"/>
    <w:rsid w:val="00096EAB"/>
    <w:rsid w:val="00097C5E"/>
    <w:rsid w:val="000A07A1"/>
    <w:rsid w:val="000A2150"/>
    <w:rsid w:val="000A2214"/>
    <w:rsid w:val="000A26D2"/>
    <w:rsid w:val="000A3833"/>
    <w:rsid w:val="000A573E"/>
    <w:rsid w:val="000A5CE1"/>
    <w:rsid w:val="000A5D0A"/>
    <w:rsid w:val="000A756A"/>
    <w:rsid w:val="000B02FE"/>
    <w:rsid w:val="000B072F"/>
    <w:rsid w:val="000B0C3D"/>
    <w:rsid w:val="000B1AEF"/>
    <w:rsid w:val="000B2D95"/>
    <w:rsid w:val="000B4081"/>
    <w:rsid w:val="000B4525"/>
    <w:rsid w:val="000B4B8A"/>
    <w:rsid w:val="000B55EB"/>
    <w:rsid w:val="000B62C8"/>
    <w:rsid w:val="000B6858"/>
    <w:rsid w:val="000C06DC"/>
    <w:rsid w:val="000C2A87"/>
    <w:rsid w:val="000C4539"/>
    <w:rsid w:val="000C47C1"/>
    <w:rsid w:val="000C4867"/>
    <w:rsid w:val="000C657B"/>
    <w:rsid w:val="000C73E2"/>
    <w:rsid w:val="000C79EA"/>
    <w:rsid w:val="000D04B6"/>
    <w:rsid w:val="000D13F3"/>
    <w:rsid w:val="000D21C1"/>
    <w:rsid w:val="000D229F"/>
    <w:rsid w:val="000D28BD"/>
    <w:rsid w:val="000D3763"/>
    <w:rsid w:val="000D3EBD"/>
    <w:rsid w:val="000D4471"/>
    <w:rsid w:val="000D497F"/>
    <w:rsid w:val="000D4B51"/>
    <w:rsid w:val="000D530B"/>
    <w:rsid w:val="000D5BE5"/>
    <w:rsid w:val="000D6946"/>
    <w:rsid w:val="000D6A58"/>
    <w:rsid w:val="000D6BB0"/>
    <w:rsid w:val="000E08A0"/>
    <w:rsid w:val="000E1888"/>
    <w:rsid w:val="000E358E"/>
    <w:rsid w:val="000E36B8"/>
    <w:rsid w:val="000E39B3"/>
    <w:rsid w:val="000E530B"/>
    <w:rsid w:val="000F0B30"/>
    <w:rsid w:val="000F10E3"/>
    <w:rsid w:val="000F19EA"/>
    <w:rsid w:val="000F2B9E"/>
    <w:rsid w:val="000F2E4C"/>
    <w:rsid w:val="000F47DC"/>
    <w:rsid w:val="000F484F"/>
    <w:rsid w:val="000F539A"/>
    <w:rsid w:val="000F6C5A"/>
    <w:rsid w:val="000F70C8"/>
    <w:rsid w:val="000F73B2"/>
    <w:rsid w:val="000F7A58"/>
    <w:rsid w:val="000F7BB7"/>
    <w:rsid w:val="000F7C1A"/>
    <w:rsid w:val="00100B66"/>
    <w:rsid w:val="0010213E"/>
    <w:rsid w:val="00105317"/>
    <w:rsid w:val="00105A5D"/>
    <w:rsid w:val="00106CD8"/>
    <w:rsid w:val="0011189E"/>
    <w:rsid w:val="001126CB"/>
    <w:rsid w:val="00115077"/>
    <w:rsid w:val="00115549"/>
    <w:rsid w:val="00115787"/>
    <w:rsid w:val="00116208"/>
    <w:rsid w:val="001200F6"/>
    <w:rsid w:val="001201CC"/>
    <w:rsid w:val="00120563"/>
    <w:rsid w:val="00120870"/>
    <w:rsid w:val="00120E9A"/>
    <w:rsid w:val="00120ECD"/>
    <w:rsid w:val="00121F37"/>
    <w:rsid w:val="00123509"/>
    <w:rsid w:val="001238E9"/>
    <w:rsid w:val="00124238"/>
    <w:rsid w:val="001246DC"/>
    <w:rsid w:val="001247D4"/>
    <w:rsid w:val="00125B3D"/>
    <w:rsid w:val="00125F75"/>
    <w:rsid w:val="001262A4"/>
    <w:rsid w:val="0012745D"/>
    <w:rsid w:val="001309B7"/>
    <w:rsid w:val="001322E0"/>
    <w:rsid w:val="00133421"/>
    <w:rsid w:val="001342F7"/>
    <w:rsid w:val="00134DEB"/>
    <w:rsid w:val="00135204"/>
    <w:rsid w:val="00136098"/>
    <w:rsid w:val="001366C5"/>
    <w:rsid w:val="00136BB2"/>
    <w:rsid w:val="00136C2A"/>
    <w:rsid w:val="00136DFE"/>
    <w:rsid w:val="0013742C"/>
    <w:rsid w:val="00137D1C"/>
    <w:rsid w:val="001409AA"/>
    <w:rsid w:val="00142984"/>
    <w:rsid w:val="0014303A"/>
    <w:rsid w:val="00143121"/>
    <w:rsid w:val="001434F8"/>
    <w:rsid w:val="00143787"/>
    <w:rsid w:val="00145A0E"/>
    <w:rsid w:val="00145CD4"/>
    <w:rsid w:val="00145FE1"/>
    <w:rsid w:val="001464B9"/>
    <w:rsid w:val="00146C45"/>
    <w:rsid w:val="0014793E"/>
    <w:rsid w:val="00150030"/>
    <w:rsid w:val="0015032C"/>
    <w:rsid w:val="0015045C"/>
    <w:rsid w:val="00150F8A"/>
    <w:rsid w:val="00151AF7"/>
    <w:rsid w:val="00152602"/>
    <w:rsid w:val="0015614C"/>
    <w:rsid w:val="00156229"/>
    <w:rsid w:val="001600A3"/>
    <w:rsid w:val="001601F3"/>
    <w:rsid w:val="001611F3"/>
    <w:rsid w:val="001617A3"/>
    <w:rsid w:val="00161C24"/>
    <w:rsid w:val="00162363"/>
    <w:rsid w:val="00163E9D"/>
    <w:rsid w:val="00164233"/>
    <w:rsid w:val="0016440D"/>
    <w:rsid w:val="0016481D"/>
    <w:rsid w:val="00164A5F"/>
    <w:rsid w:val="00165B65"/>
    <w:rsid w:val="001660D5"/>
    <w:rsid w:val="00166499"/>
    <w:rsid w:val="001671D0"/>
    <w:rsid w:val="00171006"/>
    <w:rsid w:val="001719E7"/>
    <w:rsid w:val="00172A27"/>
    <w:rsid w:val="0017333C"/>
    <w:rsid w:val="001744D6"/>
    <w:rsid w:val="00174D83"/>
    <w:rsid w:val="00175B1B"/>
    <w:rsid w:val="0017674A"/>
    <w:rsid w:val="001768E2"/>
    <w:rsid w:val="00176D76"/>
    <w:rsid w:val="0017712B"/>
    <w:rsid w:val="0017752C"/>
    <w:rsid w:val="00180313"/>
    <w:rsid w:val="00181006"/>
    <w:rsid w:val="0018180B"/>
    <w:rsid w:val="00181B84"/>
    <w:rsid w:val="00183D69"/>
    <w:rsid w:val="00184294"/>
    <w:rsid w:val="00184A4E"/>
    <w:rsid w:val="00185419"/>
    <w:rsid w:val="001859C9"/>
    <w:rsid w:val="00185F72"/>
    <w:rsid w:val="00186DE0"/>
    <w:rsid w:val="001873AF"/>
    <w:rsid w:val="0018763E"/>
    <w:rsid w:val="00190728"/>
    <w:rsid w:val="001907B7"/>
    <w:rsid w:val="00191AF6"/>
    <w:rsid w:val="00191C80"/>
    <w:rsid w:val="001925F7"/>
    <w:rsid w:val="00195417"/>
    <w:rsid w:val="0019599A"/>
    <w:rsid w:val="001975FE"/>
    <w:rsid w:val="001A0137"/>
    <w:rsid w:val="001A0406"/>
    <w:rsid w:val="001A0930"/>
    <w:rsid w:val="001A0C78"/>
    <w:rsid w:val="001A0F26"/>
    <w:rsid w:val="001A0FA1"/>
    <w:rsid w:val="001A1416"/>
    <w:rsid w:val="001A2562"/>
    <w:rsid w:val="001A3597"/>
    <w:rsid w:val="001A4563"/>
    <w:rsid w:val="001A4946"/>
    <w:rsid w:val="001A4E8B"/>
    <w:rsid w:val="001A579F"/>
    <w:rsid w:val="001A6F68"/>
    <w:rsid w:val="001A7838"/>
    <w:rsid w:val="001B1241"/>
    <w:rsid w:val="001B1F4F"/>
    <w:rsid w:val="001B2878"/>
    <w:rsid w:val="001B3A52"/>
    <w:rsid w:val="001B3E98"/>
    <w:rsid w:val="001B523E"/>
    <w:rsid w:val="001B5ED6"/>
    <w:rsid w:val="001B680A"/>
    <w:rsid w:val="001B6E45"/>
    <w:rsid w:val="001B7052"/>
    <w:rsid w:val="001B76BF"/>
    <w:rsid w:val="001C0127"/>
    <w:rsid w:val="001C0527"/>
    <w:rsid w:val="001C0BA0"/>
    <w:rsid w:val="001C0F47"/>
    <w:rsid w:val="001C22C7"/>
    <w:rsid w:val="001C232E"/>
    <w:rsid w:val="001C2357"/>
    <w:rsid w:val="001C254A"/>
    <w:rsid w:val="001C293A"/>
    <w:rsid w:val="001C3D6E"/>
    <w:rsid w:val="001C4724"/>
    <w:rsid w:val="001C48AD"/>
    <w:rsid w:val="001C5018"/>
    <w:rsid w:val="001C5459"/>
    <w:rsid w:val="001C565D"/>
    <w:rsid w:val="001C5DE0"/>
    <w:rsid w:val="001C60F7"/>
    <w:rsid w:val="001C69B4"/>
    <w:rsid w:val="001C71D4"/>
    <w:rsid w:val="001C75C6"/>
    <w:rsid w:val="001D0478"/>
    <w:rsid w:val="001D1E8E"/>
    <w:rsid w:val="001D2A6E"/>
    <w:rsid w:val="001D2D70"/>
    <w:rsid w:val="001D34DD"/>
    <w:rsid w:val="001D3B01"/>
    <w:rsid w:val="001D3D79"/>
    <w:rsid w:val="001D4CB5"/>
    <w:rsid w:val="001D5A93"/>
    <w:rsid w:val="001D6D48"/>
    <w:rsid w:val="001D7110"/>
    <w:rsid w:val="001D77A2"/>
    <w:rsid w:val="001E09C4"/>
    <w:rsid w:val="001E11E0"/>
    <w:rsid w:val="001E16BC"/>
    <w:rsid w:val="001E1769"/>
    <w:rsid w:val="001E2C48"/>
    <w:rsid w:val="001E2F64"/>
    <w:rsid w:val="001E37A0"/>
    <w:rsid w:val="001E3CCF"/>
    <w:rsid w:val="001E43CF"/>
    <w:rsid w:val="001E4D80"/>
    <w:rsid w:val="001E4DCA"/>
    <w:rsid w:val="001E4DEA"/>
    <w:rsid w:val="001E4DED"/>
    <w:rsid w:val="001E52DF"/>
    <w:rsid w:val="001E534E"/>
    <w:rsid w:val="001E6873"/>
    <w:rsid w:val="001E69E6"/>
    <w:rsid w:val="001E6E72"/>
    <w:rsid w:val="001E7AA1"/>
    <w:rsid w:val="001F0908"/>
    <w:rsid w:val="001F102B"/>
    <w:rsid w:val="001F1262"/>
    <w:rsid w:val="001F2047"/>
    <w:rsid w:val="001F3E39"/>
    <w:rsid w:val="001F48FA"/>
    <w:rsid w:val="001F5C30"/>
    <w:rsid w:val="001F7A67"/>
    <w:rsid w:val="002001F6"/>
    <w:rsid w:val="00200E6C"/>
    <w:rsid w:val="00201D30"/>
    <w:rsid w:val="002021CA"/>
    <w:rsid w:val="00204139"/>
    <w:rsid w:val="00204AD9"/>
    <w:rsid w:val="0020742D"/>
    <w:rsid w:val="00207CBB"/>
    <w:rsid w:val="00210789"/>
    <w:rsid w:val="00211714"/>
    <w:rsid w:val="00212158"/>
    <w:rsid w:val="0021327F"/>
    <w:rsid w:val="002138D8"/>
    <w:rsid w:val="00214524"/>
    <w:rsid w:val="00214DFA"/>
    <w:rsid w:val="0021557A"/>
    <w:rsid w:val="00216586"/>
    <w:rsid w:val="00216CC7"/>
    <w:rsid w:val="002170E7"/>
    <w:rsid w:val="00217D5A"/>
    <w:rsid w:val="00221256"/>
    <w:rsid w:val="00221749"/>
    <w:rsid w:val="0022191D"/>
    <w:rsid w:val="00221B7C"/>
    <w:rsid w:val="00221FC9"/>
    <w:rsid w:val="00222419"/>
    <w:rsid w:val="00222BB8"/>
    <w:rsid w:val="00222FB3"/>
    <w:rsid w:val="002249C5"/>
    <w:rsid w:val="00224AF4"/>
    <w:rsid w:val="00224E91"/>
    <w:rsid w:val="00226AE7"/>
    <w:rsid w:val="002271CA"/>
    <w:rsid w:val="002300C8"/>
    <w:rsid w:val="002306D5"/>
    <w:rsid w:val="002309A7"/>
    <w:rsid w:val="00230C90"/>
    <w:rsid w:val="002325DF"/>
    <w:rsid w:val="00233B8E"/>
    <w:rsid w:val="00234140"/>
    <w:rsid w:val="00234220"/>
    <w:rsid w:val="00234223"/>
    <w:rsid w:val="00234A4E"/>
    <w:rsid w:val="00234FFF"/>
    <w:rsid w:val="00235831"/>
    <w:rsid w:val="00235E16"/>
    <w:rsid w:val="002364CE"/>
    <w:rsid w:val="00236F41"/>
    <w:rsid w:val="002375EE"/>
    <w:rsid w:val="00237702"/>
    <w:rsid w:val="002422DD"/>
    <w:rsid w:val="002431BE"/>
    <w:rsid w:val="002434B5"/>
    <w:rsid w:val="00243557"/>
    <w:rsid w:val="00243866"/>
    <w:rsid w:val="00244010"/>
    <w:rsid w:val="002446EF"/>
    <w:rsid w:val="00244EFE"/>
    <w:rsid w:val="00245689"/>
    <w:rsid w:val="0024603D"/>
    <w:rsid w:val="002460A0"/>
    <w:rsid w:val="00247F77"/>
    <w:rsid w:val="002504F5"/>
    <w:rsid w:val="00252C6B"/>
    <w:rsid w:val="00252F41"/>
    <w:rsid w:val="002537AA"/>
    <w:rsid w:val="00254EA8"/>
    <w:rsid w:val="002552C5"/>
    <w:rsid w:val="0025594C"/>
    <w:rsid w:val="00256BD5"/>
    <w:rsid w:val="00256C7A"/>
    <w:rsid w:val="0025782D"/>
    <w:rsid w:val="00257B40"/>
    <w:rsid w:val="0026142E"/>
    <w:rsid w:val="0026202B"/>
    <w:rsid w:val="00262584"/>
    <w:rsid w:val="00262AC3"/>
    <w:rsid w:val="00262D62"/>
    <w:rsid w:val="00262EA5"/>
    <w:rsid w:val="00263C05"/>
    <w:rsid w:val="00263E46"/>
    <w:rsid w:val="002652E3"/>
    <w:rsid w:val="002678F4"/>
    <w:rsid w:val="00267A75"/>
    <w:rsid w:val="00267B87"/>
    <w:rsid w:val="00271E1F"/>
    <w:rsid w:val="00272CA6"/>
    <w:rsid w:val="002731D0"/>
    <w:rsid w:val="002743CD"/>
    <w:rsid w:val="00274D4B"/>
    <w:rsid w:val="0027590C"/>
    <w:rsid w:val="00277D84"/>
    <w:rsid w:val="00281288"/>
    <w:rsid w:val="002813A0"/>
    <w:rsid w:val="00281529"/>
    <w:rsid w:val="00282A22"/>
    <w:rsid w:val="00282EA7"/>
    <w:rsid w:val="002834A8"/>
    <w:rsid w:val="0028466F"/>
    <w:rsid w:val="002847B1"/>
    <w:rsid w:val="0028544A"/>
    <w:rsid w:val="00285CB4"/>
    <w:rsid w:val="00286027"/>
    <w:rsid w:val="00287114"/>
    <w:rsid w:val="002874EA"/>
    <w:rsid w:val="00287557"/>
    <w:rsid w:val="0028760F"/>
    <w:rsid w:val="00287819"/>
    <w:rsid w:val="002879FA"/>
    <w:rsid w:val="0029043F"/>
    <w:rsid w:val="002904FA"/>
    <w:rsid w:val="00290527"/>
    <w:rsid w:val="0029053D"/>
    <w:rsid w:val="00290B0A"/>
    <w:rsid w:val="002921CC"/>
    <w:rsid w:val="002923CC"/>
    <w:rsid w:val="002945BB"/>
    <w:rsid w:val="00296113"/>
    <w:rsid w:val="0029636B"/>
    <w:rsid w:val="00296813"/>
    <w:rsid w:val="002977C2"/>
    <w:rsid w:val="002A10B1"/>
    <w:rsid w:val="002A249A"/>
    <w:rsid w:val="002A43EC"/>
    <w:rsid w:val="002A510D"/>
    <w:rsid w:val="002A607C"/>
    <w:rsid w:val="002A6A9C"/>
    <w:rsid w:val="002A7EAF"/>
    <w:rsid w:val="002B0A28"/>
    <w:rsid w:val="002B0EE0"/>
    <w:rsid w:val="002B1091"/>
    <w:rsid w:val="002B1D02"/>
    <w:rsid w:val="002B2576"/>
    <w:rsid w:val="002B3039"/>
    <w:rsid w:val="002B36C5"/>
    <w:rsid w:val="002B3F73"/>
    <w:rsid w:val="002B460F"/>
    <w:rsid w:val="002B47AC"/>
    <w:rsid w:val="002B5BBF"/>
    <w:rsid w:val="002B5E0E"/>
    <w:rsid w:val="002B7176"/>
    <w:rsid w:val="002C013D"/>
    <w:rsid w:val="002C05C3"/>
    <w:rsid w:val="002C069C"/>
    <w:rsid w:val="002C0AB9"/>
    <w:rsid w:val="002C101D"/>
    <w:rsid w:val="002C1F0B"/>
    <w:rsid w:val="002C2F25"/>
    <w:rsid w:val="002C3009"/>
    <w:rsid w:val="002C6576"/>
    <w:rsid w:val="002C711E"/>
    <w:rsid w:val="002C79D1"/>
    <w:rsid w:val="002D177B"/>
    <w:rsid w:val="002D1A6F"/>
    <w:rsid w:val="002D1CD7"/>
    <w:rsid w:val="002D1F84"/>
    <w:rsid w:val="002D5285"/>
    <w:rsid w:val="002D58DD"/>
    <w:rsid w:val="002D5B23"/>
    <w:rsid w:val="002D68B3"/>
    <w:rsid w:val="002D7B29"/>
    <w:rsid w:val="002E27CB"/>
    <w:rsid w:val="002E3C26"/>
    <w:rsid w:val="002E4E79"/>
    <w:rsid w:val="002E528E"/>
    <w:rsid w:val="002E5772"/>
    <w:rsid w:val="002E6CDF"/>
    <w:rsid w:val="002E7963"/>
    <w:rsid w:val="002F020C"/>
    <w:rsid w:val="002F229E"/>
    <w:rsid w:val="002F2FA8"/>
    <w:rsid w:val="002F3DB2"/>
    <w:rsid w:val="002F44CB"/>
    <w:rsid w:val="002F5995"/>
    <w:rsid w:val="002F74FF"/>
    <w:rsid w:val="002F7718"/>
    <w:rsid w:val="00300648"/>
    <w:rsid w:val="00301356"/>
    <w:rsid w:val="0030145D"/>
    <w:rsid w:val="00301C40"/>
    <w:rsid w:val="0030218B"/>
    <w:rsid w:val="003024FB"/>
    <w:rsid w:val="003027E0"/>
    <w:rsid w:val="0030446B"/>
    <w:rsid w:val="00304801"/>
    <w:rsid w:val="0030581A"/>
    <w:rsid w:val="00305C07"/>
    <w:rsid w:val="00305C0A"/>
    <w:rsid w:val="0030724F"/>
    <w:rsid w:val="00307E22"/>
    <w:rsid w:val="0031170B"/>
    <w:rsid w:val="00311D4D"/>
    <w:rsid w:val="00311D53"/>
    <w:rsid w:val="00312325"/>
    <w:rsid w:val="00312737"/>
    <w:rsid w:val="00312C54"/>
    <w:rsid w:val="00313B53"/>
    <w:rsid w:val="00313BA6"/>
    <w:rsid w:val="00313DEA"/>
    <w:rsid w:val="0031466F"/>
    <w:rsid w:val="00314B5B"/>
    <w:rsid w:val="003208EC"/>
    <w:rsid w:val="00320E24"/>
    <w:rsid w:val="00320EBB"/>
    <w:rsid w:val="003234F2"/>
    <w:rsid w:val="003236DF"/>
    <w:rsid w:val="00324583"/>
    <w:rsid w:val="00324B8A"/>
    <w:rsid w:val="0032511B"/>
    <w:rsid w:val="00325587"/>
    <w:rsid w:val="003255AE"/>
    <w:rsid w:val="00327118"/>
    <w:rsid w:val="00327153"/>
    <w:rsid w:val="00327838"/>
    <w:rsid w:val="00327888"/>
    <w:rsid w:val="0033089F"/>
    <w:rsid w:val="003313F2"/>
    <w:rsid w:val="003333D7"/>
    <w:rsid w:val="00333BC1"/>
    <w:rsid w:val="00334CAA"/>
    <w:rsid w:val="00335792"/>
    <w:rsid w:val="00336864"/>
    <w:rsid w:val="0033750D"/>
    <w:rsid w:val="003377ED"/>
    <w:rsid w:val="00340CBA"/>
    <w:rsid w:val="00341A06"/>
    <w:rsid w:val="00342A86"/>
    <w:rsid w:val="00342B16"/>
    <w:rsid w:val="00342DF8"/>
    <w:rsid w:val="00343F3D"/>
    <w:rsid w:val="00344B0F"/>
    <w:rsid w:val="00345FE5"/>
    <w:rsid w:val="0034611B"/>
    <w:rsid w:val="0034693A"/>
    <w:rsid w:val="00346C7E"/>
    <w:rsid w:val="00347671"/>
    <w:rsid w:val="003512B2"/>
    <w:rsid w:val="00351398"/>
    <w:rsid w:val="003515BE"/>
    <w:rsid w:val="0035166C"/>
    <w:rsid w:val="003518D3"/>
    <w:rsid w:val="003520CD"/>
    <w:rsid w:val="00352B57"/>
    <w:rsid w:val="003543B0"/>
    <w:rsid w:val="00354621"/>
    <w:rsid w:val="00355763"/>
    <w:rsid w:val="003570B5"/>
    <w:rsid w:val="00357D4B"/>
    <w:rsid w:val="0036101A"/>
    <w:rsid w:val="00361BF7"/>
    <w:rsid w:val="00362027"/>
    <w:rsid w:val="0036288F"/>
    <w:rsid w:val="00363768"/>
    <w:rsid w:val="00363AD3"/>
    <w:rsid w:val="00364019"/>
    <w:rsid w:val="00364AB1"/>
    <w:rsid w:val="00364C90"/>
    <w:rsid w:val="00365C0A"/>
    <w:rsid w:val="00367538"/>
    <w:rsid w:val="003676BC"/>
    <w:rsid w:val="00370355"/>
    <w:rsid w:val="003709EB"/>
    <w:rsid w:val="003725A7"/>
    <w:rsid w:val="003726DD"/>
    <w:rsid w:val="00373448"/>
    <w:rsid w:val="003749DE"/>
    <w:rsid w:val="003759F8"/>
    <w:rsid w:val="00380676"/>
    <w:rsid w:val="003806BB"/>
    <w:rsid w:val="00380931"/>
    <w:rsid w:val="0038094B"/>
    <w:rsid w:val="00381B6A"/>
    <w:rsid w:val="00381FFF"/>
    <w:rsid w:val="0038251B"/>
    <w:rsid w:val="00382D85"/>
    <w:rsid w:val="0038336F"/>
    <w:rsid w:val="00383D9A"/>
    <w:rsid w:val="00384351"/>
    <w:rsid w:val="0038489D"/>
    <w:rsid w:val="003851B7"/>
    <w:rsid w:val="003852AF"/>
    <w:rsid w:val="0038593B"/>
    <w:rsid w:val="00385B4E"/>
    <w:rsid w:val="00386E63"/>
    <w:rsid w:val="00386F39"/>
    <w:rsid w:val="00387383"/>
    <w:rsid w:val="00387501"/>
    <w:rsid w:val="00387541"/>
    <w:rsid w:val="003875AA"/>
    <w:rsid w:val="003875E3"/>
    <w:rsid w:val="00387729"/>
    <w:rsid w:val="00387D9E"/>
    <w:rsid w:val="0039023C"/>
    <w:rsid w:val="0039036A"/>
    <w:rsid w:val="00390A3F"/>
    <w:rsid w:val="0039135D"/>
    <w:rsid w:val="00391979"/>
    <w:rsid w:val="00391D6D"/>
    <w:rsid w:val="00392219"/>
    <w:rsid w:val="00393E5B"/>
    <w:rsid w:val="00394775"/>
    <w:rsid w:val="003949C6"/>
    <w:rsid w:val="0039648F"/>
    <w:rsid w:val="00396D77"/>
    <w:rsid w:val="00397B23"/>
    <w:rsid w:val="003A07DE"/>
    <w:rsid w:val="003A13BE"/>
    <w:rsid w:val="003A2678"/>
    <w:rsid w:val="003A2E56"/>
    <w:rsid w:val="003A362E"/>
    <w:rsid w:val="003A5378"/>
    <w:rsid w:val="003A5808"/>
    <w:rsid w:val="003A5B83"/>
    <w:rsid w:val="003A5E70"/>
    <w:rsid w:val="003A6CD5"/>
    <w:rsid w:val="003A7A81"/>
    <w:rsid w:val="003B0D8B"/>
    <w:rsid w:val="003B12E4"/>
    <w:rsid w:val="003B2A63"/>
    <w:rsid w:val="003B3181"/>
    <w:rsid w:val="003B4785"/>
    <w:rsid w:val="003B6197"/>
    <w:rsid w:val="003B6224"/>
    <w:rsid w:val="003B6A63"/>
    <w:rsid w:val="003B6AA4"/>
    <w:rsid w:val="003B721E"/>
    <w:rsid w:val="003B78BA"/>
    <w:rsid w:val="003C0120"/>
    <w:rsid w:val="003C0B24"/>
    <w:rsid w:val="003C0BEB"/>
    <w:rsid w:val="003C1816"/>
    <w:rsid w:val="003C2FF4"/>
    <w:rsid w:val="003C42A0"/>
    <w:rsid w:val="003C5E6B"/>
    <w:rsid w:val="003C6AC0"/>
    <w:rsid w:val="003C6B73"/>
    <w:rsid w:val="003C7B2D"/>
    <w:rsid w:val="003D1109"/>
    <w:rsid w:val="003D16B1"/>
    <w:rsid w:val="003D1833"/>
    <w:rsid w:val="003D23A1"/>
    <w:rsid w:val="003D24B1"/>
    <w:rsid w:val="003D2E0E"/>
    <w:rsid w:val="003D3354"/>
    <w:rsid w:val="003D4522"/>
    <w:rsid w:val="003D4E55"/>
    <w:rsid w:val="003D5C3E"/>
    <w:rsid w:val="003D7791"/>
    <w:rsid w:val="003E107D"/>
    <w:rsid w:val="003E47B4"/>
    <w:rsid w:val="003E5089"/>
    <w:rsid w:val="003E519F"/>
    <w:rsid w:val="003E6913"/>
    <w:rsid w:val="003E6C0A"/>
    <w:rsid w:val="003E76C6"/>
    <w:rsid w:val="003E7885"/>
    <w:rsid w:val="003E796D"/>
    <w:rsid w:val="003F0631"/>
    <w:rsid w:val="003F0B3F"/>
    <w:rsid w:val="003F0BC6"/>
    <w:rsid w:val="003F0C41"/>
    <w:rsid w:val="003F1B98"/>
    <w:rsid w:val="003F20EA"/>
    <w:rsid w:val="003F2650"/>
    <w:rsid w:val="003F2B29"/>
    <w:rsid w:val="003F3A1D"/>
    <w:rsid w:val="003F4BA8"/>
    <w:rsid w:val="003F5CCF"/>
    <w:rsid w:val="003F5E37"/>
    <w:rsid w:val="003F6A84"/>
    <w:rsid w:val="003F7ABE"/>
    <w:rsid w:val="0040111C"/>
    <w:rsid w:val="004015F0"/>
    <w:rsid w:val="0040177D"/>
    <w:rsid w:val="0040281C"/>
    <w:rsid w:val="00403277"/>
    <w:rsid w:val="00403E2E"/>
    <w:rsid w:val="00404706"/>
    <w:rsid w:val="00404C8D"/>
    <w:rsid w:val="00405D19"/>
    <w:rsid w:val="00405D2C"/>
    <w:rsid w:val="0041392E"/>
    <w:rsid w:val="00413D21"/>
    <w:rsid w:val="00415422"/>
    <w:rsid w:val="00416C1E"/>
    <w:rsid w:val="00420311"/>
    <w:rsid w:val="00420764"/>
    <w:rsid w:val="00420D30"/>
    <w:rsid w:val="004214B0"/>
    <w:rsid w:val="00423A50"/>
    <w:rsid w:val="0042421D"/>
    <w:rsid w:val="00424534"/>
    <w:rsid w:val="0042604E"/>
    <w:rsid w:val="00426721"/>
    <w:rsid w:val="00426FBD"/>
    <w:rsid w:val="004270C5"/>
    <w:rsid w:val="00427261"/>
    <w:rsid w:val="0043039F"/>
    <w:rsid w:val="004306F4"/>
    <w:rsid w:val="00430878"/>
    <w:rsid w:val="00430C38"/>
    <w:rsid w:val="00432854"/>
    <w:rsid w:val="004332B2"/>
    <w:rsid w:val="00433323"/>
    <w:rsid w:val="00433444"/>
    <w:rsid w:val="0043393B"/>
    <w:rsid w:val="00434FE0"/>
    <w:rsid w:val="00435345"/>
    <w:rsid w:val="00435784"/>
    <w:rsid w:val="00435ECB"/>
    <w:rsid w:val="00436290"/>
    <w:rsid w:val="0043637F"/>
    <w:rsid w:val="00436485"/>
    <w:rsid w:val="00437040"/>
    <w:rsid w:val="0044108C"/>
    <w:rsid w:val="00441364"/>
    <w:rsid w:val="00441D7C"/>
    <w:rsid w:val="00442432"/>
    <w:rsid w:val="00442A05"/>
    <w:rsid w:val="00442DA6"/>
    <w:rsid w:val="004444D9"/>
    <w:rsid w:val="004445FA"/>
    <w:rsid w:val="00444EF2"/>
    <w:rsid w:val="00445102"/>
    <w:rsid w:val="0044518D"/>
    <w:rsid w:val="004472A2"/>
    <w:rsid w:val="004475ED"/>
    <w:rsid w:val="00450122"/>
    <w:rsid w:val="00450CEC"/>
    <w:rsid w:val="00451D9D"/>
    <w:rsid w:val="00451E1B"/>
    <w:rsid w:val="00452150"/>
    <w:rsid w:val="004523E0"/>
    <w:rsid w:val="004534C4"/>
    <w:rsid w:val="00453E57"/>
    <w:rsid w:val="00454229"/>
    <w:rsid w:val="004552E6"/>
    <w:rsid w:val="00456675"/>
    <w:rsid w:val="00456AE2"/>
    <w:rsid w:val="00457CA6"/>
    <w:rsid w:val="0046082E"/>
    <w:rsid w:val="00461961"/>
    <w:rsid w:val="00463C8E"/>
    <w:rsid w:val="004643B7"/>
    <w:rsid w:val="00464823"/>
    <w:rsid w:val="00464831"/>
    <w:rsid w:val="00465644"/>
    <w:rsid w:val="00465A72"/>
    <w:rsid w:val="0046662C"/>
    <w:rsid w:val="004675AF"/>
    <w:rsid w:val="004700A3"/>
    <w:rsid w:val="004705A7"/>
    <w:rsid w:val="004717AB"/>
    <w:rsid w:val="004720B3"/>
    <w:rsid w:val="004722A8"/>
    <w:rsid w:val="0047271F"/>
    <w:rsid w:val="00472B51"/>
    <w:rsid w:val="004764DE"/>
    <w:rsid w:val="00477278"/>
    <w:rsid w:val="00477444"/>
    <w:rsid w:val="00477FEB"/>
    <w:rsid w:val="00480909"/>
    <w:rsid w:val="004820D4"/>
    <w:rsid w:val="00482241"/>
    <w:rsid w:val="004825A1"/>
    <w:rsid w:val="004829B3"/>
    <w:rsid w:val="00482B91"/>
    <w:rsid w:val="00482C96"/>
    <w:rsid w:val="00483C0A"/>
    <w:rsid w:val="00483FE6"/>
    <w:rsid w:val="004846BA"/>
    <w:rsid w:val="00486549"/>
    <w:rsid w:val="00486F9E"/>
    <w:rsid w:val="00487D0A"/>
    <w:rsid w:val="00490286"/>
    <w:rsid w:val="00490F74"/>
    <w:rsid w:val="00492224"/>
    <w:rsid w:val="004933C7"/>
    <w:rsid w:val="0049638D"/>
    <w:rsid w:val="00496CAB"/>
    <w:rsid w:val="0049759A"/>
    <w:rsid w:val="004A05EB"/>
    <w:rsid w:val="004A14D8"/>
    <w:rsid w:val="004A1571"/>
    <w:rsid w:val="004A195B"/>
    <w:rsid w:val="004A36BF"/>
    <w:rsid w:val="004A527A"/>
    <w:rsid w:val="004A5D6E"/>
    <w:rsid w:val="004A5DE0"/>
    <w:rsid w:val="004A5EEB"/>
    <w:rsid w:val="004A78CA"/>
    <w:rsid w:val="004B094B"/>
    <w:rsid w:val="004B119A"/>
    <w:rsid w:val="004B1B7C"/>
    <w:rsid w:val="004B284B"/>
    <w:rsid w:val="004B35E3"/>
    <w:rsid w:val="004B4F52"/>
    <w:rsid w:val="004B5489"/>
    <w:rsid w:val="004B54C4"/>
    <w:rsid w:val="004B5A16"/>
    <w:rsid w:val="004B5EFD"/>
    <w:rsid w:val="004B74CD"/>
    <w:rsid w:val="004B794C"/>
    <w:rsid w:val="004B7F17"/>
    <w:rsid w:val="004C0193"/>
    <w:rsid w:val="004C0B45"/>
    <w:rsid w:val="004C4531"/>
    <w:rsid w:val="004C47FC"/>
    <w:rsid w:val="004C4BB9"/>
    <w:rsid w:val="004C4E92"/>
    <w:rsid w:val="004C53FA"/>
    <w:rsid w:val="004C5401"/>
    <w:rsid w:val="004C65F0"/>
    <w:rsid w:val="004C6919"/>
    <w:rsid w:val="004C6E1E"/>
    <w:rsid w:val="004C7C13"/>
    <w:rsid w:val="004D09FF"/>
    <w:rsid w:val="004D1781"/>
    <w:rsid w:val="004D19FD"/>
    <w:rsid w:val="004D1F1B"/>
    <w:rsid w:val="004D1FCB"/>
    <w:rsid w:val="004D253F"/>
    <w:rsid w:val="004D332A"/>
    <w:rsid w:val="004D3FB3"/>
    <w:rsid w:val="004D5398"/>
    <w:rsid w:val="004D5CB9"/>
    <w:rsid w:val="004D5D42"/>
    <w:rsid w:val="004D6447"/>
    <w:rsid w:val="004D6F2F"/>
    <w:rsid w:val="004E0892"/>
    <w:rsid w:val="004E166A"/>
    <w:rsid w:val="004E2E2E"/>
    <w:rsid w:val="004E2EE9"/>
    <w:rsid w:val="004E3B40"/>
    <w:rsid w:val="004E3CEC"/>
    <w:rsid w:val="004E3DA6"/>
    <w:rsid w:val="004E4395"/>
    <w:rsid w:val="004E4C1A"/>
    <w:rsid w:val="004E5123"/>
    <w:rsid w:val="004E5E10"/>
    <w:rsid w:val="004E6941"/>
    <w:rsid w:val="004E7102"/>
    <w:rsid w:val="004E7A81"/>
    <w:rsid w:val="004F024D"/>
    <w:rsid w:val="004F2719"/>
    <w:rsid w:val="004F3DD8"/>
    <w:rsid w:val="004F6035"/>
    <w:rsid w:val="004F61A6"/>
    <w:rsid w:val="004F726B"/>
    <w:rsid w:val="004F7596"/>
    <w:rsid w:val="004F7DE2"/>
    <w:rsid w:val="005000EC"/>
    <w:rsid w:val="00500417"/>
    <w:rsid w:val="005017A6"/>
    <w:rsid w:val="005018C9"/>
    <w:rsid w:val="00501EC0"/>
    <w:rsid w:val="00502A65"/>
    <w:rsid w:val="00503800"/>
    <w:rsid w:val="0050687D"/>
    <w:rsid w:val="00507662"/>
    <w:rsid w:val="00507D8C"/>
    <w:rsid w:val="0051144A"/>
    <w:rsid w:val="005159B8"/>
    <w:rsid w:val="00516108"/>
    <w:rsid w:val="00517AAA"/>
    <w:rsid w:val="00517D66"/>
    <w:rsid w:val="00521CFA"/>
    <w:rsid w:val="00522354"/>
    <w:rsid w:val="005223C2"/>
    <w:rsid w:val="00523990"/>
    <w:rsid w:val="00524CA2"/>
    <w:rsid w:val="0052594B"/>
    <w:rsid w:val="00526F8D"/>
    <w:rsid w:val="0052706C"/>
    <w:rsid w:val="00530DDC"/>
    <w:rsid w:val="005310B8"/>
    <w:rsid w:val="005326E9"/>
    <w:rsid w:val="00532822"/>
    <w:rsid w:val="00532E6D"/>
    <w:rsid w:val="0053572A"/>
    <w:rsid w:val="005359A5"/>
    <w:rsid w:val="0053641E"/>
    <w:rsid w:val="00536F20"/>
    <w:rsid w:val="005400ED"/>
    <w:rsid w:val="00541176"/>
    <w:rsid w:val="00541A29"/>
    <w:rsid w:val="00541A93"/>
    <w:rsid w:val="00542116"/>
    <w:rsid w:val="00542381"/>
    <w:rsid w:val="0054419D"/>
    <w:rsid w:val="005444A6"/>
    <w:rsid w:val="0054472A"/>
    <w:rsid w:val="00545327"/>
    <w:rsid w:val="00547CB6"/>
    <w:rsid w:val="00550542"/>
    <w:rsid w:val="00550577"/>
    <w:rsid w:val="00551BC4"/>
    <w:rsid w:val="0055243F"/>
    <w:rsid w:val="00552CC7"/>
    <w:rsid w:val="0055379D"/>
    <w:rsid w:val="0055426E"/>
    <w:rsid w:val="00555330"/>
    <w:rsid w:val="00556621"/>
    <w:rsid w:val="00556B87"/>
    <w:rsid w:val="00556D4A"/>
    <w:rsid w:val="00557314"/>
    <w:rsid w:val="0055765D"/>
    <w:rsid w:val="005602B9"/>
    <w:rsid w:val="0056033C"/>
    <w:rsid w:val="00563A7D"/>
    <w:rsid w:val="005640F6"/>
    <w:rsid w:val="00564580"/>
    <w:rsid w:val="00565E7B"/>
    <w:rsid w:val="00566591"/>
    <w:rsid w:val="00566AAB"/>
    <w:rsid w:val="00567069"/>
    <w:rsid w:val="00567237"/>
    <w:rsid w:val="00570819"/>
    <w:rsid w:val="00570AD1"/>
    <w:rsid w:val="00570B8C"/>
    <w:rsid w:val="00570FAD"/>
    <w:rsid w:val="0057116B"/>
    <w:rsid w:val="00571412"/>
    <w:rsid w:val="00571B67"/>
    <w:rsid w:val="005729D4"/>
    <w:rsid w:val="00573293"/>
    <w:rsid w:val="0057347F"/>
    <w:rsid w:val="00574210"/>
    <w:rsid w:val="00574581"/>
    <w:rsid w:val="00575790"/>
    <w:rsid w:val="00575EF4"/>
    <w:rsid w:val="00575F99"/>
    <w:rsid w:val="005764D3"/>
    <w:rsid w:val="0058042E"/>
    <w:rsid w:val="00580C13"/>
    <w:rsid w:val="00580EA0"/>
    <w:rsid w:val="0058158B"/>
    <w:rsid w:val="00581D95"/>
    <w:rsid w:val="00581FD2"/>
    <w:rsid w:val="00582A53"/>
    <w:rsid w:val="00582B45"/>
    <w:rsid w:val="005835DD"/>
    <w:rsid w:val="005838AB"/>
    <w:rsid w:val="00583F09"/>
    <w:rsid w:val="00584BF3"/>
    <w:rsid w:val="00585F5B"/>
    <w:rsid w:val="00586218"/>
    <w:rsid w:val="0058661D"/>
    <w:rsid w:val="00586B5E"/>
    <w:rsid w:val="00586EDA"/>
    <w:rsid w:val="00587068"/>
    <w:rsid w:val="00587120"/>
    <w:rsid w:val="0059124E"/>
    <w:rsid w:val="005922C6"/>
    <w:rsid w:val="00592AD9"/>
    <w:rsid w:val="0059302E"/>
    <w:rsid w:val="00596F05"/>
    <w:rsid w:val="005A0810"/>
    <w:rsid w:val="005A118A"/>
    <w:rsid w:val="005A1927"/>
    <w:rsid w:val="005A3474"/>
    <w:rsid w:val="005A3BDD"/>
    <w:rsid w:val="005A40D6"/>
    <w:rsid w:val="005A4F0E"/>
    <w:rsid w:val="005A58A9"/>
    <w:rsid w:val="005A75A2"/>
    <w:rsid w:val="005A7CBC"/>
    <w:rsid w:val="005A7FA9"/>
    <w:rsid w:val="005B2500"/>
    <w:rsid w:val="005B3395"/>
    <w:rsid w:val="005B343A"/>
    <w:rsid w:val="005B3C97"/>
    <w:rsid w:val="005B3FF3"/>
    <w:rsid w:val="005B41FF"/>
    <w:rsid w:val="005B474A"/>
    <w:rsid w:val="005B58BD"/>
    <w:rsid w:val="005B6588"/>
    <w:rsid w:val="005B7450"/>
    <w:rsid w:val="005B7578"/>
    <w:rsid w:val="005C00B5"/>
    <w:rsid w:val="005C0499"/>
    <w:rsid w:val="005C2039"/>
    <w:rsid w:val="005C2B75"/>
    <w:rsid w:val="005C41BE"/>
    <w:rsid w:val="005C4FAD"/>
    <w:rsid w:val="005C5736"/>
    <w:rsid w:val="005C6F3F"/>
    <w:rsid w:val="005C6F8B"/>
    <w:rsid w:val="005C7391"/>
    <w:rsid w:val="005C7705"/>
    <w:rsid w:val="005C79B8"/>
    <w:rsid w:val="005C7E9D"/>
    <w:rsid w:val="005D060E"/>
    <w:rsid w:val="005D16F7"/>
    <w:rsid w:val="005D18B4"/>
    <w:rsid w:val="005D1B5F"/>
    <w:rsid w:val="005D1D3E"/>
    <w:rsid w:val="005D2AFC"/>
    <w:rsid w:val="005D451A"/>
    <w:rsid w:val="005D4A24"/>
    <w:rsid w:val="005D54A4"/>
    <w:rsid w:val="005D63FC"/>
    <w:rsid w:val="005D69D5"/>
    <w:rsid w:val="005D6EF1"/>
    <w:rsid w:val="005D733F"/>
    <w:rsid w:val="005E0660"/>
    <w:rsid w:val="005E18A0"/>
    <w:rsid w:val="005E21A7"/>
    <w:rsid w:val="005E2262"/>
    <w:rsid w:val="005E24C9"/>
    <w:rsid w:val="005E2FBC"/>
    <w:rsid w:val="005E4099"/>
    <w:rsid w:val="005E5C97"/>
    <w:rsid w:val="005E6BC0"/>
    <w:rsid w:val="005E7468"/>
    <w:rsid w:val="005E74E8"/>
    <w:rsid w:val="005F0A4C"/>
    <w:rsid w:val="005F0BE6"/>
    <w:rsid w:val="005F172B"/>
    <w:rsid w:val="005F1B3A"/>
    <w:rsid w:val="005F201D"/>
    <w:rsid w:val="005F218C"/>
    <w:rsid w:val="005F256F"/>
    <w:rsid w:val="005F2C08"/>
    <w:rsid w:val="005F2D38"/>
    <w:rsid w:val="005F4B5B"/>
    <w:rsid w:val="005F5071"/>
    <w:rsid w:val="005F58AB"/>
    <w:rsid w:val="005F61C5"/>
    <w:rsid w:val="005F66D3"/>
    <w:rsid w:val="005F6D37"/>
    <w:rsid w:val="005F750A"/>
    <w:rsid w:val="005F7614"/>
    <w:rsid w:val="0060024E"/>
    <w:rsid w:val="006002C2"/>
    <w:rsid w:val="00600481"/>
    <w:rsid w:val="0060144C"/>
    <w:rsid w:val="006017CF"/>
    <w:rsid w:val="0060246C"/>
    <w:rsid w:val="006027D6"/>
    <w:rsid w:val="006028A1"/>
    <w:rsid w:val="006028C6"/>
    <w:rsid w:val="00602CCA"/>
    <w:rsid w:val="00604639"/>
    <w:rsid w:val="00606C4D"/>
    <w:rsid w:val="00606E52"/>
    <w:rsid w:val="00607002"/>
    <w:rsid w:val="006073C9"/>
    <w:rsid w:val="0060791D"/>
    <w:rsid w:val="00607B62"/>
    <w:rsid w:val="00607F21"/>
    <w:rsid w:val="00610866"/>
    <w:rsid w:val="0061142F"/>
    <w:rsid w:val="006124BC"/>
    <w:rsid w:val="006129C2"/>
    <w:rsid w:val="00613158"/>
    <w:rsid w:val="00616639"/>
    <w:rsid w:val="00617596"/>
    <w:rsid w:val="00617D53"/>
    <w:rsid w:val="00620409"/>
    <w:rsid w:val="00620B1B"/>
    <w:rsid w:val="00623B07"/>
    <w:rsid w:val="00623EE7"/>
    <w:rsid w:val="00624B63"/>
    <w:rsid w:val="00624DAA"/>
    <w:rsid w:val="006254FC"/>
    <w:rsid w:val="006262C6"/>
    <w:rsid w:val="00627228"/>
    <w:rsid w:val="00627D54"/>
    <w:rsid w:val="00630069"/>
    <w:rsid w:val="00630A5B"/>
    <w:rsid w:val="0063107F"/>
    <w:rsid w:val="00632437"/>
    <w:rsid w:val="00632771"/>
    <w:rsid w:val="00632FB4"/>
    <w:rsid w:val="00633508"/>
    <w:rsid w:val="00633A3D"/>
    <w:rsid w:val="006349B0"/>
    <w:rsid w:val="00635640"/>
    <w:rsid w:val="006356F6"/>
    <w:rsid w:val="00635A6C"/>
    <w:rsid w:val="00635DB0"/>
    <w:rsid w:val="0063690D"/>
    <w:rsid w:val="0063724B"/>
    <w:rsid w:val="006375C7"/>
    <w:rsid w:val="006375CA"/>
    <w:rsid w:val="00640017"/>
    <w:rsid w:val="0064105B"/>
    <w:rsid w:val="0064193C"/>
    <w:rsid w:val="00641F89"/>
    <w:rsid w:val="00642D39"/>
    <w:rsid w:val="00642D5E"/>
    <w:rsid w:val="00643C0C"/>
    <w:rsid w:val="00645367"/>
    <w:rsid w:val="00645A8E"/>
    <w:rsid w:val="00646802"/>
    <w:rsid w:val="00646E8E"/>
    <w:rsid w:val="00646F92"/>
    <w:rsid w:val="00650554"/>
    <w:rsid w:val="0065064E"/>
    <w:rsid w:val="00650FE9"/>
    <w:rsid w:val="006523FE"/>
    <w:rsid w:val="006527D7"/>
    <w:rsid w:val="00654093"/>
    <w:rsid w:val="0065417D"/>
    <w:rsid w:val="006558F8"/>
    <w:rsid w:val="00655D5E"/>
    <w:rsid w:val="00656B72"/>
    <w:rsid w:val="0065724F"/>
    <w:rsid w:val="00657694"/>
    <w:rsid w:val="00657E0A"/>
    <w:rsid w:val="00660939"/>
    <w:rsid w:val="0066206C"/>
    <w:rsid w:val="00662745"/>
    <w:rsid w:val="00663187"/>
    <w:rsid w:val="00663442"/>
    <w:rsid w:val="006635BD"/>
    <w:rsid w:val="00663739"/>
    <w:rsid w:val="006660B8"/>
    <w:rsid w:val="00666318"/>
    <w:rsid w:val="006669FC"/>
    <w:rsid w:val="00666DEF"/>
    <w:rsid w:val="00667801"/>
    <w:rsid w:val="00670EB1"/>
    <w:rsid w:val="00670EC5"/>
    <w:rsid w:val="00671492"/>
    <w:rsid w:val="0067164C"/>
    <w:rsid w:val="00671FD8"/>
    <w:rsid w:val="0067326A"/>
    <w:rsid w:val="00673A9F"/>
    <w:rsid w:val="00673F79"/>
    <w:rsid w:val="0067422D"/>
    <w:rsid w:val="00675C01"/>
    <w:rsid w:val="00676F55"/>
    <w:rsid w:val="006771A8"/>
    <w:rsid w:val="006801AA"/>
    <w:rsid w:val="00680DA9"/>
    <w:rsid w:val="00682682"/>
    <w:rsid w:val="00683FAC"/>
    <w:rsid w:val="00684EA4"/>
    <w:rsid w:val="00685DCB"/>
    <w:rsid w:val="00685ECC"/>
    <w:rsid w:val="00687611"/>
    <w:rsid w:val="0068779A"/>
    <w:rsid w:val="0068783E"/>
    <w:rsid w:val="0069021E"/>
    <w:rsid w:val="006912C7"/>
    <w:rsid w:val="006926D4"/>
    <w:rsid w:val="00693388"/>
    <w:rsid w:val="00693943"/>
    <w:rsid w:val="00694B8A"/>
    <w:rsid w:val="00695DD2"/>
    <w:rsid w:val="006966CF"/>
    <w:rsid w:val="00696945"/>
    <w:rsid w:val="00696D55"/>
    <w:rsid w:val="0069700E"/>
    <w:rsid w:val="0069722D"/>
    <w:rsid w:val="006976AA"/>
    <w:rsid w:val="006979F1"/>
    <w:rsid w:val="006A01DC"/>
    <w:rsid w:val="006A065B"/>
    <w:rsid w:val="006A125D"/>
    <w:rsid w:val="006A1426"/>
    <w:rsid w:val="006A1C2C"/>
    <w:rsid w:val="006A24E6"/>
    <w:rsid w:val="006A29AE"/>
    <w:rsid w:val="006A3BF7"/>
    <w:rsid w:val="006A4C50"/>
    <w:rsid w:val="006A4D38"/>
    <w:rsid w:val="006A50AF"/>
    <w:rsid w:val="006A526C"/>
    <w:rsid w:val="006A5A14"/>
    <w:rsid w:val="006B184D"/>
    <w:rsid w:val="006B1B5E"/>
    <w:rsid w:val="006B217E"/>
    <w:rsid w:val="006B3738"/>
    <w:rsid w:val="006B53D0"/>
    <w:rsid w:val="006B57E1"/>
    <w:rsid w:val="006B59CD"/>
    <w:rsid w:val="006B5C9E"/>
    <w:rsid w:val="006B5F1F"/>
    <w:rsid w:val="006B6D0B"/>
    <w:rsid w:val="006B7684"/>
    <w:rsid w:val="006C1574"/>
    <w:rsid w:val="006C160F"/>
    <w:rsid w:val="006C18D4"/>
    <w:rsid w:val="006C1BA9"/>
    <w:rsid w:val="006C3318"/>
    <w:rsid w:val="006C37B5"/>
    <w:rsid w:val="006C3A68"/>
    <w:rsid w:val="006C3D7E"/>
    <w:rsid w:val="006C4253"/>
    <w:rsid w:val="006C4A82"/>
    <w:rsid w:val="006C4D2A"/>
    <w:rsid w:val="006C6B20"/>
    <w:rsid w:val="006D04FA"/>
    <w:rsid w:val="006D122C"/>
    <w:rsid w:val="006D14BE"/>
    <w:rsid w:val="006D17C3"/>
    <w:rsid w:val="006D1F0C"/>
    <w:rsid w:val="006D2923"/>
    <w:rsid w:val="006D2ABF"/>
    <w:rsid w:val="006D415E"/>
    <w:rsid w:val="006D44E9"/>
    <w:rsid w:val="006D4CA4"/>
    <w:rsid w:val="006D5198"/>
    <w:rsid w:val="006D532D"/>
    <w:rsid w:val="006D5679"/>
    <w:rsid w:val="006D76A7"/>
    <w:rsid w:val="006D78EB"/>
    <w:rsid w:val="006E0A6E"/>
    <w:rsid w:val="006E0D03"/>
    <w:rsid w:val="006E26CA"/>
    <w:rsid w:val="006E2757"/>
    <w:rsid w:val="006E2DB8"/>
    <w:rsid w:val="006E3F0D"/>
    <w:rsid w:val="006E43B8"/>
    <w:rsid w:val="006E4C45"/>
    <w:rsid w:val="006E54ED"/>
    <w:rsid w:val="006E57A7"/>
    <w:rsid w:val="006E6959"/>
    <w:rsid w:val="006E6D80"/>
    <w:rsid w:val="006E70DF"/>
    <w:rsid w:val="006E7AA6"/>
    <w:rsid w:val="006E7EFF"/>
    <w:rsid w:val="006F06EC"/>
    <w:rsid w:val="006F14DF"/>
    <w:rsid w:val="006F162E"/>
    <w:rsid w:val="006F349F"/>
    <w:rsid w:val="006F3828"/>
    <w:rsid w:val="006F42C2"/>
    <w:rsid w:val="006F459A"/>
    <w:rsid w:val="006F4A11"/>
    <w:rsid w:val="006F55E2"/>
    <w:rsid w:val="006F5699"/>
    <w:rsid w:val="006F5D41"/>
    <w:rsid w:val="006F693A"/>
    <w:rsid w:val="006F76A6"/>
    <w:rsid w:val="006F7BDF"/>
    <w:rsid w:val="007008D6"/>
    <w:rsid w:val="00700AC4"/>
    <w:rsid w:val="00700BEC"/>
    <w:rsid w:val="00700FCE"/>
    <w:rsid w:val="00701918"/>
    <w:rsid w:val="00702CF6"/>
    <w:rsid w:val="007034D6"/>
    <w:rsid w:val="0070456A"/>
    <w:rsid w:val="00704F36"/>
    <w:rsid w:val="00705752"/>
    <w:rsid w:val="00705E63"/>
    <w:rsid w:val="00706B80"/>
    <w:rsid w:val="00710919"/>
    <w:rsid w:val="007111C1"/>
    <w:rsid w:val="00711C0E"/>
    <w:rsid w:val="007129E7"/>
    <w:rsid w:val="00712E26"/>
    <w:rsid w:val="0071527E"/>
    <w:rsid w:val="00715FED"/>
    <w:rsid w:val="007204F5"/>
    <w:rsid w:val="00720544"/>
    <w:rsid w:val="007207C1"/>
    <w:rsid w:val="00720A12"/>
    <w:rsid w:val="00721EB7"/>
    <w:rsid w:val="0072230F"/>
    <w:rsid w:val="007228FB"/>
    <w:rsid w:val="00722B52"/>
    <w:rsid w:val="007231FE"/>
    <w:rsid w:val="00723446"/>
    <w:rsid w:val="00723E10"/>
    <w:rsid w:val="0072472B"/>
    <w:rsid w:val="00724737"/>
    <w:rsid w:val="00724A37"/>
    <w:rsid w:val="007250E3"/>
    <w:rsid w:val="007251C6"/>
    <w:rsid w:val="00725EED"/>
    <w:rsid w:val="00725FF4"/>
    <w:rsid w:val="00726710"/>
    <w:rsid w:val="0072734A"/>
    <w:rsid w:val="00730983"/>
    <w:rsid w:val="007315A2"/>
    <w:rsid w:val="007321FF"/>
    <w:rsid w:val="00734ED5"/>
    <w:rsid w:val="00735F4C"/>
    <w:rsid w:val="00737077"/>
    <w:rsid w:val="007403C1"/>
    <w:rsid w:val="00740549"/>
    <w:rsid w:val="00740C25"/>
    <w:rsid w:val="0074102E"/>
    <w:rsid w:val="00741974"/>
    <w:rsid w:val="00743915"/>
    <w:rsid w:val="00743F44"/>
    <w:rsid w:val="00743F48"/>
    <w:rsid w:val="00744BAD"/>
    <w:rsid w:val="00745659"/>
    <w:rsid w:val="00745E83"/>
    <w:rsid w:val="00746C21"/>
    <w:rsid w:val="00746C27"/>
    <w:rsid w:val="0074778E"/>
    <w:rsid w:val="00751641"/>
    <w:rsid w:val="00751D53"/>
    <w:rsid w:val="00751EF6"/>
    <w:rsid w:val="00753561"/>
    <w:rsid w:val="00754D91"/>
    <w:rsid w:val="00755390"/>
    <w:rsid w:val="00755FF1"/>
    <w:rsid w:val="0075715F"/>
    <w:rsid w:val="00761363"/>
    <w:rsid w:val="00761D11"/>
    <w:rsid w:val="007620B6"/>
    <w:rsid w:val="0076322A"/>
    <w:rsid w:val="00763966"/>
    <w:rsid w:val="00763A81"/>
    <w:rsid w:val="007642C9"/>
    <w:rsid w:val="00764891"/>
    <w:rsid w:val="007649AC"/>
    <w:rsid w:val="007667EC"/>
    <w:rsid w:val="00766BBB"/>
    <w:rsid w:val="0076707A"/>
    <w:rsid w:val="00767EB2"/>
    <w:rsid w:val="00770BF0"/>
    <w:rsid w:val="007723D9"/>
    <w:rsid w:val="007729D6"/>
    <w:rsid w:val="0077427D"/>
    <w:rsid w:val="007744CB"/>
    <w:rsid w:val="007749A0"/>
    <w:rsid w:val="00775ADD"/>
    <w:rsid w:val="00776090"/>
    <w:rsid w:val="007760F4"/>
    <w:rsid w:val="00776135"/>
    <w:rsid w:val="00777C68"/>
    <w:rsid w:val="00781148"/>
    <w:rsid w:val="0078275B"/>
    <w:rsid w:val="00782A95"/>
    <w:rsid w:val="007840A9"/>
    <w:rsid w:val="00785E67"/>
    <w:rsid w:val="0079209D"/>
    <w:rsid w:val="007921DA"/>
    <w:rsid w:val="00792910"/>
    <w:rsid w:val="007929F0"/>
    <w:rsid w:val="00793DC9"/>
    <w:rsid w:val="00793DD5"/>
    <w:rsid w:val="00794229"/>
    <w:rsid w:val="00794D0A"/>
    <w:rsid w:val="007957A5"/>
    <w:rsid w:val="00795B61"/>
    <w:rsid w:val="00796E48"/>
    <w:rsid w:val="007976E6"/>
    <w:rsid w:val="00797C9D"/>
    <w:rsid w:val="007A013D"/>
    <w:rsid w:val="007A037B"/>
    <w:rsid w:val="007A06C0"/>
    <w:rsid w:val="007A283A"/>
    <w:rsid w:val="007A3B0C"/>
    <w:rsid w:val="007A658D"/>
    <w:rsid w:val="007A6AA3"/>
    <w:rsid w:val="007A6D25"/>
    <w:rsid w:val="007B0D16"/>
    <w:rsid w:val="007B140F"/>
    <w:rsid w:val="007B1C31"/>
    <w:rsid w:val="007B23AA"/>
    <w:rsid w:val="007B28A1"/>
    <w:rsid w:val="007B2ACF"/>
    <w:rsid w:val="007B2B00"/>
    <w:rsid w:val="007B39E7"/>
    <w:rsid w:val="007B48CE"/>
    <w:rsid w:val="007B55E7"/>
    <w:rsid w:val="007B70A6"/>
    <w:rsid w:val="007C07C0"/>
    <w:rsid w:val="007C1263"/>
    <w:rsid w:val="007C1EB0"/>
    <w:rsid w:val="007C2A2E"/>
    <w:rsid w:val="007C2D01"/>
    <w:rsid w:val="007C32C4"/>
    <w:rsid w:val="007C3F30"/>
    <w:rsid w:val="007C41FA"/>
    <w:rsid w:val="007C4CE7"/>
    <w:rsid w:val="007C51DF"/>
    <w:rsid w:val="007C681C"/>
    <w:rsid w:val="007D0C7C"/>
    <w:rsid w:val="007D155F"/>
    <w:rsid w:val="007D1911"/>
    <w:rsid w:val="007D2DF4"/>
    <w:rsid w:val="007D3035"/>
    <w:rsid w:val="007D3C0B"/>
    <w:rsid w:val="007D3DB3"/>
    <w:rsid w:val="007D4FC4"/>
    <w:rsid w:val="007D5348"/>
    <w:rsid w:val="007D5AB1"/>
    <w:rsid w:val="007D63BC"/>
    <w:rsid w:val="007D6BA8"/>
    <w:rsid w:val="007D6F33"/>
    <w:rsid w:val="007D6F8D"/>
    <w:rsid w:val="007D7CF4"/>
    <w:rsid w:val="007E004C"/>
    <w:rsid w:val="007E0359"/>
    <w:rsid w:val="007E19E5"/>
    <w:rsid w:val="007E2D4F"/>
    <w:rsid w:val="007E3025"/>
    <w:rsid w:val="007E37AC"/>
    <w:rsid w:val="007E4340"/>
    <w:rsid w:val="007E44B1"/>
    <w:rsid w:val="007E486A"/>
    <w:rsid w:val="007E4C3A"/>
    <w:rsid w:val="007E5802"/>
    <w:rsid w:val="007E6D11"/>
    <w:rsid w:val="007F1518"/>
    <w:rsid w:val="007F197F"/>
    <w:rsid w:val="007F2FB5"/>
    <w:rsid w:val="007F385D"/>
    <w:rsid w:val="007F3A0F"/>
    <w:rsid w:val="007F3B89"/>
    <w:rsid w:val="007F3BDD"/>
    <w:rsid w:val="007F6752"/>
    <w:rsid w:val="007F7AD7"/>
    <w:rsid w:val="007F7B55"/>
    <w:rsid w:val="007F7B76"/>
    <w:rsid w:val="00800A39"/>
    <w:rsid w:val="00800CD9"/>
    <w:rsid w:val="00801054"/>
    <w:rsid w:val="00801A89"/>
    <w:rsid w:val="00801ACD"/>
    <w:rsid w:val="00801E0D"/>
    <w:rsid w:val="00801F3D"/>
    <w:rsid w:val="00802280"/>
    <w:rsid w:val="00802F18"/>
    <w:rsid w:val="00803084"/>
    <w:rsid w:val="00803915"/>
    <w:rsid w:val="00803E4E"/>
    <w:rsid w:val="00804054"/>
    <w:rsid w:val="00804A6A"/>
    <w:rsid w:val="00807DC7"/>
    <w:rsid w:val="008107C4"/>
    <w:rsid w:val="008114FE"/>
    <w:rsid w:val="00812333"/>
    <w:rsid w:val="00812D14"/>
    <w:rsid w:val="00813576"/>
    <w:rsid w:val="00815622"/>
    <w:rsid w:val="0081658A"/>
    <w:rsid w:val="00816683"/>
    <w:rsid w:val="00817179"/>
    <w:rsid w:val="008174D0"/>
    <w:rsid w:val="00817D36"/>
    <w:rsid w:val="00820375"/>
    <w:rsid w:val="008205D2"/>
    <w:rsid w:val="00820B19"/>
    <w:rsid w:val="008212F9"/>
    <w:rsid w:val="00821C38"/>
    <w:rsid w:val="00822BE4"/>
    <w:rsid w:val="00822C05"/>
    <w:rsid w:val="00823468"/>
    <w:rsid w:val="0082363C"/>
    <w:rsid w:val="008239B9"/>
    <w:rsid w:val="00823D07"/>
    <w:rsid w:val="00825B80"/>
    <w:rsid w:val="008264F4"/>
    <w:rsid w:val="00826798"/>
    <w:rsid w:val="00826AD5"/>
    <w:rsid w:val="00826B03"/>
    <w:rsid w:val="00827645"/>
    <w:rsid w:val="00830159"/>
    <w:rsid w:val="00831A59"/>
    <w:rsid w:val="00831E69"/>
    <w:rsid w:val="00832234"/>
    <w:rsid w:val="00832430"/>
    <w:rsid w:val="008324AB"/>
    <w:rsid w:val="00832D9C"/>
    <w:rsid w:val="008334F4"/>
    <w:rsid w:val="0083429D"/>
    <w:rsid w:val="008343CA"/>
    <w:rsid w:val="00834BA2"/>
    <w:rsid w:val="00834F7E"/>
    <w:rsid w:val="00835C5D"/>
    <w:rsid w:val="008362F2"/>
    <w:rsid w:val="00837148"/>
    <w:rsid w:val="00837A5E"/>
    <w:rsid w:val="00840E49"/>
    <w:rsid w:val="008414B6"/>
    <w:rsid w:val="008420E0"/>
    <w:rsid w:val="0084213C"/>
    <w:rsid w:val="008434B2"/>
    <w:rsid w:val="0084355B"/>
    <w:rsid w:val="0084534F"/>
    <w:rsid w:val="00847199"/>
    <w:rsid w:val="00850327"/>
    <w:rsid w:val="0085080A"/>
    <w:rsid w:val="00850B99"/>
    <w:rsid w:val="008510F7"/>
    <w:rsid w:val="008522FE"/>
    <w:rsid w:val="0085355B"/>
    <w:rsid w:val="00853933"/>
    <w:rsid w:val="00855E60"/>
    <w:rsid w:val="00856248"/>
    <w:rsid w:val="00857E4A"/>
    <w:rsid w:val="0086018A"/>
    <w:rsid w:val="008619BE"/>
    <w:rsid w:val="00861D0D"/>
    <w:rsid w:val="00862101"/>
    <w:rsid w:val="00862F8C"/>
    <w:rsid w:val="00863647"/>
    <w:rsid w:val="008643D8"/>
    <w:rsid w:val="00864585"/>
    <w:rsid w:val="00864A3B"/>
    <w:rsid w:val="008651AB"/>
    <w:rsid w:val="0086525F"/>
    <w:rsid w:val="00865BA5"/>
    <w:rsid w:val="008660BE"/>
    <w:rsid w:val="00867040"/>
    <w:rsid w:val="008678FD"/>
    <w:rsid w:val="00870C81"/>
    <w:rsid w:val="00871956"/>
    <w:rsid w:val="00873A17"/>
    <w:rsid w:val="00873A78"/>
    <w:rsid w:val="00873AC8"/>
    <w:rsid w:val="008756C8"/>
    <w:rsid w:val="00875DAD"/>
    <w:rsid w:val="00877EA3"/>
    <w:rsid w:val="00880CC9"/>
    <w:rsid w:val="00881EA9"/>
    <w:rsid w:val="0088291F"/>
    <w:rsid w:val="00882C59"/>
    <w:rsid w:val="008830F5"/>
    <w:rsid w:val="008839B0"/>
    <w:rsid w:val="00885218"/>
    <w:rsid w:val="008853ED"/>
    <w:rsid w:val="00885F71"/>
    <w:rsid w:val="0089125D"/>
    <w:rsid w:val="00892057"/>
    <w:rsid w:val="008926B1"/>
    <w:rsid w:val="00892C89"/>
    <w:rsid w:val="00892D89"/>
    <w:rsid w:val="008942CA"/>
    <w:rsid w:val="00894E40"/>
    <w:rsid w:val="008956E6"/>
    <w:rsid w:val="00895AC0"/>
    <w:rsid w:val="00895FA3"/>
    <w:rsid w:val="0089655C"/>
    <w:rsid w:val="008967BA"/>
    <w:rsid w:val="00896A8D"/>
    <w:rsid w:val="00896B03"/>
    <w:rsid w:val="00896BA9"/>
    <w:rsid w:val="00896E4F"/>
    <w:rsid w:val="00897DEB"/>
    <w:rsid w:val="00897F2E"/>
    <w:rsid w:val="008A02DB"/>
    <w:rsid w:val="008A08F7"/>
    <w:rsid w:val="008A1458"/>
    <w:rsid w:val="008A1FD5"/>
    <w:rsid w:val="008A4C73"/>
    <w:rsid w:val="008A5110"/>
    <w:rsid w:val="008A57C3"/>
    <w:rsid w:val="008A77AA"/>
    <w:rsid w:val="008B1307"/>
    <w:rsid w:val="008B1545"/>
    <w:rsid w:val="008B1567"/>
    <w:rsid w:val="008B1F3F"/>
    <w:rsid w:val="008B2637"/>
    <w:rsid w:val="008B26DF"/>
    <w:rsid w:val="008B29D9"/>
    <w:rsid w:val="008B2D64"/>
    <w:rsid w:val="008B3A84"/>
    <w:rsid w:val="008B64D0"/>
    <w:rsid w:val="008B7954"/>
    <w:rsid w:val="008B7BEF"/>
    <w:rsid w:val="008C02AF"/>
    <w:rsid w:val="008C0953"/>
    <w:rsid w:val="008C1629"/>
    <w:rsid w:val="008C2E75"/>
    <w:rsid w:val="008C4B0E"/>
    <w:rsid w:val="008C575A"/>
    <w:rsid w:val="008C59FE"/>
    <w:rsid w:val="008C5BB5"/>
    <w:rsid w:val="008C6424"/>
    <w:rsid w:val="008C65F2"/>
    <w:rsid w:val="008C7362"/>
    <w:rsid w:val="008C75C0"/>
    <w:rsid w:val="008D0093"/>
    <w:rsid w:val="008D1377"/>
    <w:rsid w:val="008D22FA"/>
    <w:rsid w:val="008D2686"/>
    <w:rsid w:val="008D3088"/>
    <w:rsid w:val="008D387A"/>
    <w:rsid w:val="008D3E01"/>
    <w:rsid w:val="008D4E24"/>
    <w:rsid w:val="008D517F"/>
    <w:rsid w:val="008D551A"/>
    <w:rsid w:val="008D5CF2"/>
    <w:rsid w:val="008E05AB"/>
    <w:rsid w:val="008E0788"/>
    <w:rsid w:val="008E1728"/>
    <w:rsid w:val="008E2352"/>
    <w:rsid w:val="008E380B"/>
    <w:rsid w:val="008E4079"/>
    <w:rsid w:val="008E4B99"/>
    <w:rsid w:val="008E5C36"/>
    <w:rsid w:val="008E621F"/>
    <w:rsid w:val="008E6F2C"/>
    <w:rsid w:val="008E7076"/>
    <w:rsid w:val="008E71A1"/>
    <w:rsid w:val="008E778F"/>
    <w:rsid w:val="008E7FFC"/>
    <w:rsid w:val="008F10AF"/>
    <w:rsid w:val="008F19B1"/>
    <w:rsid w:val="008F26DA"/>
    <w:rsid w:val="008F2C5C"/>
    <w:rsid w:val="008F3022"/>
    <w:rsid w:val="008F54C6"/>
    <w:rsid w:val="008F5D3E"/>
    <w:rsid w:val="008F67A5"/>
    <w:rsid w:val="008F6B65"/>
    <w:rsid w:val="008F75F2"/>
    <w:rsid w:val="008F78E3"/>
    <w:rsid w:val="008F7C33"/>
    <w:rsid w:val="008F7E85"/>
    <w:rsid w:val="00901AD9"/>
    <w:rsid w:val="00901F39"/>
    <w:rsid w:val="00902DE6"/>
    <w:rsid w:val="009033A8"/>
    <w:rsid w:val="00905562"/>
    <w:rsid w:val="00906255"/>
    <w:rsid w:val="009069D1"/>
    <w:rsid w:val="009070C4"/>
    <w:rsid w:val="00907A9A"/>
    <w:rsid w:val="0091053B"/>
    <w:rsid w:val="009111A8"/>
    <w:rsid w:val="00911D35"/>
    <w:rsid w:val="00911F61"/>
    <w:rsid w:val="00912222"/>
    <w:rsid w:val="0091372D"/>
    <w:rsid w:val="00914327"/>
    <w:rsid w:val="00914BAA"/>
    <w:rsid w:val="00916548"/>
    <w:rsid w:val="00920427"/>
    <w:rsid w:val="009216E6"/>
    <w:rsid w:val="0092194A"/>
    <w:rsid w:val="00921C0D"/>
    <w:rsid w:val="00921C42"/>
    <w:rsid w:val="009221C5"/>
    <w:rsid w:val="009224D0"/>
    <w:rsid w:val="00923FFC"/>
    <w:rsid w:val="00924CC8"/>
    <w:rsid w:val="00924D08"/>
    <w:rsid w:val="00924D8B"/>
    <w:rsid w:val="009254DB"/>
    <w:rsid w:val="00925EB4"/>
    <w:rsid w:val="00925FD9"/>
    <w:rsid w:val="00926377"/>
    <w:rsid w:val="00926A5F"/>
    <w:rsid w:val="00926E2A"/>
    <w:rsid w:val="0092793A"/>
    <w:rsid w:val="00930BDD"/>
    <w:rsid w:val="0093149A"/>
    <w:rsid w:val="00932516"/>
    <w:rsid w:val="00933A10"/>
    <w:rsid w:val="00933FCE"/>
    <w:rsid w:val="00934DB3"/>
    <w:rsid w:val="00934FB1"/>
    <w:rsid w:val="00935330"/>
    <w:rsid w:val="00936D9F"/>
    <w:rsid w:val="00936E71"/>
    <w:rsid w:val="00940826"/>
    <w:rsid w:val="00940D60"/>
    <w:rsid w:val="00941B84"/>
    <w:rsid w:val="0094217F"/>
    <w:rsid w:val="00943196"/>
    <w:rsid w:val="009439FA"/>
    <w:rsid w:val="00943F6E"/>
    <w:rsid w:val="00944521"/>
    <w:rsid w:val="00945323"/>
    <w:rsid w:val="00945974"/>
    <w:rsid w:val="00945CAD"/>
    <w:rsid w:val="009465CA"/>
    <w:rsid w:val="009471E4"/>
    <w:rsid w:val="009474BF"/>
    <w:rsid w:val="00947B3C"/>
    <w:rsid w:val="00947CE9"/>
    <w:rsid w:val="00950645"/>
    <w:rsid w:val="00950DEE"/>
    <w:rsid w:val="009510F9"/>
    <w:rsid w:val="0095138C"/>
    <w:rsid w:val="0095163E"/>
    <w:rsid w:val="00951797"/>
    <w:rsid w:val="00951DE2"/>
    <w:rsid w:val="00952CF3"/>
    <w:rsid w:val="00954AD6"/>
    <w:rsid w:val="0095553A"/>
    <w:rsid w:val="0095617C"/>
    <w:rsid w:val="00956C43"/>
    <w:rsid w:val="00957603"/>
    <w:rsid w:val="00957634"/>
    <w:rsid w:val="00957FA3"/>
    <w:rsid w:val="0096004F"/>
    <w:rsid w:val="00960BFA"/>
    <w:rsid w:val="00960C88"/>
    <w:rsid w:val="009616C8"/>
    <w:rsid w:val="00962EF1"/>
    <w:rsid w:val="009630C5"/>
    <w:rsid w:val="00965DA6"/>
    <w:rsid w:val="009665CF"/>
    <w:rsid w:val="00967DE9"/>
    <w:rsid w:val="009712D6"/>
    <w:rsid w:val="0097147F"/>
    <w:rsid w:val="00971E5A"/>
    <w:rsid w:val="0097258A"/>
    <w:rsid w:val="0097314C"/>
    <w:rsid w:val="00973FD6"/>
    <w:rsid w:val="00975030"/>
    <w:rsid w:val="00976256"/>
    <w:rsid w:val="00976B8C"/>
    <w:rsid w:val="00976DC5"/>
    <w:rsid w:val="00976F03"/>
    <w:rsid w:val="009778A5"/>
    <w:rsid w:val="00980799"/>
    <w:rsid w:val="00980BFC"/>
    <w:rsid w:val="0098107F"/>
    <w:rsid w:val="00981542"/>
    <w:rsid w:val="00982036"/>
    <w:rsid w:val="00982383"/>
    <w:rsid w:val="00982768"/>
    <w:rsid w:val="00982FD2"/>
    <w:rsid w:val="00984E21"/>
    <w:rsid w:val="00985053"/>
    <w:rsid w:val="00985292"/>
    <w:rsid w:val="00985D81"/>
    <w:rsid w:val="00986114"/>
    <w:rsid w:val="009861A9"/>
    <w:rsid w:val="0098704D"/>
    <w:rsid w:val="0099039F"/>
    <w:rsid w:val="00990CE5"/>
    <w:rsid w:val="00990EEC"/>
    <w:rsid w:val="00991346"/>
    <w:rsid w:val="00991963"/>
    <w:rsid w:val="00992245"/>
    <w:rsid w:val="0099306E"/>
    <w:rsid w:val="00994C57"/>
    <w:rsid w:val="00995C1F"/>
    <w:rsid w:val="0099769B"/>
    <w:rsid w:val="009A03EC"/>
    <w:rsid w:val="009A102D"/>
    <w:rsid w:val="009A19B2"/>
    <w:rsid w:val="009A2356"/>
    <w:rsid w:val="009A3150"/>
    <w:rsid w:val="009A355A"/>
    <w:rsid w:val="009A41D0"/>
    <w:rsid w:val="009A448C"/>
    <w:rsid w:val="009A4E28"/>
    <w:rsid w:val="009A56E7"/>
    <w:rsid w:val="009A5E87"/>
    <w:rsid w:val="009B168F"/>
    <w:rsid w:val="009B1B93"/>
    <w:rsid w:val="009B267F"/>
    <w:rsid w:val="009B2DAC"/>
    <w:rsid w:val="009B2FA0"/>
    <w:rsid w:val="009B31D9"/>
    <w:rsid w:val="009B3894"/>
    <w:rsid w:val="009B5389"/>
    <w:rsid w:val="009B7A87"/>
    <w:rsid w:val="009B7D6B"/>
    <w:rsid w:val="009C3027"/>
    <w:rsid w:val="009C30C8"/>
    <w:rsid w:val="009C3376"/>
    <w:rsid w:val="009C4572"/>
    <w:rsid w:val="009C563E"/>
    <w:rsid w:val="009C5D1C"/>
    <w:rsid w:val="009C6AD7"/>
    <w:rsid w:val="009C7038"/>
    <w:rsid w:val="009C7EC6"/>
    <w:rsid w:val="009D33ED"/>
    <w:rsid w:val="009D39B8"/>
    <w:rsid w:val="009D3FC5"/>
    <w:rsid w:val="009D5662"/>
    <w:rsid w:val="009D58ED"/>
    <w:rsid w:val="009D59FB"/>
    <w:rsid w:val="009D5CE0"/>
    <w:rsid w:val="009D5D12"/>
    <w:rsid w:val="009D5E2A"/>
    <w:rsid w:val="009D701D"/>
    <w:rsid w:val="009E0CD0"/>
    <w:rsid w:val="009E0D6D"/>
    <w:rsid w:val="009E17C4"/>
    <w:rsid w:val="009E1D73"/>
    <w:rsid w:val="009E2C8B"/>
    <w:rsid w:val="009E2D3E"/>
    <w:rsid w:val="009E4223"/>
    <w:rsid w:val="009E5798"/>
    <w:rsid w:val="009E66C2"/>
    <w:rsid w:val="009E794E"/>
    <w:rsid w:val="009E7ADE"/>
    <w:rsid w:val="009F04E4"/>
    <w:rsid w:val="009F07CB"/>
    <w:rsid w:val="009F0AED"/>
    <w:rsid w:val="009F17CB"/>
    <w:rsid w:val="009F1B9D"/>
    <w:rsid w:val="009F2D97"/>
    <w:rsid w:val="009F2E9D"/>
    <w:rsid w:val="009F5772"/>
    <w:rsid w:val="009F5D8A"/>
    <w:rsid w:val="009F6113"/>
    <w:rsid w:val="009F62B1"/>
    <w:rsid w:val="009F64E5"/>
    <w:rsid w:val="009F6789"/>
    <w:rsid w:val="00A0079D"/>
    <w:rsid w:val="00A00AFE"/>
    <w:rsid w:val="00A00DDE"/>
    <w:rsid w:val="00A01054"/>
    <w:rsid w:val="00A01962"/>
    <w:rsid w:val="00A02330"/>
    <w:rsid w:val="00A033CE"/>
    <w:rsid w:val="00A0663E"/>
    <w:rsid w:val="00A100D1"/>
    <w:rsid w:val="00A1062A"/>
    <w:rsid w:val="00A10911"/>
    <w:rsid w:val="00A110E5"/>
    <w:rsid w:val="00A11791"/>
    <w:rsid w:val="00A1217C"/>
    <w:rsid w:val="00A1488D"/>
    <w:rsid w:val="00A14ACD"/>
    <w:rsid w:val="00A14DF1"/>
    <w:rsid w:val="00A17229"/>
    <w:rsid w:val="00A17BA9"/>
    <w:rsid w:val="00A202F9"/>
    <w:rsid w:val="00A22A64"/>
    <w:rsid w:val="00A2320F"/>
    <w:rsid w:val="00A256E5"/>
    <w:rsid w:val="00A26B27"/>
    <w:rsid w:val="00A26FF1"/>
    <w:rsid w:val="00A27336"/>
    <w:rsid w:val="00A2734D"/>
    <w:rsid w:val="00A27AFC"/>
    <w:rsid w:val="00A27EDD"/>
    <w:rsid w:val="00A308E0"/>
    <w:rsid w:val="00A30F91"/>
    <w:rsid w:val="00A3273C"/>
    <w:rsid w:val="00A328DC"/>
    <w:rsid w:val="00A336C7"/>
    <w:rsid w:val="00A34BEB"/>
    <w:rsid w:val="00A34DF7"/>
    <w:rsid w:val="00A3637D"/>
    <w:rsid w:val="00A36548"/>
    <w:rsid w:val="00A366A5"/>
    <w:rsid w:val="00A366BF"/>
    <w:rsid w:val="00A3764F"/>
    <w:rsid w:val="00A40999"/>
    <w:rsid w:val="00A41638"/>
    <w:rsid w:val="00A42622"/>
    <w:rsid w:val="00A454F3"/>
    <w:rsid w:val="00A45608"/>
    <w:rsid w:val="00A45729"/>
    <w:rsid w:val="00A465BA"/>
    <w:rsid w:val="00A46AFB"/>
    <w:rsid w:val="00A46F3E"/>
    <w:rsid w:val="00A47088"/>
    <w:rsid w:val="00A51C41"/>
    <w:rsid w:val="00A5201E"/>
    <w:rsid w:val="00A539B5"/>
    <w:rsid w:val="00A55665"/>
    <w:rsid w:val="00A56D72"/>
    <w:rsid w:val="00A57AA1"/>
    <w:rsid w:val="00A57EAA"/>
    <w:rsid w:val="00A62009"/>
    <w:rsid w:val="00A6213F"/>
    <w:rsid w:val="00A62CE4"/>
    <w:rsid w:val="00A63281"/>
    <w:rsid w:val="00A6377F"/>
    <w:rsid w:val="00A63BF8"/>
    <w:rsid w:val="00A63C42"/>
    <w:rsid w:val="00A65402"/>
    <w:rsid w:val="00A66096"/>
    <w:rsid w:val="00A66810"/>
    <w:rsid w:val="00A70867"/>
    <w:rsid w:val="00A70B0C"/>
    <w:rsid w:val="00A711E1"/>
    <w:rsid w:val="00A71847"/>
    <w:rsid w:val="00A72403"/>
    <w:rsid w:val="00A735A6"/>
    <w:rsid w:val="00A739D1"/>
    <w:rsid w:val="00A74846"/>
    <w:rsid w:val="00A759FE"/>
    <w:rsid w:val="00A75F21"/>
    <w:rsid w:val="00A7795D"/>
    <w:rsid w:val="00A8081F"/>
    <w:rsid w:val="00A80A7E"/>
    <w:rsid w:val="00A818B7"/>
    <w:rsid w:val="00A818DE"/>
    <w:rsid w:val="00A82186"/>
    <w:rsid w:val="00A82342"/>
    <w:rsid w:val="00A82895"/>
    <w:rsid w:val="00A82B16"/>
    <w:rsid w:val="00A82C5C"/>
    <w:rsid w:val="00A833DD"/>
    <w:rsid w:val="00A842F1"/>
    <w:rsid w:val="00A860A9"/>
    <w:rsid w:val="00A86D90"/>
    <w:rsid w:val="00A874C3"/>
    <w:rsid w:val="00A879BF"/>
    <w:rsid w:val="00A87DA3"/>
    <w:rsid w:val="00A90EB6"/>
    <w:rsid w:val="00A91164"/>
    <w:rsid w:val="00A92BAA"/>
    <w:rsid w:val="00A92CC8"/>
    <w:rsid w:val="00A94FF0"/>
    <w:rsid w:val="00A95A96"/>
    <w:rsid w:val="00A95DFA"/>
    <w:rsid w:val="00A9676C"/>
    <w:rsid w:val="00A97794"/>
    <w:rsid w:val="00AA0BB8"/>
    <w:rsid w:val="00AA0D21"/>
    <w:rsid w:val="00AA1A39"/>
    <w:rsid w:val="00AA1FA4"/>
    <w:rsid w:val="00AA2EDA"/>
    <w:rsid w:val="00AA4974"/>
    <w:rsid w:val="00AA4D58"/>
    <w:rsid w:val="00AA5C79"/>
    <w:rsid w:val="00AA6BEA"/>
    <w:rsid w:val="00AA6D60"/>
    <w:rsid w:val="00AA7116"/>
    <w:rsid w:val="00AA71C3"/>
    <w:rsid w:val="00AB06A4"/>
    <w:rsid w:val="00AB0992"/>
    <w:rsid w:val="00AB1258"/>
    <w:rsid w:val="00AB35ED"/>
    <w:rsid w:val="00AB35FA"/>
    <w:rsid w:val="00AB482E"/>
    <w:rsid w:val="00AB499B"/>
    <w:rsid w:val="00AB5898"/>
    <w:rsid w:val="00AB680C"/>
    <w:rsid w:val="00AB7843"/>
    <w:rsid w:val="00AB7FCD"/>
    <w:rsid w:val="00AB7FD8"/>
    <w:rsid w:val="00AC00E9"/>
    <w:rsid w:val="00AC08EF"/>
    <w:rsid w:val="00AC376C"/>
    <w:rsid w:val="00AC3C64"/>
    <w:rsid w:val="00AC3E4C"/>
    <w:rsid w:val="00AC3E6A"/>
    <w:rsid w:val="00AC4167"/>
    <w:rsid w:val="00AC4D20"/>
    <w:rsid w:val="00AC66B2"/>
    <w:rsid w:val="00AC6BC9"/>
    <w:rsid w:val="00AC74D0"/>
    <w:rsid w:val="00AC7E92"/>
    <w:rsid w:val="00AD2313"/>
    <w:rsid w:val="00AD2516"/>
    <w:rsid w:val="00AD2739"/>
    <w:rsid w:val="00AD2BAA"/>
    <w:rsid w:val="00AD3BF3"/>
    <w:rsid w:val="00AD3D27"/>
    <w:rsid w:val="00AD5B6A"/>
    <w:rsid w:val="00AD6E1A"/>
    <w:rsid w:val="00AD72F0"/>
    <w:rsid w:val="00AD7986"/>
    <w:rsid w:val="00AD7BCB"/>
    <w:rsid w:val="00AE0452"/>
    <w:rsid w:val="00AE0B0E"/>
    <w:rsid w:val="00AE1891"/>
    <w:rsid w:val="00AE1FEA"/>
    <w:rsid w:val="00AE2558"/>
    <w:rsid w:val="00AE3030"/>
    <w:rsid w:val="00AE30EF"/>
    <w:rsid w:val="00AE3A61"/>
    <w:rsid w:val="00AE48A4"/>
    <w:rsid w:val="00AE491D"/>
    <w:rsid w:val="00AE4B50"/>
    <w:rsid w:val="00AE4D8B"/>
    <w:rsid w:val="00AE562E"/>
    <w:rsid w:val="00AE7054"/>
    <w:rsid w:val="00AE7255"/>
    <w:rsid w:val="00AE79E2"/>
    <w:rsid w:val="00AE7C5E"/>
    <w:rsid w:val="00AF0FB5"/>
    <w:rsid w:val="00AF1169"/>
    <w:rsid w:val="00AF1472"/>
    <w:rsid w:val="00AF1FCB"/>
    <w:rsid w:val="00AF24FC"/>
    <w:rsid w:val="00AF287D"/>
    <w:rsid w:val="00AF29AC"/>
    <w:rsid w:val="00AF2D31"/>
    <w:rsid w:val="00AF3585"/>
    <w:rsid w:val="00AF5548"/>
    <w:rsid w:val="00AF5914"/>
    <w:rsid w:val="00AF6409"/>
    <w:rsid w:val="00AF791E"/>
    <w:rsid w:val="00B004C6"/>
    <w:rsid w:val="00B00E97"/>
    <w:rsid w:val="00B02D31"/>
    <w:rsid w:val="00B03B10"/>
    <w:rsid w:val="00B03EFD"/>
    <w:rsid w:val="00B0604D"/>
    <w:rsid w:val="00B0733C"/>
    <w:rsid w:val="00B077E9"/>
    <w:rsid w:val="00B10251"/>
    <w:rsid w:val="00B108C6"/>
    <w:rsid w:val="00B10A80"/>
    <w:rsid w:val="00B10BE6"/>
    <w:rsid w:val="00B12083"/>
    <w:rsid w:val="00B125E5"/>
    <w:rsid w:val="00B13D30"/>
    <w:rsid w:val="00B14A2D"/>
    <w:rsid w:val="00B15130"/>
    <w:rsid w:val="00B15316"/>
    <w:rsid w:val="00B1535A"/>
    <w:rsid w:val="00B15422"/>
    <w:rsid w:val="00B15941"/>
    <w:rsid w:val="00B16917"/>
    <w:rsid w:val="00B17768"/>
    <w:rsid w:val="00B20154"/>
    <w:rsid w:val="00B20B78"/>
    <w:rsid w:val="00B21D70"/>
    <w:rsid w:val="00B2226C"/>
    <w:rsid w:val="00B22AF5"/>
    <w:rsid w:val="00B24662"/>
    <w:rsid w:val="00B26828"/>
    <w:rsid w:val="00B27C7A"/>
    <w:rsid w:val="00B27FAC"/>
    <w:rsid w:val="00B30AE3"/>
    <w:rsid w:val="00B30AE6"/>
    <w:rsid w:val="00B31073"/>
    <w:rsid w:val="00B312A6"/>
    <w:rsid w:val="00B31E3D"/>
    <w:rsid w:val="00B31E80"/>
    <w:rsid w:val="00B32908"/>
    <w:rsid w:val="00B32DC6"/>
    <w:rsid w:val="00B33AD5"/>
    <w:rsid w:val="00B3495D"/>
    <w:rsid w:val="00B34BAA"/>
    <w:rsid w:val="00B34CF9"/>
    <w:rsid w:val="00B35909"/>
    <w:rsid w:val="00B36325"/>
    <w:rsid w:val="00B37A75"/>
    <w:rsid w:val="00B4020A"/>
    <w:rsid w:val="00B4132B"/>
    <w:rsid w:val="00B4157C"/>
    <w:rsid w:val="00B428BE"/>
    <w:rsid w:val="00B43030"/>
    <w:rsid w:val="00B450E8"/>
    <w:rsid w:val="00B4554E"/>
    <w:rsid w:val="00B4611D"/>
    <w:rsid w:val="00B46F47"/>
    <w:rsid w:val="00B4730E"/>
    <w:rsid w:val="00B47A4C"/>
    <w:rsid w:val="00B5002F"/>
    <w:rsid w:val="00B500A7"/>
    <w:rsid w:val="00B50ABE"/>
    <w:rsid w:val="00B50F00"/>
    <w:rsid w:val="00B518FD"/>
    <w:rsid w:val="00B51F7C"/>
    <w:rsid w:val="00B521E4"/>
    <w:rsid w:val="00B52781"/>
    <w:rsid w:val="00B55465"/>
    <w:rsid w:val="00B5564C"/>
    <w:rsid w:val="00B55B76"/>
    <w:rsid w:val="00B5704B"/>
    <w:rsid w:val="00B60A27"/>
    <w:rsid w:val="00B60D98"/>
    <w:rsid w:val="00B60EDD"/>
    <w:rsid w:val="00B61D23"/>
    <w:rsid w:val="00B63893"/>
    <w:rsid w:val="00B646CE"/>
    <w:rsid w:val="00B65782"/>
    <w:rsid w:val="00B65817"/>
    <w:rsid w:val="00B6649E"/>
    <w:rsid w:val="00B667CB"/>
    <w:rsid w:val="00B66AC9"/>
    <w:rsid w:val="00B672F6"/>
    <w:rsid w:val="00B67A7C"/>
    <w:rsid w:val="00B67AB9"/>
    <w:rsid w:val="00B67AE3"/>
    <w:rsid w:val="00B70E33"/>
    <w:rsid w:val="00B719C3"/>
    <w:rsid w:val="00B71A1C"/>
    <w:rsid w:val="00B71D7C"/>
    <w:rsid w:val="00B73766"/>
    <w:rsid w:val="00B738E0"/>
    <w:rsid w:val="00B75CD5"/>
    <w:rsid w:val="00B76C76"/>
    <w:rsid w:val="00B803ED"/>
    <w:rsid w:val="00B80537"/>
    <w:rsid w:val="00B8098B"/>
    <w:rsid w:val="00B814B8"/>
    <w:rsid w:val="00B815F3"/>
    <w:rsid w:val="00B821B7"/>
    <w:rsid w:val="00B827F5"/>
    <w:rsid w:val="00B83702"/>
    <w:rsid w:val="00B839BF"/>
    <w:rsid w:val="00B8401F"/>
    <w:rsid w:val="00B84194"/>
    <w:rsid w:val="00B847A8"/>
    <w:rsid w:val="00B84EDA"/>
    <w:rsid w:val="00B85985"/>
    <w:rsid w:val="00B85C71"/>
    <w:rsid w:val="00B86BC6"/>
    <w:rsid w:val="00B90082"/>
    <w:rsid w:val="00B90377"/>
    <w:rsid w:val="00B9042B"/>
    <w:rsid w:val="00B90CEE"/>
    <w:rsid w:val="00B91079"/>
    <w:rsid w:val="00B91EE0"/>
    <w:rsid w:val="00B9217D"/>
    <w:rsid w:val="00B9219F"/>
    <w:rsid w:val="00B92E9C"/>
    <w:rsid w:val="00B937A4"/>
    <w:rsid w:val="00B93C3B"/>
    <w:rsid w:val="00B9429C"/>
    <w:rsid w:val="00B95ECF"/>
    <w:rsid w:val="00B96490"/>
    <w:rsid w:val="00B9779C"/>
    <w:rsid w:val="00B97817"/>
    <w:rsid w:val="00B97851"/>
    <w:rsid w:val="00BA1601"/>
    <w:rsid w:val="00BA1BFD"/>
    <w:rsid w:val="00BA2122"/>
    <w:rsid w:val="00BA284A"/>
    <w:rsid w:val="00BA2E73"/>
    <w:rsid w:val="00BA5DF3"/>
    <w:rsid w:val="00BA7A0D"/>
    <w:rsid w:val="00BA7B02"/>
    <w:rsid w:val="00BA7E9A"/>
    <w:rsid w:val="00BB062E"/>
    <w:rsid w:val="00BB083C"/>
    <w:rsid w:val="00BB1955"/>
    <w:rsid w:val="00BB2460"/>
    <w:rsid w:val="00BB2FCB"/>
    <w:rsid w:val="00BB36A7"/>
    <w:rsid w:val="00BB4FB1"/>
    <w:rsid w:val="00BB5BD4"/>
    <w:rsid w:val="00BB69A0"/>
    <w:rsid w:val="00BB7D13"/>
    <w:rsid w:val="00BC1A7E"/>
    <w:rsid w:val="00BC1AF3"/>
    <w:rsid w:val="00BC1B2E"/>
    <w:rsid w:val="00BC2A35"/>
    <w:rsid w:val="00BC3984"/>
    <w:rsid w:val="00BC3E64"/>
    <w:rsid w:val="00BC6576"/>
    <w:rsid w:val="00BC6CFD"/>
    <w:rsid w:val="00BD0258"/>
    <w:rsid w:val="00BD0551"/>
    <w:rsid w:val="00BD0D36"/>
    <w:rsid w:val="00BD14C5"/>
    <w:rsid w:val="00BD188D"/>
    <w:rsid w:val="00BD2526"/>
    <w:rsid w:val="00BD2654"/>
    <w:rsid w:val="00BD28A3"/>
    <w:rsid w:val="00BD2D74"/>
    <w:rsid w:val="00BD3025"/>
    <w:rsid w:val="00BD33D6"/>
    <w:rsid w:val="00BD35C8"/>
    <w:rsid w:val="00BD5628"/>
    <w:rsid w:val="00BD6F1B"/>
    <w:rsid w:val="00BE04C4"/>
    <w:rsid w:val="00BE28D9"/>
    <w:rsid w:val="00BE28E4"/>
    <w:rsid w:val="00BE3AB0"/>
    <w:rsid w:val="00BE48B0"/>
    <w:rsid w:val="00BE49FB"/>
    <w:rsid w:val="00BE5804"/>
    <w:rsid w:val="00BE7BD2"/>
    <w:rsid w:val="00BF1C70"/>
    <w:rsid w:val="00BF2BE3"/>
    <w:rsid w:val="00BF515C"/>
    <w:rsid w:val="00BF6F73"/>
    <w:rsid w:val="00BF75C6"/>
    <w:rsid w:val="00C00400"/>
    <w:rsid w:val="00C00A7E"/>
    <w:rsid w:val="00C00AFA"/>
    <w:rsid w:val="00C00FCC"/>
    <w:rsid w:val="00C01ABC"/>
    <w:rsid w:val="00C01B06"/>
    <w:rsid w:val="00C02562"/>
    <w:rsid w:val="00C02620"/>
    <w:rsid w:val="00C03E76"/>
    <w:rsid w:val="00C063EE"/>
    <w:rsid w:val="00C0720E"/>
    <w:rsid w:val="00C076B9"/>
    <w:rsid w:val="00C101BD"/>
    <w:rsid w:val="00C10C14"/>
    <w:rsid w:val="00C10EAE"/>
    <w:rsid w:val="00C12B9F"/>
    <w:rsid w:val="00C12C6B"/>
    <w:rsid w:val="00C1330E"/>
    <w:rsid w:val="00C13CD5"/>
    <w:rsid w:val="00C14206"/>
    <w:rsid w:val="00C15843"/>
    <w:rsid w:val="00C16767"/>
    <w:rsid w:val="00C168D5"/>
    <w:rsid w:val="00C16F45"/>
    <w:rsid w:val="00C17082"/>
    <w:rsid w:val="00C17A1F"/>
    <w:rsid w:val="00C17D3E"/>
    <w:rsid w:val="00C2309B"/>
    <w:rsid w:val="00C23BDD"/>
    <w:rsid w:val="00C24300"/>
    <w:rsid w:val="00C25D00"/>
    <w:rsid w:val="00C26DA6"/>
    <w:rsid w:val="00C31BA8"/>
    <w:rsid w:val="00C326F5"/>
    <w:rsid w:val="00C32EF8"/>
    <w:rsid w:val="00C33990"/>
    <w:rsid w:val="00C34B27"/>
    <w:rsid w:val="00C35704"/>
    <w:rsid w:val="00C365B2"/>
    <w:rsid w:val="00C365DE"/>
    <w:rsid w:val="00C375E0"/>
    <w:rsid w:val="00C37D8B"/>
    <w:rsid w:val="00C4016A"/>
    <w:rsid w:val="00C429AD"/>
    <w:rsid w:val="00C42B72"/>
    <w:rsid w:val="00C42DCB"/>
    <w:rsid w:val="00C42E1F"/>
    <w:rsid w:val="00C44BF4"/>
    <w:rsid w:val="00C45A08"/>
    <w:rsid w:val="00C45B67"/>
    <w:rsid w:val="00C45C94"/>
    <w:rsid w:val="00C46AC4"/>
    <w:rsid w:val="00C47BAC"/>
    <w:rsid w:val="00C50AB2"/>
    <w:rsid w:val="00C51AD8"/>
    <w:rsid w:val="00C529C2"/>
    <w:rsid w:val="00C52A8D"/>
    <w:rsid w:val="00C5420F"/>
    <w:rsid w:val="00C544A4"/>
    <w:rsid w:val="00C54E5A"/>
    <w:rsid w:val="00C5507D"/>
    <w:rsid w:val="00C56F1D"/>
    <w:rsid w:val="00C56FA2"/>
    <w:rsid w:val="00C57214"/>
    <w:rsid w:val="00C573DB"/>
    <w:rsid w:val="00C5762C"/>
    <w:rsid w:val="00C57B9B"/>
    <w:rsid w:val="00C57BF7"/>
    <w:rsid w:val="00C57D6A"/>
    <w:rsid w:val="00C57F33"/>
    <w:rsid w:val="00C60996"/>
    <w:rsid w:val="00C61078"/>
    <w:rsid w:val="00C63242"/>
    <w:rsid w:val="00C636B9"/>
    <w:rsid w:val="00C63D2A"/>
    <w:rsid w:val="00C64DA6"/>
    <w:rsid w:val="00C66DD3"/>
    <w:rsid w:val="00C70A98"/>
    <w:rsid w:val="00C70B75"/>
    <w:rsid w:val="00C71516"/>
    <w:rsid w:val="00C71803"/>
    <w:rsid w:val="00C718B3"/>
    <w:rsid w:val="00C726A6"/>
    <w:rsid w:val="00C73065"/>
    <w:rsid w:val="00C75226"/>
    <w:rsid w:val="00C75A4F"/>
    <w:rsid w:val="00C7669A"/>
    <w:rsid w:val="00C76B7D"/>
    <w:rsid w:val="00C8011D"/>
    <w:rsid w:val="00C80883"/>
    <w:rsid w:val="00C80EB3"/>
    <w:rsid w:val="00C80F98"/>
    <w:rsid w:val="00C8114E"/>
    <w:rsid w:val="00C81EA4"/>
    <w:rsid w:val="00C81FD1"/>
    <w:rsid w:val="00C82B8B"/>
    <w:rsid w:val="00C8542D"/>
    <w:rsid w:val="00C854C6"/>
    <w:rsid w:val="00C86ED5"/>
    <w:rsid w:val="00C87536"/>
    <w:rsid w:val="00C87855"/>
    <w:rsid w:val="00C87C08"/>
    <w:rsid w:val="00C900D9"/>
    <w:rsid w:val="00C90355"/>
    <w:rsid w:val="00C90797"/>
    <w:rsid w:val="00C90E1B"/>
    <w:rsid w:val="00C90FA1"/>
    <w:rsid w:val="00C9221C"/>
    <w:rsid w:val="00C940C5"/>
    <w:rsid w:val="00C94801"/>
    <w:rsid w:val="00C9649A"/>
    <w:rsid w:val="00C969E5"/>
    <w:rsid w:val="00C96BF7"/>
    <w:rsid w:val="00C97BEA"/>
    <w:rsid w:val="00CA0DAC"/>
    <w:rsid w:val="00CA11B5"/>
    <w:rsid w:val="00CA237D"/>
    <w:rsid w:val="00CA2AA6"/>
    <w:rsid w:val="00CA3831"/>
    <w:rsid w:val="00CA44A2"/>
    <w:rsid w:val="00CA53DC"/>
    <w:rsid w:val="00CA5492"/>
    <w:rsid w:val="00CA55D8"/>
    <w:rsid w:val="00CA71B9"/>
    <w:rsid w:val="00CA74F5"/>
    <w:rsid w:val="00CA75EF"/>
    <w:rsid w:val="00CB1121"/>
    <w:rsid w:val="00CB11E8"/>
    <w:rsid w:val="00CB1AAC"/>
    <w:rsid w:val="00CB1FBF"/>
    <w:rsid w:val="00CB25B9"/>
    <w:rsid w:val="00CB5C03"/>
    <w:rsid w:val="00CB7686"/>
    <w:rsid w:val="00CB7AD0"/>
    <w:rsid w:val="00CC04FE"/>
    <w:rsid w:val="00CC0B80"/>
    <w:rsid w:val="00CC0C0C"/>
    <w:rsid w:val="00CC275F"/>
    <w:rsid w:val="00CC2CAF"/>
    <w:rsid w:val="00CC496B"/>
    <w:rsid w:val="00CC58D5"/>
    <w:rsid w:val="00CC6440"/>
    <w:rsid w:val="00CC6687"/>
    <w:rsid w:val="00CC7364"/>
    <w:rsid w:val="00CC7788"/>
    <w:rsid w:val="00CC7BD2"/>
    <w:rsid w:val="00CC7DB7"/>
    <w:rsid w:val="00CD09FC"/>
    <w:rsid w:val="00CD0A8A"/>
    <w:rsid w:val="00CD294F"/>
    <w:rsid w:val="00CD3C46"/>
    <w:rsid w:val="00CD58C1"/>
    <w:rsid w:val="00CD5ABC"/>
    <w:rsid w:val="00CD64A3"/>
    <w:rsid w:val="00CD6923"/>
    <w:rsid w:val="00CD75A1"/>
    <w:rsid w:val="00CD75B0"/>
    <w:rsid w:val="00CD78C0"/>
    <w:rsid w:val="00CE0027"/>
    <w:rsid w:val="00CE0F04"/>
    <w:rsid w:val="00CE1C60"/>
    <w:rsid w:val="00CE2A0E"/>
    <w:rsid w:val="00CE2A2B"/>
    <w:rsid w:val="00CE3D6C"/>
    <w:rsid w:val="00CE4525"/>
    <w:rsid w:val="00CE4844"/>
    <w:rsid w:val="00CE57AE"/>
    <w:rsid w:val="00CE59B0"/>
    <w:rsid w:val="00CE5BD3"/>
    <w:rsid w:val="00CE5F81"/>
    <w:rsid w:val="00CE6897"/>
    <w:rsid w:val="00CE6AB6"/>
    <w:rsid w:val="00CE7706"/>
    <w:rsid w:val="00CF106A"/>
    <w:rsid w:val="00CF1AC7"/>
    <w:rsid w:val="00CF1F3F"/>
    <w:rsid w:val="00CF2619"/>
    <w:rsid w:val="00CF4019"/>
    <w:rsid w:val="00CF4AF7"/>
    <w:rsid w:val="00CF51A2"/>
    <w:rsid w:val="00CF7197"/>
    <w:rsid w:val="00CF757A"/>
    <w:rsid w:val="00D00209"/>
    <w:rsid w:val="00D00983"/>
    <w:rsid w:val="00D0183E"/>
    <w:rsid w:val="00D01C0B"/>
    <w:rsid w:val="00D03E26"/>
    <w:rsid w:val="00D040BC"/>
    <w:rsid w:val="00D04887"/>
    <w:rsid w:val="00D0521A"/>
    <w:rsid w:val="00D05F5F"/>
    <w:rsid w:val="00D068DB"/>
    <w:rsid w:val="00D06E98"/>
    <w:rsid w:val="00D1055F"/>
    <w:rsid w:val="00D10647"/>
    <w:rsid w:val="00D10735"/>
    <w:rsid w:val="00D108EA"/>
    <w:rsid w:val="00D10BAB"/>
    <w:rsid w:val="00D119DC"/>
    <w:rsid w:val="00D11F8F"/>
    <w:rsid w:val="00D1314A"/>
    <w:rsid w:val="00D13154"/>
    <w:rsid w:val="00D134BF"/>
    <w:rsid w:val="00D13CA5"/>
    <w:rsid w:val="00D1420D"/>
    <w:rsid w:val="00D14443"/>
    <w:rsid w:val="00D14BE5"/>
    <w:rsid w:val="00D14C36"/>
    <w:rsid w:val="00D15141"/>
    <w:rsid w:val="00D15846"/>
    <w:rsid w:val="00D15F80"/>
    <w:rsid w:val="00D16916"/>
    <w:rsid w:val="00D1731D"/>
    <w:rsid w:val="00D17BBF"/>
    <w:rsid w:val="00D20014"/>
    <w:rsid w:val="00D200AB"/>
    <w:rsid w:val="00D205C1"/>
    <w:rsid w:val="00D21671"/>
    <w:rsid w:val="00D232F9"/>
    <w:rsid w:val="00D2395A"/>
    <w:rsid w:val="00D2400C"/>
    <w:rsid w:val="00D2584F"/>
    <w:rsid w:val="00D2741F"/>
    <w:rsid w:val="00D30067"/>
    <w:rsid w:val="00D3017D"/>
    <w:rsid w:val="00D30AAC"/>
    <w:rsid w:val="00D30DDD"/>
    <w:rsid w:val="00D31033"/>
    <w:rsid w:val="00D313DF"/>
    <w:rsid w:val="00D31CB2"/>
    <w:rsid w:val="00D31CE4"/>
    <w:rsid w:val="00D3235B"/>
    <w:rsid w:val="00D32EF8"/>
    <w:rsid w:val="00D33994"/>
    <w:rsid w:val="00D35E3F"/>
    <w:rsid w:val="00D36135"/>
    <w:rsid w:val="00D36D6D"/>
    <w:rsid w:val="00D36FBE"/>
    <w:rsid w:val="00D3749E"/>
    <w:rsid w:val="00D374FE"/>
    <w:rsid w:val="00D421F3"/>
    <w:rsid w:val="00D42220"/>
    <w:rsid w:val="00D4263D"/>
    <w:rsid w:val="00D42697"/>
    <w:rsid w:val="00D43574"/>
    <w:rsid w:val="00D43C82"/>
    <w:rsid w:val="00D43D65"/>
    <w:rsid w:val="00D4468D"/>
    <w:rsid w:val="00D45FC9"/>
    <w:rsid w:val="00D461B4"/>
    <w:rsid w:val="00D4756C"/>
    <w:rsid w:val="00D50210"/>
    <w:rsid w:val="00D508F5"/>
    <w:rsid w:val="00D53CDE"/>
    <w:rsid w:val="00D53E9D"/>
    <w:rsid w:val="00D55343"/>
    <w:rsid w:val="00D576C4"/>
    <w:rsid w:val="00D601D7"/>
    <w:rsid w:val="00D60572"/>
    <w:rsid w:val="00D60847"/>
    <w:rsid w:val="00D61316"/>
    <w:rsid w:val="00D61AAB"/>
    <w:rsid w:val="00D61E90"/>
    <w:rsid w:val="00D61F5D"/>
    <w:rsid w:val="00D61F84"/>
    <w:rsid w:val="00D6219B"/>
    <w:rsid w:val="00D62404"/>
    <w:rsid w:val="00D625BE"/>
    <w:rsid w:val="00D6263B"/>
    <w:rsid w:val="00D6301E"/>
    <w:rsid w:val="00D63655"/>
    <w:rsid w:val="00D63B1C"/>
    <w:rsid w:val="00D63CE3"/>
    <w:rsid w:val="00D64605"/>
    <w:rsid w:val="00D64C92"/>
    <w:rsid w:val="00D6697C"/>
    <w:rsid w:val="00D6754E"/>
    <w:rsid w:val="00D67C24"/>
    <w:rsid w:val="00D67F11"/>
    <w:rsid w:val="00D71C02"/>
    <w:rsid w:val="00D71FAD"/>
    <w:rsid w:val="00D722C5"/>
    <w:rsid w:val="00D72387"/>
    <w:rsid w:val="00D72A0D"/>
    <w:rsid w:val="00D73EF6"/>
    <w:rsid w:val="00D74A3C"/>
    <w:rsid w:val="00D74B72"/>
    <w:rsid w:val="00D75A51"/>
    <w:rsid w:val="00D75CDA"/>
    <w:rsid w:val="00D75E86"/>
    <w:rsid w:val="00D769AF"/>
    <w:rsid w:val="00D76A55"/>
    <w:rsid w:val="00D76F35"/>
    <w:rsid w:val="00D77E1E"/>
    <w:rsid w:val="00D8060C"/>
    <w:rsid w:val="00D80FF0"/>
    <w:rsid w:val="00D810EA"/>
    <w:rsid w:val="00D83770"/>
    <w:rsid w:val="00D83C8C"/>
    <w:rsid w:val="00D841D8"/>
    <w:rsid w:val="00D84799"/>
    <w:rsid w:val="00D84BC5"/>
    <w:rsid w:val="00D84C0B"/>
    <w:rsid w:val="00D84F2A"/>
    <w:rsid w:val="00D86975"/>
    <w:rsid w:val="00D87D9B"/>
    <w:rsid w:val="00D90C58"/>
    <w:rsid w:val="00D924C9"/>
    <w:rsid w:val="00D930C2"/>
    <w:rsid w:val="00D933DE"/>
    <w:rsid w:val="00D93630"/>
    <w:rsid w:val="00D93736"/>
    <w:rsid w:val="00D93E65"/>
    <w:rsid w:val="00D9431F"/>
    <w:rsid w:val="00D96DC6"/>
    <w:rsid w:val="00D97388"/>
    <w:rsid w:val="00DA0830"/>
    <w:rsid w:val="00DA1721"/>
    <w:rsid w:val="00DA1A12"/>
    <w:rsid w:val="00DA2549"/>
    <w:rsid w:val="00DA432C"/>
    <w:rsid w:val="00DA478E"/>
    <w:rsid w:val="00DA55B8"/>
    <w:rsid w:val="00DA6FE0"/>
    <w:rsid w:val="00DA72E6"/>
    <w:rsid w:val="00DB0DE3"/>
    <w:rsid w:val="00DB0F0A"/>
    <w:rsid w:val="00DB1E61"/>
    <w:rsid w:val="00DB1F0C"/>
    <w:rsid w:val="00DB200F"/>
    <w:rsid w:val="00DB5721"/>
    <w:rsid w:val="00DB64F2"/>
    <w:rsid w:val="00DB79B2"/>
    <w:rsid w:val="00DC05DF"/>
    <w:rsid w:val="00DC0DD6"/>
    <w:rsid w:val="00DC0E7E"/>
    <w:rsid w:val="00DC0F3E"/>
    <w:rsid w:val="00DC259B"/>
    <w:rsid w:val="00DC5162"/>
    <w:rsid w:val="00DC6970"/>
    <w:rsid w:val="00DC7F8A"/>
    <w:rsid w:val="00DD1527"/>
    <w:rsid w:val="00DD2021"/>
    <w:rsid w:val="00DD283A"/>
    <w:rsid w:val="00DD2D83"/>
    <w:rsid w:val="00DD42F2"/>
    <w:rsid w:val="00DD468D"/>
    <w:rsid w:val="00DD5180"/>
    <w:rsid w:val="00DD535C"/>
    <w:rsid w:val="00DD54C5"/>
    <w:rsid w:val="00DD59B0"/>
    <w:rsid w:val="00DD68F1"/>
    <w:rsid w:val="00DD7AE9"/>
    <w:rsid w:val="00DD7BC9"/>
    <w:rsid w:val="00DE01F4"/>
    <w:rsid w:val="00DE0620"/>
    <w:rsid w:val="00DE3FE4"/>
    <w:rsid w:val="00DE55AD"/>
    <w:rsid w:val="00DE58B5"/>
    <w:rsid w:val="00DE77ED"/>
    <w:rsid w:val="00DE79D4"/>
    <w:rsid w:val="00DF03C2"/>
    <w:rsid w:val="00DF0E10"/>
    <w:rsid w:val="00DF19AD"/>
    <w:rsid w:val="00DF3DFE"/>
    <w:rsid w:val="00DF48C6"/>
    <w:rsid w:val="00DF4FB1"/>
    <w:rsid w:val="00DF55AF"/>
    <w:rsid w:val="00DF64E9"/>
    <w:rsid w:val="00DF726C"/>
    <w:rsid w:val="00DF7646"/>
    <w:rsid w:val="00DF793C"/>
    <w:rsid w:val="00DF7EC3"/>
    <w:rsid w:val="00E002C8"/>
    <w:rsid w:val="00E015E3"/>
    <w:rsid w:val="00E01D6D"/>
    <w:rsid w:val="00E02981"/>
    <w:rsid w:val="00E02F33"/>
    <w:rsid w:val="00E033BC"/>
    <w:rsid w:val="00E0461E"/>
    <w:rsid w:val="00E054AC"/>
    <w:rsid w:val="00E05991"/>
    <w:rsid w:val="00E1017D"/>
    <w:rsid w:val="00E13C0C"/>
    <w:rsid w:val="00E13D48"/>
    <w:rsid w:val="00E1575D"/>
    <w:rsid w:val="00E160CC"/>
    <w:rsid w:val="00E17465"/>
    <w:rsid w:val="00E17652"/>
    <w:rsid w:val="00E17BE9"/>
    <w:rsid w:val="00E21485"/>
    <w:rsid w:val="00E21BCD"/>
    <w:rsid w:val="00E22B89"/>
    <w:rsid w:val="00E22E79"/>
    <w:rsid w:val="00E23753"/>
    <w:rsid w:val="00E24E28"/>
    <w:rsid w:val="00E25066"/>
    <w:rsid w:val="00E254B7"/>
    <w:rsid w:val="00E25CE9"/>
    <w:rsid w:val="00E26B9D"/>
    <w:rsid w:val="00E303FB"/>
    <w:rsid w:val="00E309F6"/>
    <w:rsid w:val="00E313F4"/>
    <w:rsid w:val="00E315B2"/>
    <w:rsid w:val="00E32301"/>
    <w:rsid w:val="00E3306A"/>
    <w:rsid w:val="00E34645"/>
    <w:rsid w:val="00E3472A"/>
    <w:rsid w:val="00E3697C"/>
    <w:rsid w:val="00E37790"/>
    <w:rsid w:val="00E40085"/>
    <w:rsid w:val="00E41BE2"/>
    <w:rsid w:val="00E42DD5"/>
    <w:rsid w:val="00E43A73"/>
    <w:rsid w:val="00E444C7"/>
    <w:rsid w:val="00E45078"/>
    <w:rsid w:val="00E454C7"/>
    <w:rsid w:val="00E470E0"/>
    <w:rsid w:val="00E502C1"/>
    <w:rsid w:val="00E50BA4"/>
    <w:rsid w:val="00E50C29"/>
    <w:rsid w:val="00E50CB9"/>
    <w:rsid w:val="00E51476"/>
    <w:rsid w:val="00E54666"/>
    <w:rsid w:val="00E54C51"/>
    <w:rsid w:val="00E5588D"/>
    <w:rsid w:val="00E569FF"/>
    <w:rsid w:val="00E5714A"/>
    <w:rsid w:val="00E60900"/>
    <w:rsid w:val="00E60FAF"/>
    <w:rsid w:val="00E62E7C"/>
    <w:rsid w:val="00E64963"/>
    <w:rsid w:val="00E65B79"/>
    <w:rsid w:val="00E66666"/>
    <w:rsid w:val="00E66A34"/>
    <w:rsid w:val="00E67A74"/>
    <w:rsid w:val="00E71EB0"/>
    <w:rsid w:val="00E730D4"/>
    <w:rsid w:val="00E73FF6"/>
    <w:rsid w:val="00E74971"/>
    <w:rsid w:val="00E75042"/>
    <w:rsid w:val="00E76162"/>
    <w:rsid w:val="00E76A8A"/>
    <w:rsid w:val="00E77793"/>
    <w:rsid w:val="00E77F23"/>
    <w:rsid w:val="00E81127"/>
    <w:rsid w:val="00E8289B"/>
    <w:rsid w:val="00E83056"/>
    <w:rsid w:val="00E83475"/>
    <w:rsid w:val="00E83CCC"/>
    <w:rsid w:val="00E84B71"/>
    <w:rsid w:val="00E8555F"/>
    <w:rsid w:val="00E876B9"/>
    <w:rsid w:val="00E91B1E"/>
    <w:rsid w:val="00E92264"/>
    <w:rsid w:val="00E932BE"/>
    <w:rsid w:val="00E9386A"/>
    <w:rsid w:val="00E94A7D"/>
    <w:rsid w:val="00E958C7"/>
    <w:rsid w:val="00E9643D"/>
    <w:rsid w:val="00E96B31"/>
    <w:rsid w:val="00E97973"/>
    <w:rsid w:val="00EA003E"/>
    <w:rsid w:val="00EA19ED"/>
    <w:rsid w:val="00EA32F1"/>
    <w:rsid w:val="00EA38A4"/>
    <w:rsid w:val="00EA3C75"/>
    <w:rsid w:val="00EA44B5"/>
    <w:rsid w:val="00EA58CE"/>
    <w:rsid w:val="00EA58E2"/>
    <w:rsid w:val="00EA5C8C"/>
    <w:rsid w:val="00EA65A1"/>
    <w:rsid w:val="00EA750B"/>
    <w:rsid w:val="00EB10E4"/>
    <w:rsid w:val="00EB1396"/>
    <w:rsid w:val="00EB18FC"/>
    <w:rsid w:val="00EB1E59"/>
    <w:rsid w:val="00EB276F"/>
    <w:rsid w:val="00EB3611"/>
    <w:rsid w:val="00EB3771"/>
    <w:rsid w:val="00EB43B2"/>
    <w:rsid w:val="00EB49DE"/>
    <w:rsid w:val="00EB4DE3"/>
    <w:rsid w:val="00EB4E7A"/>
    <w:rsid w:val="00EB4F86"/>
    <w:rsid w:val="00EB58D2"/>
    <w:rsid w:val="00EB7E79"/>
    <w:rsid w:val="00EC00BF"/>
    <w:rsid w:val="00EC06CB"/>
    <w:rsid w:val="00EC2B83"/>
    <w:rsid w:val="00EC5718"/>
    <w:rsid w:val="00EC5A51"/>
    <w:rsid w:val="00EC5F25"/>
    <w:rsid w:val="00EC62BF"/>
    <w:rsid w:val="00EC7A16"/>
    <w:rsid w:val="00ED3BF7"/>
    <w:rsid w:val="00ED3C55"/>
    <w:rsid w:val="00ED41D3"/>
    <w:rsid w:val="00ED481C"/>
    <w:rsid w:val="00ED4DAC"/>
    <w:rsid w:val="00ED532F"/>
    <w:rsid w:val="00ED618E"/>
    <w:rsid w:val="00ED66A0"/>
    <w:rsid w:val="00ED67D6"/>
    <w:rsid w:val="00ED6C5B"/>
    <w:rsid w:val="00ED6E18"/>
    <w:rsid w:val="00ED7645"/>
    <w:rsid w:val="00ED78D5"/>
    <w:rsid w:val="00EE057F"/>
    <w:rsid w:val="00EE07F8"/>
    <w:rsid w:val="00EE0ECD"/>
    <w:rsid w:val="00EE1791"/>
    <w:rsid w:val="00EE28A1"/>
    <w:rsid w:val="00EE30CA"/>
    <w:rsid w:val="00EE4050"/>
    <w:rsid w:val="00EE409B"/>
    <w:rsid w:val="00EE5054"/>
    <w:rsid w:val="00EE574D"/>
    <w:rsid w:val="00EE6750"/>
    <w:rsid w:val="00EE70B5"/>
    <w:rsid w:val="00EE76CB"/>
    <w:rsid w:val="00EE7A22"/>
    <w:rsid w:val="00EE7F2C"/>
    <w:rsid w:val="00EF033F"/>
    <w:rsid w:val="00EF0E6E"/>
    <w:rsid w:val="00EF35CF"/>
    <w:rsid w:val="00EF364D"/>
    <w:rsid w:val="00EF38D9"/>
    <w:rsid w:val="00EF3BAC"/>
    <w:rsid w:val="00EF3D46"/>
    <w:rsid w:val="00EF5015"/>
    <w:rsid w:val="00EF5655"/>
    <w:rsid w:val="00EF5704"/>
    <w:rsid w:val="00EF614B"/>
    <w:rsid w:val="00EF6E10"/>
    <w:rsid w:val="00EF7658"/>
    <w:rsid w:val="00EF79C3"/>
    <w:rsid w:val="00F00053"/>
    <w:rsid w:val="00F00576"/>
    <w:rsid w:val="00F0113A"/>
    <w:rsid w:val="00F01A55"/>
    <w:rsid w:val="00F02C9B"/>
    <w:rsid w:val="00F04716"/>
    <w:rsid w:val="00F0486F"/>
    <w:rsid w:val="00F048C8"/>
    <w:rsid w:val="00F04A18"/>
    <w:rsid w:val="00F04BC5"/>
    <w:rsid w:val="00F04F41"/>
    <w:rsid w:val="00F05C5C"/>
    <w:rsid w:val="00F0606C"/>
    <w:rsid w:val="00F062BA"/>
    <w:rsid w:val="00F06690"/>
    <w:rsid w:val="00F0725F"/>
    <w:rsid w:val="00F075B5"/>
    <w:rsid w:val="00F075DF"/>
    <w:rsid w:val="00F075EE"/>
    <w:rsid w:val="00F12EE0"/>
    <w:rsid w:val="00F135D8"/>
    <w:rsid w:val="00F16226"/>
    <w:rsid w:val="00F165DD"/>
    <w:rsid w:val="00F174AD"/>
    <w:rsid w:val="00F17A23"/>
    <w:rsid w:val="00F17D08"/>
    <w:rsid w:val="00F17F67"/>
    <w:rsid w:val="00F210F1"/>
    <w:rsid w:val="00F2134D"/>
    <w:rsid w:val="00F21704"/>
    <w:rsid w:val="00F2171E"/>
    <w:rsid w:val="00F219BD"/>
    <w:rsid w:val="00F21EE4"/>
    <w:rsid w:val="00F21F58"/>
    <w:rsid w:val="00F2213E"/>
    <w:rsid w:val="00F229D0"/>
    <w:rsid w:val="00F237A4"/>
    <w:rsid w:val="00F241C4"/>
    <w:rsid w:val="00F25031"/>
    <w:rsid w:val="00F25D72"/>
    <w:rsid w:val="00F25E53"/>
    <w:rsid w:val="00F2685A"/>
    <w:rsid w:val="00F26CC8"/>
    <w:rsid w:val="00F26FD1"/>
    <w:rsid w:val="00F27C32"/>
    <w:rsid w:val="00F27F8D"/>
    <w:rsid w:val="00F3078C"/>
    <w:rsid w:val="00F30C7A"/>
    <w:rsid w:val="00F33BA3"/>
    <w:rsid w:val="00F34CAB"/>
    <w:rsid w:val="00F3556A"/>
    <w:rsid w:val="00F35B96"/>
    <w:rsid w:val="00F35E14"/>
    <w:rsid w:val="00F3729A"/>
    <w:rsid w:val="00F407CD"/>
    <w:rsid w:val="00F4089C"/>
    <w:rsid w:val="00F42FC7"/>
    <w:rsid w:val="00F4309D"/>
    <w:rsid w:val="00F43447"/>
    <w:rsid w:val="00F43FC7"/>
    <w:rsid w:val="00F450B8"/>
    <w:rsid w:val="00F46362"/>
    <w:rsid w:val="00F465B1"/>
    <w:rsid w:val="00F47848"/>
    <w:rsid w:val="00F507E8"/>
    <w:rsid w:val="00F50C7E"/>
    <w:rsid w:val="00F50E1B"/>
    <w:rsid w:val="00F542F4"/>
    <w:rsid w:val="00F5670C"/>
    <w:rsid w:val="00F56C28"/>
    <w:rsid w:val="00F56E57"/>
    <w:rsid w:val="00F56F2B"/>
    <w:rsid w:val="00F57805"/>
    <w:rsid w:val="00F57B9B"/>
    <w:rsid w:val="00F60AB8"/>
    <w:rsid w:val="00F60F55"/>
    <w:rsid w:val="00F63AA3"/>
    <w:rsid w:val="00F65823"/>
    <w:rsid w:val="00F66944"/>
    <w:rsid w:val="00F6712F"/>
    <w:rsid w:val="00F67B72"/>
    <w:rsid w:val="00F7031A"/>
    <w:rsid w:val="00F71469"/>
    <w:rsid w:val="00F71CB9"/>
    <w:rsid w:val="00F71F81"/>
    <w:rsid w:val="00F746A2"/>
    <w:rsid w:val="00F74FF9"/>
    <w:rsid w:val="00F751CD"/>
    <w:rsid w:val="00F76143"/>
    <w:rsid w:val="00F768EA"/>
    <w:rsid w:val="00F76D06"/>
    <w:rsid w:val="00F76E46"/>
    <w:rsid w:val="00F774F5"/>
    <w:rsid w:val="00F77FBF"/>
    <w:rsid w:val="00F81307"/>
    <w:rsid w:val="00F81D71"/>
    <w:rsid w:val="00F826FA"/>
    <w:rsid w:val="00F82C9C"/>
    <w:rsid w:val="00F82CB1"/>
    <w:rsid w:val="00F83E98"/>
    <w:rsid w:val="00F83F9B"/>
    <w:rsid w:val="00F84B76"/>
    <w:rsid w:val="00F867A7"/>
    <w:rsid w:val="00F86A46"/>
    <w:rsid w:val="00F86AC6"/>
    <w:rsid w:val="00F90237"/>
    <w:rsid w:val="00F916CA"/>
    <w:rsid w:val="00F936F8"/>
    <w:rsid w:val="00F950FC"/>
    <w:rsid w:val="00F9718E"/>
    <w:rsid w:val="00FA1038"/>
    <w:rsid w:val="00FA195E"/>
    <w:rsid w:val="00FA2D7B"/>
    <w:rsid w:val="00FA2F30"/>
    <w:rsid w:val="00FA3A39"/>
    <w:rsid w:val="00FA3D0F"/>
    <w:rsid w:val="00FA56CE"/>
    <w:rsid w:val="00FA7183"/>
    <w:rsid w:val="00FA71C6"/>
    <w:rsid w:val="00FA71F9"/>
    <w:rsid w:val="00FA7200"/>
    <w:rsid w:val="00FA778E"/>
    <w:rsid w:val="00FA7D97"/>
    <w:rsid w:val="00FB0903"/>
    <w:rsid w:val="00FB19BF"/>
    <w:rsid w:val="00FB1AC2"/>
    <w:rsid w:val="00FB4404"/>
    <w:rsid w:val="00FB454A"/>
    <w:rsid w:val="00FB5406"/>
    <w:rsid w:val="00FB7092"/>
    <w:rsid w:val="00FB7BD6"/>
    <w:rsid w:val="00FC1656"/>
    <w:rsid w:val="00FC18B9"/>
    <w:rsid w:val="00FC41CA"/>
    <w:rsid w:val="00FC41D6"/>
    <w:rsid w:val="00FC446D"/>
    <w:rsid w:val="00FC4B99"/>
    <w:rsid w:val="00FC57E0"/>
    <w:rsid w:val="00FC5D0D"/>
    <w:rsid w:val="00FC6598"/>
    <w:rsid w:val="00FC685C"/>
    <w:rsid w:val="00FD16C2"/>
    <w:rsid w:val="00FD2353"/>
    <w:rsid w:val="00FD4349"/>
    <w:rsid w:val="00FD57F5"/>
    <w:rsid w:val="00FD5DDC"/>
    <w:rsid w:val="00FD78E4"/>
    <w:rsid w:val="00FD7E47"/>
    <w:rsid w:val="00FE1E68"/>
    <w:rsid w:val="00FE24A1"/>
    <w:rsid w:val="00FE25D8"/>
    <w:rsid w:val="00FE3119"/>
    <w:rsid w:val="00FE47A2"/>
    <w:rsid w:val="00FE48D3"/>
    <w:rsid w:val="00FE53F2"/>
    <w:rsid w:val="00FE54D2"/>
    <w:rsid w:val="00FE63AA"/>
    <w:rsid w:val="00FE7418"/>
    <w:rsid w:val="00FE742F"/>
    <w:rsid w:val="00FE7A23"/>
    <w:rsid w:val="00FF0A67"/>
    <w:rsid w:val="00FF0E28"/>
    <w:rsid w:val="00FF0EB8"/>
    <w:rsid w:val="00FF11C9"/>
    <w:rsid w:val="00FF203A"/>
    <w:rsid w:val="00FF316B"/>
    <w:rsid w:val="00FF42B5"/>
    <w:rsid w:val="00FF46D0"/>
    <w:rsid w:val="00FF4768"/>
    <w:rsid w:val="00FF47A9"/>
    <w:rsid w:val="00FF594C"/>
    <w:rsid w:val="00FF68D1"/>
    <w:rsid w:val="00FF6A31"/>
    <w:rsid w:val="00FF6C75"/>
    <w:rsid w:val="00FF6D27"/>
    <w:rsid w:val="00FF6E84"/>
    <w:rsid w:val="00FF73A7"/>
    <w:rsid w:val="01341276"/>
    <w:rsid w:val="01B269C5"/>
    <w:rsid w:val="01B6046E"/>
    <w:rsid w:val="01C13BF5"/>
    <w:rsid w:val="02054F52"/>
    <w:rsid w:val="030B6E18"/>
    <w:rsid w:val="0408610A"/>
    <w:rsid w:val="0481674A"/>
    <w:rsid w:val="05DD06BF"/>
    <w:rsid w:val="06624721"/>
    <w:rsid w:val="06F51A39"/>
    <w:rsid w:val="07274632"/>
    <w:rsid w:val="083152E3"/>
    <w:rsid w:val="08AF79C5"/>
    <w:rsid w:val="09CB19AF"/>
    <w:rsid w:val="0A2E773B"/>
    <w:rsid w:val="0A51645B"/>
    <w:rsid w:val="0A68542A"/>
    <w:rsid w:val="0B106E41"/>
    <w:rsid w:val="0B1B1342"/>
    <w:rsid w:val="0C372D53"/>
    <w:rsid w:val="0CB70E7D"/>
    <w:rsid w:val="0D020A0B"/>
    <w:rsid w:val="0D5B2FEA"/>
    <w:rsid w:val="0D61485D"/>
    <w:rsid w:val="0D7D18FB"/>
    <w:rsid w:val="0E030643"/>
    <w:rsid w:val="0E2901B1"/>
    <w:rsid w:val="0F174A7C"/>
    <w:rsid w:val="0F902784"/>
    <w:rsid w:val="10233173"/>
    <w:rsid w:val="10611EED"/>
    <w:rsid w:val="10703EDE"/>
    <w:rsid w:val="10B239FE"/>
    <w:rsid w:val="10B82AEB"/>
    <w:rsid w:val="10BD1290"/>
    <w:rsid w:val="1184687C"/>
    <w:rsid w:val="11DE7416"/>
    <w:rsid w:val="12445622"/>
    <w:rsid w:val="12ED7A68"/>
    <w:rsid w:val="131E40C5"/>
    <w:rsid w:val="13BF4726"/>
    <w:rsid w:val="13C92B52"/>
    <w:rsid w:val="145D4781"/>
    <w:rsid w:val="15086B8A"/>
    <w:rsid w:val="15086DDB"/>
    <w:rsid w:val="15FD2849"/>
    <w:rsid w:val="16461969"/>
    <w:rsid w:val="17123F41"/>
    <w:rsid w:val="172420F4"/>
    <w:rsid w:val="18A94431"/>
    <w:rsid w:val="18C80D5B"/>
    <w:rsid w:val="1A7C7B28"/>
    <w:rsid w:val="1ACD08AB"/>
    <w:rsid w:val="1BDE43F2"/>
    <w:rsid w:val="1D1A7363"/>
    <w:rsid w:val="1DD261D8"/>
    <w:rsid w:val="1E3E59ED"/>
    <w:rsid w:val="1F307CAF"/>
    <w:rsid w:val="1FDB32ED"/>
    <w:rsid w:val="204607B7"/>
    <w:rsid w:val="207E75ED"/>
    <w:rsid w:val="20FA0BAB"/>
    <w:rsid w:val="22040E40"/>
    <w:rsid w:val="22140B6D"/>
    <w:rsid w:val="223F3C23"/>
    <w:rsid w:val="2349571A"/>
    <w:rsid w:val="234A579B"/>
    <w:rsid w:val="23897791"/>
    <w:rsid w:val="241F37F9"/>
    <w:rsid w:val="246B189A"/>
    <w:rsid w:val="25993DB4"/>
    <w:rsid w:val="25E629D2"/>
    <w:rsid w:val="26367DB1"/>
    <w:rsid w:val="277B1812"/>
    <w:rsid w:val="27A44741"/>
    <w:rsid w:val="27D972D8"/>
    <w:rsid w:val="27FC632B"/>
    <w:rsid w:val="28341F69"/>
    <w:rsid w:val="288307FB"/>
    <w:rsid w:val="29583A35"/>
    <w:rsid w:val="2C637962"/>
    <w:rsid w:val="2CC120B8"/>
    <w:rsid w:val="2EC63B41"/>
    <w:rsid w:val="327A42BE"/>
    <w:rsid w:val="33B201E6"/>
    <w:rsid w:val="345D45F6"/>
    <w:rsid w:val="347F27BE"/>
    <w:rsid w:val="34D74D9B"/>
    <w:rsid w:val="35AB1FB3"/>
    <w:rsid w:val="35C131AC"/>
    <w:rsid w:val="36A91754"/>
    <w:rsid w:val="36BA5AEE"/>
    <w:rsid w:val="36E52680"/>
    <w:rsid w:val="38B844F1"/>
    <w:rsid w:val="38F44A6F"/>
    <w:rsid w:val="38FA68B7"/>
    <w:rsid w:val="39A4603A"/>
    <w:rsid w:val="3B0609A6"/>
    <w:rsid w:val="3B4756B8"/>
    <w:rsid w:val="3BD0096C"/>
    <w:rsid w:val="3BD714E4"/>
    <w:rsid w:val="3BE07E5D"/>
    <w:rsid w:val="3D6A7D83"/>
    <w:rsid w:val="3DA212CB"/>
    <w:rsid w:val="3F7453DF"/>
    <w:rsid w:val="3FCB2D5B"/>
    <w:rsid w:val="403A0F49"/>
    <w:rsid w:val="405A7C3B"/>
    <w:rsid w:val="40B94D1B"/>
    <w:rsid w:val="425D1C65"/>
    <w:rsid w:val="427D23DE"/>
    <w:rsid w:val="434C1C7B"/>
    <w:rsid w:val="44986F84"/>
    <w:rsid w:val="44C06A46"/>
    <w:rsid w:val="45BC567F"/>
    <w:rsid w:val="45D87F80"/>
    <w:rsid w:val="464E2371"/>
    <w:rsid w:val="46712183"/>
    <w:rsid w:val="468B10F0"/>
    <w:rsid w:val="471965A4"/>
    <w:rsid w:val="47642AED"/>
    <w:rsid w:val="48253225"/>
    <w:rsid w:val="48D965DC"/>
    <w:rsid w:val="49E35145"/>
    <w:rsid w:val="4AF62C56"/>
    <w:rsid w:val="4B1C29DF"/>
    <w:rsid w:val="4B646578"/>
    <w:rsid w:val="4BD26AE6"/>
    <w:rsid w:val="4BF33004"/>
    <w:rsid w:val="4C3C7499"/>
    <w:rsid w:val="4C5756A1"/>
    <w:rsid w:val="4C78744B"/>
    <w:rsid w:val="4E0A1EFF"/>
    <w:rsid w:val="4E4361B3"/>
    <w:rsid w:val="4E8F13F8"/>
    <w:rsid w:val="4F1F277C"/>
    <w:rsid w:val="501277D2"/>
    <w:rsid w:val="50677D28"/>
    <w:rsid w:val="50824D12"/>
    <w:rsid w:val="50BC224C"/>
    <w:rsid w:val="50F814D6"/>
    <w:rsid w:val="50FE69BA"/>
    <w:rsid w:val="53286AB5"/>
    <w:rsid w:val="532A4308"/>
    <w:rsid w:val="53746E0E"/>
    <w:rsid w:val="54697358"/>
    <w:rsid w:val="54C2769D"/>
    <w:rsid w:val="55202DAA"/>
    <w:rsid w:val="55A90FF1"/>
    <w:rsid w:val="567F3C59"/>
    <w:rsid w:val="58077941"/>
    <w:rsid w:val="58E10AA2"/>
    <w:rsid w:val="59224C88"/>
    <w:rsid w:val="5967369D"/>
    <w:rsid w:val="59B96C55"/>
    <w:rsid w:val="5A293649"/>
    <w:rsid w:val="5A2A6479"/>
    <w:rsid w:val="5B7F45A2"/>
    <w:rsid w:val="5C535932"/>
    <w:rsid w:val="5D216B97"/>
    <w:rsid w:val="5D5757D7"/>
    <w:rsid w:val="5D6B74D4"/>
    <w:rsid w:val="5D8353B4"/>
    <w:rsid w:val="5DC015CE"/>
    <w:rsid w:val="5E6D01A4"/>
    <w:rsid w:val="5E9640DD"/>
    <w:rsid w:val="5EBE1D21"/>
    <w:rsid w:val="6138591F"/>
    <w:rsid w:val="618B3CA1"/>
    <w:rsid w:val="619316BE"/>
    <w:rsid w:val="627505E7"/>
    <w:rsid w:val="630A6E47"/>
    <w:rsid w:val="64B96D77"/>
    <w:rsid w:val="653C19BA"/>
    <w:rsid w:val="655645C6"/>
    <w:rsid w:val="65E82199"/>
    <w:rsid w:val="66293A88"/>
    <w:rsid w:val="66664368"/>
    <w:rsid w:val="67BE12FD"/>
    <w:rsid w:val="688C2E52"/>
    <w:rsid w:val="68A0714D"/>
    <w:rsid w:val="69011A1A"/>
    <w:rsid w:val="6B3B488D"/>
    <w:rsid w:val="6D26345C"/>
    <w:rsid w:val="6D806684"/>
    <w:rsid w:val="6D9914F3"/>
    <w:rsid w:val="6D9C177A"/>
    <w:rsid w:val="6DCA5B51"/>
    <w:rsid w:val="6DEA6EB8"/>
    <w:rsid w:val="6FC0720B"/>
    <w:rsid w:val="70A01EED"/>
    <w:rsid w:val="70C85F46"/>
    <w:rsid w:val="71435A18"/>
    <w:rsid w:val="71522991"/>
    <w:rsid w:val="71654D19"/>
    <w:rsid w:val="717604C9"/>
    <w:rsid w:val="727000E7"/>
    <w:rsid w:val="72C65C4D"/>
    <w:rsid w:val="737A608E"/>
    <w:rsid w:val="73833CBA"/>
    <w:rsid w:val="73C336B8"/>
    <w:rsid w:val="746E3D1C"/>
    <w:rsid w:val="7472484C"/>
    <w:rsid w:val="75FC2F9C"/>
    <w:rsid w:val="76866DCF"/>
    <w:rsid w:val="76AA29C3"/>
    <w:rsid w:val="774C5829"/>
    <w:rsid w:val="778817D1"/>
    <w:rsid w:val="77903967"/>
    <w:rsid w:val="77E5083A"/>
    <w:rsid w:val="78615304"/>
    <w:rsid w:val="79A8143C"/>
    <w:rsid w:val="7B7D2454"/>
    <w:rsid w:val="7C464F3C"/>
    <w:rsid w:val="7D2E3284"/>
    <w:rsid w:val="7D5564E2"/>
    <w:rsid w:val="7D60202E"/>
    <w:rsid w:val="7EBF5DB6"/>
    <w:rsid w:val="7F000019"/>
    <w:rsid w:val="7F5C70F5"/>
    <w:rsid w:val="7FAE52D2"/>
    <w:rsid w:val="7FAF2D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6"/>
    <w:qFormat/>
    <w:uiPriority w:val="0"/>
    <w:pPr>
      <w:keepNext/>
      <w:keepLines/>
      <w:spacing w:before="340" w:after="330" w:line="578" w:lineRule="auto"/>
      <w:outlineLvl w:val="0"/>
    </w:pPr>
    <w:rPr>
      <w:rFonts w:ascii="仿宋_GB2312" w:hAnsi="宋体" w:eastAsia="仿宋_GB2312"/>
      <w:b/>
      <w:bCs/>
      <w:snapToGrid w:val="0"/>
      <w:kern w:val="44"/>
      <w:sz w:val="44"/>
      <w:szCs w:val="44"/>
    </w:rPr>
  </w:style>
  <w:style w:type="paragraph" w:styleId="3">
    <w:name w:val="heading 2"/>
    <w:basedOn w:val="1"/>
    <w:next w:val="1"/>
    <w:link w:val="90"/>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5"/>
    <w:link w:val="58"/>
    <w:qFormat/>
    <w:uiPriority w:val="0"/>
    <w:pPr>
      <w:keepNext/>
      <w:keepLines/>
      <w:widowControl/>
      <w:numPr>
        <w:ilvl w:val="2"/>
        <w:numId w:val="1"/>
      </w:numPr>
      <w:spacing w:before="120" w:after="120" w:line="360" w:lineRule="auto"/>
      <w:jc w:val="center"/>
      <w:outlineLvl w:val="2"/>
    </w:pPr>
    <w:rPr>
      <w:b/>
      <w:kern w:val="0"/>
      <w:sz w:val="32"/>
      <w:szCs w:val="20"/>
    </w:rPr>
  </w:style>
  <w:style w:type="paragraph" w:styleId="6">
    <w:name w:val="heading 4"/>
    <w:basedOn w:val="1"/>
    <w:next w:val="1"/>
    <w:link w:val="59"/>
    <w:qFormat/>
    <w:uiPriority w:val="0"/>
    <w:pPr>
      <w:keepNext/>
      <w:keepLines/>
      <w:spacing w:before="280" w:after="290" w:line="376" w:lineRule="auto"/>
      <w:outlineLvl w:val="3"/>
    </w:pPr>
    <w:rPr>
      <w:rFonts w:ascii="Arial" w:hAnsi="Arial" w:eastAsia="黑体"/>
      <w:b/>
      <w:bCs/>
      <w:sz w:val="28"/>
      <w:szCs w:val="28"/>
    </w:rPr>
  </w:style>
  <w:style w:type="paragraph" w:styleId="7">
    <w:name w:val="heading 6"/>
    <w:basedOn w:val="1"/>
    <w:next w:val="1"/>
    <w:link w:val="60"/>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rPr>
  </w:style>
  <w:style w:type="paragraph" w:styleId="8">
    <w:name w:val="heading 7"/>
    <w:basedOn w:val="1"/>
    <w:next w:val="1"/>
    <w:link w:val="61"/>
    <w:qFormat/>
    <w:uiPriority w:val="0"/>
    <w:pPr>
      <w:keepNext/>
      <w:keepLines/>
      <w:widowControl/>
      <w:numPr>
        <w:ilvl w:val="6"/>
        <w:numId w:val="1"/>
      </w:numPr>
      <w:spacing w:before="240" w:after="64" w:line="320" w:lineRule="auto"/>
      <w:jc w:val="left"/>
      <w:outlineLvl w:val="6"/>
    </w:pPr>
    <w:rPr>
      <w:b/>
      <w:bCs/>
      <w:kern w:val="0"/>
      <w:sz w:val="24"/>
    </w:rPr>
  </w:style>
  <w:style w:type="paragraph" w:styleId="9">
    <w:name w:val="heading 8"/>
    <w:basedOn w:val="1"/>
    <w:next w:val="1"/>
    <w:link w:val="62"/>
    <w:qFormat/>
    <w:uiPriority w:val="0"/>
    <w:pPr>
      <w:keepNext/>
      <w:keepLines/>
      <w:widowControl/>
      <w:numPr>
        <w:ilvl w:val="7"/>
        <w:numId w:val="1"/>
      </w:numPr>
      <w:spacing w:before="240" w:after="64" w:line="320" w:lineRule="auto"/>
      <w:jc w:val="left"/>
      <w:outlineLvl w:val="7"/>
    </w:pPr>
    <w:rPr>
      <w:rFonts w:ascii="Arial" w:hAnsi="Arial" w:eastAsia="黑体"/>
      <w:kern w:val="0"/>
      <w:sz w:val="24"/>
    </w:rPr>
  </w:style>
  <w:style w:type="paragraph" w:styleId="10">
    <w:name w:val="heading 9"/>
    <w:basedOn w:val="1"/>
    <w:next w:val="1"/>
    <w:link w:val="63"/>
    <w:qFormat/>
    <w:uiPriority w:val="0"/>
    <w:pPr>
      <w:keepNext/>
      <w:keepLines/>
      <w:widowControl/>
      <w:numPr>
        <w:ilvl w:val="8"/>
        <w:numId w:val="1"/>
      </w:numPr>
      <w:spacing w:before="240" w:after="64" w:line="320" w:lineRule="auto"/>
      <w:jc w:val="left"/>
      <w:outlineLvl w:val="8"/>
    </w:pPr>
    <w:rPr>
      <w:rFonts w:ascii="Arial" w:hAnsi="Arial" w:eastAsia="黑体"/>
      <w:kern w:val="0"/>
      <w:szCs w:val="21"/>
    </w:rPr>
  </w:style>
  <w:style w:type="character" w:default="1" w:styleId="44">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91"/>
    <w:qFormat/>
    <w:uiPriority w:val="0"/>
    <w:pPr>
      <w:adjustRightInd w:val="0"/>
      <w:ind w:firstLine="420"/>
      <w:jc w:val="left"/>
      <w:textAlignment w:val="baseline"/>
    </w:pPr>
    <w:rPr>
      <w:rFonts w:eastAsia="楷体_GB2312"/>
      <w:sz w:val="24"/>
      <w:szCs w:val="20"/>
    </w:rPr>
  </w:style>
  <w:style w:type="paragraph" w:styleId="11">
    <w:name w:val="List 3"/>
    <w:basedOn w:val="1"/>
    <w:qFormat/>
    <w:uiPriority w:val="0"/>
    <w:pPr>
      <w:ind w:left="100" w:leftChars="400" w:hanging="200" w:hangingChars="200"/>
    </w:pPr>
  </w:style>
  <w:style w:type="paragraph" w:styleId="12">
    <w:name w:val="toc 7"/>
    <w:basedOn w:val="1"/>
    <w:next w:val="1"/>
    <w:qFormat/>
    <w:uiPriority w:val="0"/>
    <w:pPr>
      <w:ind w:left="2520" w:leftChars="1200"/>
    </w:pPr>
  </w:style>
  <w:style w:type="paragraph" w:styleId="13">
    <w:name w:val="Document Map"/>
    <w:basedOn w:val="1"/>
    <w:link w:val="75"/>
    <w:qFormat/>
    <w:uiPriority w:val="0"/>
    <w:pPr>
      <w:shd w:val="clear" w:color="auto" w:fill="000080"/>
    </w:pPr>
  </w:style>
  <w:style w:type="paragraph" w:styleId="14">
    <w:name w:val="annotation text"/>
    <w:basedOn w:val="1"/>
    <w:link w:val="78"/>
    <w:qFormat/>
    <w:uiPriority w:val="0"/>
    <w:pPr>
      <w:jc w:val="left"/>
    </w:pPr>
    <w:rPr>
      <w:szCs w:val="20"/>
    </w:rPr>
  </w:style>
  <w:style w:type="paragraph" w:styleId="15">
    <w:name w:val="Body Text 3"/>
    <w:basedOn w:val="1"/>
    <w:link w:val="70"/>
    <w:qFormat/>
    <w:uiPriority w:val="0"/>
    <w:pPr>
      <w:spacing w:after="120"/>
    </w:pPr>
    <w:rPr>
      <w:sz w:val="16"/>
      <w:szCs w:val="16"/>
    </w:rPr>
  </w:style>
  <w:style w:type="paragraph" w:styleId="16">
    <w:name w:val="Body Text"/>
    <w:basedOn w:val="1"/>
    <w:next w:val="1"/>
    <w:link w:val="64"/>
    <w:qFormat/>
    <w:uiPriority w:val="0"/>
    <w:pPr>
      <w:spacing w:line="360" w:lineRule="auto"/>
    </w:pPr>
    <w:rPr>
      <w:b/>
      <w:bCs/>
      <w:sz w:val="24"/>
      <w:szCs w:val="20"/>
    </w:rPr>
  </w:style>
  <w:style w:type="paragraph" w:styleId="17">
    <w:name w:val="Body Text Indent"/>
    <w:basedOn w:val="1"/>
    <w:link w:val="66"/>
    <w:qFormat/>
    <w:uiPriority w:val="0"/>
    <w:pPr>
      <w:ind w:firstLine="600" w:firstLineChars="200"/>
    </w:pPr>
    <w:rPr>
      <w:rFonts w:ascii="仿宋_GB2312" w:eastAsia="仿宋_GB2312"/>
      <w:sz w:val="30"/>
      <w:szCs w:val="20"/>
    </w:rPr>
  </w:style>
  <w:style w:type="paragraph" w:styleId="18">
    <w:name w:val="List 2"/>
    <w:basedOn w:val="1"/>
    <w:qFormat/>
    <w:uiPriority w:val="0"/>
    <w:pPr>
      <w:ind w:left="100" w:leftChars="200" w:hanging="200" w:hangingChars="200"/>
    </w:pPr>
  </w:style>
  <w:style w:type="paragraph" w:styleId="19">
    <w:name w:val="Block Text"/>
    <w:basedOn w:val="1"/>
    <w:next w:val="1"/>
    <w:qFormat/>
    <w:uiPriority w:val="0"/>
    <w:pPr>
      <w:autoSpaceDE w:val="0"/>
      <w:autoSpaceDN w:val="0"/>
      <w:adjustRightInd w:val="0"/>
      <w:ind w:left="17" w:right="-20"/>
      <w:jc w:val="left"/>
    </w:pPr>
    <w:rPr>
      <w:rFonts w:ascii="Arial" w:hAnsi="Arial" w:cs="Arial"/>
      <w:color w:val="FF0000"/>
      <w:w w:val="102"/>
      <w:kern w:val="0"/>
      <w:sz w:val="18"/>
      <w:szCs w:val="11"/>
    </w:rPr>
  </w:style>
  <w:style w:type="paragraph" w:styleId="20">
    <w:name w:val="toc 5"/>
    <w:basedOn w:val="1"/>
    <w:next w:val="1"/>
    <w:qFormat/>
    <w:uiPriority w:val="0"/>
    <w:pPr>
      <w:ind w:left="1680" w:leftChars="800"/>
    </w:pPr>
  </w:style>
  <w:style w:type="paragraph" w:styleId="21">
    <w:name w:val="toc 3"/>
    <w:basedOn w:val="1"/>
    <w:next w:val="1"/>
    <w:qFormat/>
    <w:uiPriority w:val="0"/>
    <w:pPr>
      <w:ind w:left="840" w:leftChars="400"/>
    </w:pPr>
    <w:rPr>
      <w:szCs w:val="20"/>
    </w:rPr>
  </w:style>
  <w:style w:type="paragraph" w:styleId="22">
    <w:name w:val="Plain Text"/>
    <w:basedOn w:val="1"/>
    <w:link w:val="72"/>
    <w:qFormat/>
    <w:uiPriority w:val="0"/>
    <w:rPr>
      <w:rFonts w:hint="eastAsia" w:ascii="宋体" w:hAnsi="Courier New"/>
      <w:szCs w:val="21"/>
    </w:rPr>
  </w:style>
  <w:style w:type="paragraph" w:styleId="23">
    <w:name w:val="toc 8"/>
    <w:basedOn w:val="1"/>
    <w:next w:val="1"/>
    <w:qFormat/>
    <w:uiPriority w:val="0"/>
    <w:pPr>
      <w:ind w:left="2940" w:leftChars="1400"/>
    </w:pPr>
  </w:style>
  <w:style w:type="paragraph" w:styleId="24">
    <w:name w:val="Date"/>
    <w:basedOn w:val="1"/>
    <w:next w:val="1"/>
    <w:link w:val="86"/>
    <w:qFormat/>
    <w:uiPriority w:val="0"/>
    <w:pPr>
      <w:widowControl/>
    </w:pPr>
    <w:rPr>
      <w:rFonts w:ascii="宋体"/>
      <w:kern w:val="0"/>
      <w:sz w:val="30"/>
      <w:szCs w:val="20"/>
    </w:rPr>
  </w:style>
  <w:style w:type="paragraph" w:styleId="25">
    <w:name w:val="Body Text Indent 2"/>
    <w:basedOn w:val="1"/>
    <w:link w:val="83"/>
    <w:qFormat/>
    <w:uiPriority w:val="0"/>
    <w:pPr>
      <w:spacing w:after="120" w:line="480" w:lineRule="auto"/>
      <w:ind w:left="420" w:leftChars="200"/>
    </w:pPr>
  </w:style>
  <w:style w:type="paragraph" w:styleId="26">
    <w:name w:val="Balloon Text"/>
    <w:basedOn w:val="1"/>
    <w:link w:val="93"/>
    <w:semiHidden/>
    <w:qFormat/>
    <w:uiPriority w:val="0"/>
    <w:rPr>
      <w:sz w:val="18"/>
      <w:szCs w:val="18"/>
    </w:rPr>
  </w:style>
  <w:style w:type="paragraph" w:styleId="27">
    <w:name w:val="footer"/>
    <w:basedOn w:val="1"/>
    <w:link w:val="77"/>
    <w:qFormat/>
    <w:uiPriority w:val="0"/>
    <w:pPr>
      <w:tabs>
        <w:tab w:val="center" w:pos="4153"/>
        <w:tab w:val="right" w:pos="8306"/>
      </w:tabs>
      <w:snapToGrid w:val="0"/>
      <w:jc w:val="left"/>
    </w:pPr>
    <w:rPr>
      <w:sz w:val="18"/>
      <w:szCs w:val="20"/>
    </w:rPr>
  </w:style>
  <w:style w:type="paragraph" w:styleId="28">
    <w:name w:val="header"/>
    <w:basedOn w:val="1"/>
    <w:link w:val="76"/>
    <w:qFormat/>
    <w:uiPriority w:val="0"/>
    <w:pPr>
      <w:pBdr>
        <w:bottom w:val="single" w:color="auto" w:sz="6" w:space="1"/>
      </w:pBdr>
      <w:tabs>
        <w:tab w:val="center" w:pos="4153"/>
        <w:tab w:val="right" w:pos="8306"/>
      </w:tabs>
      <w:snapToGrid w:val="0"/>
      <w:jc w:val="center"/>
    </w:pPr>
    <w:rPr>
      <w:sz w:val="18"/>
      <w:szCs w:val="20"/>
    </w:rPr>
  </w:style>
  <w:style w:type="paragraph" w:styleId="29">
    <w:name w:val="toc 1"/>
    <w:basedOn w:val="1"/>
    <w:next w:val="1"/>
    <w:qFormat/>
    <w:uiPriority w:val="39"/>
    <w:pPr>
      <w:tabs>
        <w:tab w:val="right" w:leader="dot" w:pos="9175"/>
      </w:tabs>
      <w:spacing w:line="360" w:lineRule="auto"/>
    </w:pPr>
    <w:rPr>
      <w:rFonts w:ascii="宋体" w:hAnsi="宋体"/>
      <w:color w:val="FF0000"/>
      <w:sz w:val="28"/>
      <w:szCs w:val="20"/>
    </w:rPr>
  </w:style>
  <w:style w:type="paragraph" w:styleId="30">
    <w:name w:val="toc 4"/>
    <w:basedOn w:val="1"/>
    <w:next w:val="1"/>
    <w:qFormat/>
    <w:uiPriority w:val="0"/>
    <w:pPr>
      <w:ind w:left="1260" w:leftChars="600"/>
    </w:pPr>
  </w:style>
  <w:style w:type="paragraph" w:styleId="31">
    <w:name w:val="List"/>
    <w:basedOn w:val="1"/>
    <w:qFormat/>
    <w:uiPriority w:val="0"/>
    <w:pPr>
      <w:ind w:left="200" w:hanging="200" w:hangingChars="200"/>
    </w:pPr>
  </w:style>
  <w:style w:type="paragraph" w:styleId="32">
    <w:name w:val="toc 6"/>
    <w:basedOn w:val="1"/>
    <w:next w:val="1"/>
    <w:qFormat/>
    <w:uiPriority w:val="0"/>
    <w:pPr>
      <w:ind w:left="2100" w:leftChars="1000"/>
    </w:pPr>
  </w:style>
  <w:style w:type="paragraph" w:styleId="33">
    <w:name w:val="Body Text Indent 3"/>
    <w:basedOn w:val="1"/>
    <w:link w:val="84"/>
    <w:qFormat/>
    <w:uiPriority w:val="0"/>
    <w:pPr>
      <w:spacing w:after="120"/>
      <w:ind w:left="420" w:leftChars="200"/>
    </w:pPr>
    <w:rPr>
      <w:sz w:val="16"/>
      <w:szCs w:val="16"/>
    </w:rPr>
  </w:style>
  <w:style w:type="paragraph" w:styleId="34">
    <w:name w:val="toc 2"/>
    <w:basedOn w:val="1"/>
    <w:next w:val="1"/>
    <w:qFormat/>
    <w:uiPriority w:val="39"/>
    <w:pPr>
      <w:ind w:left="420" w:leftChars="200"/>
    </w:pPr>
    <w:rPr>
      <w:szCs w:val="20"/>
    </w:rPr>
  </w:style>
  <w:style w:type="paragraph" w:styleId="35">
    <w:name w:val="toc 9"/>
    <w:basedOn w:val="1"/>
    <w:next w:val="1"/>
    <w:qFormat/>
    <w:uiPriority w:val="0"/>
    <w:pPr>
      <w:ind w:left="3360" w:leftChars="1600"/>
    </w:pPr>
  </w:style>
  <w:style w:type="paragraph" w:styleId="36">
    <w:name w:val="Body Text 2"/>
    <w:basedOn w:val="1"/>
    <w:link w:val="85"/>
    <w:qFormat/>
    <w:uiPriority w:val="0"/>
    <w:pPr>
      <w:spacing w:line="360" w:lineRule="auto"/>
    </w:pPr>
    <w:rPr>
      <w:rFonts w:ascii="宋体" w:hAnsi="宋体"/>
      <w:sz w:val="24"/>
      <w:szCs w:val="20"/>
    </w:rPr>
  </w:style>
  <w:style w:type="paragraph" w:styleId="37">
    <w:name w:val="List Continue 2"/>
    <w:basedOn w:val="1"/>
    <w:qFormat/>
    <w:uiPriority w:val="0"/>
    <w:pPr>
      <w:spacing w:after="120"/>
      <w:ind w:left="840" w:leftChars="400"/>
    </w:pPr>
  </w:style>
  <w:style w:type="paragraph" w:styleId="3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39">
    <w:name w:val="annotation subject"/>
    <w:basedOn w:val="14"/>
    <w:next w:val="14"/>
    <w:link w:val="79"/>
    <w:qFormat/>
    <w:uiPriority w:val="0"/>
    <w:rPr>
      <w:b/>
      <w:bCs/>
    </w:rPr>
  </w:style>
  <w:style w:type="paragraph" w:styleId="40">
    <w:name w:val="Body Text First Indent"/>
    <w:basedOn w:val="16"/>
    <w:link w:val="65"/>
    <w:qFormat/>
    <w:uiPriority w:val="0"/>
    <w:pPr>
      <w:spacing w:after="120" w:line="240" w:lineRule="auto"/>
      <w:ind w:firstLine="420" w:firstLineChars="100"/>
    </w:pPr>
    <w:rPr>
      <w:b w:val="0"/>
      <w:bCs w:val="0"/>
      <w:sz w:val="21"/>
      <w:szCs w:val="24"/>
    </w:rPr>
  </w:style>
  <w:style w:type="paragraph" w:styleId="41">
    <w:name w:val="Body Text First Indent 2"/>
    <w:basedOn w:val="17"/>
    <w:link w:val="67"/>
    <w:qFormat/>
    <w:uiPriority w:val="0"/>
    <w:pPr>
      <w:spacing w:after="120"/>
      <w:ind w:left="420" w:leftChars="200" w:firstLine="420"/>
    </w:pPr>
    <w:rPr>
      <w:rFonts w:ascii="Times New Roman" w:eastAsia="宋体"/>
      <w:sz w:val="21"/>
      <w:szCs w:val="24"/>
    </w:rPr>
  </w:style>
  <w:style w:type="table" w:styleId="43">
    <w:name w:val="Table Grid"/>
    <w:basedOn w:val="4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5">
    <w:name w:val="Strong"/>
    <w:qFormat/>
    <w:uiPriority w:val="22"/>
    <w:rPr>
      <w:b/>
      <w:bCs/>
    </w:rPr>
  </w:style>
  <w:style w:type="character" w:styleId="46">
    <w:name w:val="page number"/>
    <w:basedOn w:val="44"/>
    <w:qFormat/>
    <w:uiPriority w:val="0"/>
  </w:style>
  <w:style w:type="character" w:styleId="47">
    <w:name w:val="Emphasis"/>
    <w:qFormat/>
    <w:uiPriority w:val="0"/>
  </w:style>
  <w:style w:type="character" w:styleId="48">
    <w:name w:val="Hyperlink"/>
    <w:qFormat/>
    <w:uiPriority w:val="99"/>
    <w:rPr>
      <w:color w:val="0000FF"/>
      <w:u w:val="single"/>
    </w:rPr>
  </w:style>
  <w:style w:type="character" w:styleId="49">
    <w:name w:val="annotation reference"/>
    <w:qFormat/>
    <w:uiPriority w:val="0"/>
    <w:rPr>
      <w:sz w:val="21"/>
      <w:szCs w:val="21"/>
    </w:rPr>
  </w:style>
  <w:style w:type="paragraph" w:customStyle="1" w:styleId="5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1">
    <w:name w:val="xl27"/>
    <w:basedOn w:val="1"/>
    <w:qFormat/>
    <w:uiPriority w:val="0"/>
    <w:pPr>
      <w:widowControl/>
      <w:spacing w:before="100" w:beforeAutospacing="1" w:after="100" w:afterAutospacing="1"/>
      <w:jc w:val="center"/>
    </w:pPr>
    <w:rPr>
      <w:rFonts w:ascii="Arial Unicode MS" w:hAnsi="Arial Unicode MS" w:eastAsia="Arial Unicode MS" w:cs="Arial Unicode MS"/>
      <w:kern w:val="0"/>
      <w:sz w:val="24"/>
    </w:rPr>
  </w:style>
  <w:style w:type="paragraph" w:customStyle="1" w:styleId="52">
    <w:name w:val="样式2"/>
    <w:basedOn w:val="1"/>
    <w:qFormat/>
    <w:uiPriority w:val="0"/>
    <w:rPr>
      <w:rFonts w:ascii="仿宋_GB2312" w:eastAsia="仿宋_GB2312"/>
      <w:sz w:val="32"/>
      <w:szCs w:val="20"/>
    </w:rPr>
  </w:style>
  <w:style w:type="paragraph" w:customStyle="1" w:styleId="53">
    <w:name w:val="样式1"/>
    <w:basedOn w:val="1"/>
    <w:qFormat/>
    <w:uiPriority w:val="0"/>
    <w:pPr>
      <w:numPr>
        <w:ilvl w:val="1"/>
        <w:numId w:val="2"/>
      </w:numPr>
    </w:pPr>
    <w:rPr>
      <w:rFonts w:ascii="仿宋_GB2312" w:eastAsia="仿宋_GB2312"/>
      <w:sz w:val="32"/>
      <w:szCs w:val="20"/>
    </w:rPr>
  </w:style>
  <w:style w:type="paragraph" w:customStyle="1" w:styleId="54">
    <w:name w:val="默认段落字体 Para Char Char Char Char"/>
    <w:basedOn w:val="1"/>
    <w:qFormat/>
    <w:uiPriority w:val="0"/>
  </w:style>
  <w:style w:type="paragraph" w:customStyle="1" w:styleId="55">
    <w:name w:val="Char Char Char Char"/>
    <w:basedOn w:val="1"/>
    <w:qFormat/>
    <w:uiPriority w:val="0"/>
    <w:rPr>
      <w:rFonts w:ascii="Tahoma" w:hAnsi="Tahoma"/>
      <w:sz w:val="24"/>
      <w:szCs w:val="20"/>
    </w:rPr>
  </w:style>
  <w:style w:type="character" w:customStyle="1" w:styleId="56">
    <w:name w:val="标题 1 Char"/>
    <w:link w:val="2"/>
    <w:qFormat/>
    <w:uiPriority w:val="0"/>
    <w:rPr>
      <w:rFonts w:ascii="仿宋_GB2312" w:hAnsi="宋体" w:eastAsia="仿宋_GB2312"/>
      <w:b/>
      <w:bCs/>
      <w:snapToGrid/>
      <w:kern w:val="44"/>
      <w:sz w:val="44"/>
      <w:szCs w:val="44"/>
    </w:rPr>
  </w:style>
  <w:style w:type="character" w:customStyle="1" w:styleId="57">
    <w:name w:val="标题 2 Char"/>
    <w:qFormat/>
    <w:uiPriority w:val="0"/>
    <w:rPr>
      <w:rFonts w:ascii="Cambria" w:hAnsi="Cambria" w:eastAsia="宋体" w:cs="Times New Roman"/>
      <w:b/>
      <w:bCs/>
      <w:kern w:val="2"/>
      <w:sz w:val="32"/>
      <w:szCs w:val="32"/>
    </w:rPr>
  </w:style>
  <w:style w:type="character" w:customStyle="1" w:styleId="58">
    <w:name w:val="标题 3 Char"/>
    <w:link w:val="4"/>
    <w:qFormat/>
    <w:uiPriority w:val="0"/>
    <w:rPr>
      <w:b/>
      <w:sz w:val="32"/>
    </w:rPr>
  </w:style>
  <w:style w:type="character" w:customStyle="1" w:styleId="59">
    <w:name w:val="标题 4 Char"/>
    <w:link w:val="6"/>
    <w:qFormat/>
    <w:uiPriority w:val="0"/>
    <w:rPr>
      <w:rFonts w:ascii="Arial" w:hAnsi="Arial" w:eastAsia="黑体"/>
      <w:b/>
      <w:bCs/>
      <w:kern w:val="2"/>
      <w:sz w:val="28"/>
      <w:szCs w:val="28"/>
    </w:rPr>
  </w:style>
  <w:style w:type="character" w:customStyle="1" w:styleId="60">
    <w:name w:val="标题 6 Char"/>
    <w:link w:val="7"/>
    <w:qFormat/>
    <w:uiPriority w:val="0"/>
    <w:rPr>
      <w:rFonts w:ascii="Arial" w:hAnsi="Arial" w:eastAsia="黑体"/>
      <w:b/>
      <w:bCs/>
      <w:sz w:val="24"/>
      <w:szCs w:val="24"/>
    </w:rPr>
  </w:style>
  <w:style w:type="character" w:customStyle="1" w:styleId="61">
    <w:name w:val="标题 7 Char"/>
    <w:link w:val="8"/>
    <w:qFormat/>
    <w:uiPriority w:val="0"/>
    <w:rPr>
      <w:b/>
      <w:bCs/>
      <w:sz w:val="24"/>
      <w:szCs w:val="24"/>
    </w:rPr>
  </w:style>
  <w:style w:type="character" w:customStyle="1" w:styleId="62">
    <w:name w:val="标题 8 Char"/>
    <w:link w:val="9"/>
    <w:qFormat/>
    <w:uiPriority w:val="0"/>
    <w:rPr>
      <w:rFonts w:ascii="Arial" w:hAnsi="Arial" w:eastAsia="黑体"/>
      <w:sz w:val="24"/>
      <w:szCs w:val="24"/>
    </w:rPr>
  </w:style>
  <w:style w:type="character" w:customStyle="1" w:styleId="63">
    <w:name w:val="标题 9 Char"/>
    <w:link w:val="10"/>
    <w:qFormat/>
    <w:uiPriority w:val="0"/>
    <w:rPr>
      <w:rFonts w:ascii="Arial" w:hAnsi="Arial" w:eastAsia="黑体"/>
      <w:sz w:val="21"/>
      <w:szCs w:val="21"/>
    </w:rPr>
  </w:style>
  <w:style w:type="character" w:customStyle="1" w:styleId="64">
    <w:name w:val="正文文本 Char"/>
    <w:link w:val="16"/>
    <w:qFormat/>
    <w:uiPriority w:val="0"/>
    <w:rPr>
      <w:b/>
      <w:bCs/>
      <w:kern w:val="2"/>
      <w:sz w:val="24"/>
    </w:rPr>
  </w:style>
  <w:style w:type="character" w:customStyle="1" w:styleId="65">
    <w:name w:val="正文首行缩进 Char1"/>
    <w:link w:val="40"/>
    <w:qFormat/>
    <w:uiPriority w:val="0"/>
    <w:rPr>
      <w:kern w:val="2"/>
      <w:sz w:val="21"/>
      <w:szCs w:val="24"/>
    </w:rPr>
  </w:style>
  <w:style w:type="character" w:customStyle="1" w:styleId="66">
    <w:name w:val="正文文本缩进 Char"/>
    <w:link w:val="17"/>
    <w:qFormat/>
    <w:uiPriority w:val="0"/>
    <w:rPr>
      <w:rFonts w:ascii="仿宋_GB2312" w:eastAsia="仿宋_GB2312"/>
      <w:kern w:val="2"/>
      <w:sz w:val="30"/>
    </w:rPr>
  </w:style>
  <w:style w:type="character" w:customStyle="1" w:styleId="67">
    <w:name w:val="正文首行缩进 2 Char"/>
    <w:link w:val="41"/>
    <w:qFormat/>
    <w:uiPriority w:val="0"/>
    <w:rPr>
      <w:rFonts w:ascii="仿宋_GB2312" w:eastAsia="仿宋_GB2312"/>
      <w:kern w:val="2"/>
      <w:sz w:val="21"/>
      <w:szCs w:val="24"/>
    </w:rPr>
  </w:style>
  <w:style w:type="paragraph" w:customStyle="1" w:styleId="68">
    <w:name w:val="Char Char Char"/>
    <w:basedOn w:val="1"/>
    <w:qFormat/>
    <w:uiPriority w:val="0"/>
    <w:rPr>
      <w:rFonts w:ascii="Tahoma" w:hAnsi="Tahoma" w:eastAsia="仿宋_GB2312"/>
      <w:snapToGrid w:val="0"/>
      <w:kern w:val="0"/>
      <w:sz w:val="24"/>
      <w:szCs w:val="20"/>
    </w:rPr>
  </w:style>
  <w:style w:type="character" w:customStyle="1" w:styleId="69">
    <w:name w:val="访问过的超链接1"/>
    <w:qFormat/>
    <w:uiPriority w:val="0"/>
    <w:rPr>
      <w:color w:val="800080"/>
      <w:u w:val="single"/>
    </w:rPr>
  </w:style>
  <w:style w:type="character" w:customStyle="1" w:styleId="70">
    <w:name w:val="正文文本 3 Char"/>
    <w:link w:val="15"/>
    <w:qFormat/>
    <w:uiPriority w:val="0"/>
    <w:rPr>
      <w:kern w:val="2"/>
      <w:sz w:val="16"/>
      <w:szCs w:val="16"/>
    </w:rPr>
  </w:style>
  <w:style w:type="paragraph" w:styleId="71">
    <w:name w:val="List Paragraph"/>
    <w:basedOn w:val="1"/>
    <w:link w:val="102"/>
    <w:qFormat/>
    <w:uiPriority w:val="34"/>
    <w:pPr>
      <w:ind w:firstLine="420" w:firstLineChars="200"/>
    </w:pPr>
    <w:rPr>
      <w:rFonts w:ascii="Calibri" w:hAnsi="Calibri"/>
      <w:szCs w:val="22"/>
    </w:rPr>
  </w:style>
  <w:style w:type="character" w:customStyle="1" w:styleId="72">
    <w:name w:val="纯文本 Char"/>
    <w:link w:val="22"/>
    <w:qFormat/>
    <w:uiPriority w:val="0"/>
    <w:rPr>
      <w:rFonts w:ascii="宋体" w:hAnsi="Courier New"/>
      <w:kern w:val="2"/>
      <w:sz w:val="21"/>
      <w:szCs w:val="21"/>
    </w:rPr>
  </w:style>
  <w:style w:type="paragraph" w:customStyle="1" w:styleId="73">
    <w:name w:val="p0"/>
    <w:basedOn w:val="1"/>
    <w:qFormat/>
    <w:uiPriority w:val="0"/>
    <w:pPr>
      <w:widowControl/>
    </w:pPr>
    <w:rPr>
      <w:kern w:val="0"/>
      <w:szCs w:val="21"/>
    </w:rPr>
  </w:style>
  <w:style w:type="paragraph" w:customStyle="1" w:styleId="74">
    <w:name w:val="列表内容"/>
    <w:basedOn w:val="1"/>
    <w:next w:val="1"/>
    <w:qFormat/>
    <w:uiPriority w:val="0"/>
    <w:pPr>
      <w:widowControl/>
      <w:numPr>
        <w:ilvl w:val="0"/>
        <w:numId w:val="3"/>
      </w:numPr>
      <w:tabs>
        <w:tab w:val="left" w:pos="840"/>
      </w:tabs>
      <w:jc w:val="left"/>
    </w:pPr>
    <w:rPr>
      <w:kern w:val="0"/>
      <w:sz w:val="18"/>
    </w:rPr>
  </w:style>
  <w:style w:type="character" w:customStyle="1" w:styleId="75">
    <w:name w:val="文档结构图 Char"/>
    <w:link w:val="13"/>
    <w:qFormat/>
    <w:uiPriority w:val="0"/>
    <w:rPr>
      <w:kern w:val="2"/>
      <w:sz w:val="21"/>
      <w:szCs w:val="24"/>
      <w:shd w:val="clear" w:color="auto" w:fill="000080"/>
    </w:rPr>
  </w:style>
  <w:style w:type="character" w:customStyle="1" w:styleId="76">
    <w:name w:val="页眉 Char"/>
    <w:link w:val="28"/>
    <w:qFormat/>
    <w:uiPriority w:val="0"/>
    <w:rPr>
      <w:kern w:val="2"/>
      <w:sz w:val="18"/>
    </w:rPr>
  </w:style>
  <w:style w:type="character" w:customStyle="1" w:styleId="77">
    <w:name w:val="页脚 Char"/>
    <w:link w:val="27"/>
    <w:qFormat/>
    <w:uiPriority w:val="0"/>
    <w:rPr>
      <w:kern w:val="2"/>
      <w:sz w:val="18"/>
    </w:rPr>
  </w:style>
  <w:style w:type="character" w:customStyle="1" w:styleId="78">
    <w:name w:val="批注文字 Char"/>
    <w:link w:val="14"/>
    <w:qFormat/>
    <w:uiPriority w:val="0"/>
    <w:rPr>
      <w:kern w:val="2"/>
      <w:sz w:val="21"/>
    </w:rPr>
  </w:style>
  <w:style w:type="character" w:customStyle="1" w:styleId="79">
    <w:name w:val="批注主题 Char"/>
    <w:link w:val="39"/>
    <w:qFormat/>
    <w:uiPriority w:val="0"/>
    <w:rPr>
      <w:b/>
      <w:bCs/>
      <w:kern w:val="2"/>
      <w:sz w:val="21"/>
    </w:rPr>
  </w:style>
  <w:style w:type="paragraph" w:customStyle="1" w:styleId="80">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81">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2">
    <w:name w:val="param-name param-explain"/>
    <w:qFormat/>
    <w:uiPriority w:val="0"/>
  </w:style>
  <w:style w:type="character" w:customStyle="1" w:styleId="83">
    <w:name w:val="正文文本缩进 2 Char1"/>
    <w:link w:val="25"/>
    <w:qFormat/>
    <w:uiPriority w:val="0"/>
    <w:rPr>
      <w:kern w:val="2"/>
      <w:sz w:val="21"/>
      <w:szCs w:val="24"/>
    </w:rPr>
  </w:style>
  <w:style w:type="character" w:customStyle="1" w:styleId="84">
    <w:name w:val="正文文本缩进 3 Char"/>
    <w:link w:val="33"/>
    <w:qFormat/>
    <w:uiPriority w:val="0"/>
    <w:rPr>
      <w:kern w:val="2"/>
      <w:sz w:val="16"/>
      <w:szCs w:val="16"/>
    </w:rPr>
  </w:style>
  <w:style w:type="character" w:customStyle="1" w:styleId="85">
    <w:name w:val="正文文本 2 Char"/>
    <w:link w:val="36"/>
    <w:qFormat/>
    <w:uiPriority w:val="0"/>
    <w:rPr>
      <w:rFonts w:ascii="宋体" w:hAnsi="宋体"/>
      <w:kern w:val="2"/>
      <w:sz w:val="24"/>
    </w:rPr>
  </w:style>
  <w:style w:type="character" w:customStyle="1" w:styleId="86">
    <w:name w:val="日期 Char"/>
    <w:link w:val="24"/>
    <w:qFormat/>
    <w:uiPriority w:val="0"/>
    <w:rPr>
      <w:rFonts w:ascii="宋体"/>
      <w:sz w:val="30"/>
    </w:rPr>
  </w:style>
  <w:style w:type="character" w:customStyle="1" w:styleId="87">
    <w:name w:val="标题 1 Char1"/>
    <w:qFormat/>
    <w:uiPriority w:val="0"/>
    <w:rPr>
      <w:rFonts w:ascii="仿宋_GB2312" w:hAnsi="宋体" w:eastAsia="仿宋_GB2312"/>
      <w:b/>
      <w:bCs/>
      <w:snapToGrid/>
      <w:kern w:val="44"/>
      <w:sz w:val="44"/>
      <w:szCs w:val="44"/>
    </w:rPr>
  </w:style>
  <w:style w:type="paragraph" w:customStyle="1" w:styleId="88">
    <w:name w:val="Char Char Char2"/>
    <w:basedOn w:val="1"/>
    <w:qFormat/>
    <w:uiPriority w:val="0"/>
    <w:pPr>
      <w:snapToGrid w:val="0"/>
    </w:pPr>
    <w:rPr>
      <w:rFonts w:ascii="Tahoma" w:hAnsi="Tahoma" w:eastAsia="仿宋_GB2312"/>
      <w:kern w:val="0"/>
      <w:sz w:val="24"/>
      <w:szCs w:val="20"/>
    </w:rPr>
  </w:style>
  <w:style w:type="paragraph" w:customStyle="1" w:styleId="89">
    <w:name w:val="Char Char Char Char1"/>
    <w:basedOn w:val="1"/>
    <w:qFormat/>
    <w:uiPriority w:val="0"/>
    <w:rPr>
      <w:rFonts w:ascii="Tahoma" w:hAnsi="Tahoma"/>
      <w:sz w:val="24"/>
      <w:szCs w:val="20"/>
    </w:rPr>
  </w:style>
  <w:style w:type="character" w:customStyle="1" w:styleId="90">
    <w:name w:val="标题 2 Char1"/>
    <w:link w:val="3"/>
    <w:qFormat/>
    <w:uiPriority w:val="0"/>
    <w:rPr>
      <w:rFonts w:ascii="Arial" w:hAnsi="Arial" w:eastAsia="黑体"/>
      <w:b/>
      <w:bCs/>
      <w:kern w:val="2"/>
      <w:sz w:val="32"/>
      <w:szCs w:val="32"/>
    </w:rPr>
  </w:style>
  <w:style w:type="character" w:customStyle="1" w:styleId="91">
    <w:name w:val="正文缩进 Char1"/>
    <w:link w:val="5"/>
    <w:qFormat/>
    <w:uiPriority w:val="0"/>
    <w:rPr>
      <w:rFonts w:eastAsia="楷体_GB2312"/>
      <w:kern w:val="2"/>
      <w:sz w:val="24"/>
    </w:rPr>
  </w:style>
  <w:style w:type="character" w:customStyle="1" w:styleId="92">
    <w:name w:val="Char Char11"/>
    <w:qFormat/>
    <w:uiPriority w:val="0"/>
    <w:rPr>
      <w:rFonts w:ascii="Arial" w:hAnsi="Arial" w:eastAsia="黑体"/>
      <w:b/>
      <w:bCs/>
      <w:kern w:val="2"/>
      <w:sz w:val="32"/>
      <w:szCs w:val="32"/>
      <w:lang w:val="en-US" w:eastAsia="zh-CN" w:bidi="ar-SA"/>
    </w:rPr>
  </w:style>
  <w:style w:type="character" w:customStyle="1" w:styleId="93">
    <w:name w:val="批注框文本 Char"/>
    <w:link w:val="26"/>
    <w:semiHidden/>
    <w:qFormat/>
    <w:uiPriority w:val="0"/>
    <w:rPr>
      <w:kern w:val="2"/>
      <w:sz w:val="18"/>
      <w:szCs w:val="18"/>
    </w:rPr>
  </w:style>
  <w:style w:type="paragraph" w:customStyle="1" w:styleId="94">
    <w:name w:val="Char Char Char1"/>
    <w:basedOn w:val="1"/>
    <w:qFormat/>
    <w:uiPriority w:val="0"/>
    <w:rPr>
      <w:rFonts w:ascii="Tahoma" w:hAnsi="Tahoma"/>
      <w:sz w:val="24"/>
      <w:szCs w:val="20"/>
    </w:rPr>
  </w:style>
  <w:style w:type="paragraph" w:customStyle="1" w:styleId="95">
    <w:name w:val="1"/>
    <w:basedOn w:val="16"/>
    <w:next w:val="40"/>
    <w:link w:val="96"/>
    <w:qFormat/>
    <w:uiPriority w:val="0"/>
    <w:pPr>
      <w:spacing w:after="120" w:line="240" w:lineRule="auto"/>
      <w:ind w:firstLine="420" w:firstLineChars="100"/>
    </w:pPr>
    <w:rPr>
      <w:b w:val="0"/>
      <w:bCs w:val="0"/>
      <w:sz w:val="21"/>
      <w:szCs w:val="24"/>
    </w:rPr>
  </w:style>
  <w:style w:type="character" w:customStyle="1" w:styleId="96">
    <w:name w:val="正文首行缩进 Char"/>
    <w:link w:val="95"/>
    <w:qFormat/>
    <w:uiPriority w:val="0"/>
    <w:rPr>
      <w:kern w:val="2"/>
      <w:sz w:val="21"/>
      <w:szCs w:val="24"/>
    </w:rPr>
  </w:style>
  <w:style w:type="character" w:customStyle="1" w:styleId="97">
    <w:name w:val="正文文本缩进 2 Char"/>
    <w:qFormat/>
    <w:uiPriority w:val="0"/>
    <w:rPr>
      <w:kern w:val="2"/>
      <w:sz w:val="21"/>
      <w:szCs w:val="24"/>
    </w:rPr>
  </w:style>
  <w:style w:type="character" w:customStyle="1" w:styleId="98">
    <w:name w:val="qowt-font4"/>
    <w:qFormat/>
    <w:uiPriority w:val="0"/>
  </w:style>
  <w:style w:type="paragraph" w:customStyle="1" w:styleId="99">
    <w:name w:val="qowt-stl-正文"/>
    <w:basedOn w:val="1"/>
    <w:qFormat/>
    <w:uiPriority w:val="0"/>
    <w:pPr>
      <w:widowControl/>
      <w:spacing w:before="100" w:beforeAutospacing="1" w:after="100" w:afterAutospacing="1"/>
      <w:jc w:val="left"/>
    </w:pPr>
    <w:rPr>
      <w:rFonts w:ascii="宋体" w:hAnsi="宋体" w:cs="宋体"/>
      <w:kern w:val="0"/>
      <w:sz w:val="24"/>
    </w:rPr>
  </w:style>
  <w:style w:type="paragraph" w:customStyle="1" w:styleId="100">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101">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snapToGrid/>
      <w:color w:val="366091" w:themeColor="accent1" w:themeShade="BF"/>
      <w:kern w:val="0"/>
      <w:sz w:val="32"/>
      <w:szCs w:val="32"/>
    </w:rPr>
  </w:style>
  <w:style w:type="character" w:customStyle="1" w:styleId="102">
    <w:name w:val="列出段落 Char"/>
    <w:link w:val="71"/>
    <w:qFormat/>
    <w:locked/>
    <w:uiPriority w:val="34"/>
    <w:rPr>
      <w:rFonts w:ascii="Calibri" w:hAnsi="Calibri"/>
      <w:kern w:val="2"/>
      <w:sz w:val="21"/>
      <w:szCs w:val="22"/>
    </w:rPr>
  </w:style>
  <w:style w:type="paragraph" w:customStyle="1" w:styleId="103">
    <w:name w:val="列出段落1"/>
    <w:basedOn w:val="1"/>
    <w:qFormat/>
    <w:uiPriority w:val="0"/>
    <w:pPr>
      <w:ind w:firstLine="420" w:firstLineChars="200"/>
    </w:pPr>
    <w:rPr>
      <w:szCs w:val="21"/>
    </w:rPr>
  </w:style>
  <w:style w:type="paragraph" w:customStyle="1" w:styleId="104">
    <w:name w:val="Table Text"/>
    <w:basedOn w:val="1"/>
    <w:semiHidden/>
    <w:qFormat/>
    <w:uiPriority w:val="0"/>
    <w:rPr>
      <w:rFonts w:ascii="宋体" w:hAnsi="宋体" w:eastAsia="宋体" w:cs="宋体"/>
      <w:sz w:val="24"/>
      <w:szCs w:val="24"/>
      <w:lang w:val="en-US" w:eastAsia="en-US" w:bidi="ar-SA"/>
    </w:rPr>
  </w:style>
  <w:style w:type="table" w:customStyle="1" w:styleId="105">
    <w:name w:val="Table Normal"/>
    <w:unhideWhenUsed/>
    <w:qFormat/>
    <w:uiPriority w:val="0"/>
    <w:rPr>
      <w:lang w:val="en-US" w:eastAsia="zh-CN" w:bidi="ar-S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8" Type="http://schemas.openxmlformats.org/officeDocument/2006/relationships/fontTable" Target="fontTable.xml"/><Relationship Id="rId37" Type="http://schemas.openxmlformats.org/officeDocument/2006/relationships/customXml" Target="../customXml/item3.xml"/><Relationship Id="rId36" Type="http://schemas.openxmlformats.org/officeDocument/2006/relationships/customXml" Target="../customXml/item2.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theme" Target="theme/theme1.xml"/><Relationship Id="rId32" Type="http://schemas.openxmlformats.org/officeDocument/2006/relationships/footer" Target="footer11.xml"/><Relationship Id="rId31" Type="http://schemas.openxmlformats.org/officeDocument/2006/relationships/header" Target="header19.xml"/><Relationship Id="rId30" Type="http://schemas.openxmlformats.org/officeDocument/2006/relationships/header" Target="header18.xml"/><Relationship Id="rId3" Type="http://schemas.openxmlformats.org/officeDocument/2006/relationships/header" Target="header1.xml"/><Relationship Id="rId29" Type="http://schemas.openxmlformats.org/officeDocument/2006/relationships/footer" Target="footer10.xml"/><Relationship Id="rId28" Type="http://schemas.openxmlformats.org/officeDocument/2006/relationships/header" Target="header17.xml"/><Relationship Id="rId27" Type="http://schemas.openxmlformats.org/officeDocument/2006/relationships/header" Target="header16.xml"/><Relationship Id="rId26" Type="http://schemas.openxmlformats.org/officeDocument/2006/relationships/header" Target="header15.xml"/><Relationship Id="rId25" Type="http://schemas.openxmlformats.org/officeDocument/2006/relationships/footer" Target="footer9.xml"/><Relationship Id="rId24" Type="http://schemas.openxmlformats.org/officeDocument/2006/relationships/header" Target="header14.xml"/><Relationship Id="rId23" Type="http://schemas.openxmlformats.org/officeDocument/2006/relationships/header" Target="header13.xml"/><Relationship Id="rId22" Type="http://schemas.openxmlformats.org/officeDocument/2006/relationships/header" Target="header12.xml"/><Relationship Id="rId21" Type="http://schemas.openxmlformats.org/officeDocument/2006/relationships/footer" Target="footer8.xml"/><Relationship Id="rId20" Type="http://schemas.openxmlformats.org/officeDocument/2006/relationships/header" Target="header11.xml"/><Relationship Id="rId2" Type="http://schemas.openxmlformats.org/officeDocument/2006/relationships/settings" Target="settings.xml"/><Relationship Id="rId19" Type="http://schemas.openxmlformats.org/officeDocument/2006/relationships/footer" Target="footer7.xml"/><Relationship Id="rId18" Type="http://schemas.openxmlformats.org/officeDocument/2006/relationships/header" Target="header10.xml"/><Relationship Id="rId17" Type="http://schemas.openxmlformats.org/officeDocument/2006/relationships/header" Target="header9.xml"/><Relationship Id="rId16" Type="http://schemas.openxmlformats.org/officeDocument/2006/relationships/header" Target="header8.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0.xml.rels><?xml version="1.0" encoding="UTF-8" standalone="yes"?>
<Relationships xmlns="http://schemas.openxmlformats.org/package/2006/relationships"><Relationship Id="rId1" Type="http://schemas.openxmlformats.org/officeDocument/2006/relationships/image" Target="media/image1.png"/></Relationships>
</file>

<file path=word/_rels/header16.xml.rels><?xml version="1.0" encoding="UTF-8" standalone="yes"?>
<Relationships xmlns="http://schemas.openxmlformats.org/package/2006/relationships"><Relationship Id="rId1" Type="http://schemas.openxmlformats.org/officeDocument/2006/relationships/image" Target="media/image1.png"/></Relationships>
</file>

<file path=word/_rels/header17.xml.rels><?xml version="1.0" encoding="UTF-8" standalone="yes"?>
<Relationships xmlns="http://schemas.openxmlformats.org/package/2006/relationships"><Relationship Id="rId1" Type="http://schemas.openxmlformats.org/officeDocument/2006/relationships/image" Target="media/image1.png"/></Relationships>
</file>

<file path=word/_rels/header18.xml.rels><?xml version="1.0" encoding="UTF-8" standalone="yes"?>
<Relationships xmlns="http://schemas.openxmlformats.org/package/2006/relationships"><Relationship Id="rId1" Type="http://schemas.openxmlformats.org/officeDocument/2006/relationships/image" Target="media/image1.png"/></Relationships>
</file>

<file path=word/_rels/header19.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4097"/>
    <customShpInfo spid="_x0000_s4122" textRotate="1"/>
    <customShpInfo spid="_x0000_s4123" textRotate="1"/>
    <customShpInfo spid="_x0000_s4124" textRotate="1"/>
    <customShpInfo spid="_x0000_s4101"/>
    <customShpInfo spid="_x0000_s4100"/>
    <customShpInfo spid="_x0000_s4125" textRotate="1"/>
    <customShpInfo spid="_x0000_s4103"/>
    <customShpInfo spid="_x0000_s4104"/>
    <customShpInfo spid="_x0000_s4102"/>
    <customShpInfo spid="_x0000_s4126" textRotate="1"/>
    <customShpInfo spid="_x0000_s4106"/>
    <customShpInfo spid="_x0000_s4107"/>
    <customShpInfo spid="_x0000_s4105"/>
    <customShpInfo spid="_x0000_s4127" textRotate="1"/>
    <customShpInfo spid="_x0000_s4128" textRotate="1"/>
    <customShpInfo spid="_x0000_s4129" textRotate="1"/>
    <customShpInfo spid="_x0000_s4109"/>
    <customShpInfo spid="_x0000_s4108"/>
    <customShpInfo spid="_x0000_s4130" textRotate="1"/>
    <customShpInfo spid="_x0000_s4111"/>
    <customShpInfo spid="_x0000_s4110"/>
    <customShpInfo spid="_x0000_s4131"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FBA517-4736-4D11-905A-71342B1A7D7D}">
  <ds:schemaRefs/>
</ds:datastoreItem>
</file>

<file path=customXml/itemProps3.xml><?xml version="1.0" encoding="utf-8"?>
<ds:datastoreItem xmlns:ds="http://schemas.openxmlformats.org/officeDocument/2006/customXml" ds:itemID="{698565CB-98CC-4AB6-BBA7-F693B5B886A3}">
  <ds:schemaRefs/>
</ds:datastoreItem>
</file>

<file path=docProps/app.xml><?xml version="1.0" encoding="utf-8"?>
<Properties xmlns="http://schemas.openxmlformats.org/officeDocument/2006/extended-properties" xmlns:vt="http://schemas.openxmlformats.org/officeDocument/2006/docPropsVTypes">
  <Template>Normal</Template>
  <Company>Legend (Beijing) Limited</Company>
  <Pages>75</Pages>
  <Words>17189</Words>
  <Characters>18838</Characters>
  <Lines>226</Lines>
  <Paragraphs>63</Paragraphs>
  <TotalTime>1</TotalTime>
  <ScaleCrop>false</ScaleCrop>
  <LinksUpToDate>false</LinksUpToDate>
  <CharactersWithSpaces>20989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2023-04-10T05:34:00Z</dcterms:created>
  <dc:creator>Legend User</dc:creator>
  <cp:lastModifiedBy>一只小咸于</cp:lastModifiedBy>
  <cp:lastPrinted>2023-04-07T02:47:00Z</cp:lastPrinted>
  <dcterms:modified xsi:type="dcterms:W3CDTF">2025-04-07T08:28:32Z</dcterms:modified>
  <dc:title>招标文件编号：JZC2004—20</dc:title>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5F6F3AE63EC542439BAF849FCB12CAAD_12</vt:lpwstr>
  </property>
  <property fmtid="{D5CDD505-2E9C-101B-9397-08002B2CF9AE}" pid="4" name="KSOTemplateDocerSaveRecord">
    <vt:lpwstr>eyJoZGlkIjoiZTI5ZDJkMmM4MjA4YTM0MzBmOWQ0MzJmOTA5MjYyZWYiLCJ1c2VySWQiOiI0MzMyMjczOTgifQ==</vt:lpwstr>
  </property>
</Properties>
</file>