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28C19">
      <w:pPr>
        <w:pStyle w:val="23"/>
        <w:ind w:left="0" w:leftChars="0" w:firstLine="0" w:firstLineChars="0"/>
        <w:rPr>
          <w:rFonts w:hint="eastAsia" w:ascii="宋体" w:hAnsi="宋体" w:eastAsia="宋体" w:cs="宋体"/>
          <w:highlight w:val="none"/>
        </w:rPr>
      </w:pPr>
    </w:p>
    <w:p w14:paraId="24E47B67">
      <w:pPr>
        <w:pStyle w:val="23"/>
        <w:ind w:left="0" w:leftChars="0" w:firstLine="0" w:firstLineChars="0"/>
        <w:outlineLvl w:val="9"/>
        <w:rPr>
          <w:rFonts w:hint="eastAsia" w:ascii="宋体" w:hAnsi="宋体" w:eastAsia="宋体" w:cs="宋体"/>
          <w:highlight w:val="none"/>
        </w:rPr>
      </w:pPr>
    </w:p>
    <w:p w14:paraId="1C8E4A7D">
      <w:pPr>
        <w:rPr>
          <w:rFonts w:hint="eastAsia" w:ascii="宋体" w:hAnsi="宋体" w:eastAsia="宋体" w:cs="宋体"/>
          <w:highlight w:val="none"/>
        </w:rPr>
      </w:pPr>
    </w:p>
    <w:p w14:paraId="4B3048C0">
      <w:pPr>
        <w:pStyle w:val="6"/>
        <w:rPr>
          <w:rFonts w:hint="eastAsia"/>
          <w:highlight w:val="none"/>
        </w:rPr>
      </w:pPr>
    </w:p>
    <w:p w14:paraId="27E713E6">
      <w:pPr>
        <w:bidi w:val="0"/>
        <w:jc w:val="center"/>
        <w:rPr>
          <w:rFonts w:hint="default"/>
          <w:b/>
          <w:bCs/>
          <w:sz w:val="72"/>
          <w:szCs w:val="72"/>
          <w:highlight w:val="none"/>
          <w:lang w:val="en-US" w:eastAsia="zh-CN"/>
        </w:rPr>
      </w:pPr>
      <w:r>
        <w:rPr>
          <w:rFonts w:hint="default"/>
          <w:b/>
          <w:bCs/>
          <w:sz w:val="72"/>
          <w:szCs w:val="72"/>
          <w:highlight w:val="none"/>
          <w:lang w:val="en-US" w:eastAsia="zh-CN"/>
        </w:rPr>
        <w:t>2024年度梅河口市中心医院</w:t>
      </w:r>
    </w:p>
    <w:p w14:paraId="38763919">
      <w:pPr>
        <w:bidi w:val="0"/>
        <w:jc w:val="center"/>
        <w:rPr>
          <w:rFonts w:hint="default"/>
          <w:b/>
          <w:bCs/>
          <w:sz w:val="72"/>
          <w:szCs w:val="72"/>
          <w:highlight w:val="none"/>
          <w:lang w:val="en-US" w:eastAsia="zh-CN"/>
        </w:rPr>
      </w:pPr>
      <w:r>
        <w:rPr>
          <w:rFonts w:hint="eastAsia"/>
          <w:b/>
          <w:bCs/>
          <w:sz w:val="72"/>
          <w:szCs w:val="72"/>
          <w:highlight w:val="none"/>
          <w:lang w:val="en-US" w:eastAsia="zh-CN"/>
        </w:rPr>
        <w:t>数据综合服务平台</w:t>
      </w:r>
      <w:r>
        <w:rPr>
          <w:rFonts w:hint="default"/>
          <w:b/>
          <w:bCs/>
          <w:sz w:val="72"/>
          <w:szCs w:val="72"/>
          <w:highlight w:val="none"/>
          <w:lang w:val="en-US" w:eastAsia="zh-CN"/>
        </w:rPr>
        <w:t>采购项目</w:t>
      </w:r>
    </w:p>
    <w:p w14:paraId="5497A565">
      <w:pPr>
        <w:ind w:left="4337" w:hanging="3132" w:hangingChars="600"/>
        <w:jc w:val="center"/>
        <w:outlineLvl w:val="9"/>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 xml:space="preserve">                   </w:t>
      </w:r>
    </w:p>
    <w:p w14:paraId="2D55C895">
      <w:pPr>
        <w:pStyle w:val="23"/>
        <w:outlineLvl w:val="9"/>
        <w:rPr>
          <w:rFonts w:hint="eastAsia" w:ascii="宋体" w:hAnsi="宋体" w:eastAsia="宋体" w:cs="宋体"/>
          <w:highlight w:val="none"/>
          <w:lang w:val="en-US" w:eastAsia="zh-CN"/>
        </w:rPr>
      </w:pPr>
    </w:p>
    <w:p w14:paraId="50761CF6">
      <w:pPr>
        <w:ind w:left="4337" w:hanging="3132" w:hangingChars="600"/>
        <w:jc w:val="center"/>
        <w:outlineLvl w:val="9"/>
        <w:rPr>
          <w:rFonts w:hint="eastAsia" w:ascii="宋体" w:hAnsi="宋体" w:eastAsia="宋体" w:cs="宋体"/>
          <w:b/>
          <w:bCs/>
          <w:sz w:val="52"/>
          <w:szCs w:val="52"/>
          <w:highlight w:val="none"/>
        </w:rPr>
      </w:pPr>
    </w:p>
    <w:p w14:paraId="560EE9F6">
      <w:pPr>
        <w:ind w:left="4337" w:hanging="4337" w:hangingChars="600"/>
        <w:jc w:val="center"/>
        <w:outlineLvl w:val="9"/>
        <w:rPr>
          <w:rFonts w:hint="eastAsia" w:ascii="宋体" w:hAnsi="宋体" w:eastAsia="宋体" w:cs="宋体"/>
          <w:b/>
          <w:bCs/>
          <w:sz w:val="144"/>
          <w:szCs w:val="144"/>
          <w:highlight w:val="none"/>
          <w:lang w:val="en-US" w:eastAsia="zh-CN"/>
        </w:rPr>
      </w:pPr>
      <w:r>
        <w:rPr>
          <w:rFonts w:hint="eastAsia" w:ascii="宋体" w:hAnsi="宋体" w:cs="宋体"/>
          <w:b/>
          <w:bCs/>
          <w:sz w:val="72"/>
          <w:szCs w:val="72"/>
          <w:highlight w:val="none"/>
          <w:lang w:val="en-US" w:eastAsia="zh-CN"/>
        </w:rPr>
        <w:t>招标</w:t>
      </w:r>
      <w:r>
        <w:rPr>
          <w:rFonts w:hint="eastAsia" w:ascii="宋体" w:hAnsi="宋体" w:eastAsia="宋体" w:cs="宋体"/>
          <w:b/>
          <w:bCs/>
          <w:sz w:val="72"/>
          <w:szCs w:val="72"/>
          <w:highlight w:val="none"/>
        </w:rPr>
        <w:t>文件</w:t>
      </w:r>
    </w:p>
    <w:p w14:paraId="55B55CEE">
      <w:pPr>
        <w:pStyle w:val="40"/>
        <w:spacing w:line="400" w:lineRule="exact"/>
        <w:ind w:firstLine="482"/>
        <w:outlineLvl w:val="9"/>
        <w:rPr>
          <w:rFonts w:hint="eastAsia" w:ascii="宋体" w:hAnsi="宋体" w:eastAsia="宋体" w:cs="宋体"/>
          <w:b/>
          <w:sz w:val="24"/>
          <w:highlight w:val="none"/>
        </w:rPr>
      </w:pPr>
    </w:p>
    <w:p w14:paraId="35C65B19">
      <w:pPr>
        <w:pStyle w:val="40"/>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default" w:ascii="宋体" w:hAnsi="宋体" w:eastAsia="宋体" w:cs="宋体"/>
          <w:b/>
          <w:sz w:val="32"/>
          <w:highlight w:val="none"/>
          <w:lang w:val="en-US" w:eastAsia="zh-CN"/>
        </w:rPr>
        <w:t>BY-HWZB-20241218</w:t>
      </w:r>
    </w:p>
    <w:p w14:paraId="51FF4E8F">
      <w:pPr>
        <w:pStyle w:val="40"/>
        <w:spacing w:line="400" w:lineRule="exact"/>
        <w:ind w:firstLine="640"/>
        <w:outlineLvl w:val="9"/>
        <w:rPr>
          <w:rFonts w:hint="eastAsia" w:ascii="宋体" w:hAnsi="宋体" w:eastAsia="宋体" w:cs="宋体"/>
          <w:sz w:val="32"/>
          <w:highlight w:val="none"/>
        </w:rPr>
      </w:pPr>
    </w:p>
    <w:p w14:paraId="21708814">
      <w:pPr>
        <w:pStyle w:val="40"/>
        <w:spacing w:line="400" w:lineRule="exact"/>
        <w:ind w:firstLine="0" w:firstLineChars="0"/>
        <w:outlineLvl w:val="9"/>
        <w:rPr>
          <w:rFonts w:hint="eastAsia" w:ascii="宋体" w:hAnsi="宋体" w:eastAsia="宋体" w:cs="宋体"/>
          <w:sz w:val="32"/>
          <w:highlight w:val="none"/>
        </w:rPr>
      </w:pPr>
    </w:p>
    <w:p w14:paraId="6C257C4D">
      <w:pPr>
        <w:pStyle w:val="40"/>
        <w:spacing w:line="400" w:lineRule="exact"/>
        <w:ind w:firstLine="0" w:firstLineChars="0"/>
        <w:outlineLvl w:val="9"/>
        <w:rPr>
          <w:rFonts w:hint="eastAsia" w:ascii="宋体" w:hAnsi="宋体" w:eastAsia="宋体" w:cs="宋体"/>
          <w:sz w:val="32"/>
          <w:highlight w:val="none"/>
        </w:rPr>
      </w:pPr>
    </w:p>
    <w:p w14:paraId="1D9F7CCC">
      <w:pPr>
        <w:pStyle w:val="40"/>
        <w:spacing w:line="400" w:lineRule="exact"/>
        <w:ind w:firstLine="0" w:firstLineChars="0"/>
        <w:outlineLvl w:val="9"/>
        <w:rPr>
          <w:rFonts w:hint="eastAsia" w:ascii="宋体" w:hAnsi="宋体" w:eastAsia="宋体" w:cs="宋体"/>
          <w:sz w:val="32"/>
          <w:highlight w:val="none"/>
        </w:rPr>
      </w:pPr>
    </w:p>
    <w:p w14:paraId="4C165E74">
      <w:pPr>
        <w:pStyle w:val="40"/>
        <w:spacing w:line="400" w:lineRule="exact"/>
        <w:ind w:firstLine="0" w:firstLineChars="0"/>
        <w:outlineLvl w:val="9"/>
        <w:rPr>
          <w:rFonts w:hint="eastAsia" w:ascii="宋体" w:hAnsi="宋体" w:eastAsia="宋体" w:cs="宋体"/>
          <w:sz w:val="32"/>
          <w:highlight w:val="none"/>
        </w:rPr>
      </w:pPr>
    </w:p>
    <w:p w14:paraId="310899B4">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21FF100C">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00175506">
      <w:pPr>
        <w:pStyle w:val="40"/>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梅河口市中心医院</w:t>
      </w:r>
    </w:p>
    <w:p w14:paraId="3EF892D7">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吉林省博扬招标项目管理有限公司</w:t>
      </w:r>
    </w:p>
    <w:p w14:paraId="76DB02FE">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二○二</w:t>
      </w:r>
      <w:r>
        <w:rPr>
          <w:rFonts w:hint="eastAsia" w:ascii="宋体" w:hAnsi="宋体" w:cs="宋体"/>
          <w:b/>
          <w:sz w:val="30"/>
          <w:szCs w:val="30"/>
          <w:highlight w:val="none"/>
          <w:lang w:val="en-US" w:eastAsia="zh-CN"/>
        </w:rPr>
        <w:t>四</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十二</w:t>
      </w:r>
      <w:r>
        <w:rPr>
          <w:rFonts w:hint="eastAsia" w:ascii="宋体" w:hAnsi="宋体" w:eastAsia="宋体" w:cs="宋体"/>
          <w:b/>
          <w:sz w:val="30"/>
          <w:szCs w:val="30"/>
          <w:highlight w:val="none"/>
        </w:rPr>
        <w:t>月</w:t>
      </w:r>
    </w:p>
    <w:p w14:paraId="37ABE56A">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22597939">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392D322A">
          <w:pPr>
            <w:pStyle w:val="16"/>
            <w:tabs>
              <w:tab w:val="right" w:leader="dot" w:pos="9638"/>
            </w:tabs>
            <w:rPr>
              <w:sz w:val="28"/>
              <w:szCs w:val="32"/>
              <w:highlight w:val="none"/>
            </w:rPr>
          </w:pPr>
          <w:r>
            <w:rPr>
              <w:rFonts w:hint="eastAsia" w:ascii="宋体" w:hAnsi="宋体" w:eastAsia="宋体" w:cs="宋体"/>
              <w:sz w:val="160"/>
              <w:szCs w:val="160"/>
              <w:highlight w:val="none"/>
            </w:rPr>
            <w:fldChar w:fldCharType="begin"/>
          </w:r>
          <w:r>
            <w:rPr>
              <w:rFonts w:hint="eastAsia" w:ascii="宋体" w:hAnsi="宋体" w:eastAsia="宋体" w:cs="宋体"/>
              <w:sz w:val="160"/>
              <w:szCs w:val="160"/>
              <w:highlight w:val="none"/>
            </w:rPr>
            <w:instrText xml:space="preserve">TOC \o "1-1" \h \u </w:instrText>
          </w:r>
          <w:r>
            <w:rPr>
              <w:rFonts w:hint="eastAsia" w:ascii="宋体" w:hAnsi="宋体" w:eastAsia="宋体" w:cs="宋体"/>
              <w:sz w:val="160"/>
              <w:szCs w:val="160"/>
              <w:highlight w:val="none"/>
            </w:rPr>
            <w:fldChar w:fldCharType="separate"/>
          </w: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_Toc20074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rPr>
            <w:t xml:space="preserve">第一章 </w:t>
          </w:r>
          <w:r>
            <w:rPr>
              <w:rFonts w:hint="eastAsia" w:ascii="宋体" w:hAnsi="宋体" w:eastAsia="宋体" w:cs="宋体"/>
              <w:sz w:val="28"/>
              <w:szCs w:val="40"/>
              <w:highlight w:val="none"/>
              <w:lang w:val="en-US" w:eastAsia="zh-CN"/>
            </w:rPr>
            <w:t xml:space="preserve"> </w:t>
          </w:r>
          <w:r>
            <w:rPr>
              <w:rFonts w:hint="eastAsia" w:ascii="宋体" w:hAnsi="宋体" w:cs="宋体"/>
              <w:sz w:val="28"/>
              <w:szCs w:val="40"/>
              <w:highlight w:val="none"/>
              <w:lang w:val="en-US" w:eastAsia="zh-CN"/>
            </w:rPr>
            <w:t>招标</w:t>
          </w:r>
          <w:r>
            <w:rPr>
              <w:rFonts w:hint="eastAsia" w:ascii="宋体" w:hAnsi="宋体" w:eastAsia="宋体" w:cs="宋体"/>
              <w:sz w:val="28"/>
              <w:szCs w:val="40"/>
              <w:highlight w:val="none"/>
              <w:lang w:val="zh-CN"/>
            </w:rPr>
            <w:t>公告</w:t>
          </w:r>
          <w:r>
            <w:rPr>
              <w:sz w:val="28"/>
              <w:szCs w:val="32"/>
              <w:highlight w:val="none"/>
            </w:rPr>
            <w:tab/>
          </w:r>
          <w:r>
            <w:rPr>
              <w:sz w:val="28"/>
              <w:szCs w:val="32"/>
              <w:highlight w:val="none"/>
            </w:rPr>
            <w:fldChar w:fldCharType="begin"/>
          </w:r>
          <w:r>
            <w:rPr>
              <w:sz w:val="28"/>
              <w:szCs w:val="32"/>
              <w:highlight w:val="none"/>
            </w:rPr>
            <w:instrText xml:space="preserve"> PAGEREF _Toc20074 \h </w:instrText>
          </w:r>
          <w:r>
            <w:rPr>
              <w:sz w:val="28"/>
              <w:szCs w:val="32"/>
              <w:highlight w:val="none"/>
            </w:rPr>
            <w:fldChar w:fldCharType="separate"/>
          </w:r>
          <w:r>
            <w:rPr>
              <w:sz w:val="28"/>
              <w:szCs w:val="32"/>
              <w:highlight w:val="none"/>
            </w:rPr>
            <w:t>1</w:t>
          </w:r>
          <w:r>
            <w:rPr>
              <w:sz w:val="28"/>
              <w:szCs w:val="32"/>
              <w:highlight w:val="none"/>
            </w:rPr>
            <w:fldChar w:fldCharType="end"/>
          </w:r>
          <w:r>
            <w:rPr>
              <w:rFonts w:hint="eastAsia" w:ascii="宋体" w:hAnsi="宋体" w:eastAsia="宋体" w:cs="宋体"/>
              <w:sz w:val="28"/>
              <w:szCs w:val="160"/>
              <w:highlight w:val="none"/>
            </w:rPr>
            <w:fldChar w:fldCharType="end"/>
          </w:r>
        </w:p>
        <w:p w14:paraId="70364B5A">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_Toc10742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en-US" w:eastAsia="zh-CN"/>
            </w:rPr>
            <w:t>第二章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en-US" w:eastAsia="zh-CN"/>
            </w:rPr>
            <w:t xml:space="preserve"> 供应商须知</w:t>
          </w:r>
          <w:r>
            <w:rPr>
              <w:sz w:val="28"/>
              <w:szCs w:val="32"/>
              <w:highlight w:val="none"/>
            </w:rPr>
            <w:tab/>
          </w:r>
          <w:r>
            <w:rPr>
              <w:sz w:val="28"/>
              <w:szCs w:val="32"/>
              <w:highlight w:val="none"/>
            </w:rPr>
            <w:fldChar w:fldCharType="begin"/>
          </w:r>
          <w:r>
            <w:rPr>
              <w:sz w:val="28"/>
              <w:szCs w:val="32"/>
              <w:highlight w:val="none"/>
            </w:rPr>
            <w:instrText xml:space="preserve"> PAGEREF _Toc10742 \h </w:instrText>
          </w:r>
          <w:r>
            <w:rPr>
              <w:sz w:val="28"/>
              <w:szCs w:val="32"/>
              <w:highlight w:val="none"/>
            </w:rPr>
            <w:fldChar w:fldCharType="separate"/>
          </w:r>
          <w:r>
            <w:rPr>
              <w:sz w:val="28"/>
              <w:szCs w:val="32"/>
              <w:highlight w:val="none"/>
            </w:rPr>
            <w:t>4</w:t>
          </w:r>
          <w:r>
            <w:rPr>
              <w:sz w:val="28"/>
              <w:szCs w:val="32"/>
              <w:highlight w:val="none"/>
            </w:rPr>
            <w:fldChar w:fldCharType="end"/>
          </w:r>
          <w:r>
            <w:rPr>
              <w:rFonts w:hint="eastAsia" w:ascii="宋体" w:hAnsi="宋体" w:eastAsia="宋体" w:cs="宋体"/>
              <w:sz w:val="28"/>
              <w:szCs w:val="160"/>
              <w:highlight w:val="none"/>
            </w:rPr>
            <w:fldChar w:fldCharType="end"/>
          </w:r>
        </w:p>
        <w:p w14:paraId="09E398E3">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_Toc17892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第三章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zh-CN" w:eastAsia="zh-CN"/>
            </w:rPr>
            <w:t>评标办法</w:t>
          </w:r>
          <w:r>
            <w:rPr>
              <w:sz w:val="28"/>
              <w:szCs w:val="32"/>
              <w:highlight w:val="none"/>
            </w:rPr>
            <w:tab/>
          </w:r>
          <w:r>
            <w:rPr>
              <w:sz w:val="28"/>
              <w:szCs w:val="32"/>
              <w:highlight w:val="none"/>
            </w:rPr>
            <w:fldChar w:fldCharType="begin"/>
          </w:r>
          <w:r>
            <w:rPr>
              <w:sz w:val="28"/>
              <w:szCs w:val="32"/>
              <w:highlight w:val="none"/>
            </w:rPr>
            <w:instrText xml:space="preserve"> PAGEREF _Toc17892 \h </w:instrText>
          </w:r>
          <w:r>
            <w:rPr>
              <w:sz w:val="28"/>
              <w:szCs w:val="32"/>
              <w:highlight w:val="none"/>
            </w:rPr>
            <w:fldChar w:fldCharType="separate"/>
          </w:r>
          <w:r>
            <w:rPr>
              <w:sz w:val="28"/>
              <w:szCs w:val="32"/>
              <w:highlight w:val="none"/>
            </w:rPr>
            <w:t>15</w:t>
          </w:r>
          <w:r>
            <w:rPr>
              <w:sz w:val="28"/>
              <w:szCs w:val="32"/>
              <w:highlight w:val="none"/>
            </w:rPr>
            <w:fldChar w:fldCharType="end"/>
          </w:r>
          <w:r>
            <w:rPr>
              <w:rFonts w:hint="eastAsia" w:ascii="宋体" w:hAnsi="宋体" w:eastAsia="宋体" w:cs="宋体"/>
              <w:sz w:val="28"/>
              <w:szCs w:val="160"/>
              <w:highlight w:val="none"/>
            </w:rPr>
            <w:fldChar w:fldCharType="end"/>
          </w:r>
        </w:p>
        <w:p w14:paraId="613641DF">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_Toc31141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第四章 合同条款及格式</w:t>
          </w:r>
          <w:r>
            <w:rPr>
              <w:sz w:val="28"/>
              <w:szCs w:val="32"/>
              <w:highlight w:val="none"/>
            </w:rPr>
            <w:tab/>
          </w:r>
          <w:r>
            <w:rPr>
              <w:sz w:val="28"/>
              <w:szCs w:val="32"/>
              <w:highlight w:val="none"/>
            </w:rPr>
            <w:fldChar w:fldCharType="begin"/>
          </w:r>
          <w:r>
            <w:rPr>
              <w:sz w:val="28"/>
              <w:szCs w:val="32"/>
              <w:highlight w:val="none"/>
            </w:rPr>
            <w:instrText xml:space="preserve"> PAGEREF _Toc31141 \h </w:instrText>
          </w:r>
          <w:r>
            <w:rPr>
              <w:sz w:val="28"/>
              <w:szCs w:val="32"/>
              <w:highlight w:val="none"/>
            </w:rPr>
            <w:fldChar w:fldCharType="separate"/>
          </w:r>
          <w:r>
            <w:rPr>
              <w:sz w:val="28"/>
              <w:szCs w:val="32"/>
              <w:highlight w:val="none"/>
            </w:rPr>
            <w:t>21</w:t>
          </w:r>
          <w:r>
            <w:rPr>
              <w:sz w:val="28"/>
              <w:szCs w:val="32"/>
              <w:highlight w:val="none"/>
            </w:rPr>
            <w:fldChar w:fldCharType="end"/>
          </w:r>
          <w:r>
            <w:rPr>
              <w:rFonts w:hint="eastAsia" w:ascii="宋体" w:hAnsi="宋体" w:eastAsia="宋体" w:cs="宋体"/>
              <w:sz w:val="28"/>
              <w:szCs w:val="160"/>
              <w:highlight w:val="none"/>
            </w:rPr>
            <w:fldChar w:fldCharType="end"/>
          </w:r>
        </w:p>
        <w:p w14:paraId="099EE0F3">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_Toc30149 </w:instrText>
          </w:r>
          <w:r>
            <w:rPr>
              <w:rFonts w:hint="eastAsia" w:ascii="宋体" w:hAnsi="宋体" w:eastAsia="宋体" w:cs="宋体"/>
              <w:sz w:val="28"/>
              <w:szCs w:val="160"/>
              <w:highlight w:val="none"/>
            </w:rPr>
            <w:fldChar w:fldCharType="separate"/>
          </w:r>
          <w:r>
            <w:rPr>
              <w:rFonts w:hint="eastAsia"/>
              <w:sz w:val="28"/>
              <w:szCs w:val="32"/>
              <w:highlight w:val="none"/>
              <w:lang w:val="en-US" w:eastAsia="zh-CN"/>
            </w:rPr>
            <w:t>第五章 政府采购合同书</w:t>
          </w:r>
          <w:r>
            <w:rPr>
              <w:sz w:val="28"/>
              <w:szCs w:val="32"/>
              <w:highlight w:val="none"/>
            </w:rPr>
            <w:tab/>
          </w:r>
          <w:r>
            <w:rPr>
              <w:sz w:val="28"/>
              <w:szCs w:val="32"/>
              <w:highlight w:val="none"/>
            </w:rPr>
            <w:fldChar w:fldCharType="begin"/>
          </w:r>
          <w:r>
            <w:rPr>
              <w:sz w:val="28"/>
              <w:szCs w:val="32"/>
              <w:highlight w:val="none"/>
            </w:rPr>
            <w:instrText xml:space="preserve"> PAGEREF _Toc30149 \h </w:instrText>
          </w:r>
          <w:r>
            <w:rPr>
              <w:sz w:val="28"/>
              <w:szCs w:val="32"/>
              <w:highlight w:val="none"/>
            </w:rPr>
            <w:fldChar w:fldCharType="separate"/>
          </w:r>
          <w:r>
            <w:rPr>
              <w:sz w:val="28"/>
              <w:szCs w:val="32"/>
              <w:highlight w:val="none"/>
            </w:rPr>
            <w:t>27</w:t>
          </w:r>
          <w:r>
            <w:rPr>
              <w:sz w:val="28"/>
              <w:szCs w:val="32"/>
              <w:highlight w:val="none"/>
            </w:rPr>
            <w:fldChar w:fldCharType="end"/>
          </w:r>
          <w:r>
            <w:rPr>
              <w:rFonts w:hint="eastAsia" w:ascii="宋体" w:hAnsi="宋体" w:eastAsia="宋体" w:cs="宋体"/>
              <w:sz w:val="28"/>
              <w:szCs w:val="160"/>
              <w:highlight w:val="none"/>
            </w:rPr>
            <w:fldChar w:fldCharType="end"/>
          </w:r>
        </w:p>
        <w:p w14:paraId="42FB12A2">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_Toc3824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w:t>
          </w:r>
          <w:r>
            <w:rPr>
              <w:rFonts w:hint="eastAsia" w:ascii="宋体" w:hAnsi="宋体" w:cs="宋体"/>
              <w:sz w:val="28"/>
              <w:szCs w:val="40"/>
              <w:highlight w:val="none"/>
              <w:lang w:val="en-US" w:eastAsia="zh-CN"/>
            </w:rPr>
            <w:t>六</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采购</w:t>
          </w:r>
          <w:r>
            <w:rPr>
              <w:rFonts w:hint="eastAsia" w:ascii="宋体" w:hAnsi="宋体" w:eastAsia="宋体" w:cs="宋体"/>
              <w:sz w:val="28"/>
              <w:szCs w:val="40"/>
              <w:highlight w:val="none"/>
              <w:lang w:val="en-US" w:eastAsia="zh-CN"/>
            </w:rPr>
            <w:t>需求</w:t>
          </w:r>
          <w:r>
            <w:rPr>
              <w:sz w:val="28"/>
              <w:szCs w:val="32"/>
              <w:highlight w:val="none"/>
            </w:rPr>
            <w:tab/>
          </w:r>
          <w:r>
            <w:rPr>
              <w:sz w:val="28"/>
              <w:szCs w:val="32"/>
              <w:highlight w:val="none"/>
            </w:rPr>
            <w:fldChar w:fldCharType="begin"/>
          </w:r>
          <w:r>
            <w:rPr>
              <w:sz w:val="28"/>
              <w:szCs w:val="32"/>
              <w:highlight w:val="none"/>
            </w:rPr>
            <w:instrText xml:space="preserve"> PAGEREF _Toc3824 \h </w:instrText>
          </w:r>
          <w:r>
            <w:rPr>
              <w:sz w:val="28"/>
              <w:szCs w:val="32"/>
              <w:highlight w:val="none"/>
            </w:rPr>
            <w:fldChar w:fldCharType="separate"/>
          </w:r>
          <w:r>
            <w:rPr>
              <w:sz w:val="28"/>
              <w:szCs w:val="32"/>
              <w:highlight w:val="none"/>
            </w:rPr>
            <w:t>29</w:t>
          </w:r>
          <w:r>
            <w:rPr>
              <w:sz w:val="28"/>
              <w:szCs w:val="32"/>
              <w:highlight w:val="none"/>
            </w:rPr>
            <w:fldChar w:fldCharType="end"/>
          </w:r>
          <w:r>
            <w:rPr>
              <w:rFonts w:hint="eastAsia" w:ascii="宋体" w:hAnsi="宋体" w:eastAsia="宋体" w:cs="宋体"/>
              <w:sz w:val="28"/>
              <w:szCs w:val="160"/>
              <w:highlight w:val="none"/>
            </w:rPr>
            <w:fldChar w:fldCharType="end"/>
          </w:r>
        </w:p>
        <w:p w14:paraId="0CDE6D68">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_Toc24506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w:t>
          </w:r>
          <w:r>
            <w:rPr>
              <w:rFonts w:hint="eastAsia" w:ascii="宋体" w:hAnsi="宋体" w:cs="宋体"/>
              <w:sz w:val="28"/>
              <w:szCs w:val="40"/>
              <w:highlight w:val="none"/>
              <w:lang w:val="en-US" w:eastAsia="zh-CN"/>
            </w:rPr>
            <w:t>七</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投标</w:t>
          </w:r>
          <w:r>
            <w:rPr>
              <w:rFonts w:hint="eastAsia" w:ascii="宋体" w:hAnsi="宋体" w:eastAsia="宋体" w:cs="宋体"/>
              <w:sz w:val="28"/>
              <w:szCs w:val="40"/>
              <w:highlight w:val="none"/>
              <w:lang w:val="zh-CN" w:eastAsia="zh-CN"/>
            </w:rPr>
            <w:t>文件格式</w:t>
          </w:r>
          <w:r>
            <w:rPr>
              <w:sz w:val="28"/>
              <w:szCs w:val="32"/>
              <w:highlight w:val="none"/>
            </w:rPr>
            <w:tab/>
          </w:r>
          <w:r>
            <w:rPr>
              <w:sz w:val="28"/>
              <w:szCs w:val="32"/>
              <w:highlight w:val="none"/>
            </w:rPr>
            <w:fldChar w:fldCharType="begin"/>
          </w:r>
          <w:r>
            <w:rPr>
              <w:sz w:val="28"/>
              <w:szCs w:val="32"/>
              <w:highlight w:val="none"/>
            </w:rPr>
            <w:instrText xml:space="preserve"> PAGEREF _Toc24506 \h </w:instrText>
          </w:r>
          <w:r>
            <w:rPr>
              <w:sz w:val="28"/>
              <w:szCs w:val="32"/>
              <w:highlight w:val="none"/>
            </w:rPr>
            <w:fldChar w:fldCharType="separate"/>
          </w:r>
          <w:r>
            <w:rPr>
              <w:sz w:val="28"/>
              <w:szCs w:val="32"/>
              <w:highlight w:val="none"/>
            </w:rPr>
            <w:t>43</w:t>
          </w:r>
          <w:r>
            <w:rPr>
              <w:sz w:val="28"/>
              <w:szCs w:val="32"/>
              <w:highlight w:val="none"/>
            </w:rPr>
            <w:fldChar w:fldCharType="end"/>
          </w:r>
          <w:r>
            <w:rPr>
              <w:rFonts w:hint="eastAsia" w:ascii="宋体" w:hAnsi="宋体" w:eastAsia="宋体" w:cs="宋体"/>
              <w:sz w:val="28"/>
              <w:szCs w:val="160"/>
              <w:highlight w:val="none"/>
            </w:rPr>
            <w:fldChar w:fldCharType="end"/>
          </w:r>
        </w:p>
        <w:p w14:paraId="0D2D4887">
          <w:pPr>
            <w:spacing w:line="360" w:lineRule="auto"/>
            <w:outlineLvl w:val="9"/>
            <w:rPr>
              <w:rFonts w:hint="eastAsia" w:ascii="宋体" w:hAnsi="宋体" w:eastAsia="宋体" w:cs="宋体"/>
              <w:highlight w:val="none"/>
            </w:rPr>
          </w:pPr>
          <w:r>
            <w:rPr>
              <w:rFonts w:hint="eastAsia" w:ascii="宋体" w:hAnsi="宋体" w:eastAsia="宋体" w:cs="宋体"/>
              <w:sz w:val="28"/>
              <w:szCs w:val="160"/>
              <w:highlight w:val="none"/>
            </w:rPr>
            <w:fldChar w:fldCharType="end"/>
          </w:r>
        </w:p>
      </w:sdtContent>
    </w:sdt>
    <w:p w14:paraId="38CF920E">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3762EDB7">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bookmarkStart w:id="72" w:name="_GoBack"/>
      <w:bookmarkEnd w:id="72"/>
    </w:p>
    <w:p w14:paraId="060A9458">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20074"/>
      <w:r>
        <w:rPr>
          <w:rFonts w:hint="eastAsia" w:ascii="宋体" w:hAnsi="宋体" w:eastAsia="宋体" w:cs="宋体"/>
          <w:b/>
          <w:sz w:val="32"/>
          <w:szCs w:val="28"/>
          <w:highlight w:val="none"/>
        </w:rPr>
        <w:t xml:space="preserve">第一章 </w:t>
      </w:r>
      <w:bookmarkEnd w:id="0"/>
      <w:r>
        <w:rPr>
          <w:rFonts w:hint="eastAsia" w:ascii="宋体" w:hAnsi="宋体" w:eastAsia="宋体" w:cs="宋体"/>
          <w:b/>
          <w:sz w:val="32"/>
          <w:szCs w:val="28"/>
          <w:highlight w:val="none"/>
          <w:lang w:val="en-US" w:eastAsia="zh-CN"/>
        </w:rPr>
        <w:t xml:space="preserve"> </w:t>
      </w:r>
      <w:r>
        <w:rPr>
          <w:rFonts w:hint="eastAsia" w:ascii="宋体" w:hAnsi="宋体" w:cs="宋体"/>
          <w:b/>
          <w:sz w:val="32"/>
          <w:szCs w:val="28"/>
          <w:highlight w:val="none"/>
          <w:lang w:val="en-US" w:eastAsia="zh-CN"/>
        </w:rPr>
        <w:t>招标</w:t>
      </w:r>
      <w:r>
        <w:rPr>
          <w:rFonts w:hint="eastAsia" w:ascii="宋体" w:hAnsi="宋体" w:eastAsia="宋体" w:cs="宋体"/>
          <w:b/>
          <w:sz w:val="32"/>
          <w:szCs w:val="28"/>
          <w:highlight w:val="none"/>
          <w:lang w:val="zh-CN"/>
        </w:rPr>
        <w:t>公告</w:t>
      </w:r>
      <w:bookmarkEnd w:id="1"/>
      <w:bookmarkEnd w:id="2"/>
    </w:p>
    <w:p w14:paraId="4CAD535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2A4DC36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2024年度梅河口市中心医院数据综合服务平台采购项目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color w:val="auto"/>
          <w:spacing w:val="-20"/>
          <w:sz w:val="21"/>
          <w:szCs w:val="21"/>
          <w:highlight w:val="none"/>
          <w:lang w:eastAsia="zh-CN"/>
        </w:rPr>
        <w:t>http:// www.zcygov.cn</w:t>
      </w:r>
      <w:r>
        <w:rPr>
          <w:rFonts w:hint="eastAsia" w:ascii="宋体" w:hAnsi="宋体" w:eastAsia="宋体" w:cs="宋体"/>
          <w:color w:val="auto"/>
          <w:sz w:val="21"/>
          <w:szCs w:val="21"/>
          <w:highlight w:val="none"/>
          <w:lang w:eastAsia="zh-CN"/>
        </w:rPr>
        <w:t>）网上注册（</w:t>
      </w:r>
      <w:r>
        <w:rPr>
          <w:rFonts w:hint="eastAsia" w:ascii="宋体" w:hAnsi="宋体" w:eastAsia="宋体" w:cs="宋体"/>
          <w:color w:val="auto"/>
          <w:spacing w:val="-20"/>
          <w:sz w:val="21"/>
          <w:szCs w:val="21"/>
          <w:highlight w:val="none"/>
          <w:lang w:eastAsia="zh-CN"/>
        </w:rPr>
        <w:t>https://middle.zcygov.cn/v-settle-front/regist</w:t>
      </w:r>
      <w:r>
        <w:rPr>
          <w:rFonts w:hint="eastAsia" w:ascii="宋体" w:hAnsi="宋体" w:eastAsia="宋体" w:cs="宋体"/>
          <w:spacing w:val="-20"/>
          <w:sz w:val="21"/>
          <w:szCs w:val="21"/>
          <w:highlight w:val="none"/>
          <w:lang w:eastAsia="zh-CN"/>
        </w:rPr>
        <w:t>ry</w:t>
      </w:r>
      <w:r>
        <w:rPr>
          <w:rFonts w:hint="eastAsia" w:ascii="宋体" w:hAnsi="宋体" w:eastAsia="宋体" w:cs="宋体"/>
          <w:sz w:val="21"/>
          <w:szCs w:val="21"/>
          <w:highlight w:val="none"/>
          <w:lang w:eastAsia="zh-CN"/>
        </w:rPr>
        <w:t>）并下载</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color w:val="auto"/>
          <w:sz w:val="21"/>
          <w:szCs w:val="21"/>
          <w:highlight w:val="none"/>
        </w:rPr>
        <w:t>并于</w:t>
      </w:r>
      <w:bookmarkStart w:id="3" w:name="OLE_LINK1"/>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bookmarkEnd w:id="3"/>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6E189A6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4" w:name="_Toc28359079"/>
      <w:bookmarkStart w:id="5" w:name="_Toc28359002"/>
      <w:r>
        <w:rPr>
          <w:rFonts w:hint="eastAsia" w:ascii="宋体" w:hAnsi="宋体" w:eastAsia="宋体" w:cs="宋体"/>
          <w:b/>
          <w:bCs/>
          <w:sz w:val="21"/>
          <w:szCs w:val="21"/>
          <w:highlight w:val="none"/>
        </w:rPr>
        <w:t>一、项目基本情况</w:t>
      </w:r>
      <w:bookmarkEnd w:id="4"/>
      <w:bookmarkEnd w:id="5"/>
    </w:p>
    <w:p w14:paraId="2A26DB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eastAsia="宋体" w:cs="宋体"/>
          <w:sz w:val="21"/>
          <w:szCs w:val="21"/>
          <w:highlight w:val="none"/>
          <w:lang w:val="en-US" w:eastAsia="zh-CN"/>
        </w:rPr>
        <w:t>BY-HWZB-20241218</w:t>
      </w:r>
      <w:r>
        <w:rPr>
          <w:rFonts w:hint="eastAsia" w:ascii="宋体" w:hAnsi="宋体" w:eastAsia="宋体" w:cs="宋体"/>
          <w:sz w:val="21"/>
          <w:szCs w:val="21"/>
          <w:highlight w:val="none"/>
          <w:lang w:eastAsia="zh-CN"/>
        </w:rPr>
        <w:t>；</w:t>
      </w:r>
    </w:p>
    <w:p w14:paraId="5558EA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eastAsia="zh-CN"/>
        </w:rPr>
        <w:t>2024年度梅河口市中心医院数据综合服务平台采购项目</w:t>
      </w:r>
      <w:r>
        <w:rPr>
          <w:rFonts w:hint="eastAsia" w:ascii="宋体" w:hAnsi="宋体" w:eastAsia="宋体" w:cs="宋体"/>
          <w:sz w:val="21"/>
          <w:szCs w:val="21"/>
          <w:highlight w:val="none"/>
        </w:rPr>
        <w:t>；</w:t>
      </w:r>
    </w:p>
    <w:p w14:paraId="09D5F1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r>
        <w:rPr>
          <w:rFonts w:hint="eastAsia" w:ascii="宋体" w:hAnsi="宋体" w:cs="宋体"/>
          <w:sz w:val="21"/>
          <w:szCs w:val="21"/>
          <w:highlight w:val="none"/>
          <w:lang w:val="en-US" w:eastAsia="zh-CN"/>
        </w:rPr>
        <w:t>公开</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rPr>
        <w:t>；</w:t>
      </w:r>
    </w:p>
    <w:p w14:paraId="0E2C60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700万元</w:t>
      </w:r>
      <w:r>
        <w:rPr>
          <w:rFonts w:hint="eastAsia" w:ascii="宋体" w:hAnsi="宋体" w:eastAsia="宋体" w:cs="宋体"/>
          <w:sz w:val="21"/>
          <w:szCs w:val="21"/>
          <w:highlight w:val="none"/>
        </w:rPr>
        <w:t>；</w:t>
      </w:r>
    </w:p>
    <w:p w14:paraId="17C83A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700万元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rPr>
        <w:t>；</w:t>
      </w:r>
    </w:p>
    <w:p w14:paraId="69E1CA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数据综合服务平台（详见</w:t>
      </w:r>
      <w:r>
        <w:rPr>
          <w:rFonts w:hint="eastAsia" w:ascii="宋体" w:hAnsi="宋体" w:cs="宋体"/>
          <w:sz w:val="21"/>
          <w:szCs w:val="21"/>
          <w:highlight w:val="none"/>
          <w:lang w:eastAsia="zh-CN"/>
        </w:rPr>
        <w:t>招标</w:t>
      </w:r>
      <w:r>
        <w:rPr>
          <w:rFonts w:hint="eastAsia" w:ascii="宋体" w:hAnsi="宋体" w:cs="宋体"/>
          <w:sz w:val="21"/>
          <w:szCs w:val="21"/>
          <w:highlight w:val="none"/>
          <w:lang w:val="en-US" w:eastAsia="zh-CN"/>
        </w:rPr>
        <w:t>文件采购需求）</w:t>
      </w:r>
      <w:r>
        <w:rPr>
          <w:rFonts w:hint="eastAsia" w:ascii="宋体" w:hAnsi="宋体" w:eastAsia="宋体" w:cs="宋体"/>
          <w:sz w:val="21"/>
          <w:szCs w:val="21"/>
          <w:highlight w:val="none"/>
          <w:lang w:val="en-US" w:eastAsia="zh-CN"/>
        </w:rPr>
        <w:t>；</w:t>
      </w:r>
    </w:p>
    <w:p w14:paraId="40A0A5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yellow"/>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合同签订后3个月内完成供货、安装及调试</w:t>
      </w:r>
      <w:r>
        <w:rPr>
          <w:rFonts w:hint="eastAsia" w:ascii="宋体" w:hAnsi="宋体" w:eastAsia="宋体" w:cs="宋体"/>
          <w:sz w:val="21"/>
          <w:szCs w:val="21"/>
          <w:highlight w:val="none"/>
        </w:rPr>
        <w:t>；</w:t>
      </w:r>
    </w:p>
    <w:p w14:paraId="61C27E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val="en-US" w:eastAsia="zh-CN"/>
        </w:rPr>
        <w:t>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14:paraId="5C62D6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符合国家及行业合格标准</w:t>
      </w:r>
      <w:r>
        <w:rPr>
          <w:rFonts w:hint="eastAsia" w:ascii="宋体" w:hAnsi="宋体" w:eastAsia="宋体" w:cs="宋体"/>
          <w:sz w:val="21"/>
          <w:szCs w:val="21"/>
          <w:highlight w:val="none"/>
          <w:lang w:eastAsia="zh-CN"/>
        </w:rPr>
        <w:t>；</w:t>
      </w:r>
    </w:p>
    <w:p w14:paraId="48BF25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2DC1966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6" w:name="_Toc28359008"/>
      <w:bookmarkStart w:id="7" w:name="_Toc28359085"/>
      <w:r>
        <w:rPr>
          <w:rFonts w:hint="eastAsia" w:ascii="宋体" w:hAnsi="宋体" w:eastAsia="宋体" w:cs="宋体"/>
          <w:b/>
          <w:bCs/>
          <w:sz w:val="21"/>
          <w:szCs w:val="21"/>
          <w:highlight w:val="none"/>
          <w:lang w:val="en-US" w:eastAsia="zh-CN"/>
        </w:rPr>
        <w:t>二、申请人的资格要求</w:t>
      </w:r>
    </w:p>
    <w:p w14:paraId="098935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43DCF610">
      <w:pPr>
        <w:pStyle w:val="20"/>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bookmarkStart w:id="8" w:name="_Toc28359081"/>
      <w:bookmarkEnd w:id="8"/>
      <w:bookmarkStart w:id="9" w:name="_Toc28359004"/>
      <w:r>
        <w:rPr>
          <w:rFonts w:hint="eastAsia" w:ascii="宋体" w:hAnsi="宋体" w:eastAsia="宋体" w:cs="宋体"/>
          <w:sz w:val="21"/>
          <w:szCs w:val="21"/>
          <w:highlight w:val="none"/>
          <w:lang w:val="en-US" w:eastAsia="zh-CN"/>
        </w:rPr>
        <w:t>2</w:t>
      </w:r>
      <w:bookmarkEnd w:id="9"/>
      <w:r>
        <w:rPr>
          <w:rFonts w:hint="eastAsia" w:ascii="宋体" w:hAnsi="宋体" w:eastAsia="宋体" w:cs="宋体"/>
          <w:sz w:val="21"/>
          <w:szCs w:val="21"/>
          <w:highlight w:val="none"/>
          <w:lang w:val="en-US" w:eastAsia="zh-CN"/>
        </w:rPr>
        <w:t>.落实政府采购政策需满足的资格要求：按照财政部财库[2020]46号、[2014]68号、[2017]141号、[2019]9号等文件要求，需要落实政府采购支持节能环保、中小企业发展等政策；</w:t>
      </w:r>
      <w:r>
        <w:rPr>
          <w:rFonts w:hint="eastAsia" w:ascii="宋体" w:hAnsi="宋体" w:cs="宋体"/>
          <w:sz w:val="21"/>
          <w:szCs w:val="21"/>
          <w:highlight w:val="none"/>
          <w:lang w:val="en-US" w:eastAsia="zh-CN"/>
        </w:rPr>
        <w:t>本项目为非专门面向中小企业项目</w:t>
      </w:r>
      <w:r>
        <w:rPr>
          <w:rFonts w:hint="eastAsia" w:ascii="宋体" w:hAnsi="宋体" w:eastAsia="宋体" w:cs="宋体"/>
          <w:sz w:val="21"/>
          <w:szCs w:val="21"/>
          <w:highlight w:val="none"/>
          <w:lang w:val="en-US" w:eastAsia="zh-CN"/>
        </w:rPr>
        <w:t>，所属行业为软件和信息技术服务业。</w:t>
      </w:r>
    </w:p>
    <w:p w14:paraId="18F103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009FF0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42A376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16CDF2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6DE3C3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2C512E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24CB92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216972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5A7A06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2CD22AC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w:t>
      </w:r>
      <w:r>
        <w:rPr>
          <w:rFonts w:hint="eastAsia" w:ascii="宋体" w:hAnsi="宋体" w:cs="宋体"/>
          <w:b/>
          <w:bCs/>
          <w:sz w:val="21"/>
          <w:szCs w:val="21"/>
          <w:highlight w:val="none"/>
          <w:lang w:val="en-US" w:eastAsia="zh-CN"/>
        </w:rPr>
        <w:t>招标</w:t>
      </w:r>
      <w:r>
        <w:rPr>
          <w:rFonts w:hint="eastAsia" w:ascii="宋体" w:hAnsi="宋体" w:eastAsia="宋体" w:cs="宋体"/>
          <w:b/>
          <w:bCs/>
          <w:sz w:val="21"/>
          <w:szCs w:val="21"/>
          <w:highlight w:val="none"/>
          <w:lang w:val="en-US" w:eastAsia="zh-CN"/>
        </w:rPr>
        <w:t>文件：</w:t>
      </w:r>
    </w:p>
    <w:p w14:paraId="650F68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lang w:val="en-US" w:eastAsia="zh-CN"/>
        </w:rPr>
        <w:t>日至202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（每天08时30分至16时00分止）</w:t>
      </w:r>
    </w:p>
    <w:p w14:paraId="3BB6B6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eastAsia="zh-CN"/>
        </w:rPr>
        <w:t>（操作路径：登录“政采云”平台-项目采购-获取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-找到本项目-点击“申请获取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”），电子响应文件制作需要基于“政采云”平台获取的</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文件采购需求编制，</w:t>
      </w:r>
      <w:r>
        <w:rPr>
          <w:rFonts w:hint="eastAsia" w:ascii="宋体" w:hAnsi="宋体" w:eastAsia="宋体" w:cs="宋体"/>
          <w:sz w:val="21"/>
          <w:szCs w:val="21"/>
          <w:highlight w:val="none"/>
          <w:lang w:val="zh-CN" w:eastAsia="zh-CN"/>
        </w:rPr>
        <w:t>其他途径获取的</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58BCA7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55DA8F4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0" w:name="_Toc28359082"/>
      <w:bookmarkStart w:id="11" w:name="_Toc28359005"/>
      <w:r>
        <w:rPr>
          <w:rFonts w:hint="eastAsia" w:ascii="宋体" w:hAnsi="宋体" w:eastAsia="宋体" w:cs="宋体"/>
          <w:b/>
          <w:bCs/>
          <w:sz w:val="21"/>
          <w:szCs w:val="21"/>
          <w:highlight w:val="none"/>
          <w:lang w:val="en-US" w:eastAsia="zh-CN"/>
        </w:rPr>
        <w:t>四、</w:t>
      </w:r>
      <w:bookmarkEnd w:id="10"/>
      <w:bookmarkEnd w:id="11"/>
      <w:r>
        <w:rPr>
          <w:rFonts w:hint="eastAsia" w:ascii="宋体" w:hAnsi="宋体" w:eastAsia="宋体" w:cs="宋体"/>
          <w:b/>
          <w:bCs/>
          <w:sz w:val="21"/>
          <w:szCs w:val="21"/>
          <w:highlight w:val="none"/>
          <w:lang w:val="en-US" w:eastAsia="zh-CN"/>
        </w:rPr>
        <w:t>开标时间和地点</w:t>
      </w:r>
    </w:p>
    <w:p w14:paraId="34031A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sz w:val="21"/>
          <w:szCs w:val="21"/>
          <w:highlight w:val="none"/>
          <w:lang w:val="en-US" w:eastAsia="zh-CN"/>
        </w:rPr>
        <w:t>（北京时间）</w:t>
      </w:r>
    </w:p>
    <w:p w14:paraId="663965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开标地点：梅河口市公共资源交易中心开标一室</w:t>
      </w:r>
      <w:r>
        <w:rPr>
          <w:rFonts w:hint="eastAsia" w:ascii="宋体" w:hAnsi="宋体" w:eastAsia="宋体" w:cs="宋体"/>
          <w:sz w:val="21"/>
          <w:szCs w:val="21"/>
          <w:highlight w:val="none"/>
          <w:lang w:val="zh-CN" w:eastAsia="zh-CN"/>
        </w:rPr>
        <w:t>。</w:t>
      </w:r>
    </w:p>
    <w:p w14:paraId="3BFC95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2" w:name="_Toc28359007"/>
      <w:bookmarkStart w:id="13" w:name="_Toc28359084"/>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p w14:paraId="7E95A1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w:t>
      </w:r>
      <w:bookmarkStart w:id="14" w:name="OLE_LINK7"/>
      <w:r>
        <w:rPr>
          <w:rFonts w:hint="eastAsia" w:ascii="宋体" w:hAnsi="宋体" w:eastAsia="宋体" w:cs="宋体"/>
          <w:sz w:val="21"/>
          <w:szCs w:val="21"/>
          <w:highlight w:val="none"/>
          <w:lang w:val="en-US" w:eastAsia="zh-CN"/>
        </w:rPr>
        <w:t>请人在政府采购云平台网注册入库成为正式申请人后，在平台上按《政府采购项目电子交易管理操作指南-申请人》进行投标操作。申请人须办理数字证书方可参加投标。</w:t>
      </w:r>
    </w:p>
    <w:bookmarkEnd w:id="14"/>
    <w:p w14:paraId="6BD5E3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76F95C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69130D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6E5606C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2"/>
      <w:bookmarkEnd w:id="13"/>
      <w:r>
        <w:rPr>
          <w:rFonts w:hint="eastAsia" w:ascii="宋体" w:hAnsi="宋体" w:eastAsia="宋体" w:cs="宋体"/>
          <w:b/>
          <w:bCs/>
          <w:sz w:val="21"/>
          <w:szCs w:val="21"/>
          <w:highlight w:val="none"/>
          <w:lang w:val="en-US" w:eastAsia="zh-CN"/>
        </w:rPr>
        <w:t>公告期限</w:t>
      </w:r>
    </w:p>
    <w:p w14:paraId="32B3E2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017692C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lang w:val="en-US" w:eastAsia="zh-CN"/>
        </w:rPr>
        <w:t>公告发布媒介：吉林省政府采购云平台（同步推送到吉林省政府采购网）、中国政府采购网、中国招标投标公共服务平台。</w:t>
      </w:r>
    </w:p>
    <w:p w14:paraId="6638A4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七、对本次招标提出询问，请按以下方式联系。</w:t>
      </w:r>
      <w:bookmarkEnd w:id="6"/>
      <w:bookmarkEnd w:id="7"/>
    </w:p>
    <w:p w14:paraId="201BD9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691B4B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名称：梅河口市中心医院</w:t>
      </w:r>
    </w:p>
    <w:p w14:paraId="6B9741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地址：梅河口市爱民大街866号</w:t>
      </w:r>
    </w:p>
    <w:p w14:paraId="711602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联系人：盛德成</w:t>
      </w:r>
    </w:p>
    <w:p w14:paraId="4BF62C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电话：0435-4578769</w:t>
      </w:r>
    </w:p>
    <w:p w14:paraId="55EC3F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19DF83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吉林省博扬招标项目管理有限公司</w:t>
      </w:r>
    </w:p>
    <w:p w14:paraId="67785B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en-US" w:eastAsia="zh-CN"/>
        </w:rPr>
        <w:t>长春市二道区洋浦大街凯利中心十三楼1308室</w:t>
      </w:r>
    </w:p>
    <w:p w14:paraId="0827FB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李冬烨</w:t>
      </w:r>
    </w:p>
    <w:p w14:paraId="38EFCB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0431-80534709</w:t>
      </w:r>
    </w:p>
    <w:p w14:paraId="10A179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081D6C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梅河口市政府采购办公室</w:t>
      </w:r>
    </w:p>
    <w:p w14:paraId="0E27BA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348968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李冬烨</w:t>
      </w:r>
    </w:p>
    <w:p w14:paraId="30A450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0431-80534709</w:t>
      </w:r>
    </w:p>
    <w:p w14:paraId="75CA5490">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786250F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15" w:name="_Toc25349"/>
      <w:bookmarkStart w:id="16" w:name="_Toc10742"/>
      <w:r>
        <w:rPr>
          <w:rFonts w:hint="eastAsia" w:ascii="宋体" w:hAnsi="宋体" w:eastAsia="宋体" w:cs="宋体"/>
          <w:b/>
          <w:sz w:val="32"/>
          <w:szCs w:val="28"/>
          <w:highlight w:val="none"/>
          <w:lang w:val="en-US" w:eastAsia="zh-CN"/>
        </w:rPr>
        <w:t>第二章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en-US" w:eastAsia="zh-CN"/>
        </w:rPr>
        <w:t xml:space="preserve"> 供应商须知</w:t>
      </w:r>
      <w:bookmarkEnd w:id="15"/>
      <w:bookmarkEnd w:id="16"/>
    </w:p>
    <w:p w14:paraId="279E4EF1">
      <w:pPr>
        <w:pStyle w:val="40"/>
        <w:spacing w:line="360" w:lineRule="auto"/>
        <w:ind w:firstLine="0" w:firstLineChars="0"/>
        <w:jc w:val="center"/>
        <w:outlineLvl w:val="1"/>
        <w:rPr>
          <w:rFonts w:hint="eastAsia" w:ascii="宋体" w:hAnsi="宋体" w:eastAsia="宋体" w:cs="宋体"/>
          <w:b/>
          <w:sz w:val="28"/>
          <w:szCs w:val="28"/>
          <w:highlight w:val="none"/>
        </w:rPr>
      </w:pPr>
      <w:bookmarkStart w:id="17"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17"/>
    </w:p>
    <w:tbl>
      <w:tblPr>
        <w:tblStyle w:val="24"/>
        <w:tblW w:w="10490"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2174"/>
        <w:gridCol w:w="7318"/>
      </w:tblGrid>
      <w:tr w14:paraId="0F922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998" w:type="dxa"/>
            <w:tcBorders>
              <w:top w:val="single" w:color="auto" w:sz="4" w:space="0"/>
              <w:left w:val="single" w:color="auto" w:sz="4" w:space="0"/>
              <w:bottom w:val="single" w:color="auto" w:sz="4" w:space="0"/>
              <w:right w:val="single" w:color="auto" w:sz="4" w:space="0"/>
            </w:tcBorders>
            <w:noWrap w:val="0"/>
            <w:vAlign w:val="center"/>
          </w:tcPr>
          <w:p w14:paraId="7A38651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9531BD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D6ADF6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10C8A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09C088E">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7267B09">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4C4D1E8">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名称：梅河口市中心医院</w:t>
            </w:r>
          </w:p>
          <w:p w14:paraId="41682E73">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地址：梅河口市爱民大街866号</w:t>
            </w:r>
          </w:p>
          <w:p w14:paraId="5368CD14">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联系人：盛德成</w:t>
            </w:r>
          </w:p>
          <w:p w14:paraId="45D719C2">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eastAsia="zh-CN"/>
              </w:rPr>
              <w:t>电话：0435-4578769</w:t>
            </w:r>
          </w:p>
        </w:tc>
      </w:tr>
      <w:tr w14:paraId="0B81E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864731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EC13B4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66C8C2A">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吉林省博扬招标项目管理有限公司</w:t>
            </w:r>
          </w:p>
          <w:p w14:paraId="589810C2">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长春市二道区洋浦大街凯利中心十三楼1308室</w:t>
            </w:r>
          </w:p>
          <w:p w14:paraId="5E0DA622">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李冬烨</w:t>
            </w:r>
          </w:p>
          <w:p w14:paraId="534B728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0431-80534709</w:t>
            </w:r>
          </w:p>
        </w:tc>
      </w:tr>
      <w:tr w14:paraId="206A7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D8FBDE5">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84B3E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项目名称、项目编号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C0DA5A9">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val="zh-CN" w:eastAsia="zh-CN"/>
              </w:rPr>
              <w:t>2024年度梅河口市中心医院数据综合服务平台采购项目</w:t>
            </w:r>
          </w:p>
          <w:p w14:paraId="5D539F72">
            <w:pPr>
              <w:keepNext w:val="0"/>
              <w:keepLines w:val="0"/>
              <w:pageBreakBefore w:val="0"/>
              <w:widowControl w:val="0"/>
              <w:kinsoku/>
              <w:wordWrap/>
              <w:overflowPunct/>
              <w:topLinePunct w:val="0"/>
              <w:bidi w:val="0"/>
              <w:snapToGrid/>
              <w:spacing w:line="36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w:t>
            </w:r>
            <w:r>
              <w:rPr>
                <w:rFonts w:hint="eastAsia" w:ascii="宋体" w:hAnsi="宋体" w:eastAsia="宋体" w:cs="宋体"/>
                <w:sz w:val="21"/>
                <w:szCs w:val="21"/>
                <w:highlight w:val="none"/>
                <w:lang w:val="zh-CN" w:eastAsia="zh-CN"/>
              </w:rPr>
              <w:t>BY-HWZB-20241218</w:t>
            </w:r>
          </w:p>
        </w:tc>
      </w:tr>
      <w:tr w14:paraId="2B30D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BB8CFE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6AF363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7F1F460">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数据综合服务平台（详见招标文件采购需求）</w:t>
            </w:r>
          </w:p>
        </w:tc>
      </w:tr>
      <w:tr w14:paraId="42E24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27E02CE">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035247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eastAsia="zh-CN"/>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CD06468">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14:paraId="0457E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BC884A4">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72AF27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02397B2">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4555D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D3CE8F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1F9E83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16F9CE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213F9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D1CCB7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5F0D093">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01BDE42">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合同签订后3个月内完成供货、安装及调试</w:t>
            </w:r>
          </w:p>
        </w:tc>
      </w:tr>
      <w:tr w14:paraId="04906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475CF5D">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0B1608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E00C0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6CDABE9D">
            <w:pPr>
              <w:pStyle w:val="20"/>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2.落实政府采购政策需满足的资格要求：按照财政部财库[2020]46号、[2014]68号、[2017]141号、[2019]9号等文件要求，需要落实政府采购支持节能环保、中小企业发展等政策；</w:t>
            </w:r>
            <w:r>
              <w:rPr>
                <w:rFonts w:hint="eastAsia" w:ascii="宋体" w:hAnsi="宋体" w:cs="宋体"/>
                <w:sz w:val="21"/>
                <w:szCs w:val="21"/>
                <w:highlight w:val="none"/>
                <w:lang w:val="en-US" w:eastAsia="zh-CN"/>
              </w:rPr>
              <w:t>本项目为非专门面向中小企业项目</w:t>
            </w:r>
            <w:r>
              <w:rPr>
                <w:rFonts w:hint="eastAsia" w:ascii="宋体" w:hAnsi="宋体" w:eastAsia="宋体" w:cs="宋体"/>
                <w:sz w:val="21"/>
                <w:szCs w:val="21"/>
                <w:highlight w:val="none"/>
                <w:lang w:val="en-US" w:eastAsia="zh-CN"/>
              </w:rPr>
              <w:t>，所属行业为软件和信息技术服务业。</w:t>
            </w:r>
          </w:p>
          <w:p w14:paraId="1161D4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41293C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6DD88F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7448E6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64068E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6DC441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391454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27DCF0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7AC74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1706F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733799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2EBD18C">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AD0CFA6">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以实际签订合同为准</w:t>
            </w:r>
          </w:p>
        </w:tc>
      </w:tr>
      <w:tr w14:paraId="2D8D2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064E069">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07C91DD">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3DB3A9E">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符合国家及行业合格标准</w:t>
            </w:r>
          </w:p>
        </w:tc>
      </w:tr>
      <w:tr w14:paraId="5D5CE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9A4630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5616C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3BF46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700万元</w:t>
            </w:r>
          </w:p>
        </w:tc>
      </w:tr>
      <w:tr w14:paraId="58445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B0E0F7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57C96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3BCE0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1CE22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057ABDA">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C9ADE47">
            <w:pPr>
              <w:spacing w:line="360" w:lineRule="auto"/>
              <w:jc w:val="center"/>
              <w:rPr>
                <w:rFonts w:hint="eastAsia" w:ascii="宋体" w:hAnsi="宋体"/>
                <w:szCs w:val="21"/>
                <w:highlight w:val="none"/>
              </w:rPr>
            </w:pPr>
            <w:bookmarkStart w:id="18" w:name="OLE_LINK2"/>
            <w:r>
              <w:rPr>
                <w:rFonts w:hint="eastAsia" w:ascii="宋体" w:hAnsi="宋体" w:cs="宋体"/>
                <w:szCs w:val="21"/>
                <w:highlight w:val="none"/>
              </w:rPr>
              <w:t>评审办法</w:t>
            </w:r>
            <w:bookmarkEnd w:id="18"/>
          </w:p>
        </w:tc>
        <w:tc>
          <w:tcPr>
            <w:tcW w:w="7318" w:type="dxa"/>
            <w:tcBorders>
              <w:top w:val="single" w:color="auto" w:sz="4" w:space="0"/>
              <w:left w:val="single" w:color="auto" w:sz="4" w:space="0"/>
              <w:bottom w:val="single" w:color="auto" w:sz="4" w:space="0"/>
              <w:right w:val="single" w:color="auto" w:sz="4" w:space="0"/>
            </w:tcBorders>
            <w:noWrap w:val="0"/>
            <w:vAlign w:val="center"/>
          </w:tcPr>
          <w:p w14:paraId="30E6F597">
            <w:pPr>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7C705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C89C5C8">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82EDA1">
            <w:pPr>
              <w:spacing w:line="36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1E2332F">
            <w:pPr>
              <w:rPr>
                <w:rFonts w:hint="eastAsia" w:ascii="宋体" w:hAnsi="宋体" w:eastAsia="宋体" w:cs="宋体"/>
                <w:sz w:val="21"/>
                <w:szCs w:val="21"/>
                <w:highlight w:val="none"/>
                <w:lang w:val="en-US" w:eastAsia="zh-CN"/>
              </w:rPr>
            </w:pPr>
            <w:r>
              <w:rPr>
                <w:rFonts w:hint="eastAsia" w:ascii="宋体" w:hAnsi="宋体" w:cs="宋体"/>
                <w:color w:val="auto"/>
                <w:szCs w:val="21"/>
                <w:highlight w:val="none"/>
              </w:rPr>
              <w:t>报总价</w:t>
            </w:r>
            <w:r>
              <w:rPr>
                <w:rFonts w:hint="eastAsia" w:ascii="宋体" w:hAnsi="宋体" w:cs="宋体"/>
                <w:color w:val="auto"/>
                <w:szCs w:val="21"/>
                <w:highlight w:val="none"/>
                <w:lang w:eastAsia="zh-CN"/>
              </w:rPr>
              <w:t>（超过总预算金额的投标报价其投标将被否决）</w:t>
            </w:r>
          </w:p>
        </w:tc>
      </w:tr>
      <w:tr w14:paraId="5976F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210FFC2">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D74A5C6">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0AEF41B">
            <w:pP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采用固定总价合同</w:t>
            </w:r>
          </w:p>
        </w:tc>
      </w:tr>
      <w:tr w14:paraId="456C1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A59BE9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71DFFF5">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质保期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20C01C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硬件保修3年</w:t>
            </w:r>
            <w:r>
              <w:rPr>
                <w:rFonts w:hint="eastAsia" w:ascii="宋体" w:hAnsi="宋体" w:cs="宋体"/>
                <w:kern w:val="0"/>
                <w:sz w:val="21"/>
                <w:szCs w:val="21"/>
                <w:highlight w:val="none"/>
                <w:lang w:val="zh-CN" w:eastAsia="zh-CN"/>
              </w:rPr>
              <w:t>，</w:t>
            </w:r>
            <w:r>
              <w:rPr>
                <w:rFonts w:hint="eastAsia" w:ascii="宋体" w:hAnsi="宋体" w:eastAsia="宋体" w:cs="宋体"/>
                <w:kern w:val="0"/>
                <w:sz w:val="21"/>
                <w:szCs w:val="21"/>
                <w:highlight w:val="none"/>
                <w:lang w:val="zh-CN" w:eastAsia="zh-CN"/>
              </w:rPr>
              <w:t>软件保修5年</w:t>
            </w:r>
          </w:p>
        </w:tc>
      </w:tr>
      <w:tr w14:paraId="29EDD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5C47A65">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9BF6012">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标前预备会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9872E8C">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0BB97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9C2FBDC">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C817893">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提出问题的</w:t>
            </w:r>
          </w:p>
          <w:p w14:paraId="3A84AB96">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7333992">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zh-CN"/>
              </w:rPr>
              <w:t>天</w:t>
            </w:r>
          </w:p>
        </w:tc>
      </w:tr>
      <w:tr w14:paraId="68DC7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90E6851">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7621246">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w:t>
            </w:r>
          </w:p>
          <w:p w14:paraId="6BDFF62F">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C63474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3B5B0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9AEB059">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E6C540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AF52036">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3ACBB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ED27211">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DF80FE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文件的其他材料</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3E0F20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招标文件的澄清</w:t>
            </w:r>
            <w:r>
              <w:rPr>
                <w:rFonts w:hint="eastAsia"/>
                <w:sz w:val="21"/>
                <w:szCs w:val="21"/>
                <w:highlight w:val="none"/>
              </w:rPr>
              <w:t>、修改书及有关补充通知为</w:t>
            </w:r>
            <w:r>
              <w:rPr>
                <w:rFonts w:hint="eastAsia"/>
                <w:sz w:val="21"/>
                <w:szCs w:val="21"/>
                <w:highlight w:val="none"/>
                <w:lang w:val="zh-CN"/>
              </w:rPr>
              <w:t>招标文件</w:t>
            </w:r>
            <w:r>
              <w:rPr>
                <w:rFonts w:hint="eastAsia"/>
                <w:sz w:val="21"/>
                <w:szCs w:val="21"/>
                <w:highlight w:val="none"/>
              </w:rPr>
              <w:t>的有效组成部分</w:t>
            </w:r>
          </w:p>
        </w:tc>
      </w:tr>
      <w:tr w14:paraId="6B0B7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DA5B1D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85CEC6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的截止时间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67B7ED9">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2E17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29669E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B4709A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1BEFAA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60E57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2618205">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3D065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澄清的时间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AC493C6">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7B60D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F3B2E07">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BF41CE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修改的时间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77ED38D">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444EB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81277A7">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F16788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64DD085">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4902F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78E5FA4">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E4A12E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3791BF4">
            <w:pPr>
              <w:keepNext w:val="0"/>
              <w:keepLines w:val="0"/>
              <w:pageBreakBefore w:val="0"/>
              <w:widowControl/>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6BEA8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3B875EB">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343401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1F30BBE">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61B59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16DD73F">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F8C8CC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B9B6157">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7A470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A5D1D1C">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209A72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27C3DE7">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1B0A0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341DAB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587875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B53B44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6259C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0E35610">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71F40C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193F4F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w:t>
            </w:r>
            <w:r>
              <w:rPr>
                <w:rFonts w:hint="eastAsia" w:ascii="宋体" w:hAnsi="宋体" w:cs="宋体"/>
                <w:sz w:val="21"/>
                <w:szCs w:val="21"/>
                <w:highlight w:val="none"/>
                <w:lang w:val="zh-CN"/>
              </w:rPr>
              <w:t>招标</w:t>
            </w:r>
            <w:r>
              <w:rPr>
                <w:rFonts w:hint="eastAsia" w:ascii="宋体" w:hAnsi="宋体" w:eastAsia="宋体" w:cs="宋体"/>
                <w:sz w:val="21"/>
                <w:szCs w:val="21"/>
                <w:highlight w:val="none"/>
                <w:lang w:val="zh-CN"/>
              </w:rPr>
              <w:t>文件要求</w:t>
            </w:r>
          </w:p>
        </w:tc>
      </w:tr>
      <w:tr w14:paraId="22F4C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638BFCA">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9F2AAF5">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响应文件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A9E6707">
            <w:pPr>
              <w:bidi w:val="0"/>
              <w:spacing w:line="360" w:lineRule="auto"/>
              <w:rPr>
                <w:rFonts w:hint="default"/>
                <w:highlight w:val="none"/>
                <w:lang w:val="en-US" w:eastAsia="zh-CN"/>
              </w:rPr>
            </w:pPr>
            <w:r>
              <w:rPr>
                <w:rFonts w:hint="default"/>
                <w:highlight w:val="none"/>
                <w:lang w:val="en-US" w:eastAsia="zh-CN"/>
              </w:rPr>
              <w:t>本项目为电子投标，无需纸质文件递交</w:t>
            </w:r>
          </w:p>
        </w:tc>
      </w:tr>
      <w:tr w14:paraId="3F3D1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54167E1">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2CD24C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DB00BF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73E87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93498B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EBDA7B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0AEC1DE">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5E95A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98" w:type="dxa"/>
            <w:tcBorders>
              <w:top w:val="single" w:color="auto" w:sz="4" w:space="0"/>
              <w:left w:val="single" w:color="auto" w:sz="4" w:space="0"/>
              <w:right w:val="single" w:color="auto" w:sz="4" w:space="0"/>
            </w:tcBorders>
            <w:noWrap w:val="0"/>
            <w:vAlign w:val="center"/>
          </w:tcPr>
          <w:p w14:paraId="4EDF3193">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right w:val="single" w:color="auto" w:sz="4" w:space="0"/>
            </w:tcBorders>
            <w:noWrap w:val="0"/>
            <w:vAlign w:val="center"/>
          </w:tcPr>
          <w:p w14:paraId="752AEA4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F0B4988">
            <w:pPr>
              <w:keepNext w:val="0"/>
              <w:keepLines w:val="0"/>
              <w:pageBreakBefore w:val="0"/>
              <w:kinsoku/>
              <w:wordWrap/>
              <w:topLinePunct w:val="0"/>
              <w:bidi w:val="0"/>
              <w:spacing w:line="36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tc>
      </w:tr>
      <w:tr w14:paraId="2F8A6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38704C3">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D17FA4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响应文件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5F6EB9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20932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85E74B4">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F022CC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5BBF2C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lang w:val="en-US" w:eastAsia="zh-CN"/>
              </w:rPr>
              <w:t>(北京时间）</w:t>
            </w:r>
          </w:p>
          <w:p w14:paraId="3735C4F5">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eastAsia="宋体" w:cs="宋体"/>
                <w:sz w:val="21"/>
                <w:szCs w:val="21"/>
                <w:highlight w:val="none"/>
                <w:u w:val="none"/>
                <w:lang w:val="en-US" w:eastAsia="zh-CN"/>
              </w:rPr>
              <w:t>梅河口市公共资源交易中心开标一室</w:t>
            </w:r>
          </w:p>
        </w:tc>
      </w:tr>
      <w:tr w14:paraId="3D757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984EBDA">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2C082E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7667B36">
            <w:pPr>
              <w:rPr>
                <w:rFonts w:hint="eastAsia" w:ascii="宋体" w:hAnsi="宋体" w:cs="宋体"/>
                <w:szCs w:val="21"/>
                <w:highlight w:val="none"/>
                <w:lang w:val="en-US" w:eastAsia="zh-CN"/>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w:t>
            </w:r>
          </w:p>
          <w:p w14:paraId="2671ADB0">
            <w:pPr>
              <w:keepNext w:val="0"/>
              <w:keepLines w:val="0"/>
              <w:pageBreakBefore w:val="0"/>
              <w:kinsoku/>
              <w:wordWrap/>
              <w:topLinePunct w:val="0"/>
              <w:bidi w:val="0"/>
              <w:spacing w:line="360" w:lineRule="auto"/>
              <w:ind w:firstLine="0" w:firstLineChars="0"/>
              <w:jc w:val="left"/>
              <w:rPr>
                <w:rFonts w:hint="eastAsia" w:ascii="宋体" w:hAnsi="宋体" w:eastAsia="宋体" w:cs="宋体"/>
                <w:sz w:val="21"/>
                <w:szCs w:val="21"/>
                <w:highlight w:val="none"/>
              </w:rPr>
            </w:pPr>
            <w:r>
              <w:rPr>
                <w:rFonts w:hint="eastAsia" w:ascii="宋体" w:hAnsi="宋体" w:cs="宋体"/>
                <w:szCs w:val="21"/>
                <w:highlight w:val="none"/>
                <w:lang w:val="zh-CN"/>
              </w:rPr>
              <w:t>136-764-384。</w:t>
            </w:r>
            <w:r>
              <w:rPr>
                <w:rFonts w:hint="eastAsia"/>
                <w:b w:val="0"/>
                <w:bCs w:val="0"/>
                <w:highlight w:val="none"/>
                <w:u w:val="none"/>
                <w:lang w:val="en-US" w:eastAsia="zh-CN"/>
              </w:rPr>
              <w:t>进入视频会议人员应改名为“投标人+被授权人”</w:t>
            </w:r>
          </w:p>
        </w:tc>
      </w:tr>
      <w:tr w14:paraId="5B838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6F93DBC">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3CD0FE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85B0233">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w:t>
            </w:r>
            <w:r>
              <w:rPr>
                <w:rFonts w:hint="eastAsia" w:ascii="宋体" w:hAnsi="宋体" w:cs="宋体"/>
                <w:kern w:val="2"/>
                <w:sz w:val="21"/>
                <w:szCs w:val="21"/>
                <w:highlight w:val="none"/>
                <w:lang w:val="en-US" w:eastAsia="zh-CN" w:bidi="ar-SA"/>
              </w:rPr>
              <w:t>采购人1人，</w:t>
            </w:r>
            <w:r>
              <w:rPr>
                <w:rFonts w:hint="eastAsia" w:ascii="宋体" w:hAnsi="宋体" w:eastAsia="宋体" w:cs="宋体"/>
                <w:kern w:val="2"/>
                <w:sz w:val="21"/>
                <w:szCs w:val="21"/>
                <w:highlight w:val="none"/>
                <w:lang w:val="en-US" w:eastAsia="zh-CN" w:bidi="ar-SA"/>
              </w:rPr>
              <w:t>技术、经济等方面的专家</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人组成</w:t>
            </w:r>
          </w:p>
          <w:p w14:paraId="67A7A6C4">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260CF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6B06FF1">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39FD3E6">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61D5671">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14:paraId="26DF8528">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14:paraId="3069C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37403C6">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573A3F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1331B45">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中标金额的1.5%</w:t>
            </w:r>
            <w:r>
              <w:rPr>
                <w:rFonts w:hint="eastAsia" w:ascii="宋体" w:hAnsi="宋体" w:eastAsia="宋体" w:cs="宋体"/>
                <w:kern w:val="2"/>
                <w:sz w:val="21"/>
                <w:szCs w:val="21"/>
                <w:highlight w:val="none"/>
                <w:lang w:val="en-US" w:eastAsia="zh-CN" w:bidi="ar-SA"/>
              </w:rPr>
              <w:t>，由中标单位支付</w:t>
            </w:r>
          </w:p>
        </w:tc>
      </w:tr>
      <w:tr w14:paraId="03523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3968590">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53895F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bookmarkStart w:id="19" w:name="OLE_LINK3"/>
            <w:r>
              <w:rPr>
                <w:rFonts w:hint="eastAsia" w:ascii="宋体" w:hAnsi="宋体" w:eastAsia="宋体" w:cs="宋体"/>
                <w:sz w:val="21"/>
                <w:szCs w:val="21"/>
                <w:highlight w:val="none"/>
                <w:lang w:val="en-US" w:eastAsia="zh-CN"/>
              </w:rPr>
              <w:t>履约</w:t>
            </w:r>
            <w:bookmarkEnd w:id="19"/>
            <w:r>
              <w:rPr>
                <w:rFonts w:hint="eastAsia" w:ascii="宋体" w:hAnsi="宋体" w:eastAsia="宋体" w:cs="宋体"/>
                <w:sz w:val="21"/>
                <w:szCs w:val="21"/>
                <w:highlight w:val="none"/>
                <w:lang w:val="en-US" w:eastAsia="zh-CN"/>
              </w:rPr>
              <w:t>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9A84F14">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r w14:paraId="1951F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FD9F9C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CA896C1">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283B589">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382FB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DA4AAFB">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043DDB6">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19E49E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78F0D735">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5BBCAD51">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作为无效处理。</w:t>
            </w:r>
          </w:p>
        </w:tc>
      </w:tr>
      <w:tr w14:paraId="76FD5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0BB1DB0">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A43F830">
            <w:pPr>
              <w:adjustRightInd w:val="0"/>
              <w:snapToGrid w:val="0"/>
              <w:spacing w:before="120" w:beforeLines="50" w:line="360" w:lineRule="auto"/>
              <w:jc w:val="center"/>
              <w:rPr>
                <w:rFonts w:hint="eastAsia"/>
                <w:szCs w:val="22"/>
                <w:highlight w:val="none"/>
              </w:rPr>
            </w:pPr>
            <w:r>
              <w:rPr>
                <w:rFonts w:hint="eastAsia"/>
                <w:szCs w:val="22"/>
                <w:highlight w:val="none"/>
              </w:rPr>
              <w:t>中小企业</w:t>
            </w:r>
          </w:p>
          <w:p w14:paraId="2FB2966E">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5DD35E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本项目为</w:t>
            </w:r>
            <w:r>
              <w:rPr>
                <w:rFonts w:hint="eastAsia" w:ascii="宋体" w:hAnsi="宋体" w:cs="宋体"/>
                <w:sz w:val="21"/>
                <w:szCs w:val="21"/>
                <w:highlight w:val="none"/>
                <w:lang w:val="en-US" w:eastAsia="zh-CN"/>
              </w:rPr>
              <w:t>非</w:t>
            </w:r>
            <w:r>
              <w:rPr>
                <w:rFonts w:hint="eastAsia" w:ascii="宋体" w:hAnsi="宋体" w:eastAsia="宋体" w:cs="宋体"/>
                <w:sz w:val="21"/>
                <w:szCs w:val="21"/>
                <w:highlight w:val="none"/>
              </w:rPr>
              <w:t>专门面向中小企业采购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所属行业为</w:t>
            </w:r>
            <w:r>
              <w:rPr>
                <w:rFonts w:hint="eastAsia" w:ascii="宋体" w:hAnsi="宋体" w:eastAsia="宋体" w:cs="宋体"/>
                <w:spacing w:val="0"/>
                <w:w w:val="100"/>
                <w:kern w:val="2"/>
                <w:position w:val="0"/>
                <w:sz w:val="21"/>
                <w:szCs w:val="21"/>
                <w:highlight w:val="none"/>
              </w:rPr>
              <w:t>软件和信息技术服务业</w:t>
            </w:r>
            <w:r>
              <w:rPr>
                <w:rFonts w:hint="eastAsia" w:ascii="宋体" w:hAnsi="宋体" w:eastAsia="宋体" w:cs="宋体"/>
                <w:sz w:val="21"/>
                <w:szCs w:val="21"/>
                <w:highlight w:val="none"/>
              </w:rPr>
              <w:t>。</w:t>
            </w:r>
          </w:p>
          <w:p w14:paraId="3F17817D">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6F68B36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25F7A6B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53E1D9C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3）供应商为残疾人福利性单位的视同小型和微型企业，应当提供《残疾人福利性单位声明函》</w:t>
            </w:r>
          </w:p>
        </w:tc>
      </w:tr>
      <w:tr w14:paraId="281EE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0" w:type="dxa"/>
            <w:gridSpan w:val="3"/>
            <w:tcBorders>
              <w:top w:val="single" w:color="auto" w:sz="4" w:space="0"/>
              <w:left w:val="single" w:color="auto" w:sz="4" w:space="0"/>
              <w:bottom w:val="single" w:color="auto" w:sz="4" w:space="0"/>
              <w:right w:val="single" w:color="auto" w:sz="4" w:space="0"/>
            </w:tcBorders>
            <w:noWrap w:val="0"/>
            <w:vAlign w:val="center"/>
          </w:tcPr>
          <w:p w14:paraId="29AF54C3">
            <w:pPr>
              <w:keepNext w:val="0"/>
              <w:keepLines w:val="0"/>
              <w:pageBreakBefore w:val="0"/>
              <w:kinsoku/>
              <w:wordWrap/>
              <w:topLinePunct w:val="0"/>
              <w:bidi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公告内容有不一致之处，以最新发布的</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公告内容为准。</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公告与</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文件内容有不一致之处，以</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文件内容为准。</w:t>
            </w:r>
          </w:p>
        </w:tc>
      </w:tr>
    </w:tbl>
    <w:p w14:paraId="582B3DB7">
      <w:pPr>
        <w:outlineLvl w:val="9"/>
        <w:rPr>
          <w:rFonts w:hint="eastAsia" w:ascii="宋体" w:hAnsi="宋体" w:eastAsia="宋体" w:cs="宋体"/>
          <w:highlight w:val="none"/>
          <w:lang w:val="en-US" w:eastAsia="zh-CN"/>
        </w:rPr>
      </w:pPr>
    </w:p>
    <w:p w14:paraId="3DB6AE39">
      <w:pPr>
        <w:rPr>
          <w:rFonts w:hint="eastAsia" w:ascii="宋体" w:hAnsi="宋体" w:eastAsia="宋体" w:cs="宋体"/>
          <w:highlight w:val="none"/>
        </w:rPr>
      </w:pPr>
      <w:r>
        <w:rPr>
          <w:rFonts w:hint="eastAsia" w:ascii="宋体" w:hAnsi="宋体" w:eastAsia="宋体" w:cs="宋体"/>
          <w:highlight w:val="none"/>
        </w:rPr>
        <w:br w:type="page"/>
      </w:r>
    </w:p>
    <w:p w14:paraId="097AA7EF">
      <w:pPr>
        <w:pStyle w:val="3"/>
        <w:rPr>
          <w:rFonts w:hint="eastAsia"/>
          <w:highlight w:val="none"/>
        </w:rPr>
      </w:pPr>
      <w:r>
        <w:rPr>
          <w:rFonts w:hint="eastAsia"/>
          <w:highlight w:val="none"/>
        </w:rPr>
        <w:t>投标人须知总则</w:t>
      </w:r>
    </w:p>
    <w:p w14:paraId="4B681AC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w:t>
      </w:r>
      <w:bookmarkStart w:id="20" w:name="OLE_LINK9"/>
      <w:r>
        <w:rPr>
          <w:rFonts w:hint="eastAsia" w:ascii="宋体" w:hAnsi="宋体" w:cs="宋体"/>
          <w:szCs w:val="21"/>
          <w:highlight w:val="none"/>
          <w:lang w:val="zh-CN"/>
        </w:rPr>
        <w:t>标其它相关法规。</w:t>
      </w:r>
    </w:p>
    <w:p w14:paraId="1C2D5FE0">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2．定义：</w:t>
      </w:r>
    </w:p>
    <w:p w14:paraId="007CE58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吉林省博扬招标项目管理有限公司</w:t>
      </w:r>
      <w:r>
        <w:rPr>
          <w:rFonts w:hint="eastAsia" w:ascii="宋体" w:hAnsi="宋体" w:cs="宋体"/>
          <w:szCs w:val="21"/>
          <w:highlight w:val="none"/>
          <w:lang w:val="zh-CN"/>
        </w:rPr>
        <w:t>，负责招标活动的组织工作。</w:t>
      </w:r>
    </w:p>
    <w:p w14:paraId="06748FA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梅河口市中心医院</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14:paraId="36398A2E">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采购内容</w:t>
      </w:r>
      <w:r>
        <w:rPr>
          <w:rFonts w:hint="eastAsia" w:ascii="宋体" w:hAnsi="宋体" w:cs="宋体"/>
          <w:kern w:val="0"/>
          <w:szCs w:val="21"/>
          <w:highlight w:val="none"/>
        </w:rPr>
        <w:t>”</w:t>
      </w:r>
      <w:r>
        <w:rPr>
          <w:rFonts w:hint="eastAsia" w:ascii="宋体" w:hAnsi="宋体" w:cs="宋体"/>
          <w:kern w:val="0"/>
          <w:szCs w:val="21"/>
          <w:highlight w:val="none"/>
          <w:lang w:val="zh-CN"/>
        </w:rPr>
        <w:t>详见第七章《</w:t>
      </w:r>
      <w:r>
        <w:rPr>
          <w:rFonts w:hint="eastAsia" w:ascii="宋体" w:hAnsi="宋体" w:cs="宋体"/>
          <w:kern w:val="0"/>
          <w:szCs w:val="21"/>
          <w:highlight w:val="none"/>
        </w:rPr>
        <w:t>采购需求</w:t>
      </w:r>
      <w:r>
        <w:rPr>
          <w:rFonts w:hint="eastAsia" w:ascii="宋体" w:hAnsi="宋体" w:cs="宋体"/>
          <w:kern w:val="0"/>
          <w:szCs w:val="21"/>
          <w:highlight w:val="none"/>
          <w:lang w:val="zh-CN"/>
        </w:rPr>
        <w:t>》。</w:t>
      </w:r>
    </w:p>
    <w:p w14:paraId="33AA5C7E">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指确认参加投标的供应商。</w:t>
      </w:r>
    </w:p>
    <w:p w14:paraId="41F7572A">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指响应本招标文件参加投标的供应商。</w:t>
      </w:r>
    </w:p>
    <w:p w14:paraId="2BFE4D95">
      <w:pPr>
        <w:adjustRightInd w:val="0"/>
        <w:snapToGrid w:val="0"/>
        <w:spacing w:line="360" w:lineRule="auto"/>
        <w:ind w:right="641"/>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3．合格投标人资格条件要求：详见投标人须知表</w:t>
      </w:r>
    </w:p>
    <w:bookmarkEnd w:id="20"/>
    <w:p w14:paraId="05AE9E7B">
      <w:pPr>
        <w:autoSpaceDE w:val="0"/>
        <w:autoSpaceDN w:val="0"/>
        <w:adjustRightInd w:val="0"/>
        <w:spacing w:line="360" w:lineRule="auto"/>
        <w:ind w:firstLine="482"/>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14:paraId="6A58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14:paraId="43D5E094">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noWrap w:val="0"/>
            <w:vAlign w:val="top"/>
          </w:tcPr>
          <w:p w14:paraId="57489EB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5FA630B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52CE5CAD"/>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Bra8bn/gEAACgEAAAOAAAAAAAAAAEAIAAAACUBAABkcnMvZTJv&#10;RG9jLnhtbFBLBQYAAAAABgAGAFkBAACVBQAAAAA=&#10;">
                      <v:fill on="t" focussize="0,0"/>
                      <v:stroke color="#C0C0C0" joinstyle="miter"/>
                      <v:imagedata o:title=""/>
                      <o:lock v:ext="edit" aspectratio="f"/>
                      <v:textbox>
                        <w:txbxContent>
                          <w:p w14:paraId="52CE5CAD"/>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6F90AF1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14:paraId="7589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14:paraId="28F7EF93">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noWrap w:val="0"/>
            <w:vAlign w:val="top"/>
          </w:tcPr>
          <w:p w14:paraId="319A03A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24107FC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69D37A7F"/>
                              </w:txbxContent>
                            </wps:txbx>
                            <wps:bodyPr upright="1"/>
                          </wps:wsp>
                        </a:graphicData>
                      </a:graphic>
                    </wp:anchor>
                  </w:drawing>
                </mc:Choice>
                <mc:Fallback>
                  <w:pict>
                    <v:rect id="_x0000_s1026" o:spid="_x0000_s1026" o:spt="1" style="position:absolute;left:0pt;margin-left:-1.25pt;margin-top:9pt;height:9.75pt;width:9.75pt;z-index:-251657216;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gZp1gAAAAcBAAAPAAAAAAAAAAEAIAAAACIAAABkcnMvZG93bnJl&#10;di54bWxQSwECFAAUAAAACACHTuJASdDbNf8BAAAoBAAADgAAAAAAAAABACAAAAAlAQAAZHJzL2Uy&#10;b0RvYy54bWxQSwUGAAAAAAYABgBZAQAAlgUAAAAA&#10;">
                      <v:fill on="t" focussize="0,0"/>
                      <v:stroke color="#C0C0C0" joinstyle="miter"/>
                      <v:imagedata o:title=""/>
                      <o:lock v:ext="edit" aspectratio="f"/>
                      <v:textbox>
                        <w:txbxContent>
                          <w:p w14:paraId="69D37A7F"/>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26A79A1D">
            <w:pPr>
              <w:autoSpaceDE w:val="0"/>
              <w:autoSpaceDN w:val="0"/>
              <w:adjustRightInd w:val="0"/>
              <w:spacing w:line="400" w:lineRule="exact"/>
              <w:jc w:val="left"/>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14:paraId="498B1CA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投标人应自行承担所有与编写和提交投标文件有关的费用，无论投标的结果如何，采购人和采购代理机构在任何情况下均无义务和责任承担这些费用。</w:t>
      </w:r>
    </w:p>
    <w:p w14:paraId="6ADAD3B3">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 招标文件：</w:t>
      </w:r>
    </w:p>
    <w:p w14:paraId="70AA731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14:paraId="2E0E056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第一章  招标公告</w:t>
      </w:r>
      <w:r>
        <w:rPr>
          <w:rFonts w:hint="eastAsia" w:ascii="宋体" w:hAnsi="宋体" w:cs="宋体"/>
          <w:szCs w:val="21"/>
          <w:highlight w:val="none"/>
          <w:lang w:val="zh-CN"/>
        </w:rPr>
        <w:tab/>
      </w:r>
    </w:p>
    <w:p w14:paraId="7884667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第二章  投标人须知</w:t>
      </w:r>
      <w:r>
        <w:rPr>
          <w:rFonts w:hint="eastAsia" w:ascii="宋体" w:hAnsi="宋体" w:cs="宋体"/>
          <w:szCs w:val="21"/>
          <w:highlight w:val="none"/>
          <w:lang w:val="zh-CN"/>
        </w:rPr>
        <w:tab/>
      </w:r>
    </w:p>
    <w:p w14:paraId="668B64D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评标标准和方法（综合打分法）</w:t>
      </w:r>
      <w:r>
        <w:rPr>
          <w:rFonts w:hint="eastAsia" w:ascii="宋体" w:hAnsi="宋体" w:cs="宋体"/>
          <w:szCs w:val="21"/>
          <w:highlight w:val="none"/>
          <w:lang w:val="zh-CN"/>
        </w:rPr>
        <w:tab/>
      </w:r>
    </w:p>
    <w:p w14:paraId="28C9615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第四章  合同条款</w:t>
      </w:r>
      <w:r>
        <w:rPr>
          <w:rFonts w:hint="eastAsia" w:ascii="宋体" w:hAnsi="宋体" w:cs="宋体"/>
          <w:szCs w:val="21"/>
          <w:highlight w:val="none"/>
          <w:lang w:val="zh-CN"/>
        </w:rPr>
        <w:tab/>
      </w:r>
    </w:p>
    <w:p w14:paraId="7253EA2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第五章  政府招标合同书格式</w:t>
      </w:r>
      <w:r>
        <w:rPr>
          <w:rFonts w:hint="eastAsia" w:ascii="宋体" w:hAnsi="宋体" w:cs="宋体"/>
          <w:szCs w:val="21"/>
          <w:highlight w:val="none"/>
          <w:lang w:val="zh-CN"/>
        </w:rPr>
        <w:tab/>
      </w:r>
    </w:p>
    <w:p w14:paraId="687C614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第六章  </w:t>
      </w:r>
      <w:r>
        <w:rPr>
          <w:rFonts w:hint="eastAsia" w:ascii="宋体" w:hAnsi="宋体" w:cs="宋体"/>
          <w:szCs w:val="21"/>
          <w:highlight w:val="none"/>
        </w:rPr>
        <w:t>采购需求</w:t>
      </w:r>
      <w:r>
        <w:rPr>
          <w:rFonts w:hint="eastAsia" w:ascii="宋体" w:hAnsi="宋体" w:cs="宋体"/>
          <w:szCs w:val="21"/>
          <w:highlight w:val="none"/>
          <w:lang w:val="zh-CN"/>
        </w:rPr>
        <w:tab/>
      </w:r>
    </w:p>
    <w:p w14:paraId="51477B9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第七章  投标文件构成、要求及格式</w:t>
      </w:r>
      <w:r>
        <w:rPr>
          <w:rFonts w:hint="eastAsia" w:ascii="宋体" w:hAnsi="宋体" w:cs="宋体"/>
          <w:szCs w:val="21"/>
          <w:highlight w:val="none"/>
          <w:lang w:val="zh-CN"/>
        </w:rPr>
        <w:tab/>
      </w:r>
    </w:p>
    <w:p w14:paraId="655894A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第八章  附件</w:t>
      </w:r>
      <w:r>
        <w:rPr>
          <w:rFonts w:hint="eastAsia" w:ascii="宋体" w:hAnsi="宋体" w:cs="宋体"/>
          <w:szCs w:val="21"/>
          <w:highlight w:val="none"/>
          <w:lang w:val="zh-CN"/>
        </w:rPr>
        <w:tab/>
      </w:r>
    </w:p>
    <w:p w14:paraId="0F94BFE6">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51C1427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14:paraId="568B642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天前以书面形式通知采购方，采购方对收到的澄清要求将视所提问题具体情况以书面形式予以答复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，同时寄给每个购买招标文件的投标人或由投标人直接到招标方领取。投标人应立即以书面形式确认已收到的答复文件。答复中标段括所提的问题，但不标段括问题的来源。</w:t>
      </w:r>
      <w:r>
        <w:rPr>
          <w:rFonts w:hint="eastAsia" w:ascii="宋体" w:hAnsi="宋体" w:cs="宋体"/>
          <w:szCs w:val="21"/>
          <w:highlight w:val="none"/>
          <w:lang w:val="zh-CN"/>
        </w:rPr>
        <w:t>采购代理机构对收到的供应商书面质疑，将按照政府招标法律规章的规定处理。</w:t>
      </w:r>
    </w:p>
    <w:p w14:paraId="290BE12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14:paraId="2A0C9B7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标段括答疑会纪要）。投标人若收到该澄清、修改、补充文件，则应立即以书面形式回复确认已收到。</w:t>
      </w:r>
    </w:p>
    <w:p w14:paraId="7375C58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7D2D645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14:paraId="0BE7965F">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1F7F091E">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14:paraId="04C24BFA">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第二章《投标人须知》要求提交的投标保证金。</w:t>
      </w:r>
    </w:p>
    <w:p w14:paraId="1BA512C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14:paraId="504786E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14:paraId="51ACDA2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14:paraId="05F18CD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9.3 投标文件规格应采用A4幅面，打印，按照招标文件规定的顺序，统一编目编码装订。为便于评标，技术文件中的各项表格应按照招标文件第七章规定的格式制作。</w:t>
      </w:r>
    </w:p>
    <w:p w14:paraId="64CEBF15">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14:paraId="2A40ECEE">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9.5 采购代理机构不接受采用传真方式提交的投标文件。</w:t>
      </w:r>
    </w:p>
    <w:p w14:paraId="2790B8E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14:paraId="1C3D4AE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10.1投标供应商的投标报价应在控制范围内，超出此范围的投标报价为无效报价。投标货币：所有投标报价均以人民币元为计算单位。</w:t>
      </w:r>
    </w:p>
    <w:p w14:paraId="4919ABD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5D6EF5D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14:paraId="210EE2A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14:paraId="7F11A73B">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442FBBE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账户名称、开户银行和账号，在投标截止时间24小时之前将投标保证金足额汇入（存入）采购代理机构账户，并必须携带汇款银行出具的汇款（存款）凭证（进账单复印件加盖投标人公章或财务章）及开户许可证参加开标会。</w:t>
      </w:r>
    </w:p>
    <w:p w14:paraId="1E831CA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49FF063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14:paraId="2797180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14:paraId="6C39160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11.5中标人的投标保证金，在中标人按本须知第21条规定签署合同，并按第22条规定缴纳了履约保证金后5个工作日内退还，不计利息。</w:t>
      </w:r>
    </w:p>
    <w:p w14:paraId="2EA7808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14:paraId="168E8D1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（1）投标人在招标文件规定的投标有效期内撤回其投标；（2）中标人在规定期限内未能做到：a.按照本须知第21条规定签订合同；b.按照本须知第22条规定提交履约保证金。</w:t>
      </w:r>
    </w:p>
    <w:p w14:paraId="34BFD9FF">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14:paraId="325767E5">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14:paraId="2562F549">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14:paraId="45825424">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61006A2A">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14:paraId="3B00C1AD">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14:paraId="45025E47">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13.1投标文件需打印或用不褪色墨水书写。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七章规定的格式提交）。投标文件中所有递交的承诺书或承诺函均有法定代表人及被授权人签字或盖章，无签字或盖章否决投标。</w:t>
      </w:r>
    </w:p>
    <w:p w14:paraId="44B9CDF6">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14:paraId="6D4A8A4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14:paraId="5A546AA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14:paraId="73917F4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14:paraId="640A5CF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在投标截止时间（开标时间）之后，投标人不得对其投标书做任何修改（标段括开标一览表的内容）。</w:t>
      </w:r>
    </w:p>
    <w:p w14:paraId="2A7D517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14:paraId="667EB85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15. 投标（执行供应商须知前附表）</w:t>
      </w:r>
    </w:p>
    <w:p w14:paraId="4055663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p>
    <w:p w14:paraId="12498398">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15.2投标文件份数：投标人应提交投标文件正本1份、副本4份，并标明“正本”、“副本”字样，当正本与副本内容不一致时，以正本为准。投标文件正本与副本应分开包装，加贴封条</w:t>
      </w:r>
      <w:r>
        <w:rPr>
          <w:rFonts w:hint="eastAsia" w:ascii="宋体" w:hAnsi="宋体" w:eastAsia="宋体" w:cs="宋体"/>
          <w:szCs w:val="21"/>
          <w:highlight w:val="none"/>
          <w:lang w:val="zh-CN"/>
        </w:rPr>
        <w:t>，在封套的封口处加盖</w:t>
      </w:r>
      <w:r>
        <w:rPr>
          <w:rFonts w:hint="eastAsia" w:ascii="宋体" w:hAnsi="宋体" w:cs="宋体"/>
          <w:szCs w:val="21"/>
          <w:highlight w:val="none"/>
          <w:lang w:val="zh-CN"/>
        </w:rPr>
        <w:t>供应商</w:t>
      </w:r>
      <w:r>
        <w:rPr>
          <w:rFonts w:hint="eastAsia" w:ascii="宋体" w:hAnsi="宋体" w:eastAsia="宋体" w:cs="宋体"/>
          <w:szCs w:val="21"/>
          <w:highlight w:val="none"/>
          <w:lang w:val="zh-CN"/>
        </w:rPr>
        <w:t>单位公章</w:t>
      </w:r>
      <w:r>
        <w:rPr>
          <w:rFonts w:hint="eastAsia" w:ascii="宋体" w:hAnsi="宋体" w:cs="宋体"/>
          <w:szCs w:val="21"/>
          <w:highlight w:val="none"/>
          <w:lang w:val="zh-CN"/>
        </w:rPr>
        <w:t>。</w:t>
      </w:r>
    </w:p>
    <w:p w14:paraId="6D5A97A7">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15.3 投标人应按第七章《投标文件构成、要求及格式》中的格式和要求单独编制一份《开标一览表》，按照对投标文件同样的要求单独密封，与投标文件同时递交。</w:t>
      </w:r>
    </w:p>
    <w:p w14:paraId="46EFC42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15.4 采购代理机构将拒绝接受并原封退回在规定的投标截止时间以后递交的投标文件。</w:t>
      </w:r>
    </w:p>
    <w:p w14:paraId="7177582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15.5 首次招标投标截止时间结束后投标人不足三家的，将重新招标；重新招标仍出现本款前述情形的，可按本须知第19条规定办理。</w:t>
      </w:r>
    </w:p>
    <w:p w14:paraId="678665D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 开标</w:t>
      </w:r>
    </w:p>
    <w:p w14:paraId="494573D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16.1采购代理机构将在招标公告规定的时间和地点公开开标。投标人法定代表人或其授权代理人应参加并签名报到以证明其出席，并携带有效身份证件以备审查。</w:t>
      </w:r>
    </w:p>
    <w:p w14:paraId="0A360F63">
      <w:pPr>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szCs w:val="21"/>
          <w:highlight w:val="none"/>
          <w:lang w:val="zh-CN"/>
        </w:rPr>
        <w:t>16.2 开标会由采购代理机构组织并主持。开标前，</w:t>
      </w:r>
      <w:r>
        <w:rPr>
          <w:rFonts w:hint="eastAsia" w:ascii="宋体" w:hAnsi="宋体" w:cs="宋体"/>
          <w:kern w:val="0"/>
          <w:szCs w:val="21"/>
          <w:highlight w:val="none"/>
          <w:lang w:val="zh-CN"/>
        </w:rPr>
        <w:t>由监督人员或者投标人代表检查投标文件的密封情况并当场宣布检查情况。</w:t>
      </w:r>
    </w:p>
    <w:p w14:paraId="59EA03F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16.3 开标时，采购代理机构将按照投标人提交的</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，当众宣读投标人名称、修改和撤回投标的通知、投标价格、交货时间、是否提交了投标保证金等内容。</w:t>
      </w:r>
    </w:p>
    <w:p w14:paraId="65B5FBF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16.4 开标时未宣读的投标价格等实质性内容，评标时不予承认。</w:t>
      </w:r>
    </w:p>
    <w:p w14:paraId="43C6ADF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16.5 按照投标人须知第14条的规定，提交了可接受的</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通知的投标将不予开封。撤回的投标书将原封退回投标人。</w:t>
      </w:r>
    </w:p>
    <w:p w14:paraId="345B890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16.6 采购代理机构将做开标记录，开标记录标段括按本须知第16.3款的规定在开标时宣读的全部内容。开标记录将在开标后由监督人员或者投标人代表签字确认。</w:t>
      </w:r>
    </w:p>
    <w:p w14:paraId="28628DB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16.7 开标时有下列情形之一的为无效投标：</w:t>
      </w:r>
    </w:p>
    <w:p w14:paraId="62ED554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4B24DFC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4731DFF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（3）投标文件未按招标文件规定密封的；</w:t>
      </w:r>
    </w:p>
    <w:p w14:paraId="62D4F9F8">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（4）未提交单独密封的开标一览表或者开标一览表未按规定加盖公章和/或有效签署的；</w:t>
      </w:r>
    </w:p>
    <w:p w14:paraId="768B299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（5）招标文件规定开标时属于无效投标的其他情形。</w:t>
      </w:r>
    </w:p>
    <w:p w14:paraId="1DD61BE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16.8 开标时有下列情形之一的，采购代理机构有权宣布本项目招标失败：</w:t>
      </w:r>
    </w:p>
    <w:p w14:paraId="3C5D8FB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392DBEB6">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（2）所有投标人的报价均超过采购项目预算，采购人不能支付的。</w:t>
      </w:r>
    </w:p>
    <w:p w14:paraId="4BBE50C6">
      <w:pPr>
        <w:tabs>
          <w:tab w:val="left" w:pos="1920"/>
        </w:tabs>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5EEF98A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070F1D5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14:paraId="69D518E2">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281544F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审查是否所有投标人的报价均超过采购预算：</w:t>
      </w:r>
      <w:r>
        <w:rPr>
          <w:rFonts w:hint="eastAsia" w:ascii="宋体" w:hAnsi="宋体" w:cs="宋体"/>
          <w:szCs w:val="21"/>
          <w:highlight w:val="none"/>
          <w:lang w:val="zh-CN"/>
        </w:rPr>
        <w:t>根据《中华人民共和国政府采购法实施条例》的规定，所有投标人的报价均超过采购预算，采购人不能支付的，应予否决处理。</w:t>
      </w:r>
    </w:p>
    <w:p w14:paraId="335D6D2C">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评标委员会发现投标人有下列情形之一的，将认定属于串通投标行为，相关投标人的投标应作否决处理。评标结束后，采购机构将以书面形式报告吉林省政府招标监督管理部门：</w:t>
      </w:r>
    </w:p>
    <w:p w14:paraId="6D7C3077">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14:paraId="7AB4458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14:paraId="21A37AA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14:paraId="5B81F67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14:paraId="1302809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14:paraId="0D12ED69">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14:paraId="5530FE6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14:paraId="4AC5044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14:paraId="6AFD38EB">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14:paraId="70CA551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14:paraId="6152F11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64EE0B63">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14:paraId="69E8EC37">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14:paraId="17E1FB45">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14:paraId="662F5190">
      <w:pPr>
        <w:autoSpaceDE w:val="0"/>
        <w:autoSpaceDN w:val="0"/>
        <w:adjustRightInd w:val="0"/>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4B23FDD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14:paraId="51FEF64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14:paraId="3ABF0953">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14:paraId="19ACB77F">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14:paraId="490465DF">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（5）投标文件载明的货物标段装方式、检验方法和标准等不符合招标文件要求；</w:t>
      </w:r>
    </w:p>
    <w:p w14:paraId="1EAE2C7F">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14:paraId="0D60699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14:paraId="0F7B9B3E">
      <w:pPr>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0933CDCD">
      <w:pPr>
        <w:autoSpaceDE w:val="0"/>
        <w:autoSpaceDN w:val="0"/>
        <w:adjustRightInd w:val="0"/>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14:paraId="35A9FD5D">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2F180BE1">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537C7633">
      <w:pPr>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14:paraId="1FE9640F">
      <w:pPr>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谈判、询价项目出现前述情形的，如果采购人需求紧急需要直接变更方式招标，经采购人代表现场提出，评标委员会专家成员和评标监督人员同意，可以在评标专家、采购人代表、评标监督人员、投标供应商授权代表以及采购中心或者采购代理机构工作人员同时在场的情况下直接变更招标方式继续招标，并按下述规定办理：</w:t>
      </w:r>
    </w:p>
    <w:p w14:paraId="08EBAF2C">
      <w:pPr>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（1）采用招标方式招标项目，重新招标出现前述情形的，如果有两家供应商投标或者经评审有两家合格投标供应商，可以直接变更为两家供应商竞争性谈判或者向两家供应商询价采购。</w:t>
      </w:r>
    </w:p>
    <w:p w14:paraId="1AAB10D0">
      <w:pPr>
        <w:ind w:firstLine="420" w:firstLineChars="200"/>
        <w:rPr>
          <w:rFonts w:hint="eastAsia" w:ascii="宋体" w:hAnsi="宋体" w:cs="宋体"/>
          <w:szCs w:val="21"/>
          <w:highlight w:val="none"/>
        </w:rPr>
      </w:pPr>
      <w:r>
        <w:rPr>
          <w:rFonts w:hint="eastAsia" w:ascii="宋体" w:hAnsi="宋体" w:cs="宋体"/>
          <w:szCs w:val="21"/>
          <w:highlight w:val="none"/>
        </w:rPr>
        <w:t>（2）采用竞争性谈判、询价方式采购的项目，出现前述情形的，如果有两家供应商投标或者经评审由两家合格投标供应商，原招标方式为竞争性谈判的，应当直接变更为两家供应商竞争性谈判；原招标方式为询价的，应当直接变更为两家供应商询价采购。</w:t>
      </w:r>
    </w:p>
    <w:p w14:paraId="73876194">
      <w:pPr>
        <w:ind w:firstLine="420" w:firstLineChars="200"/>
        <w:rPr>
          <w:rFonts w:hint="eastAsia" w:ascii="宋体" w:hAnsi="宋体" w:cs="宋体"/>
          <w:szCs w:val="21"/>
          <w:highlight w:val="none"/>
        </w:rPr>
      </w:pPr>
      <w:r>
        <w:rPr>
          <w:rFonts w:hint="eastAsia" w:ascii="宋体" w:hAnsi="宋体" w:cs="宋体"/>
          <w:szCs w:val="21"/>
          <w:highlight w:val="none"/>
        </w:rPr>
        <w:t>（3）只有1家供应商投标，或者经评审只有1家合格供应商的，不得直接变更为单一来源方式采购。采购人需要变更为单一来源方式采购的，应当在否决投标后向招标办申请批准。</w:t>
      </w:r>
    </w:p>
    <w:p w14:paraId="2E61F439">
      <w:pPr>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供应商授权代表共同签署《招标失败后直接变更招标方式备忘录》。评标结束后，由采购中心或者采购代理机构将《招标失败后直接变更招标方式备忘录》和评标纪要（评标报告）标段招标办备案。</w:t>
      </w:r>
    </w:p>
    <w:p w14:paraId="55B097CD">
      <w:pPr>
        <w:autoSpaceDE w:val="0"/>
        <w:autoSpaceDN w:val="0"/>
        <w:adjustRightInd w:val="0"/>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14:paraId="68CB260D">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14:paraId="0935FF7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14:paraId="2432D2F2">
      <w:pPr>
        <w:tabs>
          <w:tab w:val="left" w:pos="3675"/>
        </w:tabs>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14:paraId="66AC6014">
      <w:pPr>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评标委员会将按下述标准评定预中标人：</w:t>
      </w:r>
      <w:r>
        <w:rPr>
          <w:rFonts w:hint="eastAsia" w:ascii="宋体" w:hAnsi="宋体" w:cs="宋体"/>
          <w:szCs w:val="21"/>
          <w:highlight w:val="none"/>
        </w:rPr>
        <w:t xml:space="preserve">按评审后投标人综合得分由高到低的顺序进行排序，推荐前三名为中标候选人； </w:t>
      </w:r>
    </w:p>
    <w:p w14:paraId="3B68FF5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21. 签订合同</w:t>
      </w:r>
    </w:p>
    <w:p w14:paraId="224B35B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14:paraId="59C2CD8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14:paraId="34B22A7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3079624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14:paraId="354D95AF">
      <w:pPr>
        <w:autoSpaceDE w:val="0"/>
        <w:autoSpaceDN w:val="0"/>
        <w:adjustRightInd w:val="0"/>
        <w:ind w:firstLine="482"/>
        <w:rPr>
          <w:rFonts w:hint="eastAsia" w:ascii="宋体" w:hAnsi="宋体" w:cs="宋体"/>
          <w:bCs/>
          <w:szCs w:val="21"/>
          <w:highlight w:val="none"/>
          <w:lang w:val="zh-CN"/>
        </w:rPr>
      </w:pPr>
      <w:r>
        <w:rPr>
          <w:rFonts w:hint="eastAsia" w:ascii="宋体" w:hAnsi="宋体" w:cs="宋体"/>
          <w:b/>
          <w:szCs w:val="21"/>
          <w:highlight w:val="none"/>
          <w:lang w:val="zh-CN"/>
        </w:rPr>
        <w:t>22.履约保证金:</w:t>
      </w:r>
      <w:r>
        <w:rPr>
          <w:rFonts w:hint="eastAsia" w:ascii="宋体" w:hAnsi="宋体" w:cs="宋体"/>
          <w:szCs w:val="21"/>
          <w:highlight w:val="none"/>
        </w:rPr>
        <w:t>无</w:t>
      </w:r>
      <w:r>
        <w:rPr>
          <w:rFonts w:hint="eastAsia" w:ascii="宋体" w:hAnsi="宋体" w:cs="宋体"/>
          <w:szCs w:val="21"/>
          <w:highlight w:val="none"/>
          <w:lang w:val="zh-CN"/>
        </w:rPr>
        <w:t>。</w:t>
      </w:r>
    </w:p>
    <w:p w14:paraId="58B6A7CF">
      <w:pPr>
        <w:tabs>
          <w:tab w:val="left" w:pos="709"/>
          <w:tab w:val="left" w:pos="927"/>
        </w:tabs>
        <w:autoSpaceDE w:val="0"/>
        <w:autoSpaceDN w:val="0"/>
        <w:adjustRightInd w:val="0"/>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14:paraId="7F47D2FF">
      <w:pPr>
        <w:tabs>
          <w:tab w:val="left" w:pos="709"/>
        </w:tabs>
        <w:autoSpaceDE w:val="0"/>
        <w:autoSpaceDN w:val="0"/>
        <w:adjustRightInd w:val="0"/>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14:paraId="67606063">
      <w:pPr>
        <w:autoSpaceDE w:val="0"/>
        <w:autoSpaceDN w:val="0"/>
        <w:adjustRightInd w:val="0"/>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1C75474B">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p>
    <w:p w14:paraId="7249B3B3">
      <w:pPr>
        <w:rPr>
          <w:rFonts w:hint="eastAsia" w:ascii="宋体" w:hAnsi="宋体" w:eastAsia="宋体" w:cs="宋体"/>
          <w:highlight w:val="none"/>
        </w:rPr>
      </w:pPr>
      <w:r>
        <w:rPr>
          <w:rFonts w:hint="eastAsia" w:ascii="宋体" w:hAnsi="宋体" w:eastAsia="宋体" w:cs="宋体"/>
          <w:highlight w:val="none"/>
        </w:rPr>
        <w:br w:type="page"/>
      </w:r>
    </w:p>
    <w:p w14:paraId="4074C5CB">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1" w:name="_Toc17892"/>
      <w:bookmarkStart w:id="22" w:name="_Toc22415"/>
      <w:r>
        <w:rPr>
          <w:rFonts w:hint="eastAsia" w:ascii="宋体" w:hAnsi="宋体" w:eastAsia="宋体" w:cs="宋体"/>
          <w:b/>
          <w:sz w:val="32"/>
          <w:szCs w:val="28"/>
          <w:highlight w:val="none"/>
          <w:lang w:val="zh-CN" w:eastAsia="zh-CN"/>
        </w:rPr>
        <w:t>第三章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zh-CN" w:eastAsia="zh-CN"/>
        </w:rPr>
        <w:t>评标办法</w:t>
      </w:r>
      <w:bookmarkEnd w:id="21"/>
      <w:bookmarkEnd w:id="22"/>
    </w:p>
    <w:p w14:paraId="09ACEB07">
      <w:pPr>
        <w:bidi w:val="0"/>
        <w:jc w:val="center"/>
        <w:rPr>
          <w:rFonts w:hint="eastAsia" w:ascii="宋体" w:hAnsi="宋体" w:eastAsia="宋体" w:cs="宋体"/>
          <w:highlight w:val="none"/>
          <w:lang w:val="zh-CN"/>
        </w:rPr>
      </w:pPr>
      <w:bookmarkStart w:id="23" w:name="_Toc382396561"/>
      <w:bookmarkStart w:id="24" w:name="_Toc2149"/>
      <w:r>
        <w:rPr>
          <w:rFonts w:hint="eastAsia" w:ascii="宋体" w:hAnsi="宋体" w:eastAsia="宋体" w:cs="宋体"/>
          <w:highlight w:val="none"/>
          <w:lang w:val="zh-CN"/>
        </w:rPr>
        <w:t>评标办法前附表（一）</w:t>
      </w:r>
      <w:bookmarkEnd w:id="23"/>
      <w:bookmarkEnd w:id="24"/>
    </w:p>
    <w:tbl>
      <w:tblPr>
        <w:tblStyle w:val="2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0"/>
        <w:gridCol w:w="2408"/>
        <w:gridCol w:w="7295"/>
      </w:tblGrid>
      <w:tr w14:paraId="6B64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7" w:hRule="atLeast"/>
          <w:jc w:val="center"/>
        </w:trPr>
        <w:tc>
          <w:tcPr>
            <w:tcW w:w="924" w:type="dxa"/>
            <w:gridSpan w:val="2"/>
            <w:noWrap w:val="0"/>
            <w:vAlign w:val="center"/>
          </w:tcPr>
          <w:p w14:paraId="00781D0D">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08" w:type="dxa"/>
            <w:noWrap w:val="0"/>
            <w:vAlign w:val="center"/>
          </w:tcPr>
          <w:p w14:paraId="57B8944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95" w:type="dxa"/>
            <w:noWrap w:val="0"/>
            <w:vAlign w:val="center"/>
          </w:tcPr>
          <w:p w14:paraId="20882DD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7ED6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0D3C294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2.1.1</w:t>
            </w:r>
          </w:p>
        </w:tc>
        <w:tc>
          <w:tcPr>
            <w:tcW w:w="410" w:type="dxa"/>
            <w:vMerge w:val="restart"/>
            <w:noWrap w:val="0"/>
            <w:vAlign w:val="center"/>
          </w:tcPr>
          <w:p w14:paraId="106322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形式评审标准</w:t>
            </w:r>
          </w:p>
        </w:tc>
        <w:tc>
          <w:tcPr>
            <w:tcW w:w="2408" w:type="dxa"/>
            <w:noWrap w:val="0"/>
            <w:vAlign w:val="center"/>
          </w:tcPr>
          <w:p w14:paraId="318DE01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供应商名称</w:t>
            </w:r>
          </w:p>
        </w:tc>
        <w:tc>
          <w:tcPr>
            <w:tcW w:w="7295" w:type="dxa"/>
            <w:noWrap w:val="0"/>
            <w:vAlign w:val="center"/>
          </w:tcPr>
          <w:p w14:paraId="541E5B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与营业执照一致。</w:t>
            </w:r>
          </w:p>
        </w:tc>
      </w:tr>
      <w:tr w14:paraId="6F9A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06D9C33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039713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1A12EBF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响应文件签字、</w:t>
            </w:r>
          </w:p>
          <w:p w14:paraId="449D2AA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盖章要求</w:t>
            </w:r>
          </w:p>
        </w:tc>
        <w:tc>
          <w:tcPr>
            <w:tcW w:w="7295" w:type="dxa"/>
            <w:noWrap w:val="0"/>
            <w:vAlign w:val="center"/>
          </w:tcPr>
          <w:p w14:paraId="7F21042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w:t>
            </w:r>
          </w:p>
        </w:tc>
      </w:tr>
      <w:tr w14:paraId="1DB4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tcBorders>
              <w:bottom w:val="single" w:color="auto" w:sz="4" w:space="0"/>
            </w:tcBorders>
            <w:noWrap w:val="0"/>
            <w:vAlign w:val="center"/>
          </w:tcPr>
          <w:p w14:paraId="6FEE593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68EE4BF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6B3D3E7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响应文件格式</w:t>
            </w:r>
          </w:p>
        </w:tc>
        <w:tc>
          <w:tcPr>
            <w:tcW w:w="7295" w:type="dxa"/>
            <w:tcBorders>
              <w:bottom w:val="single" w:color="auto" w:sz="4" w:space="0"/>
            </w:tcBorders>
            <w:noWrap w:val="0"/>
            <w:vAlign w:val="center"/>
          </w:tcPr>
          <w:p w14:paraId="5DDA868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符合第</w:t>
            </w:r>
            <w:r>
              <w:rPr>
                <w:rFonts w:hint="eastAsia" w:ascii="宋体" w:hAnsi="宋体" w:cs="宋体"/>
                <w:b w:val="0"/>
                <w:sz w:val="21"/>
                <w:szCs w:val="21"/>
                <w:highlight w:val="none"/>
                <w:lang w:val="en-US" w:eastAsia="zh-CN"/>
              </w:rPr>
              <w:t>七</w:t>
            </w:r>
            <w:r>
              <w:rPr>
                <w:rFonts w:hint="eastAsia" w:ascii="宋体" w:hAnsi="宋体" w:eastAsia="宋体" w:cs="宋体"/>
                <w:b w:val="0"/>
                <w:sz w:val="21"/>
                <w:szCs w:val="21"/>
                <w:highlight w:val="none"/>
                <w:lang w:val="zh-CN"/>
              </w:rPr>
              <w:t>章“</w:t>
            </w: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文件格式”的要求。并满足</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要求的签字盖章要求。</w:t>
            </w:r>
          </w:p>
        </w:tc>
      </w:tr>
      <w:tr w14:paraId="6893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tcBorders>
              <w:bottom w:val="single" w:color="auto" w:sz="4" w:space="0"/>
            </w:tcBorders>
            <w:noWrap w:val="0"/>
            <w:vAlign w:val="center"/>
          </w:tcPr>
          <w:p w14:paraId="62A69CE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5002EE4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202B66D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95" w:type="dxa"/>
            <w:tcBorders>
              <w:bottom w:val="single" w:color="auto" w:sz="4" w:space="0"/>
            </w:tcBorders>
            <w:noWrap w:val="0"/>
            <w:vAlign w:val="center"/>
          </w:tcPr>
          <w:p w14:paraId="735156D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且不得超过预算金额</w:t>
            </w:r>
            <w:r>
              <w:rPr>
                <w:rFonts w:hint="eastAsia" w:ascii="宋体" w:hAnsi="宋体" w:eastAsia="宋体" w:cs="宋体"/>
                <w:b w:val="0"/>
                <w:sz w:val="21"/>
                <w:szCs w:val="21"/>
                <w:highlight w:val="none"/>
                <w:lang w:val="zh-CN"/>
              </w:rPr>
              <w:t>。</w:t>
            </w:r>
          </w:p>
        </w:tc>
      </w:tr>
      <w:tr w14:paraId="190C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tcBorders>
              <w:bottom w:val="single" w:color="auto" w:sz="4" w:space="0"/>
            </w:tcBorders>
            <w:noWrap w:val="0"/>
            <w:vAlign w:val="center"/>
          </w:tcPr>
          <w:p w14:paraId="7112E31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注：以上各项评审标准，有一项不合格，即为投标被否决，不再进入后续资格评审。</w:t>
            </w:r>
          </w:p>
        </w:tc>
      </w:tr>
      <w:tr w14:paraId="0D17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restart"/>
            <w:noWrap w:val="0"/>
            <w:vAlign w:val="center"/>
          </w:tcPr>
          <w:p w14:paraId="5D50743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2.1.2</w:t>
            </w:r>
          </w:p>
        </w:tc>
        <w:tc>
          <w:tcPr>
            <w:tcW w:w="410" w:type="dxa"/>
            <w:vMerge w:val="restart"/>
            <w:noWrap w:val="0"/>
            <w:vAlign w:val="center"/>
          </w:tcPr>
          <w:p w14:paraId="1907197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2408" w:type="dxa"/>
            <w:noWrap w:val="0"/>
            <w:vAlign w:val="center"/>
          </w:tcPr>
          <w:p w14:paraId="6613EE4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95" w:type="dxa"/>
            <w:noWrap w:val="0"/>
            <w:vAlign w:val="center"/>
          </w:tcPr>
          <w:p w14:paraId="292FBE6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5C2F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14" w:type="dxa"/>
            <w:vMerge w:val="continue"/>
            <w:noWrap w:val="0"/>
            <w:vAlign w:val="center"/>
          </w:tcPr>
          <w:p w14:paraId="5B74677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0A7598C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83F01B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财务要求</w:t>
            </w:r>
          </w:p>
        </w:tc>
        <w:tc>
          <w:tcPr>
            <w:tcW w:w="7295" w:type="dxa"/>
            <w:noWrap w:val="0"/>
            <w:vAlign w:val="center"/>
          </w:tcPr>
          <w:p w14:paraId="31528D26">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具有良好的商业信誉和健全的财务会计制度，需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050D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14" w:type="dxa"/>
            <w:vMerge w:val="continue"/>
            <w:noWrap w:val="0"/>
            <w:vAlign w:val="center"/>
          </w:tcPr>
          <w:p w14:paraId="7352D5F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B74FB8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30D9C3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纳税证明及依法缴纳社会保障资金</w:t>
            </w:r>
          </w:p>
        </w:tc>
        <w:tc>
          <w:tcPr>
            <w:tcW w:w="7295" w:type="dxa"/>
            <w:noWrap w:val="0"/>
            <w:vAlign w:val="center"/>
          </w:tcPr>
          <w:p w14:paraId="40F885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具有依法缴纳税收和依法缴纳社会保障资金的良好记录，需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5FAB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514" w:type="dxa"/>
            <w:vMerge w:val="continue"/>
            <w:noWrap w:val="0"/>
            <w:vAlign w:val="center"/>
          </w:tcPr>
          <w:p w14:paraId="51E3B45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7214725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53684B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95" w:type="dxa"/>
            <w:noWrap w:val="0"/>
            <w:vAlign w:val="center"/>
          </w:tcPr>
          <w:p w14:paraId="140CD2A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0748930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6CB6AB3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6763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0627" w:type="dxa"/>
            <w:gridSpan w:val="4"/>
            <w:noWrap w:val="0"/>
            <w:vAlign w:val="center"/>
          </w:tcPr>
          <w:p w14:paraId="2858723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651C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14" w:type="dxa"/>
            <w:vMerge w:val="restart"/>
            <w:noWrap w:val="0"/>
            <w:vAlign w:val="center"/>
          </w:tcPr>
          <w:p w14:paraId="2FDF595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2.1.3</w:t>
            </w:r>
          </w:p>
        </w:tc>
        <w:tc>
          <w:tcPr>
            <w:tcW w:w="410" w:type="dxa"/>
            <w:vMerge w:val="restart"/>
            <w:noWrap w:val="0"/>
            <w:vAlign w:val="center"/>
          </w:tcPr>
          <w:p w14:paraId="37A5175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响应性评审标准</w:t>
            </w:r>
          </w:p>
        </w:tc>
        <w:tc>
          <w:tcPr>
            <w:tcW w:w="2408" w:type="dxa"/>
            <w:noWrap w:val="0"/>
            <w:vAlign w:val="center"/>
          </w:tcPr>
          <w:p w14:paraId="54758363">
            <w:pPr>
              <w:pStyle w:val="14"/>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7295" w:type="dxa"/>
            <w:noWrap w:val="0"/>
            <w:vAlign w:val="center"/>
          </w:tcPr>
          <w:p w14:paraId="5503DA35">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color w:val="FF0000"/>
                <w:kern w:val="2"/>
                <w:sz w:val="21"/>
                <w:szCs w:val="21"/>
                <w:highlight w:val="none"/>
                <w:lang w:val="en-US" w:eastAsia="zh-CN"/>
              </w:rPr>
            </w:pPr>
            <w:r>
              <w:rPr>
                <w:rFonts w:hint="eastAsia" w:ascii="宋体" w:hAnsi="宋体" w:cs="宋体"/>
                <w:sz w:val="21"/>
                <w:szCs w:val="21"/>
                <w:highlight w:val="none"/>
                <w:lang w:val="en-US" w:eastAsia="zh-CN"/>
              </w:rPr>
              <w:t>合同签订后3个月内完成供货、安装及调试。</w:t>
            </w:r>
          </w:p>
        </w:tc>
      </w:tr>
      <w:tr w14:paraId="4BC6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4" w:type="dxa"/>
            <w:vMerge w:val="continue"/>
            <w:noWrap w:val="0"/>
            <w:vAlign w:val="center"/>
          </w:tcPr>
          <w:p w14:paraId="783FAF0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79708E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64C9D1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质量标准</w:t>
            </w:r>
          </w:p>
        </w:tc>
        <w:tc>
          <w:tcPr>
            <w:tcW w:w="7295" w:type="dxa"/>
            <w:noWrap w:val="0"/>
            <w:vAlign w:val="center"/>
          </w:tcPr>
          <w:p w14:paraId="0961766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1CC7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514" w:type="dxa"/>
            <w:vMerge w:val="continue"/>
            <w:noWrap w:val="0"/>
            <w:vAlign w:val="center"/>
          </w:tcPr>
          <w:p w14:paraId="2B1FD08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2B316CD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79F7457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95" w:type="dxa"/>
            <w:noWrap w:val="0"/>
            <w:vAlign w:val="center"/>
          </w:tcPr>
          <w:p w14:paraId="70E98FA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0926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4" w:type="dxa"/>
            <w:vMerge w:val="continue"/>
            <w:noWrap w:val="0"/>
            <w:vAlign w:val="center"/>
          </w:tcPr>
          <w:p w14:paraId="242463D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3809CD2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0CA7297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95" w:type="dxa"/>
            <w:noWrap w:val="0"/>
            <w:vAlign w:val="center"/>
          </w:tcPr>
          <w:p w14:paraId="37618E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700万元</w:t>
            </w:r>
            <w:r>
              <w:rPr>
                <w:rFonts w:hint="eastAsia" w:ascii="宋体" w:hAnsi="宋体" w:eastAsia="宋体" w:cs="宋体"/>
                <w:b w:val="0"/>
                <w:sz w:val="21"/>
                <w:szCs w:val="21"/>
                <w:highlight w:val="none"/>
                <w:lang w:val="en-US" w:eastAsia="zh-CN"/>
              </w:rPr>
              <w:t>；</w:t>
            </w:r>
          </w:p>
          <w:p w14:paraId="3442637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最高投标限价：</w:t>
            </w:r>
            <w:r>
              <w:rPr>
                <w:rFonts w:hint="eastAsia" w:ascii="宋体" w:hAnsi="宋体" w:cs="宋体"/>
                <w:b w:val="0"/>
                <w:sz w:val="21"/>
                <w:szCs w:val="21"/>
                <w:highlight w:val="none"/>
                <w:lang w:val="en-US" w:eastAsia="zh-CN"/>
              </w:rPr>
              <w:t>700万元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58C2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14" w:type="dxa"/>
            <w:vMerge w:val="continue"/>
            <w:noWrap w:val="0"/>
            <w:vAlign w:val="center"/>
          </w:tcPr>
          <w:p w14:paraId="7FFBA00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0761959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22CBD84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7295" w:type="dxa"/>
            <w:noWrap w:val="0"/>
            <w:vAlign w:val="center"/>
          </w:tcPr>
          <w:p w14:paraId="65899D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3A5F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627" w:type="dxa"/>
            <w:gridSpan w:val="4"/>
            <w:noWrap w:val="0"/>
            <w:vAlign w:val="center"/>
          </w:tcPr>
          <w:p w14:paraId="153560B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339D2DA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31DACFDE">
      <w:pPr>
        <w:bidi w:val="0"/>
        <w:jc w:val="center"/>
        <w:rPr>
          <w:rFonts w:hint="eastAsia" w:ascii="宋体" w:hAnsi="宋体" w:eastAsia="宋体" w:cs="宋体"/>
          <w:highlight w:val="none"/>
          <w:lang w:val="zh-CN"/>
        </w:rPr>
      </w:pPr>
      <w:bookmarkStart w:id="25" w:name="_Toc31653"/>
      <w:r>
        <w:rPr>
          <w:rFonts w:hint="eastAsia" w:ascii="宋体" w:hAnsi="宋体" w:eastAsia="宋体" w:cs="宋体"/>
          <w:highlight w:val="none"/>
          <w:lang w:val="zh-CN"/>
        </w:rPr>
        <w:t>评标办法前附表（二）</w:t>
      </w:r>
      <w:bookmarkEnd w:id="25"/>
    </w:p>
    <w:tbl>
      <w:tblPr>
        <w:tblStyle w:val="24"/>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39"/>
        <w:gridCol w:w="1384"/>
        <w:gridCol w:w="5628"/>
        <w:gridCol w:w="812"/>
      </w:tblGrid>
      <w:tr w14:paraId="0D7D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14" w:type="dxa"/>
            <w:gridSpan w:val="2"/>
            <w:noWrap w:val="0"/>
            <w:vAlign w:val="center"/>
          </w:tcPr>
          <w:p w14:paraId="1FC53042">
            <w:pPr>
              <w:jc w:val="center"/>
              <w:rPr>
                <w:rFonts w:hint="eastAsia" w:ascii="宋体" w:hAnsi="宋体" w:cs="宋体"/>
                <w:color w:val="auto"/>
                <w:highlight w:val="none"/>
              </w:rPr>
            </w:pPr>
            <w:r>
              <w:rPr>
                <w:rFonts w:hint="eastAsia" w:ascii="宋体" w:hAnsi="宋体" w:cs="宋体"/>
                <w:color w:val="auto"/>
                <w:highlight w:val="none"/>
              </w:rPr>
              <w:t>序号</w:t>
            </w:r>
          </w:p>
        </w:tc>
        <w:tc>
          <w:tcPr>
            <w:tcW w:w="1384" w:type="dxa"/>
            <w:noWrap w:val="0"/>
            <w:vAlign w:val="center"/>
          </w:tcPr>
          <w:p w14:paraId="54A0CA60">
            <w:pPr>
              <w:jc w:val="center"/>
              <w:rPr>
                <w:rFonts w:hint="eastAsia" w:ascii="宋体" w:hAnsi="宋体" w:cs="宋体"/>
                <w:color w:val="auto"/>
                <w:highlight w:val="none"/>
              </w:rPr>
            </w:pPr>
            <w:r>
              <w:rPr>
                <w:rFonts w:hint="eastAsia" w:ascii="宋体" w:hAnsi="宋体" w:cs="宋体"/>
                <w:color w:val="auto"/>
                <w:highlight w:val="none"/>
              </w:rPr>
              <w:t>评审因素</w:t>
            </w:r>
          </w:p>
        </w:tc>
        <w:tc>
          <w:tcPr>
            <w:tcW w:w="6440" w:type="dxa"/>
            <w:gridSpan w:val="2"/>
            <w:noWrap w:val="0"/>
            <w:vAlign w:val="center"/>
          </w:tcPr>
          <w:p w14:paraId="5ECF48F4">
            <w:pPr>
              <w:jc w:val="center"/>
              <w:rPr>
                <w:rFonts w:hint="eastAsia" w:ascii="宋体" w:hAnsi="宋体" w:cs="宋体"/>
                <w:color w:val="auto"/>
                <w:highlight w:val="none"/>
              </w:rPr>
            </w:pPr>
            <w:r>
              <w:rPr>
                <w:rFonts w:hint="eastAsia" w:ascii="宋体" w:hAnsi="宋体" w:cs="宋体"/>
                <w:color w:val="auto"/>
                <w:highlight w:val="none"/>
              </w:rPr>
              <w:t>评审标准</w:t>
            </w:r>
          </w:p>
        </w:tc>
      </w:tr>
      <w:tr w14:paraId="7DD6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714" w:type="dxa"/>
            <w:gridSpan w:val="2"/>
            <w:noWrap w:val="0"/>
            <w:vAlign w:val="center"/>
          </w:tcPr>
          <w:p w14:paraId="0297F122">
            <w:pPr>
              <w:jc w:val="center"/>
              <w:rPr>
                <w:rFonts w:hint="eastAsia" w:ascii="宋体" w:hAnsi="宋体" w:cs="宋体"/>
                <w:color w:val="auto"/>
                <w:highlight w:val="none"/>
              </w:rPr>
            </w:pPr>
            <w:r>
              <w:rPr>
                <w:rFonts w:hint="eastAsia" w:ascii="宋体" w:hAnsi="宋体" w:cs="宋体"/>
                <w:color w:val="auto"/>
                <w:highlight w:val="none"/>
              </w:rPr>
              <w:t>1</w:t>
            </w:r>
          </w:p>
        </w:tc>
        <w:tc>
          <w:tcPr>
            <w:tcW w:w="1384" w:type="dxa"/>
            <w:noWrap w:val="0"/>
            <w:vAlign w:val="center"/>
          </w:tcPr>
          <w:p w14:paraId="220C79FF">
            <w:pPr>
              <w:rPr>
                <w:rFonts w:hint="eastAsia" w:ascii="宋体" w:hAnsi="宋体" w:cs="宋体"/>
                <w:color w:val="auto"/>
                <w:highlight w:val="none"/>
              </w:rPr>
            </w:pPr>
            <w:r>
              <w:rPr>
                <w:rFonts w:hint="eastAsia" w:ascii="宋体" w:hAnsi="宋体" w:cs="宋体"/>
                <w:color w:val="auto"/>
                <w:highlight w:val="none"/>
              </w:rPr>
              <w:t>分值构成</w:t>
            </w:r>
          </w:p>
          <w:p w14:paraId="1BFCEB5F">
            <w:pPr>
              <w:jc w:val="left"/>
              <w:rPr>
                <w:rFonts w:hint="eastAsia" w:ascii="宋体" w:hAnsi="宋体" w:cs="宋体"/>
                <w:color w:val="auto"/>
                <w:highlight w:val="none"/>
              </w:rPr>
            </w:pPr>
            <w:r>
              <w:rPr>
                <w:rFonts w:hint="eastAsia" w:ascii="宋体" w:hAnsi="宋体" w:cs="宋体"/>
                <w:color w:val="auto"/>
                <w:highlight w:val="none"/>
              </w:rPr>
              <w:t>(总分100分)</w:t>
            </w:r>
          </w:p>
        </w:tc>
        <w:tc>
          <w:tcPr>
            <w:tcW w:w="6440" w:type="dxa"/>
            <w:gridSpan w:val="2"/>
            <w:noWrap w:val="0"/>
            <w:vAlign w:val="center"/>
          </w:tcPr>
          <w:p w14:paraId="6D49F696">
            <w:pPr>
              <w:rPr>
                <w:rFonts w:hint="eastAsia" w:ascii="宋体" w:hAnsi="宋体" w:cs="宋体"/>
                <w:color w:val="auto"/>
                <w:highlight w:val="none"/>
              </w:rPr>
            </w:pPr>
            <w:r>
              <w:rPr>
                <w:rFonts w:hint="eastAsia" w:ascii="宋体" w:hAnsi="宋体" w:cs="宋体"/>
                <w:color w:val="auto"/>
                <w:highlight w:val="none"/>
              </w:rPr>
              <w:t>技术部分：</w:t>
            </w:r>
            <w:r>
              <w:rPr>
                <w:rFonts w:hint="eastAsia" w:ascii="宋体" w:hAnsi="宋体" w:cs="宋体"/>
                <w:color w:val="auto"/>
                <w:highlight w:val="none"/>
                <w:lang w:val="en-US" w:eastAsia="zh-CN"/>
              </w:rPr>
              <w:t>61</w:t>
            </w:r>
            <w:r>
              <w:rPr>
                <w:rFonts w:hint="eastAsia" w:ascii="宋体" w:hAnsi="宋体" w:cs="宋体"/>
                <w:color w:val="auto"/>
                <w:highlight w:val="none"/>
              </w:rPr>
              <w:t>分</w:t>
            </w:r>
          </w:p>
          <w:p w14:paraId="63FE9DD1">
            <w:pPr>
              <w:rPr>
                <w:rFonts w:hint="eastAsia" w:ascii="宋体" w:hAnsi="宋体" w:cs="宋体"/>
                <w:color w:val="auto"/>
                <w:highlight w:val="none"/>
              </w:rPr>
            </w:pPr>
            <w:r>
              <w:rPr>
                <w:rFonts w:hint="eastAsia" w:ascii="宋体" w:hAnsi="宋体" w:cs="宋体"/>
                <w:color w:val="auto"/>
                <w:highlight w:val="none"/>
              </w:rPr>
              <w:t>商务部分：</w:t>
            </w:r>
            <w:r>
              <w:rPr>
                <w:rFonts w:hint="eastAsia" w:ascii="宋体" w:hAnsi="宋体" w:cs="宋体"/>
                <w:color w:val="auto"/>
                <w:highlight w:val="none"/>
                <w:lang w:val="en-US" w:eastAsia="zh-CN"/>
              </w:rPr>
              <w:t>39分</w:t>
            </w:r>
            <w:r>
              <w:rPr>
                <w:rFonts w:hint="eastAsia" w:ascii="宋体" w:hAnsi="宋体" w:cs="宋体"/>
                <w:color w:val="auto"/>
                <w:highlight w:val="none"/>
              </w:rPr>
              <w:t>（包含投标报价30分）</w:t>
            </w:r>
          </w:p>
        </w:tc>
      </w:tr>
      <w:tr w14:paraId="4AEA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1" w:hRule="atLeast"/>
          <w:jc w:val="center"/>
        </w:trPr>
        <w:tc>
          <w:tcPr>
            <w:tcW w:w="1714" w:type="dxa"/>
            <w:gridSpan w:val="2"/>
            <w:noWrap w:val="0"/>
            <w:vAlign w:val="center"/>
          </w:tcPr>
          <w:p w14:paraId="0A183BFA">
            <w:pPr>
              <w:jc w:val="center"/>
              <w:rPr>
                <w:rFonts w:hint="eastAsia" w:ascii="宋体" w:hAnsi="宋体" w:cs="宋体"/>
                <w:color w:val="auto"/>
                <w:highlight w:val="none"/>
              </w:rPr>
            </w:pPr>
            <w:r>
              <w:rPr>
                <w:rFonts w:hint="eastAsia" w:ascii="宋体" w:hAnsi="宋体" w:cs="宋体"/>
                <w:color w:val="auto"/>
                <w:highlight w:val="none"/>
              </w:rPr>
              <w:t>2</w:t>
            </w:r>
          </w:p>
        </w:tc>
        <w:tc>
          <w:tcPr>
            <w:tcW w:w="1384" w:type="dxa"/>
            <w:noWrap w:val="0"/>
            <w:vAlign w:val="center"/>
          </w:tcPr>
          <w:p w14:paraId="4C2F4394">
            <w:pPr>
              <w:autoSpaceDE w:val="0"/>
              <w:autoSpaceDN w:val="0"/>
              <w:adjustRightInd w:val="0"/>
              <w:rPr>
                <w:rFonts w:hint="eastAsia" w:ascii="宋体" w:hAnsi="宋体" w:cs="宋体"/>
                <w:color w:val="auto"/>
                <w:highlight w:val="none"/>
              </w:rPr>
            </w:pPr>
            <w:r>
              <w:rPr>
                <w:rFonts w:hint="eastAsia" w:ascii="宋体" w:hAnsi="宋体" w:cs="宋体"/>
                <w:bCs/>
                <w:color w:val="auto"/>
                <w:szCs w:val="21"/>
                <w:highlight w:val="none"/>
                <w:lang w:val="zh-CN"/>
              </w:rPr>
              <w:t>评标基准价计算方法</w:t>
            </w:r>
          </w:p>
        </w:tc>
        <w:tc>
          <w:tcPr>
            <w:tcW w:w="6440" w:type="dxa"/>
            <w:gridSpan w:val="2"/>
            <w:noWrap w:val="0"/>
            <w:vAlign w:val="center"/>
          </w:tcPr>
          <w:p w14:paraId="466AAC9D">
            <w:pPr>
              <w:rPr>
                <w:rFonts w:hint="eastAsia" w:ascii="宋体" w:hAnsi="宋体" w:cs="宋体"/>
                <w:color w:val="auto"/>
                <w:highlight w:val="none"/>
              </w:rPr>
            </w:pPr>
            <w:r>
              <w:rPr>
                <w:rFonts w:hint="eastAsia" w:ascii="宋体" w:hAnsi="宋体" w:cs="宋体"/>
                <w:color w:val="auto"/>
                <w:highlight w:val="none"/>
              </w:rPr>
              <w:t>价格分统一采用低价优先法计算，即满足招标文件要求且报价最低的投标报价为评标基准价，其价格分为满分。其他供应商的价格分统一按照下列公式计算：</w:t>
            </w:r>
          </w:p>
          <w:p w14:paraId="7ADAD565">
            <w:pPr>
              <w:rPr>
                <w:rFonts w:hint="eastAsia" w:ascii="宋体" w:hAnsi="宋体" w:cs="宋体"/>
                <w:color w:val="auto"/>
                <w:highlight w:val="none"/>
              </w:rPr>
            </w:pPr>
            <w:r>
              <w:rPr>
                <w:rFonts w:hint="eastAsia" w:ascii="宋体" w:hAnsi="宋体" w:cs="宋体"/>
                <w:color w:val="auto"/>
                <w:highlight w:val="none"/>
              </w:rPr>
              <w:t>投标报价得分=（评标基准价／投标报价）×价权值×100</w:t>
            </w:r>
          </w:p>
          <w:p w14:paraId="38F95802">
            <w:pPr>
              <w:rPr>
                <w:rFonts w:hint="eastAsia" w:ascii="宋体" w:hAnsi="宋体" w:cs="宋体"/>
                <w:color w:val="auto"/>
                <w:highlight w:val="none"/>
              </w:rPr>
            </w:pPr>
            <w:r>
              <w:rPr>
                <w:rFonts w:hint="eastAsia" w:ascii="宋体" w:hAnsi="宋体" w:cs="宋体"/>
                <w:color w:val="auto"/>
                <w:highlight w:val="none"/>
              </w:rPr>
              <w:t>备注：</w:t>
            </w:r>
          </w:p>
          <w:p w14:paraId="32D5DF7B">
            <w:pPr>
              <w:numPr>
                <w:ilvl w:val="0"/>
                <w:numId w:val="0"/>
              </w:numPr>
              <w:rPr>
                <w:rFonts w:hint="eastAsia" w:ascii="宋体" w:hAnsi="宋体" w:cs="宋体"/>
                <w:b w:val="0"/>
                <w:bCs w:val="0"/>
                <w:color w:val="auto"/>
                <w:highlight w:val="none"/>
              </w:rPr>
            </w:pPr>
            <w:r>
              <w:rPr>
                <w:rFonts w:hint="eastAsia" w:ascii="宋体" w:hAnsi="宋体" w:cs="宋体"/>
                <w:b w:val="0"/>
                <w:bCs w:val="0"/>
                <w:color w:val="auto"/>
                <w:kern w:val="2"/>
                <w:sz w:val="21"/>
                <w:szCs w:val="24"/>
                <w:highlight w:val="none"/>
                <w:lang w:val="en-US" w:eastAsia="zh-CN" w:bidi="ar-SA"/>
              </w:rPr>
              <w:t>1.</w:t>
            </w:r>
            <w:r>
              <w:rPr>
                <w:rFonts w:hint="eastAsia" w:ascii="宋体" w:hAnsi="宋体" w:cs="宋体"/>
                <w:b w:val="0"/>
                <w:bCs w:val="0"/>
                <w:color w:val="auto"/>
                <w:highlight w:val="none"/>
              </w:rPr>
              <w:t>投标报价得分四舍五入后，小数点后保留两位有效数字。</w:t>
            </w:r>
          </w:p>
          <w:p w14:paraId="3BE9375B">
            <w:pP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zh-CN"/>
              </w:rPr>
              <w:t>评标委员会认为供应商的报价明显低于其他通过符合性审查供应商的报价，有可能影响产品质量或者不能诚信履约的，应当要求其在评标现场合理的时间内（评标工作结束前）提供书面说明，必要时提交相关证明材料；供应商不能证明其报价合理性的，评标委员会应当将其作为无效投标处理。</w:t>
            </w:r>
          </w:p>
        </w:tc>
      </w:tr>
      <w:tr w14:paraId="581B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14" w:type="dxa"/>
            <w:gridSpan w:val="2"/>
            <w:noWrap w:val="0"/>
            <w:vAlign w:val="center"/>
          </w:tcPr>
          <w:p w14:paraId="39AC4F41">
            <w:pPr>
              <w:jc w:val="center"/>
              <w:rPr>
                <w:rFonts w:hint="eastAsia" w:ascii="宋体" w:hAnsi="宋体" w:cs="宋体"/>
                <w:color w:val="auto"/>
                <w:highlight w:val="none"/>
              </w:rPr>
            </w:pPr>
            <w:r>
              <w:rPr>
                <w:rFonts w:hint="eastAsia" w:ascii="宋体" w:hAnsi="宋体" w:cs="宋体"/>
                <w:color w:val="auto"/>
                <w:highlight w:val="none"/>
              </w:rPr>
              <w:t>序号</w:t>
            </w:r>
          </w:p>
        </w:tc>
        <w:tc>
          <w:tcPr>
            <w:tcW w:w="1384" w:type="dxa"/>
            <w:noWrap w:val="0"/>
            <w:vAlign w:val="center"/>
          </w:tcPr>
          <w:p w14:paraId="413790C4">
            <w:pPr>
              <w:jc w:val="center"/>
              <w:rPr>
                <w:rFonts w:hint="eastAsia" w:ascii="宋体" w:hAnsi="宋体" w:cs="宋体"/>
                <w:color w:val="auto"/>
                <w:highlight w:val="none"/>
              </w:rPr>
            </w:pPr>
            <w:r>
              <w:rPr>
                <w:rFonts w:hint="eastAsia" w:ascii="宋体" w:hAnsi="宋体" w:cs="宋体"/>
                <w:color w:val="auto"/>
                <w:highlight w:val="none"/>
              </w:rPr>
              <w:t>评分因素</w:t>
            </w:r>
          </w:p>
        </w:tc>
        <w:tc>
          <w:tcPr>
            <w:tcW w:w="5628" w:type="dxa"/>
            <w:noWrap w:val="0"/>
            <w:vAlign w:val="center"/>
          </w:tcPr>
          <w:p w14:paraId="1553A89A">
            <w:pPr>
              <w:jc w:val="center"/>
              <w:rPr>
                <w:rFonts w:hint="eastAsia" w:ascii="宋体" w:hAnsi="宋体" w:cs="宋体"/>
                <w:color w:val="auto"/>
                <w:highlight w:val="none"/>
              </w:rPr>
            </w:pPr>
            <w:r>
              <w:rPr>
                <w:rFonts w:hint="eastAsia" w:ascii="宋体" w:hAnsi="宋体" w:cs="宋体"/>
                <w:color w:val="auto"/>
                <w:highlight w:val="none"/>
              </w:rPr>
              <w:t>评分标准</w:t>
            </w:r>
          </w:p>
        </w:tc>
        <w:tc>
          <w:tcPr>
            <w:tcW w:w="812" w:type="dxa"/>
            <w:noWrap w:val="0"/>
            <w:vAlign w:val="center"/>
          </w:tcPr>
          <w:p w14:paraId="5B060A1D">
            <w:pPr>
              <w:jc w:val="center"/>
              <w:rPr>
                <w:rFonts w:hint="eastAsia" w:ascii="宋体" w:hAnsi="宋体" w:cs="宋体"/>
                <w:color w:val="auto"/>
                <w:highlight w:val="none"/>
              </w:rPr>
            </w:pPr>
            <w:r>
              <w:rPr>
                <w:rFonts w:hint="eastAsia" w:ascii="宋体" w:hAnsi="宋体" w:cs="宋体"/>
                <w:color w:val="auto"/>
                <w:highlight w:val="none"/>
              </w:rPr>
              <w:t>分值</w:t>
            </w:r>
          </w:p>
        </w:tc>
      </w:tr>
      <w:tr w14:paraId="1047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675" w:type="dxa"/>
            <w:vMerge w:val="restart"/>
            <w:noWrap w:val="0"/>
            <w:vAlign w:val="center"/>
          </w:tcPr>
          <w:p w14:paraId="7C5BD828">
            <w:pPr>
              <w:rPr>
                <w:rFonts w:hint="eastAsia" w:ascii="宋体" w:hAnsi="宋体" w:cs="宋体"/>
                <w:color w:val="auto"/>
                <w:highlight w:val="none"/>
              </w:rPr>
            </w:pPr>
            <w:r>
              <w:rPr>
                <w:rFonts w:hint="eastAsia" w:ascii="宋体" w:hAnsi="宋体" w:cs="宋体"/>
                <w:color w:val="auto"/>
                <w:highlight w:val="none"/>
              </w:rPr>
              <w:t>1</w:t>
            </w:r>
          </w:p>
        </w:tc>
        <w:tc>
          <w:tcPr>
            <w:tcW w:w="1039" w:type="dxa"/>
            <w:vMerge w:val="restart"/>
            <w:noWrap w:val="0"/>
            <w:vAlign w:val="center"/>
          </w:tcPr>
          <w:p w14:paraId="615FF110">
            <w:pPr>
              <w:rPr>
                <w:rFonts w:hint="eastAsia" w:ascii="宋体" w:hAnsi="宋体" w:cs="宋体"/>
                <w:color w:val="auto"/>
                <w:highlight w:val="none"/>
              </w:rPr>
            </w:pPr>
            <w:r>
              <w:rPr>
                <w:rFonts w:hint="eastAsia" w:ascii="宋体" w:hAnsi="宋体" w:cs="宋体"/>
                <w:color w:val="auto"/>
                <w:highlight w:val="none"/>
              </w:rPr>
              <w:t>技术</w:t>
            </w:r>
          </w:p>
          <w:p w14:paraId="3D0FC405">
            <w:pPr>
              <w:rPr>
                <w:rFonts w:hint="eastAsia" w:ascii="宋体" w:hAnsi="宋体" w:cs="宋体"/>
                <w:color w:val="auto"/>
                <w:highlight w:val="none"/>
              </w:rPr>
            </w:pPr>
            <w:r>
              <w:rPr>
                <w:rFonts w:hint="eastAsia" w:ascii="宋体" w:hAnsi="宋体" w:cs="宋体"/>
                <w:color w:val="auto"/>
                <w:highlight w:val="none"/>
              </w:rPr>
              <w:t>部分</w:t>
            </w:r>
          </w:p>
          <w:p w14:paraId="5581E882">
            <w:pPr>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61</w:t>
            </w:r>
            <w:r>
              <w:rPr>
                <w:rFonts w:hint="eastAsia" w:ascii="宋体" w:hAnsi="宋体" w:cs="宋体"/>
                <w:color w:val="auto"/>
                <w:highlight w:val="none"/>
              </w:rPr>
              <w:t>分）</w:t>
            </w:r>
          </w:p>
        </w:tc>
        <w:tc>
          <w:tcPr>
            <w:tcW w:w="1384" w:type="dxa"/>
            <w:noWrap w:val="0"/>
            <w:vAlign w:val="center"/>
          </w:tcPr>
          <w:p w14:paraId="1479FFC9">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投标货物功能配置及技术指标</w:t>
            </w:r>
          </w:p>
          <w:p w14:paraId="13151AFF">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rPr>
              <w:t>（</w:t>
            </w:r>
            <w:r>
              <w:rPr>
                <w:rFonts w:hint="eastAsia" w:ascii="宋体" w:hAnsi="宋体" w:cs="Times New Roman"/>
                <w:b w:val="0"/>
                <w:bCs/>
                <w:color w:val="auto"/>
                <w:kern w:val="0"/>
                <w:szCs w:val="21"/>
                <w:highlight w:val="none"/>
                <w:lang w:val="en-US" w:eastAsia="zh-CN"/>
              </w:rPr>
              <w:t>20</w:t>
            </w:r>
            <w:r>
              <w:rPr>
                <w:rFonts w:hint="eastAsia" w:ascii="宋体" w:hAnsi="宋体" w:eastAsia="宋体" w:cs="Times New Roman"/>
                <w:b w:val="0"/>
                <w:bCs/>
                <w:color w:val="auto"/>
                <w:kern w:val="0"/>
                <w:szCs w:val="21"/>
                <w:highlight w:val="none"/>
              </w:rPr>
              <w:t>分）</w:t>
            </w:r>
          </w:p>
        </w:tc>
        <w:tc>
          <w:tcPr>
            <w:tcW w:w="5628" w:type="dxa"/>
            <w:noWrap w:val="0"/>
            <w:vAlign w:val="center"/>
          </w:tcPr>
          <w:p w14:paraId="130A2B0C">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采购需求中</w:t>
            </w:r>
            <w:r>
              <w:rPr>
                <w:rFonts w:hint="eastAsia" w:ascii="宋体" w:hAnsi="宋体" w:cs="Times New Roman"/>
                <w:b w:val="0"/>
                <w:bCs/>
                <w:color w:val="auto"/>
                <w:kern w:val="0"/>
                <w:szCs w:val="21"/>
                <w:highlight w:val="none"/>
                <w:lang w:val="en-US" w:eastAsia="zh-CN"/>
              </w:rPr>
              <w:t>技术参数</w:t>
            </w:r>
            <w:r>
              <w:rPr>
                <w:rFonts w:hint="eastAsia" w:ascii="宋体" w:hAnsi="宋体" w:eastAsia="宋体" w:cs="Times New Roman"/>
                <w:b w:val="0"/>
                <w:bCs/>
                <w:color w:val="auto"/>
                <w:kern w:val="0"/>
                <w:szCs w:val="21"/>
                <w:highlight w:val="none"/>
                <w:lang w:val="en-US" w:eastAsia="zh-CN"/>
              </w:rPr>
              <w:t>每有1项负偏离从基础分扣除2分，扣完为止。</w:t>
            </w:r>
          </w:p>
          <w:p w14:paraId="49A44E6D">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需提供设备生产企业的满足技术参数证明文件（如宣传册、产品检测报告、说明书等能够显示参数符合的证明材料）并加盖投标人公章，如未提供，该项参数不得分。</w:t>
            </w:r>
          </w:p>
        </w:tc>
        <w:tc>
          <w:tcPr>
            <w:tcW w:w="812" w:type="dxa"/>
            <w:noWrap w:val="0"/>
            <w:vAlign w:val="center"/>
          </w:tcPr>
          <w:p w14:paraId="5FD8529A">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20</w:t>
            </w:r>
          </w:p>
        </w:tc>
      </w:tr>
      <w:tr w14:paraId="6BF4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7" w:hRule="atLeast"/>
          <w:jc w:val="center"/>
        </w:trPr>
        <w:tc>
          <w:tcPr>
            <w:tcW w:w="675" w:type="dxa"/>
            <w:vMerge w:val="continue"/>
            <w:noWrap w:val="0"/>
            <w:vAlign w:val="center"/>
          </w:tcPr>
          <w:p w14:paraId="5059D88D">
            <w:pPr>
              <w:rPr>
                <w:rFonts w:hint="eastAsia" w:ascii="宋体" w:hAnsi="宋体" w:cs="宋体"/>
                <w:color w:val="auto"/>
                <w:highlight w:val="none"/>
              </w:rPr>
            </w:pPr>
          </w:p>
        </w:tc>
        <w:tc>
          <w:tcPr>
            <w:tcW w:w="1039" w:type="dxa"/>
            <w:vMerge w:val="continue"/>
            <w:noWrap w:val="0"/>
            <w:vAlign w:val="center"/>
          </w:tcPr>
          <w:p w14:paraId="2A782A40">
            <w:pPr>
              <w:rPr>
                <w:rFonts w:hint="eastAsia" w:ascii="宋体" w:hAnsi="宋体" w:cs="宋体"/>
                <w:color w:val="auto"/>
                <w:highlight w:val="none"/>
              </w:rPr>
            </w:pPr>
          </w:p>
        </w:tc>
        <w:tc>
          <w:tcPr>
            <w:tcW w:w="1384" w:type="dxa"/>
            <w:noWrap w:val="0"/>
            <w:vAlign w:val="center"/>
          </w:tcPr>
          <w:p w14:paraId="66165D68">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lang w:val="en-US" w:eastAsia="zh-CN"/>
              </w:rPr>
              <w:t>质量保证措施</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12</w:t>
            </w:r>
            <w:r>
              <w:rPr>
                <w:rFonts w:hint="eastAsia" w:ascii="新宋体" w:hAnsi="新宋体" w:eastAsia="新宋体" w:cs="新宋体"/>
                <w:color w:val="auto"/>
                <w:highlight w:val="none"/>
              </w:rPr>
              <w:t>分）</w:t>
            </w:r>
          </w:p>
        </w:tc>
        <w:tc>
          <w:tcPr>
            <w:tcW w:w="5628" w:type="dxa"/>
            <w:noWrap w:val="0"/>
            <w:vAlign w:val="center"/>
          </w:tcPr>
          <w:p w14:paraId="4368B345">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针对于本项目制定相应的产品质量保证措施 方案，从产品的生产、运输、交付、使用、验 收等方面为制做方案依据，包含但不限于以下几个方面：1.质量保障措施；2.质量方针；3.质量目标；4.质量标准；5.质量保证依据；6.质量保证原则。</w:t>
            </w:r>
          </w:p>
          <w:p w14:paraId="4A34463D">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以上六项方案每提供一小项内容适用于项目且无缺失的方案得2分，方案有缺失的得1分，满分12分。提供内容中与本项目无关的不得分。 </w:t>
            </w:r>
          </w:p>
          <w:p w14:paraId="69AB1311">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 容缺失有瑕疵、无具体流程细节描述之处）</w:t>
            </w:r>
          </w:p>
        </w:tc>
        <w:tc>
          <w:tcPr>
            <w:tcW w:w="812" w:type="dxa"/>
            <w:noWrap w:val="0"/>
            <w:vAlign w:val="center"/>
          </w:tcPr>
          <w:p w14:paraId="239999BA">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12</w:t>
            </w:r>
          </w:p>
        </w:tc>
      </w:tr>
      <w:tr w14:paraId="35AC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1D44D1B5">
            <w:pPr>
              <w:rPr>
                <w:rFonts w:hint="eastAsia" w:ascii="宋体" w:hAnsi="宋体" w:cs="宋体"/>
                <w:color w:val="auto"/>
                <w:highlight w:val="none"/>
              </w:rPr>
            </w:pPr>
          </w:p>
        </w:tc>
        <w:tc>
          <w:tcPr>
            <w:tcW w:w="1039" w:type="dxa"/>
            <w:vMerge w:val="continue"/>
            <w:noWrap w:val="0"/>
            <w:vAlign w:val="center"/>
          </w:tcPr>
          <w:p w14:paraId="5B12C6B7">
            <w:pPr>
              <w:rPr>
                <w:rFonts w:hint="eastAsia" w:ascii="宋体" w:hAnsi="宋体" w:cs="宋体"/>
                <w:color w:val="auto"/>
                <w:highlight w:val="none"/>
              </w:rPr>
            </w:pPr>
          </w:p>
        </w:tc>
        <w:tc>
          <w:tcPr>
            <w:tcW w:w="1384" w:type="dxa"/>
            <w:noWrap w:val="0"/>
            <w:vAlign w:val="center"/>
          </w:tcPr>
          <w:p w14:paraId="5B9E4A3B">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rPr>
            </w:pPr>
            <w:r>
              <w:rPr>
                <w:rFonts w:hint="eastAsia" w:ascii="新宋体" w:hAnsi="新宋体" w:eastAsia="新宋体" w:cs="新宋体"/>
                <w:color w:val="auto"/>
                <w:highlight w:val="none"/>
                <w:lang w:val="zh-CN"/>
              </w:rPr>
              <w:t>培训方案</w:t>
            </w:r>
          </w:p>
          <w:p w14:paraId="27ED0952">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5</w:t>
            </w:r>
            <w:r>
              <w:rPr>
                <w:rFonts w:hint="eastAsia" w:ascii="新宋体" w:hAnsi="新宋体" w:eastAsia="新宋体" w:cs="新宋体"/>
                <w:color w:val="auto"/>
                <w:highlight w:val="none"/>
              </w:rPr>
              <w:t>分）</w:t>
            </w:r>
          </w:p>
        </w:tc>
        <w:tc>
          <w:tcPr>
            <w:tcW w:w="5628" w:type="dxa"/>
            <w:noWrap w:val="0"/>
            <w:vAlign w:val="center"/>
          </w:tcPr>
          <w:p w14:paraId="50E90B73">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培训计划方案中应至少包括以下内容：1.培训内容；2.培训计划；3.培训目标；4.培训理念；5.培训方式。以上五项方案每提供一小项内容适用于项目且无缺失的方案得1分，方案有缺失的得0.5分，满分5分。提供内容中与本项目无关的不得分。 </w:t>
            </w:r>
          </w:p>
          <w:p w14:paraId="5CF6CD88">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2A247069">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0-5</w:t>
            </w:r>
          </w:p>
        </w:tc>
      </w:tr>
      <w:tr w14:paraId="5214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4AA891A3">
            <w:pPr>
              <w:rPr>
                <w:rFonts w:hint="eastAsia" w:ascii="宋体" w:hAnsi="宋体" w:cs="宋体"/>
                <w:color w:val="auto"/>
                <w:highlight w:val="none"/>
              </w:rPr>
            </w:pPr>
          </w:p>
        </w:tc>
        <w:tc>
          <w:tcPr>
            <w:tcW w:w="1039" w:type="dxa"/>
            <w:vMerge w:val="continue"/>
            <w:noWrap w:val="0"/>
            <w:vAlign w:val="center"/>
          </w:tcPr>
          <w:p w14:paraId="31D46FF4">
            <w:pPr>
              <w:rPr>
                <w:rFonts w:hint="eastAsia" w:ascii="宋体" w:hAnsi="宋体" w:cs="宋体"/>
                <w:color w:val="auto"/>
                <w:highlight w:val="none"/>
              </w:rPr>
            </w:pPr>
          </w:p>
        </w:tc>
        <w:tc>
          <w:tcPr>
            <w:tcW w:w="1384" w:type="dxa"/>
            <w:noWrap w:val="0"/>
            <w:vAlign w:val="center"/>
          </w:tcPr>
          <w:p w14:paraId="6DE3E3E6">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供货方案</w:t>
            </w:r>
          </w:p>
          <w:p w14:paraId="139825D8">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lang w:val="en-US" w:eastAsia="zh-CN"/>
              </w:rPr>
              <w:t>（10</w:t>
            </w:r>
            <w:r>
              <w:rPr>
                <w:rFonts w:hint="eastAsia" w:ascii="新宋体" w:hAnsi="新宋体" w:eastAsia="新宋体" w:cs="新宋体"/>
                <w:color w:val="auto"/>
                <w:highlight w:val="none"/>
              </w:rPr>
              <w:t>分）</w:t>
            </w:r>
          </w:p>
        </w:tc>
        <w:tc>
          <w:tcPr>
            <w:tcW w:w="5628" w:type="dxa"/>
            <w:noWrap w:val="0"/>
            <w:vAlign w:val="center"/>
          </w:tcPr>
          <w:p w14:paraId="0CACC674">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投标人提供本项目产品的供货方案：内容包含 1.供货计划；2.供货流程；3.时间安排；4.供货方式；5.运输方案等，以上五项内容每提供一小项内容适用于项目且无缺失方案得2分，方案有缺失的得1分，满分10分。提供内容中与本项目无关的不得分。</w:t>
            </w:r>
          </w:p>
          <w:p w14:paraId="297F5378">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3B12A035">
            <w:pPr>
              <w:jc w:val="center"/>
              <w:rPr>
                <w:rFonts w:hint="default" w:ascii="宋体" w:hAnsi="宋体" w:eastAsia="宋体" w:cs="宋体"/>
                <w:color w:val="auto"/>
                <w:szCs w:val="21"/>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10</w:t>
            </w:r>
          </w:p>
        </w:tc>
      </w:tr>
      <w:tr w14:paraId="390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675" w:type="dxa"/>
            <w:vMerge w:val="continue"/>
            <w:noWrap w:val="0"/>
            <w:vAlign w:val="center"/>
          </w:tcPr>
          <w:p w14:paraId="2745E540">
            <w:pPr>
              <w:rPr>
                <w:rFonts w:hint="eastAsia" w:ascii="宋体" w:hAnsi="宋体" w:cs="宋体"/>
                <w:color w:val="auto"/>
                <w:highlight w:val="none"/>
              </w:rPr>
            </w:pPr>
          </w:p>
        </w:tc>
        <w:tc>
          <w:tcPr>
            <w:tcW w:w="1039" w:type="dxa"/>
            <w:vMerge w:val="continue"/>
            <w:noWrap w:val="0"/>
            <w:vAlign w:val="center"/>
          </w:tcPr>
          <w:p w14:paraId="16678C9D">
            <w:pPr>
              <w:rPr>
                <w:rFonts w:hint="eastAsia" w:ascii="宋体" w:hAnsi="宋体" w:cs="宋体"/>
                <w:color w:val="auto"/>
                <w:highlight w:val="none"/>
              </w:rPr>
            </w:pPr>
          </w:p>
        </w:tc>
        <w:tc>
          <w:tcPr>
            <w:tcW w:w="1384" w:type="dxa"/>
            <w:noWrap w:val="0"/>
            <w:vAlign w:val="center"/>
          </w:tcPr>
          <w:p w14:paraId="410E80AD">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rPr>
              <w:t>应急方案及措施（</w:t>
            </w:r>
            <w:r>
              <w:rPr>
                <w:rFonts w:hint="eastAsia" w:ascii="新宋体" w:hAnsi="新宋体" w:eastAsia="新宋体" w:cs="新宋体"/>
                <w:color w:val="auto"/>
                <w:highlight w:val="none"/>
                <w:lang w:val="en-US" w:eastAsia="zh-CN"/>
              </w:rPr>
              <w:t>6</w:t>
            </w:r>
            <w:r>
              <w:rPr>
                <w:rFonts w:hint="eastAsia" w:ascii="新宋体" w:hAnsi="新宋体" w:eastAsia="新宋体" w:cs="新宋体"/>
                <w:color w:val="auto"/>
                <w:highlight w:val="none"/>
              </w:rPr>
              <w:t>分）</w:t>
            </w:r>
          </w:p>
        </w:tc>
        <w:tc>
          <w:tcPr>
            <w:tcW w:w="5628" w:type="dxa"/>
            <w:noWrap w:val="0"/>
            <w:vAlign w:val="center"/>
          </w:tcPr>
          <w:p w14:paraId="3B5CC05F">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应急方案中应至少包括以下内容：1.人身伤害应急处理；2.设备事故应急处理；3.安全突发事件技术鉴定；4.应急装备、物资保障；5.应急响应时间6.应急预防措施等。以上六项方案每提供一小项内容适用于项目且无缺失的方案得1分，方案有缺失的得0.5分，满分6分。提供内容中与本项目无关的不得分。 </w:t>
            </w:r>
          </w:p>
          <w:p w14:paraId="59430205">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04DCC55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0-6</w:t>
            </w:r>
          </w:p>
        </w:tc>
      </w:tr>
      <w:tr w14:paraId="5B78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6A386365">
            <w:pPr>
              <w:rPr>
                <w:rFonts w:hint="eastAsia" w:ascii="宋体" w:hAnsi="宋体" w:cs="宋体"/>
                <w:color w:val="auto"/>
                <w:highlight w:val="none"/>
              </w:rPr>
            </w:pPr>
          </w:p>
        </w:tc>
        <w:tc>
          <w:tcPr>
            <w:tcW w:w="1039" w:type="dxa"/>
            <w:vMerge w:val="continue"/>
            <w:noWrap w:val="0"/>
            <w:vAlign w:val="center"/>
          </w:tcPr>
          <w:p w14:paraId="34BA220A">
            <w:pPr>
              <w:rPr>
                <w:rFonts w:hint="eastAsia" w:ascii="宋体" w:hAnsi="宋体" w:cs="宋体"/>
                <w:color w:val="auto"/>
                <w:highlight w:val="none"/>
              </w:rPr>
            </w:pPr>
          </w:p>
        </w:tc>
        <w:tc>
          <w:tcPr>
            <w:tcW w:w="1384" w:type="dxa"/>
            <w:noWrap w:val="0"/>
            <w:vAlign w:val="center"/>
          </w:tcPr>
          <w:p w14:paraId="3613A3E3">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安装调试方案</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8</w:t>
            </w:r>
            <w:r>
              <w:rPr>
                <w:rFonts w:hint="eastAsia" w:ascii="新宋体" w:hAnsi="新宋体" w:eastAsia="新宋体" w:cs="新宋体"/>
                <w:color w:val="auto"/>
                <w:highlight w:val="none"/>
              </w:rPr>
              <w:t>分）</w:t>
            </w:r>
          </w:p>
        </w:tc>
        <w:tc>
          <w:tcPr>
            <w:tcW w:w="5628" w:type="dxa"/>
            <w:noWrap w:val="0"/>
            <w:vAlign w:val="center"/>
          </w:tcPr>
          <w:p w14:paraId="02C4CC58">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针对本项目实际安装情况：1.安装方案；2.调试方案；3.运输方案；4.验收方案。以上四项内容每提供一小项内容适用于项目且无缺失的方案得2分，方案有缺失的得1分，满分8分。提供内容中与本项目无关的不得分。 </w:t>
            </w:r>
          </w:p>
          <w:p w14:paraId="539CFA8D">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3A10BEEE">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0-8</w:t>
            </w:r>
          </w:p>
        </w:tc>
      </w:tr>
      <w:tr w14:paraId="35EC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675" w:type="dxa"/>
            <w:vMerge w:val="restart"/>
            <w:noWrap w:val="0"/>
            <w:vAlign w:val="center"/>
          </w:tcPr>
          <w:p w14:paraId="75AC9C3B">
            <w:pPr>
              <w:rPr>
                <w:rFonts w:hint="eastAsia" w:ascii="宋体" w:hAnsi="宋体" w:cs="宋体"/>
                <w:color w:val="auto"/>
                <w:highlight w:val="none"/>
              </w:rPr>
            </w:pPr>
            <w:r>
              <w:rPr>
                <w:rFonts w:hint="eastAsia" w:ascii="宋体" w:hAnsi="宋体" w:cs="宋体"/>
                <w:color w:val="auto"/>
                <w:highlight w:val="none"/>
              </w:rPr>
              <w:t>2</w:t>
            </w:r>
          </w:p>
        </w:tc>
        <w:tc>
          <w:tcPr>
            <w:tcW w:w="1039" w:type="dxa"/>
            <w:vMerge w:val="restart"/>
            <w:noWrap w:val="0"/>
            <w:vAlign w:val="center"/>
          </w:tcPr>
          <w:p w14:paraId="6752A025">
            <w:pPr>
              <w:rPr>
                <w:rFonts w:hint="eastAsia" w:ascii="宋体" w:hAnsi="宋体" w:cs="宋体"/>
                <w:color w:val="auto"/>
                <w:highlight w:val="none"/>
              </w:rPr>
            </w:pPr>
            <w:r>
              <w:rPr>
                <w:rFonts w:hint="eastAsia" w:ascii="宋体" w:hAnsi="宋体" w:cs="宋体"/>
                <w:color w:val="auto"/>
                <w:highlight w:val="none"/>
              </w:rPr>
              <w:t>商务</w:t>
            </w:r>
          </w:p>
          <w:p w14:paraId="206E3419">
            <w:pPr>
              <w:rPr>
                <w:rFonts w:hint="eastAsia" w:ascii="宋体" w:hAnsi="宋体" w:cs="宋体"/>
                <w:color w:val="auto"/>
                <w:highlight w:val="none"/>
              </w:rPr>
            </w:pPr>
            <w:r>
              <w:rPr>
                <w:rFonts w:hint="eastAsia" w:ascii="宋体" w:hAnsi="宋体" w:cs="宋体"/>
                <w:color w:val="auto"/>
                <w:highlight w:val="none"/>
              </w:rPr>
              <w:t>部分</w:t>
            </w:r>
          </w:p>
          <w:p w14:paraId="2A618152">
            <w:pP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39</w:t>
            </w:r>
            <w:r>
              <w:rPr>
                <w:rFonts w:hint="eastAsia" w:ascii="宋体" w:hAnsi="宋体" w:cs="宋体"/>
                <w:color w:val="auto"/>
                <w:highlight w:val="none"/>
              </w:rPr>
              <w:t>分）</w:t>
            </w:r>
          </w:p>
        </w:tc>
        <w:tc>
          <w:tcPr>
            <w:tcW w:w="1384" w:type="dxa"/>
            <w:noWrap w:val="0"/>
            <w:vAlign w:val="center"/>
          </w:tcPr>
          <w:p w14:paraId="0D75C31B">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投标报价得分</w:t>
            </w:r>
          </w:p>
          <w:p w14:paraId="0CA0959A">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（30分）</w:t>
            </w:r>
          </w:p>
        </w:tc>
        <w:tc>
          <w:tcPr>
            <w:tcW w:w="5628" w:type="dxa"/>
            <w:noWrap w:val="0"/>
            <w:vAlign w:val="center"/>
          </w:tcPr>
          <w:p w14:paraId="4F9AF16C">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投标报价得分=（评标基准价／投标报价）×价权值×100 </w:t>
            </w:r>
          </w:p>
        </w:tc>
        <w:tc>
          <w:tcPr>
            <w:tcW w:w="812" w:type="dxa"/>
            <w:noWrap w:val="0"/>
            <w:vAlign w:val="center"/>
          </w:tcPr>
          <w:p w14:paraId="643027BD">
            <w:pPr>
              <w:jc w:val="center"/>
              <w:rPr>
                <w:rFonts w:hint="eastAsia" w:ascii="宋体" w:hAnsi="宋体" w:cs="宋体"/>
                <w:color w:val="auto"/>
                <w:highlight w:val="none"/>
              </w:rPr>
            </w:pPr>
            <w:r>
              <w:rPr>
                <w:rFonts w:hint="eastAsia" w:ascii="宋体" w:hAnsi="宋体" w:cs="宋体"/>
                <w:color w:val="auto"/>
                <w:highlight w:val="none"/>
              </w:rPr>
              <w:t>0-30</w:t>
            </w:r>
          </w:p>
        </w:tc>
      </w:tr>
      <w:tr w14:paraId="2697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1282A8DB">
            <w:pPr>
              <w:rPr>
                <w:rFonts w:hint="eastAsia" w:ascii="宋体" w:hAnsi="宋体" w:cs="宋体"/>
                <w:color w:val="auto"/>
                <w:highlight w:val="none"/>
              </w:rPr>
            </w:pPr>
          </w:p>
        </w:tc>
        <w:tc>
          <w:tcPr>
            <w:tcW w:w="1039" w:type="dxa"/>
            <w:vMerge w:val="continue"/>
            <w:noWrap w:val="0"/>
            <w:vAlign w:val="center"/>
          </w:tcPr>
          <w:p w14:paraId="591D48C3">
            <w:pPr>
              <w:rPr>
                <w:rFonts w:hint="eastAsia" w:ascii="宋体" w:hAnsi="宋体" w:cs="宋体"/>
                <w:color w:val="auto"/>
                <w:highlight w:val="none"/>
              </w:rPr>
            </w:pPr>
          </w:p>
        </w:tc>
        <w:tc>
          <w:tcPr>
            <w:tcW w:w="1384" w:type="dxa"/>
            <w:noWrap w:val="0"/>
            <w:vAlign w:val="center"/>
          </w:tcPr>
          <w:p w14:paraId="434B70F2">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售后服务</w:t>
            </w:r>
          </w:p>
          <w:p w14:paraId="3EED1FF1">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（3分）</w:t>
            </w:r>
          </w:p>
        </w:tc>
        <w:tc>
          <w:tcPr>
            <w:tcW w:w="5628" w:type="dxa"/>
            <w:noWrap w:val="0"/>
            <w:vAlign w:val="center"/>
          </w:tcPr>
          <w:p w14:paraId="6B62ECC3">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default" w:ascii="新宋体" w:hAnsi="新宋体" w:eastAsia="新宋体" w:cs="新宋体"/>
                <w:color w:val="auto"/>
                <w:highlight w:val="none"/>
                <w:lang w:val="en-US" w:eastAsia="zh-CN"/>
              </w:rPr>
              <w:t>售后服务方案至少包括以下内容：</w:t>
            </w:r>
            <w:r>
              <w:rPr>
                <w:rFonts w:hint="eastAsia" w:ascii="新宋体" w:hAnsi="新宋体" w:eastAsia="新宋体" w:cs="新宋体"/>
                <w:color w:val="auto"/>
                <w:highlight w:val="none"/>
                <w:lang w:val="en-US" w:eastAsia="zh-CN"/>
              </w:rPr>
              <w:t>1.</w:t>
            </w:r>
            <w:r>
              <w:rPr>
                <w:rFonts w:hint="default" w:ascii="新宋体" w:hAnsi="新宋体" w:eastAsia="新宋体" w:cs="新宋体"/>
                <w:color w:val="auto"/>
                <w:highlight w:val="none"/>
                <w:lang w:val="en-US" w:eastAsia="zh-CN"/>
              </w:rPr>
              <w:t>售后服务承诺体系；</w:t>
            </w:r>
            <w:r>
              <w:rPr>
                <w:rFonts w:hint="eastAsia" w:ascii="新宋体" w:hAnsi="新宋体" w:eastAsia="新宋体" w:cs="新宋体"/>
                <w:color w:val="auto"/>
                <w:highlight w:val="none"/>
                <w:lang w:val="en-US" w:eastAsia="zh-CN"/>
              </w:rPr>
              <w:t>2</w:t>
            </w:r>
            <w:r>
              <w:rPr>
                <w:rFonts w:hint="default" w:ascii="新宋体" w:hAnsi="新宋体" w:eastAsia="新宋体" w:cs="新宋体"/>
                <w:color w:val="auto"/>
                <w:highlight w:val="none"/>
                <w:lang w:val="en-US" w:eastAsia="zh-CN"/>
              </w:rPr>
              <w:t>.技术支持保障；</w:t>
            </w:r>
            <w:r>
              <w:rPr>
                <w:rFonts w:hint="eastAsia" w:ascii="新宋体" w:hAnsi="新宋体" w:eastAsia="新宋体" w:cs="新宋体"/>
                <w:color w:val="auto"/>
                <w:highlight w:val="none"/>
                <w:lang w:val="en-US" w:eastAsia="zh-CN"/>
              </w:rPr>
              <w:t>3</w:t>
            </w:r>
            <w:r>
              <w:rPr>
                <w:rFonts w:hint="default" w:ascii="新宋体" w:hAnsi="新宋体" w:eastAsia="新宋体" w:cs="新宋体"/>
                <w:color w:val="auto"/>
                <w:highlight w:val="none"/>
                <w:lang w:val="en-US" w:eastAsia="zh-CN"/>
              </w:rPr>
              <w:t>.退换货流程</w:t>
            </w:r>
            <w:r>
              <w:rPr>
                <w:rFonts w:hint="eastAsia" w:ascii="新宋体" w:hAnsi="新宋体" w:eastAsia="新宋体" w:cs="新宋体"/>
                <w:color w:val="auto"/>
                <w:highlight w:val="none"/>
                <w:lang w:val="en-US" w:eastAsia="zh-CN"/>
              </w:rPr>
              <w:t>及</w:t>
            </w:r>
            <w:r>
              <w:rPr>
                <w:rFonts w:hint="default" w:ascii="新宋体" w:hAnsi="新宋体" w:eastAsia="新宋体" w:cs="新宋体"/>
                <w:color w:val="auto"/>
                <w:highlight w:val="none"/>
                <w:lang w:val="en-US" w:eastAsia="zh-CN"/>
              </w:rPr>
              <w:t>售后服务响应时间；以上</w:t>
            </w:r>
            <w:r>
              <w:rPr>
                <w:rFonts w:hint="eastAsia" w:ascii="新宋体" w:hAnsi="新宋体" w:eastAsia="新宋体" w:cs="新宋体"/>
                <w:color w:val="auto"/>
                <w:highlight w:val="none"/>
                <w:lang w:val="en-US" w:eastAsia="zh-CN"/>
              </w:rPr>
              <w:t>三</w:t>
            </w:r>
            <w:r>
              <w:rPr>
                <w:rFonts w:hint="default" w:ascii="新宋体" w:hAnsi="新宋体" w:eastAsia="新宋体" w:cs="新宋体"/>
                <w:color w:val="auto"/>
                <w:highlight w:val="none"/>
                <w:lang w:val="en-US" w:eastAsia="zh-CN"/>
              </w:rPr>
              <w:t>项方案每提供一小项内容适用于项目且无缺失的方案得1分，方案有缺失的得0.5分，满分</w:t>
            </w:r>
            <w:r>
              <w:rPr>
                <w:rFonts w:hint="eastAsia" w:ascii="新宋体" w:hAnsi="新宋体" w:eastAsia="新宋体" w:cs="新宋体"/>
                <w:color w:val="auto"/>
                <w:highlight w:val="none"/>
                <w:lang w:val="en-US" w:eastAsia="zh-CN"/>
              </w:rPr>
              <w:t>3</w:t>
            </w:r>
            <w:r>
              <w:rPr>
                <w:rFonts w:hint="default" w:ascii="新宋体" w:hAnsi="新宋体" w:eastAsia="新宋体" w:cs="新宋体"/>
                <w:color w:val="auto"/>
                <w:highlight w:val="none"/>
                <w:lang w:val="en-US" w:eastAsia="zh-CN"/>
              </w:rPr>
              <w:t xml:space="preserve">分。提供内容中与本项目无关的不得分。 </w:t>
            </w:r>
          </w:p>
          <w:p w14:paraId="2B0B5237">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default"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6344EBCE">
            <w:pPr>
              <w:jc w:val="center"/>
              <w:rPr>
                <w:rFonts w:hint="eastAsia" w:ascii="宋体" w:hAnsi="宋体" w:eastAsia="宋体" w:cs="宋体"/>
                <w:color w:val="auto"/>
                <w:highlight w:val="none"/>
                <w:lang w:eastAsia="zh-CN"/>
              </w:rPr>
            </w:pPr>
            <w:r>
              <w:rPr>
                <w:rFonts w:hint="eastAsia" w:ascii="宋体" w:hAnsi="宋体" w:cs="宋体"/>
                <w:color w:val="auto"/>
                <w:highlight w:val="none"/>
              </w:rPr>
              <w:t>0-</w:t>
            </w:r>
            <w:r>
              <w:rPr>
                <w:rFonts w:hint="eastAsia" w:ascii="宋体" w:hAnsi="宋体" w:cs="宋体"/>
                <w:color w:val="auto"/>
                <w:highlight w:val="none"/>
                <w:lang w:val="en-US" w:eastAsia="zh-CN"/>
              </w:rPr>
              <w:t>3</w:t>
            </w:r>
          </w:p>
        </w:tc>
      </w:tr>
      <w:tr w14:paraId="4E08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675" w:type="dxa"/>
            <w:vMerge w:val="continue"/>
            <w:noWrap w:val="0"/>
            <w:vAlign w:val="center"/>
          </w:tcPr>
          <w:p w14:paraId="534D6A89">
            <w:pPr>
              <w:rPr>
                <w:rFonts w:hint="eastAsia" w:ascii="宋体" w:hAnsi="宋体" w:cs="宋体"/>
                <w:color w:val="auto"/>
                <w:highlight w:val="none"/>
              </w:rPr>
            </w:pPr>
          </w:p>
        </w:tc>
        <w:tc>
          <w:tcPr>
            <w:tcW w:w="1039" w:type="dxa"/>
            <w:vMerge w:val="continue"/>
            <w:noWrap w:val="0"/>
            <w:vAlign w:val="center"/>
          </w:tcPr>
          <w:p w14:paraId="2B8042E6">
            <w:pPr>
              <w:rPr>
                <w:rFonts w:hint="eastAsia" w:ascii="宋体" w:hAnsi="宋体" w:cs="宋体"/>
                <w:color w:val="auto"/>
                <w:highlight w:val="none"/>
              </w:rPr>
            </w:pPr>
          </w:p>
        </w:tc>
        <w:tc>
          <w:tcPr>
            <w:tcW w:w="1384" w:type="dxa"/>
            <w:noWrap w:val="0"/>
            <w:vAlign w:val="center"/>
          </w:tcPr>
          <w:p w14:paraId="135469C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05B2B711">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5628" w:type="dxa"/>
            <w:noWrap w:val="0"/>
            <w:vAlign w:val="center"/>
          </w:tcPr>
          <w:p w14:paraId="25D7C43F">
            <w:pPr>
              <w:autoSpaceDE w:val="0"/>
              <w:autoSpaceDN w:val="0"/>
              <w:adjustRightInd w:val="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供应商每提供一项</w:t>
            </w:r>
            <w:r>
              <w:rPr>
                <w:rFonts w:hint="eastAsia" w:ascii="宋体" w:hAnsi="宋体" w:cs="宋体"/>
                <w:color w:val="auto"/>
                <w:sz w:val="21"/>
                <w:szCs w:val="21"/>
                <w:highlight w:val="none"/>
              </w:rPr>
              <w:t>近三年(202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年1月1日</w:t>
            </w:r>
            <w:r>
              <w:rPr>
                <w:rFonts w:hint="eastAsia" w:ascii="宋体" w:hAnsi="宋体" w:cs="宋体"/>
                <w:color w:val="auto"/>
                <w:sz w:val="21"/>
                <w:szCs w:val="21"/>
                <w:highlight w:val="none"/>
                <w:lang w:eastAsia="zh-CN"/>
              </w:rPr>
              <w:t>至今</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完成的类似项目业绩，</w:t>
            </w:r>
            <w:r>
              <w:rPr>
                <w:rFonts w:hint="eastAsia" w:ascii="宋体" w:hAnsi="宋体" w:cs="宋体"/>
                <w:color w:val="auto"/>
                <w:kern w:val="0"/>
                <w:sz w:val="21"/>
                <w:szCs w:val="21"/>
                <w:highlight w:val="none"/>
                <w:lang w:eastAsia="zh-CN"/>
              </w:rPr>
              <w:t>每</w:t>
            </w:r>
            <w:r>
              <w:rPr>
                <w:rFonts w:hint="eastAsia" w:ascii="宋体" w:hAnsi="宋体" w:cs="宋体"/>
                <w:color w:val="auto"/>
                <w:kern w:val="0"/>
                <w:sz w:val="21"/>
                <w:szCs w:val="21"/>
                <w:highlight w:val="none"/>
                <w:lang w:val="en-US" w:eastAsia="zh-CN"/>
              </w:rPr>
              <w:t>提供一</w:t>
            </w:r>
            <w:r>
              <w:rPr>
                <w:rFonts w:hint="eastAsia" w:ascii="宋体" w:hAnsi="宋体" w:cs="宋体"/>
                <w:color w:val="auto"/>
                <w:kern w:val="0"/>
                <w:sz w:val="21"/>
                <w:szCs w:val="21"/>
                <w:highlight w:val="none"/>
                <w:lang w:eastAsia="zh-CN"/>
              </w:rPr>
              <w:t>项</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分，最高得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分。（评分依据：</w:t>
            </w: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内提供业绩合同或中标通知书复印件，未按要求提供不得分）。</w:t>
            </w:r>
          </w:p>
        </w:tc>
        <w:tc>
          <w:tcPr>
            <w:tcW w:w="812" w:type="dxa"/>
            <w:noWrap w:val="0"/>
            <w:vAlign w:val="center"/>
          </w:tcPr>
          <w:p w14:paraId="5BD23E0F">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0-</w:t>
            </w:r>
            <w:r>
              <w:rPr>
                <w:rFonts w:hint="eastAsia" w:ascii="宋体" w:hAnsi="宋体" w:cs="宋体"/>
                <w:color w:val="auto"/>
                <w:highlight w:val="none"/>
                <w:lang w:val="en-US" w:eastAsia="zh-CN"/>
              </w:rPr>
              <w:t>2</w:t>
            </w:r>
          </w:p>
        </w:tc>
      </w:tr>
      <w:tr w14:paraId="0A63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675" w:type="dxa"/>
            <w:vMerge w:val="continue"/>
            <w:noWrap w:val="0"/>
            <w:vAlign w:val="center"/>
          </w:tcPr>
          <w:p w14:paraId="7587895C">
            <w:pPr>
              <w:rPr>
                <w:rFonts w:hint="eastAsia" w:ascii="宋体" w:hAnsi="宋体" w:cs="宋体"/>
                <w:color w:val="auto"/>
                <w:highlight w:val="none"/>
              </w:rPr>
            </w:pPr>
          </w:p>
        </w:tc>
        <w:tc>
          <w:tcPr>
            <w:tcW w:w="1039" w:type="dxa"/>
            <w:vMerge w:val="continue"/>
            <w:noWrap w:val="0"/>
            <w:vAlign w:val="center"/>
          </w:tcPr>
          <w:p w14:paraId="5673BF9C">
            <w:pPr>
              <w:rPr>
                <w:rFonts w:hint="eastAsia" w:ascii="宋体" w:hAnsi="宋体" w:cs="宋体"/>
                <w:color w:val="auto"/>
                <w:highlight w:val="none"/>
              </w:rPr>
            </w:pPr>
          </w:p>
        </w:tc>
        <w:tc>
          <w:tcPr>
            <w:tcW w:w="1384" w:type="dxa"/>
            <w:noWrap w:val="0"/>
            <w:vAlign w:val="center"/>
          </w:tcPr>
          <w:p w14:paraId="7E446458">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优惠条件</w:t>
            </w:r>
          </w:p>
          <w:p w14:paraId="78F819CA">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5628" w:type="dxa"/>
            <w:noWrap w:val="0"/>
            <w:vAlign w:val="center"/>
          </w:tcPr>
          <w:p w14:paraId="3F388968">
            <w:pPr>
              <w:autoSpaceDE w:val="0"/>
              <w:autoSpaceDN w:val="0"/>
              <w:adjustRightInd w:val="0"/>
              <w:rPr>
                <w:rFonts w:hint="default" w:ascii="宋体" w:hAnsi="宋体" w:cs="宋体"/>
                <w:color w:val="auto"/>
                <w:kern w:val="0"/>
                <w:sz w:val="21"/>
                <w:szCs w:val="21"/>
                <w:highlight w:val="none"/>
                <w:lang w:val="en-US" w:eastAsia="zh-CN" w:bidi="ar-SA"/>
              </w:rPr>
            </w:pPr>
            <w:r>
              <w:rPr>
                <w:rFonts w:hint="eastAsia" w:ascii="宋体" w:hAnsi="宋体" w:eastAsia="宋体" w:cs="宋体"/>
                <w:color w:val="auto"/>
                <w:sz w:val="21"/>
                <w:szCs w:val="21"/>
                <w:lang w:val="en-US" w:eastAsia="zh-CN"/>
              </w:rPr>
              <w:t>采购人能够接受的实质性的优惠条件，包括但不限于产品的更新、维护时间、服务响应时间，服务承诺体系等</w:t>
            </w:r>
            <w:r>
              <w:rPr>
                <w:rFonts w:hint="eastAsia" w:ascii="宋体" w:hAnsi="宋体" w:cs="宋体"/>
                <w:color w:val="auto"/>
                <w:sz w:val="21"/>
                <w:szCs w:val="21"/>
                <w:lang w:val="en-US" w:eastAsia="zh-CN"/>
              </w:rPr>
              <w:t>相关内容</w:t>
            </w:r>
            <w:r>
              <w:rPr>
                <w:rFonts w:hint="eastAsia" w:ascii="宋体" w:hAnsi="宋体" w:eastAsia="宋体" w:cs="宋体"/>
                <w:color w:val="auto"/>
                <w:sz w:val="21"/>
                <w:szCs w:val="21"/>
                <w:lang w:val="en-US" w:eastAsia="zh-CN"/>
              </w:rPr>
              <w:t>，每有一项得1分，最高得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分，没有不得分</w:t>
            </w:r>
          </w:p>
        </w:tc>
        <w:tc>
          <w:tcPr>
            <w:tcW w:w="812" w:type="dxa"/>
            <w:noWrap w:val="0"/>
            <w:vAlign w:val="center"/>
          </w:tcPr>
          <w:p w14:paraId="0C98E9A4">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4</w:t>
            </w:r>
          </w:p>
        </w:tc>
      </w:tr>
    </w:tbl>
    <w:p w14:paraId="7729C3A2">
      <w:pPr>
        <w:rPr>
          <w:rFonts w:hint="eastAsia" w:ascii="宋体" w:hAnsi="宋体" w:eastAsia="宋体" w:cs="宋体"/>
          <w:highlight w:val="none"/>
          <w:lang w:val="zh-CN"/>
        </w:rPr>
      </w:pPr>
      <w:r>
        <w:rPr>
          <w:rFonts w:hint="eastAsia" w:ascii="宋体" w:hAnsi="宋体" w:eastAsia="宋体" w:cs="宋体"/>
          <w:highlight w:val="none"/>
          <w:lang w:val="zh-CN"/>
        </w:rPr>
        <w:br w:type="page"/>
      </w:r>
    </w:p>
    <w:p w14:paraId="76B3BE92">
      <w:pPr>
        <w:widowControl/>
        <w:autoSpaceDE w:val="0"/>
        <w:autoSpaceDN w:val="0"/>
        <w:adjustRightInd w:val="0"/>
        <w:snapToGrid w:val="0"/>
        <w:spacing w:line="360" w:lineRule="auto"/>
        <w:ind w:firstLine="210" w:firstLineChars="100"/>
        <w:rPr>
          <w:rFonts w:hint="eastAsia" w:ascii="宋体" w:hAnsi="宋体" w:cs="宋体"/>
          <w:bCs/>
          <w:kern w:val="0"/>
          <w:szCs w:val="21"/>
          <w:highlight w:val="none"/>
        </w:rPr>
      </w:pPr>
      <w:r>
        <w:rPr>
          <w:rFonts w:hint="eastAsia" w:ascii="宋体" w:hAnsi="宋体" w:cs="宋体"/>
          <w:szCs w:val="21"/>
          <w:highlight w:val="none"/>
          <w:lang w:val="zh-CN"/>
        </w:rPr>
        <w:t>注:</w:t>
      </w:r>
      <w:r>
        <w:rPr>
          <w:rFonts w:hint="eastAsia" w:ascii="宋体" w:hAnsi="宋体" w:cs="宋体"/>
          <w:highlight w:val="none"/>
        </w:rPr>
        <w:t xml:space="preserve"> </w:t>
      </w:r>
      <w:r>
        <w:rPr>
          <w:rFonts w:hint="eastAsia" w:ascii="宋体" w:hAnsi="宋体" w:cs="宋体"/>
          <w:bCs/>
          <w:kern w:val="0"/>
          <w:szCs w:val="21"/>
          <w:highlight w:val="none"/>
        </w:rPr>
        <w:t>1）企业名称不同但法定代表人为同一个自然人的两个或者两个以上的供应商不得参加同一采购项目的报价。如果出现上述情况，相关供应商的报价均将被拒绝。</w:t>
      </w:r>
    </w:p>
    <w:p w14:paraId="0A1A894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lang w:val="zh-CN"/>
        </w:rPr>
        <w:t xml:space="preserve"> 1.评标方法</w:t>
      </w:r>
    </w:p>
    <w:p w14:paraId="3B7CD77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0BD5A5B7">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2.1初步评审标准</w:t>
      </w:r>
    </w:p>
    <w:p w14:paraId="202E15E5">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2.1.1 形式评审标准：见评标办法前附表。</w:t>
      </w:r>
    </w:p>
    <w:p w14:paraId="2176FF59">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投标单位有任何一项不满足形式评审标准，视为未通过形式评审，不再进入后续评标。</w:t>
      </w:r>
    </w:p>
    <w:p w14:paraId="1DC34116">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资格评审标准：见评标办法前附表。</w:t>
      </w:r>
    </w:p>
    <w:p w14:paraId="0F26C11F">
      <w:pPr>
        <w:autoSpaceDE w:val="0"/>
        <w:autoSpaceDN w:val="0"/>
        <w:adjustRightInd w:val="0"/>
        <w:spacing w:line="400" w:lineRule="exact"/>
        <w:ind w:firstLine="480"/>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投标单位有任何一项不满足形式资格标准，视为未通过</w:t>
      </w:r>
      <w:r>
        <w:rPr>
          <w:rFonts w:hint="eastAsia" w:ascii="宋体" w:hAnsi="宋体" w:cs="宋体"/>
          <w:bCs/>
          <w:szCs w:val="21"/>
          <w:highlight w:val="none"/>
          <w:lang w:val="en-US" w:eastAsia="zh-CN"/>
        </w:rPr>
        <w:t>资格</w:t>
      </w:r>
      <w:r>
        <w:rPr>
          <w:rFonts w:hint="eastAsia" w:ascii="宋体" w:hAnsi="宋体" w:cs="宋体"/>
          <w:bCs/>
          <w:szCs w:val="21"/>
          <w:highlight w:val="none"/>
          <w:lang w:val="zh-CN"/>
        </w:rPr>
        <w:t>评审，不再进入后续评标。</w:t>
      </w:r>
    </w:p>
    <w:p w14:paraId="4711539E">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响应性评审标准：见评标办法前附表。</w:t>
      </w:r>
    </w:p>
    <w:p w14:paraId="4991C28E">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投标单位有任何一项不满足响应性评审标准，视为未通过响应性评审，不再进入后续评标。</w:t>
      </w:r>
    </w:p>
    <w:p w14:paraId="1A2BA7B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2.2 分值构成与评分标准</w:t>
      </w:r>
    </w:p>
    <w:p w14:paraId="7542B4E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2.2.1 分值构成</w:t>
      </w:r>
    </w:p>
    <w:p w14:paraId="6150DE9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w:t>
      </w:r>
      <w:r>
        <w:rPr>
          <w:rFonts w:hint="eastAsia" w:ascii="宋体" w:hAnsi="宋体" w:cs="宋体"/>
          <w:bCs/>
          <w:spacing w:val="-6"/>
          <w:szCs w:val="21"/>
          <w:highlight w:val="none"/>
        </w:rPr>
        <w:t>技术部分</w:t>
      </w:r>
      <w:r>
        <w:rPr>
          <w:rFonts w:hint="eastAsia" w:ascii="宋体" w:hAnsi="宋体" w:cs="宋体"/>
          <w:bCs/>
          <w:szCs w:val="21"/>
          <w:highlight w:val="none"/>
          <w:lang w:val="zh-CN"/>
        </w:rPr>
        <w:t>：见评标办法前附表；</w:t>
      </w:r>
    </w:p>
    <w:p w14:paraId="074A73A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(2)商务部分：见评标办法前附表；</w:t>
      </w:r>
    </w:p>
    <w:p w14:paraId="3CB0DE5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2.2.2 评标基准价计算</w:t>
      </w:r>
    </w:p>
    <w:p w14:paraId="268B2E1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评标基准价计算方法：见评标办法前附表。</w:t>
      </w:r>
    </w:p>
    <w:p w14:paraId="6A77582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2.2.3投标报价的偏差率计算</w:t>
      </w:r>
    </w:p>
    <w:p w14:paraId="247E073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商务部分的偏差率计算公式：见评标办法前附表。</w:t>
      </w:r>
    </w:p>
    <w:p w14:paraId="47339A58">
      <w:pPr>
        <w:autoSpaceDE w:val="0"/>
        <w:autoSpaceDN w:val="0"/>
        <w:adjustRightInd w:val="0"/>
        <w:spacing w:line="400" w:lineRule="exact"/>
        <w:ind w:firstLine="210" w:firstLineChars="100"/>
        <w:jc w:val="left"/>
        <w:rPr>
          <w:rFonts w:hint="eastAsia" w:ascii="宋体" w:hAnsi="宋体" w:cs="宋体"/>
          <w:bCs/>
          <w:szCs w:val="21"/>
          <w:highlight w:val="none"/>
          <w:lang w:val="zh-CN"/>
        </w:rPr>
      </w:pPr>
      <w:r>
        <w:rPr>
          <w:rFonts w:hint="eastAsia" w:ascii="宋体" w:hAnsi="宋体" w:cs="宋体"/>
          <w:bCs/>
          <w:szCs w:val="21"/>
          <w:highlight w:val="none"/>
          <w:lang w:val="zh-CN"/>
        </w:rPr>
        <w:t>2.2.4</w:t>
      </w:r>
      <w:r>
        <w:rPr>
          <w:rFonts w:hint="eastAsia"/>
          <w:highlight w:val="none"/>
        </w:rPr>
        <w:t>小型或微型企业</w:t>
      </w:r>
      <w:r>
        <w:rPr>
          <w:rFonts w:hint="eastAsia" w:ascii="宋体" w:hAnsi="宋体" w:cs="宋体"/>
          <w:bCs/>
          <w:szCs w:val="21"/>
          <w:highlight w:val="none"/>
          <w:lang w:val="zh-CN"/>
        </w:rPr>
        <w:t>（含监狱企业）产品价格扣除：</w:t>
      </w:r>
    </w:p>
    <w:p w14:paraId="6F2302D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（1）投标人为</w:t>
      </w:r>
      <w:r>
        <w:rPr>
          <w:rFonts w:hint="eastAsia"/>
          <w:highlight w:val="none"/>
        </w:rPr>
        <w:t>小型或微型企业</w:t>
      </w:r>
      <w:r>
        <w:rPr>
          <w:rFonts w:hint="eastAsia" w:ascii="宋体" w:hAnsi="宋体" w:cs="宋体"/>
          <w:bCs/>
          <w:szCs w:val="21"/>
          <w:highlight w:val="none"/>
          <w:lang w:val="zh-CN"/>
        </w:rPr>
        <w:t>或监狱企业（标段括成员均为</w:t>
      </w:r>
      <w:r>
        <w:rPr>
          <w:rFonts w:hint="eastAsia"/>
          <w:highlight w:val="none"/>
        </w:rPr>
        <w:t>小型或微型企业</w:t>
      </w:r>
      <w:r>
        <w:rPr>
          <w:rFonts w:hint="eastAsia" w:ascii="宋体" w:hAnsi="宋体" w:cs="宋体"/>
          <w:bCs/>
          <w:szCs w:val="21"/>
          <w:highlight w:val="none"/>
          <w:lang w:val="zh-CN"/>
        </w:rPr>
        <w:t>或监狱企业的联合体）且投标产品/服务含</w:t>
      </w:r>
      <w:r>
        <w:rPr>
          <w:rFonts w:hint="eastAsia"/>
          <w:highlight w:val="none"/>
        </w:rPr>
        <w:t>小型或微型企业</w:t>
      </w:r>
      <w:r>
        <w:rPr>
          <w:rFonts w:hint="eastAsia" w:ascii="宋体" w:hAnsi="宋体" w:cs="宋体"/>
          <w:bCs/>
          <w:szCs w:val="21"/>
          <w:highlight w:val="none"/>
          <w:lang w:val="zh-CN"/>
        </w:rPr>
        <w:t>或监狱企业产品/服务时，报价给予K1的价格扣除（K1的取值为</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%），即：评标价=核实后的投标价-小微企业产品核实价×K1；</w:t>
      </w:r>
    </w:p>
    <w:p w14:paraId="09F6A15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B7433D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）参加政府采购活动的中小微企业应当提供《中小微企业声明函》（见投标文件参考格式）。</w:t>
      </w:r>
    </w:p>
    <w:p w14:paraId="1E54688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2.2.5 评分标准</w:t>
      </w:r>
    </w:p>
    <w:p w14:paraId="302BD5B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(1)技术部分评分标准：见评标办法前附表；</w:t>
      </w:r>
    </w:p>
    <w:p w14:paraId="0ECCF6C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(2)商务投标报价评分标准：见评标办法前附表；</w:t>
      </w:r>
    </w:p>
    <w:p w14:paraId="7AABE487">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bCs/>
          <w:szCs w:val="21"/>
          <w:highlight w:val="none"/>
          <w:lang w:val="zh-CN"/>
        </w:rPr>
        <w:t xml:space="preserve"> </w:t>
      </w:r>
      <w:r>
        <w:rPr>
          <w:rFonts w:hint="eastAsia" w:ascii="宋体" w:hAnsi="宋体" w:cs="宋体"/>
          <w:szCs w:val="21"/>
          <w:highlight w:val="none"/>
          <w:lang w:val="zh-CN"/>
        </w:rPr>
        <w:t>3.评标程序</w:t>
      </w:r>
    </w:p>
    <w:p w14:paraId="5914630C">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3.1初步评审</w:t>
      </w:r>
    </w:p>
    <w:p w14:paraId="2C9E53AE">
      <w:pPr>
        <w:autoSpaceDE w:val="0"/>
        <w:autoSpaceDN w:val="0"/>
        <w:adjustRightInd w:val="0"/>
        <w:spacing w:line="400" w:lineRule="exact"/>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447451A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3.1.2 投标人有以下情形之一的，其投标作否决处理：</w:t>
      </w:r>
    </w:p>
    <w:p w14:paraId="189A65C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(1)第二章“投标人须知”第1.4.3项规定的任何一种情形的；</w:t>
      </w:r>
    </w:p>
    <w:p w14:paraId="16E2E31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(2)串通投标或弄虚作假或有其他违法行为的：</w:t>
      </w:r>
    </w:p>
    <w:p w14:paraId="6DC1A47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(3)不按评标委员会要求澄清、说明或补正的。</w:t>
      </w:r>
    </w:p>
    <w:p w14:paraId="16BEDE2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7DC6C5F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(1)投标文件中的大写金额与小写金额不一致的，以大写金额为准：</w:t>
      </w:r>
    </w:p>
    <w:p w14:paraId="043B0D4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(2)总价金额与依据单价计算出的结果不一致的，以单价金额为准修正总价，但单价金额小数点有明显错误的除外。</w:t>
      </w:r>
    </w:p>
    <w:p w14:paraId="55596F18">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3.2 详细评审</w:t>
      </w:r>
    </w:p>
    <w:p w14:paraId="3E0D28E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3.2.1评标委员会按本章第2之款规定的量化因素和分值进行打分，并计算出综合打分得分。</w:t>
      </w:r>
    </w:p>
    <w:p w14:paraId="02E85C7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(1)按本章第2.2.4(1)目规定的评审因素和分值对技术部分计算出得分A；</w:t>
      </w:r>
    </w:p>
    <w:p w14:paraId="65ED46B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(2)按本章第2.2.4(2)目规定的评审因素和分值对商务部分计算出得分B；</w:t>
      </w:r>
    </w:p>
    <w:p w14:paraId="7DF0E83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3.2.2 评分分值计算保留小数点后两位，小数点后第三位“四舍五入”。</w:t>
      </w:r>
    </w:p>
    <w:p w14:paraId="1F35C18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3.2.3 投标人得分=A+B。</w:t>
      </w:r>
    </w:p>
    <w:p w14:paraId="7697379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785A5647">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3.3 投标文件的澄清和补正</w:t>
      </w:r>
    </w:p>
    <w:p w14:paraId="6B9CB23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2F4CADE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3.3.2 澄清、说明和补正不得改变投标文件的实质性内容(算术性错误修正的除外)。投标人的书面澄清、说明和补正属于投标文件的组成部分。</w:t>
      </w:r>
    </w:p>
    <w:p w14:paraId="559F9E3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3.3.3 评标委员会对投标人提交的澄清、说明或补正有疑问的，可以要求投标人进一步澄清、说明或补正，直至满足评标委员会的要求。</w:t>
      </w:r>
    </w:p>
    <w:p w14:paraId="2748176E">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3.4 评标结果</w:t>
      </w:r>
    </w:p>
    <w:p w14:paraId="4F7AABB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3.4.1 除第二章“投标人须知”前附表授权直接确定中标人外，评标委员会按照得分由高到低的顺序推荐中标候选人。</w:t>
      </w:r>
    </w:p>
    <w:p w14:paraId="581FCA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 xml:space="preserve">    3.4.2 评标委员会完成评标后，应当向采购人提交书面评标报告。</w:t>
      </w:r>
    </w:p>
    <w:p w14:paraId="055780C7">
      <w:pPr>
        <w:rPr>
          <w:rFonts w:hint="eastAsia" w:ascii="宋体" w:hAnsi="宋体" w:eastAsia="宋体" w:cs="宋体"/>
          <w:b/>
          <w:bCs/>
          <w:sz w:val="40"/>
          <w:szCs w:val="40"/>
          <w:highlight w:val="none"/>
          <w:lang w:val="zh-CN"/>
        </w:rPr>
      </w:pPr>
      <w:bookmarkStart w:id="26" w:name="_Toc28368"/>
      <w:r>
        <w:rPr>
          <w:rFonts w:hint="eastAsia" w:ascii="宋体" w:hAnsi="宋体" w:eastAsia="宋体" w:cs="宋体"/>
          <w:b/>
          <w:bCs/>
          <w:sz w:val="40"/>
          <w:szCs w:val="40"/>
          <w:highlight w:val="none"/>
          <w:lang w:val="zh-CN"/>
        </w:rPr>
        <w:br w:type="page"/>
      </w:r>
    </w:p>
    <w:p w14:paraId="2469B914">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7" w:name="_Toc31141"/>
      <w:r>
        <w:rPr>
          <w:rFonts w:hint="eastAsia" w:ascii="宋体" w:hAnsi="宋体" w:eastAsia="宋体" w:cs="宋体"/>
          <w:b/>
          <w:sz w:val="32"/>
          <w:szCs w:val="28"/>
          <w:highlight w:val="none"/>
          <w:lang w:val="zh-CN" w:eastAsia="zh-CN"/>
        </w:rPr>
        <w:t>第四章  合同条款及格式</w:t>
      </w:r>
      <w:bookmarkEnd w:id="26"/>
      <w:bookmarkEnd w:id="27"/>
    </w:p>
    <w:p w14:paraId="64472627">
      <w:pPr>
        <w:pStyle w:val="2"/>
        <w:spacing w:after="120" w:line="240" w:lineRule="auto"/>
        <w:rPr>
          <w:rFonts w:hint="eastAsia" w:ascii="宋体" w:hAnsi="宋体" w:cs="宋体"/>
          <w:highlight w:val="none"/>
          <w:lang w:val="zh-CN"/>
        </w:rPr>
      </w:pPr>
      <w:bookmarkStart w:id="28" w:name="_Toc21023"/>
      <w:bookmarkStart w:id="29" w:name="_Toc2050"/>
      <w:r>
        <w:rPr>
          <w:rFonts w:hint="eastAsia" w:ascii="宋体" w:hAnsi="宋体" w:cs="宋体"/>
          <w:highlight w:val="none"/>
          <w:lang w:val="zh-CN"/>
        </w:rPr>
        <w:t>（仅供参考，以双方实际签订合同为准）</w:t>
      </w:r>
      <w:bookmarkEnd w:id="28"/>
      <w:bookmarkEnd w:id="29"/>
    </w:p>
    <w:p w14:paraId="226D971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1．定义：</w:t>
      </w:r>
      <w:r>
        <w:rPr>
          <w:rFonts w:hint="eastAsia" w:ascii="宋体" w:hAnsi="宋体" w:cs="宋体"/>
          <w:szCs w:val="21"/>
          <w:highlight w:val="none"/>
          <w:lang w:val="zh-CN"/>
        </w:rPr>
        <w:t>除非另有约定，在本合同下列术语按如下定义进行解释：</w:t>
      </w:r>
    </w:p>
    <w:p w14:paraId="0625E04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合同</w:t>
      </w:r>
      <w:r>
        <w:rPr>
          <w:rFonts w:hint="eastAsia" w:ascii="宋体" w:hAnsi="宋体" w:cs="宋体"/>
          <w:szCs w:val="21"/>
          <w:highlight w:val="none"/>
        </w:rPr>
        <w:t>”</w:t>
      </w:r>
      <w:r>
        <w:rPr>
          <w:rFonts w:hint="eastAsia" w:ascii="宋体" w:hAnsi="宋体" w:cs="宋体"/>
          <w:szCs w:val="21"/>
          <w:highlight w:val="none"/>
          <w:lang w:val="zh-CN"/>
        </w:rPr>
        <w:t>指供需双方签署的、在合同中载明的合同各方所达成的协议，标段括构成合同的所有附件、附录和其他文件。</w:t>
      </w:r>
    </w:p>
    <w:p w14:paraId="57CDB6D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rPr>
        <w:t>“</w:t>
      </w:r>
      <w:r>
        <w:rPr>
          <w:rFonts w:hint="eastAsia" w:ascii="宋体" w:hAnsi="宋体" w:cs="宋体"/>
          <w:szCs w:val="21"/>
          <w:highlight w:val="none"/>
          <w:lang w:val="zh-CN"/>
        </w:rPr>
        <w:t>附件、附录</w:t>
      </w:r>
      <w:r>
        <w:rPr>
          <w:rFonts w:hint="eastAsia" w:ascii="宋体" w:hAnsi="宋体" w:cs="宋体"/>
          <w:szCs w:val="21"/>
          <w:highlight w:val="none"/>
        </w:rPr>
        <w:t>”</w:t>
      </w:r>
      <w:r>
        <w:rPr>
          <w:rFonts w:hint="eastAsia" w:ascii="宋体" w:hAnsi="宋体" w:cs="宋体"/>
          <w:szCs w:val="21"/>
          <w:highlight w:val="none"/>
          <w:lang w:val="zh-CN"/>
        </w:rPr>
        <w:t>指与本合同的订立、履行有关的，经供需双方认可的，对本合同约定内容进行细化、补充、修改、变更等的文件资料。</w:t>
      </w:r>
    </w:p>
    <w:p w14:paraId="428A33F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w:t>
      </w:r>
      <w:r>
        <w:rPr>
          <w:rFonts w:hint="eastAsia" w:ascii="宋体" w:hAnsi="宋体" w:cs="宋体"/>
          <w:szCs w:val="21"/>
          <w:highlight w:val="none"/>
          <w:lang w:val="zh-CN"/>
        </w:rPr>
        <w:t>合同价格</w:t>
      </w:r>
      <w:r>
        <w:rPr>
          <w:rFonts w:hint="eastAsia" w:ascii="宋体" w:hAnsi="宋体" w:cs="宋体"/>
          <w:szCs w:val="21"/>
          <w:highlight w:val="none"/>
        </w:rPr>
        <w:t>”</w:t>
      </w:r>
      <w:r>
        <w:rPr>
          <w:rFonts w:hint="eastAsia" w:ascii="宋体" w:hAnsi="宋体" w:cs="宋体"/>
          <w:szCs w:val="21"/>
          <w:highlight w:val="none"/>
          <w:lang w:val="zh-CN"/>
        </w:rPr>
        <w:t>指根据合同规定供方正确地完全履行合同义务后需方应支付给供方的价格。</w:t>
      </w:r>
    </w:p>
    <w:p w14:paraId="41EAFC9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w:t>
      </w:r>
      <w:r>
        <w:rPr>
          <w:rFonts w:hint="eastAsia" w:ascii="宋体" w:hAnsi="宋体" w:cs="宋体"/>
          <w:szCs w:val="21"/>
          <w:highlight w:val="none"/>
        </w:rPr>
        <w:t>“</w:t>
      </w:r>
      <w:r>
        <w:rPr>
          <w:rFonts w:hint="eastAsia" w:ascii="宋体" w:hAnsi="宋体" w:cs="宋体"/>
          <w:szCs w:val="21"/>
          <w:highlight w:val="none"/>
          <w:lang w:val="zh-CN"/>
        </w:rPr>
        <w:t>货物</w:t>
      </w:r>
      <w:r>
        <w:rPr>
          <w:rFonts w:hint="eastAsia" w:ascii="宋体" w:hAnsi="宋体" w:cs="宋体"/>
          <w:szCs w:val="21"/>
          <w:highlight w:val="none"/>
        </w:rPr>
        <w:t>”</w:t>
      </w:r>
      <w:r>
        <w:rPr>
          <w:rFonts w:hint="eastAsia" w:ascii="宋体" w:hAnsi="宋体" w:cs="宋体"/>
          <w:szCs w:val="21"/>
          <w:highlight w:val="none"/>
          <w:lang w:val="zh-CN"/>
        </w:rPr>
        <w:t>指根据合同规定供方须向需方提供的一切材料、设备、机械、仪表、备件、工具和/或其它材料。</w:t>
      </w:r>
    </w:p>
    <w:p w14:paraId="171F4D6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（5）</w:t>
      </w:r>
      <w:r>
        <w:rPr>
          <w:rFonts w:hint="eastAsia" w:ascii="宋体" w:hAnsi="宋体" w:cs="宋体"/>
          <w:szCs w:val="21"/>
          <w:highlight w:val="none"/>
        </w:rPr>
        <w:t>“</w:t>
      </w:r>
      <w:r>
        <w:rPr>
          <w:rFonts w:hint="eastAsia" w:ascii="宋体" w:hAnsi="宋体" w:cs="宋体"/>
          <w:szCs w:val="21"/>
          <w:highlight w:val="none"/>
          <w:lang w:val="zh-CN"/>
        </w:rPr>
        <w:t>服务</w:t>
      </w:r>
      <w:r>
        <w:rPr>
          <w:rFonts w:hint="eastAsia" w:ascii="宋体" w:hAnsi="宋体" w:cs="宋体"/>
          <w:szCs w:val="21"/>
          <w:highlight w:val="none"/>
        </w:rPr>
        <w:t>”</w:t>
      </w:r>
      <w:r>
        <w:rPr>
          <w:rFonts w:hint="eastAsia" w:ascii="宋体" w:hAnsi="宋体" w:cs="宋体"/>
          <w:szCs w:val="21"/>
          <w:highlight w:val="none"/>
          <w:lang w:val="zh-CN"/>
        </w:rPr>
        <w:t>指根据合同规定供方承担的与供货和履行合同有关的辅助服务。</w:t>
      </w:r>
    </w:p>
    <w:p w14:paraId="4073387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w:t>
      </w:r>
      <w:r>
        <w:rPr>
          <w:rFonts w:hint="eastAsia" w:ascii="宋体" w:hAnsi="宋体" w:cs="宋体"/>
          <w:szCs w:val="21"/>
          <w:highlight w:val="none"/>
        </w:rPr>
        <w:t>“</w:t>
      </w:r>
      <w:r>
        <w:rPr>
          <w:rFonts w:hint="eastAsia" w:ascii="宋体" w:hAnsi="宋体" w:cs="宋体"/>
          <w:szCs w:val="21"/>
          <w:highlight w:val="none"/>
          <w:lang w:val="zh-CN"/>
        </w:rPr>
        <w:t>需方</w:t>
      </w:r>
      <w:r>
        <w:rPr>
          <w:rFonts w:hint="eastAsia" w:ascii="宋体" w:hAnsi="宋体" w:cs="宋体"/>
          <w:szCs w:val="21"/>
          <w:highlight w:val="none"/>
        </w:rPr>
        <w:t>”</w:t>
      </w:r>
      <w:r>
        <w:rPr>
          <w:rFonts w:hint="eastAsia" w:ascii="宋体" w:hAnsi="宋体" w:cs="宋体"/>
          <w:szCs w:val="21"/>
          <w:highlight w:val="none"/>
          <w:lang w:val="zh-CN"/>
        </w:rPr>
        <w:t>指政府招标货物和服务的使用单位。</w:t>
      </w:r>
    </w:p>
    <w:p w14:paraId="225152E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w:t>
      </w:r>
      <w:r>
        <w:rPr>
          <w:rFonts w:hint="eastAsia" w:ascii="宋体" w:hAnsi="宋体" w:cs="宋体"/>
          <w:szCs w:val="21"/>
          <w:highlight w:val="none"/>
        </w:rPr>
        <w:t>“</w:t>
      </w:r>
      <w:r>
        <w:rPr>
          <w:rFonts w:hint="eastAsia" w:ascii="宋体" w:hAnsi="宋体" w:cs="宋体"/>
          <w:szCs w:val="21"/>
          <w:highlight w:val="none"/>
          <w:lang w:val="zh-CN"/>
        </w:rPr>
        <w:t>供方</w:t>
      </w:r>
      <w:r>
        <w:rPr>
          <w:rFonts w:hint="eastAsia" w:ascii="宋体" w:hAnsi="宋体" w:cs="宋体"/>
          <w:szCs w:val="21"/>
          <w:highlight w:val="none"/>
        </w:rPr>
        <w:t>”</w:t>
      </w:r>
      <w:r>
        <w:rPr>
          <w:rFonts w:hint="eastAsia" w:ascii="宋体" w:hAnsi="宋体" w:cs="宋体"/>
          <w:szCs w:val="21"/>
          <w:highlight w:val="none"/>
          <w:lang w:val="zh-CN"/>
        </w:rPr>
        <w:t>指按照合同规定向需方提供货物和服务的公司或实体。</w:t>
      </w:r>
    </w:p>
    <w:p w14:paraId="72CCA9C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（8）</w:t>
      </w:r>
      <w:r>
        <w:rPr>
          <w:rFonts w:hint="eastAsia" w:ascii="宋体" w:hAnsi="宋体" w:cs="宋体"/>
          <w:szCs w:val="21"/>
          <w:highlight w:val="none"/>
        </w:rPr>
        <w:t>“</w:t>
      </w:r>
      <w:r>
        <w:rPr>
          <w:rFonts w:hint="eastAsia" w:ascii="宋体" w:hAnsi="宋体" w:cs="宋体"/>
          <w:szCs w:val="21"/>
          <w:highlight w:val="none"/>
          <w:lang w:val="zh-CN"/>
        </w:rPr>
        <w:t>第三方</w:t>
      </w:r>
      <w:r>
        <w:rPr>
          <w:rFonts w:hint="eastAsia" w:ascii="宋体" w:hAnsi="宋体" w:cs="宋体"/>
          <w:szCs w:val="21"/>
          <w:highlight w:val="none"/>
        </w:rPr>
        <w:t>”</w:t>
      </w:r>
      <w:r>
        <w:rPr>
          <w:rFonts w:hint="eastAsia" w:ascii="宋体" w:hAnsi="宋体" w:cs="宋体"/>
          <w:szCs w:val="21"/>
          <w:highlight w:val="none"/>
          <w:lang w:val="zh-CN"/>
        </w:rPr>
        <w:t>指本合同以外的任何中国境内、境外的法人、自然人或其他组织。</w:t>
      </w:r>
    </w:p>
    <w:p w14:paraId="53D1F7E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（9）</w:t>
      </w:r>
      <w:r>
        <w:rPr>
          <w:rFonts w:hint="eastAsia" w:ascii="宋体" w:hAnsi="宋体" w:cs="宋体"/>
          <w:szCs w:val="21"/>
          <w:highlight w:val="none"/>
        </w:rPr>
        <w:t>“</w:t>
      </w:r>
      <w:r>
        <w:rPr>
          <w:rFonts w:hint="eastAsia" w:ascii="宋体" w:hAnsi="宋体" w:cs="宋体"/>
          <w:szCs w:val="21"/>
          <w:highlight w:val="none"/>
          <w:lang w:val="zh-CN"/>
        </w:rPr>
        <w:t>日、天</w:t>
      </w:r>
      <w:r>
        <w:rPr>
          <w:rFonts w:hint="eastAsia" w:ascii="宋体" w:hAnsi="宋体" w:cs="宋体"/>
          <w:szCs w:val="21"/>
          <w:highlight w:val="none"/>
        </w:rPr>
        <w:t>”</w:t>
      </w:r>
      <w:r>
        <w:rPr>
          <w:rFonts w:hint="eastAsia" w:ascii="宋体" w:hAnsi="宋体" w:cs="宋体"/>
          <w:szCs w:val="21"/>
          <w:highlight w:val="none"/>
          <w:lang w:val="zh-CN"/>
        </w:rPr>
        <w:t>均指日历天数。</w:t>
      </w:r>
    </w:p>
    <w:p w14:paraId="5F6A8A6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w:t>
      </w:r>
      <w:r>
        <w:rPr>
          <w:rFonts w:hint="eastAsia" w:ascii="宋体" w:hAnsi="宋体" w:cs="宋体"/>
          <w:szCs w:val="21"/>
          <w:highlight w:val="none"/>
        </w:rPr>
        <w:t>“</w:t>
      </w:r>
      <w:r>
        <w:rPr>
          <w:rFonts w:hint="eastAsia" w:ascii="宋体" w:hAnsi="宋体" w:cs="宋体"/>
          <w:szCs w:val="21"/>
          <w:highlight w:val="none"/>
          <w:lang w:val="zh-CN"/>
        </w:rPr>
        <w:t>工作日</w:t>
      </w:r>
      <w:r>
        <w:rPr>
          <w:rFonts w:hint="eastAsia" w:ascii="宋体" w:hAnsi="宋体" w:cs="宋体"/>
          <w:szCs w:val="21"/>
          <w:highlight w:val="none"/>
        </w:rPr>
        <w:t>”</w:t>
      </w:r>
      <w:r>
        <w:rPr>
          <w:rFonts w:hint="eastAsia" w:ascii="宋体" w:hAnsi="宋体" w:cs="宋体"/>
          <w:szCs w:val="21"/>
          <w:highlight w:val="none"/>
          <w:lang w:val="zh-CN"/>
        </w:rPr>
        <w:t>指扣除公休日和国家法定节假日以外的日历日。</w:t>
      </w:r>
    </w:p>
    <w:p w14:paraId="1E18B549">
      <w:pPr>
        <w:autoSpaceDE w:val="0"/>
        <w:autoSpaceDN w:val="0"/>
        <w:adjustRightInd w:val="0"/>
        <w:spacing w:line="360" w:lineRule="auto"/>
        <w:ind w:firstLine="482"/>
        <w:rPr>
          <w:rFonts w:hint="eastAsia" w:ascii="宋体" w:hAnsi="宋体" w:cs="宋体"/>
          <w:szCs w:val="21"/>
          <w:highlight w:val="none"/>
          <w:u w:val="single"/>
        </w:rPr>
      </w:pPr>
      <w:r>
        <w:rPr>
          <w:rFonts w:hint="eastAsia" w:ascii="宋体" w:hAnsi="宋体" w:cs="宋体"/>
          <w:b/>
          <w:szCs w:val="21"/>
          <w:highlight w:val="none"/>
          <w:lang w:val="zh-CN"/>
        </w:rPr>
        <w:t>2．适用范围：</w:t>
      </w:r>
      <w:r>
        <w:rPr>
          <w:rFonts w:hint="eastAsia" w:ascii="宋体" w:hAnsi="宋体" w:cs="宋体"/>
          <w:szCs w:val="21"/>
          <w:highlight w:val="none"/>
          <w:lang w:val="zh-CN"/>
        </w:rPr>
        <w:t>本合同条款仅适用</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75C96156">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3．合同内容：</w:t>
      </w:r>
      <w:r>
        <w:rPr>
          <w:rFonts w:hint="eastAsia" w:ascii="宋体" w:hAnsi="宋体" w:cs="宋体"/>
          <w:szCs w:val="21"/>
          <w:highlight w:val="none"/>
          <w:lang w:val="zh-CN"/>
        </w:rPr>
        <w:t>详见招标文件</w:t>
      </w:r>
      <w:r>
        <w:rPr>
          <w:rFonts w:hint="eastAsia" w:ascii="宋体" w:hAnsi="宋体" w:cs="宋体"/>
          <w:szCs w:val="21"/>
          <w:highlight w:val="none"/>
        </w:rPr>
        <w:t>“</w:t>
      </w:r>
      <w:r>
        <w:rPr>
          <w:rFonts w:hint="eastAsia" w:ascii="宋体" w:hAnsi="宋体" w:cs="宋体"/>
          <w:szCs w:val="21"/>
          <w:highlight w:val="none"/>
          <w:lang w:val="zh-CN"/>
        </w:rPr>
        <w:t>技术规格与要求</w:t>
      </w:r>
      <w:r>
        <w:rPr>
          <w:rFonts w:hint="eastAsia" w:ascii="宋体" w:hAnsi="宋体" w:cs="宋体"/>
          <w:szCs w:val="21"/>
          <w:highlight w:val="none"/>
        </w:rPr>
        <w:t>”</w:t>
      </w:r>
      <w:r>
        <w:rPr>
          <w:rFonts w:hint="eastAsia" w:ascii="宋体" w:hAnsi="宋体" w:cs="宋体"/>
          <w:szCs w:val="21"/>
          <w:highlight w:val="none"/>
          <w:lang w:val="zh-CN"/>
        </w:rPr>
        <w:t>及供方的投标文件。未尽事宜在</w:t>
      </w:r>
      <w:r>
        <w:rPr>
          <w:rFonts w:hint="eastAsia" w:ascii="宋体" w:hAnsi="宋体" w:cs="宋体"/>
          <w:szCs w:val="21"/>
          <w:highlight w:val="none"/>
        </w:rPr>
        <w:t>“</w:t>
      </w:r>
      <w:r>
        <w:rPr>
          <w:rFonts w:hint="eastAsia" w:ascii="宋体" w:hAnsi="宋体" w:cs="宋体"/>
          <w:szCs w:val="21"/>
          <w:highlight w:val="none"/>
          <w:lang w:val="zh-CN"/>
        </w:rPr>
        <w:t>政府招标合同书中</w:t>
      </w:r>
      <w:r>
        <w:rPr>
          <w:rFonts w:hint="eastAsia" w:ascii="宋体" w:hAnsi="宋体" w:cs="宋体"/>
          <w:szCs w:val="21"/>
          <w:highlight w:val="none"/>
        </w:rPr>
        <w:t>”</w:t>
      </w:r>
      <w:r>
        <w:rPr>
          <w:rFonts w:hint="eastAsia" w:ascii="宋体" w:hAnsi="宋体" w:cs="宋体"/>
          <w:szCs w:val="21"/>
          <w:highlight w:val="none"/>
          <w:lang w:val="zh-CN"/>
        </w:rPr>
        <w:t>约定。</w:t>
      </w:r>
    </w:p>
    <w:p w14:paraId="41A1CB1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4．合同价格、交货时间及地点、交货方式、付款方式及条件：</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政府招标合同书</w:t>
      </w:r>
      <w:r>
        <w:rPr>
          <w:rFonts w:hint="eastAsia" w:ascii="宋体" w:hAnsi="宋体" w:cs="宋体"/>
          <w:szCs w:val="21"/>
          <w:highlight w:val="none"/>
        </w:rPr>
        <w:t>”</w:t>
      </w:r>
      <w:r>
        <w:rPr>
          <w:rFonts w:hint="eastAsia" w:ascii="宋体" w:hAnsi="宋体" w:cs="宋体"/>
          <w:szCs w:val="21"/>
          <w:highlight w:val="none"/>
          <w:lang w:val="zh-CN"/>
        </w:rPr>
        <w:t>中约定。</w:t>
      </w:r>
    </w:p>
    <w:p w14:paraId="21ADA763">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5．知识产权及有关规定：</w:t>
      </w:r>
      <w:r>
        <w:rPr>
          <w:rFonts w:hint="eastAsia" w:ascii="宋体" w:hAnsi="宋体" w:cs="宋体"/>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7B5DFF4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6．保密条款</w:t>
      </w:r>
    </w:p>
    <w:p w14:paraId="65DAAB6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6.1任何一方对其获知的本合同涉及的所有有形、无形的信息及资料（标段括但不限于供需双方的往来书面文字文件、电子邮件等）中另一方的商业秘密或国家秘密负有保密义务。</w:t>
      </w:r>
    </w:p>
    <w:p w14:paraId="39F1759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4E62078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7.合同的解释</w:t>
      </w:r>
    </w:p>
    <w:p w14:paraId="5BF4D38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7.1任何一方对本合同及其附件的解释均应遵循诚实信用原则，依照本合同签订时有效的中华人民共和国的法律、法规以及人们通常的理解进行。</w:t>
      </w:r>
    </w:p>
    <w:p w14:paraId="17FA32A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7.2本合同中以日（天）表述的时间期限均指公历日。</w:t>
      </w:r>
    </w:p>
    <w:p w14:paraId="66DB689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7.3对本合同的任何解释均应以书面做出。</w:t>
      </w:r>
    </w:p>
    <w:p w14:paraId="73F0530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8．标段装要求：</w:t>
      </w:r>
      <w:r>
        <w:rPr>
          <w:rFonts w:hint="eastAsia" w:ascii="宋体" w:hAnsi="宋体" w:cs="宋体"/>
          <w:szCs w:val="21"/>
          <w:highlight w:val="none"/>
          <w:lang w:val="zh-CN"/>
        </w:rPr>
        <w:t>除合同另有规定外，供方提供的全部货物均应按国家或行业标准进行标段装。因标段装出现问题导致货物毁损的,由供方向需方直接承担责任。每一个标段装箱内应附一份详细的装箱单和质量合格证书。</w:t>
      </w:r>
    </w:p>
    <w:p w14:paraId="44178C18">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9．标段装标志：</w:t>
      </w:r>
      <w:r>
        <w:rPr>
          <w:rFonts w:hint="eastAsia" w:ascii="宋体" w:hAnsi="宋体" w:cs="宋体"/>
          <w:szCs w:val="21"/>
          <w:highlight w:val="none"/>
          <w:lang w:val="zh-CN"/>
        </w:rPr>
        <w:t>每一标段装箱应用不褪色的油漆以醒目的中文字样做出相关标记。</w:t>
      </w:r>
    </w:p>
    <w:p w14:paraId="07501D4E">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10．伴随服务</w:t>
      </w:r>
    </w:p>
    <w:p w14:paraId="7FC92D7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10.1供方应提供所交付货物的全套技术文件资料，标段括产品目录、图纸、操作手册、使用说明、维护手册和服务指南等。</w:t>
      </w:r>
    </w:p>
    <w:p w14:paraId="073AAFE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7FC1C8D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10.3上述伴随服务的费用应标段含在合同总价中，不单独进行支付。</w:t>
      </w:r>
    </w:p>
    <w:p w14:paraId="16826D0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11．质量保证期及售后服务</w:t>
      </w:r>
    </w:p>
    <w:p w14:paraId="1A18374E">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11.1质量保证期及售后服务：详见招标文件的要求，供方提交的售后服务承诺书和制造厂商的有关文件，如果上述文件有不一致之处，以对需方有利的为准。</w:t>
      </w:r>
    </w:p>
    <w:p w14:paraId="5267C7A6">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11.2如果上述第11.1款无特别约定，本合同项下货物的质量保证期为从需方验收合格并交付给需方之日起一年。</w:t>
      </w:r>
    </w:p>
    <w:p w14:paraId="76C0B27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12．质量保证</w:t>
      </w:r>
    </w:p>
    <w:p w14:paraId="3A579D5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1545A6F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12.2 在质量保证期内，如果货物的规格型号、配置、技术性能、原产地及制造厂商以及其他技术质量指标与合同约定不符，或证实货物是有缺陷的，标段括潜在的缺陷或使用不符合要求的材料等，需方应尽快以书面形式向供方提出索赔。</w:t>
      </w:r>
    </w:p>
    <w:p w14:paraId="14A78ED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12.3在质量保证期内，供方在接到需方的通知后，应在本合同条款第11条约定的响应时间内,免费维修和/或更换有缺陷的货物或部件。</w:t>
      </w:r>
    </w:p>
    <w:p w14:paraId="776D89B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485CCFC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13．验收</w:t>
      </w:r>
    </w:p>
    <w:p w14:paraId="19ABCC25">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13.1</w:t>
      </w:r>
      <w:r>
        <w:rPr>
          <w:rFonts w:hint="eastAsia" w:ascii="宋体" w:hAnsi="宋体" w:cs="宋体"/>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2286685D">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13.2验收过程中，如果供需双方对合同标的质量发生争议，应当聘请当地质检（商检）部门或有关部门对有争议的货物质量进行鉴定，检验费用由责任方承担。</w:t>
      </w:r>
    </w:p>
    <w:p w14:paraId="4161B71F">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szCs w:val="21"/>
          <w:highlight w:val="none"/>
          <w:lang w:val="zh-CN"/>
        </w:rPr>
        <w:t>13.3按照规定必须由国家有关部门或者机构检验合格才允许使用的货物，由供方负责（需方配合）向有关部门或者机构申请检验并取得检验合格的报告（证书）或者使用许可证，费用标段含在供方的投标总价中。</w:t>
      </w:r>
    </w:p>
    <w:p w14:paraId="4D4680D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14．索赔</w:t>
      </w:r>
    </w:p>
    <w:p w14:paraId="42B5AE7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14.1需方有权根据国家技术监督局、进出口商品检验局或其他具有法定资格的质检机构出具的检验证书向供方提出索赔。</w:t>
      </w:r>
    </w:p>
    <w:p w14:paraId="4CD96EC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14.2如果供方对缺陷负有责任而需方提出索赔，供方应按照需方同意的下列一种或多种方式解决索赔事宜：</w:t>
      </w:r>
    </w:p>
    <w:p w14:paraId="1375CEC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（1）供方同意退货并用合同规定的货币将货款退还给需方，并承担由此发生的一切损失和费用，标段括利息、银行手续费、运费、保险费、检验费、仓储费、装卸费以及为保护退回货物所需的其他必要费用。</w:t>
      </w:r>
    </w:p>
    <w:p w14:paraId="1DC2472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（2）根据货物低劣、损坏程度以及需方所遭受损失的金额，经双方商定降低货物的价格。</w:t>
      </w:r>
    </w:p>
    <w:p w14:paraId="7AD7112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478B437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0D1C24A0">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15．履约延误</w:t>
      </w:r>
    </w:p>
    <w:p w14:paraId="6D52422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15.1 供方应按照合同规定的时间、地点交货和提供服务；需方应按照合同规定的时间、地点接收货物和接受服务。</w:t>
      </w:r>
    </w:p>
    <w:p w14:paraId="04C9AAD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2597C53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45A1C16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16．误期赔偿</w:t>
      </w:r>
    </w:p>
    <w:p w14:paraId="789408E6">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16.1除本合同条款</w:t>
      </w:r>
      <w:r>
        <w:rPr>
          <w:rFonts w:hint="eastAsia" w:ascii="宋体" w:hAnsi="宋体" w:cs="宋体"/>
          <w:b/>
          <w:szCs w:val="21"/>
          <w:highlight w:val="none"/>
          <w:lang w:val="zh-CN"/>
        </w:rPr>
        <w:t>第18条</w:t>
      </w:r>
      <w:r>
        <w:rPr>
          <w:rFonts w:hint="eastAsia" w:ascii="宋体" w:hAnsi="宋体" w:cs="宋体"/>
          <w:szCs w:val="21"/>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7AD7285B">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16.2误期赔偿费可从应付货款和/或履约保证金中扣除。</w:t>
      </w:r>
    </w:p>
    <w:p w14:paraId="0DE10C46">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16.3收取误期赔偿费不影响需方采取合同规定的其他补救措施的权利。</w:t>
      </w:r>
    </w:p>
    <w:p w14:paraId="1EFC708A">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16.4在收取误期赔偿费期间，需方有权决定是否终止合同。</w:t>
      </w:r>
    </w:p>
    <w:p w14:paraId="398220C0">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16.5如果需方违约，应承担相应的违约责任。</w:t>
      </w:r>
    </w:p>
    <w:p w14:paraId="75A2FA2F">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17．履约保证金和质量保证金：在政府招标合同书中约定。</w:t>
      </w:r>
    </w:p>
    <w:p w14:paraId="1BEC6DF0">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18．不可抗力</w:t>
      </w:r>
    </w:p>
    <w:p w14:paraId="5AE562E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4F40F5C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18.2 本条所述的</w:t>
      </w:r>
      <w:r>
        <w:rPr>
          <w:rFonts w:hint="eastAsia" w:ascii="宋体" w:hAnsi="宋体" w:cs="宋体"/>
          <w:szCs w:val="21"/>
          <w:highlight w:val="none"/>
        </w:rPr>
        <w:t>“</w:t>
      </w:r>
      <w:r>
        <w:rPr>
          <w:rFonts w:hint="eastAsia" w:ascii="宋体" w:hAnsi="宋体" w:cs="宋体"/>
          <w:szCs w:val="21"/>
          <w:highlight w:val="none"/>
          <w:lang w:val="zh-CN"/>
        </w:rPr>
        <w:t>不可抗力</w:t>
      </w:r>
      <w:r>
        <w:rPr>
          <w:rFonts w:hint="eastAsia" w:ascii="宋体" w:hAnsi="宋体" w:cs="宋体"/>
          <w:szCs w:val="21"/>
          <w:highlight w:val="none"/>
        </w:rPr>
        <w:t>”</w:t>
      </w:r>
      <w:r>
        <w:rPr>
          <w:rFonts w:hint="eastAsia" w:ascii="宋体" w:hAnsi="宋体" w:cs="宋体"/>
          <w:szCs w:val="21"/>
          <w:highlight w:val="none"/>
          <w:lang w:val="zh-CN"/>
        </w:rPr>
        <w:t>系指那些双方无法控制，不可预见的事件，但不标段括双方的违约或疏忽。这些事件标段括但不限于：战争、严重火灾、洪水、台风、地震以及其它双方商定的事件。</w:t>
      </w:r>
    </w:p>
    <w:p w14:paraId="28EB1AB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6FA478E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19．税费</w:t>
      </w:r>
    </w:p>
    <w:p w14:paraId="57C59A1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19.1 根据现行法律规定对需方征收的与本合同有关的一切税费均由需方负担。</w:t>
      </w:r>
    </w:p>
    <w:p w14:paraId="5BACFE8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19.2 根据现行法律规定对供方征收的与本合同有关的一切税费均由供方负担。</w:t>
      </w:r>
    </w:p>
    <w:p w14:paraId="367937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19.3 在中国境外发生的与执行本合同有关的一切税费均由供方负担。</w:t>
      </w:r>
    </w:p>
    <w:p w14:paraId="4F7C06A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20．争议解决方式</w:t>
      </w:r>
    </w:p>
    <w:p w14:paraId="3A81806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szCs w:val="21"/>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szCs w:val="21"/>
          <w:highlight w:val="none"/>
          <w:lang w:val="zh-CN"/>
        </w:rPr>
        <w:t>政府招标合同书</w:t>
      </w:r>
      <w:r>
        <w:rPr>
          <w:rFonts w:hint="eastAsia" w:ascii="宋体" w:hAnsi="宋体" w:cs="宋体"/>
          <w:szCs w:val="21"/>
          <w:highlight w:val="none"/>
          <w:lang w:val="zh-CN"/>
        </w:rPr>
        <w:t>内约定以下一种方式解决争议：</w:t>
      </w:r>
    </w:p>
    <w:p w14:paraId="1A9D768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第一种方式：双方达成仲裁协议，向约定的仲裁机构申请仲裁；</w:t>
      </w:r>
    </w:p>
    <w:p w14:paraId="4F612E0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第二种方式：向有管辖权的人民法院提起诉讼。</w:t>
      </w:r>
    </w:p>
    <w:p w14:paraId="2AF812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20.2 因合同部分履行引发仲裁（诉讼）的，在仲裁（诉讼）期间，除正在进行仲裁（诉讼）的部分外，本合同的其它部分应继续执行。</w:t>
      </w:r>
    </w:p>
    <w:p w14:paraId="4FC56362">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21．违约终止合同</w:t>
      </w:r>
    </w:p>
    <w:p w14:paraId="62CD912F">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21.1 在需方因供方违约而按合同约定采取的任何补救措施不受影响的情况下，需方可在下列情况下向供方发出书面通知，提出终止部分或全部合同。</w:t>
      </w:r>
    </w:p>
    <w:p w14:paraId="146438D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（1）如果供方未能在合同规定的限期或需方同意延长的限期内提供部分或全部货物和服务。</w:t>
      </w:r>
    </w:p>
    <w:p w14:paraId="5CF3361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（2）如果供方未能履行合同规定的其它任何义务。</w:t>
      </w:r>
    </w:p>
    <w:p w14:paraId="6149C3D7">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（3）如果供方在本合同订立和履行过程中采取了任何</w:t>
      </w:r>
      <w:r>
        <w:rPr>
          <w:rFonts w:hint="eastAsia" w:ascii="宋体" w:hAnsi="宋体" w:cs="宋体"/>
          <w:szCs w:val="21"/>
          <w:highlight w:val="none"/>
        </w:rPr>
        <w:t>“</w:t>
      </w:r>
      <w:r>
        <w:rPr>
          <w:rFonts w:hint="eastAsia" w:ascii="宋体" w:hAnsi="宋体" w:cs="宋体"/>
          <w:szCs w:val="21"/>
          <w:highlight w:val="none"/>
          <w:lang w:val="zh-CN"/>
        </w:rPr>
        <w:t>不正当竞争行为</w:t>
      </w:r>
      <w:r>
        <w:rPr>
          <w:rFonts w:hint="eastAsia" w:ascii="宋体" w:hAnsi="宋体" w:cs="宋体"/>
          <w:szCs w:val="21"/>
          <w:highlight w:val="none"/>
        </w:rPr>
        <w:t>”</w:t>
      </w:r>
      <w:r>
        <w:rPr>
          <w:rFonts w:hint="eastAsia" w:ascii="宋体" w:hAnsi="宋体" w:cs="宋体"/>
          <w:szCs w:val="21"/>
          <w:highlight w:val="none"/>
          <w:lang w:val="zh-CN"/>
        </w:rPr>
        <w:t>，危害到国家利益、社会公共利益和需方的合法权益。</w:t>
      </w:r>
    </w:p>
    <w:p w14:paraId="56CBCE7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7653D5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21.3如果需方违约，应承担相应的违约责任。</w:t>
      </w:r>
    </w:p>
    <w:p w14:paraId="61B1791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22．破产终止合同：</w:t>
      </w:r>
      <w:r>
        <w:rPr>
          <w:rFonts w:hint="eastAsia" w:ascii="宋体" w:hAnsi="宋体" w:cs="宋体"/>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632C1CB5">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23．合同转让和分标段：</w:t>
      </w:r>
      <w:r>
        <w:rPr>
          <w:rFonts w:hint="eastAsia" w:ascii="宋体" w:hAnsi="宋体" w:cs="宋体"/>
          <w:szCs w:val="21"/>
          <w:highlight w:val="none"/>
          <w:lang w:val="zh-CN"/>
        </w:rPr>
        <w:t>本合同不得转让或分标段。</w:t>
      </w:r>
    </w:p>
    <w:p w14:paraId="458B5EAB">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24．需要补充的合同条款：</w:t>
      </w:r>
      <w:r>
        <w:rPr>
          <w:rFonts w:hint="eastAsia" w:ascii="宋体" w:hAnsi="宋体" w:cs="宋体"/>
          <w:szCs w:val="21"/>
          <w:highlight w:val="none"/>
          <w:lang w:val="zh-CN"/>
        </w:rPr>
        <w:t>在政府招标合同书中约定。</w:t>
      </w:r>
    </w:p>
    <w:p w14:paraId="1D64253F">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25．适用法律：</w:t>
      </w:r>
      <w:r>
        <w:rPr>
          <w:rFonts w:hint="eastAsia" w:ascii="宋体" w:hAnsi="宋体" w:cs="宋体"/>
          <w:szCs w:val="21"/>
          <w:highlight w:val="none"/>
          <w:lang w:val="zh-CN"/>
        </w:rPr>
        <w:t>本合同及附件的订立、效力、解释、履行、争议的解决等适用本合同签订时有效的中华人民共和国法律、法规的有关规定。</w:t>
      </w:r>
    </w:p>
    <w:p w14:paraId="4690CFD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26.主导语言与计量单位</w:t>
      </w:r>
    </w:p>
    <w:p w14:paraId="50ECD8E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26.1合同应用中文书写。供需双方所有来往信函，以及合同有关的文件均应以中文书写。</w:t>
      </w:r>
    </w:p>
    <w:p w14:paraId="6C53F7F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26.2除合同另有规定外，计量单位均使用中华人民共和国法定计量单位。</w:t>
      </w:r>
    </w:p>
    <w:p w14:paraId="7B0DF497">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b/>
          <w:szCs w:val="21"/>
          <w:highlight w:val="none"/>
          <w:lang w:val="zh-CN"/>
        </w:rPr>
        <w:t>27．政府招标法对政府招标合同变更、终止的规定：</w:t>
      </w:r>
      <w:r>
        <w:rPr>
          <w:rFonts w:hint="eastAsia" w:ascii="宋体" w:hAnsi="宋体" w:cs="宋体"/>
          <w:szCs w:val="21"/>
          <w:highlight w:val="none"/>
        </w:rPr>
        <w:t>“</w:t>
      </w:r>
      <w:r>
        <w:rPr>
          <w:rFonts w:hint="eastAsia" w:ascii="宋体" w:hAnsi="宋体" w:cs="宋体"/>
          <w:szCs w:val="21"/>
          <w:highlight w:val="none"/>
          <w:lang w:val="zh-CN"/>
        </w:rPr>
        <w:t>政府招标合同的双方当事人（指供需双方）不得擅自变更、中止或者终止合同。政府招标合同继续履行将损害国家利益和社会公共利益的，双方当事人应当变更、中止或者终止合同。有过错的一方应当承担赔偿责任，双方都有过错的，各自承担相应的责任。</w:t>
      </w:r>
      <w:r>
        <w:rPr>
          <w:rFonts w:hint="eastAsia" w:ascii="宋体" w:hAnsi="宋体" w:cs="宋体"/>
          <w:szCs w:val="21"/>
          <w:highlight w:val="none"/>
        </w:rPr>
        <w:t>”</w:t>
      </w:r>
    </w:p>
    <w:p w14:paraId="491B3F38">
      <w:pPr>
        <w:autoSpaceDE w:val="0"/>
        <w:autoSpaceDN w:val="0"/>
        <w:adjustRightInd w:val="0"/>
        <w:spacing w:line="360" w:lineRule="auto"/>
        <w:ind w:firstLine="482"/>
        <w:rPr>
          <w:rFonts w:hint="eastAsia" w:ascii="宋体" w:hAnsi="宋体" w:cs="宋体"/>
          <w:sz w:val="24"/>
          <w:highlight w:val="none"/>
        </w:rPr>
      </w:pPr>
    </w:p>
    <w:p w14:paraId="76E60BF6">
      <w:pPr>
        <w:autoSpaceDE w:val="0"/>
        <w:autoSpaceDN w:val="0"/>
        <w:adjustRightInd w:val="0"/>
        <w:spacing w:line="360" w:lineRule="auto"/>
        <w:ind w:firstLine="482"/>
        <w:rPr>
          <w:rFonts w:hint="eastAsia" w:ascii="宋体" w:hAnsi="宋体" w:cs="宋体"/>
          <w:sz w:val="24"/>
          <w:highlight w:val="none"/>
        </w:rPr>
      </w:pPr>
    </w:p>
    <w:p w14:paraId="049C0361">
      <w:pPr>
        <w:rPr>
          <w:rFonts w:hint="eastAsia" w:ascii="宋体" w:hAnsi="宋体" w:cs="宋体"/>
          <w:highlight w:val="none"/>
          <w:lang w:val="zh-CN"/>
        </w:rPr>
      </w:pPr>
    </w:p>
    <w:p w14:paraId="5758C761">
      <w:pPr>
        <w:autoSpaceDE w:val="0"/>
        <w:autoSpaceDN w:val="0"/>
        <w:adjustRightInd w:val="0"/>
        <w:spacing w:line="360" w:lineRule="auto"/>
        <w:ind w:firstLine="482"/>
        <w:rPr>
          <w:rFonts w:hint="eastAsia" w:ascii="宋体" w:hAnsi="宋体" w:cs="宋体"/>
          <w:szCs w:val="21"/>
          <w:highlight w:val="none"/>
        </w:rPr>
      </w:pPr>
    </w:p>
    <w:p w14:paraId="3E3FB080">
      <w:pPr>
        <w:rPr>
          <w:rFonts w:hint="eastAsia" w:ascii="宋体" w:hAnsi="宋体" w:cs="宋体"/>
          <w:sz w:val="32"/>
          <w:szCs w:val="28"/>
          <w:highlight w:val="none"/>
          <w:lang w:val="zh-CN"/>
        </w:rPr>
      </w:pPr>
      <w:r>
        <w:rPr>
          <w:rFonts w:hint="eastAsia" w:ascii="宋体" w:hAnsi="宋体" w:cs="宋体"/>
          <w:sz w:val="32"/>
          <w:szCs w:val="28"/>
          <w:highlight w:val="none"/>
          <w:lang w:val="zh-CN"/>
        </w:rPr>
        <w:br w:type="page"/>
      </w:r>
    </w:p>
    <w:p w14:paraId="1AE2E63F">
      <w:pPr>
        <w:pStyle w:val="2"/>
        <w:bidi w:val="0"/>
        <w:rPr>
          <w:rFonts w:hint="eastAsia"/>
          <w:highlight w:val="none"/>
          <w:lang w:val="en-US" w:eastAsia="zh-CN"/>
        </w:rPr>
      </w:pPr>
      <w:bookmarkStart w:id="30" w:name="_Toc30149"/>
      <w:r>
        <w:rPr>
          <w:rFonts w:hint="eastAsia"/>
          <w:highlight w:val="none"/>
          <w:lang w:val="en-US" w:eastAsia="zh-CN"/>
        </w:rPr>
        <w:t>第五章 政府采购合同书</w:t>
      </w:r>
      <w:bookmarkEnd w:id="30"/>
    </w:p>
    <w:p w14:paraId="052D9736">
      <w:pPr>
        <w:pStyle w:val="7"/>
        <w:ind w:firstLine="640"/>
        <w:jc w:val="center"/>
        <w:rPr>
          <w:rFonts w:hint="eastAsia"/>
          <w:sz w:val="32"/>
          <w:szCs w:val="28"/>
          <w:highlight w:val="none"/>
          <w:lang w:val="zh-CN"/>
        </w:rPr>
      </w:pPr>
      <w:r>
        <w:rPr>
          <w:rFonts w:hint="eastAsia" w:ascii="宋体" w:hAnsi="宋体" w:cs="宋体"/>
          <w:sz w:val="32"/>
          <w:szCs w:val="28"/>
          <w:highlight w:val="none"/>
          <w:lang w:val="zh-CN"/>
        </w:rPr>
        <w:t>（此合同仅供参考）</w:t>
      </w:r>
    </w:p>
    <w:p w14:paraId="7350B9C1">
      <w:pPr>
        <w:pStyle w:val="7"/>
        <w:ind w:firstLine="560"/>
        <w:rPr>
          <w:rFonts w:hint="eastAsia"/>
          <w:sz w:val="28"/>
          <w:szCs w:val="24"/>
          <w:highlight w:val="none"/>
          <w:lang w:val="zh-CN"/>
        </w:rPr>
      </w:pPr>
    </w:p>
    <w:p w14:paraId="20781FE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合同编号：</w:t>
      </w:r>
    </w:p>
    <w:p w14:paraId="2FF9337A">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签订地点： </w:t>
      </w:r>
    </w:p>
    <w:p w14:paraId="2BEEDCD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签订日期：二○  年  月  日 </w:t>
      </w:r>
    </w:p>
    <w:p w14:paraId="69B160F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招标任务通知书编号：</w:t>
      </w:r>
    </w:p>
    <w:p w14:paraId="53B7C8DD">
      <w:pPr>
        <w:autoSpaceDE w:val="0"/>
        <w:autoSpaceDN w:val="0"/>
        <w:adjustRightInd w:val="0"/>
        <w:spacing w:line="360" w:lineRule="auto"/>
        <w:rPr>
          <w:rFonts w:hint="eastAsia" w:ascii="宋体" w:hAnsi="宋体" w:cs="宋体"/>
          <w:szCs w:val="21"/>
          <w:highlight w:val="none"/>
          <w:lang w:val="zh-CN"/>
        </w:rPr>
      </w:pPr>
    </w:p>
    <w:p w14:paraId="72DC7791">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（需方）需求的</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（货物名称）经采购代理机构以编号为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的招标文件在国内公开招标，评标委员会评定（供方）为中标供应商。供需双方</w:t>
      </w:r>
      <w:r>
        <w:rPr>
          <w:rFonts w:hint="eastAsia" w:ascii="宋体" w:hAnsi="宋体" w:cs="宋体"/>
          <w:szCs w:val="21"/>
          <w:highlight w:val="none"/>
          <w:u w:val="single"/>
        </w:rPr>
        <w:t xml:space="preserve">          </w:t>
      </w:r>
      <w:r>
        <w:rPr>
          <w:rFonts w:hint="eastAsia" w:ascii="宋体" w:hAnsi="宋体" w:cs="宋体"/>
          <w:szCs w:val="21"/>
          <w:highlight w:val="none"/>
          <w:lang w:val="zh-CN"/>
        </w:rPr>
        <w:t>按照《中华人民共和国民法典》和有关法律法规，遵循平等、自愿、公平和诚实信用原则，同意按照下面的条款和条件订立本合同，共同信守。</w:t>
      </w:r>
    </w:p>
    <w:p w14:paraId="6F08BBEB">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1.合同标的</w:t>
      </w:r>
      <w:r>
        <w:rPr>
          <w:rFonts w:hint="eastAsia" w:ascii="宋体" w:hAnsi="宋体" w:cs="宋体"/>
          <w:szCs w:val="21"/>
          <w:highlight w:val="none"/>
          <w:lang w:val="zh-CN"/>
        </w:rPr>
        <w:t xml:space="preserve">： </w:t>
      </w:r>
    </w:p>
    <w:tbl>
      <w:tblPr>
        <w:tblStyle w:val="24"/>
        <w:tblW w:w="0" w:type="auto"/>
        <w:jc w:val="center"/>
        <w:tblLayout w:type="fixed"/>
        <w:tblCellMar>
          <w:top w:w="0" w:type="dxa"/>
          <w:left w:w="10" w:type="dxa"/>
          <w:bottom w:w="0" w:type="dxa"/>
          <w:right w:w="10" w:type="dxa"/>
        </w:tblCellMar>
      </w:tblPr>
      <w:tblGrid>
        <w:gridCol w:w="1634"/>
        <w:gridCol w:w="2708"/>
        <w:gridCol w:w="1065"/>
        <w:gridCol w:w="1052"/>
        <w:gridCol w:w="1627"/>
      </w:tblGrid>
      <w:tr w14:paraId="06A45A96">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0808C43D">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招标项目名称</w:t>
            </w: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3CD2D789">
            <w:pPr>
              <w:autoSpaceDE w:val="0"/>
              <w:autoSpaceDN w:val="0"/>
              <w:adjustRightInd w:val="0"/>
              <w:jc w:val="center"/>
              <w:rPr>
                <w:rFonts w:ascii="宋体" w:hAnsi="宋体" w:cs="宋体"/>
                <w:szCs w:val="21"/>
                <w:highlight w:val="none"/>
              </w:rPr>
            </w:pPr>
            <w:r>
              <w:rPr>
                <w:rFonts w:hint="eastAsia" w:ascii="宋体" w:hAnsi="宋体" w:cs="宋体"/>
                <w:szCs w:val="21"/>
                <w:highlight w:val="none"/>
                <w:lang w:val="zh-CN"/>
              </w:rPr>
              <w:t>详细配置及主要</w:t>
            </w:r>
            <w:r>
              <w:rPr>
                <w:rFonts w:hint="eastAsia" w:ascii="宋体" w:hAnsi="宋体" w:cs="宋体"/>
                <w:szCs w:val="21"/>
                <w:highlight w:val="none"/>
              </w:rPr>
              <w:t>采购需求</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213C45E">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数量</w:t>
            </w: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3D63C4A2">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单价</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20615D1E">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小计金额</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r>
      <w:tr w14:paraId="592D3E57">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564BF8D6">
            <w:pPr>
              <w:autoSpaceDE w:val="0"/>
              <w:autoSpaceDN w:val="0"/>
              <w:adjustRightInd w:val="0"/>
              <w:jc w:val="center"/>
              <w:rPr>
                <w:rFonts w:hint="eastAsia" w:ascii="宋体" w:hAnsi="宋体" w:cs="宋体"/>
                <w:szCs w:val="21"/>
                <w:highlight w:val="none"/>
                <w:lang w:val="zh-CN"/>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55ECAF6B">
            <w:pPr>
              <w:autoSpaceDE w:val="0"/>
              <w:autoSpaceDN w:val="0"/>
              <w:adjustRightInd w:val="0"/>
              <w:jc w:val="center"/>
              <w:rPr>
                <w:rFonts w:hint="eastAsia" w:ascii="宋体" w:hAnsi="宋体" w:cs="宋体"/>
                <w:szCs w:val="21"/>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60C149CA">
            <w:pPr>
              <w:autoSpaceDE w:val="0"/>
              <w:autoSpaceDN w:val="0"/>
              <w:adjustRightInd w:val="0"/>
              <w:jc w:val="center"/>
              <w:rPr>
                <w:rFonts w:hint="eastAsia" w:ascii="宋体" w:hAnsi="宋体" w:cs="宋体"/>
                <w:szCs w:val="21"/>
                <w:highlight w:val="none"/>
                <w:lang w:val="zh-CN"/>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49584D97">
            <w:pPr>
              <w:autoSpaceDE w:val="0"/>
              <w:autoSpaceDN w:val="0"/>
              <w:adjustRightInd w:val="0"/>
              <w:jc w:val="center"/>
              <w:rPr>
                <w:rFonts w:hint="eastAsia" w:ascii="宋体" w:hAnsi="宋体" w:cs="宋体"/>
                <w:szCs w:val="21"/>
                <w:highlight w:val="none"/>
                <w:lang w:val="zh-CN"/>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633B82E4">
            <w:pPr>
              <w:autoSpaceDE w:val="0"/>
              <w:autoSpaceDN w:val="0"/>
              <w:adjustRightInd w:val="0"/>
              <w:jc w:val="center"/>
              <w:rPr>
                <w:rFonts w:hint="eastAsia" w:ascii="宋体" w:hAnsi="宋体" w:cs="宋体"/>
                <w:szCs w:val="21"/>
                <w:highlight w:val="none"/>
                <w:lang w:val="zh-CN"/>
              </w:rPr>
            </w:pPr>
          </w:p>
        </w:tc>
      </w:tr>
      <w:tr w14:paraId="0B798A22">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0416B5AC">
            <w:pPr>
              <w:autoSpaceDE w:val="0"/>
              <w:autoSpaceDN w:val="0"/>
              <w:adjustRightInd w:val="0"/>
              <w:jc w:val="center"/>
              <w:rPr>
                <w:rFonts w:hint="eastAsia" w:ascii="宋体" w:hAnsi="宋体" w:cs="宋体"/>
                <w:szCs w:val="21"/>
                <w:highlight w:val="none"/>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23D111D9">
            <w:pPr>
              <w:autoSpaceDE w:val="0"/>
              <w:autoSpaceDN w:val="0"/>
              <w:adjustRightInd w:val="0"/>
              <w:jc w:val="center"/>
              <w:rPr>
                <w:rFonts w:hint="eastAsia" w:ascii="宋体" w:hAnsi="宋体" w:cs="宋体"/>
                <w:szCs w:val="21"/>
                <w:highlight w:val="none"/>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7EA2910">
            <w:pPr>
              <w:autoSpaceDE w:val="0"/>
              <w:autoSpaceDN w:val="0"/>
              <w:adjustRightInd w:val="0"/>
              <w:jc w:val="center"/>
              <w:rPr>
                <w:rFonts w:hint="eastAsia" w:ascii="宋体" w:hAnsi="宋体" w:cs="宋体"/>
                <w:szCs w:val="21"/>
                <w:highlight w:val="none"/>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48581062">
            <w:pPr>
              <w:autoSpaceDE w:val="0"/>
              <w:autoSpaceDN w:val="0"/>
              <w:adjustRightInd w:val="0"/>
              <w:jc w:val="center"/>
              <w:rPr>
                <w:rFonts w:hint="eastAsia" w:ascii="宋体" w:hAnsi="宋体" w:cs="宋体"/>
                <w:szCs w:val="21"/>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2CDF8EC6">
            <w:pPr>
              <w:autoSpaceDE w:val="0"/>
              <w:autoSpaceDN w:val="0"/>
              <w:adjustRightInd w:val="0"/>
              <w:jc w:val="center"/>
              <w:rPr>
                <w:rFonts w:hint="eastAsia" w:ascii="宋体" w:hAnsi="宋体" w:cs="宋体"/>
                <w:szCs w:val="21"/>
                <w:highlight w:val="none"/>
              </w:rPr>
            </w:pPr>
          </w:p>
        </w:tc>
      </w:tr>
    </w:tbl>
    <w:p w14:paraId="4F6807D3">
      <w:pPr>
        <w:autoSpaceDE w:val="0"/>
        <w:autoSpaceDN w:val="0"/>
        <w:adjustRightInd w:val="0"/>
        <w:spacing w:line="360" w:lineRule="auto"/>
        <w:ind w:firstLine="482"/>
        <w:rPr>
          <w:rFonts w:hint="eastAsia" w:ascii="宋体" w:hAnsi="宋体" w:cs="宋体"/>
          <w:b/>
          <w:szCs w:val="21"/>
          <w:highlight w:val="none"/>
          <w:lang w:val="zh-CN"/>
        </w:rPr>
      </w:pPr>
    </w:p>
    <w:p w14:paraId="782C6B3C">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 合同价格：</w:t>
      </w:r>
      <w:r>
        <w:rPr>
          <w:rFonts w:hint="eastAsia" w:ascii="宋体" w:hAnsi="宋体" w:cs="宋体"/>
          <w:szCs w:val="21"/>
          <w:highlight w:val="none"/>
          <w:lang w:val="zh-CN"/>
        </w:rPr>
        <w:t>人民币（大写）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元，（小写）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w:t>
      </w:r>
    </w:p>
    <w:p w14:paraId="11037139">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3. 交货时间、地点、方式</w:t>
      </w:r>
    </w:p>
    <w:p w14:paraId="1595E17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3.1交货时间：</w:t>
      </w:r>
    </w:p>
    <w:p w14:paraId="36A4AE2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3.2交货地点：</w:t>
      </w:r>
    </w:p>
    <w:p w14:paraId="541772D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3.3交货方式：供方负责将货物安全完好运抵交货地点、安装调试并保证验收合格。</w:t>
      </w:r>
    </w:p>
    <w:p w14:paraId="3B05ED4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4. 付款方式 </w:t>
      </w:r>
    </w:p>
    <w:p w14:paraId="2A136FCD">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4.1供方交货时应提交下列文件：销售发票，国家有关质检机构出具的检验报告或证书（如果合同约定有的话），进口产品的报关文件（如果合同约定有的话），制造厂商出具的质量检验证书、产品合格证等。</w:t>
      </w:r>
    </w:p>
    <w:p w14:paraId="01839F1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4.2 本合同总价款中由需方自行支付</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元。需方承诺全部货物安装并验收合格后。如果需方届时不能支付或者不能全额支付，由需方承担违约责任，供方承担全部收款责任，与招标机构无关。</w:t>
      </w:r>
    </w:p>
    <w:p w14:paraId="7481FB5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5．履约保证金</w:t>
      </w:r>
    </w:p>
    <w:p w14:paraId="1358C25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rPr>
        <w:t>5.1   无</w:t>
      </w:r>
    </w:p>
    <w:p w14:paraId="53D6B45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6.质量保证金</w:t>
      </w:r>
    </w:p>
    <w:p w14:paraId="022E377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w:t>
      </w:r>
      <w:r>
        <w:rPr>
          <w:rFonts w:hint="eastAsia" w:ascii="宋体" w:hAnsi="宋体" w:cs="宋体"/>
          <w:szCs w:val="21"/>
          <w:highlight w:val="none"/>
        </w:rPr>
        <w:t>无</w:t>
      </w:r>
    </w:p>
    <w:p w14:paraId="7F29942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7.合同补充条款：</w:t>
      </w:r>
    </w:p>
    <w:p w14:paraId="7BA2D954">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8.争议解决方式：</w:t>
      </w:r>
      <w:r>
        <w:rPr>
          <w:rFonts w:hint="eastAsia" w:ascii="宋体" w:hAnsi="宋体" w:cs="宋体"/>
          <w:szCs w:val="21"/>
          <w:highlight w:val="none"/>
          <w:lang w:val="zh-CN"/>
        </w:rPr>
        <w:t>供需双方达成仲裁协议，向仲裁委员会申请仲裁（向合同签订地人民法院提起诉讼）。</w:t>
      </w:r>
    </w:p>
    <w:p w14:paraId="7C6B8C8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9．合同构成：</w:t>
      </w:r>
      <w:r>
        <w:rPr>
          <w:rFonts w:hint="eastAsia" w:ascii="宋体" w:hAnsi="宋体" w:cs="宋体"/>
          <w:szCs w:val="21"/>
          <w:highlight w:val="none"/>
          <w:lang w:val="zh-CN"/>
        </w:rPr>
        <w:t>下列文件构成本合同不可分割的组成部分，与本合同具有同等法律效力：</w:t>
      </w:r>
    </w:p>
    <w:p w14:paraId="688622C9">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9.1本合同书；</w:t>
      </w:r>
    </w:p>
    <w:p w14:paraId="75A695C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9.2中标通知书；</w:t>
      </w:r>
    </w:p>
    <w:p w14:paraId="45640B6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9.3招标文件及澄清、修改、补遗文件；</w:t>
      </w:r>
    </w:p>
    <w:p w14:paraId="07DB1A0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9.4供方的投标文件及书面澄清、说明、补正文件；</w:t>
      </w:r>
    </w:p>
    <w:p w14:paraId="41F0F217">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9.5产品样本、样品（样机）、说明书、图纸等有关资料；</w:t>
      </w:r>
    </w:p>
    <w:p w14:paraId="71DA915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9.6政府招标验收报告单；</w:t>
      </w:r>
    </w:p>
    <w:p w14:paraId="31812B4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9.7合同的其它附件。</w:t>
      </w:r>
    </w:p>
    <w:p w14:paraId="5620611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上述组成合同的文件如有不一致之处，以日期在后的为准。</w:t>
      </w:r>
    </w:p>
    <w:p w14:paraId="3E709DDA">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b/>
          <w:szCs w:val="21"/>
          <w:highlight w:val="none"/>
          <w:lang w:val="zh-CN"/>
        </w:rPr>
        <w:t xml:space="preserve"> 10.合同份数：</w:t>
      </w:r>
      <w:r>
        <w:rPr>
          <w:rFonts w:hint="eastAsia" w:ascii="宋体" w:hAnsi="宋体" w:cs="宋体"/>
          <w:szCs w:val="21"/>
          <w:highlight w:val="none"/>
          <w:lang w:val="zh-CN"/>
        </w:rPr>
        <w:t xml:space="preserve">本合同一式三份，供需双方各执一份，另一份需提交至监管部门做备存。 </w:t>
      </w:r>
    </w:p>
    <w:p w14:paraId="537C37E2">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11.合同生效：</w:t>
      </w:r>
      <w:r>
        <w:rPr>
          <w:rFonts w:hint="eastAsia" w:ascii="宋体" w:hAnsi="宋体" w:cs="宋体"/>
          <w:szCs w:val="21"/>
          <w:highlight w:val="none"/>
          <w:lang w:val="zh-CN"/>
        </w:rPr>
        <w:t>本合同在供需双方法定代表人或其授权代理人签字、加盖双方公章或者合同专用章后生效。</w:t>
      </w:r>
    </w:p>
    <w:p w14:paraId="037D3CAE">
      <w:pPr>
        <w:autoSpaceDE w:val="0"/>
        <w:autoSpaceDN w:val="0"/>
        <w:adjustRightInd w:val="0"/>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12.合同修改：</w:t>
      </w:r>
      <w:r>
        <w:rPr>
          <w:rFonts w:hint="eastAsia" w:ascii="宋体" w:hAnsi="宋体" w:cs="宋体"/>
          <w:szCs w:val="21"/>
          <w:highlight w:val="none"/>
          <w:lang w:val="zh-CN"/>
        </w:rPr>
        <w:t>除供需双方签署书面修改、补充协议外，本合同条件不得有任何变化或修改。</w:t>
      </w:r>
    </w:p>
    <w:p w14:paraId="7F8E9DE5">
      <w:pPr>
        <w:autoSpaceDE w:val="0"/>
        <w:autoSpaceDN w:val="0"/>
        <w:adjustRightInd w:val="0"/>
        <w:rPr>
          <w:rFonts w:hint="eastAsia" w:ascii="宋体" w:hAnsi="宋体" w:cs="宋体"/>
          <w:szCs w:val="21"/>
          <w:highlight w:val="none"/>
          <w:lang w:val="zh-CN"/>
        </w:rPr>
      </w:pPr>
    </w:p>
    <w:p w14:paraId="441A99E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需方：                   供方：</w:t>
      </w:r>
    </w:p>
    <w:p w14:paraId="2E2F401C">
      <w:pPr>
        <w:autoSpaceDE w:val="0"/>
        <w:autoSpaceDN w:val="0"/>
        <w:adjustRightInd w:val="0"/>
        <w:spacing w:line="360" w:lineRule="auto"/>
        <w:ind w:firstLine="735" w:firstLineChars="350"/>
        <w:rPr>
          <w:rFonts w:hint="eastAsia" w:ascii="宋体" w:hAnsi="宋体" w:cs="宋体"/>
          <w:szCs w:val="21"/>
          <w:highlight w:val="none"/>
          <w:lang w:val="zh-CN"/>
        </w:rPr>
      </w:pPr>
      <w:r>
        <w:rPr>
          <w:rFonts w:hint="eastAsia" w:ascii="宋体" w:hAnsi="宋体" w:cs="宋体"/>
          <w:szCs w:val="21"/>
          <w:highlight w:val="none"/>
          <w:lang w:val="zh-CN"/>
        </w:rPr>
        <w:t>（加盖公章或合同专用章）  （加盖公章或合同专用章）</w:t>
      </w:r>
    </w:p>
    <w:p w14:paraId="7A56DC53">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地址：                   地址：</w:t>
      </w:r>
    </w:p>
    <w:p w14:paraId="7B29ABA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法定代表人               法定代表人               </w:t>
      </w:r>
    </w:p>
    <w:p w14:paraId="4C690600">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或授权代理人签字：       或授权代理人签字：</w:t>
      </w:r>
    </w:p>
    <w:p w14:paraId="7E21A109">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签字日期：               签字日期：</w:t>
      </w:r>
    </w:p>
    <w:p w14:paraId="54DCFF04">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邮政编码：               邮政编码：</w:t>
      </w:r>
    </w:p>
    <w:p w14:paraId="7C6943D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 xml:space="preserve">                             电话：</w:t>
      </w:r>
    </w:p>
    <w:p w14:paraId="52FB1CA7">
      <w:pPr>
        <w:autoSpaceDE w:val="0"/>
        <w:autoSpaceDN w:val="0"/>
        <w:adjustRightInd w:val="0"/>
        <w:spacing w:line="360" w:lineRule="auto"/>
        <w:ind w:firstLine="3465" w:firstLineChars="1650"/>
        <w:rPr>
          <w:rFonts w:hint="eastAsia" w:ascii="宋体" w:hAnsi="宋体" w:cs="宋体"/>
          <w:szCs w:val="21"/>
          <w:highlight w:val="none"/>
          <w:lang w:val="zh-CN"/>
        </w:rPr>
      </w:pPr>
      <w:r>
        <w:rPr>
          <w:rFonts w:hint="eastAsia" w:ascii="宋体" w:hAnsi="宋体" w:cs="宋体"/>
          <w:szCs w:val="21"/>
          <w:highlight w:val="none"/>
          <w:lang w:val="zh-CN"/>
        </w:rPr>
        <w:t>传真：</w:t>
      </w:r>
    </w:p>
    <w:p w14:paraId="52EA28E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联系人：</w:t>
      </w:r>
    </w:p>
    <w:p w14:paraId="6785A8C6">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开户银行：</w:t>
      </w:r>
    </w:p>
    <w:p w14:paraId="0C86C214">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账户名称：</w:t>
      </w:r>
    </w:p>
    <w:p w14:paraId="51E2D3A9">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账号：</w:t>
      </w:r>
    </w:p>
    <w:p w14:paraId="1F530458">
      <w:pPr>
        <w:autoSpaceDE w:val="0"/>
        <w:autoSpaceDN w:val="0"/>
        <w:adjustRightInd w:val="0"/>
        <w:rPr>
          <w:rFonts w:hint="eastAsia" w:ascii="宋体" w:hAnsi="宋体" w:cs="宋体"/>
          <w:sz w:val="24"/>
          <w:highlight w:val="none"/>
          <w:lang w:val="zh-CN"/>
        </w:rPr>
      </w:pPr>
    </w:p>
    <w:p w14:paraId="67D16604">
      <w:pPr>
        <w:autoSpaceDE w:val="0"/>
        <w:autoSpaceDN w:val="0"/>
        <w:adjustRightInd w:val="0"/>
        <w:rPr>
          <w:rFonts w:hint="eastAsia" w:ascii="宋体" w:hAnsi="宋体" w:cs="宋体"/>
          <w:sz w:val="24"/>
          <w:highlight w:val="none"/>
          <w:lang w:val="zh-CN"/>
        </w:rPr>
      </w:pPr>
    </w:p>
    <w:p w14:paraId="2C5D548F">
      <w:pPr>
        <w:autoSpaceDE w:val="0"/>
        <w:autoSpaceDN w:val="0"/>
        <w:adjustRightInd w:val="0"/>
        <w:rPr>
          <w:rFonts w:hint="eastAsia" w:ascii="宋体" w:hAnsi="宋体" w:cs="宋体"/>
          <w:sz w:val="24"/>
          <w:highlight w:val="none"/>
          <w:lang w:val="zh-CN"/>
        </w:rPr>
      </w:pPr>
    </w:p>
    <w:p w14:paraId="794DFBFB">
      <w:pPr>
        <w:rPr>
          <w:rFonts w:hint="eastAsia" w:ascii="宋体" w:hAnsi="宋体" w:eastAsia="宋体" w:cs="宋体"/>
          <w:b/>
          <w:sz w:val="32"/>
          <w:szCs w:val="28"/>
          <w:highlight w:val="none"/>
          <w:lang w:val="zh-CN" w:eastAsia="zh-CN"/>
        </w:rPr>
      </w:pPr>
      <w:r>
        <w:rPr>
          <w:rFonts w:hint="eastAsia" w:ascii="宋体" w:hAnsi="宋体" w:eastAsia="宋体" w:cs="宋体"/>
          <w:b w:val="0"/>
          <w:sz w:val="21"/>
          <w:szCs w:val="21"/>
          <w:highlight w:val="none"/>
          <w:lang w:eastAsia="zh-CN"/>
        </w:rPr>
        <w:br w:type="page"/>
      </w:r>
      <w:bookmarkStart w:id="31" w:name="_Toc14358"/>
      <w:bookmarkStart w:id="32" w:name="_Toc382396567"/>
      <w:bookmarkStart w:id="33" w:name="_Toc16877"/>
    </w:p>
    <w:p w14:paraId="74C70E0A">
      <w:pPr>
        <w:keepNext w:val="0"/>
        <w:keepLines w:val="0"/>
        <w:pageBreakBefore w:val="0"/>
        <w:kinsoku/>
        <w:wordWrap/>
        <w:overflowPunct/>
        <w:topLinePunct w:val="0"/>
        <w:bidi w:val="0"/>
        <w:spacing w:line="360" w:lineRule="auto"/>
        <w:jc w:val="center"/>
        <w:textAlignment w:val="auto"/>
        <w:outlineLvl w:val="0"/>
        <w:rPr>
          <w:rFonts w:hint="default" w:ascii="宋体" w:hAnsi="宋体" w:eastAsia="宋体" w:cs="宋体"/>
          <w:b/>
          <w:sz w:val="32"/>
          <w:szCs w:val="28"/>
          <w:highlight w:val="none"/>
          <w:lang w:val="en-US" w:eastAsia="zh-CN"/>
        </w:rPr>
      </w:pPr>
      <w:bookmarkStart w:id="34" w:name="_Toc3824"/>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六</w:t>
      </w:r>
      <w:r>
        <w:rPr>
          <w:rFonts w:hint="eastAsia" w:ascii="宋体" w:hAnsi="宋体" w:eastAsia="宋体" w:cs="宋体"/>
          <w:b/>
          <w:sz w:val="32"/>
          <w:szCs w:val="28"/>
          <w:highlight w:val="none"/>
          <w:lang w:val="zh-CN" w:eastAsia="zh-CN"/>
        </w:rPr>
        <w:t xml:space="preserve">章  </w:t>
      </w:r>
      <w:bookmarkEnd w:id="31"/>
      <w:bookmarkEnd w:id="32"/>
      <w:bookmarkEnd w:id="33"/>
      <w:r>
        <w:rPr>
          <w:rFonts w:hint="eastAsia" w:ascii="宋体" w:hAnsi="宋体" w:cs="宋体"/>
          <w:b/>
          <w:sz w:val="32"/>
          <w:szCs w:val="28"/>
          <w:highlight w:val="none"/>
          <w:lang w:val="en-US" w:eastAsia="zh-CN"/>
        </w:rPr>
        <w:t>采购</w:t>
      </w:r>
      <w:r>
        <w:rPr>
          <w:rFonts w:hint="eastAsia" w:ascii="宋体" w:hAnsi="宋体" w:eastAsia="宋体" w:cs="宋体"/>
          <w:b/>
          <w:sz w:val="32"/>
          <w:szCs w:val="28"/>
          <w:highlight w:val="none"/>
          <w:lang w:val="en-US" w:eastAsia="zh-CN"/>
        </w:rPr>
        <w:t>需求</w:t>
      </w:r>
      <w:bookmarkEnd w:id="34"/>
    </w:p>
    <w:p w14:paraId="2D0000F0">
      <w:pPr>
        <w:pStyle w:val="22"/>
        <w:keepNext w:val="0"/>
        <w:keepLines w:val="0"/>
        <w:pageBreakBefore w:val="0"/>
        <w:widowControl w:val="0"/>
        <w:kinsoku/>
        <w:wordWrap/>
        <w:overflowPunct/>
        <w:topLinePunct w:val="0"/>
        <w:autoSpaceDE/>
        <w:autoSpaceDN/>
        <w:bidi w:val="0"/>
        <w:snapToGrid/>
        <w:spacing w:line="300" w:lineRule="auto"/>
        <w:ind w:left="0" w:leftChars="0" w:right="72" w:firstLine="480" w:firstLineChars="200"/>
        <w:jc w:val="left"/>
        <w:textAlignment w:val="auto"/>
        <w:rPr>
          <w:rFonts w:hint="eastAsia" w:ascii="宋体" w:hAnsi="宋体" w:eastAsia="宋体" w:cs="宋体"/>
          <w:b w:val="0"/>
          <w:bCs w:val="0"/>
          <w:sz w:val="24"/>
          <w:szCs w:val="24"/>
          <w:highlight w:val="none"/>
        </w:rPr>
      </w:pPr>
      <w:bookmarkStart w:id="35" w:name="_Toc8670"/>
      <w:bookmarkStart w:id="36" w:name="_Toc382396568"/>
      <w:bookmarkStart w:id="37" w:name="_Toc3197"/>
    </w:p>
    <w:tbl>
      <w:tblPr>
        <w:tblStyle w:val="24"/>
        <w:tblW w:w="92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737"/>
        <w:gridCol w:w="5070"/>
        <w:gridCol w:w="810"/>
        <w:gridCol w:w="1020"/>
      </w:tblGrid>
      <w:tr w14:paraId="1F3D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5" w:type="dxa"/>
            <w:noWrap w:val="0"/>
            <w:vAlign w:val="top"/>
          </w:tcPr>
          <w:p w14:paraId="59FEC438">
            <w:pPr>
              <w:spacing w:line="400" w:lineRule="exact"/>
              <w:jc w:val="center"/>
              <w:rPr>
                <w:rFonts w:ascii="宋体" w:hAnsi="宋体" w:eastAsia="宋体" w:cs="宋体"/>
              </w:rPr>
            </w:pPr>
            <w:r>
              <w:rPr>
                <w:rFonts w:hint="eastAsia" w:ascii="宋体" w:hAnsi="宋体" w:eastAsia="宋体" w:cs="宋体"/>
              </w:rPr>
              <w:t>序号</w:t>
            </w:r>
          </w:p>
        </w:tc>
        <w:tc>
          <w:tcPr>
            <w:tcW w:w="1737" w:type="dxa"/>
            <w:noWrap w:val="0"/>
            <w:vAlign w:val="center"/>
          </w:tcPr>
          <w:p w14:paraId="32D516A0">
            <w:pPr>
              <w:jc w:val="center"/>
              <w:rPr>
                <w:rFonts w:ascii="宋体" w:hAnsi="宋体" w:eastAsia="宋体" w:cs="宋体"/>
              </w:rPr>
            </w:pPr>
            <w:r>
              <w:rPr>
                <w:rFonts w:hint="eastAsia" w:ascii="宋体" w:hAnsi="宋体" w:eastAsia="宋体" w:cs="宋体"/>
              </w:rPr>
              <w:t>设备名称</w:t>
            </w:r>
          </w:p>
        </w:tc>
        <w:tc>
          <w:tcPr>
            <w:tcW w:w="5070" w:type="dxa"/>
            <w:noWrap w:val="0"/>
            <w:vAlign w:val="center"/>
          </w:tcPr>
          <w:p w14:paraId="6DEE747E">
            <w:pPr>
              <w:jc w:val="center"/>
              <w:rPr>
                <w:rFonts w:ascii="宋体" w:hAnsi="宋体" w:eastAsia="宋体" w:cs="宋体"/>
              </w:rPr>
            </w:pPr>
            <w:r>
              <w:rPr>
                <w:rFonts w:hint="eastAsia" w:ascii="宋体" w:hAnsi="宋体" w:eastAsia="宋体" w:cs="宋体"/>
              </w:rPr>
              <w:t>参数</w:t>
            </w:r>
          </w:p>
        </w:tc>
        <w:tc>
          <w:tcPr>
            <w:tcW w:w="810" w:type="dxa"/>
            <w:noWrap w:val="0"/>
            <w:vAlign w:val="center"/>
          </w:tcPr>
          <w:p w14:paraId="60D4C4BF">
            <w:pPr>
              <w:jc w:val="center"/>
              <w:rPr>
                <w:rFonts w:ascii="宋体" w:hAnsi="宋体" w:eastAsia="宋体" w:cs="宋体"/>
              </w:rPr>
            </w:pPr>
            <w:r>
              <w:rPr>
                <w:rFonts w:hint="eastAsia" w:ascii="宋体" w:hAnsi="宋体" w:eastAsia="宋体" w:cs="宋体"/>
              </w:rPr>
              <w:t>数量</w:t>
            </w:r>
          </w:p>
        </w:tc>
        <w:tc>
          <w:tcPr>
            <w:tcW w:w="1020" w:type="dxa"/>
            <w:noWrap w:val="0"/>
            <w:vAlign w:val="center"/>
          </w:tcPr>
          <w:p w14:paraId="1ED88CC9">
            <w:pPr>
              <w:jc w:val="center"/>
              <w:rPr>
                <w:rFonts w:ascii="宋体" w:hAnsi="宋体" w:eastAsia="宋体" w:cs="宋体"/>
              </w:rPr>
            </w:pPr>
            <w:r>
              <w:rPr>
                <w:rFonts w:hint="eastAsia" w:ascii="宋体" w:hAnsi="宋体" w:eastAsia="宋体" w:cs="宋体"/>
              </w:rPr>
              <w:t>单位</w:t>
            </w:r>
          </w:p>
        </w:tc>
      </w:tr>
      <w:tr w14:paraId="7C0F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655" w:type="dxa"/>
            <w:vMerge w:val="restart"/>
            <w:noWrap w:val="0"/>
            <w:vAlign w:val="top"/>
          </w:tcPr>
          <w:p w14:paraId="63BF4738">
            <w:pPr>
              <w:jc w:val="center"/>
              <w:rPr>
                <w:rFonts w:ascii="宋体" w:hAnsi="宋体" w:eastAsia="宋体" w:cs="宋体"/>
              </w:rPr>
            </w:pPr>
          </w:p>
          <w:p w14:paraId="6CDCE89A">
            <w:pPr>
              <w:spacing w:line="400" w:lineRule="exact"/>
              <w:jc w:val="center"/>
              <w:rPr>
                <w:rFonts w:ascii="宋体" w:hAnsi="宋体" w:eastAsia="宋体" w:cs="宋体"/>
              </w:rPr>
            </w:pPr>
          </w:p>
          <w:p w14:paraId="7ED935AD">
            <w:pPr>
              <w:spacing w:line="400" w:lineRule="exact"/>
              <w:jc w:val="center"/>
              <w:rPr>
                <w:rFonts w:ascii="宋体" w:hAnsi="宋体" w:eastAsia="宋体" w:cs="宋体"/>
              </w:rPr>
            </w:pPr>
          </w:p>
          <w:p w14:paraId="43C4C9ED">
            <w:pPr>
              <w:spacing w:line="400" w:lineRule="exact"/>
              <w:jc w:val="center"/>
              <w:rPr>
                <w:rFonts w:ascii="宋体" w:hAnsi="宋体" w:eastAsia="宋体" w:cs="宋体"/>
              </w:rPr>
            </w:pPr>
          </w:p>
          <w:p w14:paraId="414D89F8">
            <w:pPr>
              <w:spacing w:line="300" w:lineRule="exact"/>
              <w:jc w:val="center"/>
              <w:rPr>
                <w:rFonts w:ascii="宋体" w:hAnsi="宋体" w:eastAsia="宋体" w:cs="宋体"/>
              </w:rPr>
            </w:pPr>
          </w:p>
          <w:p w14:paraId="72408868">
            <w:pPr>
              <w:spacing w:line="300" w:lineRule="exact"/>
              <w:jc w:val="center"/>
              <w:rPr>
                <w:rFonts w:ascii="宋体" w:hAnsi="宋体" w:eastAsia="宋体" w:cs="宋体"/>
              </w:rPr>
            </w:pPr>
            <w:r>
              <w:rPr>
                <w:rFonts w:hint="eastAsia" w:ascii="宋体" w:hAnsi="宋体" w:eastAsia="宋体" w:cs="宋体"/>
              </w:rPr>
              <w:t>1</w:t>
            </w:r>
          </w:p>
        </w:tc>
        <w:tc>
          <w:tcPr>
            <w:tcW w:w="1737" w:type="dxa"/>
            <w:vMerge w:val="restart"/>
            <w:noWrap w:val="0"/>
            <w:vAlign w:val="top"/>
          </w:tcPr>
          <w:p w14:paraId="388CEAFB">
            <w:pPr>
              <w:jc w:val="center"/>
              <w:rPr>
                <w:rFonts w:ascii="宋体" w:hAnsi="宋体" w:eastAsia="宋体" w:cs="宋体"/>
              </w:rPr>
            </w:pPr>
            <w:r>
              <w:rPr>
                <w:rFonts w:hint="eastAsia" w:ascii="宋体" w:hAnsi="宋体" w:eastAsia="宋体" w:cs="宋体"/>
              </w:rPr>
              <w:t>数据综合服务平台</w:t>
            </w:r>
          </w:p>
        </w:tc>
        <w:tc>
          <w:tcPr>
            <w:tcW w:w="5070" w:type="dxa"/>
            <w:noWrap w:val="0"/>
            <w:vAlign w:val="top"/>
          </w:tcPr>
          <w:p w14:paraId="5E7AB9BC">
            <w:pPr>
              <w:rPr>
                <w:rFonts w:ascii="宋体" w:hAnsi="宋体" w:eastAsia="宋体" w:cs="宋体"/>
                <w:b/>
                <w:bCs/>
              </w:rPr>
            </w:pPr>
            <w:r>
              <w:rPr>
                <w:rFonts w:hint="eastAsia" w:ascii="宋体" w:hAnsi="宋体" w:eastAsia="宋体" w:cs="宋体"/>
                <w:b/>
                <w:bCs/>
              </w:rPr>
              <w:t>功能用途：</w:t>
            </w:r>
          </w:p>
          <w:p w14:paraId="11F66EDD">
            <w:pPr>
              <w:ind w:firstLine="420" w:firstLineChars="200"/>
              <w:rPr>
                <w:rFonts w:ascii="宋体" w:hAnsi="宋体" w:eastAsia="宋体" w:cs="宋体"/>
                <w:color w:val="000000"/>
                <w:kern w:val="0"/>
                <w:lang w:bidi="ar"/>
              </w:rPr>
            </w:pPr>
            <w:r>
              <w:rPr>
                <w:rFonts w:hint="eastAsia" w:ascii="宋体" w:hAnsi="宋体" w:eastAsia="宋体" w:cs="宋体"/>
                <w:color w:val="000000"/>
                <w:kern w:val="0"/>
                <w:lang w:bidi="ar"/>
              </w:rPr>
              <w:t>由于医院基础信息化系统进行重新采购，为保证软件系统能够良好稳定运行，对现有超融合平台进行扩容，</w:t>
            </w:r>
            <w:r>
              <w:rPr>
                <w:rFonts w:hint="eastAsia" w:ascii="宋体" w:hAnsi="宋体" w:eastAsia="宋体" w:cs="宋体"/>
                <w:color w:val="000000"/>
                <w:kern w:val="0"/>
                <w:lang w:val="en-US" w:eastAsia="zh-CN" w:bidi="ar"/>
              </w:rPr>
              <w:t>进行对现有数据进行迁移，备份。</w:t>
            </w:r>
            <w:r>
              <w:rPr>
                <w:rFonts w:hint="eastAsia" w:ascii="宋体" w:hAnsi="宋体" w:eastAsia="宋体" w:cs="宋体"/>
                <w:color w:val="000000"/>
                <w:kern w:val="0"/>
                <w:lang w:bidi="ar"/>
              </w:rPr>
              <w:t>对所扩容的设备参数进行提高，保证扩容后整个平台运行稳定，满足业务应用要求，保证业务连续性。平台支持统一管理功能，全图形化模式，支持在同一界面对超融合、虚拟化、桌面云产品进行集中管理。</w:t>
            </w:r>
          </w:p>
        </w:tc>
        <w:tc>
          <w:tcPr>
            <w:tcW w:w="810" w:type="dxa"/>
            <w:vMerge w:val="restart"/>
            <w:noWrap w:val="0"/>
            <w:vAlign w:val="top"/>
          </w:tcPr>
          <w:p w14:paraId="540C12B2">
            <w:pPr>
              <w:jc w:val="center"/>
              <w:rPr>
                <w:rFonts w:ascii="宋体" w:hAnsi="宋体" w:eastAsia="宋体" w:cs="宋体"/>
              </w:rPr>
            </w:pPr>
            <w:r>
              <w:rPr>
                <w:rFonts w:hint="eastAsia" w:ascii="宋体" w:hAnsi="宋体" w:eastAsia="宋体" w:cs="宋体"/>
              </w:rPr>
              <w:t>1</w:t>
            </w:r>
          </w:p>
        </w:tc>
        <w:tc>
          <w:tcPr>
            <w:tcW w:w="1020" w:type="dxa"/>
            <w:vMerge w:val="restart"/>
            <w:noWrap w:val="0"/>
            <w:vAlign w:val="top"/>
          </w:tcPr>
          <w:p w14:paraId="22A27FA6">
            <w:pPr>
              <w:jc w:val="center"/>
              <w:rPr>
                <w:rFonts w:ascii="宋体" w:hAnsi="宋体" w:eastAsia="宋体" w:cs="宋体"/>
              </w:rPr>
            </w:pPr>
            <w:r>
              <w:rPr>
                <w:rFonts w:hint="eastAsia" w:ascii="宋体" w:hAnsi="宋体" w:eastAsia="宋体" w:cs="宋体"/>
              </w:rPr>
              <w:t>套</w:t>
            </w:r>
          </w:p>
        </w:tc>
      </w:tr>
      <w:tr w14:paraId="6E74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55" w:type="dxa"/>
            <w:vMerge w:val="continue"/>
            <w:noWrap w:val="0"/>
            <w:vAlign w:val="top"/>
          </w:tcPr>
          <w:p w14:paraId="09DF37D9">
            <w:pPr>
              <w:jc w:val="center"/>
            </w:pPr>
          </w:p>
        </w:tc>
        <w:tc>
          <w:tcPr>
            <w:tcW w:w="1737" w:type="dxa"/>
            <w:vMerge w:val="continue"/>
            <w:noWrap w:val="0"/>
            <w:vAlign w:val="top"/>
          </w:tcPr>
          <w:p w14:paraId="43C2E910">
            <w:pPr>
              <w:jc w:val="center"/>
            </w:pPr>
          </w:p>
        </w:tc>
        <w:tc>
          <w:tcPr>
            <w:tcW w:w="5070" w:type="dxa"/>
            <w:noWrap w:val="0"/>
            <w:vAlign w:val="center"/>
          </w:tcPr>
          <w:p w14:paraId="66A683E4">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一、产品名称：HIS数据库集群节点</w:t>
            </w:r>
          </w:p>
          <w:p w14:paraId="1B04FAB8">
            <w:pPr>
              <w:widowControl/>
              <w:jc w:val="left"/>
            </w:pPr>
            <w:r>
              <w:rPr>
                <w:rFonts w:hint="eastAsia"/>
              </w:rPr>
              <w:t>数量：3套</w:t>
            </w:r>
          </w:p>
          <w:p w14:paraId="23D9E597">
            <w:pPr>
              <w:widowControl/>
              <w:jc w:val="left"/>
            </w:pPr>
            <w:r>
              <w:rPr>
                <w:rFonts w:hint="eastAsia"/>
              </w:rPr>
              <w:t>设备参数：</w:t>
            </w:r>
          </w:p>
          <w:p w14:paraId="6C530594">
            <w:pPr>
              <w:widowControl/>
              <w:jc w:val="left"/>
              <w:rPr>
                <w:rFonts w:ascii="宋体" w:hAnsi="宋体" w:cs="仿宋"/>
                <w:sz w:val="20"/>
                <w:szCs w:val="20"/>
              </w:rPr>
            </w:pPr>
            <w:r>
              <w:rPr>
                <w:rFonts w:hint="eastAsia" w:ascii="宋体" w:hAnsi="宋体" w:cs="仿宋"/>
                <w:sz w:val="20"/>
                <w:szCs w:val="20"/>
              </w:rPr>
              <w:t>1、规格：≥4U国产（非OEM）；</w:t>
            </w:r>
          </w:p>
          <w:p w14:paraId="02BB0014">
            <w:pPr>
              <w:widowControl/>
              <w:ind w:left="200" w:hanging="200" w:hangingChars="100"/>
              <w:jc w:val="left"/>
              <w:rPr>
                <w:rFonts w:ascii="宋体" w:hAnsi="宋体" w:cs="仿宋"/>
                <w:sz w:val="20"/>
                <w:szCs w:val="20"/>
              </w:rPr>
            </w:pPr>
            <w:r>
              <w:rPr>
                <w:rFonts w:hint="eastAsia" w:ascii="宋体" w:hAnsi="宋体" w:cs="仿宋"/>
                <w:sz w:val="20"/>
                <w:szCs w:val="20"/>
              </w:rPr>
              <w:t>2、处理器：配置≥4颗Intel Xeon Gold 6418H 24C 165W 2.1GHz处理器，具备≥3个UPI链路的网络拓扑结构；</w:t>
            </w:r>
          </w:p>
          <w:p w14:paraId="4C0E0BD9">
            <w:pPr>
              <w:widowControl/>
              <w:jc w:val="left"/>
              <w:rPr>
                <w:rFonts w:ascii="宋体" w:hAnsi="宋体" w:cs="仿宋"/>
                <w:sz w:val="20"/>
                <w:szCs w:val="20"/>
              </w:rPr>
            </w:pPr>
            <w:r>
              <w:rPr>
                <w:rFonts w:hint="eastAsia" w:ascii="宋体" w:hAnsi="宋体" w:cs="仿宋"/>
                <w:sz w:val="20"/>
                <w:szCs w:val="20"/>
              </w:rPr>
              <w:t>3、内存：配置≥1TB TruDDR5内存，单挑内存容量≥64GB，可选64个内存插槽；</w:t>
            </w:r>
          </w:p>
          <w:p w14:paraId="4FA529BD">
            <w:pPr>
              <w:widowControl/>
              <w:jc w:val="left"/>
              <w:rPr>
                <w:rFonts w:ascii="宋体" w:hAnsi="宋体" w:cs="仿宋"/>
                <w:sz w:val="20"/>
                <w:szCs w:val="20"/>
              </w:rPr>
            </w:pPr>
            <w:r>
              <w:rPr>
                <w:rFonts w:hint="eastAsia" w:ascii="宋体" w:hAnsi="宋体" w:cs="仿宋"/>
                <w:sz w:val="20"/>
                <w:szCs w:val="20"/>
              </w:rPr>
              <w:t>4、硬盘：内置硬盘类型：本次配置≥3块3.84TB 2.5寸SSD硬盘；</w:t>
            </w:r>
          </w:p>
          <w:p w14:paraId="5F6616B6">
            <w:pPr>
              <w:widowControl/>
              <w:jc w:val="left"/>
              <w:rPr>
                <w:rFonts w:ascii="宋体" w:hAnsi="宋体" w:cs="仿宋"/>
                <w:sz w:val="20"/>
                <w:szCs w:val="20"/>
              </w:rPr>
            </w:pPr>
            <w:r>
              <w:rPr>
                <w:rFonts w:hint="eastAsia" w:ascii="宋体" w:hAnsi="宋体" w:cs="仿宋"/>
                <w:sz w:val="20"/>
                <w:szCs w:val="20"/>
              </w:rPr>
              <w:t>5、RAID卡：配置≥1块RAID卡，缓存≥2GB，支持RAID 0、1、5、6、10、50、60；</w:t>
            </w:r>
            <w:r>
              <w:rPr>
                <w:rFonts w:ascii="宋体" w:hAnsi="宋体" w:cs="仿宋"/>
                <w:sz w:val="20"/>
                <w:szCs w:val="20"/>
              </w:rPr>
              <w:t xml:space="preserve"> </w:t>
            </w:r>
          </w:p>
          <w:p w14:paraId="0C3B4E02">
            <w:pPr>
              <w:widowControl/>
              <w:jc w:val="left"/>
              <w:rPr>
                <w:rFonts w:ascii="宋体" w:hAnsi="宋体" w:cs="仿宋"/>
                <w:sz w:val="20"/>
                <w:szCs w:val="20"/>
              </w:rPr>
            </w:pPr>
            <w:r>
              <w:rPr>
                <w:rFonts w:hint="eastAsia" w:ascii="宋体" w:hAnsi="宋体" w:cs="仿宋"/>
                <w:sz w:val="20"/>
                <w:szCs w:val="20"/>
              </w:rPr>
              <w:t>6、安全性：支持信任根模块；</w:t>
            </w:r>
          </w:p>
          <w:p w14:paraId="0126B0FE">
            <w:pPr>
              <w:widowControl/>
              <w:jc w:val="left"/>
              <w:rPr>
                <w:rFonts w:ascii="宋体" w:hAnsi="宋体" w:cs="仿宋"/>
                <w:sz w:val="20"/>
                <w:szCs w:val="20"/>
              </w:rPr>
            </w:pPr>
            <w:r>
              <w:rPr>
                <w:rFonts w:hint="eastAsia" w:ascii="宋体" w:hAnsi="宋体" w:cs="仿宋"/>
                <w:sz w:val="20"/>
                <w:szCs w:val="20"/>
              </w:rPr>
              <w:t>7、I/O扩展：支持PCI-E插槽总数≥</w:t>
            </w:r>
            <w:r>
              <w:rPr>
                <w:rFonts w:ascii="宋体" w:hAnsi="宋体" w:cs="仿宋"/>
                <w:sz w:val="20"/>
                <w:szCs w:val="20"/>
              </w:rPr>
              <w:t>1</w:t>
            </w:r>
            <w:r>
              <w:rPr>
                <w:rFonts w:hint="eastAsia" w:ascii="宋体" w:hAnsi="宋体" w:cs="仿宋"/>
                <w:sz w:val="20"/>
                <w:szCs w:val="20"/>
              </w:rPr>
              <w:t>8个，支持≥2个OCP插槽；</w:t>
            </w:r>
          </w:p>
          <w:p w14:paraId="3503021A">
            <w:pPr>
              <w:widowControl/>
              <w:jc w:val="left"/>
              <w:rPr>
                <w:rFonts w:ascii="宋体" w:hAnsi="宋体" w:cs="仿宋"/>
                <w:sz w:val="20"/>
                <w:szCs w:val="20"/>
              </w:rPr>
            </w:pPr>
            <w:r>
              <w:rPr>
                <w:rFonts w:hint="eastAsia" w:ascii="宋体" w:hAnsi="宋体" w:cs="仿宋"/>
                <w:sz w:val="20"/>
                <w:szCs w:val="20"/>
              </w:rPr>
              <w:t>8、网络接口：配置≥2个双口25Gb光纤网卡（含4个25Gb SFP28多模模块），配置1个四口千兆网卡；</w:t>
            </w:r>
          </w:p>
          <w:p w14:paraId="168B4BF6">
            <w:pPr>
              <w:widowControl/>
              <w:jc w:val="left"/>
              <w:rPr>
                <w:rFonts w:ascii="宋体" w:hAnsi="宋体" w:cs="仿宋"/>
                <w:sz w:val="20"/>
                <w:szCs w:val="20"/>
              </w:rPr>
            </w:pPr>
            <w:r>
              <w:rPr>
                <w:rFonts w:hint="eastAsia" w:ascii="宋体" w:hAnsi="宋体" w:cs="仿宋"/>
                <w:sz w:val="20"/>
                <w:szCs w:val="20"/>
              </w:rPr>
              <w:t>9、HBA卡：配置≥2块双端口32Gb FC HBA卡，满配模块；</w:t>
            </w:r>
          </w:p>
          <w:p w14:paraId="1A782879">
            <w:pPr>
              <w:widowControl/>
              <w:jc w:val="left"/>
              <w:rPr>
                <w:rFonts w:ascii="宋体" w:hAnsi="宋体" w:cs="仿宋"/>
                <w:sz w:val="20"/>
                <w:szCs w:val="20"/>
              </w:rPr>
            </w:pPr>
            <w:r>
              <w:rPr>
                <w:rFonts w:hint="eastAsia" w:ascii="宋体" w:hAnsi="宋体" w:cs="仿宋"/>
                <w:sz w:val="20"/>
                <w:szCs w:val="20"/>
              </w:rPr>
              <w:t>10、电源：提供2+2冗余电源，散热：配置冗余风扇；</w:t>
            </w:r>
          </w:p>
          <w:p w14:paraId="333D5E96">
            <w:pPr>
              <w:widowControl/>
              <w:jc w:val="left"/>
              <w:rPr>
                <w:rFonts w:ascii="宋体" w:hAnsi="宋体" w:cs="仿宋"/>
                <w:sz w:val="20"/>
                <w:szCs w:val="20"/>
              </w:rPr>
            </w:pPr>
            <w:r>
              <w:rPr>
                <w:rFonts w:hint="eastAsia" w:ascii="宋体" w:hAnsi="宋体" w:cs="仿宋"/>
                <w:sz w:val="20"/>
                <w:szCs w:val="20"/>
              </w:rPr>
              <w:t>11、为保障机器正常工作能力，所投HIS数据库集群节点须通过“环境应力筛选-储存温度”测试，测试值为-40至70度之间；</w:t>
            </w:r>
          </w:p>
          <w:p w14:paraId="70B84FF3">
            <w:pPr>
              <w:widowControl/>
              <w:jc w:val="left"/>
              <w:rPr>
                <w:rFonts w:ascii="宋体" w:hAnsi="宋体" w:cs="仿宋"/>
                <w:sz w:val="20"/>
                <w:szCs w:val="20"/>
              </w:rPr>
            </w:pPr>
            <w:r>
              <w:rPr>
                <w:rFonts w:hint="eastAsia" w:ascii="宋体" w:hAnsi="宋体" w:cs="仿宋"/>
                <w:sz w:val="20"/>
                <w:szCs w:val="20"/>
              </w:rPr>
              <w:t>12、为保障机器承受一定带宽的随机振动仍旧正常工作的能力，所投HIS数据库集群节点须通过“环境应力筛选-随机移动”测试，测试范围在5Hz-2000Hz之间；</w:t>
            </w:r>
          </w:p>
          <w:p w14:paraId="1B1BFFF6">
            <w:pPr>
              <w:widowControl/>
              <w:jc w:val="left"/>
              <w:rPr>
                <w:rFonts w:ascii="宋体" w:hAnsi="宋体" w:cs="仿宋"/>
                <w:sz w:val="20"/>
                <w:szCs w:val="20"/>
              </w:rPr>
            </w:pPr>
            <w:r>
              <w:rPr>
                <w:rFonts w:hint="eastAsia" w:ascii="宋体" w:hAnsi="宋体" w:cs="仿宋"/>
                <w:sz w:val="20"/>
                <w:szCs w:val="20"/>
              </w:rPr>
              <w:t>13、为保障机器正常工作噪音问题，所投HIS数据库集群节点的噪声声功率值在5Bel以下；</w:t>
            </w:r>
          </w:p>
          <w:p w14:paraId="3A12CA22">
            <w:pPr>
              <w:widowControl/>
              <w:jc w:val="left"/>
              <w:rPr>
                <w:rFonts w:ascii="宋体" w:hAnsi="宋体" w:cs="仿宋"/>
                <w:sz w:val="20"/>
                <w:szCs w:val="20"/>
              </w:rPr>
            </w:pPr>
            <w:r>
              <w:rPr>
                <w:rFonts w:hint="eastAsia" w:ascii="宋体" w:hAnsi="宋体" w:cs="仿宋"/>
                <w:sz w:val="20"/>
                <w:szCs w:val="20"/>
              </w:rPr>
              <w:t>14、为保障机器抗扰度性能，所投HIS数据库集群节点须通过电磁兼容性检验且工频磁场抗扰度磁场强度不低于10A/m；</w:t>
            </w:r>
          </w:p>
          <w:p w14:paraId="65287138">
            <w:pPr>
              <w:widowControl/>
              <w:jc w:val="left"/>
              <w:rPr>
                <w:rFonts w:ascii="宋体" w:hAnsi="宋体" w:cs="仿宋"/>
                <w:sz w:val="20"/>
                <w:szCs w:val="20"/>
              </w:rPr>
            </w:pPr>
            <w:r>
              <w:rPr>
                <w:rFonts w:hint="eastAsia" w:ascii="宋体" w:hAnsi="宋体" w:cs="仿宋"/>
                <w:sz w:val="20"/>
                <w:szCs w:val="20"/>
              </w:rPr>
              <w:t>15、为保障机器的耐用度，所投HIS数据库集群节点须具有一定抗盐雾腐蚀的能力；</w:t>
            </w:r>
          </w:p>
          <w:p w14:paraId="607DDEDD">
            <w:pPr>
              <w:widowControl/>
              <w:jc w:val="left"/>
              <w:rPr>
                <w:rFonts w:ascii="宋体" w:hAnsi="宋体" w:cs="仿宋"/>
                <w:sz w:val="20"/>
                <w:szCs w:val="20"/>
              </w:rPr>
            </w:pPr>
            <w:r>
              <w:rPr>
                <w:rFonts w:hint="eastAsia" w:ascii="宋体" w:hAnsi="宋体" w:cs="仿宋"/>
                <w:sz w:val="20"/>
                <w:szCs w:val="20"/>
              </w:rPr>
              <w:t>16、为保证所投HIS数据库集群节点监控管理软件的效率质量及安全性，要求监控管理软件针对Microsoft System Center进行自主可控的开发管理。</w:t>
            </w:r>
          </w:p>
          <w:p w14:paraId="30893A97">
            <w:pPr>
              <w:widowControl/>
              <w:jc w:val="left"/>
              <w:rPr>
                <w:rFonts w:ascii="宋体" w:hAnsi="宋体" w:cs="仿宋"/>
                <w:sz w:val="20"/>
                <w:szCs w:val="20"/>
              </w:rPr>
            </w:pPr>
            <w:r>
              <w:rPr>
                <w:rFonts w:hint="eastAsia" w:ascii="宋体" w:hAnsi="宋体" w:cs="仿宋"/>
                <w:sz w:val="20"/>
                <w:szCs w:val="20"/>
              </w:rPr>
              <w:t>17、为保证所投HIS数据库集群节点监控管理软件的效率质量及安全性，要求监控管理软件针对VMware vCenter进行自主可控的开发管理；</w:t>
            </w:r>
          </w:p>
          <w:p w14:paraId="01D96376">
            <w:pPr>
              <w:widowControl/>
              <w:jc w:val="left"/>
              <w:rPr>
                <w:rFonts w:ascii="宋体" w:hAnsi="宋体" w:cs="仿宋"/>
                <w:sz w:val="20"/>
                <w:szCs w:val="20"/>
              </w:rPr>
            </w:pPr>
            <w:r>
              <w:rPr>
                <w:rFonts w:hint="eastAsia" w:ascii="宋体" w:hAnsi="宋体" w:cs="仿宋"/>
                <w:sz w:val="20"/>
                <w:szCs w:val="20"/>
              </w:rPr>
              <w:t>18、为了应付突发应急情况，所投HIS数据库集群节点平均无故障时间MTBF的m1的值不低于150000小时；</w:t>
            </w:r>
          </w:p>
          <w:p w14:paraId="02592A2E">
            <w:pPr>
              <w:rPr>
                <w:rFonts w:hint="eastAsia" w:ascii="宋体" w:hAnsi="宋体" w:cs="仿宋"/>
              </w:rPr>
            </w:pPr>
            <w:r>
              <w:rPr>
                <w:rFonts w:hint="eastAsia" w:ascii="宋体" w:hAnsi="宋体" w:cs="仿宋"/>
                <w:sz w:val="20"/>
                <w:szCs w:val="20"/>
              </w:rPr>
              <w:t>19、</w:t>
            </w:r>
            <w:r>
              <w:rPr>
                <w:rFonts w:hint="eastAsia" w:ascii="宋体" w:hAnsi="宋体" w:cs="仿宋"/>
              </w:rPr>
              <w:t>为保证</w:t>
            </w:r>
            <w:r>
              <w:rPr>
                <w:rFonts w:hint="eastAsia" w:ascii="宋体" w:hAnsi="宋体" w:cs="仿宋"/>
                <w:sz w:val="20"/>
                <w:szCs w:val="20"/>
              </w:rPr>
              <w:t>所投HIS数据库集群</w:t>
            </w:r>
            <w:r>
              <w:rPr>
                <w:rFonts w:hint="eastAsia" w:ascii="宋体" w:hAnsi="宋体" w:cs="仿宋"/>
              </w:rPr>
              <w:t>性能,</w:t>
            </w:r>
            <w:r>
              <w:rPr>
                <w:rFonts w:hint="eastAsia" w:ascii="宋体" w:hAnsi="宋体" w:cs="仿宋"/>
                <w:sz w:val="20"/>
                <w:szCs w:val="20"/>
              </w:rPr>
              <w:t>所投HIS数据库集群节点</w:t>
            </w:r>
            <w:r>
              <w:rPr>
                <w:rFonts w:hint="eastAsia" w:ascii="宋体" w:hAnsi="宋体" w:cs="仿宋"/>
              </w:rPr>
              <w:t>进行了SAP SD-Benchmark测试，且测试值</w:t>
            </w:r>
            <w:r>
              <w:rPr>
                <w:rFonts w:hint="eastAsia" w:ascii="宋体" w:hAnsi="宋体" w:cs="仿宋"/>
                <w:sz w:val="20"/>
                <w:szCs w:val="20"/>
              </w:rPr>
              <w:t>≥</w:t>
            </w:r>
            <w:r>
              <w:rPr>
                <w:rFonts w:ascii="宋体" w:hAnsi="宋体" w:cs="仿宋"/>
              </w:rPr>
              <w:t>710000</w:t>
            </w:r>
            <w:r>
              <w:rPr>
                <w:rFonts w:hint="eastAsia" w:ascii="宋体" w:hAnsi="宋体" w:cs="仿宋"/>
              </w:rPr>
              <w:t>；</w:t>
            </w:r>
          </w:p>
          <w:p w14:paraId="1AC80EC3">
            <w:pPr>
              <w:rPr>
                <w:rFonts w:hint="default" w:ascii="宋体" w:hAnsi="宋体" w:eastAsia="宋体" w:cs="仿宋"/>
                <w:lang w:val="en-US" w:eastAsia="zh-CN"/>
              </w:rPr>
            </w:pPr>
            <w:r>
              <w:rPr>
                <w:rFonts w:hint="eastAsia" w:ascii="宋体" w:hAnsi="宋体" w:cs="仿宋"/>
                <w:lang w:val="en-US" w:eastAsia="zh-CN"/>
              </w:rPr>
              <w:t>20、质保：3年</w:t>
            </w:r>
          </w:p>
          <w:p w14:paraId="081830D2">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二、产品名称：HIS数据库集群存储</w:t>
            </w:r>
          </w:p>
          <w:p w14:paraId="315161E1">
            <w:r>
              <w:rPr>
                <w:rFonts w:hint="eastAsia"/>
              </w:rPr>
              <w:t>数量：2套</w:t>
            </w:r>
          </w:p>
          <w:p w14:paraId="75E7D816">
            <w:r>
              <w:rPr>
                <w:rFonts w:hint="eastAsia"/>
              </w:rPr>
              <w:t>设备参数：</w:t>
            </w:r>
          </w:p>
          <w:p w14:paraId="4C36B067">
            <w:pPr>
              <w:rPr>
                <w:rFonts w:ascii="宋体" w:hAnsi="宋体"/>
              </w:rPr>
            </w:pPr>
            <w:r>
              <w:rPr>
                <w:rFonts w:ascii="宋体" w:hAnsi="宋体"/>
              </w:rPr>
              <w:t>1</w:t>
            </w:r>
            <w:r>
              <w:rPr>
                <w:rFonts w:hint="eastAsia" w:ascii="宋体" w:hAnsi="宋体"/>
              </w:rPr>
              <w:t>、</w:t>
            </w:r>
            <w:r>
              <w:rPr>
                <w:rFonts w:ascii="宋体" w:hAnsi="宋体"/>
              </w:rPr>
              <w:t>控制器：冗余多控制器集群结构，同时活动的NAS或SAN控制器数量要求≥2，不同型号存储控制器可组成集群系统统一对外提供服务，集群系统SAN</w:t>
            </w:r>
            <w:r>
              <w:rPr>
                <w:rFonts w:hint="eastAsia" w:ascii="宋体" w:hAnsi="宋体"/>
              </w:rPr>
              <w:t>横向扩展</w:t>
            </w:r>
            <w:r>
              <w:rPr>
                <w:rFonts w:ascii="宋体" w:hAnsi="宋体"/>
              </w:rPr>
              <w:t>≥</w:t>
            </w:r>
            <w:r>
              <w:rPr>
                <w:rFonts w:hint="eastAsia" w:ascii="宋体" w:hAnsi="宋体"/>
              </w:rPr>
              <w:t>6个高可用组</w:t>
            </w:r>
            <w:r>
              <w:rPr>
                <w:rFonts w:ascii="宋体" w:hAnsi="宋体"/>
              </w:rPr>
              <w:t>，NAS</w:t>
            </w:r>
            <w:r>
              <w:rPr>
                <w:rFonts w:hint="eastAsia" w:ascii="宋体" w:hAnsi="宋体"/>
              </w:rPr>
              <w:t>横向扩展</w:t>
            </w:r>
            <w:r>
              <w:rPr>
                <w:rFonts w:ascii="宋体" w:hAnsi="宋体"/>
              </w:rPr>
              <w:t>≥</w:t>
            </w:r>
            <w:r>
              <w:rPr>
                <w:rFonts w:hint="eastAsia" w:ascii="宋体" w:hAnsi="宋体"/>
              </w:rPr>
              <w:t>12个高可用组</w:t>
            </w:r>
            <w:r>
              <w:rPr>
                <w:rFonts w:ascii="宋体" w:hAnsi="宋体"/>
              </w:rPr>
              <w:t xml:space="preserve">，可同时管理块、文件和对象数据。 </w:t>
            </w:r>
          </w:p>
          <w:p w14:paraId="04E8D1ED">
            <w:pPr>
              <w:rPr>
                <w:rFonts w:ascii="宋体" w:hAnsi="宋体"/>
              </w:rPr>
            </w:pPr>
            <w:r>
              <w:rPr>
                <w:rFonts w:ascii="宋体" w:hAnsi="宋体"/>
              </w:rPr>
              <w:t>2.</w:t>
            </w:r>
            <w:r>
              <w:rPr>
                <w:rFonts w:hint="eastAsia" w:ascii="宋体" w:hAnsi="宋体"/>
              </w:rPr>
              <w:t>、</w:t>
            </w:r>
            <w:r>
              <w:rPr>
                <w:rFonts w:ascii="宋体" w:hAnsi="宋体"/>
              </w:rPr>
              <w:t>硬盘：本次配置≥</w:t>
            </w:r>
            <w:r>
              <w:rPr>
                <w:rFonts w:hint="eastAsia" w:ascii="宋体" w:hAnsi="宋体"/>
              </w:rPr>
              <w:t>12</w:t>
            </w:r>
            <w:r>
              <w:rPr>
                <w:rFonts w:ascii="宋体" w:hAnsi="宋体"/>
              </w:rPr>
              <w:t>块</w:t>
            </w:r>
            <w:r>
              <w:rPr>
                <w:rFonts w:hint="eastAsia" w:ascii="宋体" w:hAnsi="宋体"/>
              </w:rPr>
              <w:t>1.9T</w:t>
            </w:r>
            <w:r>
              <w:rPr>
                <w:rFonts w:ascii="宋体" w:hAnsi="宋体"/>
              </w:rPr>
              <w:t>热插拔NVMe硬盘，支持全局动态热备盘</w:t>
            </w:r>
            <w:r>
              <w:rPr>
                <w:rFonts w:hint="eastAsia" w:ascii="宋体" w:hAnsi="宋体"/>
              </w:rPr>
              <w:t>，</w:t>
            </w:r>
            <w:r>
              <w:rPr>
                <w:rFonts w:ascii="宋体" w:hAnsi="宋体"/>
              </w:rPr>
              <w:t>支持多种RAID存储方式，包含：RAID 0 /1 /5/ 6 /10或提供三重奇偶校验位或双奇偶校验位 RAID技术 ，双控最大可扩充NVMe磁盘数≥48</w:t>
            </w:r>
            <w:r>
              <w:rPr>
                <w:rFonts w:hint="eastAsia" w:ascii="宋体" w:hAnsi="宋体"/>
              </w:rPr>
              <w:t>块</w:t>
            </w:r>
          </w:p>
          <w:p w14:paraId="63C1C850">
            <w:pPr>
              <w:rPr>
                <w:rFonts w:ascii="宋体" w:hAnsi="宋体"/>
              </w:rPr>
            </w:pPr>
            <w:r>
              <w:rPr>
                <w:rFonts w:ascii="宋体" w:hAnsi="宋体"/>
              </w:rPr>
              <w:t>3</w:t>
            </w:r>
            <w:r>
              <w:rPr>
                <w:rFonts w:hint="eastAsia" w:ascii="宋体" w:hAnsi="宋体"/>
              </w:rPr>
              <w:t>、</w:t>
            </w:r>
            <w:r>
              <w:rPr>
                <w:rFonts w:ascii="宋体" w:hAnsi="宋体"/>
              </w:rPr>
              <w:t>数据缓存容量：配置</w:t>
            </w:r>
            <w:r>
              <w:rPr>
                <w:rFonts w:hint="eastAsia" w:ascii="宋体" w:hAnsi="宋体"/>
              </w:rPr>
              <w:t>内存</w:t>
            </w:r>
            <w:r>
              <w:rPr>
                <w:rFonts w:ascii="宋体" w:hAnsi="宋体"/>
              </w:rPr>
              <w:t>≥128GB（不含任何性能加速模块或NAS缓存、FlashCache、PAM卡，SSDCache等，配置</w:t>
            </w:r>
            <w:r>
              <w:rPr>
                <w:rFonts w:hint="eastAsia" w:ascii="宋体" w:hAnsi="宋体"/>
              </w:rPr>
              <w:t>NVRAM</w:t>
            </w:r>
            <w:r>
              <w:rPr>
                <w:rFonts w:ascii="宋体" w:hAnsi="宋体"/>
              </w:rPr>
              <w:t>≥16GB</w:t>
            </w:r>
          </w:p>
          <w:p w14:paraId="57647B58">
            <w:pPr>
              <w:rPr>
                <w:rFonts w:ascii="宋体" w:hAnsi="宋体"/>
              </w:rPr>
            </w:pPr>
            <w:r>
              <w:rPr>
                <w:rFonts w:ascii="宋体" w:hAnsi="宋体"/>
              </w:rPr>
              <w:t>4</w:t>
            </w:r>
            <w:r>
              <w:rPr>
                <w:rFonts w:hint="eastAsia" w:ascii="宋体" w:hAnsi="宋体"/>
              </w:rPr>
              <w:t>、</w:t>
            </w:r>
            <w:r>
              <w:rPr>
                <w:rFonts w:ascii="宋体" w:hAnsi="宋体"/>
              </w:rPr>
              <w:t>数据传输能力（以太网连接，前端端口，不包含集群内部互联端口）：统一模式端口，支持32Gb FC或者10Gb/25Gb 以太网，本次配置</w:t>
            </w:r>
            <w:r>
              <w:rPr>
                <w:rFonts w:hint="eastAsia" w:ascii="宋体" w:hAnsi="宋体"/>
              </w:rPr>
              <w:t>32Gb FC</w:t>
            </w:r>
            <w:r>
              <w:rPr>
                <w:rFonts w:ascii="宋体" w:hAnsi="宋体"/>
              </w:rPr>
              <w:t>端口≥</w:t>
            </w:r>
            <w:r>
              <w:rPr>
                <w:rFonts w:hint="eastAsia" w:ascii="宋体" w:hAnsi="宋体"/>
              </w:rPr>
              <w:t>8</w:t>
            </w:r>
            <w:r>
              <w:rPr>
                <w:rFonts w:ascii="宋体" w:hAnsi="宋体"/>
              </w:rPr>
              <w:t>个</w:t>
            </w:r>
            <w:r>
              <w:rPr>
                <w:rFonts w:hint="eastAsia" w:ascii="宋体" w:hAnsi="宋体"/>
              </w:rPr>
              <w:t>，</w:t>
            </w:r>
            <w:r>
              <w:rPr>
                <w:rFonts w:ascii="宋体" w:hAnsi="宋体"/>
              </w:rPr>
              <w:t>配置</w:t>
            </w:r>
            <w:r>
              <w:rPr>
                <w:rFonts w:hint="eastAsia" w:ascii="宋体" w:hAnsi="宋体"/>
              </w:rPr>
              <w:t>25Gb以太网</w:t>
            </w:r>
            <w:r>
              <w:rPr>
                <w:rFonts w:ascii="宋体" w:hAnsi="宋体"/>
              </w:rPr>
              <w:t>端口≥</w:t>
            </w:r>
            <w:r>
              <w:rPr>
                <w:rFonts w:hint="eastAsia" w:ascii="宋体" w:hAnsi="宋体"/>
              </w:rPr>
              <w:t>8</w:t>
            </w:r>
            <w:r>
              <w:rPr>
                <w:rFonts w:ascii="宋体" w:hAnsi="宋体"/>
              </w:rPr>
              <w:t>个；</w:t>
            </w:r>
          </w:p>
          <w:p w14:paraId="0508493A">
            <w:pPr>
              <w:rPr>
                <w:rFonts w:ascii="宋体" w:hAnsi="宋体"/>
              </w:rPr>
            </w:pPr>
            <w:r>
              <w:rPr>
                <w:rFonts w:hint="eastAsia" w:ascii="宋体" w:hAnsi="宋体"/>
              </w:rPr>
              <w:t>5、</w:t>
            </w:r>
            <w:r>
              <w:rPr>
                <w:rFonts w:ascii="宋体" w:hAnsi="宋体"/>
              </w:rPr>
              <w:t>存储QoS： 提供针对前端不同级别的应用提供存储资源的优先分配功能；</w:t>
            </w:r>
          </w:p>
          <w:p w14:paraId="6B9827A2">
            <w:pPr>
              <w:rPr>
                <w:rFonts w:ascii="宋体" w:hAnsi="宋体"/>
              </w:rPr>
            </w:pPr>
            <w:r>
              <w:rPr>
                <w:rFonts w:hint="eastAsia" w:ascii="宋体" w:hAnsi="宋体"/>
              </w:rPr>
              <w:t>6、</w:t>
            </w:r>
            <w:r>
              <w:rPr>
                <w:rFonts w:ascii="宋体" w:hAnsi="宋体"/>
              </w:rPr>
              <w:t>存储快照 ：提供存储快照功能，配置相应快照软件</w:t>
            </w:r>
          </w:p>
          <w:p w14:paraId="6CF42132">
            <w:pPr>
              <w:rPr>
                <w:rFonts w:ascii="宋体" w:hAnsi="宋体"/>
              </w:rPr>
            </w:pPr>
            <w:r>
              <w:rPr>
                <w:rFonts w:hint="eastAsia" w:ascii="宋体" w:hAnsi="宋体"/>
              </w:rPr>
              <w:t>7、</w:t>
            </w:r>
            <w:r>
              <w:rPr>
                <w:rFonts w:ascii="宋体" w:hAnsi="宋体"/>
              </w:rPr>
              <w:t>提供 WORM 文件级锁定，防止更改和删除文件；</w:t>
            </w:r>
          </w:p>
          <w:p w14:paraId="3B7D0BAE">
            <w:pPr>
              <w:rPr>
                <w:rFonts w:ascii="宋体" w:hAnsi="宋体"/>
              </w:rPr>
            </w:pPr>
            <w:r>
              <w:rPr>
                <w:rFonts w:hint="eastAsia" w:ascii="宋体" w:hAnsi="宋体"/>
              </w:rPr>
              <w:t>8、</w:t>
            </w:r>
            <w:r>
              <w:rPr>
                <w:rFonts w:ascii="宋体" w:hAnsi="宋体"/>
              </w:rPr>
              <w:t>设备兼容性：支持业界主流平台（Windows server、LINUX、VMware等），支持多种高可用集群系统</w:t>
            </w:r>
          </w:p>
          <w:p w14:paraId="0071921A">
            <w:pPr>
              <w:rPr>
                <w:rFonts w:ascii="宋体" w:hAnsi="宋体"/>
              </w:rPr>
            </w:pPr>
            <w:r>
              <w:rPr>
                <w:rFonts w:hint="eastAsia" w:ascii="宋体" w:hAnsi="宋体"/>
              </w:rPr>
              <w:t>9、</w:t>
            </w:r>
            <w:r>
              <w:rPr>
                <w:rFonts w:ascii="宋体" w:hAnsi="宋体"/>
              </w:rPr>
              <w:t>云数据复制：支持利用</w:t>
            </w:r>
            <w:r>
              <w:rPr>
                <w:rFonts w:hint="eastAsia" w:ascii="宋体" w:hAnsi="宋体"/>
              </w:rPr>
              <w:t>云原生</w:t>
            </w:r>
            <w:r>
              <w:rPr>
                <w:rFonts w:ascii="宋体" w:hAnsi="宋体"/>
              </w:rPr>
              <w:t>S3</w:t>
            </w:r>
            <w:r>
              <w:rPr>
                <w:rFonts w:hint="eastAsia" w:ascii="宋体" w:hAnsi="宋体"/>
              </w:rPr>
              <w:t>进行</w:t>
            </w:r>
            <w:r>
              <w:rPr>
                <w:rFonts w:ascii="宋体" w:hAnsi="宋体"/>
              </w:rPr>
              <w:t>备份</w:t>
            </w:r>
            <w:r>
              <w:rPr>
                <w:rFonts w:hint="eastAsia" w:ascii="宋体" w:hAnsi="宋体"/>
              </w:rPr>
              <w:t>、数据分发</w:t>
            </w:r>
            <w:r>
              <w:rPr>
                <w:rFonts w:ascii="宋体" w:hAnsi="宋体"/>
              </w:rPr>
              <w:t>和灾难恢复</w:t>
            </w:r>
          </w:p>
          <w:p w14:paraId="23F81E9E">
            <w:pPr>
              <w:rPr>
                <w:rFonts w:ascii="宋体" w:hAnsi="宋体"/>
              </w:rPr>
            </w:pPr>
            <w:r>
              <w:rPr>
                <w:rFonts w:ascii="宋体" w:hAnsi="宋体"/>
              </w:rPr>
              <w:t>1</w:t>
            </w:r>
            <w:r>
              <w:rPr>
                <w:rFonts w:hint="eastAsia" w:ascii="宋体" w:hAnsi="宋体"/>
              </w:rPr>
              <w:t>0、</w:t>
            </w:r>
            <w:r>
              <w:rPr>
                <w:rFonts w:ascii="宋体" w:hAnsi="宋体"/>
              </w:rPr>
              <w:t>勒索软件防护：提供强大的内置功能，可检测勒索软件活动、防止其传播并实现快速 恢复</w:t>
            </w:r>
            <w:r>
              <w:rPr>
                <w:rFonts w:hint="eastAsia" w:ascii="宋体" w:hAnsi="宋体"/>
              </w:rPr>
              <w:t>，</w:t>
            </w:r>
            <w:r>
              <w:rPr>
                <w:rFonts w:ascii="宋体" w:hAnsi="宋体"/>
              </w:rPr>
              <w:t>包括自动拍摄快照并在检测到异常文件活动时提醒管理员</w:t>
            </w:r>
            <w:r>
              <w:rPr>
                <w:rFonts w:hint="eastAsia" w:ascii="宋体" w:hAnsi="宋体"/>
              </w:rPr>
              <w:t>。</w:t>
            </w:r>
          </w:p>
          <w:p w14:paraId="12C7B72D">
            <w:pPr>
              <w:rPr>
                <w:rFonts w:ascii="宋体" w:hAnsi="宋体"/>
              </w:rPr>
            </w:pPr>
            <w:r>
              <w:rPr>
                <w:rFonts w:ascii="宋体" w:hAnsi="宋体"/>
              </w:rPr>
              <w:t>1</w:t>
            </w:r>
            <w:r>
              <w:rPr>
                <w:rFonts w:hint="eastAsia" w:ascii="宋体" w:hAnsi="宋体"/>
              </w:rPr>
              <w:t>1、</w:t>
            </w:r>
            <w:r>
              <w:rPr>
                <w:rFonts w:ascii="宋体" w:hAnsi="宋体"/>
              </w:rPr>
              <w:t>可用性：配置冗余电源、冗余风扇、冗余控制器;必须支持在线可热插拔更换；保证系统内无任何单点错误的隐患</w:t>
            </w:r>
            <w:r>
              <w:rPr>
                <w:rFonts w:hint="eastAsia" w:ascii="宋体" w:hAnsi="宋体"/>
              </w:rPr>
              <w:t>。</w:t>
            </w:r>
          </w:p>
          <w:p w14:paraId="532A307B">
            <w:pPr>
              <w:rPr>
                <w:rFonts w:ascii="宋体" w:hAnsi="宋体"/>
              </w:rPr>
            </w:pPr>
            <w:r>
              <w:rPr>
                <w:rFonts w:ascii="宋体" w:hAnsi="宋体"/>
              </w:rPr>
              <w:t>1</w:t>
            </w:r>
            <w:r>
              <w:rPr>
                <w:rFonts w:hint="eastAsia" w:ascii="宋体" w:hAnsi="宋体"/>
              </w:rPr>
              <w:t>2、</w:t>
            </w:r>
            <w:r>
              <w:rPr>
                <w:rFonts w:ascii="宋体" w:hAnsi="宋体"/>
              </w:rPr>
              <w:t>存储软件及功能要求：</w:t>
            </w:r>
            <w:r>
              <w:rPr>
                <w:rFonts w:hint="eastAsia" w:ascii="宋体" w:hAnsi="宋体"/>
              </w:rPr>
              <w:t>存储软件</w:t>
            </w:r>
            <w:r>
              <w:rPr>
                <w:rFonts w:ascii="宋体" w:hAnsi="宋体"/>
              </w:rPr>
              <w:t>可提供领先的数据管理、存储效率、数据保护、高性能和先进功能，原生支持FC</w:t>
            </w:r>
            <w:r>
              <w:rPr>
                <w:rFonts w:hint="eastAsia" w:ascii="宋体" w:hAnsi="宋体"/>
              </w:rPr>
              <w:t>、</w:t>
            </w:r>
            <w:r>
              <w:rPr>
                <w:rFonts w:ascii="宋体" w:hAnsi="宋体"/>
              </w:rPr>
              <w:t>iSCSI</w:t>
            </w:r>
            <w:r>
              <w:rPr>
                <w:rFonts w:hint="eastAsia" w:ascii="宋体" w:hAnsi="宋体"/>
              </w:rPr>
              <w:t>、SMB、</w:t>
            </w:r>
            <w:r>
              <w:rPr>
                <w:rFonts w:ascii="宋体" w:hAnsi="宋体"/>
              </w:rPr>
              <w:t>NFS</w:t>
            </w:r>
            <w:r>
              <w:rPr>
                <w:rFonts w:hint="eastAsia" w:ascii="宋体" w:hAnsi="宋体"/>
              </w:rPr>
              <w:t>、</w:t>
            </w:r>
            <w:r>
              <w:rPr>
                <w:rFonts w:ascii="宋体" w:hAnsi="宋体"/>
              </w:rPr>
              <w:t>S3</w:t>
            </w:r>
            <w:r>
              <w:rPr>
                <w:rFonts w:hint="eastAsia" w:ascii="宋体" w:hAnsi="宋体"/>
              </w:rPr>
              <w:t>、</w:t>
            </w:r>
            <w:r>
              <w:rPr>
                <w:rFonts w:ascii="宋体" w:hAnsi="宋体"/>
              </w:rPr>
              <w:t>pNFS</w:t>
            </w:r>
            <w:r>
              <w:rPr>
                <w:rFonts w:hint="eastAsia" w:ascii="宋体" w:hAnsi="宋体"/>
              </w:rPr>
              <w:t>、NVMe/FC存储网络</w:t>
            </w:r>
            <w:r>
              <w:rPr>
                <w:rFonts w:ascii="宋体" w:hAnsi="宋体"/>
              </w:rPr>
              <w:t>，无需外部网关设备；支持单个命名空间扩展为多达20PB和4000亿个文件；实现零数据丢失和透明的应用程序故障转移，利用简单的管理和平台灵活性保持高性能和业务弹性；提供丰富的存储管理功能，包括快照、卷复制、服务质量、精简配置、压缩、去重、加密、基于磁 盘的备份、应用程序和虚拟机感知备份、快速数据恢复、集群、同步复制和异步复制。</w:t>
            </w:r>
          </w:p>
          <w:p w14:paraId="7597EEC5">
            <w:pPr>
              <w:rPr>
                <w:rFonts w:hint="eastAsia" w:ascii="宋体" w:hAnsi="宋体"/>
              </w:rPr>
            </w:pPr>
            <w:r>
              <w:rPr>
                <w:rFonts w:hint="eastAsia" w:ascii="宋体" w:hAnsi="宋体"/>
              </w:rPr>
              <w:t>13、可选用统一管理软件与服务器和其他同品牌设备统一管理；</w:t>
            </w:r>
          </w:p>
          <w:p w14:paraId="1995B1D9">
            <w:pPr>
              <w:rPr>
                <w:rFonts w:hint="default" w:ascii="宋体" w:hAnsi="宋体" w:eastAsia="宋体"/>
                <w:lang w:val="en-US" w:eastAsia="zh-CN"/>
              </w:rPr>
            </w:pPr>
            <w:r>
              <w:rPr>
                <w:rFonts w:hint="eastAsia" w:ascii="宋体" w:hAnsi="宋体"/>
                <w:lang w:val="en-US" w:eastAsia="zh-CN"/>
              </w:rPr>
              <w:t>14、质保：3年</w:t>
            </w:r>
          </w:p>
          <w:p w14:paraId="3533C010">
            <w:pPr>
              <w:rPr>
                <w:rFonts w:hint="eastAsia" w:ascii="宋体" w:hAnsi="宋体"/>
              </w:rPr>
            </w:pPr>
          </w:p>
          <w:p w14:paraId="79590C2F">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三、产品名称：PACS数据库与应用集群节点</w:t>
            </w:r>
          </w:p>
          <w:p w14:paraId="0E5199D9">
            <w:r>
              <w:rPr>
                <w:rFonts w:hint="eastAsia"/>
              </w:rPr>
              <w:t>数量：2套</w:t>
            </w:r>
          </w:p>
          <w:p w14:paraId="525309CE">
            <w:r>
              <w:rPr>
                <w:rFonts w:hint="eastAsia"/>
              </w:rPr>
              <w:t>设备参数：</w:t>
            </w:r>
          </w:p>
          <w:p w14:paraId="42AE828D">
            <w:pPr>
              <w:widowControl/>
              <w:jc w:val="left"/>
              <w:rPr>
                <w:rFonts w:ascii="宋体" w:hAnsi="宋体" w:cs="仿宋"/>
                <w:sz w:val="20"/>
                <w:szCs w:val="20"/>
              </w:rPr>
            </w:pPr>
            <w:r>
              <w:rPr>
                <w:rFonts w:hint="eastAsia" w:ascii="宋体" w:hAnsi="宋体" w:cs="仿宋"/>
                <w:sz w:val="20"/>
                <w:szCs w:val="20"/>
              </w:rPr>
              <w:t>1、规格：≥4U国产（非OEM）；</w:t>
            </w:r>
          </w:p>
          <w:p w14:paraId="5E7B019E">
            <w:pPr>
              <w:widowControl/>
              <w:jc w:val="left"/>
              <w:rPr>
                <w:rFonts w:ascii="宋体" w:hAnsi="宋体" w:cs="仿宋"/>
                <w:sz w:val="20"/>
                <w:szCs w:val="20"/>
              </w:rPr>
            </w:pPr>
            <w:r>
              <w:rPr>
                <w:rFonts w:hint="eastAsia" w:ascii="宋体" w:hAnsi="宋体" w:cs="仿宋"/>
                <w:sz w:val="20"/>
                <w:szCs w:val="20"/>
              </w:rPr>
              <w:t>2、处理器：配置≥4颗Intel Xeon Gold 6418H 24C 165W 2.1GHz处理器，具备≥3个UPI链路的网络拓扑结构；</w:t>
            </w:r>
          </w:p>
          <w:p w14:paraId="01F9F7F6">
            <w:pPr>
              <w:widowControl/>
              <w:jc w:val="left"/>
              <w:rPr>
                <w:rFonts w:ascii="宋体" w:hAnsi="宋体" w:cs="仿宋"/>
                <w:sz w:val="20"/>
                <w:szCs w:val="20"/>
              </w:rPr>
            </w:pPr>
            <w:r>
              <w:rPr>
                <w:rFonts w:hint="eastAsia" w:ascii="宋体" w:hAnsi="宋体" w:cs="仿宋"/>
                <w:sz w:val="20"/>
                <w:szCs w:val="20"/>
              </w:rPr>
              <w:t>3、内存：配置≥512GB TruDDR5内存，单挑内存容量≥64GB，可选64个内存插槽；</w:t>
            </w:r>
          </w:p>
          <w:p w14:paraId="28E5B838">
            <w:pPr>
              <w:widowControl/>
              <w:jc w:val="left"/>
              <w:rPr>
                <w:rFonts w:ascii="宋体" w:hAnsi="宋体" w:cs="仿宋"/>
                <w:sz w:val="20"/>
                <w:szCs w:val="20"/>
              </w:rPr>
            </w:pPr>
            <w:r>
              <w:rPr>
                <w:rFonts w:hint="eastAsia" w:ascii="宋体" w:hAnsi="宋体" w:cs="仿宋"/>
                <w:sz w:val="20"/>
                <w:szCs w:val="20"/>
              </w:rPr>
              <w:t>4、硬盘：内置硬盘类型：本次配置≥3块3.84TB 2.5寸SSD硬盘；</w:t>
            </w:r>
          </w:p>
          <w:p w14:paraId="182754D6">
            <w:pPr>
              <w:widowControl/>
              <w:jc w:val="left"/>
              <w:rPr>
                <w:rFonts w:ascii="宋体" w:hAnsi="宋体" w:cs="仿宋"/>
                <w:sz w:val="20"/>
                <w:szCs w:val="20"/>
              </w:rPr>
            </w:pPr>
            <w:r>
              <w:rPr>
                <w:rFonts w:hint="eastAsia" w:ascii="宋体" w:hAnsi="宋体" w:cs="仿宋"/>
                <w:sz w:val="20"/>
                <w:szCs w:val="20"/>
              </w:rPr>
              <w:t>5、RAID卡：配置≥1块RAID卡，缓存≥2GB，支持RAID 0、1、5、6、10、50、60；</w:t>
            </w:r>
            <w:r>
              <w:rPr>
                <w:rFonts w:ascii="宋体" w:hAnsi="宋体" w:cs="仿宋"/>
                <w:sz w:val="20"/>
                <w:szCs w:val="20"/>
              </w:rPr>
              <w:t xml:space="preserve"> </w:t>
            </w:r>
          </w:p>
          <w:p w14:paraId="262197DA">
            <w:pPr>
              <w:widowControl/>
              <w:jc w:val="left"/>
              <w:rPr>
                <w:rFonts w:ascii="宋体" w:hAnsi="宋体" w:cs="仿宋"/>
                <w:sz w:val="20"/>
                <w:szCs w:val="20"/>
              </w:rPr>
            </w:pPr>
            <w:r>
              <w:rPr>
                <w:rFonts w:hint="eastAsia" w:ascii="宋体" w:hAnsi="宋体" w:cs="仿宋"/>
                <w:sz w:val="20"/>
                <w:szCs w:val="20"/>
              </w:rPr>
              <w:t>6、安全性：支持信任根模块；</w:t>
            </w:r>
          </w:p>
          <w:p w14:paraId="5EC4C973">
            <w:pPr>
              <w:widowControl/>
              <w:jc w:val="left"/>
              <w:rPr>
                <w:rFonts w:ascii="宋体" w:hAnsi="宋体" w:cs="仿宋"/>
                <w:sz w:val="20"/>
                <w:szCs w:val="20"/>
              </w:rPr>
            </w:pPr>
            <w:r>
              <w:rPr>
                <w:rFonts w:hint="eastAsia" w:ascii="宋体" w:hAnsi="宋体" w:cs="仿宋"/>
                <w:sz w:val="20"/>
                <w:szCs w:val="20"/>
              </w:rPr>
              <w:t>e7、I/O扩展：支持PCI-E插槽总数≥</w:t>
            </w:r>
            <w:r>
              <w:rPr>
                <w:rFonts w:ascii="宋体" w:hAnsi="宋体" w:cs="仿宋"/>
                <w:sz w:val="20"/>
                <w:szCs w:val="20"/>
              </w:rPr>
              <w:t>1</w:t>
            </w:r>
            <w:r>
              <w:rPr>
                <w:rFonts w:hint="eastAsia" w:ascii="宋体" w:hAnsi="宋体" w:cs="仿宋"/>
                <w:sz w:val="20"/>
                <w:szCs w:val="20"/>
              </w:rPr>
              <w:t>8个，支持≥2个OCP插槽；</w:t>
            </w:r>
          </w:p>
          <w:p w14:paraId="253AA1F0">
            <w:pPr>
              <w:widowControl/>
              <w:jc w:val="left"/>
              <w:rPr>
                <w:rFonts w:ascii="宋体" w:hAnsi="宋体" w:cs="仿宋"/>
                <w:sz w:val="20"/>
                <w:szCs w:val="20"/>
              </w:rPr>
            </w:pPr>
            <w:r>
              <w:rPr>
                <w:rFonts w:hint="eastAsia" w:ascii="宋体" w:hAnsi="宋体" w:cs="仿宋"/>
                <w:sz w:val="20"/>
                <w:szCs w:val="20"/>
              </w:rPr>
              <w:t>8、网络接口：配置≥2个双口25Gb光纤网卡（含4个25Gb SFP28多模模块），配置1个四口千兆网卡；</w:t>
            </w:r>
          </w:p>
          <w:p w14:paraId="7BB9F0DF">
            <w:pPr>
              <w:widowControl/>
              <w:jc w:val="left"/>
              <w:rPr>
                <w:rFonts w:ascii="宋体" w:hAnsi="宋体" w:cs="仿宋"/>
                <w:sz w:val="20"/>
                <w:szCs w:val="20"/>
              </w:rPr>
            </w:pPr>
            <w:r>
              <w:rPr>
                <w:rFonts w:hint="eastAsia" w:ascii="宋体" w:hAnsi="宋体" w:cs="仿宋"/>
                <w:sz w:val="20"/>
                <w:szCs w:val="20"/>
              </w:rPr>
              <w:t>9、HBA卡：配置≥2块双端口32Gb FC HBA卡，满配模块；</w:t>
            </w:r>
          </w:p>
          <w:p w14:paraId="003A63B7">
            <w:pPr>
              <w:widowControl/>
              <w:jc w:val="left"/>
              <w:rPr>
                <w:rFonts w:ascii="宋体" w:hAnsi="宋体" w:cs="仿宋"/>
                <w:sz w:val="20"/>
                <w:szCs w:val="20"/>
              </w:rPr>
            </w:pPr>
            <w:r>
              <w:rPr>
                <w:rFonts w:hint="eastAsia" w:ascii="宋体" w:hAnsi="宋体" w:cs="仿宋"/>
                <w:sz w:val="20"/>
                <w:szCs w:val="20"/>
              </w:rPr>
              <w:t>10、电源：提供2+2冗余电源，散热：配置冗余风扇；</w:t>
            </w:r>
          </w:p>
          <w:p w14:paraId="5B50949E">
            <w:pPr>
              <w:widowControl/>
              <w:jc w:val="left"/>
              <w:rPr>
                <w:rFonts w:ascii="宋体" w:hAnsi="宋体" w:cs="仿宋"/>
                <w:sz w:val="20"/>
                <w:szCs w:val="20"/>
              </w:rPr>
            </w:pPr>
            <w:r>
              <w:rPr>
                <w:rFonts w:hint="eastAsia" w:ascii="宋体" w:hAnsi="宋体" w:cs="仿宋"/>
                <w:sz w:val="20"/>
                <w:szCs w:val="20"/>
              </w:rPr>
              <w:t>11、为保障机器正常工作能力，所投HIS数据库集群节点须通过“环境应力筛选-储存温度”测试，测试值为-40至70度之间；</w:t>
            </w:r>
          </w:p>
          <w:p w14:paraId="187AA5FD">
            <w:pPr>
              <w:widowControl/>
              <w:jc w:val="left"/>
              <w:rPr>
                <w:rFonts w:ascii="宋体" w:hAnsi="宋体" w:cs="仿宋"/>
                <w:sz w:val="20"/>
                <w:szCs w:val="20"/>
              </w:rPr>
            </w:pPr>
            <w:r>
              <w:rPr>
                <w:rFonts w:hint="eastAsia" w:ascii="宋体" w:hAnsi="宋体" w:cs="仿宋"/>
                <w:sz w:val="20"/>
                <w:szCs w:val="20"/>
              </w:rPr>
              <w:t>12、为保障机器承受一定带宽的随机振动仍旧正常工作的能力，所投HIS数据库集群节点须通过“环境应力筛选-随机移动”测试，测试范围在5Hz-2000Hz之间；</w:t>
            </w:r>
          </w:p>
          <w:p w14:paraId="1C5AC8DF">
            <w:pPr>
              <w:widowControl/>
              <w:jc w:val="left"/>
              <w:rPr>
                <w:rFonts w:ascii="宋体" w:hAnsi="宋体" w:cs="仿宋"/>
                <w:sz w:val="20"/>
                <w:szCs w:val="20"/>
              </w:rPr>
            </w:pPr>
            <w:r>
              <w:rPr>
                <w:rFonts w:hint="eastAsia" w:ascii="宋体" w:hAnsi="宋体" w:cs="仿宋"/>
                <w:sz w:val="20"/>
                <w:szCs w:val="20"/>
              </w:rPr>
              <w:t>13、为保障机器正常工作噪音问题，所投HIS数据库集群节点的噪声声功率值在5Bel以下；</w:t>
            </w:r>
          </w:p>
          <w:p w14:paraId="781BADCD">
            <w:pPr>
              <w:widowControl/>
              <w:jc w:val="left"/>
              <w:rPr>
                <w:rFonts w:ascii="宋体" w:hAnsi="宋体" w:cs="仿宋"/>
                <w:sz w:val="20"/>
                <w:szCs w:val="20"/>
              </w:rPr>
            </w:pPr>
            <w:r>
              <w:rPr>
                <w:rFonts w:hint="eastAsia" w:ascii="宋体" w:hAnsi="宋体" w:cs="仿宋"/>
                <w:sz w:val="20"/>
                <w:szCs w:val="20"/>
              </w:rPr>
              <w:t>14、为保障机器抗扰度性能，所投HIS数据库集群节点须通过电磁兼容性检验且工频磁场抗扰度磁场强度不低于10A/m；</w:t>
            </w:r>
          </w:p>
          <w:p w14:paraId="32E179A1">
            <w:pPr>
              <w:widowControl/>
              <w:jc w:val="left"/>
              <w:rPr>
                <w:rFonts w:ascii="宋体" w:hAnsi="宋体" w:cs="仿宋"/>
                <w:sz w:val="20"/>
                <w:szCs w:val="20"/>
              </w:rPr>
            </w:pPr>
            <w:r>
              <w:rPr>
                <w:rFonts w:hint="eastAsia" w:ascii="宋体" w:hAnsi="宋体" w:cs="仿宋"/>
                <w:sz w:val="20"/>
                <w:szCs w:val="20"/>
              </w:rPr>
              <w:t>15、为保障机器的耐用度，所投HIS数据库集群节点须具有一定抗盐雾腐蚀的能力；</w:t>
            </w:r>
          </w:p>
          <w:p w14:paraId="541443F7">
            <w:pPr>
              <w:widowControl/>
              <w:jc w:val="left"/>
              <w:rPr>
                <w:rFonts w:ascii="宋体" w:hAnsi="宋体" w:cs="仿宋"/>
                <w:sz w:val="20"/>
                <w:szCs w:val="20"/>
              </w:rPr>
            </w:pPr>
            <w:r>
              <w:rPr>
                <w:rFonts w:hint="eastAsia" w:ascii="宋体" w:hAnsi="宋体" w:cs="仿宋"/>
                <w:sz w:val="20"/>
                <w:szCs w:val="20"/>
              </w:rPr>
              <w:t>16、为保证所投HIS数据库集群节点监控管理软件的效率质量及安全性，要求监控管理软件针对Microsoft System Center进行自主可控的开发管理；</w:t>
            </w:r>
          </w:p>
          <w:p w14:paraId="3C480F47">
            <w:pPr>
              <w:widowControl/>
              <w:jc w:val="left"/>
              <w:rPr>
                <w:rFonts w:ascii="宋体" w:hAnsi="宋体" w:cs="仿宋"/>
                <w:sz w:val="20"/>
                <w:szCs w:val="20"/>
              </w:rPr>
            </w:pPr>
            <w:r>
              <w:rPr>
                <w:rFonts w:hint="eastAsia" w:ascii="宋体" w:hAnsi="宋体" w:cs="仿宋"/>
                <w:sz w:val="20"/>
                <w:szCs w:val="20"/>
              </w:rPr>
              <w:t>17、为保证所投HIS数据库集群节点监控管理软件的效率质量及安全性，要求监控管理软件针对VMware vCenter进行自主可控的开发管理；</w:t>
            </w:r>
          </w:p>
          <w:p w14:paraId="4AD78EB5">
            <w:pPr>
              <w:widowControl/>
              <w:jc w:val="left"/>
              <w:rPr>
                <w:rFonts w:ascii="宋体" w:hAnsi="宋体" w:cs="仿宋"/>
                <w:sz w:val="20"/>
                <w:szCs w:val="20"/>
              </w:rPr>
            </w:pPr>
            <w:r>
              <w:rPr>
                <w:rFonts w:hint="eastAsia" w:ascii="宋体" w:hAnsi="宋体" w:cs="仿宋"/>
                <w:sz w:val="20"/>
                <w:szCs w:val="20"/>
              </w:rPr>
              <w:t>18、为了应付突发应急情况，所投HIS数据库集群节点平均无故障时间MTBF的m1的值不低于150000小时；</w:t>
            </w:r>
          </w:p>
          <w:p w14:paraId="7B664106">
            <w:pPr>
              <w:rPr>
                <w:rFonts w:hint="eastAsia" w:ascii="宋体" w:hAnsi="宋体" w:cs="仿宋"/>
              </w:rPr>
            </w:pPr>
            <w:r>
              <w:rPr>
                <w:rFonts w:hint="eastAsia" w:ascii="宋体" w:hAnsi="宋体" w:cs="仿宋"/>
                <w:sz w:val="20"/>
                <w:szCs w:val="20"/>
              </w:rPr>
              <w:t>19、</w:t>
            </w:r>
            <w:r>
              <w:rPr>
                <w:rFonts w:hint="eastAsia" w:ascii="宋体" w:hAnsi="宋体" w:cs="仿宋"/>
              </w:rPr>
              <w:t>为保证</w:t>
            </w:r>
            <w:r>
              <w:rPr>
                <w:rFonts w:hint="eastAsia" w:ascii="宋体" w:hAnsi="宋体" w:cs="仿宋"/>
                <w:sz w:val="20"/>
                <w:szCs w:val="20"/>
              </w:rPr>
              <w:t>所投HIS数据库集群</w:t>
            </w:r>
            <w:r>
              <w:rPr>
                <w:rFonts w:hint="eastAsia" w:ascii="宋体" w:hAnsi="宋体" w:cs="仿宋"/>
              </w:rPr>
              <w:t>性能,</w:t>
            </w:r>
            <w:r>
              <w:rPr>
                <w:rFonts w:hint="eastAsia" w:ascii="宋体" w:hAnsi="宋体" w:cs="仿宋"/>
                <w:sz w:val="20"/>
                <w:szCs w:val="20"/>
              </w:rPr>
              <w:t>所投HIS数据库集群节点</w:t>
            </w:r>
            <w:r>
              <w:rPr>
                <w:rFonts w:hint="eastAsia" w:ascii="宋体" w:hAnsi="宋体" w:cs="仿宋"/>
              </w:rPr>
              <w:t>进行了SAP SD-Benchmark测试，且测试值</w:t>
            </w:r>
            <w:r>
              <w:rPr>
                <w:rFonts w:hint="eastAsia" w:ascii="宋体" w:hAnsi="宋体" w:cs="仿宋"/>
                <w:sz w:val="20"/>
                <w:szCs w:val="20"/>
              </w:rPr>
              <w:t>≥</w:t>
            </w:r>
            <w:r>
              <w:rPr>
                <w:rFonts w:ascii="宋体" w:hAnsi="宋体" w:cs="仿宋"/>
              </w:rPr>
              <w:t>710000</w:t>
            </w:r>
            <w:r>
              <w:rPr>
                <w:rFonts w:hint="eastAsia" w:ascii="宋体" w:hAnsi="宋体" w:cs="仿宋"/>
              </w:rPr>
              <w:t>；</w:t>
            </w:r>
          </w:p>
          <w:p w14:paraId="46CEF2AA">
            <w:pPr>
              <w:rPr>
                <w:rFonts w:hint="default" w:ascii="宋体" w:hAnsi="宋体" w:eastAsia="宋体" w:cs="仿宋"/>
                <w:lang w:val="en-US" w:eastAsia="zh-CN"/>
              </w:rPr>
            </w:pPr>
            <w:r>
              <w:rPr>
                <w:rFonts w:hint="eastAsia" w:ascii="宋体" w:hAnsi="宋体" w:cs="仿宋"/>
                <w:lang w:val="en-US" w:eastAsia="zh-CN"/>
              </w:rPr>
              <w:t>20、质保：3年</w:t>
            </w:r>
          </w:p>
          <w:p w14:paraId="40AFDF41">
            <w:pPr>
              <w:rPr>
                <w:rFonts w:ascii="宋体" w:hAnsi="宋体" w:cs="仿宋"/>
              </w:rPr>
            </w:pPr>
          </w:p>
          <w:p w14:paraId="529F6F74">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四、产品名称：PACS存储</w:t>
            </w:r>
          </w:p>
          <w:p w14:paraId="190BA8E1">
            <w:r>
              <w:rPr>
                <w:rFonts w:hint="eastAsia"/>
              </w:rPr>
              <w:t>数量：1套</w:t>
            </w:r>
          </w:p>
          <w:p w14:paraId="11C9308C">
            <w:r>
              <w:rPr>
                <w:rFonts w:hint="eastAsia"/>
              </w:rPr>
              <w:t>设备参数：</w:t>
            </w:r>
          </w:p>
          <w:p w14:paraId="3688C265">
            <w:pPr>
              <w:rPr>
                <w:rFonts w:ascii="宋体" w:hAnsi="宋体"/>
              </w:rPr>
            </w:pPr>
            <w:r>
              <w:rPr>
                <w:rFonts w:hint="eastAsia" w:ascii="宋体" w:hAnsi="宋体"/>
              </w:rPr>
              <w:t>1、</w:t>
            </w:r>
            <w:r>
              <w:rPr>
                <w:rFonts w:ascii="宋体" w:hAnsi="宋体"/>
              </w:rPr>
              <w:t>控制器：冗余双控制器架构，控制器为双活工作模式，可支持FC、iSCSI、SAS协议</w:t>
            </w:r>
          </w:p>
          <w:p w14:paraId="1B2BF994">
            <w:pPr>
              <w:rPr>
                <w:rFonts w:ascii="宋体" w:hAnsi="宋体"/>
              </w:rPr>
            </w:pPr>
            <w:r>
              <w:rPr>
                <w:rFonts w:hint="eastAsia" w:ascii="宋体" w:hAnsi="宋体"/>
              </w:rPr>
              <w:t>2、</w:t>
            </w:r>
            <w:r>
              <w:rPr>
                <w:rFonts w:ascii="宋体" w:hAnsi="宋体"/>
              </w:rPr>
              <w:t>数据缓存：缓存（不含任何性能加速模块或NAS缓存、FlashCache、PAM卡，SSDCache等），本次配置要求≥128GB</w:t>
            </w:r>
            <w:r>
              <w:rPr>
                <w:rFonts w:hint="eastAsia" w:ascii="宋体" w:hAnsi="宋体"/>
              </w:rPr>
              <w:t>；</w:t>
            </w:r>
          </w:p>
          <w:p w14:paraId="13690DC3">
            <w:pPr>
              <w:rPr>
                <w:rFonts w:ascii="宋体" w:hAnsi="宋体"/>
              </w:rPr>
            </w:pPr>
            <w:r>
              <w:rPr>
                <w:rFonts w:hint="eastAsia" w:ascii="宋体" w:hAnsi="宋体"/>
              </w:rPr>
              <w:t>3、</w:t>
            </w:r>
            <w:r>
              <w:rPr>
                <w:rFonts w:ascii="宋体" w:hAnsi="宋体"/>
              </w:rPr>
              <w:t>磁盘：双控最大可扩充磁盘数≥480, 支持SAS、NL-SAS、SSD盘，支持不同容量、不同类型的磁盘混合安装，本次配置</w:t>
            </w:r>
            <w:r>
              <w:rPr>
                <w:rFonts w:hint="eastAsia" w:ascii="宋体" w:hAnsi="宋体"/>
              </w:rPr>
              <w:t>22T NL-SAS</w:t>
            </w:r>
            <w:r>
              <w:rPr>
                <w:rFonts w:ascii="宋体" w:hAnsi="宋体"/>
              </w:rPr>
              <w:t>硬盘≥</w:t>
            </w:r>
            <w:r>
              <w:rPr>
                <w:rFonts w:hint="eastAsia" w:ascii="宋体" w:hAnsi="宋体"/>
              </w:rPr>
              <w:t>24</w:t>
            </w:r>
            <w:r>
              <w:rPr>
                <w:rFonts w:ascii="宋体" w:hAnsi="宋体"/>
              </w:rPr>
              <w:t>块</w:t>
            </w:r>
            <w:r>
              <w:rPr>
                <w:rFonts w:ascii="宋体" w:hAnsi="宋体"/>
              </w:rPr>
              <w:tab/>
            </w:r>
          </w:p>
          <w:p w14:paraId="520A989F">
            <w:pPr>
              <w:rPr>
                <w:rFonts w:ascii="宋体" w:hAnsi="宋体"/>
              </w:rPr>
            </w:pPr>
            <w:r>
              <w:rPr>
                <w:rFonts w:hint="eastAsia" w:ascii="宋体" w:hAnsi="宋体"/>
              </w:rPr>
              <w:t>4、</w:t>
            </w:r>
            <w:r>
              <w:rPr>
                <w:rFonts w:ascii="宋体" w:hAnsi="宋体"/>
              </w:rPr>
              <w:t>RAID种类: 支持多种工业标准RAID存储方式混用，包括单盘失效、双盘失效保护技术，包括RAID0/1/10/</w:t>
            </w:r>
            <w:r>
              <w:rPr>
                <w:rFonts w:hint="eastAsia" w:ascii="宋体" w:hAnsi="宋体"/>
              </w:rPr>
              <w:t>3/</w:t>
            </w:r>
            <w:r>
              <w:rPr>
                <w:rFonts w:ascii="宋体" w:hAnsi="宋体"/>
              </w:rPr>
              <w:t>5/6/及动态磁盘池技术。</w:t>
            </w:r>
          </w:p>
          <w:p w14:paraId="479288BA">
            <w:pPr>
              <w:rPr>
                <w:rFonts w:ascii="宋体" w:hAnsi="宋体"/>
              </w:rPr>
            </w:pPr>
            <w:r>
              <w:rPr>
                <w:rFonts w:hint="eastAsia" w:ascii="宋体" w:hAnsi="宋体"/>
              </w:rPr>
              <w:t>5、读</w:t>
            </w:r>
            <w:r>
              <w:rPr>
                <w:rFonts w:ascii="宋体" w:hAnsi="宋体"/>
              </w:rPr>
              <w:t>缓存技术：支持SSD盘的</w:t>
            </w:r>
            <w:r>
              <w:rPr>
                <w:rFonts w:hint="eastAsia" w:ascii="宋体" w:hAnsi="宋体"/>
              </w:rPr>
              <w:t>读</w:t>
            </w:r>
            <w:r>
              <w:rPr>
                <w:rFonts w:ascii="宋体" w:hAnsi="宋体"/>
              </w:rPr>
              <w:t>缓存加速技术。</w:t>
            </w:r>
          </w:p>
          <w:p w14:paraId="1202C0C7">
            <w:pPr>
              <w:rPr>
                <w:rFonts w:ascii="宋体" w:hAnsi="宋体"/>
              </w:rPr>
            </w:pPr>
            <w:r>
              <w:rPr>
                <w:rFonts w:hint="eastAsia" w:ascii="宋体" w:hAnsi="宋体"/>
              </w:rPr>
              <w:t>6、</w:t>
            </w:r>
            <w:r>
              <w:rPr>
                <w:rFonts w:ascii="宋体" w:hAnsi="宋体"/>
              </w:rPr>
              <w:t>前端服务器接口：最大支持</w:t>
            </w:r>
            <w:r>
              <w:rPr>
                <w:rFonts w:hint="eastAsia" w:ascii="宋体" w:hAnsi="宋体"/>
              </w:rPr>
              <w:t>8</w:t>
            </w:r>
            <w:r>
              <w:rPr>
                <w:rFonts w:ascii="宋体" w:hAnsi="宋体"/>
              </w:rPr>
              <w:t>个10Gb</w:t>
            </w:r>
            <w:r>
              <w:rPr>
                <w:rFonts w:hint="eastAsia" w:ascii="宋体" w:hAnsi="宋体"/>
              </w:rPr>
              <w:t>或</w:t>
            </w:r>
            <w:r>
              <w:rPr>
                <w:rFonts w:ascii="宋体" w:hAnsi="宋体"/>
              </w:rPr>
              <w:t>25Gb</w:t>
            </w:r>
            <w:r>
              <w:rPr>
                <w:rFonts w:hint="eastAsia" w:ascii="宋体" w:hAnsi="宋体"/>
              </w:rPr>
              <w:t xml:space="preserve"> iSCSI端</w:t>
            </w:r>
            <w:r>
              <w:rPr>
                <w:rFonts w:ascii="宋体" w:hAnsi="宋体"/>
              </w:rPr>
              <w:t>口</w:t>
            </w:r>
            <w:r>
              <w:rPr>
                <w:rFonts w:hint="eastAsia" w:ascii="宋体" w:hAnsi="宋体"/>
              </w:rPr>
              <w:t>、最大支持8</w:t>
            </w:r>
            <w:r>
              <w:rPr>
                <w:rFonts w:ascii="宋体" w:hAnsi="宋体"/>
              </w:rPr>
              <w:t>个16Gb或32Gb FC</w:t>
            </w:r>
            <w:r>
              <w:rPr>
                <w:rFonts w:hint="eastAsia" w:ascii="宋体" w:hAnsi="宋体"/>
              </w:rPr>
              <w:t>端</w:t>
            </w:r>
            <w:r>
              <w:rPr>
                <w:rFonts w:ascii="宋体" w:hAnsi="宋体"/>
              </w:rPr>
              <w:t>口</w:t>
            </w:r>
            <w:r>
              <w:rPr>
                <w:rFonts w:hint="eastAsia" w:ascii="宋体" w:hAnsi="宋体"/>
              </w:rPr>
              <w:t>、最大支持</w:t>
            </w:r>
            <w:r>
              <w:rPr>
                <w:rFonts w:ascii="宋体" w:hAnsi="宋体"/>
              </w:rPr>
              <w:t>8个12Gb SAS端口，本次配置</w:t>
            </w:r>
            <w:r>
              <w:rPr>
                <w:rFonts w:hint="eastAsia" w:ascii="宋体" w:hAnsi="宋体"/>
              </w:rPr>
              <w:t>8</w:t>
            </w:r>
            <w:r>
              <w:rPr>
                <w:rFonts w:ascii="宋体" w:hAnsi="宋体"/>
              </w:rPr>
              <w:t>个32Gb FC端口</w:t>
            </w:r>
            <w:r>
              <w:rPr>
                <w:rFonts w:ascii="宋体" w:hAnsi="宋体"/>
              </w:rPr>
              <w:tab/>
            </w:r>
          </w:p>
          <w:p w14:paraId="7831B37D">
            <w:pPr>
              <w:rPr>
                <w:rFonts w:ascii="宋体" w:hAnsi="宋体"/>
              </w:rPr>
            </w:pPr>
            <w:r>
              <w:rPr>
                <w:rFonts w:hint="eastAsia" w:ascii="宋体" w:hAnsi="宋体"/>
              </w:rPr>
              <w:t>7、</w:t>
            </w:r>
            <w:r>
              <w:rPr>
                <w:rFonts w:ascii="宋体" w:hAnsi="宋体"/>
              </w:rPr>
              <w:t>存储快照与克隆复制：提供存储快照与</w:t>
            </w:r>
            <w:r>
              <w:rPr>
                <w:rFonts w:hint="eastAsia" w:ascii="宋体" w:hAnsi="宋体"/>
              </w:rPr>
              <w:t>卷</w:t>
            </w:r>
            <w:r>
              <w:rPr>
                <w:rFonts w:ascii="宋体" w:hAnsi="宋体"/>
              </w:rPr>
              <w:t>复制功能</w:t>
            </w:r>
            <w:r>
              <w:rPr>
                <w:rFonts w:hint="eastAsia" w:ascii="宋体" w:hAnsi="宋体"/>
              </w:rPr>
              <w:t>；</w:t>
            </w:r>
          </w:p>
          <w:p w14:paraId="67C0BFAD">
            <w:pPr>
              <w:rPr>
                <w:rFonts w:ascii="宋体" w:hAnsi="宋体"/>
              </w:rPr>
            </w:pPr>
            <w:r>
              <w:rPr>
                <w:rFonts w:hint="eastAsia" w:ascii="宋体" w:hAnsi="宋体"/>
              </w:rPr>
              <w:t>8、</w:t>
            </w:r>
            <w:r>
              <w:rPr>
                <w:rFonts w:ascii="宋体" w:hAnsi="宋体"/>
              </w:rPr>
              <w:t>精简配置：提供精简配置功能，提高存储利用率</w:t>
            </w:r>
            <w:r>
              <w:rPr>
                <w:rFonts w:hint="eastAsia" w:ascii="宋体" w:hAnsi="宋体"/>
              </w:rPr>
              <w:t>；</w:t>
            </w:r>
          </w:p>
          <w:p w14:paraId="68610E7D">
            <w:pPr>
              <w:rPr>
                <w:rFonts w:ascii="宋体" w:hAnsi="宋体"/>
              </w:rPr>
            </w:pPr>
            <w:r>
              <w:rPr>
                <w:rFonts w:hint="eastAsia" w:ascii="宋体" w:hAnsi="宋体"/>
              </w:rPr>
              <w:t>9、</w:t>
            </w:r>
            <w:r>
              <w:rPr>
                <w:rFonts w:ascii="宋体" w:hAnsi="宋体"/>
              </w:rPr>
              <w:t>设备兼容性：支持业界主流平台（Windows server、VMware、SuSE及Redhat等主流操作系统）</w:t>
            </w:r>
            <w:r>
              <w:rPr>
                <w:rFonts w:hint="eastAsia" w:ascii="宋体" w:hAnsi="宋体"/>
              </w:rPr>
              <w:t>；</w:t>
            </w:r>
          </w:p>
          <w:p w14:paraId="251275AD">
            <w:pPr>
              <w:rPr>
                <w:rFonts w:ascii="宋体" w:hAnsi="宋体"/>
              </w:rPr>
            </w:pPr>
            <w:r>
              <w:rPr>
                <w:rFonts w:hint="eastAsia" w:ascii="宋体" w:hAnsi="宋体"/>
              </w:rPr>
              <w:t>10、</w:t>
            </w:r>
            <w:r>
              <w:rPr>
                <w:rFonts w:ascii="宋体" w:hAnsi="宋体"/>
              </w:rPr>
              <w:t>数据复制：</w:t>
            </w:r>
            <w:r>
              <w:rPr>
                <w:rFonts w:hint="eastAsia" w:ascii="宋体" w:hAnsi="宋体"/>
              </w:rPr>
              <w:t>可选</w:t>
            </w:r>
            <w:r>
              <w:rPr>
                <w:rFonts w:ascii="宋体" w:hAnsi="宋体"/>
              </w:rPr>
              <w:t>同步复制、异步复制功能</w:t>
            </w:r>
            <w:r>
              <w:rPr>
                <w:rFonts w:hint="eastAsia" w:ascii="宋体" w:hAnsi="宋体"/>
              </w:rPr>
              <w:t>；</w:t>
            </w:r>
          </w:p>
          <w:p w14:paraId="5B814936">
            <w:pPr>
              <w:rPr>
                <w:rFonts w:ascii="宋体" w:hAnsi="宋体"/>
              </w:rPr>
            </w:pPr>
            <w:r>
              <w:rPr>
                <w:rFonts w:ascii="宋体" w:hAnsi="宋体"/>
              </w:rPr>
              <w:t>1</w:t>
            </w:r>
            <w:r>
              <w:rPr>
                <w:rFonts w:hint="eastAsia" w:ascii="宋体" w:hAnsi="宋体"/>
              </w:rPr>
              <w:t>1、</w:t>
            </w:r>
            <w:r>
              <w:rPr>
                <w:rFonts w:ascii="宋体" w:hAnsi="宋体"/>
              </w:rPr>
              <w:t>基本技术性能要求：最大卷数量≥2048，支持磁盘分区≥512，</w:t>
            </w:r>
            <w:r>
              <w:rPr>
                <w:rFonts w:hint="eastAsia" w:ascii="宋体" w:hAnsi="宋体"/>
              </w:rPr>
              <w:t>持续吞吐量</w:t>
            </w:r>
            <w:r>
              <w:rPr>
                <w:rFonts w:ascii="宋体" w:hAnsi="宋体"/>
              </w:rPr>
              <w:t>≥21GB/s</w:t>
            </w:r>
            <w:r>
              <w:rPr>
                <w:rFonts w:hint="eastAsia" w:ascii="宋体" w:hAnsi="宋体"/>
              </w:rPr>
              <w:t>，IOPS</w:t>
            </w:r>
            <w:r>
              <w:rPr>
                <w:rFonts w:ascii="宋体" w:hAnsi="宋体"/>
              </w:rPr>
              <w:t>≥1,000,000</w:t>
            </w:r>
            <w:r>
              <w:rPr>
                <w:rFonts w:hint="eastAsia" w:ascii="宋体" w:hAnsi="宋体"/>
              </w:rPr>
              <w:t>；</w:t>
            </w:r>
          </w:p>
          <w:p w14:paraId="05C8A030">
            <w:pPr>
              <w:rPr>
                <w:rFonts w:ascii="宋体" w:hAnsi="宋体"/>
              </w:rPr>
            </w:pPr>
            <w:r>
              <w:rPr>
                <w:rFonts w:ascii="宋体" w:hAnsi="宋体"/>
              </w:rPr>
              <w:t>1</w:t>
            </w:r>
            <w:r>
              <w:rPr>
                <w:rFonts w:hint="eastAsia" w:ascii="宋体" w:hAnsi="宋体"/>
              </w:rPr>
              <w:t>2、</w:t>
            </w:r>
            <w:r>
              <w:rPr>
                <w:rFonts w:ascii="宋体" w:hAnsi="宋体"/>
              </w:rPr>
              <w:t>可管理性：</w:t>
            </w:r>
            <w:r>
              <w:rPr>
                <w:rFonts w:hint="eastAsia" w:ascii="宋体" w:hAnsi="宋体"/>
              </w:rPr>
              <w:t>可选用统一管理软件与服务器和其他同品牌设备统一管理；</w:t>
            </w:r>
          </w:p>
          <w:p w14:paraId="2D967B4C">
            <w:pPr>
              <w:rPr>
                <w:rFonts w:ascii="宋体" w:hAnsi="宋体"/>
              </w:rPr>
            </w:pPr>
            <w:r>
              <w:rPr>
                <w:rFonts w:ascii="宋体" w:hAnsi="宋体"/>
              </w:rPr>
              <w:t>1</w:t>
            </w:r>
            <w:r>
              <w:rPr>
                <w:rFonts w:hint="eastAsia" w:ascii="宋体" w:hAnsi="宋体"/>
              </w:rPr>
              <w:t>3、</w:t>
            </w:r>
            <w:r>
              <w:rPr>
                <w:rFonts w:ascii="宋体" w:hAnsi="宋体"/>
              </w:rPr>
              <w:t xml:space="preserve">可用性：配置冗余电源、冗余风扇、冗余控制器；必须支持在线可热插拔更换； </w:t>
            </w:r>
          </w:p>
          <w:p w14:paraId="5BC5C830">
            <w:pPr>
              <w:rPr>
                <w:rFonts w:hint="default" w:ascii="宋体" w:hAnsi="宋体" w:eastAsia="宋体"/>
                <w:lang w:val="en-US" w:eastAsia="zh-CN"/>
              </w:rPr>
            </w:pPr>
            <w:r>
              <w:rPr>
                <w:rFonts w:hint="eastAsia" w:ascii="宋体" w:hAnsi="宋体"/>
                <w:lang w:val="en-US" w:eastAsia="zh-CN"/>
              </w:rPr>
              <w:t>14、质保：3年</w:t>
            </w:r>
          </w:p>
          <w:p w14:paraId="441B5CCA">
            <w:pPr>
              <w:rPr>
                <w:rFonts w:ascii="宋体" w:hAnsi="宋体" w:cs="仿宋"/>
              </w:rPr>
            </w:pPr>
          </w:p>
          <w:p w14:paraId="62FF26BE">
            <w:pPr>
              <w:pStyle w:val="20"/>
              <w:widowControl w:val="0"/>
              <w:adjustRightInd w:val="0"/>
              <w:snapToGrid w:val="0"/>
              <w:spacing w:before="0" w:beforeAutospacing="0" w:after="0" w:afterAutospacing="0"/>
              <w:jc w:val="both"/>
              <w:rPr>
                <w:b/>
                <w:bCs/>
                <w:kern w:val="2"/>
                <w:sz w:val="21"/>
                <w:szCs w:val="21"/>
              </w:rPr>
            </w:pPr>
            <w:r>
              <w:rPr>
                <w:rFonts w:hint="eastAsia" w:cs="仿宋"/>
                <w:b/>
                <w:bCs/>
                <w:szCs w:val="21"/>
              </w:rPr>
              <w:t>五、</w:t>
            </w:r>
            <w:r>
              <w:rPr>
                <w:rFonts w:hint="eastAsia"/>
                <w:b/>
                <w:bCs/>
                <w:kern w:val="2"/>
                <w:sz w:val="21"/>
                <w:szCs w:val="21"/>
              </w:rPr>
              <w:t>产品名称：光纤交换机</w:t>
            </w:r>
          </w:p>
          <w:p w14:paraId="7A6CFF94">
            <w:r>
              <w:rPr>
                <w:rFonts w:hint="eastAsia"/>
              </w:rPr>
              <w:t>数量：2套</w:t>
            </w:r>
          </w:p>
          <w:p w14:paraId="208E21D8">
            <w:r>
              <w:rPr>
                <w:rFonts w:hint="eastAsia"/>
              </w:rPr>
              <w:t>设备清单：</w:t>
            </w:r>
          </w:p>
          <w:p w14:paraId="2A71520E">
            <w:pPr>
              <w:rPr>
                <w:rFonts w:ascii="宋体" w:hAnsi="宋体"/>
              </w:rPr>
            </w:pPr>
            <w:r>
              <w:rPr>
                <w:rFonts w:hint="eastAsia" w:ascii="宋体" w:hAnsi="宋体"/>
              </w:rPr>
              <w:t>1、扩展能力：支持最大不少于64个端口扩展；</w:t>
            </w:r>
          </w:p>
          <w:p w14:paraId="2635C8BA">
            <w:pPr>
              <w:rPr>
                <w:rFonts w:ascii="宋体" w:hAnsi="宋体"/>
              </w:rPr>
            </w:pPr>
            <w:r>
              <w:rPr>
                <w:rFonts w:hint="eastAsia" w:ascii="宋体" w:hAnsi="宋体"/>
              </w:rPr>
              <w:t>2、全线速：</w:t>
            </w:r>
            <w:r>
              <w:rPr>
                <w:rFonts w:ascii="宋体" w:hAnsi="宋体"/>
              </w:rPr>
              <w:t>所有FC端口支持32G全线速</w:t>
            </w:r>
          </w:p>
          <w:p w14:paraId="74470E9D">
            <w:pPr>
              <w:rPr>
                <w:rFonts w:ascii="宋体" w:hAnsi="宋体"/>
              </w:rPr>
            </w:pPr>
            <w:r>
              <w:rPr>
                <w:rFonts w:hint="eastAsia" w:ascii="宋体" w:hAnsi="宋体"/>
              </w:rPr>
              <w:t>3、光模块特性：</w:t>
            </w:r>
            <w:r>
              <w:rPr>
                <w:rFonts w:ascii="宋体" w:hAnsi="宋体"/>
              </w:rPr>
              <w:t xml:space="preserve">支持16Gb、32Gb光模块和128Gb（4×32Gb）QSFP光模块 ； </w:t>
            </w:r>
          </w:p>
          <w:p w14:paraId="6E6CFAF7">
            <w:pPr>
              <w:rPr>
                <w:rFonts w:ascii="宋体" w:hAnsi="宋体"/>
              </w:rPr>
            </w:pPr>
            <w:r>
              <w:rPr>
                <w:rFonts w:hint="eastAsia" w:ascii="宋体" w:hAnsi="宋体"/>
              </w:rPr>
              <w:t>4、端口类型：至少要包括</w:t>
            </w:r>
            <w:r>
              <w:rPr>
                <w:rFonts w:ascii="宋体" w:hAnsi="宋体"/>
              </w:rPr>
              <w:t>全光纤模式</w:t>
            </w:r>
            <w:r>
              <w:rPr>
                <w:rFonts w:hint="eastAsia" w:ascii="宋体" w:hAnsi="宋体"/>
              </w:rPr>
              <w:t>和访问网关模式两种，在全光纤模式下支持：</w:t>
            </w:r>
            <w:r>
              <w:rPr>
                <w:rFonts w:ascii="宋体" w:hAnsi="宋体"/>
              </w:rPr>
              <w:t>F端口, M端口 (镜像端口), E端口, EX端口, D 端口 (诊断端口)</w:t>
            </w:r>
            <w:r>
              <w:rPr>
                <w:rFonts w:hint="eastAsia" w:ascii="宋体" w:hAnsi="宋体"/>
              </w:rPr>
              <w:t>，在</w:t>
            </w:r>
            <w:r>
              <w:rPr>
                <w:rFonts w:ascii="宋体" w:hAnsi="宋体"/>
              </w:rPr>
              <w:t>访问网关模式</w:t>
            </w:r>
            <w:r>
              <w:rPr>
                <w:rFonts w:hint="eastAsia" w:ascii="宋体" w:hAnsi="宋体"/>
              </w:rPr>
              <w:t>下</w:t>
            </w:r>
            <w:r>
              <w:rPr>
                <w:rFonts w:ascii="宋体" w:hAnsi="宋体"/>
              </w:rPr>
              <w:t>: F端口 和 NPIV 启用的N端口</w:t>
            </w:r>
            <w:r>
              <w:rPr>
                <w:rFonts w:hint="eastAsia" w:ascii="宋体" w:hAnsi="宋体"/>
              </w:rPr>
              <w:t>；</w:t>
            </w:r>
          </w:p>
          <w:p w14:paraId="64B4B402">
            <w:pPr>
              <w:rPr>
                <w:rFonts w:ascii="宋体" w:hAnsi="宋体"/>
              </w:rPr>
            </w:pPr>
            <w:r>
              <w:rPr>
                <w:rFonts w:hint="eastAsia" w:ascii="宋体" w:hAnsi="宋体"/>
              </w:rPr>
              <w:t>5、</w:t>
            </w:r>
            <w:r>
              <w:rPr>
                <w:rFonts w:ascii="宋体" w:hAnsi="宋体"/>
              </w:rPr>
              <w:t>服务类别</w:t>
            </w:r>
            <w:r>
              <w:rPr>
                <w:rFonts w:hint="eastAsia" w:ascii="宋体" w:hAnsi="宋体"/>
              </w:rPr>
              <w:t>：</w:t>
            </w:r>
            <w:r>
              <w:rPr>
                <w:rFonts w:ascii="宋体" w:hAnsi="宋体"/>
              </w:rPr>
              <w:t>第2类、第3类、第F类（交换机间帧）</w:t>
            </w:r>
          </w:p>
          <w:p w14:paraId="3BD0FD8A">
            <w:pPr>
              <w:rPr>
                <w:rFonts w:ascii="宋体" w:hAnsi="宋体"/>
              </w:rPr>
            </w:pPr>
            <w:r>
              <w:rPr>
                <w:rFonts w:hint="eastAsia" w:ascii="宋体" w:hAnsi="宋体"/>
              </w:rPr>
              <w:t>6、性能：</w:t>
            </w:r>
            <w:r>
              <w:rPr>
                <w:rFonts w:ascii="宋体" w:hAnsi="宋体"/>
              </w:rPr>
              <w:t>聚合吞吐量≥2 Tbps</w:t>
            </w:r>
          </w:p>
          <w:p w14:paraId="1DCEB1D7">
            <w:pPr>
              <w:rPr>
                <w:rFonts w:ascii="宋体" w:hAnsi="宋体"/>
              </w:rPr>
            </w:pPr>
            <w:r>
              <w:rPr>
                <w:rFonts w:hint="eastAsia" w:ascii="宋体" w:hAnsi="宋体"/>
              </w:rPr>
              <w:t>7、支持区域划分：高级分区</w:t>
            </w:r>
          </w:p>
          <w:p w14:paraId="2D8D5668">
            <w:pPr>
              <w:rPr>
                <w:rFonts w:ascii="宋体" w:hAnsi="宋体"/>
              </w:rPr>
            </w:pPr>
            <w:r>
              <w:rPr>
                <w:rFonts w:hint="eastAsia" w:ascii="宋体" w:hAnsi="宋体"/>
              </w:rPr>
              <w:t>8、可管理性：</w:t>
            </w:r>
            <w:r>
              <w:rPr>
                <w:rFonts w:ascii="宋体" w:hAnsi="宋体"/>
              </w:rPr>
              <w:t>支持SNMP 、</w:t>
            </w:r>
            <w:r>
              <w:rPr>
                <w:rFonts w:hint="eastAsia" w:ascii="宋体" w:hAnsi="宋体"/>
              </w:rPr>
              <w:t>命令行CLI</w:t>
            </w:r>
            <w:r>
              <w:rPr>
                <w:rFonts w:ascii="宋体" w:hAnsi="宋体"/>
              </w:rPr>
              <w:t>、</w:t>
            </w:r>
            <w:r>
              <w:rPr>
                <w:rFonts w:hint="eastAsia" w:ascii="宋体" w:hAnsi="宋体"/>
              </w:rPr>
              <w:t>基于</w:t>
            </w:r>
            <w:r>
              <w:rPr>
                <w:rFonts w:ascii="宋体" w:hAnsi="宋体"/>
              </w:rPr>
              <w:t>Web</w:t>
            </w:r>
            <w:r>
              <w:rPr>
                <w:rFonts w:hint="eastAsia" w:ascii="宋体" w:hAnsi="宋体"/>
              </w:rPr>
              <w:t>的</w:t>
            </w:r>
            <w:r>
              <w:rPr>
                <w:rFonts w:ascii="宋体" w:hAnsi="宋体"/>
              </w:rPr>
              <w:t>GUI</w:t>
            </w:r>
            <w:r>
              <w:rPr>
                <w:rFonts w:hint="eastAsia" w:ascii="宋体" w:hAnsi="宋体"/>
              </w:rPr>
              <w:t>管理</w:t>
            </w:r>
          </w:p>
          <w:p w14:paraId="01DE0A41">
            <w:pPr>
              <w:rPr>
                <w:rFonts w:ascii="宋体" w:hAnsi="宋体"/>
              </w:rPr>
            </w:pPr>
            <w:r>
              <w:rPr>
                <w:rFonts w:hint="eastAsia" w:ascii="宋体" w:hAnsi="宋体"/>
              </w:rPr>
              <w:t>9、端口需求</w:t>
            </w:r>
            <w:r>
              <w:rPr>
                <w:rFonts w:ascii="宋体" w:hAnsi="宋体"/>
              </w:rPr>
              <w:t>(*)</w:t>
            </w:r>
            <w:r>
              <w:rPr>
                <w:rFonts w:ascii="宋体" w:hAnsi="宋体"/>
              </w:rPr>
              <w:tab/>
            </w:r>
            <w:r>
              <w:rPr>
                <w:rFonts w:ascii="宋体" w:hAnsi="宋体"/>
              </w:rPr>
              <w:t>每台SAN交换机配置</w:t>
            </w:r>
            <w:r>
              <w:rPr>
                <w:rFonts w:hint="eastAsia" w:ascii="宋体" w:hAnsi="宋体"/>
              </w:rPr>
              <w:t>48</w:t>
            </w:r>
            <w:r>
              <w:rPr>
                <w:rFonts w:ascii="宋体" w:hAnsi="宋体"/>
              </w:rPr>
              <w:t>个</w:t>
            </w:r>
            <w:r>
              <w:rPr>
                <w:rFonts w:hint="eastAsia" w:ascii="宋体" w:hAnsi="宋体"/>
              </w:rPr>
              <w:t>SFP+物理端口和4个QSFP+物理端口，</w:t>
            </w:r>
            <w:r>
              <w:rPr>
                <w:rFonts w:ascii="宋体" w:hAnsi="宋体"/>
              </w:rPr>
              <w:t>并配置24个</w:t>
            </w:r>
            <w:r>
              <w:rPr>
                <w:rFonts w:hint="eastAsia" w:ascii="宋体" w:hAnsi="宋体"/>
              </w:rPr>
              <w:t>32</w:t>
            </w:r>
            <w:r>
              <w:rPr>
                <w:rFonts w:ascii="宋体" w:hAnsi="宋体"/>
              </w:rPr>
              <w:t>Gb光模块</w:t>
            </w:r>
            <w:r>
              <w:rPr>
                <w:rFonts w:hint="eastAsia" w:ascii="宋体" w:hAnsi="宋体"/>
              </w:rPr>
              <w:t>，24个端口激活；</w:t>
            </w:r>
          </w:p>
          <w:p w14:paraId="177815CA">
            <w:pPr>
              <w:rPr>
                <w:rFonts w:ascii="宋体" w:hAnsi="宋体"/>
              </w:rPr>
            </w:pPr>
            <w:r>
              <w:rPr>
                <w:rFonts w:hint="eastAsia" w:ascii="宋体" w:hAnsi="宋体"/>
              </w:rPr>
              <w:t>10、加密和压缩</w:t>
            </w:r>
            <w:r>
              <w:rPr>
                <w:rFonts w:ascii="宋体" w:hAnsi="宋体"/>
              </w:rPr>
              <w:t>(*)</w:t>
            </w:r>
            <w:r>
              <w:rPr>
                <w:rFonts w:ascii="宋体" w:hAnsi="宋体"/>
              </w:rPr>
              <w:tab/>
            </w:r>
            <w:r>
              <w:rPr>
                <w:rFonts w:ascii="宋体" w:hAnsi="宋体"/>
              </w:rPr>
              <w:t>提供免费的加密和压缩功能</w:t>
            </w:r>
          </w:p>
          <w:p w14:paraId="4F91C297">
            <w:pPr>
              <w:rPr>
                <w:rFonts w:hint="eastAsia" w:ascii="宋体" w:hAnsi="宋体"/>
              </w:rPr>
            </w:pPr>
            <w:r>
              <w:rPr>
                <w:rFonts w:hint="eastAsia" w:ascii="宋体" w:hAnsi="宋体"/>
              </w:rPr>
              <w:t>11、外型：</w:t>
            </w:r>
            <w:r>
              <w:rPr>
                <w:rFonts w:ascii="宋体" w:hAnsi="宋体"/>
              </w:rPr>
              <w:t>1U高</w:t>
            </w:r>
            <w:r>
              <w:rPr>
                <w:rFonts w:hint="eastAsia" w:ascii="宋体" w:hAnsi="宋体"/>
              </w:rPr>
              <w:t>机架式安装</w:t>
            </w:r>
          </w:p>
          <w:p w14:paraId="4F2EBF57">
            <w:pPr>
              <w:rPr>
                <w:rFonts w:hint="default" w:ascii="宋体" w:hAnsi="宋体" w:eastAsia="宋体"/>
                <w:lang w:val="en-US" w:eastAsia="zh-CN"/>
              </w:rPr>
            </w:pPr>
            <w:r>
              <w:rPr>
                <w:rFonts w:hint="eastAsia" w:ascii="宋体" w:hAnsi="宋体"/>
                <w:lang w:val="en-US" w:eastAsia="zh-CN"/>
              </w:rPr>
              <w:t>12、质保：3年</w:t>
            </w:r>
          </w:p>
          <w:p w14:paraId="0CA21A2B">
            <w:pPr>
              <w:rPr>
                <w:rFonts w:ascii="宋体" w:hAnsi="宋体"/>
              </w:rPr>
            </w:pPr>
          </w:p>
          <w:p w14:paraId="23EEB7A1">
            <w:pPr>
              <w:pStyle w:val="20"/>
              <w:widowControl w:val="0"/>
              <w:adjustRightInd w:val="0"/>
              <w:snapToGrid w:val="0"/>
              <w:spacing w:before="0" w:beforeAutospacing="0" w:after="0" w:afterAutospacing="0"/>
              <w:jc w:val="both"/>
              <w:rPr>
                <w:b/>
                <w:bCs/>
                <w:kern w:val="2"/>
                <w:sz w:val="21"/>
                <w:szCs w:val="21"/>
              </w:rPr>
            </w:pPr>
            <w:r>
              <w:rPr>
                <w:rFonts w:hint="eastAsia"/>
                <w:b/>
                <w:bCs/>
              </w:rPr>
              <w:t>六、</w:t>
            </w:r>
            <w:r>
              <w:rPr>
                <w:rFonts w:hint="eastAsia"/>
                <w:b/>
                <w:bCs/>
                <w:kern w:val="2"/>
                <w:sz w:val="21"/>
                <w:szCs w:val="21"/>
              </w:rPr>
              <w:t>产品名称：管理以太网交换机</w:t>
            </w:r>
          </w:p>
          <w:p w14:paraId="27A7D4AB">
            <w:r>
              <w:rPr>
                <w:rFonts w:hint="eastAsia"/>
              </w:rPr>
              <w:t>数量：1台</w:t>
            </w:r>
          </w:p>
          <w:p w14:paraId="283A0816">
            <w:r>
              <w:rPr>
                <w:rFonts w:hint="eastAsia"/>
              </w:rPr>
              <w:t>设备清单：</w:t>
            </w:r>
          </w:p>
          <w:p w14:paraId="0B14F68A">
            <w:pPr>
              <w:rPr>
                <w:rFonts w:ascii="宋体" w:hAnsi="宋体"/>
              </w:rPr>
            </w:pPr>
            <w:r>
              <w:rPr>
                <w:rFonts w:hint="eastAsia" w:ascii="宋体" w:hAnsi="宋体"/>
              </w:rPr>
              <w:t>1、交换容量不小于6.72</w:t>
            </w:r>
            <w:r>
              <w:rPr>
                <w:rFonts w:ascii="宋体" w:hAnsi="宋体"/>
              </w:rPr>
              <w:t>Tbps</w:t>
            </w:r>
            <w:r>
              <w:rPr>
                <w:rFonts w:hint="eastAsia" w:ascii="宋体" w:hAnsi="宋体"/>
              </w:rPr>
              <w:t>；</w:t>
            </w:r>
          </w:p>
          <w:p w14:paraId="269B3D50">
            <w:pPr>
              <w:rPr>
                <w:rFonts w:ascii="宋体" w:hAnsi="宋体"/>
              </w:rPr>
            </w:pPr>
            <w:r>
              <w:rPr>
                <w:rFonts w:hint="eastAsia" w:ascii="宋体" w:hAnsi="宋体"/>
              </w:rPr>
              <w:t>2、包转发速率不小于309</w:t>
            </w:r>
            <w:r>
              <w:rPr>
                <w:rFonts w:ascii="宋体" w:hAnsi="宋体"/>
              </w:rPr>
              <w:t>Mpps</w:t>
            </w:r>
            <w:r>
              <w:rPr>
                <w:rFonts w:hint="eastAsia" w:ascii="宋体" w:hAnsi="宋体"/>
              </w:rPr>
              <w:t>；</w:t>
            </w:r>
          </w:p>
          <w:p w14:paraId="73D69147">
            <w:pPr>
              <w:rPr>
                <w:rFonts w:ascii="宋体" w:hAnsi="宋体"/>
              </w:rPr>
            </w:pPr>
            <w:r>
              <w:rPr>
                <w:rFonts w:hint="eastAsia" w:ascii="宋体" w:hAnsi="宋体"/>
              </w:rPr>
              <w:t>3、</w:t>
            </w:r>
            <w:r>
              <w:rPr>
                <w:rFonts w:ascii="宋体" w:hAnsi="宋体"/>
              </w:rPr>
              <w:t>固化</w:t>
            </w:r>
            <w:r>
              <w:rPr>
                <w:rFonts w:hint="eastAsia" w:ascii="宋体" w:hAnsi="宋体"/>
              </w:rPr>
              <w:t>不少于</w:t>
            </w:r>
            <w:r>
              <w:t>24个10/100/1000M自适应电口，4个1G/10G SFP+ 光口</w:t>
            </w:r>
            <w:r>
              <w:rPr>
                <w:rFonts w:hint="eastAsia"/>
              </w:rPr>
              <w:t>，配置2个10G SFP+多模模块；</w:t>
            </w:r>
          </w:p>
          <w:p w14:paraId="3E1AED0B">
            <w:pPr>
              <w:rPr>
                <w:rFonts w:ascii="宋体" w:hAnsi="宋体"/>
              </w:rPr>
            </w:pPr>
            <w:r>
              <w:rPr>
                <w:rFonts w:hint="eastAsia" w:ascii="宋体" w:hAnsi="宋体"/>
              </w:rPr>
              <w:t>4、产品深度＜</w:t>
            </w:r>
            <w:r>
              <w:rPr>
                <w:rFonts w:ascii="宋体" w:hAnsi="宋体"/>
              </w:rPr>
              <w:t>4</w:t>
            </w:r>
            <w:r>
              <w:rPr>
                <w:rFonts w:hint="eastAsia" w:ascii="宋体" w:hAnsi="宋体"/>
              </w:rPr>
              <w:t>2</w:t>
            </w:r>
            <w:r>
              <w:rPr>
                <w:rFonts w:ascii="宋体" w:hAnsi="宋体"/>
              </w:rPr>
              <w:t>0mm</w:t>
            </w:r>
            <w:r>
              <w:rPr>
                <w:rFonts w:hint="eastAsia" w:ascii="宋体" w:hAnsi="宋体"/>
              </w:rPr>
              <w:t>；</w:t>
            </w:r>
          </w:p>
          <w:p w14:paraId="5CF04419">
            <w:pPr>
              <w:rPr>
                <w:rFonts w:ascii="宋体" w:hAnsi="宋体"/>
              </w:rPr>
            </w:pPr>
            <w:r>
              <w:rPr>
                <w:rFonts w:hint="eastAsia" w:ascii="宋体" w:hAnsi="宋体"/>
              </w:rPr>
              <w:t>5、工作温度</w:t>
            </w:r>
            <w:r>
              <w:rPr>
                <w:rFonts w:ascii="宋体" w:hAnsi="宋体"/>
              </w:rPr>
              <w:t>0°~45°</w:t>
            </w:r>
            <w:r>
              <w:rPr>
                <w:rFonts w:hint="eastAsia" w:ascii="宋体" w:hAnsi="宋体"/>
              </w:rPr>
              <w:t>；</w:t>
            </w:r>
          </w:p>
          <w:p w14:paraId="318C34D2">
            <w:pPr>
              <w:rPr>
                <w:rFonts w:hint="eastAsia" w:ascii="宋体" w:hAnsi="宋体"/>
              </w:rPr>
            </w:pPr>
            <w:r>
              <w:rPr>
                <w:rFonts w:hint="eastAsia" w:ascii="宋体" w:hAnsi="宋体"/>
              </w:rPr>
              <w:t>6、配置不少于</w:t>
            </w:r>
            <w:r>
              <w:rPr>
                <w:rFonts w:ascii="宋体" w:hAnsi="宋体"/>
              </w:rPr>
              <w:t>2个电源，电源支持1+1冗余</w:t>
            </w:r>
            <w:r>
              <w:rPr>
                <w:rFonts w:hint="eastAsia" w:ascii="宋体" w:hAnsi="宋体"/>
              </w:rPr>
              <w:t>，功耗不高于40W；</w:t>
            </w:r>
          </w:p>
          <w:p w14:paraId="4B3664C0">
            <w:pPr>
              <w:rPr>
                <w:rFonts w:hint="default" w:ascii="宋体" w:hAnsi="宋体" w:eastAsia="宋体"/>
                <w:lang w:val="en-US" w:eastAsia="zh-CN"/>
              </w:rPr>
            </w:pPr>
            <w:r>
              <w:rPr>
                <w:rFonts w:hint="eastAsia" w:ascii="宋体" w:hAnsi="宋体"/>
                <w:lang w:val="en-US" w:eastAsia="zh-CN"/>
              </w:rPr>
              <w:t>7、质保：3年</w:t>
            </w:r>
          </w:p>
          <w:p w14:paraId="4EA18739">
            <w:pPr>
              <w:rPr>
                <w:rFonts w:ascii="宋体" w:hAnsi="宋体" w:cs="仿宋"/>
              </w:rPr>
            </w:pPr>
          </w:p>
          <w:p w14:paraId="629CF2D2">
            <w:pPr>
              <w:pStyle w:val="20"/>
              <w:widowControl w:val="0"/>
              <w:adjustRightInd w:val="0"/>
              <w:snapToGrid w:val="0"/>
              <w:spacing w:before="0" w:beforeAutospacing="0" w:after="0" w:afterAutospacing="0"/>
              <w:jc w:val="both"/>
              <w:rPr>
                <w:b/>
                <w:bCs/>
                <w:kern w:val="2"/>
                <w:sz w:val="21"/>
                <w:szCs w:val="21"/>
              </w:rPr>
            </w:pPr>
            <w:r>
              <w:rPr>
                <w:rFonts w:hint="eastAsia" w:cs="仿宋"/>
                <w:b/>
                <w:bCs/>
                <w:szCs w:val="21"/>
              </w:rPr>
              <w:t>七、</w:t>
            </w:r>
            <w:r>
              <w:rPr>
                <w:rFonts w:hint="eastAsia"/>
                <w:b/>
                <w:bCs/>
                <w:kern w:val="2"/>
                <w:sz w:val="21"/>
                <w:szCs w:val="21"/>
              </w:rPr>
              <w:t>产品名称：业务以太网交换机</w:t>
            </w:r>
          </w:p>
          <w:p w14:paraId="1D545987">
            <w:r>
              <w:rPr>
                <w:rFonts w:hint="eastAsia"/>
              </w:rPr>
              <w:t>数量：2台</w:t>
            </w:r>
          </w:p>
          <w:p w14:paraId="65F40D9D">
            <w:r>
              <w:rPr>
                <w:rFonts w:hint="eastAsia"/>
              </w:rPr>
              <w:t>设备清单：</w:t>
            </w:r>
          </w:p>
          <w:p w14:paraId="5C178186">
            <w:pPr>
              <w:rPr>
                <w:rFonts w:ascii="宋体" w:hAnsi="宋体"/>
              </w:rPr>
            </w:pPr>
            <w:r>
              <w:rPr>
                <w:rFonts w:hint="eastAsia" w:ascii="宋体" w:hAnsi="宋体"/>
              </w:rPr>
              <w:t>1、交换容量不小于</w:t>
            </w:r>
            <w:r>
              <w:rPr>
                <w:rFonts w:ascii="宋体" w:hAnsi="宋体"/>
              </w:rPr>
              <w:t>4.8Tbps</w:t>
            </w:r>
          </w:p>
          <w:p w14:paraId="2E9410B8">
            <w:pPr>
              <w:rPr>
                <w:rFonts w:ascii="宋体" w:hAnsi="宋体"/>
              </w:rPr>
            </w:pPr>
            <w:r>
              <w:rPr>
                <w:rFonts w:hint="eastAsia" w:ascii="宋体" w:hAnsi="宋体"/>
              </w:rPr>
              <w:t>2、包转发速率不小于</w:t>
            </w:r>
            <w:r>
              <w:rPr>
                <w:rFonts w:ascii="宋体" w:hAnsi="宋体"/>
              </w:rPr>
              <w:t>2000Mpps</w:t>
            </w:r>
          </w:p>
          <w:p w14:paraId="1C4BAED7">
            <w:pPr>
              <w:rPr>
                <w:rFonts w:ascii="宋体" w:hAnsi="宋体"/>
              </w:rPr>
            </w:pPr>
            <w:r>
              <w:rPr>
                <w:rFonts w:hint="eastAsia" w:ascii="宋体" w:hAnsi="宋体"/>
              </w:rPr>
              <w:t>3、</w:t>
            </w:r>
            <w:r>
              <w:rPr>
                <w:rFonts w:ascii="宋体" w:hAnsi="宋体"/>
              </w:rPr>
              <w:t>固化</w:t>
            </w:r>
            <w:r>
              <w:rPr>
                <w:rFonts w:hint="eastAsia" w:ascii="宋体" w:hAnsi="宋体"/>
              </w:rPr>
              <w:t>不少于</w:t>
            </w:r>
            <w:r>
              <w:rPr>
                <w:rFonts w:ascii="宋体" w:hAnsi="宋体"/>
              </w:rPr>
              <w:t>48个25G端口</w:t>
            </w:r>
            <w:r>
              <w:rPr>
                <w:rFonts w:hint="eastAsia" w:ascii="宋体" w:hAnsi="宋体"/>
              </w:rPr>
              <w:t>和</w:t>
            </w:r>
            <w:r>
              <w:rPr>
                <w:rFonts w:ascii="宋体" w:hAnsi="宋体"/>
              </w:rPr>
              <w:t>8个100G端口</w:t>
            </w:r>
            <w:r>
              <w:rPr>
                <w:rFonts w:hint="eastAsia" w:ascii="宋体" w:hAnsi="宋体"/>
              </w:rPr>
              <w:t>，配置不少于24个</w:t>
            </w:r>
            <w:r>
              <w:rPr>
                <w:rFonts w:ascii="宋体" w:hAnsi="宋体"/>
              </w:rPr>
              <w:t>25G</w:t>
            </w:r>
            <w:r>
              <w:rPr>
                <w:rFonts w:hint="eastAsia" w:ascii="宋体" w:hAnsi="宋体"/>
              </w:rPr>
              <w:t>多模模块</w:t>
            </w:r>
          </w:p>
          <w:p w14:paraId="76DFCC2E">
            <w:pPr>
              <w:rPr>
                <w:rFonts w:ascii="宋体" w:hAnsi="宋体"/>
              </w:rPr>
            </w:pPr>
            <w:r>
              <w:rPr>
                <w:rFonts w:hint="eastAsia" w:ascii="宋体" w:hAnsi="宋体"/>
              </w:rPr>
              <w:t>4、产品深度＜</w:t>
            </w:r>
            <w:r>
              <w:rPr>
                <w:rFonts w:ascii="宋体" w:hAnsi="宋体"/>
              </w:rPr>
              <w:t xml:space="preserve">400mm， </w:t>
            </w:r>
          </w:p>
          <w:p w14:paraId="5C6A9060">
            <w:pPr>
              <w:rPr>
                <w:rFonts w:ascii="宋体" w:hAnsi="宋体"/>
              </w:rPr>
            </w:pPr>
            <w:r>
              <w:rPr>
                <w:rFonts w:hint="eastAsia" w:ascii="宋体" w:hAnsi="宋体"/>
              </w:rPr>
              <w:t>5、工作温度</w:t>
            </w:r>
            <w:r>
              <w:rPr>
                <w:rFonts w:ascii="宋体" w:hAnsi="宋体"/>
              </w:rPr>
              <w:t>0°~45°</w:t>
            </w:r>
          </w:p>
          <w:p w14:paraId="0F14ED8D">
            <w:pPr>
              <w:rPr>
                <w:rFonts w:ascii="宋体" w:hAnsi="宋体"/>
              </w:rPr>
            </w:pPr>
            <w:r>
              <w:rPr>
                <w:rFonts w:hint="eastAsia" w:ascii="宋体" w:hAnsi="宋体"/>
              </w:rPr>
              <w:t>6、配置不少于</w:t>
            </w:r>
            <w:r>
              <w:rPr>
                <w:rFonts w:ascii="宋体" w:hAnsi="宋体"/>
              </w:rPr>
              <w:t>2个电源，电源支持1+1冗余</w:t>
            </w:r>
          </w:p>
          <w:p w14:paraId="0CF6E174">
            <w:pPr>
              <w:rPr>
                <w:rFonts w:ascii="宋体" w:hAnsi="宋体"/>
              </w:rPr>
            </w:pPr>
            <w:r>
              <w:rPr>
                <w:rFonts w:hint="eastAsia" w:ascii="宋体" w:hAnsi="宋体"/>
              </w:rPr>
              <w:t>7、风扇支持</w:t>
            </w:r>
            <w:r>
              <w:rPr>
                <w:rFonts w:ascii="宋体" w:hAnsi="宋体"/>
              </w:rPr>
              <w:t>N+1冗余(N≥2)，一个风扇盘损坏的情况下，系统仍可正常运行</w:t>
            </w:r>
          </w:p>
          <w:p w14:paraId="63588079">
            <w:pPr>
              <w:rPr>
                <w:rFonts w:hint="default" w:ascii="宋体" w:hAnsi="宋体" w:eastAsia="宋体"/>
                <w:lang w:val="en-US" w:eastAsia="zh-CN"/>
              </w:rPr>
            </w:pPr>
            <w:r>
              <w:rPr>
                <w:rFonts w:hint="eastAsia" w:ascii="宋体" w:hAnsi="宋体"/>
                <w:lang w:val="en-US" w:eastAsia="zh-CN"/>
              </w:rPr>
              <w:t>8、质保：3年</w:t>
            </w:r>
          </w:p>
          <w:p w14:paraId="313E8AE8">
            <w:pPr>
              <w:rPr>
                <w:rFonts w:ascii="宋体" w:hAnsi="宋体" w:cs="仿宋"/>
              </w:rPr>
            </w:pPr>
          </w:p>
          <w:p w14:paraId="76075CCB">
            <w:pPr>
              <w:pStyle w:val="20"/>
              <w:widowControl w:val="0"/>
              <w:adjustRightInd w:val="0"/>
              <w:snapToGrid w:val="0"/>
              <w:spacing w:before="0" w:beforeAutospacing="0" w:after="0" w:afterAutospacing="0"/>
              <w:jc w:val="both"/>
              <w:rPr>
                <w:b/>
                <w:bCs/>
                <w:kern w:val="2"/>
                <w:sz w:val="21"/>
                <w:szCs w:val="21"/>
              </w:rPr>
            </w:pPr>
            <w:r>
              <w:rPr>
                <w:rFonts w:hint="eastAsia" w:cs="仿宋"/>
                <w:b/>
                <w:bCs/>
                <w:szCs w:val="21"/>
              </w:rPr>
              <w:t>八、</w:t>
            </w:r>
            <w:r>
              <w:rPr>
                <w:rFonts w:hint="eastAsia"/>
                <w:b/>
                <w:bCs/>
                <w:kern w:val="2"/>
                <w:sz w:val="21"/>
                <w:szCs w:val="21"/>
              </w:rPr>
              <w:t>产品名称：超融合资源节点</w:t>
            </w:r>
          </w:p>
          <w:p w14:paraId="663BA49F">
            <w:r>
              <w:rPr>
                <w:rFonts w:hint="eastAsia"/>
              </w:rPr>
              <w:t>数量：7套</w:t>
            </w:r>
          </w:p>
          <w:p w14:paraId="4E2C7681">
            <w:r>
              <w:rPr>
                <w:rFonts w:hint="eastAsia"/>
              </w:rPr>
              <w:t>设备清单：</w:t>
            </w:r>
          </w:p>
          <w:p w14:paraId="0CBA417A">
            <w:pPr>
              <w:pStyle w:val="17"/>
              <w:bidi w:val="0"/>
            </w:pPr>
            <w:r>
              <w:rPr>
                <w:rFonts w:hint="eastAsia"/>
              </w:rPr>
              <w:t>1、所投超融合系统须与院内原有超融合系统兼容，同时底层存储资源池必须与原有超融合系统整合成一套存储资源池，此项所产生的费用均包含在本项目中，不在额外支付费用。（品牌：联想，型号：AIO H1000）</w:t>
            </w:r>
          </w:p>
          <w:p w14:paraId="2BCC3B56">
            <w:pPr>
              <w:pStyle w:val="17"/>
              <w:bidi w:val="0"/>
              <w:rPr>
                <w:rFonts w:hint="eastAsia"/>
              </w:rPr>
            </w:pPr>
            <w:r>
              <w:rPr>
                <w:rFonts w:hint="eastAsia"/>
              </w:rPr>
              <w:t>2、超融合一体机软件必须提供企业级分布式文件的解决方案，不接受采用开源分布式存储技术（Glusterfs、Ceph、Lustre等）二次开发，掌握存储核心技术，提供更高的可靠性和性能；</w:t>
            </w:r>
          </w:p>
          <w:p w14:paraId="0D9EE650">
            <w:pPr>
              <w:pStyle w:val="17"/>
              <w:bidi w:val="0"/>
            </w:pPr>
            <w:r>
              <w:rPr>
                <w:rFonts w:hint="eastAsia"/>
              </w:rPr>
              <w:t>3、所投超融合一体机软件必须自主可控，并有可信云相关证明</w:t>
            </w:r>
          </w:p>
          <w:p w14:paraId="4C36A929">
            <w:pPr>
              <w:pStyle w:val="17"/>
              <w:bidi w:val="0"/>
            </w:pPr>
            <w:r>
              <w:rPr>
                <w:rFonts w:hint="eastAsia"/>
              </w:rPr>
              <w:t>4、规格：≥2U国产（非OEM）；处理器：配置≥2颗Intel Xeon  5318Y   CPU  处理器；内存：配置≥512G DDR4 3200MHz内存，配置≥32个内存插槽；硬盘：本次配置≥2块1.92TB SSD硬盘作为缓存盘，4块≥16TB SATA硬盘作为数据盘，配置≥2块480G SATA SSD做系统盘；RAID卡：配置≥1块2G缓存RAID卡，至少支持RAID0、1、5、6和JBOD模式；系统管理：提供BMC管理芯片，至少一个RJ-45管理端口；</w:t>
            </w:r>
          </w:p>
          <w:p w14:paraId="32151E2D">
            <w:pPr>
              <w:pStyle w:val="17"/>
              <w:bidi w:val="0"/>
              <w:rPr>
                <w:rFonts w:hint="eastAsia"/>
              </w:rPr>
            </w:pPr>
            <w:r>
              <w:rPr>
                <w:rFonts w:hint="eastAsia"/>
              </w:rPr>
              <w:t>扩展能力：支持PCI-E插槽总数≥12个，支持≥2个OCP插槽，可在计算节点的2U空间内提供不少于36块NVMe SSD盘扩展；</w:t>
            </w:r>
          </w:p>
          <w:p w14:paraId="40C4437D">
            <w:pPr>
              <w:pStyle w:val="17"/>
              <w:bidi w:val="0"/>
            </w:pPr>
            <w:r>
              <w:rPr>
                <w:rFonts w:hint="eastAsia"/>
                <w:lang w:val="en-US" w:eastAsia="zh-CN"/>
              </w:rPr>
              <w:t>5</w:t>
            </w:r>
            <w:r>
              <w:rPr>
                <w:rFonts w:hint="eastAsia"/>
              </w:rPr>
              <w:t>、网络接口：网络接口：配置≥2个双口10G或25G自适应光纤网卡 ；电源：配置2个≥1300w热插拔冗余电源，可选支持336V高压直流电源；</w:t>
            </w:r>
          </w:p>
          <w:p w14:paraId="4389D370">
            <w:pPr>
              <w:pStyle w:val="17"/>
              <w:bidi w:val="0"/>
            </w:pPr>
            <w:r>
              <w:rPr>
                <w:rFonts w:hint="eastAsia"/>
                <w:lang w:val="en-US" w:eastAsia="zh-CN"/>
              </w:rPr>
              <w:t>6</w:t>
            </w:r>
            <w:r>
              <w:rPr>
                <w:rFonts w:hint="eastAsia"/>
              </w:rPr>
              <w:t>、超融合系统软件：配置与本项目硬件配置相匹配的超融合软件许可，超融合软件支持对存储的数据进行2副本（所有数据写2份）的数据冗余配置，软件许可容量不低于实际配置的物理容量；单一节点内，没有SSD和HDD存储容量的限制，支持以1个节点为单位进行扩容；</w:t>
            </w:r>
          </w:p>
          <w:p w14:paraId="08FB2BBF">
            <w:pPr>
              <w:pStyle w:val="17"/>
              <w:bidi w:val="0"/>
              <w:rPr>
                <w:rFonts w:hint="eastAsia"/>
              </w:rPr>
            </w:pPr>
            <w:r>
              <w:rPr>
                <w:rFonts w:hint="eastAsia"/>
                <w:lang w:val="en-US" w:eastAsia="zh-CN"/>
              </w:rPr>
              <w:t>7</w:t>
            </w:r>
            <w:r>
              <w:rPr>
                <w:rFonts w:hint="eastAsia"/>
              </w:rPr>
              <w:t>、数据本地化读写：为确保最短IO路径和读写延迟并减少网络流量，支持虚拟机在运行服务器节点存储建立完整的数据副本，其它数据副本在其他服务器节点硬盘均匀放置，数据副本优先在本地放置一份，虚机读取数据时优先读取本地副本；</w:t>
            </w:r>
          </w:p>
          <w:p w14:paraId="58B75C44">
            <w:pPr>
              <w:pStyle w:val="17"/>
              <w:bidi w:val="0"/>
            </w:pPr>
            <w:r>
              <w:rPr>
                <w:rFonts w:hint="eastAsia"/>
                <w:lang w:val="en-US" w:eastAsia="zh-CN"/>
              </w:rPr>
              <w:t>8</w:t>
            </w:r>
            <w:r>
              <w:rPr>
                <w:rFonts w:hint="eastAsia"/>
              </w:rPr>
              <w:t>、业务加速：为满足业务快速处理需求，本次要求使用SSD硬盘（非PCI-E SSD卡），实现业务加速；为了保障核心业务虚拟机的性能，在既有SSD又有HDD的混合节点中将单个虚拟机或者虚拟机的卷指定存储到SSD层中。提升性能。不需要单独设置SSD存储池；</w:t>
            </w:r>
          </w:p>
          <w:p w14:paraId="76DA5DD8">
            <w:pPr>
              <w:pStyle w:val="17"/>
              <w:bidi w:val="0"/>
            </w:pPr>
            <w:r>
              <w:rPr>
                <w:rFonts w:hint="eastAsia"/>
                <w:lang w:val="en-US" w:eastAsia="zh-CN"/>
              </w:rPr>
              <w:t>9</w:t>
            </w:r>
            <w:r>
              <w:rPr>
                <w:rFonts w:hint="eastAsia"/>
              </w:rPr>
              <w:t>、超融合平台支持强制置备功能，开启该选项后，即使卷容器不满足存储策略中指定的允许的故障数，也会置备该对象，支持1节点和2节点强制置备2副本；</w:t>
            </w:r>
          </w:p>
          <w:p w14:paraId="3540AACE">
            <w:pPr>
              <w:pStyle w:val="17"/>
              <w:bidi w:val="0"/>
            </w:pPr>
            <w:r>
              <w:rPr>
                <w:rFonts w:hint="eastAsia"/>
              </w:rPr>
              <w:t>1</w:t>
            </w:r>
            <w:r>
              <w:rPr>
                <w:rFonts w:hint="eastAsia"/>
                <w:lang w:val="en-US" w:eastAsia="zh-CN"/>
              </w:rPr>
              <w:t>0</w:t>
            </w:r>
            <w:r>
              <w:rPr>
                <w:rFonts w:hint="eastAsia"/>
              </w:rPr>
              <w:t>、存储快照：支持快照功能，可对开机、关机状态虚拟机生成快照，支持对生成的快照进行克隆虚拟机或模板操作，支持全克隆和链接克隆；</w:t>
            </w:r>
          </w:p>
          <w:p w14:paraId="5D5D7B55">
            <w:pPr>
              <w:pStyle w:val="17"/>
              <w:bidi w:val="0"/>
              <w:rPr>
                <w:rFonts w:hint="eastAsia"/>
              </w:rPr>
            </w:pPr>
            <w:r>
              <w:rPr>
                <w:rFonts w:hint="eastAsia"/>
              </w:rPr>
              <w:t>1</w:t>
            </w:r>
            <w:r>
              <w:rPr>
                <w:rFonts w:hint="eastAsia"/>
                <w:lang w:val="en-US" w:eastAsia="zh-CN"/>
              </w:rPr>
              <w:t>1</w:t>
            </w:r>
            <w:r>
              <w:rPr>
                <w:rFonts w:hint="eastAsia"/>
              </w:rPr>
              <w:t>、虚拟机锁定：支持虚拟机锁定功能，可以将重要虚拟机设置密码锁定，只有解锁后才可对虚拟机进行配置操作；</w:t>
            </w:r>
          </w:p>
          <w:p w14:paraId="56011A2B">
            <w:pPr>
              <w:pStyle w:val="17"/>
              <w:bidi w:val="0"/>
            </w:pPr>
            <w:r>
              <w:rPr>
                <w:rFonts w:hint="eastAsia"/>
                <w:lang w:val="en-US" w:eastAsia="zh-CN"/>
              </w:rPr>
              <w:t>12</w:t>
            </w:r>
            <w:r>
              <w:rPr>
                <w:rFonts w:hint="eastAsia"/>
              </w:rPr>
              <w:t>、运维管理：平台支持统一管理功能，全图形化B/S模式，支持在同一界面对超融合、虚拟化、桌面云产品进行集中管理，无需多个管理界面进行切换，支持对多种CPU架构集群进行集中管理，支持同时纳管多个VMware vCenter集群；</w:t>
            </w:r>
          </w:p>
          <w:p w14:paraId="64AF9A18">
            <w:pPr>
              <w:pStyle w:val="17"/>
              <w:bidi w:val="0"/>
            </w:pPr>
            <w:r>
              <w:rPr>
                <w:rFonts w:hint="eastAsia"/>
              </w:rPr>
              <w:t>1</w:t>
            </w:r>
            <w:r>
              <w:rPr>
                <w:rFonts w:hint="eastAsia"/>
                <w:lang w:val="en-US" w:eastAsia="zh-CN"/>
              </w:rPr>
              <w:t>3</w:t>
            </w:r>
            <w:r>
              <w:rPr>
                <w:rFonts w:hint="eastAsia"/>
              </w:rPr>
              <w:t>、直观展示存储池/硬盘数据空间分布和数据访问热度，提供最近一小时的热度展示。其中存储池级别的热力图支持按照节点和硬盘类型维度分别展示；</w:t>
            </w:r>
          </w:p>
          <w:p w14:paraId="7659A444">
            <w:pPr>
              <w:pStyle w:val="17"/>
              <w:bidi w:val="0"/>
            </w:pPr>
            <w:r>
              <w:rPr>
                <w:rFonts w:hint="eastAsia"/>
              </w:rPr>
              <w:t>1</w:t>
            </w:r>
            <w:r>
              <w:rPr>
                <w:rFonts w:hint="eastAsia"/>
                <w:lang w:val="en-US" w:eastAsia="zh-CN"/>
              </w:rPr>
              <w:t>4</w:t>
            </w:r>
            <w:r>
              <w:rPr>
                <w:rFonts w:hint="eastAsia"/>
              </w:rPr>
              <w:t>、支持慢盘检测功能，系统可以自动检测硬盘的读性能、写性能，出现性能问题的硬盘会被置于faulted状态；</w:t>
            </w:r>
          </w:p>
          <w:p w14:paraId="4CDFD8CF">
            <w:pPr>
              <w:pStyle w:val="17"/>
              <w:bidi w:val="0"/>
            </w:pPr>
            <w:r>
              <w:rPr>
                <w:rFonts w:hint="eastAsia"/>
              </w:rPr>
              <w:t>1</w:t>
            </w:r>
            <w:r>
              <w:rPr>
                <w:rFonts w:hint="eastAsia"/>
                <w:lang w:val="en-US" w:eastAsia="zh-CN"/>
              </w:rPr>
              <w:t>5</w:t>
            </w:r>
            <w:r>
              <w:rPr>
                <w:rFonts w:hint="eastAsia"/>
              </w:rPr>
              <w:t>、支持在线的VM迁移，可以在不停机状态下，手工或自动地实现VM在资源池内不同物理机之间、不同存储卷之间进行迁移，保障业务连续性；</w:t>
            </w:r>
          </w:p>
          <w:p w14:paraId="702145F2">
            <w:pPr>
              <w:pStyle w:val="17"/>
              <w:bidi w:val="0"/>
            </w:pPr>
            <w:r>
              <w:rPr>
                <w:rFonts w:hint="eastAsia"/>
              </w:rPr>
              <w:t>1</w:t>
            </w:r>
            <w:r>
              <w:rPr>
                <w:rFonts w:hint="eastAsia"/>
                <w:lang w:val="en-US" w:eastAsia="zh-CN"/>
              </w:rPr>
              <w:t>6</w:t>
            </w:r>
            <w:r>
              <w:rPr>
                <w:rFonts w:hint="eastAsia"/>
              </w:rPr>
              <w:t>、告警通知：支持告警信息可以通过邮件和微信方式发送，并可以在管理平台记录发送历史，为后期审计提供依据。</w:t>
            </w:r>
          </w:p>
          <w:p w14:paraId="72FB64A4">
            <w:pPr>
              <w:pStyle w:val="17"/>
              <w:bidi w:val="0"/>
            </w:pPr>
            <w:r>
              <w:rPr>
                <w:rFonts w:hint="eastAsia"/>
              </w:rPr>
              <w:t>1</w:t>
            </w:r>
            <w:r>
              <w:rPr>
                <w:rFonts w:hint="eastAsia"/>
                <w:lang w:val="en-US" w:eastAsia="zh-CN"/>
              </w:rPr>
              <w:t>7</w:t>
            </w:r>
            <w:r>
              <w:rPr>
                <w:rFonts w:hint="eastAsia"/>
              </w:rPr>
              <w:t>、提供内置连续数据扫描功能，从交付完成开始，超融合系统持续比对数据副本的一致性，及时修复发现的数据校验错误。统一管理界面提供一键式数据完整性扫描，提供可视化的数据扫描进度，针对每个存储卷容器提供正常扫描和快速扫描两种方式，直观展示开始扫描的时间、风险状态、风险虚拟机，针对风险的虚拟机系统会自动触发数据修复，并提供再次扫描的功能。</w:t>
            </w:r>
          </w:p>
          <w:p w14:paraId="3A1E5C86">
            <w:pPr>
              <w:pStyle w:val="17"/>
              <w:bidi w:val="0"/>
            </w:pPr>
            <w:r>
              <w:rPr>
                <w:rFonts w:hint="eastAsia"/>
              </w:rPr>
              <w:t>1</w:t>
            </w:r>
            <w:r>
              <w:rPr>
                <w:rFonts w:hint="eastAsia"/>
                <w:lang w:val="en-US" w:eastAsia="zh-CN"/>
              </w:rPr>
              <w:t>8</w:t>
            </w:r>
            <w:r>
              <w:rPr>
                <w:rFonts w:hint="eastAsia"/>
              </w:rPr>
              <w:t>、为保障超融合计算节点在复杂电磁环境的兼容性能力，所投超融合计算节点须通过“电磁兼容性”检验检测，其中浪涌（冲击）抗扰度试验电压不低于2KV。</w:t>
            </w:r>
          </w:p>
          <w:p w14:paraId="48938107">
            <w:pPr>
              <w:pStyle w:val="17"/>
              <w:bidi w:val="0"/>
            </w:pPr>
            <w:r>
              <w:rPr>
                <w:rFonts w:hint="eastAsia"/>
                <w:lang w:val="en-US" w:eastAsia="zh-CN"/>
              </w:rPr>
              <w:t>19</w:t>
            </w:r>
            <w:r>
              <w:rPr>
                <w:rFonts w:hint="eastAsia"/>
              </w:rPr>
              <w:t>、为保障超融合计算节点承受一定复杂环境工作的能力，超融合计算节点须通过“环境适应性”检验检测。</w:t>
            </w:r>
          </w:p>
          <w:p w14:paraId="3ABAA0C5">
            <w:pPr>
              <w:pStyle w:val="17"/>
              <w:bidi w:val="0"/>
            </w:pPr>
            <w:r>
              <w:rPr>
                <w:rFonts w:hint="eastAsia"/>
              </w:rPr>
              <w:t>2</w:t>
            </w:r>
            <w:r>
              <w:rPr>
                <w:rFonts w:hint="eastAsia"/>
                <w:lang w:val="en-US" w:eastAsia="zh-CN"/>
              </w:rPr>
              <w:t>0</w:t>
            </w:r>
            <w:r>
              <w:rPr>
                <w:rFonts w:hint="eastAsia"/>
              </w:rPr>
              <w:t>、为保障超融合计算节点正常工作噪音问题，所投超融合计算节点须噪声声功率级在7Bel（A）以下。</w:t>
            </w:r>
          </w:p>
          <w:p w14:paraId="717F7D79">
            <w:pPr>
              <w:pStyle w:val="17"/>
              <w:bidi w:val="0"/>
            </w:pPr>
            <w:r>
              <w:rPr>
                <w:rFonts w:hint="eastAsia"/>
              </w:rPr>
              <w:t>2</w:t>
            </w:r>
            <w:r>
              <w:rPr>
                <w:rFonts w:hint="eastAsia"/>
                <w:lang w:val="en-US" w:eastAsia="zh-CN"/>
              </w:rPr>
              <w:t>1</w:t>
            </w:r>
            <w:r>
              <w:rPr>
                <w:rFonts w:hint="eastAsia"/>
              </w:rPr>
              <w:t>、为保障超融合计算节点抗扰度性能，所投超融合计算节点须通过电磁兼容性检验且射频电磁场抗扰度试验磁场强不低于10V/m。</w:t>
            </w:r>
          </w:p>
          <w:p w14:paraId="582857AA">
            <w:pPr>
              <w:pStyle w:val="17"/>
              <w:bidi w:val="0"/>
            </w:pPr>
            <w:r>
              <w:rPr>
                <w:rFonts w:hint="eastAsia"/>
              </w:rPr>
              <w:t>2</w:t>
            </w:r>
            <w:r>
              <w:rPr>
                <w:rFonts w:hint="eastAsia"/>
                <w:lang w:val="en-US" w:eastAsia="zh-CN"/>
              </w:rPr>
              <w:t>2</w:t>
            </w:r>
            <w:r>
              <w:rPr>
                <w:rFonts w:hint="eastAsia"/>
              </w:rPr>
              <w:t>、为保障超融合计算节点的耐用度，所投超融合计算节点须具有一定抗盐雾腐蚀的能力。</w:t>
            </w:r>
          </w:p>
          <w:p w14:paraId="7EC2BD58">
            <w:pPr>
              <w:pStyle w:val="17"/>
              <w:bidi w:val="0"/>
            </w:pPr>
            <w:r>
              <w:rPr>
                <w:rFonts w:hint="eastAsia"/>
              </w:rPr>
              <w:t>2</w:t>
            </w:r>
            <w:r>
              <w:rPr>
                <w:rFonts w:hint="eastAsia"/>
                <w:lang w:val="en-US" w:eastAsia="zh-CN"/>
              </w:rPr>
              <w:t>3</w:t>
            </w:r>
            <w:r>
              <w:rPr>
                <w:rFonts w:hint="eastAsia"/>
              </w:rPr>
              <w:t>、回收站功能：防止因虚拟机误删除导致数据丢失，为了防止误删除、误清空操作，在删除资源或清空回收站时需通过验证码或用户密码等方式进行验证，支持设置回收站文件保存周期，超期的文件将被自动删除。</w:t>
            </w:r>
          </w:p>
          <w:p w14:paraId="1C672C1E">
            <w:pPr>
              <w:pStyle w:val="17"/>
              <w:bidi w:val="0"/>
            </w:pPr>
            <w:r>
              <w:rPr>
                <w:rFonts w:hint="eastAsia"/>
              </w:rPr>
              <w:t>2</w:t>
            </w:r>
            <w:r>
              <w:rPr>
                <w:rFonts w:hint="eastAsia"/>
                <w:lang w:val="en-US" w:eastAsia="zh-CN"/>
              </w:rPr>
              <w:t>4</w:t>
            </w:r>
            <w:r>
              <w:rPr>
                <w:rFonts w:hint="eastAsia"/>
              </w:rPr>
              <w:t>、超融合计算节点可以以最小1节点构建超融合，支持以1节点为最小单位横向扩容至2、3、4、5、6……节点，支持在线扩容。</w:t>
            </w:r>
          </w:p>
          <w:p w14:paraId="304BCB84">
            <w:pPr>
              <w:pStyle w:val="17"/>
              <w:bidi w:val="0"/>
            </w:pPr>
            <w:r>
              <w:rPr>
                <w:rFonts w:hint="eastAsia"/>
              </w:rPr>
              <w:t>2</w:t>
            </w:r>
            <w:r>
              <w:rPr>
                <w:rFonts w:hint="eastAsia"/>
                <w:lang w:val="en-US" w:eastAsia="zh-CN"/>
              </w:rPr>
              <w:t>5</w:t>
            </w:r>
            <w:r>
              <w:rPr>
                <w:rFonts w:hint="eastAsia"/>
              </w:rPr>
              <w:t>、身份认证：支持多种身份认证方式，至少支持账户密码、企业微信扫码、OTP、Ukey方式进行登录认证，可进行双因子认证登录设置，保证平台安全。</w:t>
            </w:r>
          </w:p>
          <w:p w14:paraId="5070196B">
            <w:pPr>
              <w:pStyle w:val="17"/>
              <w:bidi w:val="0"/>
            </w:pPr>
            <w:r>
              <w:rPr>
                <w:rFonts w:hint="eastAsia"/>
              </w:rPr>
              <w:t>2</w:t>
            </w:r>
            <w:r>
              <w:rPr>
                <w:rFonts w:hint="eastAsia"/>
                <w:lang w:val="en-US" w:eastAsia="zh-CN"/>
              </w:rPr>
              <w:t>6</w:t>
            </w:r>
            <w:r>
              <w:rPr>
                <w:rFonts w:hint="eastAsia"/>
              </w:rPr>
              <w:t>、为了应付突发应急情况，所投超融合计算节点平均无故障时间MTBF的m1的值不低于240000小时。</w:t>
            </w:r>
          </w:p>
          <w:p w14:paraId="1534DAA0">
            <w:pPr>
              <w:ind w:firstLine="210" w:firstLineChars="100"/>
              <w:rPr>
                <w:rFonts w:hint="eastAsia"/>
              </w:rPr>
            </w:pPr>
            <w:r>
              <w:rPr>
                <w:rFonts w:hint="eastAsia"/>
              </w:rPr>
              <w:t>2</w:t>
            </w:r>
            <w:r>
              <w:rPr>
                <w:rFonts w:hint="eastAsia"/>
                <w:lang w:val="en-US" w:eastAsia="zh-CN"/>
              </w:rPr>
              <w:t>7</w:t>
            </w:r>
            <w:r>
              <w:rPr>
                <w:rFonts w:hint="eastAsia"/>
              </w:rPr>
              <w:t>、超融合资源节点提供3年7*24小时原厂售后服务，超融合软件提供原厂5年服务；</w:t>
            </w:r>
          </w:p>
          <w:p w14:paraId="3137B689">
            <w:pPr>
              <w:rPr>
                <w:rFonts w:hint="default" w:ascii="宋体" w:hAnsi="宋体" w:eastAsia="宋体" w:cs="仿宋"/>
                <w:color w:val="auto"/>
                <w:lang w:val="en-US" w:eastAsia="zh-CN"/>
              </w:rPr>
            </w:pPr>
          </w:p>
          <w:p w14:paraId="7C90471F">
            <w:pPr>
              <w:rPr>
                <w:rFonts w:ascii="宋体" w:hAnsi="宋体" w:cs="仿宋"/>
              </w:rPr>
            </w:pPr>
          </w:p>
          <w:p w14:paraId="07137071">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九、产品名称：超融合以太网交换机</w:t>
            </w:r>
          </w:p>
          <w:p w14:paraId="0745FB6F">
            <w:r>
              <w:rPr>
                <w:rFonts w:hint="eastAsia"/>
              </w:rPr>
              <w:t>数量：2台</w:t>
            </w:r>
          </w:p>
          <w:p w14:paraId="68B5AFBE">
            <w:pPr>
              <w:pStyle w:val="17"/>
              <w:bidi w:val="0"/>
            </w:pPr>
            <w:r>
              <w:rPr>
                <w:rFonts w:hint="eastAsia"/>
              </w:rPr>
              <w:t>1.技术指标要求</w:t>
            </w:r>
          </w:p>
          <w:p w14:paraId="47786700">
            <w:pPr>
              <w:pStyle w:val="17"/>
              <w:bidi w:val="0"/>
            </w:pPr>
            <w:r>
              <w:rPr>
                <w:rFonts w:hint="eastAsia"/>
              </w:rPr>
              <w:t>交换容量 交换容量≥2.56T。</w:t>
            </w:r>
          </w:p>
          <w:p w14:paraId="3FDCB3F8">
            <w:pPr>
              <w:pStyle w:val="17"/>
              <w:bidi w:val="0"/>
            </w:pPr>
            <w:r>
              <w:rPr>
                <w:rFonts w:hint="eastAsia"/>
              </w:rPr>
              <w:t>包转发率 包转发率≥1620Mpps。</w:t>
            </w:r>
          </w:p>
          <w:p w14:paraId="5255FCFA">
            <w:pPr>
              <w:pStyle w:val="17"/>
              <w:bidi w:val="0"/>
            </w:pPr>
            <w:r>
              <w:rPr>
                <w:rFonts w:hint="eastAsia"/>
              </w:rPr>
              <w:t>端口类型：万兆SPF+光接口≥48，100GE QSFP端口≥6。</w:t>
            </w:r>
          </w:p>
          <w:p w14:paraId="4B66E9F3">
            <w:pPr>
              <w:pStyle w:val="17"/>
              <w:bidi w:val="0"/>
            </w:pPr>
            <w:r>
              <w:rPr>
                <w:rFonts w:hint="eastAsia"/>
              </w:rPr>
              <w:t>硬件 为了提高设备可靠性，支持模块化可插拔双电源。</w:t>
            </w:r>
          </w:p>
          <w:p w14:paraId="79B91E3E">
            <w:pPr>
              <w:pStyle w:val="17"/>
              <w:bidi w:val="0"/>
            </w:pPr>
            <w:r>
              <w:rPr>
                <w:rFonts w:hint="eastAsia"/>
              </w:rPr>
              <w:t>支持4K个VLAN。</w:t>
            </w:r>
          </w:p>
          <w:p w14:paraId="161B1DF3">
            <w:pPr>
              <w:pStyle w:val="17"/>
              <w:bidi w:val="0"/>
            </w:pPr>
            <w:r>
              <w:rPr>
                <w:rFonts w:hint="eastAsia"/>
              </w:rPr>
              <w:t>支持Guest VLAN、Voice VLAN。</w:t>
            </w:r>
          </w:p>
          <w:p w14:paraId="51DFC53D">
            <w:pPr>
              <w:pStyle w:val="17"/>
              <w:bidi w:val="0"/>
            </w:pPr>
            <w:r>
              <w:rPr>
                <w:rFonts w:hint="eastAsia"/>
              </w:rPr>
              <w:t>支持MUX VLAN功能或类似技术。</w:t>
            </w:r>
          </w:p>
          <w:p w14:paraId="695D103A">
            <w:pPr>
              <w:pStyle w:val="17"/>
              <w:bidi w:val="0"/>
            </w:pPr>
            <w:r>
              <w:rPr>
                <w:rFonts w:hint="eastAsia"/>
              </w:rPr>
              <w:t>支持STP(IEEE 802.1d)，RSTP(IEEE 802.1w)和MSTP(IEEE 802.1s)协议。</w:t>
            </w:r>
          </w:p>
          <w:p w14:paraId="22403524">
            <w:pPr>
              <w:pStyle w:val="17"/>
              <w:bidi w:val="0"/>
            </w:pPr>
            <w:r>
              <w:rPr>
                <w:rFonts w:hint="eastAsia"/>
              </w:rPr>
              <w:t>支持通过Netconf进行配置。</w:t>
            </w:r>
          </w:p>
          <w:p w14:paraId="17331FDE">
            <w:pPr>
              <w:pStyle w:val="17"/>
              <w:bidi w:val="0"/>
            </w:pPr>
            <w:r>
              <w:rPr>
                <w:rFonts w:hint="eastAsia"/>
              </w:rPr>
              <w:t>三层功能 支持静态路由、RIP、RIPng、OSPF、OSPFv3、BGP、BGP4+、ISIS、ISISv6。</w:t>
            </w:r>
          </w:p>
          <w:p w14:paraId="0732E2A9">
            <w:pPr>
              <w:pStyle w:val="17"/>
              <w:bidi w:val="0"/>
            </w:pPr>
            <w:r>
              <w:rPr>
                <w:rFonts w:hint="eastAsia"/>
              </w:rPr>
              <w:t>支持基于源IPv6地址、目的IPv6地址、四层端口、协议类型等ACL。</w:t>
            </w:r>
          </w:p>
          <w:p w14:paraId="53AA36A7">
            <w:pPr>
              <w:pStyle w:val="17"/>
              <w:bidi w:val="0"/>
            </w:pPr>
            <w:r>
              <w:rPr>
                <w:rFonts w:hint="eastAsia"/>
              </w:rPr>
              <w:t>MPLS 支持MPLS L3VPN、MPLS L2VPN(VPLS，VLL)、MPLS-TE。</w:t>
            </w:r>
          </w:p>
          <w:p w14:paraId="56FD970A">
            <w:pPr>
              <w:pStyle w:val="17"/>
              <w:bidi w:val="0"/>
            </w:pPr>
            <w:r>
              <w:rPr>
                <w:rFonts w:hint="eastAsia"/>
              </w:rPr>
              <w:t>组播 三层组播组数≥2048。</w:t>
            </w:r>
          </w:p>
          <w:p w14:paraId="6AF4FDEC">
            <w:pPr>
              <w:pStyle w:val="17"/>
              <w:bidi w:val="0"/>
            </w:pPr>
            <w:r>
              <w:rPr>
                <w:rFonts w:hint="eastAsia"/>
              </w:rPr>
              <w:t>支持VLAN内组播转发和组播多VLAN复制。</w:t>
            </w:r>
          </w:p>
          <w:p w14:paraId="73D8FF05">
            <w:pPr>
              <w:pStyle w:val="17"/>
              <w:bidi w:val="0"/>
            </w:pPr>
            <w:r>
              <w:rPr>
                <w:rFonts w:hint="eastAsia"/>
              </w:rPr>
              <w:t>支持基于端口的组播流量统计。</w:t>
            </w:r>
          </w:p>
          <w:p w14:paraId="57DD1C47">
            <w:pPr>
              <w:pStyle w:val="17"/>
              <w:bidi w:val="0"/>
            </w:pPr>
            <w:r>
              <w:rPr>
                <w:rFonts w:hint="eastAsia"/>
              </w:rPr>
              <w:t>支持IGMP v1/v2/v3、PIM-SM、PIM-DM、PIM-SSM。</w:t>
            </w:r>
          </w:p>
          <w:p w14:paraId="2FE635D9">
            <w:pPr>
              <w:pStyle w:val="17"/>
              <w:bidi w:val="0"/>
            </w:pPr>
            <w:r>
              <w:rPr>
                <w:rFonts w:hint="eastAsia"/>
              </w:rPr>
              <w:t>镜像功能 支持多个物理端口的流量镜像到一个端口。</w:t>
            </w:r>
          </w:p>
          <w:p w14:paraId="5310B743">
            <w:pPr>
              <w:pStyle w:val="17"/>
              <w:bidi w:val="0"/>
            </w:pPr>
            <w:r>
              <w:rPr>
                <w:rFonts w:hint="eastAsia"/>
              </w:rPr>
              <w:t>支持流镜像。</w:t>
            </w:r>
          </w:p>
          <w:p w14:paraId="023A0FD3">
            <w:pPr>
              <w:pStyle w:val="17"/>
              <w:bidi w:val="0"/>
            </w:pPr>
            <w:r>
              <w:rPr>
                <w:rFonts w:hint="eastAsia"/>
              </w:rPr>
              <w:t>支持远程端口镜像（RSPAN）。</w:t>
            </w:r>
          </w:p>
          <w:p w14:paraId="65523C64">
            <w:pPr>
              <w:pStyle w:val="17"/>
              <w:bidi w:val="0"/>
            </w:pPr>
            <w:r>
              <w:rPr>
                <w:rFonts w:hint="eastAsia"/>
              </w:rPr>
              <w:t>QoS 支持对端口入方向、出方向进行速率限制。</w:t>
            </w:r>
          </w:p>
          <w:p w14:paraId="0699D4F0">
            <w:pPr>
              <w:pStyle w:val="17"/>
              <w:bidi w:val="0"/>
            </w:pPr>
            <w:r>
              <w:rPr>
                <w:rFonts w:hint="eastAsia"/>
              </w:rPr>
              <w:t>支持报文的802.1p和DSCP优先级重新标记。</w:t>
            </w:r>
          </w:p>
          <w:p w14:paraId="3FEF9B08">
            <w:pPr>
              <w:pStyle w:val="17"/>
              <w:bidi w:val="0"/>
            </w:pPr>
            <w:r>
              <w:rPr>
                <w:rFonts w:hint="eastAsia"/>
              </w:rPr>
              <w:t>支持基于队列限速和端口整形功能。</w:t>
            </w:r>
          </w:p>
          <w:p w14:paraId="3FED7418">
            <w:pPr>
              <w:pStyle w:val="17"/>
              <w:bidi w:val="0"/>
            </w:pPr>
            <w:r>
              <w:rPr>
                <w:rFonts w:hint="eastAsia"/>
              </w:rPr>
              <w:t>安全功能 支持防止DOS、ARP攻击功能、ICMP防攻击。</w:t>
            </w:r>
          </w:p>
          <w:p w14:paraId="606E7307">
            <w:pPr>
              <w:pStyle w:val="17"/>
              <w:bidi w:val="0"/>
            </w:pPr>
            <w:r>
              <w:rPr>
                <w:rFonts w:hint="eastAsia"/>
              </w:rPr>
              <w:t>支持IP、MAC、端口、VLAN的组合绑定。</w:t>
            </w:r>
          </w:p>
          <w:p w14:paraId="31D64468">
            <w:pPr>
              <w:pStyle w:val="17"/>
              <w:bidi w:val="0"/>
            </w:pPr>
            <w:r>
              <w:rPr>
                <w:rFonts w:hint="eastAsia"/>
              </w:rPr>
              <w:t>支持黑洞MAC地址。</w:t>
            </w:r>
          </w:p>
          <w:p w14:paraId="43E21DF5">
            <w:pPr>
              <w:pStyle w:val="17"/>
              <w:bidi w:val="0"/>
            </w:pPr>
            <w:r>
              <w:rPr>
                <w:rFonts w:hint="eastAsia"/>
              </w:rPr>
              <w:t>支持CPU保护功能。</w:t>
            </w:r>
          </w:p>
          <w:p w14:paraId="039E71F8">
            <w:pPr>
              <w:pStyle w:val="17"/>
              <w:bidi w:val="0"/>
            </w:pPr>
            <w:r>
              <w:rPr>
                <w:rFonts w:hint="eastAsia"/>
              </w:rPr>
              <w:t>堆叠 支持堆叠。</w:t>
            </w:r>
          </w:p>
          <w:p w14:paraId="48D6DADB">
            <w:pPr>
              <w:pStyle w:val="17"/>
              <w:bidi w:val="0"/>
            </w:pPr>
            <w:r>
              <w:rPr>
                <w:rFonts w:hint="eastAsia"/>
              </w:rPr>
              <w:t>纵向虚拟化 支持纵向虚拟化，作为纵向子节点零配置即插即用。</w:t>
            </w:r>
          </w:p>
          <w:p w14:paraId="12B9AE14">
            <w:pPr>
              <w:pStyle w:val="17"/>
              <w:bidi w:val="0"/>
            </w:pPr>
            <w:r>
              <w:rPr>
                <w:rFonts w:hint="eastAsia"/>
              </w:rPr>
              <w:t>管理维护 支持SNMPv1/v2/v3。</w:t>
            </w:r>
          </w:p>
          <w:p w14:paraId="11273D6F">
            <w:pPr>
              <w:pStyle w:val="17"/>
              <w:bidi w:val="0"/>
            </w:pPr>
            <w:r>
              <w:rPr>
                <w:rFonts w:hint="eastAsia"/>
              </w:rPr>
              <w:t>支持网管系统、支持WEB网管特性。</w:t>
            </w:r>
          </w:p>
          <w:p w14:paraId="4D6DBDB4">
            <w:pPr>
              <w:pStyle w:val="17"/>
              <w:bidi w:val="0"/>
            </w:pPr>
            <w:r>
              <w:rPr>
                <w:rFonts w:hint="eastAsia"/>
              </w:rPr>
              <w:t>支持零配置部署。</w:t>
            </w:r>
          </w:p>
          <w:p w14:paraId="6F198B33">
            <w:pPr>
              <w:rPr>
                <w:rFonts w:ascii="宋体" w:hAnsi="宋体" w:cs="仿宋"/>
              </w:rPr>
            </w:pPr>
            <w:r>
              <w:rPr>
                <w:rFonts w:hint="eastAsia"/>
              </w:rPr>
              <w:t>SDN 支持Openflow 1.3标准。</w:t>
            </w:r>
          </w:p>
          <w:p w14:paraId="7331454B">
            <w:pPr>
              <w:pStyle w:val="20"/>
              <w:widowControl w:val="0"/>
              <w:adjustRightInd w:val="0"/>
              <w:snapToGrid w:val="0"/>
              <w:spacing w:before="0" w:beforeAutospacing="0" w:after="0" w:afterAutospacing="0"/>
              <w:jc w:val="both"/>
              <w:rPr>
                <w:b/>
                <w:bCs/>
                <w:kern w:val="2"/>
                <w:sz w:val="21"/>
                <w:szCs w:val="21"/>
              </w:rPr>
            </w:pPr>
            <w:r>
              <w:rPr>
                <w:rFonts w:hint="eastAsia" w:cs="仿宋"/>
                <w:b/>
                <w:bCs/>
                <w:szCs w:val="21"/>
              </w:rPr>
              <w:t>十、</w:t>
            </w:r>
            <w:r>
              <w:rPr>
                <w:rFonts w:hint="eastAsia"/>
                <w:b/>
                <w:bCs/>
                <w:kern w:val="2"/>
                <w:sz w:val="21"/>
                <w:szCs w:val="21"/>
              </w:rPr>
              <w:t>产品名称：存储服务器</w:t>
            </w:r>
          </w:p>
          <w:p w14:paraId="6AC44C39">
            <w:r>
              <w:rPr>
                <w:rFonts w:hint="eastAsia"/>
              </w:rPr>
              <w:t>数量：1套</w:t>
            </w:r>
          </w:p>
          <w:p w14:paraId="20B2E989">
            <w:r>
              <w:rPr>
                <w:rFonts w:hint="eastAsia"/>
              </w:rPr>
              <w:t>设备清单：</w:t>
            </w:r>
          </w:p>
          <w:p w14:paraId="4F2E61C4">
            <w:r>
              <w:rPr>
                <w:rFonts w:hint="eastAsia"/>
              </w:rPr>
              <w:t>1、集成数字录像机及视频、照片、文件资料集中管理系统，并支持iOS 及Android 平台移动设备调用、发布及云端存储功能</w:t>
            </w:r>
          </w:p>
          <w:p w14:paraId="245CF080">
            <w:r>
              <w:rPr>
                <w:rFonts w:hint="eastAsia"/>
              </w:rPr>
              <w:t>2)、需完整支持 Windows ACL 13种权限设定，并可同时透过 Windows窗口及网页管理接口直接设定 ACL权限</w:t>
            </w:r>
          </w:p>
          <w:p w14:paraId="6DF43F26">
            <w:r>
              <w:rPr>
                <w:rFonts w:hint="eastAsia"/>
              </w:rPr>
              <w:t>3、 提供磁盘空间配额管理(Quota Management)功能，限制在共享资料用户的磁盘空间使用量，以避免少數用户大量占用共享磁盘空间，达到妥善分配磁盘资源的目的。</w:t>
            </w:r>
          </w:p>
          <w:p w14:paraId="34A52A2E">
            <w:r>
              <w:rPr>
                <w:rFonts w:hint="eastAsia"/>
              </w:rPr>
              <w:t xml:space="preserve">4、 </w:t>
            </w:r>
            <w:r>
              <w:t>可创建共享文件夹和 LUN 的时间点副本，以防止它们 受到意外修改或勒索软件事件的影响</w:t>
            </w:r>
            <w:r>
              <w:rPr>
                <w:rFonts w:ascii="MyriadPro-Regular" w:hAnsi="MyriadPro-Regular"/>
                <w:color w:val="57585A"/>
                <w:sz w:val="11"/>
                <w:szCs w:val="11"/>
              </w:rPr>
              <w:t>，</w:t>
            </w:r>
            <w:r>
              <w:rPr>
                <w:rFonts w:hint="eastAsia"/>
              </w:rPr>
              <w:t>支持多台同品牌服务器远程双向自动同步文件，且可提供权限控制。</w:t>
            </w:r>
          </w:p>
          <w:p w14:paraId="2BD82C1C">
            <w:r>
              <w:rPr>
                <w:rFonts w:hint="eastAsia"/>
              </w:rPr>
              <w:t>5、处理器 2</w:t>
            </w:r>
            <w:r>
              <w:t xml:space="preserve"> 颗</w:t>
            </w:r>
            <w:r>
              <w:rPr>
                <w:rFonts w:hint="eastAsia"/>
              </w:rPr>
              <w:t xml:space="preserve"> 十核心2..4GHz </w:t>
            </w:r>
            <w:r>
              <w:t xml:space="preserve"> </w:t>
            </w:r>
            <w:r>
              <w:rPr>
                <w:rFonts w:hint="eastAsia"/>
              </w:rPr>
              <w:t>64位处理器</w:t>
            </w:r>
          </w:p>
          <w:p w14:paraId="2FCEC9BB">
            <w:r>
              <w:rPr>
                <w:rFonts w:hint="eastAsia"/>
              </w:rPr>
              <w:t>6、系统缓存：64</w:t>
            </w:r>
            <w:r>
              <w:t>GB 可扩展至512GB</w:t>
            </w:r>
          </w:p>
          <w:p w14:paraId="6681DFCD">
            <w:r>
              <w:t>7</w:t>
            </w:r>
            <w:r>
              <w:rPr>
                <w:rFonts w:hint="eastAsia"/>
              </w:rPr>
              <w:t>、1 x 1GbE RJ-45（带外管理和数据传输）2 x 1GbE RJ-45（数据传输） 2 x 10GbE RJ-45</w:t>
            </w:r>
          </w:p>
          <w:p w14:paraId="68295C78">
            <w:r>
              <w:t>8</w:t>
            </w:r>
            <w:r>
              <w:rPr>
                <w:rFonts w:hint="eastAsia"/>
              </w:rPr>
              <w:t>、 带外管理  远程电源打开/关闭/重新启动 / 定时开关机</w:t>
            </w:r>
          </w:p>
          <w:p w14:paraId="3AD2E179">
            <w:r>
              <w:rPr>
                <w:rFonts w:hint="eastAsia"/>
              </w:rPr>
              <w:t>9、4</w:t>
            </w:r>
            <w:r>
              <w:t>U机架式主机</w:t>
            </w:r>
            <w:r>
              <w:rPr>
                <w:rFonts w:hint="eastAsia"/>
              </w:rPr>
              <w:t>，含</w:t>
            </w:r>
            <w:r>
              <w:t>7</w:t>
            </w:r>
            <w:r>
              <w:rPr>
                <w:rFonts w:hint="eastAsia"/>
              </w:rPr>
              <w:t>0</w:t>
            </w:r>
            <w:r>
              <w:t xml:space="preserve"> 颗18TB SATA 硬盘，最多可扩展至300颗硬盘</w:t>
            </w:r>
          </w:p>
          <w:p w14:paraId="42857C9C">
            <w:r>
              <w:rPr>
                <w:rFonts w:hint="eastAsia"/>
              </w:rPr>
              <w:t>10、系统电源：双电源冗余</w:t>
            </w:r>
          </w:p>
          <w:p w14:paraId="22784361">
            <w:r>
              <w:rPr>
                <w:rFonts w:hint="eastAsia"/>
              </w:rPr>
              <w:t>11、提供与公有云存储提供商的单向或双向同步，这些提供商包括 Alibaba Cloud OSS、Backblaze B2、百度云、Box、Dropbox、Google Cloud Storage、Google 云端硬盘、hubiC、MegaDisk、Microsoft OneDrive、OpenStack Swift 兼容存储、腾讯 COS、WebDAV Server 和 Yandex Disk</w:t>
            </w:r>
          </w:p>
          <w:p w14:paraId="6CC615E5">
            <w:r>
              <w:rPr>
                <w:rFonts w:hint="eastAsia"/>
              </w:rPr>
              <w:t>12、支持提高传输速度的 SSD 缓存技术</w:t>
            </w:r>
          </w:p>
          <w:p w14:paraId="1AC4F9A6">
            <w:r>
              <w:rPr>
                <w:rFonts w:hint="eastAsia"/>
              </w:rPr>
              <w:t>13、</w:t>
            </w:r>
            <w:r>
              <w:t>支持</w:t>
            </w:r>
            <w:r>
              <w:rPr>
                <w:rFonts w:hint="eastAsia"/>
              </w:rPr>
              <w:t>与 Windows® AD/LDAP 服务器连接，使域用户可以使用其现有凭据通过 SMB/NFS/AFP/FTP/File Station 登录</w:t>
            </w:r>
          </w:p>
          <w:p w14:paraId="36C93CB0">
            <w:r>
              <w:rPr>
                <w:rFonts w:hint="eastAsia"/>
              </w:rPr>
              <w:t>14、单一共享文件夹最大支持快照数量≥1024</w:t>
            </w:r>
          </w:p>
          <w:p w14:paraId="13786DBB">
            <w:r>
              <w:rPr>
                <w:rFonts w:hint="eastAsia"/>
              </w:rPr>
              <w:t>15、使用者账号数≥16000</w:t>
            </w:r>
          </w:p>
          <w:p w14:paraId="06884E2F">
            <w:r>
              <w:rPr>
                <w:rFonts w:hint="eastAsia"/>
              </w:rPr>
              <w:t>16、</w:t>
            </w:r>
            <w:r>
              <w:t>用户</w:t>
            </w:r>
            <w:r>
              <w:rPr>
                <w:rFonts w:hint="eastAsia"/>
              </w:rPr>
              <w:t>群组数≥ 512</w:t>
            </w:r>
          </w:p>
          <w:p w14:paraId="2792966A">
            <w:r>
              <w:rPr>
                <w:rFonts w:hint="eastAsia"/>
              </w:rPr>
              <w:t>17、共享文件夹数≥512</w:t>
            </w:r>
          </w:p>
          <w:p w14:paraId="58751ED4">
            <w:r>
              <w:rPr>
                <w:rFonts w:hint="eastAsia"/>
              </w:rPr>
              <w:t>18、SMB/NFS/AFP/FTP 并发连接数量上限≥</w:t>
            </w:r>
            <w:r>
              <w:t>6000</w:t>
            </w:r>
          </w:p>
          <w:p w14:paraId="61EA6221">
            <w:r>
              <w:rPr>
                <w:rFonts w:hint="eastAsia"/>
              </w:rPr>
              <w:t>19、</w:t>
            </w:r>
            <w:r>
              <w:t xml:space="preserve"> High Availability可在主-备用集群中配置的两台相同 设备 之间提供快速故障转移，以在发生计划维护、更新或灾难时尽可能减少停机 时间</w:t>
            </w:r>
          </w:p>
          <w:p w14:paraId="3419C670">
            <w:r>
              <w:rPr>
                <w:rFonts w:hint="eastAsia"/>
              </w:rPr>
              <w:t>20、网络支持  SMB、AFP、NFS、FTP、WebDAV、CalDAV、iSCSI、Telnet、SSH、SNMP 和 VPN（PPTP、OpenVPN™、L2TP）</w:t>
            </w:r>
          </w:p>
          <w:p w14:paraId="6389CB2A">
            <w:r>
              <w:rPr>
                <w:rFonts w:hint="eastAsia"/>
              </w:rPr>
              <w:t xml:space="preserve">21、支持虚拟化 VMware® vSphere™、Microsoft® Hyper-V®、Citrix® XenServer™、OpenStack 和 Kubernetes </w:t>
            </w:r>
          </w:p>
          <w:p w14:paraId="2C802F86">
            <w:r>
              <w:t>2</w:t>
            </w:r>
            <w:r>
              <w:rPr>
                <w:rFonts w:hint="eastAsia"/>
              </w:rPr>
              <w:t>2、 支持 TCP 连接带宽控制、自定义 FTP 被动端口范围、匿名 FTP、通过 SSL/TLS 的 FTP 和 SFTP 协议、支持 TFTP 和 PXE 的网络启动以及传 输日志</w:t>
            </w:r>
          </w:p>
          <w:p w14:paraId="5FFA550F">
            <w:r>
              <w:rPr>
                <w:rFonts w:hint="eastAsia"/>
              </w:rPr>
              <w:t>23、系统需含完整联机及传输日志系统，并可导入系统内建之Syslog服务器</w:t>
            </w:r>
          </w:p>
          <w:p w14:paraId="1E93CD1B">
            <w:r>
              <w:t>2</w:t>
            </w:r>
            <w:r>
              <w:rPr>
                <w:rFonts w:hint="eastAsia"/>
              </w:rPr>
              <w:t>4、 防火墙、共享文件夹加密、SMB 加密、通过 SSL/TLS 的 FTP、SFTP、通过 SSH 的 rsync、登录自动封锁、Let's Encrypt 支持和 HTTPS（ 可配置的加密套件）</w:t>
            </w:r>
          </w:p>
          <w:p w14:paraId="1A422634">
            <w:r>
              <w:rPr>
                <w:rFonts w:hint="eastAsia"/>
              </w:rPr>
              <w:t>25、提供一体化备份，可以从一个集中化控制台远程备份计算机、服务器和虚拟机</w:t>
            </w:r>
          </w:p>
          <w:p w14:paraId="34E47C38">
            <w:pPr>
              <w:rPr>
                <w:rFonts w:hint="eastAsia"/>
              </w:rPr>
            </w:pPr>
            <w:r>
              <w:rPr>
                <w:rFonts w:hint="eastAsia"/>
              </w:rPr>
              <w:t>26、</w:t>
            </w:r>
            <w:r>
              <w:t xml:space="preserve"> </w:t>
            </w:r>
            <w:r>
              <w:rPr>
                <w:rFonts w:hint="eastAsia"/>
              </w:rPr>
              <w:t>支持用户二次登入认证，登入主机时候可以通过手机发送随机验证码。</w:t>
            </w:r>
          </w:p>
          <w:p w14:paraId="5CF9037D">
            <w:pPr>
              <w:rPr>
                <w:rFonts w:hint="default" w:eastAsia="宋体"/>
                <w:lang w:val="en-US" w:eastAsia="zh-CN"/>
              </w:rPr>
            </w:pPr>
            <w:r>
              <w:rPr>
                <w:rFonts w:hint="eastAsia"/>
                <w:lang w:val="en-US" w:eastAsia="zh-CN"/>
              </w:rPr>
              <w:t>27、质保：3年</w:t>
            </w:r>
          </w:p>
          <w:p w14:paraId="232658D7"/>
          <w:p w14:paraId="600E7ABA">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十一、产品名称：超融合平台数据迁移</w:t>
            </w:r>
          </w:p>
          <w:p w14:paraId="601233D0">
            <w:r>
              <w:rPr>
                <w:rFonts w:hint="eastAsia"/>
              </w:rPr>
              <w:t>数量：1次</w:t>
            </w:r>
          </w:p>
          <w:p w14:paraId="0F18CCF1">
            <w:r>
              <w:rPr>
                <w:rFonts w:hint="eastAsia"/>
              </w:rPr>
              <w:t>设备清单：</w:t>
            </w:r>
          </w:p>
          <w:p w14:paraId="758A3904">
            <w:pPr>
              <w:rPr>
                <w:rFonts w:ascii="宋体" w:hAnsi="宋体"/>
              </w:rPr>
            </w:pPr>
            <w:r>
              <w:rPr>
                <w:rFonts w:hint="eastAsia" w:ascii="宋体" w:hAnsi="宋体"/>
              </w:rPr>
              <w:t>1、对院内现有2个超融合节点的内存、硬盘等资源进行升级；</w:t>
            </w:r>
          </w:p>
          <w:p w14:paraId="49A2D318">
            <w:pPr>
              <w:rPr>
                <w:rFonts w:ascii="宋体" w:hAnsi="宋体"/>
              </w:rPr>
            </w:pPr>
            <w:r>
              <w:rPr>
                <w:rFonts w:hint="eastAsia" w:ascii="宋体" w:hAnsi="宋体"/>
              </w:rPr>
              <w:t>2、将资源升级后的2个节点，在线添加到原有的超融合集群中，实现原集群资源、性能、容量的全面提升；</w:t>
            </w:r>
          </w:p>
          <w:p w14:paraId="20ADFA56">
            <w:pPr>
              <w:rPr>
                <w:rFonts w:hint="eastAsia" w:ascii="宋体" w:hAnsi="宋体" w:eastAsia="宋体"/>
                <w:lang w:eastAsia="zh-CN"/>
              </w:rPr>
            </w:pPr>
            <w:r>
              <w:rPr>
                <w:rFonts w:hint="eastAsia" w:ascii="宋体" w:hAnsi="宋体"/>
              </w:rPr>
              <w:t>3、新业务平台调试完成后，将原信息平台的业务数据和应用进行迁移，提供保障服务</w:t>
            </w:r>
            <w:r>
              <w:rPr>
                <w:rFonts w:hint="eastAsia" w:ascii="宋体" w:hAnsi="宋体"/>
                <w:lang w:eastAsia="zh-CN"/>
              </w:rPr>
              <w:t>。</w:t>
            </w:r>
          </w:p>
          <w:p w14:paraId="36743DA4">
            <w:pPr>
              <w:rPr>
                <w:rFonts w:ascii="宋体" w:hAnsi="宋体"/>
              </w:rPr>
            </w:pPr>
          </w:p>
          <w:p w14:paraId="29132322">
            <w:pPr>
              <w:pStyle w:val="20"/>
              <w:widowControl w:val="0"/>
              <w:adjustRightInd w:val="0"/>
              <w:snapToGrid w:val="0"/>
              <w:spacing w:before="0" w:beforeAutospacing="0" w:after="0" w:afterAutospacing="0"/>
              <w:jc w:val="both"/>
              <w:rPr>
                <w:b/>
                <w:bCs/>
                <w:kern w:val="2"/>
                <w:sz w:val="21"/>
                <w:szCs w:val="21"/>
              </w:rPr>
            </w:pPr>
            <w:r>
              <w:rPr>
                <w:rFonts w:hint="eastAsia"/>
                <w:b/>
                <w:bCs/>
              </w:rPr>
              <w:t>十二、</w:t>
            </w:r>
            <w:r>
              <w:rPr>
                <w:rFonts w:hint="eastAsia"/>
                <w:b/>
                <w:bCs/>
                <w:kern w:val="2"/>
                <w:sz w:val="21"/>
                <w:szCs w:val="21"/>
              </w:rPr>
              <w:t>产品名称：</w:t>
            </w:r>
            <w:r>
              <w:rPr>
                <w:rFonts w:hint="eastAsia"/>
                <w:b/>
                <w:bCs/>
                <w:color w:val="000000"/>
                <w:sz w:val="21"/>
                <w:szCs w:val="21"/>
                <w:lang w:bidi="ar"/>
              </w:rPr>
              <w:t>超融合节点扩容</w:t>
            </w:r>
          </w:p>
          <w:p w14:paraId="749C28B4">
            <w:r>
              <w:rPr>
                <w:rFonts w:hint="eastAsia"/>
              </w:rPr>
              <w:t>数量：2套</w:t>
            </w:r>
          </w:p>
          <w:p w14:paraId="5E9B6FAE">
            <w:r>
              <w:rPr>
                <w:rFonts w:hint="eastAsia"/>
              </w:rPr>
              <w:t>设备清单：</w:t>
            </w:r>
          </w:p>
          <w:p w14:paraId="2D45BFC5">
            <w:pPr>
              <w:widowControl/>
              <w:jc w:val="left"/>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1、处理器：配置</w:t>
            </w:r>
            <w:r>
              <w:rPr>
                <w:rFonts w:ascii="等线" w:hAnsi="等线" w:eastAsia="等线" w:cs="等线"/>
                <w:color w:val="000000"/>
                <w:kern w:val="0"/>
                <w:szCs w:val="16"/>
                <w:lang w:bidi="ar"/>
              </w:rPr>
              <w:t>1</w:t>
            </w:r>
            <w:r>
              <w:rPr>
                <w:rFonts w:hint="eastAsia" w:ascii="等线" w:hAnsi="等线" w:eastAsia="等线" w:cs="等线"/>
                <w:color w:val="000000"/>
                <w:kern w:val="0"/>
                <w:szCs w:val="16"/>
                <w:lang w:bidi="ar"/>
              </w:rPr>
              <w:t>颗Intel Xeon Silver 4214R 12C 100W 2.4GHz 处理器。</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2、内存：配置≥51</w:t>
            </w:r>
            <w:r>
              <w:rPr>
                <w:rFonts w:ascii="等线" w:hAnsi="等线" w:eastAsia="等线" w:cs="等线"/>
                <w:color w:val="000000"/>
                <w:kern w:val="0"/>
                <w:szCs w:val="16"/>
                <w:lang w:bidi="ar"/>
              </w:rPr>
              <w:t>2</w:t>
            </w:r>
            <w:r>
              <w:rPr>
                <w:rFonts w:hint="eastAsia" w:ascii="等线" w:hAnsi="等线" w:eastAsia="等线" w:cs="等线"/>
                <w:color w:val="000000"/>
                <w:kern w:val="0"/>
                <w:szCs w:val="16"/>
                <w:lang w:bidi="ar"/>
              </w:rPr>
              <w:t>GB TruDDR4 内存。单</w:t>
            </w:r>
            <w:r>
              <w:rPr>
                <w:rFonts w:ascii="等线" w:hAnsi="等线" w:eastAsia="等线" w:cs="等线"/>
                <w:color w:val="000000"/>
                <w:kern w:val="0"/>
                <w:szCs w:val="16"/>
                <w:lang w:bidi="ar"/>
              </w:rPr>
              <w:t>条</w:t>
            </w:r>
            <w:r>
              <w:rPr>
                <w:rFonts w:hint="eastAsia" w:ascii="等线" w:hAnsi="等线" w:eastAsia="等线" w:cs="等线"/>
                <w:color w:val="000000"/>
                <w:kern w:val="0"/>
                <w:szCs w:val="16"/>
                <w:lang w:bidi="ar"/>
              </w:rPr>
              <w:t>64</w:t>
            </w:r>
            <w:r>
              <w:rPr>
                <w:rFonts w:ascii="等线" w:hAnsi="等线" w:eastAsia="等线" w:cs="等线"/>
                <w:color w:val="000000"/>
                <w:kern w:val="0"/>
                <w:szCs w:val="16"/>
                <w:lang w:bidi="ar"/>
              </w:rPr>
              <w:t>GB。</w:t>
            </w:r>
          </w:p>
          <w:p w14:paraId="0E7BBD93">
            <w:pPr>
              <w:widowControl/>
              <w:jc w:val="left"/>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3、</w:t>
            </w:r>
            <w:r>
              <w:rPr>
                <w:rFonts w:ascii="等线" w:hAnsi="等线" w:eastAsia="等线" w:cs="等线"/>
                <w:color w:val="000000"/>
                <w:kern w:val="0"/>
                <w:szCs w:val="16"/>
                <w:lang w:bidi="ar"/>
              </w:rPr>
              <w:t>ThinkSystem 430-8i SAS/SATA 12Gb HBA</w:t>
            </w:r>
            <w:r>
              <w:rPr>
                <w:rFonts w:hint="eastAsia" w:ascii="等线" w:hAnsi="等线" w:eastAsia="等线" w:cs="等线"/>
                <w:color w:val="000000"/>
                <w:kern w:val="0"/>
                <w:szCs w:val="16"/>
                <w:lang w:bidi="ar"/>
              </w:rPr>
              <w:t>。</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4、硬盘：配置≥2块1</w:t>
            </w:r>
            <w:r>
              <w:rPr>
                <w:rFonts w:ascii="等线" w:hAnsi="等线" w:eastAsia="等线" w:cs="等线"/>
                <w:color w:val="000000"/>
                <w:kern w:val="0"/>
                <w:szCs w:val="16"/>
                <w:lang w:bidi="ar"/>
              </w:rPr>
              <w:t>.92T</w:t>
            </w:r>
            <w:r>
              <w:rPr>
                <w:rFonts w:hint="eastAsia" w:ascii="等线" w:hAnsi="等线" w:eastAsia="等线" w:cs="等线"/>
                <w:color w:val="000000"/>
                <w:kern w:val="0"/>
                <w:szCs w:val="16"/>
                <w:lang w:bidi="ar"/>
              </w:rPr>
              <w:t>B SDD硬盘，≥4块7</w:t>
            </w:r>
            <w:r>
              <w:rPr>
                <w:rFonts w:ascii="等线" w:hAnsi="等线" w:eastAsia="等线" w:cs="等线"/>
                <w:color w:val="000000"/>
                <w:kern w:val="0"/>
                <w:szCs w:val="16"/>
                <w:lang w:bidi="ar"/>
              </w:rPr>
              <w:t>.2K SATA16TB硬盘。</w:t>
            </w:r>
            <w:r>
              <w:rPr>
                <w:rFonts w:hint="eastAsia" w:ascii="等线" w:hAnsi="等线" w:eastAsia="等线" w:cs="等线"/>
                <w:color w:val="000000"/>
                <w:kern w:val="0"/>
                <w:szCs w:val="16"/>
                <w:lang w:bidi="ar"/>
              </w:rPr>
              <w:t>ThinkSystem  固态硬盘套件。</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5、配置12Gb 8口 SAS HBA卡, 支持JBOD；</w:t>
            </w:r>
          </w:p>
          <w:p w14:paraId="424B6239">
            <w:pPr>
              <w:widowControl/>
              <w:jc w:val="left"/>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6、万兆网卡：ThinkSystem X710-DA2  双口PCIe 含模块*</w:t>
            </w:r>
            <w:r>
              <w:rPr>
                <w:rFonts w:ascii="等线" w:hAnsi="等线" w:eastAsia="等线" w:cs="等线"/>
                <w:color w:val="000000"/>
                <w:kern w:val="0"/>
                <w:szCs w:val="16"/>
                <w:lang w:bidi="ar"/>
              </w:rPr>
              <w:t xml:space="preserve">2. </w:t>
            </w:r>
            <w:r>
              <w:rPr>
                <w:rFonts w:hint="eastAsia" w:ascii="等线" w:hAnsi="等线" w:eastAsia="等线" w:cs="等线"/>
                <w:color w:val="000000"/>
                <w:kern w:val="0"/>
                <w:szCs w:val="16"/>
                <w:lang w:bidi="ar"/>
              </w:rPr>
              <w:t>扩展插槽3接口。</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7、电源： 1个冗余电源750</w:t>
            </w:r>
            <w:r>
              <w:rPr>
                <w:rFonts w:ascii="等线" w:hAnsi="等线" w:eastAsia="等线" w:cs="等线"/>
                <w:color w:val="000000"/>
                <w:kern w:val="0"/>
                <w:szCs w:val="16"/>
                <w:lang w:bidi="ar"/>
              </w:rPr>
              <w:t>W</w:t>
            </w:r>
            <w:r>
              <w:rPr>
                <w:rFonts w:hint="eastAsia" w:ascii="等线" w:hAnsi="等线" w:eastAsia="等线" w:cs="等线"/>
                <w:color w:val="000000"/>
                <w:kern w:val="0"/>
                <w:szCs w:val="16"/>
                <w:lang w:bidi="ar"/>
              </w:rPr>
              <w:t>，支持240V高压直流。</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8、I/O扩展：最大支持≥6个PCIe 3.0插槽，配置前置USB口用以连接手机管理服务器（可提供移动应用中的与操作面板类似的功能），配置≥2个后置USB 3.0接口。</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9、配置服务器外管理软件，支持≥1000台服务器统一管理，功能要求：</w:t>
            </w:r>
          </w:p>
          <w:p w14:paraId="6352115A">
            <w:pPr>
              <w:widowControl/>
              <w:textAlignment w:val="center"/>
              <w:rPr>
                <w:rFonts w:ascii="等线" w:hAnsi="等线" w:eastAsia="等线" w:cs="等线"/>
                <w:color w:val="000000"/>
                <w:kern w:val="0"/>
                <w:szCs w:val="16"/>
                <w:lang w:bidi="ar"/>
              </w:rPr>
            </w:pPr>
          </w:p>
          <w:p w14:paraId="0C1B58FC">
            <w:pPr>
              <w:widowControl/>
              <w:textAlignment w:val="center"/>
              <w:rPr>
                <w:rFonts w:ascii="等线" w:hAnsi="等线" w:eastAsia="等线" w:cs="等线"/>
                <w:color w:val="000000"/>
                <w:kern w:val="0"/>
                <w:szCs w:val="16"/>
                <w:lang w:bidi="ar"/>
              </w:rPr>
            </w:pPr>
            <w:r>
              <w:rPr>
                <w:rFonts w:ascii="等线" w:hAnsi="等线" w:eastAsia="等线" w:cs="等线"/>
                <w:color w:val="000000"/>
                <w:kern w:val="0"/>
                <w:szCs w:val="16"/>
                <w:lang w:bidi="ar"/>
              </w:rPr>
              <w:t>软件部分：</w:t>
            </w:r>
          </w:p>
          <w:p w14:paraId="0BE2568B">
            <w:pPr>
              <w:widowControl/>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1、超融合H1000高级版*2套</w:t>
            </w:r>
            <w:r>
              <w:rPr>
                <w:rFonts w:ascii="等线" w:hAnsi="等线" w:eastAsia="等线" w:cs="等线"/>
                <w:color w:val="000000"/>
                <w:kern w:val="0"/>
                <w:szCs w:val="16"/>
                <w:lang w:bidi="ar"/>
              </w:rPr>
              <w:t>。</w:t>
            </w:r>
            <w:r>
              <w:rPr>
                <w:rFonts w:hint="eastAsia" w:ascii="等线" w:hAnsi="等线" w:eastAsia="等线" w:cs="等线"/>
                <w:color w:val="000000"/>
                <w:kern w:val="0"/>
                <w:szCs w:val="16"/>
                <w:lang w:bidi="ar"/>
              </w:rPr>
              <w:t>单节点支持CPU授权数量≥2C，不限制容量许可；超融合产品支持更换服务器硬件无需更换软件，软件授权不锁定硬件，软件授权可转移，提供更高的灵活性和性价比</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2、投标方所提供的软件产品、硬件产品必须为同一品牌，为了保证良好的兼容性，不能采用第三方（OEM/ODM）硬件，要求投标品牌企业具备自主品牌的全系列硬件产品、软件产品以及同一原厂的服务能力；</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3、超融合产品支持1节点、2节点、多节点部署，集群节点数量不受限制，2节点集群无需额外部署仲裁节点，可通过网络交换机实现仲裁机制，保证业务系统持续可用性；</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4、云平台支持统一管理功能，全图形化B/S模式，支持在同一界面对超融合、虚拟化、桌面云产品进行集中管理，无需多个管理界面进行切换，支持对多种CPU架构集群进行集中管理，支持同时纳管多个VMware vCenter集群；</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5、支持项目（租户）管理功能，支持通过项目对资源进行隔离，包括虚拟机、存储等，按项目分配不同权限用户，用户可拥有所属虚拟机资源，用户登录到云平台后仅可以看到所分配的资源；</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6、支持伸缩组功能，可对一组业务虚拟机或有弹性资源需求的虚拟机设置伸缩组，可根据设定的CPU阈值对伸缩组中虚拟机进行动态的增加和减少；</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7、支持通过微信推送告警信息，并可以在管理平台记录发送历史，为后期审计提供依据；</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8、审计日志支持查看平台所有操作日志，包括事件主体（操作者）、管理员IP地址、服务、事件客体（对象）、事件内容描述、事件结果、事件时间、事件风险等级、事件种类。</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9、支持多种身份认证方式，至少支持账户密码、企业微信扫码、OTP、Ukey方式进行登录认证，可进行双因子认证登录设置，保证云平台安全；</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0</w:t>
            </w:r>
            <w:r>
              <w:rPr>
                <w:rFonts w:hint="eastAsia" w:ascii="等线" w:hAnsi="等线" w:eastAsia="等线" w:cs="等线"/>
                <w:color w:val="000000"/>
                <w:kern w:val="0"/>
                <w:szCs w:val="16"/>
                <w:lang w:bidi="ar"/>
              </w:rPr>
              <w:t>、支持虚拟机无代理备份功能，提供至少150个虚拟机的备份功能授权，支持至少80T的备份数据容量的许可</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1</w:t>
            </w:r>
            <w:r>
              <w:rPr>
                <w:rFonts w:hint="eastAsia" w:ascii="等线" w:hAnsi="等线" w:eastAsia="等线" w:cs="等线"/>
                <w:color w:val="000000"/>
                <w:kern w:val="0"/>
                <w:szCs w:val="16"/>
                <w:lang w:bidi="ar"/>
              </w:rPr>
              <w:t>、虚拟机应可以安装独立的操作系统，支持Windows操作系统，包括Windows XP、Windows 7、Windows Server 2003、2008R2、2012R2、2016及以上版本服务器操作系统，支持Linux操作系统，包括Redhat、SUSE、CentOS、Ubuntu、Debian等多个发行版本，支持国产操作系统，包括统信UOS、中标麒麟、银河麒麟等；</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2</w:t>
            </w:r>
            <w:r>
              <w:rPr>
                <w:rFonts w:hint="eastAsia" w:ascii="等线" w:hAnsi="等线" w:eastAsia="等线" w:cs="等线"/>
                <w:color w:val="000000"/>
                <w:kern w:val="0"/>
                <w:szCs w:val="16"/>
                <w:lang w:bidi="ar"/>
              </w:rPr>
              <w:t>、为了保证业务系统连续性运行，支持对虚拟硬件进行动态调整，可调整开机状态虚拟机的CPU、内存、硬盘、网卡资源，可在开机状态删除虚拟机硬盘、网卡资源，无需停机或重启即可实现虚拟资源的调整生效；</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3</w:t>
            </w:r>
            <w:r>
              <w:rPr>
                <w:rFonts w:hint="eastAsia" w:ascii="等线" w:hAnsi="等线" w:eastAsia="等线" w:cs="等线"/>
                <w:color w:val="000000"/>
                <w:kern w:val="0"/>
                <w:szCs w:val="16"/>
                <w:lang w:bidi="ar"/>
              </w:rPr>
              <w:t>、支持对虚拟机vCPU亲和设置，通过手动将vCPU配到到固定物理CPU内核，保证对CPU资源优先使用，支持虚拟机vCPU的限制和配额，可设置低、中、高、自定义配额，保证对计算资源的良好管控；</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4</w:t>
            </w:r>
            <w:r>
              <w:rPr>
                <w:rFonts w:hint="eastAsia" w:ascii="等线" w:hAnsi="等线" w:eastAsia="等线" w:cs="等线"/>
                <w:color w:val="000000"/>
                <w:kern w:val="0"/>
                <w:szCs w:val="16"/>
                <w:lang w:bidi="ar"/>
              </w:rPr>
              <w:t>、虚拟化平台支持虚拟机高可用特性，当集群中出现服务器节点故障或其他原因导致的不可访问，其上运行的虚拟机可以自动在其它正常服务器节点实现启动，保证业务连续性。</w:t>
            </w:r>
          </w:p>
          <w:p w14:paraId="75B6F892">
            <w:pPr>
              <w:widowControl/>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5</w:t>
            </w:r>
            <w:r>
              <w:rPr>
                <w:rFonts w:hint="eastAsia" w:ascii="等线" w:hAnsi="等线" w:eastAsia="等线" w:cs="等线"/>
                <w:color w:val="000000"/>
                <w:kern w:val="0"/>
                <w:szCs w:val="16"/>
                <w:lang w:bidi="ar"/>
              </w:rPr>
              <w:t>、支持USB设备跨主机映射，无需安装客户端插件或代理即可识别USB设备，即使出现虚拟机迁移也可实现USB设备远程跨主机访问</w:t>
            </w:r>
          </w:p>
          <w:p w14:paraId="47289526">
            <w:pPr>
              <w:widowControl/>
              <w:textAlignment w:val="center"/>
              <w:rPr>
                <w:rFonts w:ascii="等线" w:hAnsi="等线" w:eastAsia="等线" w:cs="等线"/>
                <w:color w:val="000000"/>
                <w:kern w:val="0"/>
                <w:szCs w:val="16"/>
                <w:lang w:bidi="ar"/>
              </w:rPr>
            </w:pPr>
            <w:r>
              <w:rPr>
                <w:rFonts w:ascii="等线" w:hAnsi="等线" w:eastAsia="等线" w:cs="等线"/>
                <w:color w:val="000000"/>
                <w:kern w:val="0"/>
                <w:szCs w:val="16"/>
                <w:lang w:bidi="ar"/>
              </w:rPr>
              <w:t>16</w:t>
            </w:r>
            <w:r>
              <w:rPr>
                <w:rFonts w:hint="eastAsia" w:ascii="等线" w:hAnsi="等线" w:eastAsia="等线" w:cs="等线"/>
                <w:color w:val="000000"/>
                <w:kern w:val="0"/>
                <w:szCs w:val="16"/>
                <w:lang w:bidi="ar"/>
              </w:rPr>
              <w:t>、支持精细化快照策略设置，可设置按月、周、天、小时为周期运行策略，可设置按保留时间或保留数量的保存策略，可将配置好的快照策略批量到虚拟机；</w:t>
            </w:r>
          </w:p>
          <w:p w14:paraId="07984624">
            <w:pPr>
              <w:widowControl/>
              <w:textAlignment w:val="center"/>
              <w:rPr>
                <w:rFonts w:ascii="等线" w:hAnsi="等线" w:eastAsia="等线" w:cs="等线"/>
                <w:color w:val="000000"/>
                <w:kern w:val="0"/>
                <w:szCs w:val="16"/>
                <w:lang w:bidi="ar"/>
              </w:rPr>
            </w:pPr>
            <w:r>
              <w:rPr>
                <w:rFonts w:ascii="等线" w:hAnsi="等线" w:eastAsia="等线" w:cs="等线"/>
                <w:color w:val="000000"/>
                <w:kern w:val="0"/>
                <w:szCs w:val="16"/>
                <w:lang w:bidi="ar"/>
              </w:rPr>
              <w:t>17、</w:t>
            </w:r>
            <w:r>
              <w:rPr>
                <w:rFonts w:hint="eastAsia" w:ascii="等线" w:hAnsi="等线" w:eastAsia="等线" w:cs="等线"/>
                <w:color w:val="000000"/>
                <w:kern w:val="0"/>
                <w:szCs w:val="16"/>
                <w:lang w:bidi="ar"/>
              </w:rPr>
              <w:t>系统集成实施服务：现场环境搭建、对7台</w:t>
            </w:r>
            <w:r>
              <w:rPr>
                <w:rFonts w:ascii="等线" w:hAnsi="等线" w:eastAsia="等线" w:cs="等线"/>
                <w:color w:val="000000"/>
                <w:kern w:val="0"/>
                <w:szCs w:val="16"/>
                <w:lang w:bidi="ar"/>
              </w:rPr>
              <w:t>设备进行</w:t>
            </w:r>
            <w:r>
              <w:rPr>
                <w:rFonts w:hint="eastAsia" w:ascii="等线" w:hAnsi="等线" w:eastAsia="等线" w:cs="等线"/>
                <w:color w:val="000000"/>
                <w:kern w:val="0"/>
                <w:szCs w:val="16"/>
                <w:lang w:bidi="ar"/>
              </w:rPr>
              <w:t>配置、调试，实</w:t>
            </w:r>
            <w:r>
              <w:rPr>
                <w:rFonts w:ascii="等线" w:hAnsi="等线" w:eastAsia="等线" w:cs="等线"/>
                <w:color w:val="000000"/>
                <w:kern w:val="0"/>
                <w:szCs w:val="16"/>
                <w:lang w:bidi="ar"/>
              </w:rPr>
              <w:t>现统一管理。</w:t>
            </w:r>
          </w:p>
          <w:p w14:paraId="7FF4E78B">
            <w:pPr>
              <w:widowControl/>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18、5年原厂服务。</w:t>
            </w:r>
          </w:p>
          <w:p w14:paraId="6CBA38C5">
            <w:pPr>
              <w:numPr>
                <w:ilvl w:val="0"/>
                <w:numId w:val="4"/>
              </w:numPr>
              <w:rPr>
                <w:rFonts w:ascii="等线" w:hAnsi="等线" w:eastAsia="等线" w:cs="等线"/>
                <w:color w:val="000000"/>
                <w:szCs w:val="16"/>
              </w:rPr>
            </w:pPr>
            <w:r>
              <w:rPr>
                <w:rFonts w:ascii="等线" w:hAnsi="等线" w:eastAsia="等线" w:cs="等线"/>
                <w:color w:val="000000"/>
                <w:kern w:val="0"/>
                <w:szCs w:val="16"/>
                <w:lang w:bidi="ar"/>
              </w:rPr>
              <w:t>超融合一体机</w:t>
            </w:r>
            <w:r>
              <w:rPr>
                <w:rFonts w:hint="eastAsia" w:ascii="等线" w:hAnsi="等线" w:eastAsia="等线" w:cs="等线"/>
                <w:color w:val="000000"/>
                <w:kern w:val="0"/>
                <w:szCs w:val="16"/>
                <w:lang w:bidi="ar"/>
              </w:rPr>
              <w:t>升级</w:t>
            </w:r>
            <w:r>
              <w:rPr>
                <w:rFonts w:ascii="等线" w:hAnsi="等线" w:eastAsia="等线" w:cs="等线"/>
                <w:color w:val="000000"/>
                <w:szCs w:val="16"/>
              </w:rPr>
              <w:t>配备施工所需耗材</w:t>
            </w:r>
          </w:p>
          <w:p w14:paraId="2919843A">
            <w:pPr>
              <w:rPr>
                <w:rFonts w:ascii="等线" w:hAnsi="等线" w:eastAsia="等线" w:cs="等线"/>
                <w:color w:val="000000"/>
                <w:szCs w:val="16"/>
              </w:rPr>
            </w:pPr>
          </w:p>
          <w:p w14:paraId="0F078B56">
            <w:pPr>
              <w:pStyle w:val="20"/>
              <w:widowControl w:val="0"/>
              <w:adjustRightInd w:val="0"/>
              <w:snapToGrid w:val="0"/>
              <w:spacing w:before="0" w:beforeAutospacing="0" w:after="0" w:afterAutospacing="0"/>
              <w:jc w:val="both"/>
              <w:rPr>
                <w:b/>
                <w:bCs/>
                <w:kern w:val="2"/>
                <w:sz w:val="21"/>
                <w:szCs w:val="21"/>
              </w:rPr>
            </w:pPr>
            <w:r>
              <w:rPr>
                <w:rFonts w:hint="eastAsia" w:ascii="等线" w:hAnsi="等线" w:eastAsia="等线" w:cs="等线"/>
                <w:b/>
                <w:bCs/>
                <w:color w:val="000000"/>
                <w:szCs w:val="16"/>
              </w:rPr>
              <w:t>十三、</w:t>
            </w:r>
            <w:r>
              <w:rPr>
                <w:rFonts w:hint="eastAsia"/>
                <w:b/>
                <w:bCs/>
                <w:kern w:val="2"/>
                <w:sz w:val="21"/>
                <w:szCs w:val="21"/>
              </w:rPr>
              <w:t>产品名称：超融合平台软件</w:t>
            </w:r>
          </w:p>
          <w:p w14:paraId="3FED74BF">
            <w:r>
              <w:rPr>
                <w:rFonts w:hint="eastAsia"/>
              </w:rPr>
              <w:t>数量：5套</w:t>
            </w:r>
          </w:p>
          <w:p w14:paraId="65AEB107">
            <w:r>
              <w:rPr>
                <w:rFonts w:hint="eastAsia"/>
              </w:rPr>
              <w:t>设备清单：</w:t>
            </w:r>
          </w:p>
          <w:p w14:paraId="15CA0894">
            <w:pPr>
              <w:rPr>
                <w:rFonts w:ascii="宋体" w:hAnsi="宋体" w:cs="宋体"/>
              </w:rPr>
            </w:pPr>
            <w:r>
              <w:rPr>
                <w:rFonts w:hint="eastAsia" w:ascii="宋体" w:hAnsi="宋体" w:cs="宋体"/>
                <w:b/>
                <w:sz w:val="18"/>
                <w:szCs w:val="18"/>
              </w:rPr>
              <w:t>1、</w:t>
            </w:r>
            <w:r>
              <w:rPr>
                <w:rFonts w:hint="eastAsia" w:ascii="宋体" w:hAnsi="宋体" w:cs="宋体"/>
              </w:rPr>
              <w:t>超融合平台软件，为扩容后的7套超融合平台进行安装以获得技术支持。</w:t>
            </w:r>
          </w:p>
          <w:p w14:paraId="5044D8C9">
            <w:pPr>
              <w:rPr>
                <w:rFonts w:ascii="宋体" w:hAnsi="宋体" w:cs="宋体"/>
              </w:rPr>
            </w:pPr>
            <w:r>
              <w:rPr>
                <w:rFonts w:hint="eastAsia" w:ascii="宋体" w:hAnsi="宋体" w:cs="宋体"/>
              </w:rPr>
              <w:t>2、7*24小时的电话及远程技术问题支持。</w:t>
            </w:r>
          </w:p>
          <w:p w14:paraId="10DE72BC">
            <w:pPr>
              <w:rPr>
                <w:rFonts w:ascii="宋体" w:hAnsi="宋体" w:cs="宋体"/>
              </w:rPr>
            </w:pPr>
            <w:r>
              <w:rPr>
                <w:rFonts w:hint="eastAsia" w:ascii="宋体" w:hAnsi="宋体" w:cs="宋体"/>
              </w:rPr>
              <w:t>3、5年原厂技术服务。</w:t>
            </w:r>
          </w:p>
          <w:p w14:paraId="2A98EAAF">
            <w:pPr>
              <w:rPr>
                <w:rFonts w:ascii="宋体" w:hAnsi="宋体" w:cs="宋体"/>
              </w:rPr>
            </w:pPr>
            <w:r>
              <w:rPr>
                <w:rFonts w:hint="eastAsia" w:ascii="宋体" w:hAnsi="宋体" w:cs="宋体"/>
                <w:b/>
                <w:sz w:val="18"/>
                <w:szCs w:val="18"/>
              </w:rPr>
              <w:t>4、</w:t>
            </w:r>
            <w:r>
              <w:rPr>
                <w:rFonts w:hint="eastAsia" w:ascii="宋体" w:hAnsi="宋体" w:cs="宋体"/>
              </w:rPr>
              <w:t>服务范围，</w:t>
            </w:r>
            <w:r>
              <w:rPr>
                <w:rFonts w:ascii="宋体" w:hAnsi="宋体" w:cs="宋体"/>
              </w:rPr>
              <w:t>云计算产品、解决方案使用咨询。使用AIO</w:t>
            </w:r>
            <w:r>
              <w:rPr>
                <w:rFonts w:hint="eastAsia" w:ascii="宋体" w:hAnsi="宋体" w:cs="宋体"/>
              </w:rPr>
              <w:t>超融合的</w:t>
            </w:r>
            <w:r>
              <w:rPr>
                <w:rFonts w:ascii="宋体" w:hAnsi="宋体" w:cs="宋体"/>
              </w:rPr>
              <w:t>云计算产品、解决方案过程中的最佳实践指导文档。使用</w:t>
            </w:r>
            <w:r>
              <w:rPr>
                <w:rFonts w:hint="eastAsia" w:ascii="宋体" w:hAnsi="宋体" w:cs="宋体"/>
              </w:rPr>
              <w:t>超融合的</w:t>
            </w:r>
            <w:r>
              <w:rPr>
                <w:rFonts w:ascii="宋体" w:hAnsi="宋体" w:cs="宋体"/>
              </w:rPr>
              <w:t>云计算过程中的产品本身问题定位和故障排除协助。售后收到系统出现技术故障的运维与售后需求时，将立即做出实质性响应，联系客户相关人员核实故障情况，收集故障信息，以最快 的速度分析故障原因，确定故障点，再根据故障类型和客户的需求， 进行故障排除，保证在尽可能短的时间内解决技术故障</w:t>
            </w:r>
            <w:r>
              <w:rPr>
                <w:rFonts w:hint="eastAsia" w:ascii="宋体" w:hAnsi="宋体" w:cs="宋体"/>
              </w:rPr>
              <w:t>。</w:t>
            </w:r>
            <w:r>
              <w:rPr>
                <w:rFonts w:ascii="宋体" w:hAnsi="宋体" w:cs="宋体"/>
              </w:rPr>
              <w:t>通过远程接入的方式为客户提供季度健康检查服务，体检范围包括超 融合存储、虚机、虚拟主机等。主要是为了帮助客户了解系统运行状态，发现和消除问题隐患，提出针对性地使用建议，以确保系统健康运行</w:t>
            </w:r>
            <w:r>
              <w:rPr>
                <w:rFonts w:hint="eastAsia" w:ascii="宋体" w:hAnsi="宋体" w:cs="宋体"/>
              </w:rPr>
              <w:t>。</w:t>
            </w:r>
            <w:r>
              <w:rPr>
                <w:rFonts w:ascii="宋体" w:hAnsi="宋体" w:cs="宋体"/>
              </w:rPr>
              <w:t>在服务期内，如有新版本发布并且客户方需要升级的，公司应提供升级后的完整产品包，协助客户进行相关的小版本升级操作。产品升级前，客户有责任做好相应的数据备份； 若升级涉及数据迁移，所需的方案和服务，双方另行协商。</w:t>
            </w:r>
          </w:p>
          <w:p w14:paraId="66A69753"/>
        </w:tc>
        <w:tc>
          <w:tcPr>
            <w:tcW w:w="810" w:type="dxa"/>
            <w:vMerge w:val="continue"/>
            <w:noWrap w:val="0"/>
            <w:vAlign w:val="top"/>
          </w:tcPr>
          <w:p w14:paraId="0FEE694F">
            <w:pPr>
              <w:jc w:val="center"/>
            </w:pPr>
          </w:p>
        </w:tc>
        <w:tc>
          <w:tcPr>
            <w:tcW w:w="1020" w:type="dxa"/>
            <w:vMerge w:val="continue"/>
            <w:noWrap w:val="0"/>
            <w:vAlign w:val="top"/>
          </w:tcPr>
          <w:p w14:paraId="6D8C6416">
            <w:pPr>
              <w:jc w:val="center"/>
            </w:pPr>
          </w:p>
        </w:tc>
      </w:tr>
    </w:tbl>
    <w:p w14:paraId="7752008B">
      <w:pPr>
        <w:tabs>
          <w:tab w:val="left" w:pos="720"/>
        </w:tabs>
        <w:jc w:val="both"/>
        <w:outlineLvl w:val="9"/>
        <w:rPr>
          <w:rFonts w:hint="eastAsia" w:ascii="宋体" w:hAnsi="宋体" w:eastAsia="宋体" w:cs="宋体"/>
          <w:sz w:val="21"/>
          <w:szCs w:val="21"/>
          <w:highlight w:val="none"/>
          <w:lang w:val="en-US" w:eastAsia="zh-CN"/>
        </w:rPr>
      </w:pPr>
    </w:p>
    <w:p w14:paraId="39064AD2">
      <w:pPr>
        <w:tabs>
          <w:tab w:val="left" w:pos="720"/>
        </w:tabs>
        <w:jc w:val="both"/>
        <w:outlineLvl w:val="9"/>
        <w:rPr>
          <w:rFonts w:hint="eastAsia" w:ascii="宋体" w:hAnsi="宋体" w:eastAsia="宋体" w:cs="宋体"/>
          <w:b w:val="0"/>
          <w:bCs w:val="0"/>
          <w:sz w:val="21"/>
          <w:szCs w:val="16"/>
          <w:highlight w:val="none"/>
          <w:lang w:val="zh-CN"/>
        </w:rPr>
      </w:pPr>
      <w:r>
        <w:rPr>
          <w:rFonts w:hint="eastAsia" w:ascii="宋体" w:hAnsi="宋体" w:eastAsia="宋体" w:cs="宋体"/>
          <w:sz w:val="21"/>
          <w:szCs w:val="21"/>
          <w:highlight w:val="none"/>
          <w:lang w:val="zh-CN" w:eastAsia="zh-CN"/>
        </w:rPr>
        <w:br w:type="page"/>
      </w:r>
    </w:p>
    <w:p w14:paraId="3844A34E">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38" w:name="_Toc7032"/>
      <w:bookmarkStart w:id="39" w:name="_Toc24506"/>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七</w:t>
      </w:r>
      <w:r>
        <w:rPr>
          <w:rFonts w:hint="eastAsia" w:ascii="宋体" w:hAnsi="宋体" w:eastAsia="宋体" w:cs="宋体"/>
          <w:b/>
          <w:sz w:val="32"/>
          <w:szCs w:val="28"/>
          <w:highlight w:val="none"/>
          <w:lang w:val="zh-CN" w:eastAsia="zh-CN"/>
        </w:rPr>
        <w:t xml:space="preserve">章  </w:t>
      </w:r>
      <w:r>
        <w:rPr>
          <w:rFonts w:hint="eastAsia" w:ascii="宋体" w:hAnsi="宋体" w:cs="宋体"/>
          <w:b/>
          <w:sz w:val="32"/>
          <w:szCs w:val="28"/>
          <w:highlight w:val="none"/>
          <w:lang w:val="en-US" w:eastAsia="zh-CN"/>
        </w:rPr>
        <w:t>投标</w:t>
      </w:r>
      <w:r>
        <w:rPr>
          <w:rFonts w:hint="eastAsia" w:ascii="宋体" w:hAnsi="宋体" w:eastAsia="宋体" w:cs="宋体"/>
          <w:b/>
          <w:sz w:val="32"/>
          <w:szCs w:val="28"/>
          <w:highlight w:val="none"/>
          <w:lang w:val="zh-CN" w:eastAsia="zh-CN"/>
        </w:rPr>
        <w:t>文件格式</w:t>
      </w:r>
      <w:bookmarkEnd w:id="35"/>
      <w:bookmarkEnd w:id="36"/>
      <w:bookmarkEnd w:id="37"/>
      <w:bookmarkEnd w:id="38"/>
      <w:bookmarkEnd w:id="39"/>
    </w:p>
    <w:p w14:paraId="55CE8B42">
      <w:pPr>
        <w:autoSpaceDE w:val="0"/>
        <w:autoSpaceDN w:val="0"/>
        <w:adjustRightInd w:val="0"/>
        <w:spacing w:line="600" w:lineRule="exact"/>
        <w:jc w:val="left"/>
        <w:rPr>
          <w:rFonts w:hint="eastAsia" w:ascii="宋体" w:hAnsi="宋体" w:eastAsia="宋体" w:cs="宋体"/>
          <w:b w:val="0"/>
          <w:szCs w:val="18"/>
          <w:highlight w:val="none"/>
          <w:lang w:val="zh-CN"/>
        </w:rPr>
      </w:pPr>
    </w:p>
    <w:p w14:paraId="7D2C302C">
      <w:pPr>
        <w:spacing w:line="360" w:lineRule="auto"/>
        <w:jc w:val="center"/>
        <w:outlineLvl w:val="9"/>
        <w:rPr>
          <w:rFonts w:hint="eastAsia" w:ascii="宋体" w:hAnsi="宋体" w:eastAsia="宋体" w:cs="宋体"/>
          <w:b w:val="0"/>
          <w:sz w:val="32"/>
          <w:szCs w:val="32"/>
          <w:highlight w:val="none"/>
          <w:u w:val="single"/>
        </w:rPr>
      </w:pPr>
    </w:p>
    <w:p w14:paraId="352A55DC">
      <w:pPr>
        <w:spacing w:line="360" w:lineRule="auto"/>
        <w:jc w:val="center"/>
        <w:outlineLvl w:val="9"/>
        <w:rPr>
          <w:rFonts w:hint="eastAsia" w:ascii="宋体" w:hAnsi="宋体" w:eastAsia="宋体" w:cs="宋体"/>
          <w:b w:val="0"/>
          <w:sz w:val="32"/>
          <w:szCs w:val="32"/>
          <w:highlight w:val="none"/>
          <w:u w:val="single"/>
        </w:rPr>
      </w:pPr>
      <w:bookmarkStart w:id="40" w:name="_Toc28544"/>
      <w:r>
        <w:rPr>
          <w:rFonts w:hint="eastAsia" w:ascii="宋体" w:hAnsi="宋体" w:eastAsia="宋体" w:cs="宋体"/>
          <w:b w:val="0"/>
          <w:sz w:val="32"/>
          <w:szCs w:val="32"/>
          <w:highlight w:val="none"/>
          <w:u w:val="single"/>
        </w:rPr>
        <w:t>（项目名称）</w:t>
      </w:r>
      <w:bookmarkEnd w:id="40"/>
    </w:p>
    <w:p w14:paraId="699E56E1">
      <w:pPr>
        <w:spacing w:line="360" w:lineRule="auto"/>
        <w:jc w:val="center"/>
        <w:outlineLvl w:val="9"/>
        <w:rPr>
          <w:rFonts w:hint="eastAsia" w:ascii="宋体" w:hAnsi="宋体" w:eastAsia="宋体" w:cs="宋体"/>
          <w:b w:val="0"/>
          <w:szCs w:val="21"/>
          <w:highlight w:val="none"/>
        </w:rPr>
      </w:pPr>
    </w:p>
    <w:p w14:paraId="4CC7AF86">
      <w:pPr>
        <w:spacing w:line="360" w:lineRule="auto"/>
        <w:jc w:val="center"/>
        <w:outlineLvl w:val="9"/>
        <w:rPr>
          <w:rFonts w:hint="eastAsia" w:ascii="宋体" w:hAnsi="宋体" w:eastAsia="宋体" w:cs="宋体"/>
          <w:b w:val="0"/>
          <w:sz w:val="72"/>
          <w:szCs w:val="72"/>
          <w:highlight w:val="none"/>
        </w:rPr>
      </w:pPr>
    </w:p>
    <w:p w14:paraId="1DC6BC30">
      <w:pPr>
        <w:spacing w:line="360" w:lineRule="auto"/>
        <w:jc w:val="center"/>
        <w:outlineLvl w:val="9"/>
        <w:rPr>
          <w:rFonts w:hint="eastAsia" w:ascii="宋体" w:hAnsi="宋体" w:eastAsia="宋体" w:cs="宋体"/>
          <w:b w:val="0"/>
          <w:sz w:val="72"/>
          <w:szCs w:val="72"/>
          <w:highlight w:val="none"/>
        </w:rPr>
      </w:pPr>
    </w:p>
    <w:p w14:paraId="4C9C65F2">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投 标 文 件</w:t>
      </w:r>
    </w:p>
    <w:p w14:paraId="427805D9">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5BA7B740">
      <w:pPr>
        <w:spacing w:line="360" w:lineRule="auto"/>
        <w:jc w:val="center"/>
        <w:outlineLvl w:val="9"/>
        <w:rPr>
          <w:rFonts w:hint="eastAsia" w:ascii="宋体" w:hAnsi="宋体" w:eastAsia="宋体" w:cs="宋体"/>
          <w:b w:val="0"/>
          <w:szCs w:val="21"/>
          <w:highlight w:val="none"/>
        </w:rPr>
      </w:pPr>
    </w:p>
    <w:p w14:paraId="528814FE">
      <w:pPr>
        <w:spacing w:line="360" w:lineRule="auto"/>
        <w:jc w:val="center"/>
        <w:outlineLvl w:val="9"/>
        <w:rPr>
          <w:rFonts w:hint="eastAsia" w:ascii="宋体" w:hAnsi="宋体" w:eastAsia="宋体" w:cs="宋体"/>
          <w:b w:val="0"/>
          <w:szCs w:val="21"/>
          <w:highlight w:val="none"/>
        </w:rPr>
      </w:pPr>
    </w:p>
    <w:p w14:paraId="6FE4ED4A">
      <w:pPr>
        <w:spacing w:line="360" w:lineRule="auto"/>
        <w:jc w:val="center"/>
        <w:outlineLvl w:val="9"/>
        <w:rPr>
          <w:rFonts w:hint="eastAsia" w:ascii="宋体" w:hAnsi="宋体" w:eastAsia="宋体" w:cs="宋体"/>
          <w:b w:val="0"/>
          <w:szCs w:val="21"/>
          <w:highlight w:val="none"/>
        </w:rPr>
      </w:pPr>
    </w:p>
    <w:p w14:paraId="41DC8295">
      <w:pPr>
        <w:spacing w:line="360" w:lineRule="auto"/>
        <w:jc w:val="center"/>
        <w:outlineLvl w:val="9"/>
        <w:rPr>
          <w:rFonts w:hint="eastAsia" w:ascii="宋体" w:hAnsi="宋体" w:eastAsia="宋体" w:cs="宋体"/>
          <w:b w:val="0"/>
          <w:szCs w:val="21"/>
          <w:highlight w:val="none"/>
        </w:rPr>
      </w:pPr>
    </w:p>
    <w:p w14:paraId="3DE23CF8">
      <w:pPr>
        <w:spacing w:line="360" w:lineRule="auto"/>
        <w:jc w:val="center"/>
        <w:outlineLvl w:val="9"/>
        <w:rPr>
          <w:rFonts w:hint="eastAsia" w:ascii="宋体" w:hAnsi="宋体" w:eastAsia="宋体" w:cs="宋体"/>
          <w:b w:val="0"/>
          <w:szCs w:val="21"/>
          <w:highlight w:val="none"/>
        </w:rPr>
      </w:pPr>
    </w:p>
    <w:p w14:paraId="60CF09DC">
      <w:pPr>
        <w:spacing w:line="360" w:lineRule="auto"/>
        <w:jc w:val="center"/>
        <w:outlineLvl w:val="9"/>
        <w:rPr>
          <w:rFonts w:hint="eastAsia" w:ascii="宋体" w:hAnsi="宋体" w:eastAsia="宋体" w:cs="宋体"/>
          <w:b w:val="0"/>
          <w:szCs w:val="21"/>
          <w:highlight w:val="none"/>
        </w:rPr>
      </w:pPr>
    </w:p>
    <w:p w14:paraId="7EA943DE">
      <w:pPr>
        <w:spacing w:line="360" w:lineRule="auto"/>
        <w:jc w:val="center"/>
        <w:outlineLvl w:val="9"/>
        <w:rPr>
          <w:rFonts w:hint="eastAsia" w:ascii="宋体" w:hAnsi="宋体" w:eastAsia="宋体" w:cs="宋体"/>
          <w:b w:val="0"/>
          <w:sz w:val="28"/>
          <w:szCs w:val="28"/>
          <w:highlight w:val="none"/>
        </w:rPr>
      </w:pPr>
      <w:bookmarkStart w:id="41"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41"/>
    </w:p>
    <w:p w14:paraId="6F36524C">
      <w:pPr>
        <w:spacing w:line="360" w:lineRule="auto"/>
        <w:jc w:val="center"/>
        <w:outlineLvl w:val="9"/>
        <w:rPr>
          <w:rFonts w:hint="eastAsia" w:ascii="宋体" w:hAnsi="宋体" w:eastAsia="宋体" w:cs="宋体"/>
          <w:b w:val="0"/>
          <w:sz w:val="28"/>
          <w:szCs w:val="28"/>
          <w:highlight w:val="none"/>
        </w:rPr>
      </w:pPr>
    </w:p>
    <w:p w14:paraId="7B60517F">
      <w:pPr>
        <w:spacing w:line="360" w:lineRule="auto"/>
        <w:jc w:val="center"/>
        <w:outlineLvl w:val="9"/>
        <w:rPr>
          <w:rFonts w:hint="eastAsia" w:ascii="宋体" w:hAnsi="宋体" w:eastAsia="宋体" w:cs="宋体"/>
          <w:b w:val="0"/>
          <w:sz w:val="28"/>
          <w:szCs w:val="28"/>
          <w:highlight w:val="none"/>
        </w:rPr>
      </w:pPr>
      <w:bookmarkStart w:id="42"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val="en-US" w:eastAsia="zh-CN"/>
        </w:rPr>
        <w:t>或</w:t>
      </w:r>
      <w:r>
        <w:rPr>
          <w:rFonts w:hint="eastAsia" w:ascii="宋体" w:hAnsi="宋体" w:eastAsia="宋体" w:cs="宋体"/>
          <w:b w:val="0"/>
          <w:sz w:val="28"/>
          <w:szCs w:val="28"/>
          <w:highlight w:val="none"/>
        </w:rPr>
        <w:t>授权委托代理人：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42"/>
    </w:p>
    <w:p w14:paraId="4F143FD5">
      <w:pPr>
        <w:spacing w:line="360" w:lineRule="auto"/>
        <w:jc w:val="center"/>
        <w:outlineLvl w:val="9"/>
        <w:rPr>
          <w:rFonts w:hint="eastAsia" w:ascii="宋体" w:hAnsi="宋体" w:eastAsia="宋体" w:cs="宋体"/>
          <w:b w:val="0"/>
          <w:szCs w:val="21"/>
          <w:highlight w:val="none"/>
          <w:u w:val="single"/>
        </w:rPr>
      </w:pPr>
    </w:p>
    <w:p w14:paraId="19C5790A">
      <w:pPr>
        <w:spacing w:line="360" w:lineRule="auto"/>
        <w:jc w:val="center"/>
        <w:outlineLvl w:val="9"/>
        <w:rPr>
          <w:rFonts w:hint="eastAsia" w:ascii="宋体" w:hAnsi="宋体" w:eastAsia="宋体" w:cs="宋体"/>
          <w:b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fmt="decimal" w:start="1"/>
          <w:cols w:space="720" w:num="1"/>
          <w:docGrid w:type="lines" w:linePitch="312" w:charSpace="0"/>
        </w:sectPr>
      </w:pPr>
      <w:bookmarkStart w:id="43"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43"/>
    </w:p>
    <w:p w14:paraId="67A5A15F">
      <w:pPr>
        <w:tabs>
          <w:tab w:val="left" w:pos="720"/>
        </w:tabs>
        <w:ind w:left="0" w:firstLine="0"/>
        <w:jc w:val="center"/>
        <w:outlineLvl w:val="9"/>
        <w:rPr>
          <w:rFonts w:hint="eastAsia" w:ascii="宋体" w:hAnsi="宋体" w:eastAsia="宋体" w:cs="宋体"/>
          <w:sz w:val="44"/>
          <w:szCs w:val="44"/>
          <w:highlight w:val="none"/>
        </w:rPr>
      </w:pPr>
      <w:bookmarkStart w:id="44" w:name="_Toc184635137"/>
      <w:bookmarkStart w:id="45" w:name="_Toc382396569"/>
      <w:r>
        <w:rPr>
          <w:rFonts w:hint="eastAsia" w:ascii="宋体" w:hAnsi="宋体" w:eastAsia="宋体" w:cs="宋体"/>
          <w:sz w:val="44"/>
          <w:szCs w:val="44"/>
          <w:highlight w:val="none"/>
        </w:rPr>
        <w:t>目    录</w:t>
      </w:r>
      <w:bookmarkEnd w:id="44"/>
      <w:bookmarkEnd w:id="45"/>
    </w:p>
    <w:p w14:paraId="7A6E69DE">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52BFD5F5">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43097050">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6EBA23D0">
      <w:pPr>
        <w:pStyle w:val="11"/>
        <w:outlineLvl w:val="9"/>
        <w:rPr>
          <w:rFonts w:hint="eastAsia" w:ascii="宋体" w:hAnsi="宋体" w:eastAsia="宋体" w:cs="宋体"/>
          <w:b w:val="0"/>
          <w:sz w:val="24"/>
          <w:szCs w:val="24"/>
          <w:highlight w:val="none"/>
          <w:lang w:val="en-US" w:eastAsia="zh-CN"/>
        </w:rPr>
      </w:pPr>
    </w:p>
    <w:p w14:paraId="3B8BEC73">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3285B5CF">
      <w:pPr>
        <w:jc w:val="center"/>
        <w:outlineLvl w:val="9"/>
        <w:rPr>
          <w:rFonts w:hint="eastAsia" w:ascii="宋体" w:hAnsi="宋体" w:eastAsia="宋体" w:cs="宋体"/>
          <w:b/>
          <w:kern w:val="0"/>
          <w:sz w:val="32"/>
          <w:szCs w:val="20"/>
          <w:highlight w:val="none"/>
          <w:lang w:val="en-US" w:eastAsia="zh-CN" w:bidi="ar-SA"/>
        </w:rPr>
      </w:pPr>
      <w:bookmarkStart w:id="46" w:name="_Toc184635138"/>
      <w:bookmarkStart w:id="47" w:name="_Toc382396570"/>
      <w:bookmarkStart w:id="48" w:name="_Toc31889"/>
      <w:r>
        <w:rPr>
          <w:rFonts w:hint="eastAsia" w:ascii="宋体" w:hAnsi="宋体" w:eastAsia="宋体" w:cs="宋体"/>
          <w:b/>
          <w:kern w:val="0"/>
          <w:sz w:val="32"/>
          <w:szCs w:val="20"/>
          <w:highlight w:val="none"/>
          <w:lang w:val="en-US" w:eastAsia="zh-CN" w:bidi="ar-SA"/>
        </w:rPr>
        <w:t>一、投标函及投标函附录</w:t>
      </w:r>
      <w:bookmarkEnd w:id="46"/>
      <w:bookmarkEnd w:id="47"/>
      <w:bookmarkEnd w:id="48"/>
    </w:p>
    <w:p w14:paraId="54E8FE9A">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606FE66A">
      <w:pPr>
        <w:autoSpaceDE w:val="0"/>
        <w:autoSpaceDN w:val="0"/>
        <w:adjustRightInd w:val="0"/>
        <w:spacing w:line="360" w:lineRule="auto"/>
        <w:rPr>
          <w:rFonts w:hint="eastAsia" w:ascii="宋体" w:hAnsi="宋体" w:cs="宋体"/>
          <w:kern w:val="0"/>
          <w:szCs w:val="21"/>
          <w:highlight w:val="none"/>
          <w:u w:val="single"/>
          <w:lang w:val="zh-CN"/>
        </w:rPr>
      </w:pPr>
      <w:r>
        <w:rPr>
          <w:rFonts w:hint="eastAsia" w:ascii="宋体" w:hAnsi="宋体" w:cs="宋体"/>
          <w:kern w:val="0"/>
          <w:szCs w:val="21"/>
          <w:highlight w:val="none"/>
          <w:u w:val="single"/>
          <w:lang w:val="zh-CN"/>
        </w:rPr>
        <w:t>（采购代理机构名称）：</w:t>
      </w:r>
    </w:p>
    <w:p w14:paraId="698F94B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根据你方</w:t>
      </w:r>
      <w:r>
        <w:rPr>
          <w:rFonts w:hint="eastAsia" w:ascii="宋体" w:hAnsi="宋体" w:cs="宋体"/>
          <w:szCs w:val="21"/>
          <w:highlight w:val="none"/>
          <w:u w:val="single"/>
          <w:lang w:val="zh-CN"/>
        </w:rPr>
        <w:t xml:space="preserve">  （项目名称）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招标文件，我方正式授权的下述签字人</w:t>
      </w:r>
      <w:r>
        <w:rPr>
          <w:rFonts w:hint="eastAsia" w:ascii="宋体" w:hAnsi="宋体" w:cs="宋体"/>
          <w:szCs w:val="21"/>
          <w:highlight w:val="none"/>
          <w:u w:val="single"/>
          <w:lang w:val="zh-CN"/>
        </w:rPr>
        <w:t xml:space="preserve">  （姓名和职务）  </w:t>
      </w:r>
      <w:r>
        <w:rPr>
          <w:rFonts w:hint="eastAsia" w:ascii="宋体" w:hAnsi="宋体" w:cs="宋体"/>
          <w:szCs w:val="21"/>
          <w:highlight w:val="none"/>
          <w:lang w:val="zh-CN"/>
        </w:rPr>
        <w:t>代表我方</w:t>
      </w:r>
      <w:r>
        <w:rPr>
          <w:rFonts w:hint="eastAsia" w:ascii="宋体" w:hAnsi="宋体" w:cs="宋体"/>
          <w:szCs w:val="21"/>
          <w:highlight w:val="none"/>
          <w:u w:val="single"/>
          <w:lang w:val="zh-CN"/>
        </w:rPr>
        <w:t xml:space="preserve">  （投标人的名称）  </w:t>
      </w:r>
      <w:r>
        <w:rPr>
          <w:rFonts w:hint="eastAsia" w:ascii="宋体" w:hAnsi="宋体" w:cs="宋体"/>
          <w:szCs w:val="21"/>
          <w:highlight w:val="none"/>
          <w:lang w:val="zh-CN"/>
        </w:rPr>
        <w:t>，按照你方招标文件的规定，提交</w:t>
      </w:r>
      <w:r>
        <w:rPr>
          <w:rFonts w:hint="eastAsia" w:ascii="宋体" w:hAnsi="宋体" w:cs="宋体"/>
          <w:szCs w:val="21"/>
          <w:highlight w:val="none"/>
        </w:rPr>
        <w:t>“</w:t>
      </w:r>
      <w:r>
        <w:rPr>
          <w:rFonts w:hint="eastAsia" w:ascii="宋体" w:hAnsi="宋体" w:cs="宋体"/>
          <w:szCs w:val="21"/>
          <w:highlight w:val="none"/>
          <w:lang w:val="zh-CN"/>
        </w:rPr>
        <w:t>投标文件构成</w:t>
      </w:r>
      <w:r>
        <w:rPr>
          <w:rFonts w:hint="eastAsia" w:ascii="宋体" w:hAnsi="宋体" w:cs="宋体"/>
          <w:szCs w:val="21"/>
          <w:highlight w:val="none"/>
        </w:rPr>
        <w:t>”</w:t>
      </w:r>
      <w:r>
        <w:rPr>
          <w:rFonts w:hint="eastAsia" w:ascii="宋体" w:hAnsi="宋体" w:cs="宋体"/>
          <w:szCs w:val="21"/>
          <w:highlight w:val="none"/>
          <w:lang w:val="zh-CN"/>
        </w:rPr>
        <w:t>要求的全部文件，并保证所提供的全部文件是真实的、有效的和准确的。</w:t>
      </w:r>
    </w:p>
    <w:p w14:paraId="2BD301F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据此函，签字人兹宣布同意如下：</w:t>
      </w:r>
    </w:p>
    <w:p w14:paraId="02F3429E">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1.按招标文件规定提供货物投标</w:t>
      </w:r>
      <w:r>
        <w:rPr>
          <w:rFonts w:hint="eastAsia" w:ascii="宋体" w:hAnsi="宋体" w:cs="宋体"/>
          <w:szCs w:val="21"/>
          <w:highlight w:val="none"/>
          <w:lang w:val="en-US" w:eastAsia="zh-CN"/>
        </w:rPr>
        <w:t>报价</w:t>
      </w:r>
      <w:r>
        <w:rPr>
          <w:rFonts w:hint="eastAsia" w:ascii="宋体" w:hAnsi="宋体" w:cs="宋体"/>
          <w:szCs w:val="21"/>
          <w:highlight w:val="none"/>
          <w:lang w:val="zh-CN"/>
        </w:rPr>
        <w:t>为：</w:t>
      </w:r>
      <w:bookmarkStart w:id="49" w:name="OLE_LINK5"/>
      <w:r>
        <w:rPr>
          <w:rFonts w:hint="eastAsia" w:ascii="宋体" w:hAnsi="宋体" w:cs="宋体"/>
          <w:szCs w:val="21"/>
          <w:highlight w:val="none"/>
          <w:u w:val="none"/>
          <w:lang w:val="en-US" w:eastAsia="zh-CN"/>
        </w:rPr>
        <w:t xml:space="preserve"> </w:t>
      </w:r>
      <w:r>
        <w:rPr>
          <w:rFonts w:hint="eastAsia" w:ascii="宋体" w:hAnsi="宋体" w:cs="宋体"/>
          <w:szCs w:val="21"/>
          <w:highlight w:val="none"/>
          <w:u w:val="single"/>
          <w:lang w:val="en-US" w:eastAsia="zh-CN"/>
        </w:rPr>
        <w:t xml:space="preserve">           元 </w:t>
      </w:r>
      <w:r>
        <w:rPr>
          <w:rFonts w:hint="eastAsia" w:ascii="宋体" w:hAnsi="宋体" w:cs="宋体"/>
          <w:szCs w:val="21"/>
          <w:highlight w:val="none"/>
          <w:u w:val="single"/>
          <w:lang w:val="zh-CN"/>
        </w:rPr>
        <w:t xml:space="preserve"> </w:t>
      </w:r>
      <w:bookmarkEnd w:id="49"/>
      <w:r>
        <w:rPr>
          <w:rFonts w:hint="eastAsia" w:ascii="宋体" w:hAnsi="宋体" w:cs="宋体"/>
          <w:szCs w:val="21"/>
          <w:highlight w:val="none"/>
          <w:lang w:val="zh-CN"/>
        </w:rPr>
        <w:t>。</w:t>
      </w:r>
    </w:p>
    <w:p w14:paraId="633E959B">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2.如果我方中标，我们保证根据招标文件规定履行合同责任和义务。具体</w:t>
      </w:r>
      <w:r>
        <w:rPr>
          <w:rFonts w:hint="eastAsia" w:ascii="宋体" w:hAnsi="宋体" w:cs="宋体"/>
          <w:szCs w:val="21"/>
          <w:highlight w:val="none"/>
          <w:lang w:val="en-US" w:eastAsia="zh-CN"/>
        </w:rPr>
        <w:t>合同履行期限及供货期</w:t>
      </w:r>
      <w:r>
        <w:rPr>
          <w:rFonts w:hint="eastAsia" w:ascii="宋体" w:hAnsi="宋体" w:cs="宋体"/>
          <w:szCs w:val="21"/>
          <w:highlight w:val="none"/>
          <w:lang w:val="zh-CN"/>
        </w:rPr>
        <w:t>承诺如下：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w:t>
      </w:r>
    </w:p>
    <w:p w14:paraId="0D04CD2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.我们已详细阅读了全部招标文件，标段括招标文件的修改、补充文件、参考资料及有关的附件，我们接受招标文件的全部条款和条件，我们知道必须放弃提出含糊不清或误解的问题的权利。</w:t>
      </w:r>
    </w:p>
    <w:p w14:paraId="157CA18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5EACFB1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7E75062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.我们如果在规定的投标有效期内撤回投标，则你方可不予退还我们的投标保证金。</w:t>
      </w:r>
    </w:p>
    <w:p w14:paraId="673BE93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.我们保证向你方提供你方可能要求的与本投标有关的任何证据或资料。</w:t>
      </w:r>
    </w:p>
    <w:p w14:paraId="04968F2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.我们完全理解你方不一定要接受最低报价的投标或收到的任何投标。</w:t>
      </w:r>
    </w:p>
    <w:p w14:paraId="0F28220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79695E48">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10D52F70">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312A54D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5B8C0D1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5E1420FF">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3DF63FE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3D11A42F">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0A87AB0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061B82C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4D3FA2F8">
      <w:pPr>
        <w:autoSpaceDE w:val="0"/>
        <w:autoSpaceDN w:val="0"/>
        <w:adjustRightInd w:val="0"/>
        <w:spacing w:line="360" w:lineRule="auto"/>
        <w:ind w:firstLine="482"/>
        <w:rPr>
          <w:rFonts w:hint="eastAsia" w:ascii="宋体" w:hAnsi="宋体" w:cs="宋体"/>
          <w:szCs w:val="21"/>
          <w:highlight w:val="none"/>
          <w:u w:val="single"/>
          <w:lang w:val="zh-CN"/>
        </w:rPr>
      </w:pPr>
      <w:r>
        <w:rPr>
          <w:rFonts w:hint="eastAsia" w:ascii="宋体" w:hAnsi="宋体" w:cs="宋体"/>
          <w:szCs w:val="21"/>
          <w:highlight w:val="none"/>
          <w:lang w:val="zh-CN"/>
        </w:rPr>
        <w:t>投标人名称：</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（加盖公章）</w:t>
      </w:r>
    </w:p>
    <w:p w14:paraId="1F8DA6BF">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（签字或盖章） </w:t>
      </w:r>
    </w:p>
    <w:p w14:paraId="5EE399AE">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地址：</w:t>
      </w:r>
      <w:r>
        <w:rPr>
          <w:rFonts w:hint="eastAsia" w:ascii="宋体" w:hAnsi="宋体" w:cs="宋体"/>
          <w:szCs w:val="21"/>
          <w:highlight w:val="none"/>
          <w:u w:val="single"/>
          <w:lang w:val="zh-CN"/>
        </w:rPr>
        <w:t xml:space="preserve">                                       </w:t>
      </w:r>
    </w:p>
    <w:p w14:paraId="5F5AE7B4">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电话、传真或电传：</w:t>
      </w:r>
      <w:r>
        <w:rPr>
          <w:rFonts w:hint="eastAsia" w:ascii="宋体" w:hAnsi="宋体" w:cs="宋体"/>
          <w:szCs w:val="21"/>
          <w:highlight w:val="none"/>
          <w:u w:val="single"/>
          <w:lang w:val="zh-CN"/>
        </w:rPr>
        <w:t xml:space="preserve">                           </w:t>
      </w:r>
    </w:p>
    <w:p w14:paraId="009594E4">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邮政编码：</w:t>
      </w:r>
      <w:r>
        <w:rPr>
          <w:rFonts w:hint="eastAsia" w:ascii="宋体" w:hAnsi="宋体" w:cs="宋体"/>
          <w:szCs w:val="21"/>
          <w:highlight w:val="none"/>
          <w:u w:val="single"/>
          <w:lang w:val="zh-CN"/>
        </w:rPr>
        <w:t xml:space="preserve">                                   </w:t>
      </w:r>
    </w:p>
    <w:p w14:paraId="450B9E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427E0CCC">
      <w:pPr>
        <w:autoSpaceDE w:val="0"/>
        <w:autoSpaceDN w:val="0"/>
        <w:adjustRightInd w:val="0"/>
        <w:spacing w:line="360" w:lineRule="auto"/>
        <w:ind w:firstLine="480"/>
        <w:rPr>
          <w:rFonts w:hint="eastAsia" w:ascii="宋体" w:hAnsi="宋体" w:cs="宋体"/>
          <w:szCs w:val="21"/>
          <w:highlight w:val="none"/>
          <w:lang w:val="zh-CN"/>
        </w:rPr>
      </w:pPr>
    </w:p>
    <w:p w14:paraId="11E1B09F">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cs="宋体"/>
          <w:szCs w:val="21"/>
          <w:highlight w:val="none"/>
          <w:lang w:val="zh-CN"/>
        </w:rPr>
        <w:t>请投标人注意：投标函必须按规定有效签署和加盖公章。</w:t>
      </w:r>
    </w:p>
    <w:p w14:paraId="27D86CC8">
      <w:pPr>
        <w:wordWrap w:val="0"/>
        <w:spacing w:line="360" w:lineRule="auto"/>
        <w:ind w:right="420" w:firstLine="3498" w:firstLineChars="1666"/>
        <w:jc w:val="right"/>
        <w:rPr>
          <w:rFonts w:hint="eastAsia" w:ascii="宋体" w:hAnsi="宋体" w:eastAsia="宋体" w:cs="宋体"/>
          <w:b w:val="0"/>
          <w:sz w:val="21"/>
          <w:szCs w:val="21"/>
          <w:highlight w:val="none"/>
        </w:rPr>
      </w:pPr>
    </w:p>
    <w:p w14:paraId="4B7722E4">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7F9A2716">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4034B0AC">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4"/>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890"/>
        <w:gridCol w:w="5685"/>
        <w:gridCol w:w="1333"/>
      </w:tblGrid>
      <w:tr w14:paraId="6D86B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2F01B40D">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5727B1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60004432">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5C7D6F98">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4C75F63A">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2EC8C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7B00860C">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9F3F409">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5A2B8035">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5D6277E">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6F5C3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9A96BD1">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693DCE9">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质量标准</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6AFE3764">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87CF417">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58DCA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9BA5B0E">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352070D">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ACB386C">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56AE948">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0EA76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0AB5D6A">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4</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EA7399E">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质保期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E432B43">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EFDA797">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31A07788">
      <w:pPr>
        <w:autoSpaceDE w:val="0"/>
        <w:autoSpaceDN w:val="0"/>
        <w:adjustRightInd w:val="0"/>
        <w:spacing w:line="400" w:lineRule="exact"/>
        <w:jc w:val="left"/>
        <w:rPr>
          <w:rFonts w:hint="eastAsia" w:ascii="宋体" w:hAnsi="宋体" w:eastAsia="宋体" w:cs="宋体"/>
          <w:b w:val="0"/>
          <w:szCs w:val="18"/>
          <w:highlight w:val="none"/>
        </w:rPr>
      </w:pPr>
    </w:p>
    <w:p w14:paraId="208DA380">
      <w:pPr>
        <w:ind w:left="2663" w:leftChars="1268" w:firstLine="2171" w:firstLineChars="1034"/>
        <w:jc w:val="left"/>
        <w:rPr>
          <w:rFonts w:hint="eastAsia" w:ascii="宋体" w:hAnsi="宋体" w:eastAsia="宋体" w:cs="宋体"/>
          <w:b w:val="0"/>
          <w:sz w:val="21"/>
          <w:szCs w:val="21"/>
          <w:highlight w:val="none"/>
        </w:rPr>
      </w:pPr>
      <w:bookmarkStart w:id="50" w:name="_Toc4402"/>
      <w:bookmarkStart w:id="51" w:name="_Toc382396571"/>
      <w:bookmarkStart w:id="52" w:name="_Toc184635139"/>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53F798C7">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33B0AD9F">
      <w:pPr>
        <w:ind w:left="4320" w:firstLine="380"/>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64163D63">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089F6DD5">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0E61482E">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68C24DAB">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21EF1E9B">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50"/>
      <w:bookmarkEnd w:id="51"/>
      <w:bookmarkEnd w:id="52"/>
    </w:p>
    <w:p w14:paraId="5D223ACD">
      <w:pPr>
        <w:spacing w:line="360" w:lineRule="auto"/>
        <w:ind w:firstLine="480" w:firstLineChars="200"/>
        <w:rPr>
          <w:rFonts w:hint="eastAsia" w:ascii="宋体" w:hAnsi="宋体" w:eastAsia="宋体" w:cs="宋体"/>
          <w:b w:val="0"/>
          <w:sz w:val="24"/>
          <w:szCs w:val="24"/>
          <w:highlight w:val="none"/>
        </w:rPr>
      </w:pPr>
    </w:p>
    <w:p w14:paraId="7377913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14290FE7">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DC754F9">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0A113EA8">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43191979">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A8AE25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1EA06AF2">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1A1D4A4D">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44B59B15">
      <w:pPr>
        <w:spacing w:line="360" w:lineRule="auto"/>
        <w:ind w:firstLine="420" w:firstLineChars="200"/>
        <w:jc w:val="both"/>
        <w:rPr>
          <w:rFonts w:hint="eastAsia" w:ascii="宋体" w:hAnsi="宋体" w:eastAsia="宋体" w:cs="宋体"/>
          <w:b w:val="0"/>
          <w:sz w:val="21"/>
          <w:szCs w:val="21"/>
          <w:highlight w:val="none"/>
        </w:rPr>
      </w:pPr>
    </w:p>
    <w:p w14:paraId="76A556EA">
      <w:pPr>
        <w:spacing w:line="360" w:lineRule="auto"/>
        <w:ind w:firstLine="420" w:firstLineChars="200"/>
        <w:jc w:val="both"/>
        <w:rPr>
          <w:rFonts w:hint="eastAsia" w:ascii="宋体" w:hAnsi="宋体" w:eastAsia="宋体" w:cs="宋体"/>
          <w:b w:val="0"/>
          <w:sz w:val="21"/>
          <w:szCs w:val="21"/>
          <w:highlight w:val="none"/>
        </w:rPr>
      </w:pPr>
    </w:p>
    <w:p w14:paraId="05F37E2D">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5A062ADB">
      <w:pPr>
        <w:spacing w:line="360" w:lineRule="auto"/>
        <w:ind w:firstLine="4515" w:firstLineChars="2150"/>
        <w:jc w:val="both"/>
        <w:rPr>
          <w:rFonts w:hint="eastAsia" w:ascii="宋体" w:hAnsi="宋体" w:eastAsia="宋体" w:cs="宋体"/>
          <w:b w:val="0"/>
          <w:sz w:val="21"/>
          <w:szCs w:val="21"/>
          <w:highlight w:val="none"/>
          <w:u w:val="single"/>
        </w:rPr>
      </w:pPr>
    </w:p>
    <w:p w14:paraId="0C8BF487">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7A376028">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3D525C88">
      <w:pPr>
        <w:tabs>
          <w:tab w:val="left" w:pos="720"/>
        </w:tabs>
        <w:jc w:val="center"/>
        <w:outlineLvl w:val="9"/>
        <w:rPr>
          <w:rFonts w:hint="eastAsia" w:ascii="宋体" w:hAnsi="宋体" w:eastAsia="宋体" w:cs="宋体"/>
          <w:b/>
          <w:bCs/>
          <w:sz w:val="32"/>
          <w:szCs w:val="36"/>
          <w:highlight w:val="none"/>
        </w:rPr>
      </w:pPr>
      <w:bookmarkStart w:id="53" w:name="_Toc382396572"/>
      <w:bookmarkStart w:id="54" w:name="_Toc8835"/>
      <w:bookmarkStart w:id="55" w:name="_Toc184635140"/>
      <w:r>
        <w:rPr>
          <w:rFonts w:hint="eastAsia" w:ascii="宋体" w:hAnsi="宋体" w:eastAsia="宋体" w:cs="宋体"/>
          <w:b/>
          <w:bCs/>
          <w:sz w:val="32"/>
          <w:szCs w:val="36"/>
          <w:highlight w:val="none"/>
        </w:rPr>
        <w:t>三、授权委托书</w:t>
      </w:r>
      <w:bookmarkEnd w:id="53"/>
      <w:bookmarkEnd w:id="54"/>
      <w:bookmarkEnd w:id="55"/>
    </w:p>
    <w:p w14:paraId="19DFCF4C">
      <w:pPr>
        <w:spacing w:line="360" w:lineRule="auto"/>
        <w:ind w:firstLine="420" w:firstLineChars="200"/>
        <w:rPr>
          <w:rFonts w:hint="eastAsia" w:ascii="宋体" w:hAnsi="宋体" w:eastAsia="宋体" w:cs="宋体"/>
          <w:b w:val="0"/>
          <w:szCs w:val="21"/>
          <w:highlight w:val="none"/>
        </w:rPr>
      </w:pPr>
    </w:p>
    <w:p w14:paraId="65C64EE0">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、签订合同和处理有关事宜，其法律后果由我方承担。</w:t>
      </w:r>
    </w:p>
    <w:p w14:paraId="12DE0469">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0A60F7CD">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1E3676F9">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043F768D">
      <w:pPr>
        <w:spacing w:line="360" w:lineRule="auto"/>
        <w:ind w:firstLine="420" w:firstLineChars="200"/>
        <w:jc w:val="both"/>
        <w:rPr>
          <w:rFonts w:hint="eastAsia" w:ascii="宋体" w:hAnsi="宋体" w:eastAsia="宋体" w:cs="宋体"/>
          <w:b w:val="0"/>
          <w:sz w:val="21"/>
          <w:szCs w:val="21"/>
          <w:highlight w:val="none"/>
        </w:rPr>
      </w:pPr>
    </w:p>
    <w:p w14:paraId="596B56C2">
      <w:pPr>
        <w:spacing w:line="360" w:lineRule="auto"/>
        <w:ind w:firstLine="420" w:firstLineChars="200"/>
        <w:jc w:val="both"/>
        <w:rPr>
          <w:rFonts w:hint="eastAsia" w:ascii="宋体" w:hAnsi="宋体" w:eastAsia="宋体" w:cs="宋体"/>
          <w:b w:val="0"/>
          <w:sz w:val="21"/>
          <w:szCs w:val="21"/>
          <w:highlight w:val="none"/>
        </w:rPr>
      </w:pPr>
    </w:p>
    <w:p w14:paraId="2AB57EB0">
      <w:pPr>
        <w:spacing w:line="360" w:lineRule="auto"/>
        <w:ind w:firstLine="420" w:firstLineChars="200"/>
        <w:jc w:val="both"/>
        <w:rPr>
          <w:rFonts w:hint="eastAsia" w:ascii="宋体" w:hAnsi="宋体" w:eastAsia="宋体" w:cs="宋体"/>
          <w:b w:val="0"/>
          <w:sz w:val="21"/>
          <w:szCs w:val="21"/>
          <w:highlight w:val="none"/>
        </w:rPr>
      </w:pPr>
    </w:p>
    <w:p w14:paraId="1877EE41">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6EA47F58">
      <w:pPr>
        <w:spacing w:line="360" w:lineRule="auto"/>
        <w:ind w:firstLine="420" w:firstLineChars="200"/>
        <w:jc w:val="both"/>
        <w:rPr>
          <w:rFonts w:hint="eastAsia" w:ascii="宋体" w:hAnsi="宋体" w:eastAsia="宋体" w:cs="宋体"/>
          <w:b w:val="0"/>
          <w:sz w:val="21"/>
          <w:szCs w:val="21"/>
          <w:highlight w:val="none"/>
        </w:rPr>
      </w:pPr>
    </w:p>
    <w:p w14:paraId="52FB30A4">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6B1946FB">
      <w:pPr>
        <w:spacing w:line="360" w:lineRule="auto"/>
        <w:ind w:firstLine="420" w:firstLineChars="200"/>
        <w:jc w:val="both"/>
        <w:rPr>
          <w:rFonts w:hint="eastAsia" w:ascii="宋体" w:hAnsi="宋体" w:eastAsia="宋体" w:cs="宋体"/>
          <w:b w:val="0"/>
          <w:sz w:val="21"/>
          <w:szCs w:val="21"/>
          <w:highlight w:val="none"/>
        </w:rPr>
      </w:pPr>
    </w:p>
    <w:p w14:paraId="5A7A148B">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2B9B5404">
      <w:pPr>
        <w:spacing w:line="360" w:lineRule="auto"/>
        <w:ind w:firstLine="420" w:firstLineChars="200"/>
        <w:jc w:val="both"/>
        <w:rPr>
          <w:rFonts w:hint="eastAsia" w:ascii="宋体" w:hAnsi="宋体" w:eastAsia="宋体" w:cs="宋体"/>
          <w:b w:val="0"/>
          <w:sz w:val="21"/>
          <w:szCs w:val="21"/>
          <w:highlight w:val="none"/>
        </w:rPr>
      </w:pPr>
    </w:p>
    <w:p w14:paraId="38E30E8B">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0890AACE">
      <w:pPr>
        <w:spacing w:line="360" w:lineRule="auto"/>
        <w:ind w:firstLine="420" w:firstLineChars="200"/>
        <w:jc w:val="both"/>
        <w:rPr>
          <w:rFonts w:hint="eastAsia" w:ascii="宋体" w:hAnsi="宋体" w:eastAsia="宋体" w:cs="宋体"/>
          <w:b w:val="0"/>
          <w:sz w:val="21"/>
          <w:szCs w:val="21"/>
          <w:highlight w:val="none"/>
        </w:rPr>
      </w:pPr>
    </w:p>
    <w:p w14:paraId="52119654">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06D9BA69">
      <w:pPr>
        <w:spacing w:line="360" w:lineRule="auto"/>
        <w:ind w:firstLine="5355" w:firstLineChars="2550"/>
        <w:jc w:val="both"/>
        <w:rPr>
          <w:rFonts w:hint="eastAsia" w:ascii="宋体" w:hAnsi="宋体" w:eastAsia="宋体" w:cs="宋体"/>
          <w:b w:val="0"/>
          <w:sz w:val="21"/>
          <w:szCs w:val="21"/>
          <w:highlight w:val="none"/>
        </w:rPr>
      </w:pPr>
    </w:p>
    <w:p w14:paraId="49718E47">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52BCEF66">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1BF25E86">
      <w:pPr>
        <w:autoSpaceDE w:val="0"/>
        <w:autoSpaceDN w:val="0"/>
        <w:adjustRightInd w:val="0"/>
        <w:rPr>
          <w:rFonts w:hint="eastAsia" w:ascii="宋体" w:hAnsi="宋体" w:cs="宋体"/>
          <w:b/>
          <w:sz w:val="24"/>
          <w:highlight w:val="none"/>
          <w:lang w:val="zh-CN"/>
        </w:rPr>
      </w:pPr>
      <w:bookmarkStart w:id="56" w:name="_Toc184635142"/>
      <w:r>
        <w:rPr>
          <w:rFonts w:hint="eastAsia" w:ascii="宋体" w:hAnsi="宋体" w:cs="宋体"/>
          <w:b/>
          <w:sz w:val="24"/>
          <w:highlight w:val="none"/>
          <w:lang w:val="zh-CN"/>
        </w:rPr>
        <w:t>投标人基本情况（加盖投标人公章和/或有效签署）</w:t>
      </w:r>
    </w:p>
    <w:p w14:paraId="6325FC52">
      <w:pPr>
        <w:autoSpaceDE w:val="0"/>
        <w:autoSpaceDN w:val="0"/>
        <w:adjustRightInd w:val="0"/>
        <w:ind w:firstLine="435"/>
        <w:rPr>
          <w:rFonts w:hint="eastAsia" w:ascii="宋体" w:hAnsi="宋体" w:cs="宋体"/>
          <w:szCs w:val="21"/>
          <w:highlight w:val="none"/>
        </w:rPr>
      </w:pPr>
    </w:p>
    <w:p w14:paraId="62D424A0">
      <w:pPr>
        <w:autoSpaceDE w:val="0"/>
        <w:autoSpaceDN w:val="0"/>
        <w:adjustRightInd w:val="0"/>
        <w:spacing w:line="360" w:lineRule="auto"/>
        <w:ind w:firstLine="435"/>
        <w:rPr>
          <w:rFonts w:hint="eastAsia" w:ascii="宋体" w:hAnsi="宋体" w:cs="宋体"/>
          <w:szCs w:val="21"/>
          <w:highlight w:val="none"/>
        </w:rPr>
      </w:pPr>
      <w:r>
        <w:rPr>
          <w:rFonts w:hint="eastAsia" w:ascii="宋体" w:hAnsi="宋体" w:cs="宋体"/>
          <w:szCs w:val="21"/>
          <w:highlight w:val="none"/>
          <w:lang w:val="zh-CN"/>
        </w:rPr>
        <w:t>文字描述：企业性质、发展历程、经营规模、服务理念、技术力量等。</w:t>
      </w:r>
    </w:p>
    <w:p w14:paraId="71B101C7">
      <w:pPr>
        <w:ind w:firstLine="420" w:firstLineChars="200"/>
        <w:rPr>
          <w:rFonts w:hint="eastAsia" w:ascii="宋体" w:hAnsi="宋体" w:cs="宋体"/>
          <w:b/>
          <w:bCs/>
          <w:kern w:val="2"/>
          <w:sz w:val="32"/>
          <w:szCs w:val="36"/>
          <w:highlight w:val="none"/>
          <w:lang w:val="en-US" w:eastAsia="zh-CN" w:bidi="ar-SA"/>
        </w:rPr>
      </w:pPr>
      <w:r>
        <w:rPr>
          <w:rFonts w:hint="eastAsia" w:ascii="宋体" w:hAnsi="宋体" w:cs="宋体"/>
          <w:szCs w:val="21"/>
          <w:highlight w:val="none"/>
          <w:lang w:val="zh-CN"/>
        </w:rPr>
        <w:t>图片描述：经营场所、主要产品、生产场所、工艺流程等（如有）。</w:t>
      </w:r>
      <w:r>
        <w:rPr>
          <w:rFonts w:hint="eastAsia" w:ascii="宋体" w:hAnsi="宋体" w:cs="宋体"/>
          <w:b/>
          <w:bCs/>
          <w:kern w:val="2"/>
          <w:sz w:val="32"/>
          <w:szCs w:val="36"/>
          <w:highlight w:val="none"/>
          <w:lang w:val="en-US" w:eastAsia="zh-CN" w:bidi="ar-SA"/>
        </w:rPr>
        <w:br w:type="page"/>
      </w:r>
    </w:p>
    <w:p w14:paraId="63604F1C">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r>
        <w:rPr>
          <w:rFonts w:hint="eastAsia" w:ascii="宋体" w:hAnsi="宋体" w:cs="宋体"/>
          <w:b/>
          <w:bCs/>
          <w:kern w:val="2"/>
          <w:sz w:val="32"/>
          <w:szCs w:val="36"/>
          <w:highlight w:val="none"/>
          <w:lang w:val="en-US" w:eastAsia="zh-CN" w:bidi="ar-SA"/>
        </w:rPr>
        <w:t>四、开标一览表</w:t>
      </w:r>
    </w:p>
    <w:p w14:paraId="06785853">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7E68D1BF">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17885B3B">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5DA707F9">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4"/>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784"/>
        <w:gridCol w:w="1901"/>
        <w:gridCol w:w="1732"/>
        <w:gridCol w:w="1983"/>
      </w:tblGrid>
      <w:tr w14:paraId="11E9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678" w:type="dxa"/>
            <w:noWrap w:val="0"/>
            <w:vAlign w:val="center"/>
          </w:tcPr>
          <w:p w14:paraId="5B688192">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784" w:type="dxa"/>
            <w:noWrap w:val="0"/>
            <w:vAlign w:val="center"/>
          </w:tcPr>
          <w:p w14:paraId="6DA9BE94">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投标报价</w:t>
            </w:r>
          </w:p>
          <w:p w14:paraId="65F8C464">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（元）</w:t>
            </w:r>
          </w:p>
        </w:tc>
        <w:tc>
          <w:tcPr>
            <w:tcW w:w="1901" w:type="dxa"/>
            <w:noWrap w:val="0"/>
            <w:vAlign w:val="center"/>
          </w:tcPr>
          <w:p w14:paraId="03BA6AA5">
            <w:pPr>
              <w:jc w:val="center"/>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1732" w:type="dxa"/>
            <w:noWrap w:val="0"/>
            <w:vAlign w:val="center"/>
          </w:tcPr>
          <w:p w14:paraId="41134373">
            <w:pPr>
              <w:jc w:val="cente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质量标准</w:t>
            </w:r>
          </w:p>
        </w:tc>
        <w:tc>
          <w:tcPr>
            <w:tcW w:w="1983" w:type="dxa"/>
            <w:noWrap w:val="0"/>
            <w:vAlign w:val="center"/>
          </w:tcPr>
          <w:p w14:paraId="71ACE144">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服务承诺及</w:t>
            </w:r>
          </w:p>
          <w:p w14:paraId="1BE35163">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优惠条件</w:t>
            </w:r>
          </w:p>
        </w:tc>
      </w:tr>
      <w:tr w14:paraId="1F89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trPr>
        <w:tc>
          <w:tcPr>
            <w:tcW w:w="1678" w:type="dxa"/>
            <w:noWrap w:val="0"/>
            <w:vAlign w:val="center"/>
          </w:tcPr>
          <w:p w14:paraId="43BBD9D5">
            <w:pPr>
              <w:jc w:val="center"/>
              <w:rPr>
                <w:rFonts w:hint="eastAsia" w:ascii="宋体" w:hAnsi="宋体" w:eastAsia="宋体" w:cs="宋体"/>
                <w:b w:val="0"/>
                <w:sz w:val="21"/>
                <w:szCs w:val="21"/>
                <w:highlight w:val="none"/>
              </w:rPr>
            </w:pPr>
          </w:p>
        </w:tc>
        <w:tc>
          <w:tcPr>
            <w:tcW w:w="1784" w:type="dxa"/>
            <w:noWrap w:val="0"/>
            <w:vAlign w:val="center"/>
          </w:tcPr>
          <w:p w14:paraId="5587DAD8">
            <w:pPr>
              <w:jc w:val="center"/>
              <w:rPr>
                <w:rFonts w:hint="eastAsia" w:ascii="宋体" w:hAnsi="宋体" w:eastAsia="宋体" w:cs="宋体"/>
                <w:b w:val="0"/>
                <w:sz w:val="21"/>
                <w:szCs w:val="21"/>
                <w:highlight w:val="none"/>
              </w:rPr>
            </w:pPr>
          </w:p>
        </w:tc>
        <w:tc>
          <w:tcPr>
            <w:tcW w:w="1901" w:type="dxa"/>
            <w:noWrap w:val="0"/>
            <w:vAlign w:val="center"/>
          </w:tcPr>
          <w:p w14:paraId="3B458D46">
            <w:pPr>
              <w:jc w:val="center"/>
              <w:rPr>
                <w:rFonts w:hint="eastAsia" w:ascii="宋体" w:hAnsi="宋体" w:eastAsia="宋体" w:cs="宋体"/>
                <w:b w:val="0"/>
                <w:sz w:val="21"/>
                <w:szCs w:val="21"/>
                <w:highlight w:val="none"/>
                <w:u w:val="single"/>
              </w:rPr>
            </w:pPr>
          </w:p>
        </w:tc>
        <w:tc>
          <w:tcPr>
            <w:tcW w:w="1732" w:type="dxa"/>
            <w:noWrap w:val="0"/>
            <w:vAlign w:val="center"/>
          </w:tcPr>
          <w:p w14:paraId="7B6499EF">
            <w:pPr>
              <w:jc w:val="center"/>
              <w:rPr>
                <w:rFonts w:hint="eastAsia" w:ascii="宋体" w:hAnsi="宋体" w:eastAsia="宋体" w:cs="宋体"/>
                <w:b w:val="0"/>
                <w:sz w:val="21"/>
                <w:szCs w:val="21"/>
                <w:highlight w:val="none"/>
              </w:rPr>
            </w:pPr>
          </w:p>
        </w:tc>
        <w:tc>
          <w:tcPr>
            <w:tcW w:w="1983" w:type="dxa"/>
            <w:noWrap w:val="0"/>
            <w:vAlign w:val="center"/>
          </w:tcPr>
          <w:p w14:paraId="601CD369">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r>
    </w:tbl>
    <w:p w14:paraId="25B12E09">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4521C31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的内容应与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以及投标文件的其他相关内容一致。如果</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以及投标文件的其他相关内容不一致，则以“开标一览表”的内容为准。</w:t>
      </w:r>
    </w:p>
    <w:p w14:paraId="34E37B9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、“开标一览表”中各个栏目都必须完整、准确填写。开标时，“开标一览表”的所有内容都不允许补充或者修改。</w:t>
      </w:r>
    </w:p>
    <w:p w14:paraId="60B53C20">
      <w:pPr>
        <w:widowControl/>
        <w:tabs>
          <w:tab w:val="left" w:pos="525"/>
        </w:tabs>
        <w:autoSpaceDE w:val="0"/>
        <w:autoSpaceDN w:val="0"/>
        <w:spacing w:line="360" w:lineRule="auto"/>
        <w:ind w:right="893" w:firstLine="420" w:firstLineChars="200"/>
        <w:textAlignment w:val="bottom"/>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zh-CN"/>
        </w:rPr>
        <w:t>投标单价及总价的报价方式为货物送交合同指定的最终交货地点，含安装费等在内的综合价。</w:t>
      </w:r>
    </w:p>
    <w:p w14:paraId="6E848542">
      <w:pPr>
        <w:ind w:firstLine="420" w:firstLineChars="200"/>
        <w:jc w:val="both"/>
        <w:rPr>
          <w:rFonts w:hint="eastAsia" w:ascii="宋体" w:hAnsi="宋体" w:eastAsia="宋体" w:cs="宋体"/>
          <w:b w:val="0"/>
          <w:sz w:val="21"/>
          <w:szCs w:val="21"/>
          <w:highlight w:val="none"/>
        </w:rPr>
      </w:pPr>
    </w:p>
    <w:p w14:paraId="5B49E512">
      <w:pPr>
        <w:ind w:left="5040"/>
        <w:jc w:val="left"/>
        <w:rPr>
          <w:rFonts w:hint="eastAsia" w:ascii="宋体" w:hAnsi="宋体" w:eastAsia="宋体" w:cs="宋体"/>
          <w:b w:val="0"/>
          <w:sz w:val="21"/>
          <w:szCs w:val="21"/>
          <w:highlight w:val="none"/>
        </w:rPr>
      </w:pPr>
    </w:p>
    <w:p w14:paraId="2DF80A93">
      <w:pPr>
        <w:ind w:left="5040"/>
        <w:jc w:val="left"/>
        <w:rPr>
          <w:rFonts w:hint="eastAsia" w:ascii="宋体" w:hAnsi="宋体" w:eastAsia="宋体" w:cs="宋体"/>
          <w:b w:val="0"/>
          <w:sz w:val="21"/>
          <w:szCs w:val="21"/>
          <w:highlight w:val="none"/>
        </w:rPr>
      </w:pPr>
    </w:p>
    <w:p w14:paraId="58F77660">
      <w:pPr>
        <w:ind w:left="5040"/>
        <w:jc w:val="left"/>
        <w:rPr>
          <w:rFonts w:hint="eastAsia" w:ascii="宋体" w:hAnsi="宋体" w:eastAsia="宋体" w:cs="宋体"/>
          <w:b w:val="0"/>
          <w:sz w:val="21"/>
          <w:szCs w:val="21"/>
          <w:highlight w:val="none"/>
        </w:rPr>
      </w:pPr>
    </w:p>
    <w:p w14:paraId="7B28331E">
      <w:pPr>
        <w:ind w:left="5040"/>
        <w:jc w:val="left"/>
        <w:rPr>
          <w:rFonts w:hint="eastAsia" w:ascii="宋体" w:hAnsi="宋体" w:eastAsia="宋体" w:cs="宋体"/>
          <w:b w:val="0"/>
          <w:sz w:val="21"/>
          <w:szCs w:val="21"/>
          <w:highlight w:val="none"/>
        </w:rPr>
      </w:pPr>
    </w:p>
    <w:p w14:paraId="10F3A0BE">
      <w:pPr>
        <w:ind w:left="5040"/>
        <w:jc w:val="left"/>
        <w:rPr>
          <w:rFonts w:hint="eastAsia" w:ascii="宋体" w:hAnsi="宋体" w:eastAsia="宋体" w:cs="宋体"/>
          <w:b w:val="0"/>
          <w:sz w:val="21"/>
          <w:szCs w:val="21"/>
          <w:highlight w:val="none"/>
        </w:rPr>
      </w:pPr>
    </w:p>
    <w:p w14:paraId="618AFB39">
      <w:pPr>
        <w:ind w:left="5040"/>
        <w:jc w:val="left"/>
        <w:rPr>
          <w:rFonts w:hint="eastAsia" w:ascii="宋体" w:hAnsi="宋体" w:eastAsia="宋体" w:cs="宋体"/>
          <w:b w:val="0"/>
          <w:sz w:val="21"/>
          <w:szCs w:val="21"/>
          <w:highlight w:val="none"/>
        </w:rPr>
      </w:pPr>
    </w:p>
    <w:p w14:paraId="1A612295">
      <w:pPr>
        <w:ind w:left="5040"/>
        <w:jc w:val="left"/>
        <w:rPr>
          <w:rFonts w:hint="eastAsia" w:ascii="宋体" w:hAnsi="宋体" w:eastAsia="宋体" w:cs="宋体"/>
          <w:b w:val="0"/>
          <w:sz w:val="21"/>
          <w:szCs w:val="21"/>
          <w:highlight w:val="none"/>
        </w:rPr>
      </w:pPr>
    </w:p>
    <w:p w14:paraId="6CB945C9">
      <w:pPr>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6D7665B3">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31C593E">
      <w:pPr>
        <w:jc w:val="right"/>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和</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4FF9F8C5">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18F10450">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7559A9B">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310989CA">
      <w:pPr>
        <w:autoSpaceDE w:val="0"/>
        <w:autoSpaceDN w:val="0"/>
        <w:adjustRightInd w:val="0"/>
        <w:spacing w:line="400" w:lineRule="exact"/>
        <w:rPr>
          <w:rFonts w:hint="eastAsia" w:ascii="宋体" w:hAnsi="宋体" w:eastAsia="宋体" w:cs="宋体"/>
          <w:b w:val="0"/>
          <w:sz w:val="21"/>
          <w:szCs w:val="21"/>
          <w:highlight w:val="none"/>
        </w:rPr>
      </w:pPr>
    </w:p>
    <w:p w14:paraId="7C2CB117">
      <w:pPr>
        <w:rPr>
          <w:rFonts w:hint="eastAsia" w:ascii="宋体" w:hAnsi="宋体" w:eastAsia="宋体" w:cs="宋体"/>
          <w:szCs w:val="32"/>
          <w:highlight w:val="none"/>
        </w:rPr>
      </w:pPr>
      <w:bookmarkStart w:id="57" w:name="_Toc382396574"/>
      <w:bookmarkStart w:id="58" w:name="_Toc15393"/>
      <w:r>
        <w:rPr>
          <w:rFonts w:hint="eastAsia" w:ascii="宋体" w:hAnsi="宋体" w:eastAsia="宋体" w:cs="宋体"/>
          <w:szCs w:val="32"/>
          <w:highlight w:val="none"/>
        </w:rPr>
        <w:br w:type="page"/>
      </w:r>
    </w:p>
    <w:bookmarkEnd w:id="56"/>
    <w:bookmarkEnd w:id="57"/>
    <w:bookmarkEnd w:id="58"/>
    <w:p w14:paraId="6421E8CC">
      <w:pPr>
        <w:jc w:val="center"/>
        <w:rPr>
          <w:rFonts w:hint="eastAsia" w:ascii="宋体" w:hAnsi="宋体" w:cs="宋体"/>
          <w:b/>
          <w:sz w:val="36"/>
          <w:highlight w:val="none"/>
        </w:rPr>
      </w:pPr>
      <w:bookmarkStart w:id="59" w:name="_Toc22129"/>
      <w:bookmarkStart w:id="60" w:name="_Toc184635145"/>
      <w:bookmarkStart w:id="61" w:name="_Toc382396577"/>
      <w:r>
        <w:rPr>
          <w:rFonts w:hint="eastAsia" w:ascii="宋体" w:hAnsi="宋体" w:cs="宋体"/>
          <w:b/>
          <w:sz w:val="36"/>
          <w:highlight w:val="none"/>
        </w:rPr>
        <w:t>（一）报价明细表</w:t>
      </w:r>
    </w:p>
    <w:p w14:paraId="7AF25B59">
      <w:pPr>
        <w:pStyle w:val="12"/>
        <w:rPr>
          <w:rFonts w:hint="eastAsia" w:hAnsi="宋体" w:cs="宋体"/>
          <w:b/>
          <w:szCs w:val="21"/>
          <w:highlight w:val="none"/>
        </w:rPr>
      </w:pPr>
      <w:r>
        <w:rPr>
          <w:rFonts w:hint="eastAsia" w:hAnsi="宋体" w:cs="宋体"/>
          <w:b/>
          <w:szCs w:val="21"/>
          <w:highlight w:val="none"/>
        </w:rPr>
        <w:t>项目名称：</w:t>
      </w:r>
    </w:p>
    <w:p w14:paraId="22D5096A">
      <w:pPr>
        <w:pStyle w:val="12"/>
        <w:rPr>
          <w:rFonts w:hint="eastAsia" w:hAnsi="宋体" w:cs="宋体"/>
          <w:szCs w:val="21"/>
          <w:highlight w:val="none"/>
        </w:rPr>
      </w:pPr>
      <w:r>
        <w:rPr>
          <w:rFonts w:hint="eastAsia" w:hAnsi="宋体" w:cs="宋体"/>
          <w:b/>
          <w:szCs w:val="21"/>
          <w:highlight w:val="none"/>
        </w:rPr>
        <w:t>项目编号：</w:t>
      </w:r>
    </w:p>
    <w:p w14:paraId="23285329">
      <w:pPr>
        <w:jc w:val="center"/>
        <w:rPr>
          <w:rFonts w:hint="eastAsia" w:ascii="宋体" w:hAnsi="宋体" w:cs="宋体"/>
          <w:szCs w:val="21"/>
          <w:highlight w:val="none"/>
        </w:rPr>
      </w:pPr>
      <w:r>
        <w:rPr>
          <w:rFonts w:hint="eastAsia" w:ascii="宋体" w:hAnsi="宋体" w:cs="宋体"/>
          <w:szCs w:val="21"/>
          <w:highlight w:val="none"/>
        </w:rPr>
        <w:t xml:space="preserve">                                                            单位：元人民币</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67"/>
        <w:gridCol w:w="1745"/>
        <w:gridCol w:w="1371"/>
        <w:gridCol w:w="1638"/>
        <w:gridCol w:w="1581"/>
      </w:tblGrid>
      <w:tr w14:paraId="0151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0"/>
            <w:vAlign w:val="center"/>
          </w:tcPr>
          <w:p w14:paraId="11E8BDE6">
            <w:pPr>
              <w:jc w:val="center"/>
              <w:rPr>
                <w:rFonts w:hint="eastAsia" w:ascii="宋体" w:hAnsi="宋体" w:cs="宋体"/>
                <w:b/>
                <w:szCs w:val="21"/>
                <w:highlight w:val="none"/>
              </w:rPr>
            </w:pPr>
            <w:r>
              <w:rPr>
                <w:rFonts w:hint="eastAsia" w:ascii="宋体" w:hAnsi="宋体" w:cs="宋体"/>
                <w:b/>
                <w:szCs w:val="21"/>
                <w:highlight w:val="none"/>
              </w:rPr>
              <w:t>序号</w:t>
            </w:r>
          </w:p>
        </w:tc>
        <w:tc>
          <w:tcPr>
            <w:tcW w:w="2067" w:type="dxa"/>
            <w:noWrap w:val="0"/>
            <w:vAlign w:val="center"/>
          </w:tcPr>
          <w:p w14:paraId="282C0A2C">
            <w:pPr>
              <w:jc w:val="center"/>
              <w:rPr>
                <w:rFonts w:hint="eastAsia" w:ascii="宋体" w:hAnsi="宋体" w:cs="宋体"/>
                <w:b/>
                <w:szCs w:val="21"/>
                <w:highlight w:val="none"/>
              </w:rPr>
            </w:pPr>
            <w:r>
              <w:rPr>
                <w:rFonts w:hint="eastAsia" w:ascii="宋体" w:hAnsi="宋体" w:cs="宋体"/>
                <w:b/>
                <w:szCs w:val="21"/>
                <w:highlight w:val="none"/>
                <w:lang w:val="en-US" w:eastAsia="zh-CN"/>
              </w:rPr>
              <w:t>设备</w:t>
            </w:r>
            <w:r>
              <w:rPr>
                <w:rFonts w:hint="eastAsia" w:ascii="宋体" w:hAnsi="宋体" w:cs="宋体"/>
                <w:b/>
                <w:szCs w:val="21"/>
                <w:highlight w:val="none"/>
              </w:rPr>
              <w:t>名称</w:t>
            </w:r>
          </w:p>
        </w:tc>
        <w:tc>
          <w:tcPr>
            <w:tcW w:w="1745" w:type="dxa"/>
            <w:noWrap w:val="0"/>
            <w:vAlign w:val="center"/>
          </w:tcPr>
          <w:p w14:paraId="2ADCAF8C">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品牌、型号</w:t>
            </w:r>
          </w:p>
        </w:tc>
        <w:tc>
          <w:tcPr>
            <w:tcW w:w="1371" w:type="dxa"/>
            <w:noWrap w:val="0"/>
            <w:vAlign w:val="center"/>
          </w:tcPr>
          <w:p w14:paraId="5DA3FCBA">
            <w:pPr>
              <w:jc w:val="center"/>
              <w:rPr>
                <w:rFonts w:hint="eastAsia" w:ascii="宋体" w:hAnsi="宋体" w:cs="宋体"/>
                <w:b/>
                <w:szCs w:val="21"/>
                <w:highlight w:val="none"/>
              </w:rPr>
            </w:pPr>
            <w:r>
              <w:rPr>
                <w:rFonts w:hint="eastAsia" w:ascii="宋体" w:hAnsi="宋体" w:cs="宋体"/>
                <w:b/>
                <w:szCs w:val="21"/>
                <w:highlight w:val="none"/>
              </w:rPr>
              <w:t>数量</w:t>
            </w:r>
          </w:p>
        </w:tc>
        <w:tc>
          <w:tcPr>
            <w:tcW w:w="1638" w:type="dxa"/>
            <w:noWrap w:val="0"/>
            <w:vAlign w:val="center"/>
          </w:tcPr>
          <w:p w14:paraId="62E56173">
            <w:pPr>
              <w:jc w:val="center"/>
              <w:rPr>
                <w:rFonts w:hint="eastAsia" w:ascii="宋体" w:hAnsi="宋体" w:cs="宋体"/>
                <w:b/>
                <w:szCs w:val="21"/>
                <w:highlight w:val="none"/>
              </w:rPr>
            </w:pPr>
            <w:r>
              <w:rPr>
                <w:rFonts w:hint="eastAsia" w:ascii="宋体" w:hAnsi="宋体" w:cs="宋体"/>
                <w:b/>
                <w:szCs w:val="21"/>
                <w:highlight w:val="none"/>
              </w:rPr>
              <w:t>单价</w:t>
            </w:r>
          </w:p>
        </w:tc>
        <w:tc>
          <w:tcPr>
            <w:tcW w:w="1581" w:type="dxa"/>
            <w:noWrap w:val="0"/>
            <w:vAlign w:val="center"/>
          </w:tcPr>
          <w:p w14:paraId="4B77DD01">
            <w:pPr>
              <w:jc w:val="center"/>
              <w:rPr>
                <w:rFonts w:hint="eastAsia" w:ascii="宋体" w:hAnsi="宋体" w:cs="宋体"/>
                <w:b/>
                <w:szCs w:val="21"/>
                <w:highlight w:val="none"/>
              </w:rPr>
            </w:pPr>
            <w:r>
              <w:rPr>
                <w:rFonts w:hint="eastAsia" w:ascii="宋体" w:hAnsi="宋体" w:cs="宋体"/>
                <w:b/>
                <w:szCs w:val="21"/>
                <w:highlight w:val="none"/>
              </w:rPr>
              <w:t>总价</w:t>
            </w:r>
          </w:p>
        </w:tc>
      </w:tr>
      <w:tr w14:paraId="7A54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0332138">
            <w:pPr>
              <w:jc w:val="center"/>
              <w:rPr>
                <w:rFonts w:hint="eastAsia" w:ascii="宋体" w:hAnsi="宋体" w:cs="宋体"/>
                <w:b/>
                <w:szCs w:val="21"/>
                <w:highlight w:val="none"/>
              </w:rPr>
            </w:pPr>
          </w:p>
        </w:tc>
        <w:tc>
          <w:tcPr>
            <w:tcW w:w="2067" w:type="dxa"/>
            <w:noWrap w:val="0"/>
            <w:vAlign w:val="top"/>
          </w:tcPr>
          <w:p w14:paraId="499A758D">
            <w:pPr>
              <w:spacing w:line="360" w:lineRule="auto"/>
              <w:jc w:val="center"/>
              <w:rPr>
                <w:rFonts w:hint="eastAsia" w:ascii="宋体" w:hAnsi="宋体" w:cs="宋体"/>
                <w:szCs w:val="21"/>
                <w:highlight w:val="none"/>
              </w:rPr>
            </w:pPr>
          </w:p>
        </w:tc>
        <w:tc>
          <w:tcPr>
            <w:tcW w:w="1745" w:type="dxa"/>
            <w:noWrap w:val="0"/>
            <w:vAlign w:val="center"/>
          </w:tcPr>
          <w:p w14:paraId="1FCFF6C5">
            <w:pPr>
              <w:jc w:val="center"/>
              <w:rPr>
                <w:rFonts w:hint="eastAsia" w:ascii="宋体" w:hAnsi="宋体" w:cs="宋体"/>
                <w:b/>
                <w:szCs w:val="21"/>
                <w:highlight w:val="none"/>
              </w:rPr>
            </w:pPr>
          </w:p>
        </w:tc>
        <w:tc>
          <w:tcPr>
            <w:tcW w:w="1371" w:type="dxa"/>
            <w:noWrap w:val="0"/>
            <w:vAlign w:val="center"/>
          </w:tcPr>
          <w:p w14:paraId="29D1E7D3">
            <w:pPr>
              <w:jc w:val="center"/>
              <w:rPr>
                <w:rFonts w:hint="eastAsia" w:ascii="宋体" w:hAnsi="宋体" w:cs="宋体"/>
                <w:b/>
                <w:szCs w:val="21"/>
                <w:highlight w:val="none"/>
              </w:rPr>
            </w:pPr>
          </w:p>
        </w:tc>
        <w:tc>
          <w:tcPr>
            <w:tcW w:w="1638" w:type="dxa"/>
            <w:noWrap w:val="0"/>
            <w:vAlign w:val="center"/>
          </w:tcPr>
          <w:p w14:paraId="60697D47">
            <w:pPr>
              <w:jc w:val="center"/>
              <w:rPr>
                <w:rFonts w:hint="eastAsia" w:ascii="宋体" w:hAnsi="宋体" w:cs="宋体"/>
                <w:b/>
                <w:szCs w:val="21"/>
                <w:highlight w:val="none"/>
              </w:rPr>
            </w:pPr>
          </w:p>
        </w:tc>
        <w:tc>
          <w:tcPr>
            <w:tcW w:w="1581" w:type="dxa"/>
            <w:noWrap w:val="0"/>
            <w:vAlign w:val="center"/>
          </w:tcPr>
          <w:p w14:paraId="3F1280CB">
            <w:pPr>
              <w:jc w:val="center"/>
              <w:rPr>
                <w:rFonts w:hint="eastAsia" w:ascii="宋体" w:hAnsi="宋体" w:cs="宋体"/>
                <w:b/>
                <w:szCs w:val="21"/>
                <w:highlight w:val="none"/>
              </w:rPr>
            </w:pPr>
          </w:p>
        </w:tc>
      </w:tr>
      <w:tr w14:paraId="5AD1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19CD2C45">
            <w:pPr>
              <w:jc w:val="center"/>
              <w:rPr>
                <w:rFonts w:hint="eastAsia" w:ascii="宋体" w:hAnsi="宋体" w:cs="宋体"/>
                <w:b/>
                <w:szCs w:val="21"/>
                <w:highlight w:val="none"/>
              </w:rPr>
            </w:pPr>
          </w:p>
        </w:tc>
        <w:tc>
          <w:tcPr>
            <w:tcW w:w="2067" w:type="dxa"/>
            <w:noWrap w:val="0"/>
            <w:vAlign w:val="top"/>
          </w:tcPr>
          <w:p w14:paraId="4385EAA2">
            <w:pPr>
              <w:spacing w:line="360" w:lineRule="auto"/>
              <w:jc w:val="center"/>
              <w:rPr>
                <w:rFonts w:hint="eastAsia" w:ascii="宋体" w:hAnsi="宋体" w:cs="宋体"/>
                <w:szCs w:val="21"/>
                <w:highlight w:val="none"/>
              </w:rPr>
            </w:pPr>
          </w:p>
        </w:tc>
        <w:tc>
          <w:tcPr>
            <w:tcW w:w="1745" w:type="dxa"/>
            <w:noWrap w:val="0"/>
            <w:vAlign w:val="center"/>
          </w:tcPr>
          <w:p w14:paraId="05BD685A">
            <w:pPr>
              <w:jc w:val="center"/>
              <w:rPr>
                <w:rFonts w:hint="eastAsia" w:ascii="宋体" w:hAnsi="宋体" w:cs="宋体"/>
                <w:b/>
                <w:szCs w:val="21"/>
                <w:highlight w:val="none"/>
              </w:rPr>
            </w:pPr>
          </w:p>
        </w:tc>
        <w:tc>
          <w:tcPr>
            <w:tcW w:w="1371" w:type="dxa"/>
            <w:noWrap w:val="0"/>
            <w:vAlign w:val="top"/>
          </w:tcPr>
          <w:p w14:paraId="2DF81E16">
            <w:pPr>
              <w:jc w:val="center"/>
              <w:rPr>
                <w:rFonts w:hint="eastAsia" w:ascii="宋体" w:hAnsi="宋体" w:cs="宋体"/>
                <w:szCs w:val="21"/>
                <w:highlight w:val="none"/>
              </w:rPr>
            </w:pPr>
          </w:p>
        </w:tc>
        <w:tc>
          <w:tcPr>
            <w:tcW w:w="1638" w:type="dxa"/>
            <w:noWrap w:val="0"/>
            <w:vAlign w:val="center"/>
          </w:tcPr>
          <w:p w14:paraId="7D3B126D">
            <w:pPr>
              <w:jc w:val="center"/>
              <w:rPr>
                <w:rFonts w:hint="eastAsia" w:ascii="宋体" w:hAnsi="宋体" w:cs="宋体"/>
                <w:b/>
                <w:szCs w:val="21"/>
                <w:highlight w:val="none"/>
              </w:rPr>
            </w:pPr>
          </w:p>
        </w:tc>
        <w:tc>
          <w:tcPr>
            <w:tcW w:w="1581" w:type="dxa"/>
            <w:noWrap w:val="0"/>
            <w:vAlign w:val="center"/>
          </w:tcPr>
          <w:p w14:paraId="72C43CE5">
            <w:pPr>
              <w:jc w:val="center"/>
              <w:rPr>
                <w:rFonts w:hint="eastAsia" w:ascii="宋体" w:hAnsi="宋体" w:cs="宋体"/>
                <w:b/>
                <w:szCs w:val="21"/>
                <w:highlight w:val="none"/>
              </w:rPr>
            </w:pPr>
          </w:p>
        </w:tc>
      </w:tr>
      <w:tr w14:paraId="3668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2BE8BD37">
            <w:pPr>
              <w:jc w:val="center"/>
              <w:rPr>
                <w:rFonts w:hint="eastAsia" w:ascii="宋体" w:hAnsi="宋体" w:cs="宋体"/>
                <w:b/>
                <w:szCs w:val="21"/>
                <w:highlight w:val="none"/>
              </w:rPr>
            </w:pPr>
          </w:p>
        </w:tc>
        <w:tc>
          <w:tcPr>
            <w:tcW w:w="2067" w:type="dxa"/>
            <w:noWrap w:val="0"/>
            <w:vAlign w:val="top"/>
          </w:tcPr>
          <w:p w14:paraId="7E15CF8F">
            <w:pPr>
              <w:spacing w:line="360" w:lineRule="auto"/>
              <w:jc w:val="center"/>
              <w:rPr>
                <w:rFonts w:hint="eastAsia" w:ascii="宋体" w:hAnsi="宋体" w:cs="宋体"/>
                <w:szCs w:val="21"/>
                <w:highlight w:val="none"/>
              </w:rPr>
            </w:pPr>
          </w:p>
        </w:tc>
        <w:tc>
          <w:tcPr>
            <w:tcW w:w="1745" w:type="dxa"/>
            <w:noWrap w:val="0"/>
            <w:vAlign w:val="center"/>
          </w:tcPr>
          <w:p w14:paraId="4E8DB1AA">
            <w:pPr>
              <w:jc w:val="center"/>
              <w:rPr>
                <w:rFonts w:hint="eastAsia" w:ascii="宋体" w:hAnsi="宋体" w:cs="宋体"/>
                <w:b/>
                <w:szCs w:val="21"/>
                <w:highlight w:val="none"/>
              </w:rPr>
            </w:pPr>
          </w:p>
        </w:tc>
        <w:tc>
          <w:tcPr>
            <w:tcW w:w="1371" w:type="dxa"/>
            <w:noWrap w:val="0"/>
            <w:vAlign w:val="top"/>
          </w:tcPr>
          <w:p w14:paraId="2DB50F44">
            <w:pPr>
              <w:jc w:val="center"/>
              <w:rPr>
                <w:rFonts w:hint="eastAsia" w:ascii="宋体" w:hAnsi="宋体" w:cs="宋体"/>
                <w:szCs w:val="21"/>
                <w:highlight w:val="none"/>
              </w:rPr>
            </w:pPr>
          </w:p>
        </w:tc>
        <w:tc>
          <w:tcPr>
            <w:tcW w:w="1638" w:type="dxa"/>
            <w:noWrap w:val="0"/>
            <w:vAlign w:val="center"/>
          </w:tcPr>
          <w:p w14:paraId="3461326C">
            <w:pPr>
              <w:jc w:val="center"/>
              <w:rPr>
                <w:rFonts w:hint="eastAsia" w:ascii="宋体" w:hAnsi="宋体" w:cs="宋体"/>
                <w:b/>
                <w:szCs w:val="21"/>
                <w:highlight w:val="none"/>
              </w:rPr>
            </w:pPr>
          </w:p>
        </w:tc>
        <w:tc>
          <w:tcPr>
            <w:tcW w:w="1581" w:type="dxa"/>
            <w:noWrap w:val="0"/>
            <w:vAlign w:val="center"/>
          </w:tcPr>
          <w:p w14:paraId="0D2A1B64">
            <w:pPr>
              <w:jc w:val="center"/>
              <w:rPr>
                <w:rFonts w:hint="eastAsia" w:ascii="宋体" w:hAnsi="宋体" w:cs="宋体"/>
                <w:b/>
                <w:szCs w:val="21"/>
                <w:highlight w:val="none"/>
              </w:rPr>
            </w:pPr>
          </w:p>
        </w:tc>
      </w:tr>
      <w:tr w14:paraId="5C83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6AA88D8">
            <w:pPr>
              <w:jc w:val="center"/>
              <w:rPr>
                <w:rFonts w:hint="eastAsia" w:ascii="宋体" w:hAnsi="宋体" w:cs="宋体"/>
                <w:b/>
                <w:szCs w:val="21"/>
                <w:highlight w:val="none"/>
              </w:rPr>
            </w:pPr>
          </w:p>
        </w:tc>
        <w:tc>
          <w:tcPr>
            <w:tcW w:w="2067" w:type="dxa"/>
            <w:noWrap w:val="0"/>
            <w:vAlign w:val="top"/>
          </w:tcPr>
          <w:p w14:paraId="707A6B22">
            <w:pPr>
              <w:spacing w:line="360" w:lineRule="auto"/>
              <w:jc w:val="center"/>
              <w:rPr>
                <w:rFonts w:hint="eastAsia" w:ascii="宋体" w:hAnsi="宋体" w:cs="宋体"/>
                <w:szCs w:val="21"/>
                <w:highlight w:val="none"/>
              </w:rPr>
            </w:pPr>
          </w:p>
        </w:tc>
        <w:tc>
          <w:tcPr>
            <w:tcW w:w="1745" w:type="dxa"/>
            <w:noWrap w:val="0"/>
            <w:vAlign w:val="center"/>
          </w:tcPr>
          <w:p w14:paraId="2EB2F035">
            <w:pPr>
              <w:jc w:val="center"/>
              <w:rPr>
                <w:rFonts w:hint="eastAsia" w:ascii="宋体" w:hAnsi="宋体" w:cs="宋体"/>
                <w:b/>
                <w:szCs w:val="21"/>
                <w:highlight w:val="none"/>
              </w:rPr>
            </w:pPr>
          </w:p>
        </w:tc>
        <w:tc>
          <w:tcPr>
            <w:tcW w:w="1371" w:type="dxa"/>
            <w:noWrap w:val="0"/>
            <w:vAlign w:val="top"/>
          </w:tcPr>
          <w:p w14:paraId="3DFB1E85">
            <w:pPr>
              <w:jc w:val="center"/>
              <w:rPr>
                <w:rFonts w:hint="eastAsia" w:ascii="宋体" w:hAnsi="宋体" w:cs="宋体"/>
                <w:szCs w:val="21"/>
                <w:highlight w:val="none"/>
              </w:rPr>
            </w:pPr>
          </w:p>
        </w:tc>
        <w:tc>
          <w:tcPr>
            <w:tcW w:w="1638" w:type="dxa"/>
            <w:noWrap w:val="0"/>
            <w:vAlign w:val="center"/>
          </w:tcPr>
          <w:p w14:paraId="130A4568">
            <w:pPr>
              <w:jc w:val="center"/>
              <w:rPr>
                <w:rFonts w:hint="eastAsia" w:ascii="宋体" w:hAnsi="宋体" w:cs="宋体"/>
                <w:b/>
                <w:szCs w:val="21"/>
                <w:highlight w:val="none"/>
              </w:rPr>
            </w:pPr>
          </w:p>
        </w:tc>
        <w:tc>
          <w:tcPr>
            <w:tcW w:w="1581" w:type="dxa"/>
            <w:noWrap w:val="0"/>
            <w:vAlign w:val="center"/>
          </w:tcPr>
          <w:p w14:paraId="27D36ECB">
            <w:pPr>
              <w:jc w:val="center"/>
              <w:rPr>
                <w:rFonts w:hint="eastAsia" w:ascii="宋体" w:hAnsi="宋体" w:cs="宋体"/>
                <w:b/>
                <w:szCs w:val="21"/>
                <w:highlight w:val="none"/>
              </w:rPr>
            </w:pPr>
          </w:p>
        </w:tc>
      </w:tr>
      <w:tr w14:paraId="43B9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7441DFD">
            <w:pPr>
              <w:jc w:val="center"/>
              <w:rPr>
                <w:rFonts w:hint="eastAsia" w:ascii="宋体" w:hAnsi="宋体" w:cs="宋体"/>
                <w:b/>
                <w:szCs w:val="21"/>
                <w:highlight w:val="none"/>
              </w:rPr>
            </w:pPr>
          </w:p>
        </w:tc>
        <w:tc>
          <w:tcPr>
            <w:tcW w:w="2067" w:type="dxa"/>
            <w:noWrap w:val="0"/>
            <w:vAlign w:val="top"/>
          </w:tcPr>
          <w:p w14:paraId="7D86D5FD">
            <w:pPr>
              <w:spacing w:line="360" w:lineRule="auto"/>
              <w:jc w:val="center"/>
              <w:rPr>
                <w:rFonts w:hint="eastAsia" w:ascii="宋体" w:hAnsi="宋体" w:cs="宋体"/>
                <w:szCs w:val="21"/>
                <w:highlight w:val="none"/>
              </w:rPr>
            </w:pPr>
          </w:p>
        </w:tc>
        <w:tc>
          <w:tcPr>
            <w:tcW w:w="1745" w:type="dxa"/>
            <w:noWrap w:val="0"/>
            <w:vAlign w:val="center"/>
          </w:tcPr>
          <w:p w14:paraId="7019047A">
            <w:pPr>
              <w:jc w:val="center"/>
              <w:rPr>
                <w:rFonts w:hint="eastAsia" w:ascii="宋体" w:hAnsi="宋体" w:cs="宋体"/>
                <w:b/>
                <w:szCs w:val="21"/>
                <w:highlight w:val="none"/>
              </w:rPr>
            </w:pPr>
          </w:p>
        </w:tc>
        <w:tc>
          <w:tcPr>
            <w:tcW w:w="1371" w:type="dxa"/>
            <w:noWrap w:val="0"/>
            <w:vAlign w:val="top"/>
          </w:tcPr>
          <w:p w14:paraId="4F73F6A0">
            <w:pPr>
              <w:jc w:val="center"/>
              <w:rPr>
                <w:rFonts w:hint="eastAsia" w:ascii="宋体" w:hAnsi="宋体" w:cs="宋体"/>
                <w:szCs w:val="21"/>
                <w:highlight w:val="none"/>
              </w:rPr>
            </w:pPr>
          </w:p>
        </w:tc>
        <w:tc>
          <w:tcPr>
            <w:tcW w:w="1638" w:type="dxa"/>
            <w:noWrap w:val="0"/>
            <w:vAlign w:val="center"/>
          </w:tcPr>
          <w:p w14:paraId="3B822CE0">
            <w:pPr>
              <w:jc w:val="center"/>
              <w:rPr>
                <w:rFonts w:hint="eastAsia" w:ascii="宋体" w:hAnsi="宋体" w:cs="宋体"/>
                <w:b/>
                <w:szCs w:val="21"/>
                <w:highlight w:val="none"/>
              </w:rPr>
            </w:pPr>
          </w:p>
        </w:tc>
        <w:tc>
          <w:tcPr>
            <w:tcW w:w="1581" w:type="dxa"/>
            <w:noWrap w:val="0"/>
            <w:vAlign w:val="center"/>
          </w:tcPr>
          <w:p w14:paraId="05EE2932">
            <w:pPr>
              <w:jc w:val="center"/>
              <w:rPr>
                <w:rFonts w:hint="eastAsia" w:ascii="宋体" w:hAnsi="宋体" w:cs="宋体"/>
                <w:b/>
                <w:szCs w:val="21"/>
                <w:highlight w:val="none"/>
              </w:rPr>
            </w:pPr>
          </w:p>
        </w:tc>
      </w:tr>
      <w:tr w14:paraId="64D5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24E6F80">
            <w:pPr>
              <w:jc w:val="center"/>
              <w:rPr>
                <w:rFonts w:hint="eastAsia" w:ascii="宋体" w:hAnsi="宋体" w:cs="宋体"/>
                <w:b/>
                <w:szCs w:val="21"/>
                <w:highlight w:val="none"/>
              </w:rPr>
            </w:pPr>
          </w:p>
        </w:tc>
        <w:tc>
          <w:tcPr>
            <w:tcW w:w="2067" w:type="dxa"/>
            <w:noWrap w:val="0"/>
            <w:vAlign w:val="top"/>
          </w:tcPr>
          <w:p w14:paraId="56A713B6">
            <w:pPr>
              <w:spacing w:line="360" w:lineRule="auto"/>
              <w:jc w:val="center"/>
              <w:rPr>
                <w:rFonts w:hint="eastAsia" w:ascii="宋体" w:hAnsi="宋体" w:cs="宋体"/>
                <w:szCs w:val="21"/>
                <w:highlight w:val="none"/>
              </w:rPr>
            </w:pPr>
          </w:p>
        </w:tc>
        <w:tc>
          <w:tcPr>
            <w:tcW w:w="1745" w:type="dxa"/>
            <w:noWrap w:val="0"/>
            <w:vAlign w:val="center"/>
          </w:tcPr>
          <w:p w14:paraId="783A6E1E">
            <w:pPr>
              <w:jc w:val="center"/>
              <w:rPr>
                <w:rFonts w:hint="eastAsia" w:ascii="宋体" w:hAnsi="宋体" w:cs="宋体"/>
                <w:b/>
                <w:szCs w:val="21"/>
                <w:highlight w:val="none"/>
              </w:rPr>
            </w:pPr>
          </w:p>
        </w:tc>
        <w:tc>
          <w:tcPr>
            <w:tcW w:w="1371" w:type="dxa"/>
            <w:noWrap w:val="0"/>
            <w:vAlign w:val="top"/>
          </w:tcPr>
          <w:p w14:paraId="42421287">
            <w:pPr>
              <w:jc w:val="center"/>
              <w:rPr>
                <w:rFonts w:hint="eastAsia" w:ascii="宋体" w:hAnsi="宋体" w:cs="宋体"/>
                <w:szCs w:val="21"/>
                <w:highlight w:val="none"/>
              </w:rPr>
            </w:pPr>
          </w:p>
        </w:tc>
        <w:tc>
          <w:tcPr>
            <w:tcW w:w="1638" w:type="dxa"/>
            <w:noWrap w:val="0"/>
            <w:vAlign w:val="center"/>
          </w:tcPr>
          <w:p w14:paraId="6E02E9E2">
            <w:pPr>
              <w:jc w:val="center"/>
              <w:rPr>
                <w:rFonts w:hint="eastAsia" w:ascii="宋体" w:hAnsi="宋体" w:cs="宋体"/>
                <w:b/>
                <w:szCs w:val="21"/>
                <w:highlight w:val="none"/>
              </w:rPr>
            </w:pPr>
          </w:p>
        </w:tc>
        <w:tc>
          <w:tcPr>
            <w:tcW w:w="1581" w:type="dxa"/>
            <w:noWrap w:val="0"/>
            <w:vAlign w:val="center"/>
          </w:tcPr>
          <w:p w14:paraId="5B9274A1">
            <w:pPr>
              <w:jc w:val="center"/>
              <w:rPr>
                <w:rFonts w:hint="eastAsia" w:ascii="宋体" w:hAnsi="宋体" w:cs="宋体"/>
                <w:b/>
                <w:szCs w:val="21"/>
                <w:highlight w:val="none"/>
              </w:rPr>
            </w:pPr>
          </w:p>
        </w:tc>
      </w:tr>
      <w:tr w14:paraId="3AA0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C7D9293">
            <w:pPr>
              <w:jc w:val="center"/>
              <w:rPr>
                <w:rFonts w:hint="eastAsia" w:ascii="宋体" w:hAnsi="宋体" w:cs="宋体"/>
                <w:b/>
                <w:szCs w:val="21"/>
                <w:highlight w:val="none"/>
              </w:rPr>
            </w:pPr>
          </w:p>
        </w:tc>
        <w:tc>
          <w:tcPr>
            <w:tcW w:w="2067" w:type="dxa"/>
            <w:noWrap w:val="0"/>
            <w:vAlign w:val="top"/>
          </w:tcPr>
          <w:p w14:paraId="4AD4263E">
            <w:pPr>
              <w:spacing w:line="360" w:lineRule="auto"/>
              <w:jc w:val="center"/>
              <w:rPr>
                <w:rFonts w:hint="eastAsia" w:ascii="宋体" w:hAnsi="宋体" w:cs="宋体"/>
                <w:szCs w:val="21"/>
                <w:highlight w:val="none"/>
              </w:rPr>
            </w:pPr>
          </w:p>
        </w:tc>
        <w:tc>
          <w:tcPr>
            <w:tcW w:w="1745" w:type="dxa"/>
            <w:noWrap w:val="0"/>
            <w:vAlign w:val="center"/>
          </w:tcPr>
          <w:p w14:paraId="0A97D0BA">
            <w:pPr>
              <w:jc w:val="center"/>
              <w:rPr>
                <w:rFonts w:hint="eastAsia" w:ascii="宋体" w:hAnsi="宋体" w:cs="宋体"/>
                <w:b/>
                <w:szCs w:val="21"/>
                <w:highlight w:val="none"/>
              </w:rPr>
            </w:pPr>
          </w:p>
        </w:tc>
        <w:tc>
          <w:tcPr>
            <w:tcW w:w="1371" w:type="dxa"/>
            <w:noWrap w:val="0"/>
            <w:vAlign w:val="top"/>
          </w:tcPr>
          <w:p w14:paraId="7CB62AC2">
            <w:pPr>
              <w:jc w:val="center"/>
              <w:rPr>
                <w:rFonts w:hint="eastAsia" w:ascii="宋体" w:hAnsi="宋体" w:cs="宋体"/>
                <w:szCs w:val="21"/>
                <w:highlight w:val="none"/>
              </w:rPr>
            </w:pPr>
          </w:p>
        </w:tc>
        <w:tc>
          <w:tcPr>
            <w:tcW w:w="1638" w:type="dxa"/>
            <w:noWrap w:val="0"/>
            <w:vAlign w:val="center"/>
          </w:tcPr>
          <w:p w14:paraId="074C527E">
            <w:pPr>
              <w:jc w:val="center"/>
              <w:rPr>
                <w:rFonts w:hint="eastAsia" w:ascii="宋体" w:hAnsi="宋体" w:cs="宋体"/>
                <w:b/>
                <w:szCs w:val="21"/>
                <w:highlight w:val="none"/>
              </w:rPr>
            </w:pPr>
          </w:p>
        </w:tc>
        <w:tc>
          <w:tcPr>
            <w:tcW w:w="1581" w:type="dxa"/>
            <w:noWrap w:val="0"/>
            <w:vAlign w:val="center"/>
          </w:tcPr>
          <w:p w14:paraId="6A8A2CA1">
            <w:pPr>
              <w:jc w:val="center"/>
              <w:rPr>
                <w:rFonts w:hint="eastAsia" w:ascii="宋体" w:hAnsi="宋体" w:cs="宋体"/>
                <w:b/>
                <w:szCs w:val="21"/>
                <w:highlight w:val="none"/>
              </w:rPr>
            </w:pPr>
          </w:p>
        </w:tc>
      </w:tr>
      <w:tr w14:paraId="0C22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E9A17CE">
            <w:pPr>
              <w:jc w:val="center"/>
              <w:rPr>
                <w:rFonts w:hint="eastAsia" w:ascii="宋体" w:hAnsi="宋体" w:cs="宋体"/>
                <w:b/>
                <w:szCs w:val="21"/>
                <w:highlight w:val="none"/>
              </w:rPr>
            </w:pPr>
          </w:p>
        </w:tc>
        <w:tc>
          <w:tcPr>
            <w:tcW w:w="2067" w:type="dxa"/>
            <w:noWrap w:val="0"/>
            <w:vAlign w:val="top"/>
          </w:tcPr>
          <w:p w14:paraId="1C9BCD2D">
            <w:pPr>
              <w:spacing w:line="360" w:lineRule="auto"/>
              <w:jc w:val="center"/>
              <w:rPr>
                <w:rFonts w:hint="eastAsia" w:ascii="宋体" w:hAnsi="宋体" w:cs="宋体"/>
                <w:szCs w:val="21"/>
                <w:highlight w:val="none"/>
              </w:rPr>
            </w:pPr>
          </w:p>
        </w:tc>
        <w:tc>
          <w:tcPr>
            <w:tcW w:w="1745" w:type="dxa"/>
            <w:noWrap w:val="0"/>
            <w:vAlign w:val="center"/>
          </w:tcPr>
          <w:p w14:paraId="2161DCE8">
            <w:pPr>
              <w:jc w:val="center"/>
              <w:rPr>
                <w:rFonts w:hint="eastAsia" w:ascii="宋体" w:hAnsi="宋体" w:cs="宋体"/>
                <w:b/>
                <w:szCs w:val="21"/>
                <w:highlight w:val="none"/>
              </w:rPr>
            </w:pPr>
          </w:p>
        </w:tc>
        <w:tc>
          <w:tcPr>
            <w:tcW w:w="1371" w:type="dxa"/>
            <w:noWrap w:val="0"/>
            <w:vAlign w:val="top"/>
          </w:tcPr>
          <w:p w14:paraId="352BB605">
            <w:pPr>
              <w:jc w:val="center"/>
              <w:rPr>
                <w:rFonts w:hint="eastAsia" w:ascii="宋体" w:hAnsi="宋体" w:cs="宋体"/>
                <w:szCs w:val="21"/>
                <w:highlight w:val="none"/>
              </w:rPr>
            </w:pPr>
          </w:p>
        </w:tc>
        <w:tc>
          <w:tcPr>
            <w:tcW w:w="1638" w:type="dxa"/>
            <w:noWrap w:val="0"/>
            <w:vAlign w:val="center"/>
          </w:tcPr>
          <w:p w14:paraId="1E64E727">
            <w:pPr>
              <w:jc w:val="center"/>
              <w:rPr>
                <w:rFonts w:hint="eastAsia" w:ascii="宋体" w:hAnsi="宋体" w:cs="宋体"/>
                <w:b/>
                <w:szCs w:val="21"/>
                <w:highlight w:val="none"/>
              </w:rPr>
            </w:pPr>
          </w:p>
        </w:tc>
        <w:tc>
          <w:tcPr>
            <w:tcW w:w="1581" w:type="dxa"/>
            <w:noWrap w:val="0"/>
            <w:vAlign w:val="center"/>
          </w:tcPr>
          <w:p w14:paraId="30416DFF">
            <w:pPr>
              <w:jc w:val="center"/>
              <w:rPr>
                <w:rFonts w:hint="eastAsia" w:ascii="宋体" w:hAnsi="宋体" w:cs="宋体"/>
                <w:b/>
                <w:szCs w:val="21"/>
                <w:highlight w:val="none"/>
              </w:rPr>
            </w:pPr>
          </w:p>
        </w:tc>
      </w:tr>
      <w:tr w14:paraId="3DCE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B112512">
            <w:pPr>
              <w:jc w:val="center"/>
              <w:rPr>
                <w:rFonts w:hint="eastAsia" w:ascii="宋体" w:hAnsi="宋体" w:cs="宋体"/>
                <w:b/>
                <w:szCs w:val="21"/>
                <w:highlight w:val="none"/>
              </w:rPr>
            </w:pPr>
          </w:p>
        </w:tc>
        <w:tc>
          <w:tcPr>
            <w:tcW w:w="2067" w:type="dxa"/>
            <w:noWrap w:val="0"/>
            <w:vAlign w:val="top"/>
          </w:tcPr>
          <w:p w14:paraId="071B526A">
            <w:pPr>
              <w:spacing w:line="360" w:lineRule="auto"/>
              <w:jc w:val="center"/>
              <w:rPr>
                <w:rFonts w:hint="eastAsia" w:ascii="宋体" w:hAnsi="宋体" w:cs="宋体"/>
                <w:szCs w:val="21"/>
                <w:highlight w:val="none"/>
              </w:rPr>
            </w:pPr>
          </w:p>
        </w:tc>
        <w:tc>
          <w:tcPr>
            <w:tcW w:w="1745" w:type="dxa"/>
            <w:noWrap w:val="0"/>
            <w:vAlign w:val="center"/>
          </w:tcPr>
          <w:p w14:paraId="1A28455D">
            <w:pPr>
              <w:jc w:val="center"/>
              <w:rPr>
                <w:rFonts w:hint="eastAsia" w:ascii="宋体" w:hAnsi="宋体" w:cs="宋体"/>
                <w:b/>
                <w:szCs w:val="21"/>
                <w:highlight w:val="none"/>
              </w:rPr>
            </w:pPr>
          </w:p>
        </w:tc>
        <w:tc>
          <w:tcPr>
            <w:tcW w:w="1371" w:type="dxa"/>
            <w:noWrap w:val="0"/>
            <w:vAlign w:val="top"/>
          </w:tcPr>
          <w:p w14:paraId="708EC3E9">
            <w:pPr>
              <w:jc w:val="center"/>
              <w:rPr>
                <w:rFonts w:hint="eastAsia" w:ascii="宋体" w:hAnsi="宋体" w:cs="宋体"/>
                <w:szCs w:val="21"/>
                <w:highlight w:val="none"/>
              </w:rPr>
            </w:pPr>
          </w:p>
        </w:tc>
        <w:tc>
          <w:tcPr>
            <w:tcW w:w="1638" w:type="dxa"/>
            <w:noWrap w:val="0"/>
            <w:vAlign w:val="center"/>
          </w:tcPr>
          <w:p w14:paraId="09066B7F">
            <w:pPr>
              <w:jc w:val="center"/>
              <w:rPr>
                <w:rFonts w:hint="eastAsia" w:ascii="宋体" w:hAnsi="宋体" w:cs="宋体"/>
                <w:b/>
                <w:szCs w:val="21"/>
                <w:highlight w:val="none"/>
              </w:rPr>
            </w:pPr>
          </w:p>
        </w:tc>
        <w:tc>
          <w:tcPr>
            <w:tcW w:w="1581" w:type="dxa"/>
            <w:noWrap w:val="0"/>
            <w:vAlign w:val="center"/>
          </w:tcPr>
          <w:p w14:paraId="2C29002D">
            <w:pPr>
              <w:jc w:val="center"/>
              <w:rPr>
                <w:rFonts w:hint="eastAsia" w:ascii="宋体" w:hAnsi="宋体" w:cs="宋体"/>
                <w:b/>
                <w:szCs w:val="21"/>
                <w:highlight w:val="none"/>
              </w:rPr>
            </w:pPr>
          </w:p>
        </w:tc>
      </w:tr>
      <w:tr w14:paraId="22E5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167034E">
            <w:pPr>
              <w:jc w:val="center"/>
              <w:rPr>
                <w:rFonts w:hint="eastAsia" w:ascii="宋体" w:hAnsi="宋体" w:cs="宋体"/>
                <w:b/>
                <w:szCs w:val="21"/>
                <w:highlight w:val="none"/>
              </w:rPr>
            </w:pPr>
          </w:p>
        </w:tc>
        <w:tc>
          <w:tcPr>
            <w:tcW w:w="2067" w:type="dxa"/>
            <w:noWrap w:val="0"/>
            <w:vAlign w:val="top"/>
          </w:tcPr>
          <w:p w14:paraId="15795B8A">
            <w:pPr>
              <w:spacing w:line="360" w:lineRule="auto"/>
              <w:jc w:val="center"/>
              <w:rPr>
                <w:rFonts w:hint="eastAsia" w:ascii="宋体" w:hAnsi="宋体" w:cs="宋体"/>
                <w:szCs w:val="21"/>
                <w:highlight w:val="none"/>
              </w:rPr>
            </w:pPr>
          </w:p>
        </w:tc>
        <w:tc>
          <w:tcPr>
            <w:tcW w:w="1745" w:type="dxa"/>
            <w:noWrap w:val="0"/>
            <w:vAlign w:val="center"/>
          </w:tcPr>
          <w:p w14:paraId="791B3C43">
            <w:pPr>
              <w:jc w:val="center"/>
              <w:rPr>
                <w:rFonts w:hint="eastAsia" w:ascii="宋体" w:hAnsi="宋体" w:cs="宋体"/>
                <w:b/>
                <w:szCs w:val="21"/>
                <w:highlight w:val="none"/>
              </w:rPr>
            </w:pPr>
          </w:p>
        </w:tc>
        <w:tc>
          <w:tcPr>
            <w:tcW w:w="1371" w:type="dxa"/>
            <w:noWrap w:val="0"/>
            <w:vAlign w:val="top"/>
          </w:tcPr>
          <w:p w14:paraId="110D4CB7">
            <w:pPr>
              <w:jc w:val="center"/>
              <w:rPr>
                <w:rFonts w:hint="eastAsia" w:ascii="宋体" w:hAnsi="宋体" w:cs="宋体"/>
                <w:szCs w:val="21"/>
                <w:highlight w:val="none"/>
              </w:rPr>
            </w:pPr>
          </w:p>
        </w:tc>
        <w:tc>
          <w:tcPr>
            <w:tcW w:w="1638" w:type="dxa"/>
            <w:noWrap w:val="0"/>
            <w:vAlign w:val="center"/>
          </w:tcPr>
          <w:p w14:paraId="4FC56F26">
            <w:pPr>
              <w:jc w:val="center"/>
              <w:rPr>
                <w:rFonts w:hint="eastAsia" w:ascii="宋体" w:hAnsi="宋体" w:cs="宋体"/>
                <w:b/>
                <w:szCs w:val="21"/>
                <w:highlight w:val="none"/>
              </w:rPr>
            </w:pPr>
          </w:p>
        </w:tc>
        <w:tc>
          <w:tcPr>
            <w:tcW w:w="1581" w:type="dxa"/>
            <w:noWrap w:val="0"/>
            <w:vAlign w:val="center"/>
          </w:tcPr>
          <w:p w14:paraId="7714F55B">
            <w:pPr>
              <w:jc w:val="center"/>
              <w:rPr>
                <w:rFonts w:hint="eastAsia" w:ascii="宋体" w:hAnsi="宋体" w:cs="宋体"/>
                <w:b/>
                <w:szCs w:val="21"/>
                <w:highlight w:val="none"/>
              </w:rPr>
            </w:pPr>
          </w:p>
        </w:tc>
      </w:tr>
      <w:tr w14:paraId="35CA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744" w:type="dxa"/>
            <w:gridSpan w:val="5"/>
            <w:noWrap w:val="0"/>
            <w:vAlign w:val="center"/>
          </w:tcPr>
          <w:p w14:paraId="316C2B1C">
            <w:pPr>
              <w:jc w:val="left"/>
              <w:rPr>
                <w:rFonts w:hint="eastAsia" w:ascii="宋体" w:hAnsi="宋体" w:cs="宋体"/>
                <w:b/>
                <w:szCs w:val="21"/>
                <w:highlight w:val="none"/>
              </w:rPr>
            </w:pPr>
            <w:r>
              <w:rPr>
                <w:rFonts w:hint="eastAsia" w:ascii="宋体" w:hAnsi="宋体" w:cs="宋体"/>
                <w:b/>
                <w:szCs w:val="21"/>
                <w:highlight w:val="none"/>
              </w:rPr>
              <w:t>合计大写（人民币）：</w:t>
            </w:r>
          </w:p>
        </w:tc>
        <w:tc>
          <w:tcPr>
            <w:tcW w:w="1581" w:type="dxa"/>
            <w:noWrap w:val="0"/>
            <w:vAlign w:val="center"/>
          </w:tcPr>
          <w:p w14:paraId="0894797B">
            <w:pPr>
              <w:jc w:val="left"/>
              <w:rPr>
                <w:rFonts w:hint="eastAsia" w:ascii="宋体" w:hAnsi="宋体" w:cs="宋体"/>
                <w:b/>
                <w:szCs w:val="21"/>
                <w:highlight w:val="none"/>
              </w:rPr>
            </w:pPr>
            <w:r>
              <w:rPr>
                <w:rFonts w:hint="eastAsia" w:ascii="宋体" w:hAnsi="宋体" w:cs="宋体"/>
                <w:b/>
                <w:szCs w:val="21"/>
                <w:highlight w:val="none"/>
              </w:rPr>
              <w:t>￥：</w:t>
            </w:r>
          </w:p>
        </w:tc>
      </w:tr>
    </w:tbl>
    <w:p w14:paraId="2179C72D">
      <w:pPr>
        <w:pStyle w:val="12"/>
        <w:spacing w:line="360" w:lineRule="auto"/>
        <w:ind w:firstLine="210" w:firstLineChars="100"/>
        <w:rPr>
          <w:rFonts w:hint="eastAsia" w:hAnsi="宋体" w:cs="宋体"/>
          <w:bCs/>
          <w:szCs w:val="21"/>
          <w:highlight w:val="none"/>
        </w:rPr>
      </w:pPr>
      <w:r>
        <w:rPr>
          <w:rFonts w:hint="eastAsia" w:hAnsi="宋体" w:cs="宋体"/>
          <w:bCs/>
          <w:szCs w:val="21"/>
          <w:highlight w:val="none"/>
        </w:rPr>
        <w:t xml:space="preserve">投标人： </w:t>
      </w:r>
      <w:r>
        <w:rPr>
          <w:rFonts w:hint="eastAsia" w:hAnsi="宋体" w:cs="宋体"/>
          <w:bCs/>
          <w:szCs w:val="21"/>
          <w:highlight w:val="none"/>
          <w:u w:val="single"/>
          <w:lang w:val="en-US" w:eastAsia="zh-CN"/>
        </w:rPr>
        <w:t xml:space="preserve">        </w:t>
      </w:r>
      <w:r>
        <w:rPr>
          <w:rFonts w:hint="eastAsia" w:hAnsi="宋体" w:cs="宋体"/>
          <w:bCs/>
          <w:szCs w:val="21"/>
          <w:highlight w:val="none"/>
        </w:rPr>
        <w:t>（盖章）</w:t>
      </w:r>
    </w:p>
    <w:p w14:paraId="5F9DF1BD">
      <w:pPr>
        <w:pStyle w:val="12"/>
        <w:spacing w:line="360" w:lineRule="auto"/>
        <w:ind w:firstLine="210" w:firstLineChars="100"/>
        <w:rPr>
          <w:rFonts w:hint="eastAsia" w:hAnsi="宋体" w:cs="宋体"/>
          <w:bCs/>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hAnsi="宋体" w:cs="宋体"/>
          <w:bCs/>
          <w:szCs w:val="21"/>
          <w:highlight w:val="none"/>
        </w:rPr>
        <w:t>：（签字或盖章）</w:t>
      </w:r>
      <w:r>
        <w:rPr>
          <w:rFonts w:hint="eastAsia" w:hAnsi="宋体" w:cs="宋体"/>
          <w:bCs/>
          <w:szCs w:val="21"/>
          <w:highlight w:val="none"/>
          <w:lang w:val="en-US" w:eastAsia="zh-CN"/>
        </w:rPr>
        <w:t xml:space="preserve"> </w:t>
      </w:r>
      <w:r>
        <w:rPr>
          <w:rFonts w:hint="eastAsia" w:hAnsi="宋体" w:cs="宋体"/>
          <w:bCs/>
          <w:szCs w:val="21"/>
          <w:highlight w:val="none"/>
          <w:u w:val="single"/>
          <w:lang w:val="en-US" w:eastAsia="zh-CN"/>
        </w:rPr>
        <w:t xml:space="preserve">       </w:t>
      </w:r>
      <w:r>
        <w:rPr>
          <w:rFonts w:hint="eastAsia" w:hAnsi="宋体" w:cs="宋体"/>
          <w:bCs/>
          <w:szCs w:val="21"/>
          <w:highlight w:val="none"/>
          <w:u w:val="single"/>
        </w:rPr>
        <w:t xml:space="preserve"> </w:t>
      </w:r>
      <w:r>
        <w:rPr>
          <w:rFonts w:hint="eastAsia" w:hAnsi="宋体" w:cs="宋体"/>
          <w:bCs/>
          <w:szCs w:val="21"/>
          <w:highlight w:val="none"/>
        </w:rPr>
        <w:t xml:space="preserve">    </w:t>
      </w:r>
    </w:p>
    <w:p w14:paraId="3C9974DA">
      <w:pPr>
        <w:pStyle w:val="12"/>
        <w:spacing w:line="360" w:lineRule="auto"/>
        <w:ind w:firstLine="210" w:firstLineChars="100"/>
        <w:rPr>
          <w:rFonts w:hint="eastAsia" w:hAnsi="宋体" w:cs="宋体"/>
          <w:bCs/>
          <w:szCs w:val="21"/>
          <w:highlight w:val="none"/>
          <w:u w:val="single"/>
        </w:rPr>
      </w:pPr>
      <w:r>
        <w:rPr>
          <w:rFonts w:hint="eastAsia" w:hAnsi="宋体" w:cs="宋体"/>
          <w:bCs/>
          <w:szCs w:val="21"/>
          <w:highlight w:val="none"/>
        </w:rPr>
        <w:t>日 期：</w:t>
      </w:r>
    </w:p>
    <w:p w14:paraId="3ACC1EC2">
      <w:pPr>
        <w:spacing w:line="450" w:lineRule="atLeast"/>
        <w:jc w:val="left"/>
        <w:rPr>
          <w:rFonts w:hint="eastAsia" w:ascii="宋体" w:hAnsi="宋体" w:cs="宋体"/>
          <w:bCs/>
          <w:sz w:val="23"/>
          <w:highlight w:val="none"/>
        </w:rPr>
        <w:sectPr>
          <w:pgSz w:w="11906" w:h="16838"/>
          <w:pgMar w:top="1134" w:right="1134" w:bottom="1134" w:left="1701" w:header="850" w:footer="737" w:gutter="0"/>
          <w:cols w:space="720" w:num="1"/>
          <w:titlePg/>
          <w:docGrid w:linePitch="490" w:charSpace="0"/>
        </w:sectPr>
      </w:pPr>
    </w:p>
    <w:p w14:paraId="0BD9BE38">
      <w:pPr>
        <w:adjustRightInd w:val="0"/>
        <w:snapToGrid w:val="0"/>
        <w:spacing w:line="360" w:lineRule="auto"/>
        <w:outlineLvl w:val="1"/>
        <w:rPr>
          <w:rFonts w:hint="eastAsia" w:ascii="宋体" w:hAnsi="宋体" w:cs="宋体"/>
          <w:highlight w:val="none"/>
        </w:rPr>
      </w:pPr>
    </w:p>
    <w:p w14:paraId="51642DA1">
      <w:pPr>
        <w:adjustRightInd w:val="0"/>
        <w:snapToGrid w:val="0"/>
        <w:spacing w:line="360" w:lineRule="auto"/>
        <w:jc w:val="center"/>
        <w:outlineLvl w:val="1"/>
        <w:rPr>
          <w:rFonts w:hint="eastAsia" w:ascii="宋体" w:hAnsi="宋体" w:cs="宋体"/>
          <w:b/>
          <w:sz w:val="36"/>
          <w:highlight w:val="none"/>
        </w:rPr>
      </w:pPr>
      <w:r>
        <w:rPr>
          <w:rFonts w:hint="eastAsia" w:ascii="宋体" w:hAnsi="宋体" w:cs="宋体"/>
          <w:b/>
          <w:sz w:val="36"/>
          <w:highlight w:val="none"/>
        </w:rPr>
        <w:t>（二）技术偏离表</w:t>
      </w:r>
    </w:p>
    <w:p w14:paraId="270D733F">
      <w:pPr>
        <w:pStyle w:val="12"/>
        <w:spacing w:line="360" w:lineRule="auto"/>
        <w:ind w:firstLine="482" w:firstLineChars="200"/>
        <w:rPr>
          <w:rFonts w:hint="eastAsia" w:hAnsi="宋体" w:cs="宋体"/>
          <w:b/>
          <w:sz w:val="24"/>
          <w:highlight w:val="none"/>
        </w:rPr>
      </w:pPr>
      <w:r>
        <w:rPr>
          <w:rFonts w:hint="eastAsia" w:hAnsi="宋体" w:cs="宋体"/>
          <w:b/>
          <w:sz w:val="24"/>
          <w:highlight w:val="none"/>
        </w:rPr>
        <w:t>项目名称：</w:t>
      </w:r>
    </w:p>
    <w:p w14:paraId="4B923294">
      <w:pPr>
        <w:pStyle w:val="12"/>
        <w:ind w:firstLine="482" w:firstLineChars="200"/>
        <w:rPr>
          <w:rFonts w:hint="eastAsia" w:hAnsi="宋体" w:cs="宋体"/>
          <w:b/>
          <w:sz w:val="24"/>
          <w:highlight w:val="none"/>
        </w:rPr>
      </w:pPr>
      <w:r>
        <w:rPr>
          <w:rFonts w:hint="eastAsia" w:hAnsi="宋体" w:cs="宋体"/>
          <w:b/>
          <w:sz w:val="24"/>
          <w:highlight w:val="none"/>
        </w:rPr>
        <w:t>项目编号：</w:t>
      </w:r>
    </w:p>
    <w:tbl>
      <w:tblPr>
        <w:tblStyle w:val="24"/>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3519"/>
        <w:gridCol w:w="1987"/>
      </w:tblGrid>
      <w:tr w14:paraId="04E4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0" w:type="dxa"/>
            <w:noWrap w:val="0"/>
            <w:vAlign w:val="center"/>
          </w:tcPr>
          <w:p w14:paraId="4F8E85A7">
            <w:pPr>
              <w:adjustRightInd w:val="0"/>
              <w:snapToGrid w:val="0"/>
              <w:jc w:val="center"/>
              <w:rPr>
                <w:rFonts w:hint="eastAsia" w:ascii="宋体" w:hAnsi="宋体" w:cs="宋体"/>
                <w:b/>
                <w:sz w:val="24"/>
                <w:highlight w:val="none"/>
              </w:rPr>
            </w:pPr>
            <w:r>
              <w:rPr>
                <w:rFonts w:hint="eastAsia" w:ascii="宋体" w:hAnsi="宋体" w:cs="宋体"/>
                <w:b/>
                <w:sz w:val="24"/>
                <w:highlight w:val="none"/>
              </w:rPr>
              <w:t>序 号</w:t>
            </w:r>
          </w:p>
        </w:tc>
        <w:tc>
          <w:tcPr>
            <w:tcW w:w="3010" w:type="dxa"/>
            <w:noWrap w:val="0"/>
            <w:vAlign w:val="center"/>
          </w:tcPr>
          <w:p w14:paraId="52DC86E7">
            <w:pPr>
              <w:adjustRightInd w:val="0"/>
              <w:snapToGrid w:val="0"/>
              <w:jc w:val="center"/>
              <w:rPr>
                <w:rFonts w:hint="eastAsia" w:ascii="宋体" w:hAnsi="宋体" w:cs="宋体"/>
                <w:b/>
                <w:sz w:val="24"/>
                <w:highlight w:val="none"/>
              </w:rPr>
            </w:pPr>
            <w:r>
              <w:rPr>
                <w:rFonts w:hint="eastAsia" w:ascii="宋体" w:hAnsi="宋体" w:cs="宋体"/>
                <w:b/>
                <w:sz w:val="24"/>
                <w:highlight w:val="none"/>
              </w:rPr>
              <w:t>招标文件采购需求参数</w:t>
            </w:r>
          </w:p>
        </w:tc>
        <w:tc>
          <w:tcPr>
            <w:tcW w:w="3519" w:type="dxa"/>
            <w:noWrap w:val="0"/>
            <w:vAlign w:val="center"/>
          </w:tcPr>
          <w:p w14:paraId="31A71833">
            <w:pPr>
              <w:adjustRightInd w:val="0"/>
              <w:snapToGrid w:val="0"/>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投标单位所提供产品参数</w:t>
            </w:r>
          </w:p>
        </w:tc>
        <w:tc>
          <w:tcPr>
            <w:tcW w:w="1987" w:type="dxa"/>
            <w:noWrap w:val="0"/>
            <w:vAlign w:val="center"/>
          </w:tcPr>
          <w:p w14:paraId="51557A14">
            <w:pPr>
              <w:adjustRightInd w:val="0"/>
              <w:snapToGrid w:val="0"/>
              <w:jc w:val="center"/>
              <w:rPr>
                <w:rFonts w:hint="eastAsia" w:ascii="宋体" w:hAnsi="宋体" w:cs="宋体"/>
                <w:b/>
                <w:sz w:val="24"/>
                <w:highlight w:val="none"/>
              </w:rPr>
            </w:pPr>
            <w:r>
              <w:rPr>
                <w:rFonts w:hint="eastAsia" w:ascii="宋体" w:hAnsi="宋体" w:cs="宋体"/>
                <w:b/>
                <w:sz w:val="24"/>
                <w:highlight w:val="none"/>
              </w:rPr>
              <w:t>是否偏离</w:t>
            </w:r>
          </w:p>
        </w:tc>
      </w:tr>
      <w:tr w14:paraId="2964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0" w:type="dxa"/>
            <w:noWrap w:val="0"/>
            <w:vAlign w:val="center"/>
          </w:tcPr>
          <w:p w14:paraId="6AC81A10">
            <w:pPr>
              <w:adjustRightInd w:val="0"/>
              <w:snapToGrid w:val="0"/>
              <w:jc w:val="center"/>
              <w:rPr>
                <w:rFonts w:hint="eastAsia" w:ascii="宋体" w:hAnsi="宋体" w:cs="宋体"/>
                <w:b/>
                <w:sz w:val="24"/>
                <w:highlight w:val="none"/>
              </w:rPr>
            </w:pPr>
            <w:r>
              <w:rPr>
                <w:rFonts w:hint="eastAsia" w:ascii="宋体" w:hAnsi="宋体" w:cs="宋体"/>
                <w:b/>
                <w:sz w:val="24"/>
                <w:highlight w:val="none"/>
              </w:rPr>
              <w:t>1</w:t>
            </w:r>
          </w:p>
        </w:tc>
        <w:tc>
          <w:tcPr>
            <w:tcW w:w="3010" w:type="dxa"/>
            <w:noWrap w:val="0"/>
            <w:vAlign w:val="center"/>
          </w:tcPr>
          <w:p w14:paraId="73738B92">
            <w:pPr>
              <w:adjustRightInd w:val="0"/>
              <w:snapToGrid w:val="0"/>
              <w:jc w:val="center"/>
              <w:rPr>
                <w:rFonts w:hint="eastAsia" w:ascii="宋体" w:hAnsi="宋体" w:cs="宋体"/>
                <w:b/>
                <w:sz w:val="24"/>
                <w:highlight w:val="none"/>
              </w:rPr>
            </w:pPr>
          </w:p>
        </w:tc>
        <w:tc>
          <w:tcPr>
            <w:tcW w:w="3519" w:type="dxa"/>
            <w:noWrap w:val="0"/>
            <w:vAlign w:val="center"/>
          </w:tcPr>
          <w:p w14:paraId="1445A8DB">
            <w:pPr>
              <w:adjustRightInd w:val="0"/>
              <w:snapToGrid w:val="0"/>
              <w:jc w:val="center"/>
              <w:rPr>
                <w:rFonts w:hint="eastAsia" w:ascii="宋体" w:hAnsi="宋体" w:cs="宋体"/>
                <w:b/>
                <w:sz w:val="24"/>
                <w:highlight w:val="none"/>
              </w:rPr>
            </w:pPr>
          </w:p>
        </w:tc>
        <w:tc>
          <w:tcPr>
            <w:tcW w:w="1987" w:type="dxa"/>
            <w:noWrap w:val="0"/>
            <w:vAlign w:val="center"/>
          </w:tcPr>
          <w:p w14:paraId="445817E6">
            <w:pPr>
              <w:adjustRightInd w:val="0"/>
              <w:snapToGrid w:val="0"/>
              <w:jc w:val="center"/>
              <w:rPr>
                <w:rFonts w:hint="eastAsia" w:ascii="宋体" w:hAnsi="宋体" w:cs="宋体"/>
                <w:b/>
                <w:sz w:val="24"/>
                <w:highlight w:val="none"/>
              </w:rPr>
            </w:pPr>
          </w:p>
        </w:tc>
      </w:tr>
      <w:tr w14:paraId="520A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93EC52E">
            <w:pPr>
              <w:adjustRightInd w:val="0"/>
              <w:snapToGrid w:val="0"/>
              <w:jc w:val="center"/>
              <w:rPr>
                <w:rFonts w:hint="eastAsia" w:ascii="宋体" w:hAnsi="宋体" w:cs="宋体"/>
                <w:b/>
                <w:sz w:val="24"/>
                <w:highlight w:val="none"/>
              </w:rPr>
            </w:pPr>
            <w:r>
              <w:rPr>
                <w:rFonts w:hint="eastAsia" w:ascii="宋体" w:hAnsi="宋体" w:cs="宋体"/>
                <w:b/>
                <w:sz w:val="24"/>
                <w:highlight w:val="none"/>
              </w:rPr>
              <w:t>2</w:t>
            </w:r>
          </w:p>
        </w:tc>
        <w:tc>
          <w:tcPr>
            <w:tcW w:w="3010" w:type="dxa"/>
            <w:noWrap w:val="0"/>
            <w:vAlign w:val="center"/>
          </w:tcPr>
          <w:p w14:paraId="7FA6A9C4">
            <w:pPr>
              <w:adjustRightInd w:val="0"/>
              <w:snapToGrid w:val="0"/>
              <w:jc w:val="center"/>
              <w:rPr>
                <w:rFonts w:hint="eastAsia" w:ascii="宋体" w:hAnsi="宋体" w:cs="宋体"/>
                <w:b/>
                <w:sz w:val="24"/>
                <w:highlight w:val="none"/>
              </w:rPr>
            </w:pPr>
          </w:p>
        </w:tc>
        <w:tc>
          <w:tcPr>
            <w:tcW w:w="3519" w:type="dxa"/>
            <w:noWrap w:val="0"/>
            <w:vAlign w:val="center"/>
          </w:tcPr>
          <w:p w14:paraId="0B18C03E">
            <w:pPr>
              <w:adjustRightInd w:val="0"/>
              <w:snapToGrid w:val="0"/>
              <w:jc w:val="center"/>
              <w:rPr>
                <w:rFonts w:hint="eastAsia" w:ascii="宋体" w:hAnsi="宋体" w:cs="宋体"/>
                <w:b/>
                <w:sz w:val="24"/>
                <w:highlight w:val="none"/>
              </w:rPr>
            </w:pPr>
          </w:p>
        </w:tc>
        <w:tc>
          <w:tcPr>
            <w:tcW w:w="1987" w:type="dxa"/>
            <w:noWrap w:val="0"/>
            <w:vAlign w:val="center"/>
          </w:tcPr>
          <w:p w14:paraId="38FA1053">
            <w:pPr>
              <w:adjustRightInd w:val="0"/>
              <w:snapToGrid w:val="0"/>
              <w:jc w:val="center"/>
              <w:rPr>
                <w:rFonts w:hint="eastAsia" w:ascii="宋体" w:hAnsi="宋体" w:cs="宋体"/>
                <w:b/>
                <w:sz w:val="24"/>
                <w:highlight w:val="none"/>
              </w:rPr>
            </w:pPr>
          </w:p>
        </w:tc>
      </w:tr>
      <w:tr w14:paraId="486A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64F2F835">
            <w:pPr>
              <w:adjustRightInd w:val="0"/>
              <w:snapToGrid w:val="0"/>
              <w:jc w:val="center"/>
              <w:rPr>
                <w:rFonts w:hint="eastAsia" w:ascii="宋体" w:hAnsi="宋体" w:cs="宋体"/>
                <w:b/>
                <w:sz w:val="24"/>
                <w:highlight w:val="none"/>
              </w:rPr>
            </w:pPr>
            <w:r>
              <w:rPr>
                <w:rFonts w:hint="eastAsia" w:ascii="宋体" w:hAnsi="宋体" w:cs="宋体"/>
                <w:b/>
                <w:sz w:val="24"/>
                <w:highlight w:val="none"/>
              </w:rPr>
              <w:t>3</w:t>
            </w:r>
          </w:p>
        </w:tc>
        <w:tc>
          <w:tcPr>
            <w:tcW w:w="3010" w:type="dxa"/>
            <w:noWrap w:val="0"/>
            <w:vAlign w:val="center"/>
          </w:tcPr>
          <w:p w14:paraId="057101E4">
            <w:pPr>
              <w:adjustRightInd w:val="0"/>
              <w:snapToGrid w:val="0"/>
              <w:jc w:val="center"/>
              <w:rPr>
                <w:rFonts w:hint="eastAsia" w:ascii="宋体" w:hAnsi="宋体" w:cs="宋体"/>
                <w:b/>
                <w:sz w:val="24"/>
                <w:highlight w:val="none"/>
              </w:rPr>
            </w:pPr>
          </w:p>
        </w:tc>
        <w:tc>
          <w:tcPr>
            <w:tcW w:w="3519" w:type="dxa"/>
            <w:noWrap w:val="0"/>
            <w:vAlign w:val="center"/>
          </w:tcPr>
          <w:p w14:paraId="67DDD5FE">
            <w:pPr>
              <w:adjustRightInd w:val="0"/>
              <w:snapToGrid w:val="0"/>
              <w:jc w:val="center"/>
              <w:rPr>
                <w:rFonts w:hint="eastAsia" w:ascii="宋体" w:hAnsi="宋体" w:cs="宋体"/>
                <w:b/>
                <w:sz w:val="24"/>
                <w:highlight w:val="none"/>
              </w:rPr>
            </w:pPr>
          </w:p>
        </w:tc>
        <w:tc>
          <w:tcPr>
            <w:tcW w:w="1987" w:type="dxa"/>
            <w:noWrap w:val="0"/>
            <w:vAlign w:val="center"/>
          </w:tcPr>
          <w:p w14:paraId="7D5790A5">
            <w:pPr>
              <w:adjustRightInd w:val="0"/>
              <w:snapToGrid w:val="0"/>
              <w:jc w:val="center"/>
              <w:rPr>
                <w:rFonts w:hint="eastAsia" w:ascii="宋体" w:hAnsi="宋体" w:cs="宋体"/>
                <w:b/>
                <w:sz w:val="24"/>
                <w:highlight w:val="none"/>
              </w:rPr>
            </w:pPr>
          </w:p>
        </w:tc>
      </w:tr>
      <w:tr w14:paraId="0577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8340634">
            <w:pPr>
              <w:adjustRightInd w:val="0"/>
              <w:snapToGrid w:val="0"/>
              <w:jc w:val="center"/>
              <w:rPr>
                <w:rFonts w:hint="eastAsia" w:ascii="宋体" w:hAnsi="宋体" w:cs="宋体"/>
                <w:b/>
                <w:sz w:val="24"/>
                <w:highlight w:val="none"/>
              </w:rPr>
            </w:pPr>
            <w:r>
              <w:rPr>
                <w:rFonts w:hint="eastAsia" w:ascii="宋体" w:hAnsi="宋体" w:cs="宋体"/>
                <w:b/>
                <w:sz w:val="24"/>
                <w:highlight w:val="none"/>
              </w:rPr>
              <w:t>4</w:t>
            </w:r>
          </w:p>
        </w:tc>
        <w:tc>
          <w:tcPr>
            <w:tcW w:w="3010" w:type="dxa"/>
            <w:noWrap w:val="0"/>
            <w:vAlign w:val="center"/>
          </w:tcPr>
          <w:p w14:paraId="4C859E83">
            <w:pPr>
              <w:adjustRightInd w:val="0"/>
              <w:snapToGrid w:val="0"/>
              <w:jc w:val="center"/>
              <w:rPr>
                <w:rFonts w:hint="eastAsia" w:ascii="宋体" w:hAnsi="宋体" w:cs="宋体"/>
                <w:b/>
                <w:sz w:val="24"/>
                <w:highlight w:val="none"/>
              </w:rPr>
            </w:pPr>
          </w:p>
        </w:tc>
        <w:tc>
          <w:tcPr>
            <w:tcW w:w="3519" w:type="dxa"/>
            <w:noWrap w:val="0"/>
            <w:vAlign w:val="center"/>
          </w:tcPr>
          <w:p w14:paraId="15F00384">
            <w:pPr>
              <w:adjustRightInd w:val="0"/>
              <w:snapToGrid w:val="0"/>
              <w:jc w:val="center"/>
              <w:rPr>
                <w:rFonts w:hint="eastAsia" w:ascii="宋体" w:hAnsi="宋体" w:cs="宋体"/>
                <w:b/>
                <w:sz w:val="24"/>
                <w:highlight w:val="none"/>
              </w:rPr>
            </w:pPr>
          </w:p>
        </w:tc>
        <w:tc>
          <w:tcPr>
            <w:tcW w:w="1987" w:type="dxa"/>
            <w:noWrap w:val="0"/>
            <w:vAlign w:val="center"/>
          </w:tcPr>
          <w:p w14:paraId="19732142">
            <w:pPr>
              <w:adjustRightInd w:val="0"/>
              <w:snapToGrid w:val="0"/>
              <w:jc w:val="center"/>
              <w:rPr>
                <w:rFonts w:hint="eastAsia" w:ascii="宋体" w:hAnsi="宋体" w:cs="宋体"/>
                <w:b/>
                <w:sz w:val="24"/>
                <w:highlight w:val="none"/>
              </w:rPr>
            </w:pPr>
          </w:p>
        </w:tc>
      </w:tr>
      <w:tr w14:paraId="0DB4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EF6F5CD">
            <w:pPr>
              <w:adjustRightInd w:val="0"/>
              <w:snapToGrid w:val="0"/>
              <w:jc w:val="center"/>
              <w:rPr>
                <w:rFonts w:hint="eastAsia" w:ascii="宋体" w:hAnsi="宋体" w:cs="宋体"/>
                <w:b/>
                <w:sz w:val="24"/>
                <w:highlight w:val="none"/>
              </w:rPr>
            </w:pPr>
            <w:r>
              <w:rPr>
                <w:rFonts w:hint="eastAsia" w:ascii="宋体" w:hAnsi="宋体" w:cs="宋体"/>
                <w:b/>
                <w:sz w:val="24"/>
                <w:highlight w:val="none"/>
              </w:rPr>
              <w:t>5</w:t>
            </w:r>
          </w:p>
        </w:tc>
        <w:tc>
          <w:tcPr>
            <w:tcW w:w="3010" w:type="dxa"/>
            <w:noWrap w:val="0"/>
            <w:vAlign w:val="center"/>
          </w:tcPr>
          <w:p w14:paraId="11334ACB">
            <w:pPr>
              <w:adjustRightInd w:val="0"/>
              <w:snapToGrid w:val="0"/>
              <w:jc w:val="center"/>
              <w:rPr>
                <w:rFonts w:hint="eastAsia" w:ascii="宋体" w:hAnsi="宋体" w:cs="宋体"/>
                <w:b/>
                <w:sz w:val="24"/>
                <w:highlight w:val="none"/>
              </w:rPr>
            </w:pPr>
          </w:p>
        </w:tc>
        <w:tc>
          <w:tcPr>
            <w:tcW w:w="3519" w:type="dxa"/>
            <w:noWrap w:val="0"/>
            <w:vAlign w:val="center"/>
          </w:tcPr>
          <w:p w14:paraId="235AAEF3">
            <w:pPr>
              <w:adjustRightInd w:val="0"/>
              <w:snapToGrid w:val="0"/>
              <w:jc w:val="center"/>
              <w:rPr>
                <w:rFonts w:hint="eastAsia" w:ascii="宋体" w:hAnsi="宋体" w:cs="宋体"/>
                <w:b/>
                <w:sz w:val="24"/>
                <w:highlight w:val="none"/>
              </w:rPr>
            </w:pPr>
          </w:p>
        </w:tc>
        <w:tc>
          <w:tcPr>
            <w:tcW w:w="1987" w:type="dxa"/>
            <w:noWrap w:val="0"/>
            <w:vAlign w:val="center"/>
          </w:tcPr>
          <w:p w14:paraId="403610A7">
            <w:pPr>
              <w:adjustRightInd w:val="0"/>
              <w:snapToGrid w:val="0"/>
              <w:jc w:val="center"/>
              <w:rPr>
                <w:rFonts w:hint="eastAsia" w:ascii="宋体" w:hAnsi="宋体" w:cs="宋体"/>
                <w:b/>
                <w:sz w:val="24"/>
                <w:highlight w:val="none"/>
              </w:rPr>
            </w:pPr>
          </w:p>
        </w:tc>
      </w:tr>
      <w:tr w14:paraId="7920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FDBF064">
            <w:pPr>
              <w:adjustRightInd w:val="0"/>
              <w:snapToGrid w:val="0"/>
              <w:jc w:val="center"/>
              <w:rPr>
                <w:rFonts w:hint="eastAsia" w:ascii="宋体" w:hAnsi="宋体" w:cs="宋体"/>
                <w:b/>
                <w:sz w:val="24"/>
                <w:highlight w:val="none"/>
              </w:rPr>
            </w:pPr>
            <w:r>
              <w:rPr>
                <w:rFonts w:hint="eastAsia" w:ascii="宋体" w:hAnsi="宋体" w:cs="宋体"/>
                <w:b/>
                <w:sz w:val="24"/>
                <w:highlight w:val="none"/>
              </w:rPr>
              <w:t>6</w:t>
            </w:r>
          </w:p>
        </w:tc>
        <w:tc>
          <w:tcPr>
            <w:tcW w:w="3010" w:type="dxa"/>
            <w:noWrap w:val="0"/>
            <w:vAlign w:val="center"/>
          </w:tcPr>
          <w:p w14:paraId="023242D3">
            <w:pPr>
              <w:adjustRightInd w:val="0"/>
              <w:snapToGrid w:val="0"/>
              <w:jc w:val="center"/>
              <w:rPr>
                <w:rFonts w:hint="eastAsia" w:ascii="宋体" w:hAnsi="宋体" w:cs="宋体"/>
                <w:b/>
                <w:sz w:val="24"/>
                <w:highlight w:val="none"/>
              </w:rPr>
            </w:pPr>
          </w:p>
        </w:tc>
        <w:tc>
          <w:tcPr>
            <w:tcW w:w="3519" w:type="dxa"/>
            <w:noWrap w:val="0"/>
            <w:vAlign w:val="center"/>
          </w:tcPr>
          <w:p w14:paraId="067E905C">
            <w:pPr>
              <w:adjustRightInd w:val="0"/>
              <w:snapToGrid w:val="0"/>
              <w:jc w:val="center"/>
              <w:rPr>
                <w:rFonts w:hint="eastAsia" w:ascii="宋体" w:hAnsi="宋体" w:cs="宋体"/>
                <w:b/>
                <w:sz w:val="24"/>
                <w:highlight w:val="none"/>
              </w:rPr>
            </w:pPr>
          </w:p>
        </w:tc>
        <w:tc>
          <w:tcPr>
            <w:tcW w:w="1987" w:type="dxa"/>
            <w:noWrap w:val="0"/>
            <w:vAlign w:val="center"/>
          </w:tcPr>
          <w:p w14:paraId="19AE5773">
            <w:pPr>
              <w:adjustRightInd w:val="0"/>
              <w:snapToGrid w:val="0"/>
              <w:jc w:val="center"/>
              <w:rPr>
                <w:rFonts w:hint="eastAsia" w:ascii="宋体" w:hAnsi="宋体" w:cs="宋体"/>
                <w:b/>
                <w:sz w:val="24"/>
                <w:highlight w:val="none"/>
              </w:rPr>
            </w:pPr>
          </w:p>
        </w:tc>
      </w:tr>
      <w:tr w14:paraId="376B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6E3DD6D">
            <w:pPr>
              <w:adjustRightInd w:val="0"/>
              <w:snapToGrid w:val="0"/>
              <w:jc w:val="center"/>
              <w:rPr>
                <w:rFonts w:hint="eastAsia" w:ascii="宋体" w:hAnsi="宋体" w:cs="宋体"/>
                <w:b/>
                <w:sz w:val="24"/>
                <w:highlight w:val="none"/>
              </w:rPr>
            </w:pPr>
            <w:r>
              <w:rPr>
                <w:rFonts w:hint="eastAsia" w:ascii="宋体" w:hAnsi="宋体" w:cs="宋体"/>
                <w:b/>
                <w:sz w:val="24"/>
                <w:highlight w:val="none"/>
              </w:rPr>
              <w:t>7</w:t>
            </w:r>
          </w:p>
        </w:tc>
        <w:tc>
          <w:tcPr>
            <w:tcW w:w="3010" w:type="dxa"/>
            <w:noWrap w:val="0"/>
            <w:vAlign w:val="center"/>
          </w:tcPr>
          <w:p w14:paraId="02AD4D22">
            <w:pPr>
              <w:adjustRightInd w:val="0"/>
              <w:snapToGrid w:val="0"/>
              <w:jc w:val="center"/>
              <w:rPr>
                <w:rFonts w:hint="eastAsia" w:ascii="宋体" w:hAnsi="宋体" w:cs="宋体"/>
                <w:b/>
                <w:sz w:val="24"/>
                <w:highlight w:val="none"/>
              </w:rPr>
            </w:pPr>
          </w:p>
        </w:tc>
        <w:tc>
          <w:tcPr>
            <w:tcW w:w="3519" w:type="dxa"/>
            <w:noWrap w:val="0"/>
            <w:vAlign w:val="center"/>
          </w:tcPr>
          <w:p w14:paraId="28A27246">
            <w:pPr>
              <w:adjustRightInd w:val="0"/>
              <w:snapToGrid w:val="0"/>
              <w:jc w:val="center"/>
              <w:rPr>
                <w:rFonts w:hint="eastAsia" w:ascii="宋体" w:hAnsi="宋体" w:cs="宋体"/>
                <w:b/>
                <w:sz w:val="24"/>
                <w:highlight w:val="none"/>
              </w:rPr>
            </w:pPr>
          </w:p>
        </w:tc>
        <w:tc>
          <w:tcPr>
            <w:tcW w:w="1987" w:type="dxa"/>
            <w:noWrap w:val="0"/>
            <w:vAlign w:val="center"/>
          </w:tcPr>
          <w:p w14:paraId="3733E148">
            <w:pPr>
              <w:adjustRightInd w:val="0"/>
              <w:snapToGrid w:val="0"/>
              <w:jc w:val="center"/>
              <w:rPr>
                <w:rFonts w:hint="eastAsia" w:ascii="宋体" w:hAnsi="宋体" w:cs="宋体"/>
                <w:b/>
                <w:sz w:val="24"/>
                <w:highlight w:val="none"/>
              </w:rPr>
            </w:pPr>
          </w:p>
        </w:tc>
      </w:tr>
      <w:tr w14:paraId="7910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6B926C36">
            <w:pPr>
              <w:adjustRightInd w:val="0"/>
              <w:snapToGrid w:val="0"/>
              <w:jc w:val="center"/>
              <w:rPr>
                <w:rFonts w:hint="eastAsia" w:ascii="宋体" w:hAnsi="宋体" w:cs="宋体"/>
                <w:b/>
                <w:sz w:val="24"/>
                <w:highlight w:val="none"/>
              </w:rPr>
            </w:pPr>
            <w:r>
              <w:rPr>
                <w:rFonts w:hint="eastAsia" w:ascii="宋体" w:hAnsi="宋体" w:cs="宋体"/>
                <w:b/>
                <w:sz w:val="24"/>
                <w:highlight w:val="none"/>
              </w:rPr>
              <w:t>8</w:t>
            </w:r>
          </w:p>
        </w:tc>
        <w:tc>
          <w:tcPr>
            <w:tcW w:w="3010" w:type="dxa"/>
            <w:noWrap w:val="0"/>
            <w:vAlign w:val="center"/>
          </w:tcPr>
          <w:p w14:paraId="365BE3ED">
            <w:pPr>
              <w:adjustRightInd w:val="0"/>
              <w:snapToGrid w:val="0"/>
              <w:jc w:val="center"/>
              <w:rPr>
                <w:rFonts w:hint="eastAsia" w:ascii="宋体" w:hAnsi="宋体" w:cs="宋体"/>
                <w:b/>
                <w:sz w:val="24"/>
                <w:highlight w:val="none"/>
              </w:rPr>
            </w:pPr>
          </w:p>
        </w:tc>
        <w:tc>
          <w:tcPr>
            <w:tcW w:w="3519" w:type="dxa"/>
            <w:noWrap w:val="0"/>
            <w:vAlign w:val="center"/>
          </w:tcPr>
          <w:p w14:paraId="49046D56">
            <w:pPr>
              <w:adjustRightInd w:val="0"/>
              <w:snapToGrid w:val="0"/>
              <w:jc w:val="center"/>
              <w:rPr>
                <w:rFonts w:hint="eastAsia" w:ascii="宋体" w:hAnsi="宋体" w:cs="宋体"/>
                <w:b/>
                <w:sz w:val="24"/>
                <w:highlight w:val="none"/>
              </w:rPr>
            </w:pPr>
          </w:p>
        </w:tc>
        <w:tc>
          <w:tcPr>
            <w:tcW w:w="1987" w:type="dxa"/>
            <w:noWrap w:val="0"/>
            <w:vAlign w:val="center"/>
          </w:tcPr>
          <w:p w14:paraId="01FD98D5">
            <w:pPr>
              <w:adjustRightInd w:val="0"/>
              <w:snapToGrid w:val="0"/>
              <w:jc w:val="center"/>
              <w:rPr>
                <w:rFonts w:hint="eastAsia" w:ascii="宋体" w:hAnsi="宋体" w:cs="宋体"/>
                <w:b/>
                <w:sz w:val="24"/>
                <w:highlight w:val="none"/>
              </w:rPr>
            </w:pPr>
          </w:p>
        </w:tc>
      </w:tr>
      <w:tr w14:paraId="15D4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5E1D943">
            <w:pPr>
              <w:adjustRightInd w:val="0"/>
              <w:snapToGrid w:val="0"/>
              <w:jc w:val="center"/>
              <w:rPr>
                <w:rFonts w:hint="eastAsia" w:ascii="宋体" w:hAnsi="宋体" w:cs="宋体"/>
                <w:b/>
                <w:sz w:val="24"/>
                <w:highlight w:val="none"/>
              </w:rPr>
            </w:pPr>
            <w:r>
              <w:rPr>
                <w:rFonts w:hint="eastAsia" w:ascii="宋体" w:hAnsi="宋体" w:cs="宋体"/>
                <w:b/>
                <w:sz w:val="24"/>
                <w:highlight w:val="none"/>
              </w:rPr>
              <w:t>9</w:t>
            </w:r>
          </w:p>
        </w:tc>
        <w:tc>
          <w:tcPr>
            <w:tcW w:w="3010" w:type="dxa"/>
            <w:noWrap w:val="0"/>
            <w:vAlign w:val="center"/>
          </w:tcPr>
          <w:p w14:paraId="20EECFF6">
            <w:pPr>
              <w:adjustRightInd w:val="0"/>
              <w:snapToGrid w:val="0"/>
              <w:jc w:val="center"/>
              <w:rPr>
                <w:rFonts w:hint="eastAsia" w:ascii="宋体" w:hAnsi="宋体" w:cs="宋体"/>
                <w:b/>
                <w:sz w:val="24"/>
                <w:highlight w:val="none"/>
              </w:rPr>
            </w:pPr>
          </w:p>
        </w:tc>
        <w:tc>
          <w:tcPr>
            <w:tcW w:w="3519" w:type="dxa"/>
            <w:noWrap w:val="0"/>
            <w:vAlign w:val="center"/>
          </w:tcPr>
          <w:p w14:paraId="02BC84E3">
            <w:pPr>
              <w:adjustRightInd w:val="0"/>
              <w:snapToGrid w:val="0"/>
              <w:jc w:val="center"/>
              <w:rPr>
                <w:rFonts w:hint="eastAsia" w:ascii="宋体" w:hAnsi="宋体" w:cs="宋体"/>
                <w:b/>
                <w:sz w:val="24"/>
                <w:highlight w:val="none"/>
              </w:rPr>
            </w:pPr>
          </w:p>
        </w:tc>
        <w:tc>
          <w:tcPr>
            <w:tcW w:w="1987" w:type="dxa"/>
            <w:noWrap w:val="0"/>
            <w:vAlign w:val="center"/>
          </w:tcPr>
          <w:p w14:paraId="66EA13FE">
            <w:pPr>
              <w:adjustRightInd w:val="0"/>
              <w:snapToGrid w:val="0"/>
              <w:jc w:val="center"/>
              <w:rPr>
                <w:rFonts w:hint="eastAsia" w:ascii="宋体" w:hAnsi="宋体" w:cs="宋体"/>
                <w:b/>
                <w:sz w:val="24"/>
                <w:highlight w:val="none"/>
              </w:rPr>
            </w:pPr>
          </w:p>
        </w:tc>
      </w:tr>
      <w:tr w14:paraId="5600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ADB38FF">
            <w:pPr>
              <w:adjustRightInd w:val="0"/>
              <w:snapToGrid w:val="0"/>
              <w:jc w:val="center"/>
              <w:rPr>
                <w:rFonts w:hint="eastAsia" w:ascii="宋体" w:hAnsi="宋体" w:cs="宋体"/>
                <w:b/>
                <w:sz w:val="24"/>
                <w:highlight w:val="none"/>
              </w:rPr>
            </w:pPr>
            <w:r>
              <w:rPr>
                <w:rFonts w:hint="eastAsia" w:ascii="宋体" w:hAnsi="宋体" w:cs="宋体"/>
                <w:b/>
                <w:sz w:val="24"/>
                <w:highlight w:val="none"/>
              </w:rPr>
              <w:t>10</w:t>
            </w:r>
          </w:p>
        </w:tc>
        <w:tc>
          <w:tcPr>
            <w:tcW w:w="3010" w:type="dxa"/>
            <w:noWrap w:val="0"/>
            <w:vAlign w:val="center"/>
          </w:tcPr>
          <w:p w14:paraId="26314637">
            <w:pPr>
              <w:adjustRightInd w:val="0"/>
              <w:snapToGrid w:val="0"/>
              <w:jc w:val="center"/>
              <w:rPr>
                <w:rFonts w:hint="eastAsia" w:ascii="宋体" w:hAnsi="宋体" w:cs="宋体"/>
                <w:b/>
                <w:sz w:val="24"/>
                <w:highlight w:val="none"/>
              </w:rPr>
            </w:pPr>
          </w:p>
        </w:tc>
        <w:tc>
          <w:tcPr>
            <w:tcW w:w="3519" w:type="dxa"/>
            <w:noWrap w:val="0"/>
            <w:vAlign w:val="center"/>
          </w:tcPr>
          <w:p w14:paraId="64343706">
            <w:pPr>
              <w:adjustRightInd w:val="0"/>
              <w:snapToGrid w:val="0"/>
              <w:jc w:val="center"/>
              <w:rPr>
                <w:rFonts w:hint="eastAsia" w:ascii="宋体" w:hAnsi="宋体" w:cs="宋体"/>
                <w:b/>
                <w:sz w:val="24"/>
                <w:highlight w:val="none"/>
              </w:rPr>
            </w:pPr>
          </w:p>
        </w:tc>
        <w:tc>
          <w:tcPr>
            <w:tcW w:w="1987" w:type="dxa"/>
            <w:noWrap w:val="0"/>
            <w:vAlign w:val="center"/>
          </w:tcPr>
          <w:p w14:paraId="2A2721BB">
            <w:pPr>
              <w:adjustRightInd w:val="0"/>
              <w:snapToGrid w:val="0"/>
              <w:jc w:val="center"/>
              <w:rPr>
                <w:rFonts w:hint="eastAsia" w:ascii="宋体" w:hAnsi="宋体" w:cs="宋体"/>
                <w:b/>
                <w:sz w:val="24"/>
                <w:highlight w:val="none"/>
              </w:rPr>
            </w:pPr>
          </w:p>
        </w:tc>
      </w:tr>
      <w:tr w14:paraId="6206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99100D4">
            <w:pPr>
              <w:adjustRightInd w:val="0"/>
              <w:snapToGrid w:val="0"/>
              <w:jc w:val="center"/>
              <w:rPr>
                <w:rFonts w:hint="eastAsia" w:ascii="宋体" w:hAnsi="宋体" w:cs="宋体"/>
                <w:b/>
                <w:sz w:val="24"/>
                <w:highlight w:val="none"/>
              </w:rPr>
            </w:pPr>
            <w:r>
              <w:rPr>
                <w:rFonts w:hint="eastAsia" w:ascii="宋体" w:hAnsi="宋体" w:cs="宋体"/>
                <w:b/>
                <w:sz w:val="24"/>
                <w:highlight w:val="none"/>
              </w:rPr>
              <w:t>11</w:t>
            </w:r>
          </w:p>
        </w:tc>
        <w:tc>
          <w:tcPr>
            <w:tcW w:w="3010" w:type="dxa"/>
            <w:noWrap w:val="0"/>
            <w:vAlign w:val="center"/>
          </w:tcPr>
          <w:p w14:paraId="7D0F7E01">
            <w:pPr>
              <w:adjustRightInd w:val="0"/>
              <w:snapToGrid w:val="0"/>
              <w:jc w:val="center"/>
              <w:rPr>
                <w:rFonts w:hint="eastAsia" w:ascii="宋体" w:hAnsi="宋体" w:cs="宋体"/>
                <w:b/>
                <w:sz w:val="24"/>
                <w:highlight w:val="none"/>
              </w:rPr>
            </w:pPr>
          </w:p>
        </w:tc>
        <w:tc>
          <w:tcPr>
            <w:tcW w:w="3519" w:type="dxa"/>
            <w:noWrap w:val="0"/>
            <w:vAlign w:val="center"/>
          </w:tcPr>
          <w:p w14:paraId="20CF6F81">
            <w:pPr>
              <w:adjustRightInd w:val="0"/>
              <w:snapToGrid w:val="0"/>
              <w:jc w:val="center"/>
              <w:rPr>
                <w:rFonts w:hint="eastAsia" w:ascii="宋体" w:hAnsi="宋体" w:cs="宋体"/>
                <w:b/>
                <w:sz w:val="24"/>
                <w:highlight w:val="none"/>
              </w:rPr>
            </w:pPr>
          </w:p>
        </w:tc>
        <w:tc>
          <w:tcPr>
            <w:tcW w:w="1987" w:type="dxa"/>
            <w:noWrap w:val="0"/>
            <w:vAlign w:val="center"/>
          </w:tcPr>
          <w:p w14:paraId="5826BF94">
            <w:pPr>
              <w:adjustRightInd w:val="0"/>
              <w:snapToGrid w:val="0"/>
              <w:jc w:val="center"/>
              <w:rPr>
                <w:rFonts w:hint="eastAsia" w:ascii="宋体" w:hAnsi="宋体" w:cs="宋体"/>
                <w:b/>
                <w:sz w:val="24"/>
                <w:highlight w:val="none"/>
              </w:rPr>
            </w:pPr>
          </w:p>
        </w:tc>
      </w:tr>
      <w:tr w14:paraId="02A2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1D4121F">
            <w:pPr>
              <w:adjustRightInd w:val="0"/>
              <w:snapToGrid w:val="0"/>
              <w:jc w:val="center"/>
              <w:rPr>
                <w:rFonts w:hint="eastAsia" w:ascii="宋体" w:hAnsi="宋体" w:cs="宋体"/>
                <w:b/>
                <w:sz w:val="24"/>
                <w:highlight w:val="none"/>
              </w:rPr>
            </w:pPr>
            <w:r>
              <w:rPr>
                <w:rFonts w:hint="eastAsia" w:ascii="宋体" w:hAnsi="宋体" w:cs="宋体"/>
                <w:b/>
                <w:sz w:val="24"/>
                <w:highlight w:val="none"/>
              </w:rPr>
              <w:t>12</w:t>
            </w:r>
          </w:p>
        </w:tc>
        <w:tc>
          <w:tcPr>
            <w:tcW w:w="3010" w:type="dxa"/>
            <w:noWrap w:val="0"/>
            <w:vAlign w:val="center"/>
          </w:tcPr>
          <w:p w14:paraId="6D6F6A44">
            <w:pPr>
              <w:adjustRightInd w:val="0"/>
              <w:snapToGrid w:val="0"/>
              <w:jc w:val="center"/>
              <w:rPr>
                <w:rFonts w:hint="eastAsia" w:ascii="宋体" w:hAnsi="宋体" w:cs="宋体"/>
                <w:b/>
                <w:sz w:val="24"/>
                <w:highlight w:val="none"/>
              </w:rPr>
            </w:pPr>
          </w:p>
        </w:tc>
        <w:tc>
          <w:tcPr>
            <w:tcW w:w="3519" w:type="dxa"/>
            <w:noWrap w:val="0"/>
            <w:vAlign w:val="center"/>
          </w:tcPr>
          <w:p w14:paraId="0F1932FA">
            <w:pPr>
              <w:adjustRightInd w:val="0"/>
              <w:snapToGrid w:val="0"/>
              <w:jc w:val="center"/>
              <w:rPr>
                <w:rFonts w:hint="eastAsia" w:ascii="宋体" w:hAnsi="宋体" w:cs="宋体"/>
                <w:b/>
                <w:sz w:val="24"/>
                <w:highlight w:val="none"/>
              </w:rPr>
            </w:pPr>
          </w:p>
        </w:tc>
        <w:tc>
          <w:tcPr>
            <w:tcW w:w="1987" w:type="dxa"/>
            <w:noWrap w:val="0"/>
            <w:vAlign w:val="center"/>
          </w:tcPr>
          <w:p w14:paraId="6613A27F">
            <w:pPr>
              <w:adjustRightInd w:val="0"/>
              <w:snapToGrid w:val="0"/>
              <w:jc w:val="center"/>
              <w:rPr>
                <w:rFonts w:hint="eastAsia" w:ascii="宋体" w:hAnsi="宋体" w:cs="宋体"/>
                <w:b/>
                <w:sz w:val="24"/>
                <w:highlight w:val="none"/>
              </w:rPr>
            </w:pPr>
          </w:p>
        </w:tc>
      </w:tr>
    </w:tbl>
    <w:p w14:paraId="6D229402">
      <w:pPr>
        <w:rPr>
          <w:rFonts w:hint="eastAsia" w:ascii="宋体" w:hAnsi="宋体" w:eastAsia="宋体" w:cs="宋体"/>
          <w:b/>
          <w:bCs/>
          <w:sz w:val="32"/>
          <w:szCs w:val="48"/>
          <w:highlight w:val="none"/>
        </w:rPr>
      </w:pPr>
    </w:p>
    <w:p w14:paraId="046997C1">
      <w:pPr>
        <w:tabs>
          <w:tab w:val="left" w:pos="720"/>
        </w:tabs>
        <w:jc w:val="center"/>
        <w:outlineLvl w:val="9"/>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t xml:space="preserve"> </w:t>
      </w:r>
    </w:p>
    <w:p w14:paraId="1B6FF36E">
      <w:pPr>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br w:type="page"/>
      </w:r>
    </w:p>
    <w:p w14:paraId="2F9C58A2">
      <w:pPr>
        <w:autoSpaceDE w:val="0"/>
        <w:autoSpaceDN w:val="0"/>
        <w:adjustRightInd w:val="0"/>
        <w:spacing w:line="360" w:lineRule="auto"/>
        <w:jc w:val="center"/>
        <w:rPr>
          <w:rFonts w:hint="eastAsia" w:ascii="宋体" w:hAnsi="宋体" w:eastAsia="宋体" w:cs="宋体"/>
          <w:b/>
          <w:sz w:val="32"/>
          <w:highlight w:val="none"/>
          <w:lang w:val="zh-CN"/>
        </w:rPr>
      </w:pPr>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5D165211">
      <w:pPr>
        <w:autoSpaceDE w:val="0"/>
        <w:autoSpaceDN w:val="0"/>
        <w:adjustRightInd w:val="0"/>
        <w:spacing w:line="360" w:lineRule="auto"/>
        <w:rPr>
          <w:rFonts w:hint="eastAsia" w:ascii="宋体" w:hAnsi="宋体" w:eastAsia="宋体" w:cs="宋体"/>
          <w:b/>
          <w:sz w:val="24"/>
          <w:highlight w:val="none"/>
          <w:lang w:val="zh-CN"/>
        </w:rPr>
      </w:pPr>
    </w:p>
    <w:p w14:paraId="55DFC5D9">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7C4048BD">
      <w:pPr>
        <w:tabs>
          <w:tab w:val="left" w:pos="720"/>
        </w:tabs>
        <w:jc w:val="center"/>
        <w:outlineLvl w:val="9"/>
        <w:rPr>
          <w:rFonts w:hint="eastAsia" w:ascii="宋体" w:hAnsi="宋体" w:eastAsia="宋体" w:cs="宋体"/>
          <w:b/>
          <w:bCs/>
          <w:sz w:val="32"/>
          <w:szCs w:val="48"/>
          <w:highlight w:val="none"/>
        </w:rPr>
      </w:pPr>
    </w:p>
    <w:p w14:paraId="1C0EBDA4">
      <w:pPr>
        <w:autoSpaceDE w:val="0"/>
        <w:autoSpaceDN w:val="0"/>
        <w:adjustRightInd w:val="0"/>
        <w:rPr>
          <w:rFonts w:hint="eastAsia" w:ascii="宋体" w:hAnsi="宋体" w:cs="宋体"/>
          <w:b/>
          <w:sz w:val="24"/>
          <w:highlight w:val="none"/>
          <w:lang w:val="zh-CN"/>
        </w:rPr>
      </w:pPr>
      <w:r>
        <w:rPr>
          <w:rFonts w:hint="eastAsia" w:ascii="宋体" w:hAnsi="宋体" w:eastAsia="宋体" w:cs="宋体"/>
          <w:b/>
          <w:bCs/>
          <w:sz w:val="32"/>
          <w:szCs w:val="48"/>
          <w:highlight w:val="none"/>
        </w:rPr>
        <w:br w:type="page"/>
      </w:r>
    </w:p>
    <w:p w14:paraId="7C73FA90">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59"/>
      <w:bookmarkEnd w:id="60"/>
      <w:bookmarkEnd w:id="61"/>
      <w:r>
        <w:rPr>
          <w:rFonts w:hint="eastAsia" w:ascii="宋体" w:hAnsi="宋体" w:cs="宋体"/>
          <w:b/>
          <w:bCs/>
          <w:sz w:val="32"/>
          <w:szCs w:val="48"/>
          <w:highlight w:val="none"/>
          <w:lang w:val="en-US" w:eastAsia="zh-CN"/>
        </w:rPr>
        <w:t>项目核心团队成员</w:t>
      </w:r>
    </w:p>
    <w:p w14:paraId="1B80A8D3">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4"/>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6890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5D65F05A">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059B24DB">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0B041D7A">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28FD87CF">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4F4127C3">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1A1EB206">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299CE078">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047A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2709AB5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626BAD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5C67F7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AB1D23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5327B0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9479D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BC2D7ED">
            <w:pPr>
              <w:spacing w:line="360" w:lineRule="auto"/>
              <w:jc w:val="both"/>
              <w:rPr>
                <w:rFonts w:hint="eastAsia" w:ascii="宋体" w:hAnsi="宋体" w:eastAsia="宋体" w:cs="宋体"/>
                <w:b w:val="0"/>
                <w:sz w:val="21"/>
                <w:szCs w:val="21"/>
                <w:highlight w:val="none"/>
              </w:rPr>
            </w:pPr>
          </w:p>
        </w:tc>
      </w:tr>
      <w:tr w14:paraId="56DA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70EB5E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6A4EC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262EB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9C7136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E0B294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89A28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654B701">
            <w:pPr>
              <w:spacing w:line="360" w:lineRule="auto"/>
              <w:jc w:val="both"/>
              <w:rPr>
                <w:rFonts w:hint="eastAsia" w:ascii="宋体" w:hAnsi="宋体" w:eastAsia="宋体" w:cs="宋体"/>
                <w:b w:val="0"/>
                <w:sz w:val="21"/>
                <w:szCs w:val="21"/>
                <w:highlight w:val="none"/>
              </w:rPr>
            </w:pPr>
          </w:p>
        </w:tc>
      </w:tr>
      <w:tr w14:paraId="4E17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FB84E1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6014B6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B26DE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E6D04F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B704D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85672F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1AFFB95">
            <w:pPr>
              <w:spacing w:line="360" w:lineRule="auto"/>
              <w:jc w:val="both"/>
              <w:rPr>
                <w:rFonts w:hint="eastAsia" w:ascii="宋体" w:hAnsi="宋体" w:eastAsia="宋体" w:cs="宋体"/>
                <w:b w:val="0"/>
                <w:sz w:val="21"/>
                <w:szCs w:val="21"/>
                <w:highlight w:val="none"/>
              </w:rPr>
            </w:pPr>
          </w:p>
        </w:tc>
      </w:tr>
      <w:tr w14:paraId="0B4B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4D2EFC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2A68D9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7E866B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FA2DF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78E0E2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2D4A17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943539D">
            <w:pPr>
              <w:spacing w:line="360" w:lineRule="auto"/>
              <w:jc w:val="both"/>
              <w:rPr>
                <w:rFonts w:hint="eastAsia" w:ascii="宋体" w:hAnsi="宋体" w:eastAsia="宋体" w:cs="宋体"/>
                <w:b w:val="0"/>
                <w:sz w:val="21"/>
                <w:szCs w:val="21"/>
                <w:highlight w:val="none"/>
              </w:rPr>
            </w:pPr>
          </w:p>
        </w:tc>
      </w:tr>
      <w:tr w14:paraId="6AFC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0C13FD4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0E2A0D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50140D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6FFA7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A2C55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D25A94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3FDD236">
            <w:pPr>
              <w:spacing w:line="360" w:lineRule="auto"/>
              <w:jc w:val="both"/>
              <w:rPr>
                <w:rFonts w:hint="eastAsia" w:ascii="宋体" w:hAnsi="宋体" w:eastAsia="宋体" w:cs="宋体"/>
                <w:b w:val="0"/>
                <w:sz w:val="21"/>
                <w:szCs w:val="21"/>
                <w:highlight w:val="none"/>
              </w:rPr>
            </w:pPr>
          </w:p>
        </w:tc>
      </w:tr>
      <w:tr w14:paraId="1150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CDEF97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D15F16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7FF4EF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8398E2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397C34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C92566">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F000878">
            <w:pPr>
              <w:spacing w:line="360" w:lineRule="auto"/>
              <w:jc w:val="both"/>
              <w:rPr>
                <w:rFonts w:hint="eastAsia" w:ascii="宋体" w:hAnsi="宋体" w:eastAsia="宋体" w:cs="宋体"/>
                <w:b w:val="0"/>
                <w:sz w:val="21"/>
                <w:szCs w:val="21"/>
                <w:highlight w:val="none"/>
              </w:rPr>
            </w:pPr>
          </w:p>
        </w:tc>
      </w:tr>
      <w:tr w14:paraId="5894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5F97BF9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2F4A9E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387013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4D0A9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5DE2B8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A39974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F41E030">
            <w:pPr>
              <w:spacing w:line="360" w:lineRule="auto"/>
              <w:jc w:val="both"/>
              <w:rPr>
                <w:rFonts w:hint="eastAsia" w:ascii="宋体" w:hAnsi="宋体" w:eastAsia="宋体" w:cs="宋体"/>
                <w:b w:val="0"/>
                <w:sz w:val="21"/>
                <w:szCs w:val="21"/>
                <w:highlight w:val="none"/>
              </w:rPr>
            </w:pPr>
          </w:p>
        </w:tc>
      </w:tr>
      <w:tr w14:paraId="4EAC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0F526D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50465A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2B96C9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9743E6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144F3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0E3A33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23B5FD9">
            <w:pPr>
              <w:spacing w:line="360" w:lineRule="auto"/>
              <w:jc w:val="both"/>
              <w:rPr>
                <w:rFonts w:hint="eastAsia" w:ascii="宋体" w:hAnsi="宋体" w:eastAsia="宋体" w:cs="宋体"/>
                <w:b w:val="0"/>
                <w:sz w:val="21"/>
                <w:szCs w:val="21"/>
                <w:highlight w:val="none"/>
              </w:rPr>
            </w:pPr>
          </w:p>
        </w:tc>
      </w:tr>
      <w:tr w14:paraId="7478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547831C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34941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9278E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7407EC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F116A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515955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E341104">
            <w:pPr>
              <w:spacing w:line="360" w:lineRule="auto"/>
              <w:jc w:val="both"/>
              <w:rPr>
                <w:rFonts w:hint="eastAsia" w:ascii="宋体" w:hAnsi="宋体" w:eastAsia="宋体" w:cs="宋体"/>
                <w:b w:val="0"/>
                <w:sz w:val="21"/>
                <w:szCs w:val="21"/>
                <w:highlight w:val="none"/>
              </w:rPr>
            </w:pPr>
          </w:p>
        </w:tc>
      </w:tr>
      <w:tr w14:paraId="6E69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7994D74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3B2B2E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7CED58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11754B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6AE44E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7B4388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37E0C57">
            <w:pPr>
              <w:spacing w:line="360" w:lineRule="auto"/>
              <w:jc w:val="both"/>
              <w:rPr>
                <w:rFonts w:hint="eastAsia" w:ascii="宋体" w:hAnsi="宋体" w:eastAsia="宋体" w:cs="宋体"/>
                <w:b w:val="0"/>
                <w:sz w:val="21"/>
                <w:szCs w:val="21"/>
                <w:highlight w:val="none"/>
              </w:rPr>
            </w:pPr>
          </w:p>
        </w:tc>
      </w:tr>
      <w:tr w14:paraId="36DC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64217EB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9622AA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44D098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3BB89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34DEDF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CA7578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35D43B55">
            <w:pPr>
              <w:spacing w:line="360" w:lineRule="auto"/>
              <w:jc w:val="both"/>
              <w:rPr>
                <w:rFonts w:hint="eastAsia" w:ascii="宋体" w:hAnsi="宋体" w:eastAsia="宋体" w:cs="宋体"/>
                <w:b w:val="0"/>
                <w:sz w:val="21"/>
                <w:szCs w:val="21"/>
                <w:highlight w:val="none"/>
              </w:rPr>
            </w:pPr>
          </w:p>
        </w:tc>
      </w:tr>
      <w:tr w14:paraId="5D7E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71F1A23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68E026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98318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C4F6A3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1E9308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388DBEB">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05AE09D">
            <w:pPr>
              <w:spacing w:line="360" w:lineRule="auto"/>
              <w:jc w:val="both"/>
              <w:rPr>
                <w:rFonts w:hint="eastAsia" w:ascii="宋体" w:hAnsi="宋体" w:eastAsia="宋体" w:cs="宋体"/>
                <w:b w:val="0"/>
                <w:sz w:val="21"/>
                <w:szCs w:val="21"/>
                <w:highlight w:val="none"/>
              </w:rPr>
            </w:pPr>
          </w:p>
        </w:tc>
      </w:tr>
      <w:tr w14:paraId="69F3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2D161C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CAEF0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14F63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70E6D3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719E9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0A3539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4B130AB">
            <w:pPr>
              <w:spacing w:line="360" w:lineRule="auto"/>
              <w:jc w:val="both"/>
              <w:rPr>
                <w:rFonts w:hint="eastAsia" w:ascii="宋体" w:hAnsi="宋体" w:eastAsia="宋体" w:cs="宋体"/>
                <w:b w:val="0"/>
                <w:sz w:val="21"/>
                <w:szCs w:val="21"/>
                <w:highlight w:val="none"/>
              </w:rPr>
            </w:pPr>
          </w:p>
        </w:tc>
      </w:tr>
    </w:tbl>
    <w:p w14:paraId="0EC11AFD">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78A845EE">
      <w:pPr>
        <w:tabs>
          <w:tab w:val="left" w:pos="720"/>
        </w:tabs>
        <w:ind w:left="0" w:firstLine="0"/>
        <w:jc w:val="center"/>
        <w:outlineLvl w:val="9"/>
        <w:rPr>
          <w:rFonts w:hint="eastAsia" w:ascii="宋体" w:hAnsi="宋体" w:eastAsia="宋体" w:cs="宋体"/>
          <w:b/>
          <w:bCs/>
          <w:sz w:val="32"/>
          <w:szCs w:val="48"/>
          <w:highlight w:val="none"/>
        </w:rPr>
      </w:pPr>
      <w:bookmarkStart w:id="62" w:name="_Toc184635147"/>
      <w:bookmarkStart w:id="63" w:name="_Toc382396579"/>
      <w:bookmarkStart w:id="64" w:name="_Toc3912"/>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62"/>
      <w:bookmarkEnd w:id="63"/>
      <w:bookmarkEnd w:id="64"/>
    </w:p>
    <w:p w14:paraId="5B1F4ED1">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22BF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3087A981">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35FC3E8A">
            <w:pPr>
              <w:spacing w:line="300" w:lineRule="exact"/>
              <w:rPr>
                <w:rFonts w:hint="eastAsia" w:ascii="宋体" w:hAnsi="宋体" w:eastAsia="宋体" w:cs="宋体"/>
                <w:b w:val="0"/>
                <w:sz w:val="21"/>
                <w:szCs w:val="21"/>
                <w:highlight w:val="none"/>
              </w:rPr>
            </w:pPr>
          </w:p>
        </w:tc>
      </w:tr>
      <w:tr w14:paraId="1AEC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5959B08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6101B38A">
            <w:pPr>
              <w:spacing w:line="300" w:lineRule="exact"/>
              <w:rPr>
                <w:rFonts w:hint="eastAsia" w:ascii="宋体" w:hAnsi="宋体" w:eastAsia="宋体" w:cs="宋体"/>
                <w:b w:val="0"/>
                <w:sz w:val="21"/>
                <w:szCs w:val="21"/>
                <w:highlight w:val="none"/>
              </w:rPr>
            </w:pPr>
          </w:p>
        </w:tc>
        <w:tc>
          <w:tcPr>
            <w:tcW w:w="1089" w:type="dxa"/>
            <w:noWrap w:val="0"/>
            <w:vAlign w:val="center"/>
          </w:tcPr>
          <w:p w14:paraId="0D1F684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0F17077B">
            <w:pPr>
              <w:spacing w:line="300" w:lineRule="exact"/>
              <w:rPr>
                <w:rFonts w:hint="eastAsia" w:ascii="宋体" w:hAnsi="宋体" w:eastAsia="宋体" w:cs="宋体"/>
                <w:b w:val="0"/>
                <w:sz w:val="21"/>
                <w:szCs w:val="21"/>
                <w:highlight w:val="none"/>
              </w:rPr>
            </w:pPr>
          </w:p>
        </w:tc>
      </w:tr>
      <w:tr w14:paraId="436A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143F93B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554E739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0A39AEDB">
            <w:pPr>
              <w:spacing w:line="300" w:lineRule="exact"/>
              <w:rPr>
                <w:rFonts w:hint="eastAsia" w:ascii="宋体" w:hAnsi="宋体" w:eastAsia="宋体" w:cs="宋体"/>
                <w:b w:val="0"/>
                <w:sz w:val="21"/>
                <w:szCs w:val="21"/>
                <w:highlight w:val="none"/>
              </w:rPr>
            </w:pPr>
          </w:p>
        </w:tc>
        <w:tc>
          <w:tcPr>
            <w:tcW w:w="1089" w:type="dxa"/>
            <w:noWrap w:val="0"/>
            <w:vAlign w:val="center"/>
          </w:tcPr>
          <w:p w14:paraId="6E7E914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6067B44F">
            <w:pPr>
              <w:spacing w:line="300" w:lineRule="exact"/>
              <w:rPr>
                <w:rFonts w:hint="eastAsia" w:ascii="宋体" w:hAnsi="宋体" w:eastAsia="宋体" w:cs="宋体"/>
                <w:b w:val="0"/>
                <w:sz w:val="21"/>
                <w:szCs w:val="21"/>
                <w:highlight w:val="none"/>
              </w:rPr>
            </w:pPr>
          </w:p>
        </w:tc>
      </w:tr>
      <w:tr w14:paraId="424B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285C382D">
            <w:pPr>
              <w:spacing w:line="300" w:lineRule="exact"/>
              <w:rPr>
                <w:rFonts w:hint="eastAsia" w:ascii="宋体" w:hAnsi="宋体" w:eastAsia="宋体" w:cs="宋体"/>
                <w:b w:val="0"/>
                <w:sz w:val="21"/>
                <w:szCs w:val="21"/>
                <w:highlight w:val="none"/>
              </w:rPr>
            </w:pPr>
          </w:p>
        </w:tc>
        <w:tc>
          <w:tcPr>
            <w:tcW w:w="1077" w:type="dxa"/>
            <w:noWrap w:val="0"/>
            <w:vAlign w:val="center"/>
          </w:tcPr>
          <w:p w14:paraId="15F1F9C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21BFD41C">
            <w:pPr>
              <w:spacing w:line="300" w:lineRule="exact"/>
              <w:rPr>
                <w:rFonts w:hint="eastAsia" w:ascii="宋体" w:hAnsi="宋体" w:eastAsia="宋体" w:cs="宋体"/>
                <w:b w:val="0"/>
                <w:sz w:val="21"/>
                <w:szCs w:val="21"/>
                <w:highlight w:val="none"/>
              </w:rPr>
            </w:pPr>
          </w:p>
        </w:tc>
        <w:tc>
          <w:tcPr>
            <w:tcW w:w="1089" w:type="dxa"/>
            <w:noWrap w:val="0"/>
            <w:vAlign w:val="center"/>
          </w:tcPr>
          <w:p w14:paraId="1CC7C26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296EE82A">
            <w:pPr>
              <w:spacing w:line="300" w:lineRule="exact"/>
              <w:rPr>
                <w:rFonts w:hint="eastAsia" w:ascii="宋体" w:hAnsi="宋体" w:eastAsia="宋体" w:cs="宋体"/>
                <w:b w:val="0"/>
                <w:sz w:val="21"/>
                <w:szCs w:val="21"/>
                <w:highlight w:val="none"/>
              </w:rPr>
            </w:pPr>
          </w:p>
        </w:tc>
      </w:tr>
      <w:tr w14:paraId="7F86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691B341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4568A420">
            <w:pPr>
              <w:spacing w:line="300" w:lineRule="exact"/>
              <w:rPr>
                <w:rFonts w:hint="eastAsia" w:ascii="宋体" w:hAnsi="宋体" w:eastAsia="宋体" w:cs="宋体"/>
                <w:b w:val="0"/>
                <w:sz w:val="21"/>
                <w:szCs w:val="21"/>
                <w:highlight w:val="none"/>
              </w:rPr>
            </w:pPr>
          </w:p>
        </w:tc>
      </w:tr>
      <w:tr w14:paraId="6256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41A7F62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1082BD9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553945DF">
            <w:pPr>
              <w:spacing w:line="300" w:lineRule="exact"/>
              <w:rPr>
                <w:rFonts w:hint="eastAsia" w:ascii="宋体" w:hAnsi="宋体" w:eastAsia="宋体" w:cs="宋体"/>
                <w:b w:val="0"/>
                <w:sz w:val="21"/>
                <w:szCs w:val="21"/>
                <w:highlight w:val="none"/>
              </w:rPr>
            </w:pPr>
          </w:p>
        </w:tc>
        <w:tc>
          <w:tcPr>
            <w:tcW w:w="1252" w:type="dxa"/>
            <w:noWrap w:val="0"/>
            <w:vAlign w:val="center"/>
          </w:tcPr>
          <w:p w14:paraId="74BB00E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53CAF5A0">
            <w:pPr>
              <w:spacing w:line="300" w:lineRule="exact"/>
              <w:rPr>
                <w:rFonts w:hint="eastAsia" w:ascii="宋体" w:hAnsi="宋体" w:eastAsia="宋体" w:cs="宋体"/>
                <w:b w:val="0"/>
                <w:sz w:val="21"/>
                <w:szCs w:val="21"/>
                <w:highlight w:val="none"/>
              </w:rPr>
            </w:pPr>
          </w:p>
        </w:tc>
        <w:tc>
          <w:tcPr>
            <w:tcW w:w="900" w:type="dxa"/>
            <w:noWrap w:val="0"/>
            <w:vAlign w:val="center"/>
          </w:tcPr>
          <w:p w14:paraId="663499E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0F2DEACA">
            <w:pPr>
              <w:spacing w:line="300" w:lineRule="exact"/>
              <w:rPr>
                <w:rFonts w:hint="eastAsia" w:ascii="宋体" w:hAnsi="宋体" w:eastAsia="宋体" w:cs="宋体"/>
                <w:b w:val="0"/>
                <w:sz w:val="21"/>
                <w:szCs w:val="21"/>
                <w:highlight w:val="none"/>
              </w:rPr>
            </w:pPr>
          </w:p>
        </w:tc>
      </w:tr>
      <w:tr w14:paraId="781D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211CD35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7994877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2623F5DC">
            <w:pPr>
              <w:spacing w:line="300" w:lineRule="exact"/>
              <w:rPr>
                <w:rFonts w:hint="eastAsia" w:ascii="宋体" w:hAnsi="宋体" w:eastAsia="宋体" w:cs="宋体"/>
                <w:b w:val="0"/>
                <w:sz w:val="21"/>
                <w:szCs w:val="21"/>
                <w:highlight w:val="none"/>
              </w:rPr>
            </w:pPr>
          </w:p>
        </w:tc>
        <w:tc>
          <w:tcPr>
            <w:tcW w:w="1252" w:type="dxa"/>
            <w:noWrap w:val="0"/>
            <w:vAlign w:val="center"/>
          </w:tcPr>
          <w:p w14:paraId="2A8598A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4F7FD050">
            <w:pPr>
              <w:spacing w:line="300" w:lineRule="exact"/>
              <w:rPr>
                <w:rFonts w:hint="eastAsia" w:ascii="宋体" w:hAnsi="宋体" w:eastAsia="宋体" w:cs="宋体"/>
                <w:b w:val="0"/>
                <w:sz w:val="21"/>
                <w:szCs w:val="21"/>
                <w:highlight w:val="none"/>
              </w:rPr>
            </w:pPr>
          </w:p>
        </w:tc>
        <w:tc>
          <w:tcPr>
            <w:tcW w:w="900" w:type="dxa"/>
            <w:noWrap w:val="0"/>
            <w:vAlign w:val="center"/>
          </w:tcPr>
          <w:p w14:paraId="7A23C66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4664DA02">
            <w:pPr>
              <w:spacing w:line="300" w:lineRule="exact"/>
              <w:rPr>
                <w:rFonts w:hint="eastAsia" w:ascii="宋体" w:hAnsi="宋体" w:eastAsia="宋体" w:cs="宋体"/>
                <w:b w:val="0"/>
                <w:sz w:val="21"/>
                <w:szCs w:val="21"/>
                <w:highlight w:val="none"/>
              </w:rPr>
            </w:pPr>
          </w:p>
        </w:tc>
      </w:tr>
      <w:tr w14:paraId="4897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D2BBEF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3619DF5B">
            <w:pPr>
              <w:spacing w:line="300" w:lineRule="exact"/>
              <w:rPr>
                <w:rFonts w:hint="eastAsia" w:ascii="宋体" w:hAnsi="宋体" w:eastAsia="宋体" w:cs="宋体"/>
                <w:b w:val="0"/>
                <w:sz w:val="21"/>
                <w:szCs w:val="21"/>
                <w:highlight w:val="none"/>
              </w:rPr>
            </w:pPr>
          </w:p>
        </w:tc>
      </w:tr>
      <w:tr w14:paraId="5D5A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F90FFB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63120DE4">
            <w:pPr>
              <w:spacing w:line="300" w:lineRule="exact"/>
              <w:rPr>
                <w:rFonts w:hint="eastAsia" w:ascii="宋体" w:hAnsi="宋体" w:eastAsia="宋体" w:cs="宋体"/>
                <w:b w:val="0"/>
                <w:sz w:val="21"/>
                <w:szCs w:val="21"/>
                <w:highlight w:val="none"/>
              </w:rPr>
            </w:pPr>
          </w:p>
        </w:tc>
      </w:tr>
      <w:tr w14:paraId="32DE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281E0ED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428F0298">
            <w:pPr>
              <w:spacing w:line="300" w:lineRule="exact"/>
              <w:rPr>
                <w:rFonts w:hint="eastAsia" w:ascii="宋体" w:hAnsi="宋体" w:eastAsia="宋体" w:cs="宋体"/>
                <w:b w:val="0"/>
                <w:sz w:val="21"/>
                <w:szCs w:val="21"/>
                <w:highlight w:val="none"/>
              </w:rPr>
            </w:pPr>
          </w:p>
        </w:tc>
      </w:tr>
      <w:tr w14:paraId="3552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1EF5890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1601FEF6">
            <w:pPr>
              <w:spacing w:line="300" w:lineRule="exact"/>
              <w:rPr>
                <w:rFonts w:hint="eastAsia" w:ascii="宋体" w:hAnsi="宋体" w:eastAsia="宋体" w:cs="宋体"/>
                <w:b w:val="0"/>
                <w:sz w:val="21"/>
                <w:szCs w:val="21"/>
                <w:highlight w:val="none"/>
              </w:rPr>
            </w:pPr>
          </w:p>
        </w:tc>
      </w:tr>
      <w:tr w14:paraId="4568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5BC0079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49ADF2BC">
            <w:pPr>
              <w:spacing w:line="300" w:lineRule="exact"/>
              <w:rPr>
                <w:rFonts w:hint="eastAsia" w:ascii="宋体" w:hAnsi="宋体" w:eastAsia="宋体" w:cs="宋体"/>
                <w:b w:val="0"/>
                <w:sz w:val="21"/>
                <w:szCs w:val="21"/>
                <w:highlight w:val="none"/>
              </w:rPr>
            </w:pPr>
          </w:p>
        </w:tc>
      </w:tr>
      <w:tr w14:paraId="1E2F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6DD685E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70702009">
            <w:pPr>
              <w:spacing w:line="300" w:lineRule="exact"/>
              <w:rPr>
                <w:rFonts w:hint="eastAsia" w:ascii="宋体" w:hAnsi="宋体" w:eastAsia="宋体" w:cs="宋体"/>
                <w:b w:val="0"/>
                <w:sz w:val="21"/>
                <w:szCs w:val="21"/>
                <w:highlight w:val="none"/>
              </w:rPr>
            </w:pPr>
          </w:p>
        </w:tc>
      </w:tr>
      <w:tr w14:paraId="738E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28A7A25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262601AA">
            <w:pPr>
              <w:spacing w:line="300" w:lineRule="exact"/>
              <w:ind w:firstLine="420" w:firstLineChars="200"/>
              <w:rPr>
                <w:rFonts w:hint="eastAsia" w:ascii="宋体" w:hAnsi="宋体" w:eastAsia="宋体" w:cs="宋体"/>
                <w:b w:val="0"/>
                <w:sz w:val="21"/>
                <w:szCs w:val="21"/>
                <w:highlight w:val="none"/>
              </w:rPr>
            </w:pPr>
          </w:p>
        </w:tc>
      </w:tr>
    </w:tbl>
    <w:p w14:paraId="42EA2174">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138B3D55">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146C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48D062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A04FFFA">
            <w:pPr>
              <w:spacing w:line="300" w:lineRule="exact"/>
              <w:ind w:left="-10" w:leftChars="-5" w:firstLine="2" w:firstLineChars="1"/>
              <w:rPr>
                <w:rFonts w:hint="eastAsia" w:ascii="宋体" w:hAnsi="宋体" w:eastAsia="宋体" w:cs="宋体"/>
                <w:b w:val="0"/>
                <w:sz w:val="21"/>
                <w:szCs w:val="21"/>
                <w:highlight w:val="none"/>
              </w:rPr>
            </w:pPr>
          </w:p>
        </w:tc>
      </w:tr>
      <w:tr w14:paraId="3069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02B1CB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27B8198">
            <w:pPr>
              <w:spacing w:line="300" w:lineRule="exact"/>
              <w:ind w:left="-10" w:leftChars="-5" w:firstLine="2" w:firstLineChars="1"/>
              <w:rPr>
                <w:rFonts w:hint="eastAsia" w:ascii="宋体" w:hAnsi="宋体" w:eastAsia="宋体" w:cs="宋体"/>
                <w:b w:val="0"/>
                <w:sz w:val="21"/>
                <w:szCs w:val="21"/>
                <w:highlight w:val="none"/>
              </w:rPr>
            </w:pPr>
          </w:p>
        </w:tc>
      </w:tr>
      <w:tr w14:paraId="1CB5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A27563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B17C299">
            <w:pPr>
              <w:spacing w:line="300" w:lineRule="exact"/>
              <w:ind w:left="-10" w:leftChars="-5" w:firstLine="2" w:firstLineChars="1"/>
              <w:rPr>
                <w:rFonts w:hint="eastAsia" w:ascii="宋体" w:hAnsi="宋体" w:eastAsia="宋体" w:cs="宋体"/>
                <w:b w:val="0"/>
                <w:sz w:val="21"/>
                <w:szCs w:val="21"/>
                <w:highlight w:val="none"/>
              </w:rPr>
            </w:pPr>
          </w:p>
        </w:tc>
      </w:tr>
      <w:tr w14:paraId="5835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A23F6D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BBD057B">
            <w:pPr>
              <w:spacing w:line="300" w:lineRule="exact"/>
              <w:ind w:left="-10" w:leftChars="-5" w:firstLine="2" w:firstLineChars="1"/>
              <w:rPr>
                <w:rFonts w:hint="eastAsia" w:ascii="宋体" w:hAnsi="宋体" w:eastAsia="宋体" w:cs="宋体"/>
                <w:b w:val="0"/>
                <w:sz w:val="21"/>
                <w:szCs w:val="21"/>
                <w:highlight w:val="none"/>
              </w:rPr>
            </w:pPr>
          </w:p>
        </w:tc>
      </w:tr>
      <w:tr w14:paraId="2671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CC2CC0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CDA0615">
            <w:pPr>
              <w:spacing w:line="300" w:lineRule="exact"/>
              <w:ind w:left="-10" w:leftChars="-5" w:firstLine="2" w:firstLineChars="1"/>
              <w:rPr>
                <w:rFonts w:hint="eastAsia" w:ascii="宋体" w:hAnsi="宋体" w:eastAsia="宋体" w:cs="宋体"/>
                <w:b w:val="0"/>
                <w:sz w:val="21"/>
                <w:szCs w:val="21"/>
                <w:highlight w:val="none"/>
              </w:rPr>
            </w:pPr>
          </w:p>
        </w:tc>
      </w:tr>
      <w:tr w14:paraId="40C1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56627C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67BDA8C">
            <w:pPr>
              <w:spacing w:line="300" w:lineRule="exact"/>
              <w:ind w:left="-10" w:leftChars="-5" w:firstLine="2" w:firstLineChars="1"/>
              <w:rPr>
                <w:rFonts w:hint="eastAsia" w:ascii="宋体" w:hAnsi="宋体" w:eastAsia="宋体" w:cs="宋体"/>
                <w:b w:val="0"/>
                <w:sz w:val="21"/>
                <w:szCs w:val="21"/>
                <w:highlight w:val="none"/>
              </w:rPr>
            </w:pPr>
          </w:p>
        </w:tc>
      </w:tr>
      <w:tr w14:paraId="4946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33A8935">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6E779A6">
            <w:pPr>
              <w:spacing w:line="300" w:lineRule="exact"/>
              <w:ind w:left="-10" w:leftChars="-5" w:firstLine="2" w:firstLineChars="1"/>
              <w:rPr>
                <w:rFonts w:hint="eastAsia" w:ascii="宋体" w:hAnsi="宋体" w:eastAsia="宋体" w:cs="宋体"/>
                <w:b w:val="0"/>
                <w:sz w:val="21"/>
                <w:szCs w:val="21"/>
                <w:highlight w:val="none"/>
              </w:rPr>
            </w:pPr>
          </w:p>
        </w:tc>
      </w:tr>
      <w:tr w14:paraId="6737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BFB35E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3C261B8">
            <w:pPr>
              <w:spacing w:line="300" w:lineRule="exact"/>
              <w:ind w:left="-10" w:leftChars="-5" w:firstLine="2" w:firstLineChars="1"/>
              <w:rPr>
                <w:rFonts w:hint="eastAsia" w:ascii="宋体" w:hAnsi="宋体" w:eastAsia="宋体" w:cs="宋体"/>
                <w:b w:val="0"/>
                <w:sz w:val="21"/>
                <w:szCs w:val="21"/>
                <w:highlight w:val="none"/>
              </w:rPr>
            </w:pPr>
          </w:p>
        </w:tc>
      </w:tr>
      <w:tr w14:paraId="2649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8D5BA57">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A18196D">
            <w:pPr>
              <w:spacing w:line="300" w:lineRule="exact"/>
              <w:ind w:left="-10" w:leftChars="-5" w:firstLine="2" w:firstLineChars="1"/>
              <w:rPr>
                <w:rFonts w:hint="eastAsia" w:ascii="宋体" w:hAnsi="宋体" w:eastAsia="宋体" w:cs="宋体"/>
                <w:b w:val="0"/>
                <w:sz w:val="21"/>
                <w:szCs w:val="21"/>
                <w:highlight w:val="none"/>
              </w:rPr>
            </w:pPr>
          </w:p>
        </w:tc>
      </w:tr>
      <w:tr w14:paraId="3C70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5878A6A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B029390">
            <w:pPr>
              <w:spacing w:line="300" w:lineRule="exact"/>
              <w:ind w:left="-10" w:leftChars="-5" w:firstLine="2" w:firstLineChars="1"/>
              <w:rPr>
                <w:rFonts w:hint="eastAsia" w:ascii="宋体" w:hAnsi="宋体" w:eastAsia="宋体" w:cs="宋体"/>
                <w:b w:val="0"/>
                <w:sz w:val="21"/>
                <w:szCs w:val="21"/>
                <w:highlight w:val="none"/>
              </w:rPr>
            </w:pPr>
          </w:p>
        </w:tc>
      </w:tr>
      <w:tr w14:paraId="0894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CBA27D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E79BF2B">
            <w:pPr>
              <w:spacing w:line="300" w:lineRule="exact"/>
              <w:ind w:left="-13" w:leftChars="-6"/>
              <w:rPr>
                <w:rFonts w:hint="eastAsia" w:ascii="宋体" w:hAnsi="宋体" w:eastAsia="宋体" w:cs="宋体"/>
                <w:b w:val="0"/>
                <w:sz w:val="21"/>
                <w:szCs w:val="21"/>
                <w:highlight w:val="none"/>
              </w:rPr>
            </w:pPr>
          </w:p>
        </w:tc>
      </w:tr>
    </w:tbl>
    <w:p w14:paraId="6C3E71FF">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54CE395E">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51055B4D">
      <w:pPr>
        <w:rPr>
          <w:rFonts w:hint="eastAsia" w:ascii="宋体" w:hAnsi="宋体" w:eastAsia="宋体" w:cs="宋体"/>
          <w:highlight w:val="none"/>
        </w:rPr>
      </w:pPr>
      <w:bookmarkStart w:id="65" w:name="_Toc382396580"/>
      <w:bookmarkStart w:id="66" w:name="_Toc184635148"/>
      <w:r>
        <w:rPr>
          <w:rFonts w:hint="eastAsia" w:ascii="宋体" w:hAnsi="宋体" w:eastAsia="宋体" w:cs="宋体"/>
          <w:sz w:val="21"/>
          <w:szCs w:val="21"/>
          <w:highlight w:val="none"/>
        </w:rPr>
        <w:br w:type="page"/>
      </w:r>
    </w:p>
    <w:p w14:paraId="627177EF">
      <w:pPr>
        <w:spacing w:line="480" w:lineRule="auto"/>
        <w:jc w:val="center"/>
        <w:rPr>
          <w:rFonts w:hint="eastAsia" w:ascii="宋体" w:hAnsi="宋体" w:eastAsia="宋体" w:cs="宋体"/>
          <w:b/>
          <w:bCs/>
          <w:color w:val="auto"/>
          <w:szCs w:val="21"/>
          <w:highlight w:val="none"/>
          <w:lang w:eastAsia="zh-CN"/>
        </w:rPr>
      </w:pPr>
      <w:bookmarkStart w:id="67" w:name="_Toc31214"/>
      <w:r>
        <w:rPr>
          <w:rFonts w:hint="eastAsia" w:ascii="宋体" w:hAnsi="宋体" w:eastAsia="宋体" w:cs="宋体"/>
          <w:b/>
          <w:bCs/>
          <w:color w:val="auto"/>
          <w:szCs w:val="21"/>
          <w:highlight w:val="none"/>
          <w:lang w:eastAsia="zh-CN"/>
        </w:rPr>
        <w:t>资格条件承诺函</w:t>
      </w:r>
    </w:p>
    <w:p w14:paraId="783D61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6EEA6764">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64DA6FF4">
      <w:pPr>
        <w:keepNext w:val="0"/>
        <w:keepLines w:val="0"/>
        <w:pageBreakBefore w:val="0"/>
        <w:widowControl w:val="0"/>
        <w:numPr>
          <w:ilvl w:val="0"/>
          <w:numId w:val="5"/>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3A773608">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4D0FCA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27C1E37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3DCB074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7EB5CE5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7A43D23E">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6160D70D">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7E1BCED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57D4ED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39738C0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3F96AA38">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65"/>
      <w:bookmarkEnd w:id="66"/>
      <w:bookmarkEnd w:id="67"/>
    </w:p>
    <w:p w14:paraId="4647AA27">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402F14E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41FDBBFA">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68" w:name="_Toc233037955"/>
      <w:bookmarkStart w:id="69" w:name="_Toc217869471"/>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68"/>
      <w:bookmarkEnd w:id="69"/>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5542C294">
      <w:pPr>
        <w:autoSpaceDE w:val="0"/>
        <w:autoSpaceDN w:val="0"/>
        <w:adjustRightInd w:val="0"/>
        <w:spacing w:line="600" w:lineRule="exact"/>
        <w:jc w:val="both"/>
        <w:rPr>
          <w:rFonts w:hint="eastAsia" w:ascii="宋体" w:hAnsi="宋体" w:eastAsia="宋体" w:cs="宋体"/>
          <w:b w:val="0"/>
          <w:sz w:val="21"/>
          <w:szCs w:val="21"/>
          <w:highlight w:val="none"/>
        </w:rPr>
      </w:pPr>
    </w:p>
    <w:p w14:paraId="4FA6B663">
      <w:pPr>
        <w:autoSpaceDE w:val="0"/>
        <w:autoSpaceDN w:val="0"/>
        <w:adjustRightInd w:val="0"/>
        <w:spacing w:line="600" w:lineRule="exact"/>
        <w:jc w:val="both"/>
        <w:rPr>
          <w:rFonts w:hint="eastAsia" w:ascii="宋体" w:hAnsi="宋体" w:eastAsia="宋体" w:cs="宋体"/>
          <w:b w:val="0"/>
          <w:sz w:val="21"/>
          <w:szCs w:val="21"/>
          <w:highlight w:val="none"/>
        </w:rPr>
      </w:pPr>
    </w:p>
    <w:p w14:paraId="4C960919">
      <w:pPr>
        <w:autoSpaceDE w:val="0"/>
        <w:autoSpaceDN w:val="0"/>
        <w:adjustRightInd w:val="0"/>
        <w:spacing w:line="600" w:lineRule="exact"/>
        <w:jc w:val="both"/>
        <w:rPr>
          <w:rFonts w:hint="eastAsia" w:ascii="宋体" w:hAnsi="宋体" w:eastAsia="宋体" w:cs="宋体"/>
          <w:b w:val="0"/>
          <w:sz w:val="21"/>
          <w:szCs w:val="21"/>
          <w:highlight w:val="none"/>
        </w:rPr>
      </w:pPr>
    </w:p>
    <w:p w14:paraId="6E6A5022">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1EE64A1A">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招标文件</w:t>
      </w:r>
      <w:r>
        <w:rPr>
          <w:rFonts w:hint="eastAsia" w:ascii="宋体" w:hAnsi="宋体" w:eastAsia="宋体" w:cs="宋体"/>
          <w:b/>
          <w:sz w:val="21"/>
          <w:szCs w:val="21"/>
          <w:highlight w:val="none"/>
        </w:rPr>
        <w:t>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7B0FFFB4">
      <w:pPr>
        <w:autoSpaceDE w:val="0"/>
        <w:autoSpaceDN w:val="0"/>
        <w:adjustRightInd w:val="0"/>
        <w:spacing w:line="600" w:lineRule="exact"/>
        <w:jc w:val="both"/>
        <w:rPr>
          <w:rFonts w:hint="eastAsia" w:ascii="宋体" w:hAnsi="宋体" w:eastAsia="宋体" w:cs="宋体"/>
          <w:b w:val="0"/>
          <w:sz w:val="21"/>
          <w:szCs w:val="21"/>
          <w:highlight w:val="none"/>
        </w:rPr>
      </w:pPr>
    </w:p>
    <w:p w14:paraId="003E887D">
      <w:pPr>
        <w:autoSpaceDE w:val="0"/>
        <w:autoSpaceDN w:val="0"/>
        <w:adjustRightInd w:val="0"/>
        <w:spacing w:line="600" w:lineRule="exact"/>
        <w:jc w:val="both"/>
        <w:rPr>
          <w:rFonts w:hint="eastAsia" w:ascii="宋体" w:hAnsi="宋体" w:eastAsia="宋体" w:cs="宋体"/>
          <w:b w:val="0"/>
          <w:sz w:val="21"/>
          <w:szCs w:val="21"/>
          <w:highlight w:val="none"/>
        </w:rPr>
      </w:pPr>
    </w:p>
    <w:p w14:paraId="42563589">
      <w:pPr>
        <w:autoSpaceDE w:val="0"/>
        <w:autoSpaceDN w:val="0"/>
        <w:adjustRightInd w:val="0"/>
        <w:spacing w:line="600" w:lineRule="exact"/>
        <w:jc w:val="both"/>
        <w:rPr>
          <w:rFonts w:hint="eastAsia" w:ascii="宋体" w:hAnsi="宋体" w:eastAsia="宋体" w:cs="宋体"/>
          <w:b w:val="0"/>
          <w:sz w:val="21"/>
          <w:szCs w:val="21"/>
          <w:highlight w:val="none"/>
        </w:rPr>
      </w:pPr>
    </w:p>
    <w:p w14:paraId="199A8A89">
      <w:pPr>
        <w:autoSpaceDE w:val="0"/>
        <w:autoSpaceDN w:val="0"/>
        <w:adjustRightInd w:val="0"/>
        <w:spacing w:line="600" w:lineRule="exact"/>
        <w:jc w:val="both"/>
        <w:rPr>
          <w:rFonts w:hint="eastAsia" w:ascii="宋体" w:hAnsi="宋体" w:eastAsia="宋体" w:cs="宋体"/>
          <w:b w:val="0"/>
          <w:sz w:val="21"/>
          <w:szCs w:val="21"/>
          <w:highlight w:val="none"/>
        </w:rPr>
      </w:pPr>
    </w:p>
    <w:p w14:paraId="3C3D1788">
      <w:pPr>
        <w:autoSpaceDE w:val="0"/>
        <w:autoSpaceDN w:val="0"/>
        <w:adjustRightInd w:val="0"/>
        <w:spacing w:line="600" w:lineRule="exact"/>
        <w:jc w:val="both"/>
        <w:rPr>
          <w:rFonts w:hint="eastAsia" w:ascii="宋体" w:hAnsi="宋体" w:eastAsia="宋体" w:cs="宋体"/>
          <w:b w:val="0"/>
          <w:sz w:val="21"/>
          <w:szCs w:val="21"/>
          <w:highlight w:val="none"/>
        </w:rPr>
      </w:pPr>
    </w:p>
    <w:p w14:paraId="1D3CF8C9">
      <w:pPr>
        <w:autoSpaceDE w:val="0"/>
        <w:autoSpaceDN w:val="0"/>
        <w:adjustRightInd w:val="0"/>
        <w:spacing w:line="600" w:lineRule="exact"/>
        <w:jc w:val="both"/>
        <w:rPr>
          <w:rFonts w:hint="eastAsia" w:ascii="宋体" w:hAnsi="宋体" w:eastAsia="宋体" w:cs="宋体"/>
          <w:b w:val="0"/>
          <w:sz w:val="21"/>
          <w:szCs w:val="21"/>
          <w:highlight w:val="none"/>
        </w:rPr>
      </w:pPr>
    </w:p>
    <w:p w14:paraId="4CD555F5">
      <w:pPr>
        <w:autoSpaceDE w:val="0"/>
        <w:autoSpaceDN w:val="0"/>
        <w:adjustRightInd w:val="0"/>
        <w:spacing w:line="600" w:lineRule="exact"/>
        <w:jc w:val="both"/>
        <w:rPr>
          <w:rFonts w:hint="eastAsia" w:ascii="宋体" w:hAnsi="宋体" w:eastAsia="宋体" w:cs="宋体"/>
          <w:b w:val="0"/>
          <w:sz w:val="21"/>
          <w:szCs w:val="21"/>
          <w:highlight w:val="none"/>
        </w:rPr>
      </w:pPr>
    </w:p>
    <w:p w14:paraId="1319A34A">
      <w:pPr>
        <w:autoSpaceDE w:val="0"/>
        <w:autoSpaceDN w:val="0"/>
        <w:adjustRightInd w:val="0"/>
        <w:spacing w:line="600" w:lineRule="exact"/>
        <w:jc w:val="both"/>
        <w:rPr>
          <w:rFonts w:hint="eastAsia" w:ascii="宋体" w:hAnsi="宋体" w:eastAsia="宋体" w:cs="宋体"/>
          <w:b w:val="0"/>
          <w:sz w:val="21"/>
          <w:szCs w:val="21"/>
          <w:highlight w:val="none"/>
        </w:rPr>
      </w:pPr>
    </w:p>
    <w:p w14:paraId="2E51524D">
      <w:pPr>
        <w:autoSpaceDE w:val="0"/>
        <w:autoSpaceDN w:val="0"/>
        <w:adjustRightInd w:val="0"/>
        <w:spacing w:line="600" w:lineRule="exact"/>
        <w:jc w:val="both"/>
        <w:rPr>
          <w:rFonts w:hint="eastAsia" w:ascii="宋体" w:hAnsi="宋体" w:eastAsia="宋体" w:cs="宋体"/>
          <w:b w:val="0"/>
          <w:sz w:val="21"/>
          <w:szCs w:val="21"/>
          <w:highlight w:val="none"/>
        </w:rPr>
      </w:pPr>
    </w:p>
    <w:p w14:paraId="638B5A3A">
      <w:pPr>
        <w:autoSpaceDE w:val="0"/>
        <w:autoSpaceDN w:val="0"/>
        <w:adjustRightInd w:val="0"/>
        <w:spacing w:line="600" w:lineRule="exact"/>
        <w:jc w:val="both"/>
        <w:rPr>
          <w:rFonts w:hint="eastAsia" w:ascii="宋体" w:hAnsi="宋体" w:eastAsia="宋体" w:cs="宋体"/>
          <w:b w:val="0"/>
          <w:sz w:val="21"/>
          <w:szCs w:val="21"/>
          <w:highlight w:val="none"/>
        </w:rPr>
      </w:pPr>
    </w:p>
    <w:p w14:paraId="2FFBECCD">
      <w:pPr>
        <w:autoSpaceDE w:val="0"/>
        <w:autoSpaceDN w:val="0"/>
        <w:adjustRightInd w:val="0"/>
        <w:spacing w:line="600" w:lineRule="exact"/>
        <w:jc w:val="both"/>
        <w:rPr>
          <w:rFonts w:hint="eastAsia" w:ascii="宋体" w:hAnsi="宋体" w:eastAsia="宋体" w:cs="宋体"/>
          <w:b w:val="0"/>
          <w:sz w:val="21"/>
          <w:szCs w:val="21"/>
          <w:highlight w:val="none"/>
        </w:rPr>
      </w:pPr>
    </w:p>
    <w:p w14:paraId="4FF01132">
      <w:pPr>
        <w:autoSpaceDE w:val="0"/>
        <w:autoSpaceDN w:val="0"/>
        <w:adjustRightInd w:val="0"/>
        <w:spacing w:line="600" w:lineRule="exact"/>
        <w:jc w:val="both"/>
        <w:rPr>
          <w:rFonts w:hint="eastAsia" w:ascii="宋体" w:hAnsi="宋体" w:eastAsia="宋体" w:cs="宋体"/>
          <w:b w:val="0"/>
          <w:sz w:val="21"/>
          <w:szCs w:val="21"/>
          <w:highlight w:val="none"/>
        </w:rPr>
      </w:pPr>
    </w:p>
    <w:p w14:paraId="4A653D23">
      <w:pPr>
        <w:autoSpaceDE w:val="0"/>
        <w:autoSpaceDN w:val="0"/>
        <w:adjustRightInd w:val="0"/>
        <w:spacing w:line="600" w:lineRule="exact"/>
        <w:jc w:val="both"/>
        <w:rPr>
          <w:rFonts w:hint="eastAsia" w:ascii="宋体" w:hAnsi="宋体" w:eastAsia="宋体" w:cs="宋体"/>
          <w:b w:val="0"/>
          <w:sz w:val="21"/>
          <w:szCs w:val="21"/>
          <w:highlight w:val="none"/>
        </w:rPr>
      </w:pPr>
    </w:p>
    <w:p w14:paraId="334C08DB">
      <w:pPr>
        <w:autoSpaceDE w:val="0"/>
        <w:autoSpaceDN w:val="0"/>
        <w:adjustRightInd w:val="0"/>
        <w:spacing w:line="600" w:lineRule="exact"/>
        <w:jc w:val="both"/>
        <w:rPr>
          <w:rFonts w:hint="eastAsia" w:ascii="宋体" w:hAnsi="宋体" w:eastAsia="宋体" w:cs="宋体"/>
          <w:b w:val="0"/>
          <w:sz w:val="21"/>
          <w:szCs w:val="21"/>
          <w:highlight w:val="none"/>
        </w:rPr>
      </w:pPr>
    </w:p>
    <w:p w14:paraId="483366BE">
      <w:pPr>
        <w:autoSpaceDE w:val="0"/>
        <w:autoSpaceDN w:val="0"/>
        <w:adjustRightInd w:val="0"/>
        <w:spacing w:line="600" w:lineRule="exact"/>
        <w:jc w:val="both"/>
        <w:rPr>
          <w:rFonts w:hint="eastAsia" w:ascii="宋体" w:hAnsi="宋体" w:eastAsia="宋体" w:cs="宋体"/>
          <w:b w:val="0"/>
          <w:sz w:val="21"/>
          <w:szCs w:val="21"/>
          <w:highlight w:val="none"/>
        </w:rPr>
      </w:pPr>
    </w:p>
    <w:p w14:paraId="4FC7E400">
      <w:pPr>
        <w:widowControl w:val="0"/>
        <w:spacing w:line="400" w:lineRule="exact"/>
        <w:jc w:val="both"/>
        <w:rPr>
          <w:rFonts w:hint="eastAsia" w:ascii="宋体" w:hAnsi="宋体" w:eastAsia="宋体" w:cs="宋体"/>
          <w:b w:val="0"/>
          <w:sz w:val="21"/>
          <w:szCs w:val="21"/>
          <w:highlight w:val="none"/>
        </w:rPr>
      </w:pPr>
    </w:p>
    <w:p w14:paraId="4FB00597">
      <w:pPr>
        <w:spacing w:line="500" w:lineRule="exact"/>
        <w:jc w:val="left"/>
        <w:rPr>
          <w:rFonts w:hint="eastAsia" w:ascii="宋体" w:hAnsi="宋体" w:eastAsia="宋体" w:cs="宋体"/>
          <w:highlight w:val="none"/>
        </w:rPr>
      </w:pPr>
    </w:p>
    <w:p w14:paraId="532EF045">
      <w:pPr>
        <w:pStyle w:val="45"/>
        <w:keepNext w:val="0"/>
        <w:keepLines w:val="0"/>
        <w:widowControl w:val="0"/>
        <w:shd w:val="clear" w:color="auto" w:fill="auto"/>
        <w:bidi w:val="0"/>
        <w:spacing w:before="0" w:line="240" w:lineRule="auto"/>
        <w:ind w:left="0" w:right="0" w:firstLine="0"/>
        <w:jc w:val="center"/>
        <w:rPr>
          <w:rFonts w:hint="eastAsia" w:eastAsia="宋体"/>
          <w:highlight w:val="none"/>
          <w:lang w:eastAsia="zh-CN"/>
        </w:rPr>
      </w:pPr>
      <w:r>
        <w:rPr>
          <w:rFonts w:hint="eastAsia" w:ascii="宋体" w:hAnsi="宋体" w:eastAsia="宋体" w:cs="宋体"/>
          <w:sz w:val="24"/>
          <w:highlight w:val="none"/>
        </w:rPr>
        <w:br w:type="page"/>
      </w:r>
      <w:bookmarkStart w:id="70" w:name="_Toc8816"/>
      <w:r>
        <w:rPr>
          <w:rFonts w:hint="eastAsia" w:ascii="宋体" w:hAnsi="宋体" w:eastAsia="宋体" w:cs="宋体"/>
          <w:b/>
          <w:bCs w:val="0"/>
          <w:kern w:val="0"/>
          <w:sz w:val="32"/>
          <w:szCs w:val="32"/>
          <w:highlight w:val="none"/>
          <w:lang w:val="en-US" w:eastAsia="zh-CN" w:bidi="ar-SA"/>
        </w:rPr>
        <w:t>十、</w:t>
      </w:r>
      <w:bookmarkEnd w:id="70"/>
      <w:r>
        <w:rPr>
          <w:color w:val="000000"/>
          <w:spacing w:val="0"/>
          <w:w w:val="100"/>
          <w:position w:val="0"/>
          <w:highlight w:val="none"/>
        </w:rPr>
        <w:t>中小企业声明函</w:t>
      </w:r>
      <w:r>
        <w:rPr>
          <w:rFonts w:hint="eastAsia"/>
          <w:color w:val="000000"/>
          <w:spacing w:val="0"/>
          <w:w w:val="100"/>
          <w:position w:val="0"/>
          <w:highlight w:val="none"/>
          <w:lang w:eastAsia="zh-CN"/>
        </w:rPr>
        <w:t>（货物）</w:t>
      </w:r>
    </w:p>
    <w:p w14:paraId="3357A22F">
      <w:pPr>
        <w:pStyle w:val="46"/>
        <w:keepNext w:val="0"/>
        <w:keepLines w:val="0"/>
        <w:widowControl w:val="0"/>
        <w:shd w:val="clear" w:color="auto" w:fill="auto"/>
        <w:bidi w:val="0"/>
        <w:spacing w:before="0" w:after="0" w:line="529" w:lineRule="exact"/>
        <w:ind w:left="0" w:right="0" w:firstLine="680"/>
        <w:jc w:val="both"/>
        <w:rPr>
          <w:i w:val="0"/>
          <w:iCs w:val="0"/>
          <w:sz w:val="24"/>
          <w:szCs w:val="24"/>
          <w:highlight w:val="none"/>
        </w:rPr>
      </w:pPr>
      <w:r>
        <w:rPr>
          <w:i w:val="0"/>
          <w:iCs w:val="0"/>
          <w:color w:val="000000"/>
          <w:spacing w:val="0"/>
          <w:w w:val="100"/>
          <w:position w:val="0"/>
          <w:sz w:val="24"/>
          <w:szCs w:val="24"/>
          <w:highlight w:val="none"/>
        </w:rPr>
        <w:t>本公司（联合体）郑重声明，根据《政府采购促进中小企业发展管理办法》（财库（</w:t>
      </w:r>
      <w:r>
        <w:rPr>
          <w:rFonts w:ascii="Times New Roman" w:hAnsi="Times New Roman" w:eastAsia="Times New Roman" w:cs="Times New Roman"/>
          <w:i w:val="0"/>
          <w:iCs w:val="0"/>
          <w:color w:val="000000"/>
          <w:spacing w:val="0"/>
          <w:w w:val="100"/>
          <w:position w:val="0"/>
          <w:sz w:val="24"/>
          <w:szCs w:val="24"/>
          <w:highlight w:val="none"/>
        </w:rPr>
        <w:t>2020</w:t>
      </w:r>
      <w:r>
        <w:rPr>
          <w:i w:val="0"/>
          <w:iCs w:val="0"/>
          <w:color w:val="000000"/>
          <w:spacing w:val="0"/>
          <w:w w:val="100"/>
          <w:position w:val="0"/>
          <w:sz w:val="24"/>
          <w:szCs w:val="24"/>
          <w:highlight w:val="none"/>
        </w:rPr>
        <w:t xml:space="preserve">） </w:t>
      </w:r>
      <w:r>
        <w:rPr>
          <w:rFonts w:ascii="Times New Roman" w:hAnsi="Times New Roman" w:eastAsia="Times New Roman" w:cs="Times New Roman"/>
          <w:i w:val="0"/>
          <w:iCs w:val="0"/>
          <w:color w:val="000000"/>
          <w:spacing w:val="0"/>
          <w:w w:val="100"/>
          <w:position w:val="0"/>
          <w:sz w:val="24"/>
          <w:szCs w:val="24"/>
          <w:highlight w:val="none"/>
        </w:rPr>
        <w:t>46</w:t>
      </w:r>
      <w:r>
        <w:rPr>
          <w:i w:val="0"/>
          <w:iCs w:val="0"/>
          <w:color w:val="000000"/>
          <w:spacing w:val="0"/>
          <w:w w:val="100"/>
          <w:position w:val="0"/>
          <w:sz w:val="24"/>
          <w:szCs w:val="24"/>
          <w:highlight w:val="none"/>
        </w:rPr>
        <w:t>号）的规定，本公司（联合体）参加</w:t>
      </w:r>
      <w:r>
        <w:rPr>
          <w:i w:val="0"/>
          <w:iCs w:val="0"/>
          <w:color w:val="000000"/>
          <w:spacing w:val="0"/>
          <w:w w:val="100"/>
          <w:position w:val="0"/>
          <w:sz w:val="24"/>
          <w:szCs w:val="24"/>
          <w:highlight w:val="none"/>
          <w:u w:val="single"/>
        </w:rPr>
        <w:t>（</w:t>
      </w:r>
      <w:r>
        <w:rPr>
          <w:rFonts w:hint="eastAsia"/>
          <w:i w:val="0"/>
          <w:iCs w:val="0"/>
          <w:color w:val="000000"/>
          <w:spacing w:val="0"/>
          <w:w w:val="100"/>
          <w:position w:val="0"/>
          <w:sz w:val="24"/>
          <w:szCs w:val="24"/>
          <w:highlight w:val="none"/>
          <w:u w:val="single"/>
          <w:lang w:val="en-US" w:eastAsia="zh-CN"/>
        </w:rPr>
        <w:t>单</w:t>
      </w:r>
      <w:r>
        <w:rPr>
          <w:i w:val="0"/>
          <w:iCs w:val="0"/>
          <w:color w:val="000000"/>
          <w:spacing w:val="0"/>
          <w:w w:val="100"/>
          <w:position w:val="0"/>
          <w:sz w:val="24"/>
          <w:szCs w:val="24"/>
          <w:highlight w:val="none"/>
          <w:u w:val="single"/>
        </w:rPr>
        <w:t>位名称）</w:t>
      </w:r>
      <w:r>
        <w:rPr>
          <w:i w:val="0"/>
          <w:iCs w:val="0"/>
          <w:color w:val="000000"/>
          <w:spacing w:val="0"/>
          <w:w w:val="100"/>
          <w:position w:val="0"/>
          <w:sz w:val="24"/>
          <w:szCs w:val="24"/>
          <w:highlight w:val="none"/>
        </w:rPr>
        <w:t>的</w:t>
      </w:r>
      <w:r>
        <w:rPr>
          <w:i w:val="0"/>
          <w:iCs w:val="0"/>
          <w:color w:val="000000"/>
          <w:spacing w:val="0"/>
          <w:w w:val="100"/>
          <w:position w:val="0"/>
          <w:sz w:val="24"/>
          <w:szCs w:val="24"/>
          <w:highlight w:val="none"/>
          <w:u w:val="single"/>
        </w:rPr>
        <w:t>（项目名称）</w:t>
      </w:r>
      <w:r>
        <w:rPr>
          <w:i w:val="0"/>
          <w:iCs w:val="0"/>
          <w:color w:val="000000"/>
          <w:spacing w:val="0"/>
          <w:w w:val="100"/>
          <w:position w:val="0"/>
          <w:sz w:val="24"/>
          <w:szCs w:val="24"/>
          <w:highlight w:val="none"/>
          <w:u w:val="none"/>
        </w:rPr>
        <w:t>采</w:t>
      </w:r>
      <w:r>
        <w:rPr>
          <w:i w:val="0"/>
          <w:iCs w:val="0"/>
          <w:color w:val="000000"/>
          <w:spacing w:val="0"/>
          <w:w w:val="100"/>
          <w:position w:val="0"/>
          <w:sz w:val="24"/>
          <w:szCs w:val="24"/>
          <w:highlight w:val="none"/>
        </w:rPr>
        <w:t>购活动,提供的货物全部由符合政策要求的中小企业制造。相关企业（含联合体中的中小企业、签订分包意向协议的中小企业）的具体情况如下：</w:t>
      </w:r>
    </w:p>
    <w:p w14:paraId="7BA1C180">
      <w:pPr>
        <w:pStyle w:val="46"/>
        <w:keepNext w:val="0"/>
        <w:keepLines w:val="0"/>
        <w:widowControl w:val="0"/>
        <w:shd w:val="clear" w:color="auto" w:fill="auto"/>
        <w:tabs>
          <w:tab w:val="left" w:pos="6581"/>
        </w:tabs>
        <w:bidi w:val="0"/>
        <w:spacing w:before="0" w:after="0" w:line="529" w:lineRule="exact"/>
        <w:ind w:left="0" w:right="0" w:firstLine="680"/>
        <w:jc w:val="both"/>
        <w:rPr>
          <w:rFonts w:hint="eastAsia" w:eastAsia="宋体"/>
          <w:i w:val="0"/>
          <w:iCs w:val="0"/>
          <w:sz w:val="24"/>
          <w:szCs w:val="24"/>
          <w:highlight w:val="none"/>
          <w:lang w:eastAsia="zh-CN"/>
        </w:rPr>
      </w:pPr>
      <w:r>
        <w:rPr>
          <w:rFonts w:ascii="Times New Roman" w:hAnsi="Times New Roman" w:eastAsia="Times New Roman" w:cs="Times New Roman"/>
          <w:i w:val="0"/>
          <w:iCs w:val="0"/>
          <w:color w:val="000000"/>
          <w:spacing w:val="0"/>
          <w:w w:val="100"/>
          <w:position w:val="0"/>
          <w:sz w:val="24"/>
          <w:szCs w:val="24"/>
          <w:highlight w:val="none"/>
        </w:rPr>
        <w:t>1</w:t>
      </w:r>
      <w:r>
        <w:rPr>
          <w:rFonts w:hint="eastAsia" w:ascii="Times New Roman" w:hAnsi="Times New Roman" w:cs="Times New Roman"/>
          <w:i w:val="0"/>
          <w:iCs w:val="0"/>
          <w:color w:val="000000"/>
          <w:spacing w:val="0"/>
          <w:w w:val="100"/>
          <w:position w:val="0"/>
          <w:sz w:val="24"/>
          <w:szCs w:val="24"/>
          <w:highlight w:val="none"/>
          <w:lang w:val="en-US" w:eastAsia="zh-CN"/>
        </w:rPr>
        <w:t>.</w:t>
      </w:r>
      <w:r>
        <w:rPr>
          <w:i w:val="0"/>
          <w:iCs w:val="0"/>
          <w:color w:val="000000"/>
          <w:spacing w:val="0"/>
          <w:w w:val="100"/>
          <w:position w:val="0"/>
          <w:sz w:val="24"/>
          <w:szCs w:val="24"/>
          <w:highlight w:val="none"/>
          <w:u w:val="single"/>
        </w:rPr>
        <w:t>（标的名称）</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（采购文件中明确的所属行业</w:t>
      </w:r>
      <w:r>
        <w:rPr>
          <w:rFonts w:hint="eastAsia"/>
          <w:i w:val="0"/>
          <w:iCs w:val="0"/>
          <w:color w:val="000000"/>
          <w:spacing w:val="0"/>
          <w:w w:val="100"/>
          <w:position w:val="0"/>
          <w:sz w:val="24"/>
          <w:szCs w:val="24"/>
          <w:highlight w:val="none"/>
          <w:u w:val="single"/>
          <w:lang w:eastAsia="zh-CN"/>
        </w:rPr>
        <w:t>）</w:t>
      </w:r>
      <w:r>
        <w:rPr>
          <w:i w:val="0"/>
          <w:iCs w:val="0"/>
          <w:color w:val="000000"/>
          <w:spacing w:val="0"/>
          <w:w w:val="100"/>
          <w:position w:val="0"/>
          <w:sz w:val="24"/>
          <w:szCs w:val="24"/>
          <w:highlight w:val="none"/>
          <w:u w:val="single"/>
        </w:rPr>
        <w:t>行业</w:t>
      </w:r>
      <w:r>
        <w:rPr>
          <w:i w:val="0"/>
          <w:iCs w:val="0"/>
          <w:color w:val="000000"/>
          <w:spacing w:val="0"/>
          <w:w w:val="100"/>
          <w:position w:val="0"/>
          <w:sz w:val="24"/>
          <w:szCs w:val="24"/>
          <w:highlight w:val="none"/>
        </w:rPr>
        <w:t>;制造商为</w:t>
      </w:r>
      <w:r>
        <w:rPr>
          <w:i w:val="0"/>
          <w:iCs w:val="0"/>
          <w:color w:val="000000"/>
          <w:spacing w:val="0"/>
          <w:w w:val="100"/>
          <w:position w:val="0"/>
          <w:sz w:val="24"/>
          <w:szCs w:val="24"/>
          <w:highlight w:val="none"/>
          <w:u w:val="single"/>
        </w:rPr>
        <w:t>（企业名称）</w:t>
      </w:r>
      <w:r>
        <w:rPr>
          <w:i w:val="0"/>
          <w:iCs w:val="0"/>
          <w:color w:val="000000"/>
          <w:spacing w:val="0"/>
          <w:w w:val="100"/>
          <w:position w:val="0"/>
          <w:sz w:val="24"/>
          <w:szCs w:val="24"/>
          <w:highlight w:val="none"/>
        </w:rPr>
        <w:t>,从业人员</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rFonts w:hint="eastAsia"/>
          <w:i w:val="0"/>
          <w:iCs w:val="0"/>
          <w:color w:val="000000"/>
          <w:spacing w:val="0"/>
          <w:w w:val="100"/>
          <w:position w:val="0"/>
          <w:sz w:val="24"/>
          <w:szCs w:val="24"/>
          <w:highlight w:val="none"/>
          <w:lang w:val="en-US" w:eastAsia="zh-CN"/>
        </w:rPr>
        <w:t>人</w:t>
      </w:r>
      <w:r>
        <w:rPr>
          <w:i w:val="0"/>
          <w:iCs w:val="0"/>
          <w:color w:val="000000"/>
          <w:spacing w:val="0"/>
          <w:w w:val="100"/>
          <w:position w:val="0"/>
          <w:sz w:val="24"/>
          <w:szCs w:val="24"/>
          <w:highlight w:val="none"/>
        </w:rPr>
        <w:t>,营业收入为</w:t>
      </w:r>
      <w:r>
        <w:rPr>
          <w:rFonts w:hint="eastAsia"/>
          <w:i w:val="0"/>
          <w:iCs w:val="0"/>
          <w:color w:val="000000"/>
          <w:spacing w:val="0"/>
          <w:w w:val="100"/>
          <w:position w:val="0"/>
          <w:sz w:val="24"/>
          <w:szCs w:val="24"/>
          <w:highlight w:val="none"/>
          <w:u w:val="single"/>
          <w:lang w:val="en-US" w:eastAsia="zh-CN" w:bidi="zh-CN"/>
        </w:rPr>
        <w:t xml:space="preserve">    </w:t>
      </w:r>
      <w:r>
        <w:rPr>
          <w:i w:val="0"/>
          <w:iCs w:val="0"/>
          <w:color w:val="000000"/>
          <w:spacing w:val="0"/>
          <w:w w:val="100"/>
          <w:position w:val="0"/>
          <w:sz w:val="24"/>
          <w:szCs w:val="24"/>
          <w:highlight w:val="none"/>
        </w:rPr>
        <w:t>万元，资产总额为</w:t>
      </w:r>
      <w:r>
        <w:rPr>
          <w:rFonts w:hint="eastAsia"/>
          <w:i w:val="0"/>
          <w:iCs w:val="0"/>
          <w:color w:val="000000"/>
          <w:spacing w:val="0"/>
          <w:w w:val="100"/>
          <w:position w:val="0"/>
          <w:sz w:val="24"/>
          <w:szCs w:val="24"/>
          <w:highlight w:val="none"/>
          <w:u w:val="single"/>
          <w:lang w:val="en-US" w:eastAsia="zh-CN" w:bidi="zh-CN"/>
        </w:rPr>
        <w:t xml:space="preserve">    </w:t>
      </w:r>
      <w:r>
        <w:rPr>
          <w:i w:val="0"/>
          <w:iCs w:val="0"/>
          <w:color w:val="000000"/>
          <w:spacing w:val="0"/>
          <w:w w:val="100"/>
          <w:position w:val="0"/>
          <w:sz w:val="24"/>
          <w:szCs w:val="24"/>
          <w:highlight w:val="none"/>
        </w:rPr>
        <w:t>万元</w:t>
      </w:r>
      <w:r>
        <w:rPr>
          <w:rFonts w:hint="eastAsia"/>
          <w:i w:val="0"/>
          <w:iCs w:val="0"/>
          <w:color w:val="000000"/>
          <w:spacing w:val="0"/>
          <w:w w:val="100"/>
          <w:position w:val="0"/>
          <w:sz w:val="24"/>
          <w:szCs w:val="24"/>
          <w:highlight w:val="none"/>
          <w:vertAlign w:val="superscript"/>
          <w:lang w:val="en-US" w:eastAsia="zh-CN"/>
        </w:rPr>
        <w:t>1</w:t>
      </w:r>
      <w:r>
        <w:rPr>
          <w:rFonts w:hint="eastAsia"/>
          <w:i w:val="0"/>
          <w:iCs w:val="0"/>
          <w:color w:val="000000"/>
          <w:spacing w:val="0"/>
          <w:w w:val="100"/>
          <w:position w:val="0"/>
          <w:sz w:val="24"/>
          <w:szCs w:val="24"/>
          <w:highlight w:val="none"/>
          <w:lang w:eastAsia="zh-CN"/>
        </w:rPr>
        <w:t>，</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（中型企业、小型企业、微型企业</w:t>
      </w:r>
      <w:r>
        <w:rPr>
          <w:rFonts w:hint="eastAsia"/>
          <w:i w:val="0"/>
          <w:iCs w:val="0"/>
          <w:color w:val="000000"/>
          <w:spacing w:val="0"/>
          <w:w w:val="100"/>
          <w:position w:val="0"/>
          <w:sz w:val="24"/>
          <w:szCs w:val="24"/>
          <w:highlight w:val="none"/>
          <w:u w:val="single"/>
          <w:lang w:eastAsia="zh-CN"/>
        </w:rPr>
        <w:t>）</w:t>
      </w:r>
      <w:r>
        <w:rPr>
          <w:rFonts w:hint="eastAsia" w:ascii="Times New Roman" w:hAnsi="Times New Roman" w:cs="Times New Roman"/>
          <w:i w:val="0"/>
          <w:iCs w:val="0"/>
          <w:color w:val="000000"/>
          <w:spacing w:val="0"/>
          <w:w w:val="100"/>
          <w:position w:val="0"/>
          <w:sz w:val="24"/>
          <w:szCs w:val="24"/>
          <w:highlight w:val="none"/>
          <w:u w:val="none"/>
          <w:lang w:eastAsia="zh-CN"/>
        </w:rPr>
        <w:t>；</w:t>
      </w:r>
    </w:p>
    <w:p w14:paraId="3786F558">
      <w:pPr>
        <w:pStyle w:val="46"/>
        <w:keepNext w:val="0"/>
        <w:keepLines w:val="0"/>
        <w:widowControl w:val="0"/>
        <w:shd w:val="clear" w:color="auto" w:fill="auto"/>
        <w:bidi w:val="0"/>
        <w:spacing w:before="0" w:after="480" w:line="529" w:lineRule="exact"/>
        <w:ind w:left="0" w:right="0" w:firstLine="680"/>
        <w:jc w:val="both"/>
        <w:rPr>
          <w:rFonts w:hint="eastAsia" w:eastAsia="宋体"/>
          <w:i w:val="0"/>
          <w:iCs w:val="0"/>
          <w:sz w:val="24"/>
          <w:szCs w:val="24"/>
          <w:highlight w:val="none"/>
          <w:lang w:eastAsia="zh-CN"/>
        </w:rPr>
      </w:pPr>
      <w:r>
        <w:rPr>
          <w:rFonts w:ascii="Times New Roman" w:hAnsi="Times New Roman" w:eastAsia="Times New Roman" w:cs="Times New Roman"/>
          <w:i w:val="0"/>
          <w:iCs w:val="0"/>
          <w:color w:val="000000"/>
          <w:spacing w:val="0"/>
          <w:w w:val="100"/>
          <w:position w:val="0"/>
          <w:sz w:val="24"/>
          <w:szCs w:val="24"/>
          <w:highlight w:val="none"/>
          <w:lang w:val="en-US" w:eastAsia="en-US" w:bidi="en-US"/>
        </w:rPr>
        <w:t>2.</w:t>
      </w:r>
      <w:r>
        <w:rPr>
          <w:i w:val="0"/>
          <w:iCs w:val="0"/>
          <w:color w:val="000000"/>
          <w:spacing w:val="0"/>
          <w:w w:val="100"/>
          <w:position w:val="0"/>
          <w:sz w:val="24"/>
          <w:szCs w:val="24"/>
          <w:highlight w:val="none"/>
          <w:u w:val="single"/>
        </w:rPr>
        <w:t>（标的名称）</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w:t>
      </w:r>
      <w:r>
        <w:rPr>
          <w:rFonts w:hint="eastAsia"/>
          <w:i w:val="0"/>
          <w:iCs w:val="0"/>
          <w:color w:val="000000"/>
          <w:spacing w:val="0"/>
          <w:w w:val="100"/>
          <w:position w:val="0"/>
          <w:sz w:val="24"/>
          <w:szCs w:val="24"/>
          <w:highlight w:val="none"/>
          <w:u w:val="single"/>
          <w:lang w:eastAsia="zh-CN"/>
        </w:rPr>
        <w:t>采购</w:t>
      </w:r>
      <w:r>
        <w:rPr>
          <w:i w:val="0"/>
          <w:iCs w:val="0"/>
          <w:color w:val="000000"/>
          <w:spacing w:val="0"/>
          <w:w w:val="100"/>
          <w:position w:val="0"/>
          <w:sz w:val="24"/>
          <w:szCs w:val="24"/>
          <w:highlight w:val="none"/>
          <w:u w:val="single"/>
        </w:rPr>
        <w:t>文件中明确的所属行业）行业</w:t>
      </w:r>
      <w:r>
        <w:rPr>
          <w:i w:val="0"/>
          <w:iCs w:val="0"/>
          <w:color w:val="000000"/>
          <w:spacing w:val="0"/>
          <w:w w:val="100"/>
          <w:position w:val="0"/>
          <w:sz w:val="24"/>
          <w:szCs w:val="24"/>
          <w:highlight w:val="none"/>
        </w:rPr>
        <w:t>;制造商为</w:t>
      </w:r>
      <w:r>
        <w:rPr>
          <w:i w:val="0"/>
          <w:iCs w:val="0"/>
          <w:color w:val="000000"/>
          <w:spacing w:val="0"/>
          <w:w w:val="100"/>
          <w:position w:val="0"/>
          <w:sz w:val="24"/>
          <w:szCs w:val="24"/>
          <w:highlight w:val="none"/>
          <w:u w:val="single"/>
        </w:rPr>
        <w:t>（企业名称）</w:t>
      </w:r>
      <w:r>
        <w:rPr>
          <w:i w:val="0"/>
          <w:iCs w:val="0"/>
          <w:color w:val="000000"/>
          <w:spacing w:val="0"/>
          <w:w w:val="100"/>
          <w:position w:val="0"/>
          <w:sz w:val="24"/>
          <w:szCs w:val="24"/>
          <w:highlight w:val="none"/>
        </w:rPr>
        <w:t>,从业人员</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rFonts w:hint="eastAsia"/>
          <w:i w:val="0"/>
          <w:iCs w:val="0"/>
          <w:color w:val="000000"/>
          <w:spacing w:val="0"/>
          <w:w w:val="100"/>
          <w:position w:val="0"/>
          <w:sz w:val="24"/>
          <w:szCs w:val="24"/>
          <w:highlight w:val="none"/>
          <w:lang w:val="en-US" w:eastAsia="zh-CN"/>
        </w:rPr>
        <w:t>人</w:t>
      </w:r>
      <w:r>
        <w:rPr>
          <w:i w:val="0"/>
          <w:iCs w:val="0"/>
          <w:color w:val="000000"/>
          <w:spacing w:val="0"/>
          <w:w w:val="100"/>
          <w:position w:val="0"/>
          <w:sz w:val="24"/>
          <w:szCs w:val="24"/>
          <w:highlight w:val="none"/>
        </w:rPr>
        <w:t>,营业收入为</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i w:val="0"/>
          <w:iCs w:val="0"/>
          <w:color w:val="000000"/>
          <w:spacing w:val="0"/>
          <w:w w:val="100"/>
          <w:position w:val="0"/>
          <w:sz w:val="24"/>
          <w:szCs w:val="24"/>
          <w:highlight w:val="none"/>
        </w:rPr>
        <w:t>万元，资产总额为</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i w:val="0"/>
          <w:iCs w:val="0"/>
          <w:color w:val="000000"/>
          <w:spacing w:val="0"/>
          <w:w w:val="100"/>
          <w:position w:val="0"/>
          <w:sz w:val="24"/>
          <w:szCs w:val="24"/>
          <w:highlight w:val="none"/>
        </w:rPr>
        <w:t>万元，属于</w:t>
      </w:r>
      <w:r>
        <w:rPr>
          <w:i w:val="0"/>
          <w:iCs w:val="0"/>
          <w:color w:val="000000"/>
          <w:spacing w:val="0"/>
          <w:w w:val="100"/>
          <w:position w:val="0"/>
          <w:sz w:val="24"/>
          <w:szCs w:val="24"/>
          <w:highlight w:val="none"/>
          <w:u w:val="single"/>
        </w:rPr>
        <w:t>（中型企业、小型 企业、微型企业</w:t>
      </w:r>
      <w:r>
        <w:rPr>
          <w:rFonts w:hint="eastAsia"/>
          <w:i w:val="0"/>
          <w:iCs w:val="0"/>
          <w:color w:val="000000"/>
          <w:spacing w:val="0"/>
          <w:w w:val="100"/>
          <w:position w:val="0"/>
          <w:sz w:val="24"/>
          <w:szCs w:val="24"/>
          <w:highlight w:val="none"/>
          <w:u w:val="single"/>
          <w:lang w:eastAsia="zh-CN"/>
        </w:rPr>
        <w:t>）</w:t>
      </w:r>
      <w:r>
        <w:rPr>
          <w:rFonts w:hint="eastAsia" w:ascii="Times New Roman" w:hAnsi="Times New Roman" w:cs="Times New Roman"/>
          <w:i w:val="0"/>
          <w:iCs w:val="0"/>
          <w:color w:val="000000"/>
          <w:spacing w:val="0"/>
          <w:w w:val="100"/>
          <w:position w:val="0"/>
          <w:sz w:val="24"/>
          <w:szCs w:val="24"/>
          <w:highlight w:val="none"/>
          <w:u w:val="single"/>
          <w:lang w:eastAsia="zh-CN"/>
        </w:rPr>
        <w:t>；</w:t>
      </w:r>
    </w:p>
    <w:p w14:paraId="57CDD549">
      <w:pPr>
        <w:pStyle w:val="46"/>
        <w:keepNext w:val="0"/>
        <w:keepLines w:val="0"/>
        <w:widowControl w:val="0"/>
        <w:shd w:val="clear" w:color="auto" w:fill="auto"/>
        <w:bidi w:val="0"/>
        <w:spacing w:before="0" w:after="0" w:line="544" w:lineRule="exact"/>
        <w:ind w:left="0" w:right="0" w:firstLine="680"/>
        <w:jc w:val="both"/>
        <w:rPr>
          <w:i w:val="0"/>
          <w:iCs w:val="0"/>
          <w:sz w:val="24"/>
          <w:szCs w:val="24"/>
          <w:highlight w:val="none"/>
        </w:rPr>
      </w:pPr>
      <w:r>
        <w:rPr>
          <w:i w:val="0"/>
          <w:iCs w:val="0"/>
          <w:color w:val="000000"/>
          <w:spacing w:val="0"/>
          <w:w w:val="100"/>
          <w:position w:val="0"/>
          <w:sz w:val="24"/>
          <w:szCs w:val="24"/>
          <w:highlight w:val="none"/>
        </w:rPr>
        <w:t>以上企业，不属于大企业的分支机构，不存在控股股东为大企业的情形，也不存在与大企业的负责人为同一人的情形。</w:t>
      </w:r>
    </w:p>
    <w:p w14:paraId="663775F7">
      <w:pPr>
        <w:pStyle w:val="46"/>
        <w:keepNext w:val="0"/>
        <w:keepLines w:val="0"/>
        <w:widowControl w:val="0"/>
        <w:shd w:val="clear" w:color="auto" w:fill="auto"/>
        <w:bidi w:val="0"/>
        <w:spacing w:before="0" w:after="0" w:line="526" w:lineRule="exact"/>
        <w:ind w:left="0" w:right="0" w:firstLine="680"/>
        <w:jc w:val="both"/>
        <w:rPr>
          <w:i w:val="0"/>
          <w:iCs w:val="0"/>
          <w:color w:val="000000"/>
          <w:spacing w:val="0"/>
          <w:w w:val="100"/>
          <w:position w:val="0"/>
          <w:sz w:val="24"/>
          <w:szCs w:val="24"/>
          <w:highlight w:val="none"/>
        </w:rPr>
      </w:pPr>
      <w:r>
        <w:rPr>
          <w:i w:val="0"/>
          <w:iCs w:val="0"/>
          <w:color w:val="000000"/>
          <w:spacing w:val="0"/>
          <w:w w:val="100"/>
          <w:position w:val="0"/>
          <w:sz w:val="24"/>
          <w:szCs w:val="24"/>
          <w:highlight w:val="none"/>
        </w:rPr>
        <w:t>本企业对上述声明内容的真实性负责。如有虚假，将依 法承担相应责任。</w:t>
      </w:r>
    </w:p>
    <w:p w14:paraId="01B60814">
      <w:pPr>
        <w:pStyle w:val="46"/>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14:paraId="41B5EF62">
      <w:pPr>
        <w:pStyle w:val="46"/>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14:paraId="5A99392A">
      <w:pPr>
        <w:pStyle w:val="46"/>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14:paraId="0066B740">
      <w:pPr>
        <w:pStyle w:val="46"/>
        <w:keepNext w:val="0"/>
        <w:keepLines w:val="0"/>
        <w:widowControl w:val="0"/>
        <w:shd w:val="clear" w:color="auto" w:fill="auto"/>
        <w:bidi w:val="0"/>
        <w:spacing w:before="0" w:after="0" w:line="36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r>
        <w:rPr>
          <w:rFonts w:hint="eastAsia"/>
          <w:b w:val="0"/>
          <w:bCs w:val="0"/>
          <w:i w:val="0"/>
          <w:iCs w:val="0"/>
          <w:smallCaps w:val="0"/>
          <w:strike w:val="0"/>
          <w:color w:val="000000"/>
          <w:spacing w:val="0"/>
          <w:w w:val="100"/>
          <w:position w:val="0"/>
          <w:sz w:val="24"/>
          <w:szCs w:val="24"/>
          <w:highlight w:val="none"/>
          <w:lang w:val="en-US" w:eastAsia="zh-CN"/>
        </w:rPr>
        <w:t>企业名称（盖章）：</w:t>
      </w:r>
    </w:p>
    <w:p w14:paraId="38BE088D">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r>
        <w:rPr>
          <w:rFonts w:hint="eastAsia"/>
          <w:b w:val="0"/>
          <w:bCs w:val="0"/>
          <w:i w:val="0"/>
          <w:iCs w:val="0"/>
          <w:smallCaps w:val="0"/>
          <w:strike w:val="0"/>
          <w:color w:val="000000"/>
          <w:spacing w:val="0"/>
          <w:w w:val="100"/>
          <w:position w:val="0"/>
          <w:sz w:val="24"/>
          <w:szCs w:val="24"/>
          <w:highlight w:val="none"/>
          <w:lang w:val="en-US" w:eastAsia="zh-CN"/>
        </w:rPr>
        <w:t>日</w:t>
      </w:r>
      <w:r>
        <w:rPr>
          <w:b w:val="0"/>
          <w:bCs w:val="0"/>
          <w:i w:val="0"/>
          <w:iCs w:val="0"/>
          <w:smallCaps w:val="0"/>
          <w:strike w:val="0"/>
          <w:color w:val="000000"/>
          <w:spacing w:val="0"/>
          <w:w w:val="100"/>
          <w:position w:val="0"/>
          <w:sz w:val="24"/>
          <w:szCs w:val="24"/>
          <w:highlight w:val="none"/>
        </w:rPr>
        <w:t>期：</w:t>
      </w:r>
    </w:p>
    <w:p w14:paraId="4F67A4B5">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104D632D">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72C9C55B">
      <w:pPr>
        <w:pStyle w:val="47"/>
        <w:keepNext w:val="0"/>
        <w:keepLines w:val="0"/>
        <w:widowControl w:val="0"/>
        <w:shd w:val="clear" w:color="auto" w:fill="auto"/>
        <w:bidi w:val="0"/>
        <w:spacing w:before="0" w:line="240" w:lineRule="auto"/>
        <w:ind w:left="0" w:right="0"/>
        <w:jc w:val="both"/>
        <w:rPr>
          <w:highlight w:val="none"/>
        </w:rPr>
      </w:pPr>
      <w:r>
        <w:rPr>
          <w:rFonts w:hint="eastAsia" w:ascii="Times New Roman" w:hAnsi="Times New Roman" w:cs="Times New Roman"/>
          <w:color w:val="000000"/>
          <w:spacing w:val="0"/>
          <w:w w:val="100"/>
          <w:position w:val="0"/>
          <w:sz w:val="13"/>
          <w:szCs w:val="13"/>
          <w:highlight w:val="none"/>
          <w:vertAlign w:val="superscript"/>
          <w:lang w:val="en-US" w:eastAsia="zh-CN"/>
        </w:rPr>
        <w:t>1</w:t>
      </w:r>
      <w:r>
        <w:rPr>
          <w:color w:val="000000"/>
          <w:spacing w:val="0"/>
          <w:w w:val="100"/>
          <w:position w:val="0"/>
          <w:highlight w:val="none"/>
        </w:rPr>
        <w:t>从业人员、营业收入、资产总额填报上一年度数据，无上一年度数据的新成立企业可不填报。</w:t>
      </w:r>
    </w:p>
    <w:p w14:paraId="507F5D7E">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72A9FC2">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3D44336B">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2A2265B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14:paraId="1301B1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3494186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7D890A8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22A0ABB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7E14782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431F242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75CCEA8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429C973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5773357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62314C6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5F7A779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7CFED59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5ED4CBE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51E4A3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719B033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041F0A5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67E96A3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488B802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5E26574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3ABACA9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3926013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24917D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采购限额标准以上，200万元以下的货物和服务采购项目、400万元以下的工程采购项目，适宜由中小企业提供的，采购人应当专门面向中小企业采购。</w:t>
      </w:r>
    </w:p>
    <w:p w14:paraId="651125A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超过200万元的货物和服务采购项目、超过400万元的工程采购项目中适宜由中小企业提供的，预留该部分采购项目预算总额的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629434C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017252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0B4D821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3563536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3A930AE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666C073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06628FE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7F621B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44DBF05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0F6C51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20BF7EF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55A85B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283738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4FA92C3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74F7C36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5248FE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4E6662B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2F9EDDE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1EADF8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3F63B19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4DC6D8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312E5A9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2D66FED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7A0D1E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4458AA6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D1A075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256D141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0815A6E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7EAD483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0C7DB5C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679E373B">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2E18335F">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第二十四条 省级财政部门可以会同中小企业主管部门根据本办法的规定制定具体实施办法。</w:t>
      </w:r>
    </w:p>
    <w:p w14:paraId="203F7DCD">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040EA90D">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41201DCF">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6A5A9B9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1F47082A">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14676F7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787F92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w:t>
      </w:r>
      <w:r>
        <w:rPr>
          <w:rFonts w:hint="eastAsia" w:ascii="宋体" w:hAnsi="宋体" w:cs="宋体"/>
          <w:spacing w:val="0"/>
          <w:w w:val="100"/>
          <w:kern w:val="2"/>
          <w:position w:val="0"/>
          <w:sz w:val="21"/>
          <w:szCs w:val="21"/>
          <w:highlight w:val="none"/>
          <w:lang w:eastAsia="zh-CN"/>
        </w:rPr>
        <w:t>高级</w:t>
      </w:r>
      <w:r>
        <w:rPr>
          <w:rFonts w:hint="eastAsia" w:ascii="宋体" w:hAnsi="宋体" w:eastAsia="宋体" w:cs="宋体"/>
          <w:spacing w:val="0"/>
          <w:w w:val="100"/>
          <w:kern w:val="2"/>
          <w:position w:val="0"/>
          <w:sz w:val="21"/>
          <w:szCs w:val="21"/>
          <w:highlight w:val="none"/>
        </w:rPr>
        <w:t>法院，高检院，有关人民团体，中央国家机关政府采购中心，中共中央直属机关采购中心，全国人大机关采购中心，各省、 自治区、直辖市、计划单列市财政厅（局）、司法厅（局） ，新疆生产建设兵团 财务局、司法局、监狱管理局：</w:t>
      </w:r>
    </w:p>
    <w:p w14:paraId="7183D81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090E8E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110918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6F0BC2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FB5C2D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329D4277">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E08FF6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2F179DA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1564836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569B3A9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1128DB2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29762D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227D6D8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340196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B63722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5B37C4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7F47B77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7AAFCB9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0E9A0F84">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3CDBF44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人及以上，且营业收入100万元及以上的为小型企业；从业人员 20人以下或营业收入 100 万元以下的为微型企业。</w:t>
      </w:r>
    </w:p>
    <w:p w14:paraId="5E6B42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5D187A3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1510474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772DEFE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2BFCE5C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5CEF793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3997894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1AFCBAF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6A81788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262323C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7511C81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6F11F9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w:t>
      </w:r>
      <w:r>
        <w:rPr>
          <w:rFonts w:hint="eastAsia" w:ascii="宋体" w:hAnsi="宋体" w:eastAsia="宋体" w:cs="宋体"/>
          <w:b w:val="0"/>
          <w:bCs w:val="0"/>
          <w:spacing w:val="0"/>
          <w:w w:val="100"/>
          <w:kern w:val="2"/>
          <w:position w:val="0"/>
          <w:sz w:val="21"/>
          <w:szCs w:val="21"/>
          <w:highlight w:val="none"/>
        </w:rPr>
        <w:t>由工业和信息化部、国家统计局会同有关部门根据《国民经济行业分类》 修订情况 和企业发展变化情况适时修订。</w:t>
      </w:r>
    </w:p>
    <w:p w14:paraId="1BBDA88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b w:val="0"/>
          <w:bCs w:val="0"/>
          <w:spacing w:val="0"/>
          <w:w w:val="100"/>
          <w:kern w:val="2"/>
          <w:position w:val="0"/>
          <w:sz w:val="21"/>
          <w:szCs w:val="21"/>
          <w:highlight w:val="none"/>
        </w:rPr>
        <w:t>九、本规定由工业和信息化部、国家统计局会同有关部门负责解释。</w:t>
      </w:r>
    </w:p>
    <w:p w14:paraId="49377830">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bookmarkStart w:id="71" w:name="_bookmark4"/>
      <w:bookmarkEnd w:id="71"/>
      <w:r>
        <w:rPr>
          <w:rFonts w:hint="eastAsia" w:ascii="宋体" w:hAnsi="宋体" w:eastAsia="宋体" w:cs="宋体"/>
          <w:b w:val="0"/>
          <w:bCs w:val="0"/>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1AE865E2">
      <w:pPr>
        <w:rPr>
          <w:rFonts w:hint="eastAsia" w:ascii="宋体" w:hAnsi="宋体" w:eastAsia="宋体" w:cs="宋体"/>
          <w:b w:val="0"/>
          <w:bCs w:val="0"/>
          <w:highlight w:val="none"/>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yriadPro-Regular">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7C187">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AA4C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6AA4C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7CCB">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2CF1467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D729">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DC398">
    <w:pPr>
      <w:pStyle w:val="15"/>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E1D8">
    <w:pPr>
      <w:pStyle w:val="15"/>
      <w:framePr w:wrap="around" w:vAnchor="text" w:hAnchor="margin" w:xAlign="right" w:y="1"/>
      <w:rPr>
        <w:rStyle w:val="28"/>
      </w:rPr>
    </w:pPr>
    <w:r>
      <w:fldChar w:fldCharType="begin"/>
    </w:r>
    <w:r>
      <w:rPr>
        <w:rStyle w:val="28"/>
      </w:rPr>
      <w:instrText xml:space="preserve">PAGE  </w:instrText>
    </w:r>
    <w:r>
      <w:fldChar w:fldCharType="separate"/>
    </w:r>
    <w:r>
      <w:fldChar w:fldCharType="end"/>
    </w:r>
  </w:p>
  <w:p w14:paraId="005D015D">
    <w:pPr>
      <w:pStyle w:val="1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55A13">
    <w:pPr>
      <w:pStyle w:val="15"/>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5DB22"/>
    <w:multiLevelType w:val="singleLevel"/>
    <w:tmpl w:val="9B15DB22"/>
    <w:lvl w:ilvl="0" w:tentative="0">
      <w:start w:val="19"/>
      <w:numFmt w:val="decimal"/>
      <w:suff w:val="nothing"/>
      <w:lvlText w:val="%1、"/>
      <w:lvlJc w:val="left"/>
    </w:lvl>
  </w:abstractNum>
  <w:abstractNum w:abstractNumId="1">
    <w:nsid w:val="A8C959A1"/>
    <w:multiLevelType w:val="singleLevel"/>
    <w:tmpl w:val="A8C959A1"/>
    <w:lvl w:ilvl="0" w:tentative="0">
      <w:start w:val="1"/>
      <w:numFmt w:val="decimal"/>
      <w:suff w:val="nothing"/>
      <w:lvlText w:val="%1．"/>
      <w:lvlJc w:val="left"/>
    </w:lvl>
  </w:abstractNum>
  <w:abstractNum w:abstractNumId="2">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F9DF50A"/>
    <w:multiLevelType w:val="singleLevel"/>
    <w:tmpl w:val="0F9DF50A"/>
    <w:lvl w:ilvl="0" w:tentative="0">
      <w:start w:val="1"/>
      <w:numFmt w:val="decimal"/>
      <w:lvlText w:val="%1"/>
      <w:lvlJc w:val="left"/>
      <w:pPr>
        <w:tabs>
          <w:tab w:val="left" w:pos="420"/>
        </w:tabs>
        <w:ind w:left="425" w:leftChars="0" w:hanging="425" w:firstLineChars="0"/>
      </w:pPr>
      <w:rPr>
        <w:rFonts w:hint="default"/>
      </w:rPr>
    </w:lvl>
  </w:abstractNum>
  <w:abstractNum w:abstractNumId="4">
    <w:nsid w:val="18AEDF89"/>
    <w:multiLevelType w:val="singleLevel"/>
    <w:tmpl w:val="18AEDF89"/>
    <w:lvl w:ilvl="0" w:tentative="0">
      <w:start w:val="6"/>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NjQzMmQyNjE0ZTk5OTdkMTUyMGEyYzViNmY5OTMifQ=="/>
    <w:docVar w:name="KSO_WPS_MARK_KEY" w:val="461b0675-1ac9-4135-83e2-d74b0dc0f92e"/>
  </w:docVars>
  <w:rsids>
    <w:rsidRoot w:val="09E449CF"/>
    <w:rsid w:val="005C4D2E"/>
    <w:rsid w:val="0071209B"/>
    <w:rsid w:val="007402CA"/>
    <w:rsid w:val="0086777B"/>
    <w:rsid w:val="00C44682"/>
    <w:rsid w:val="00E865C2"/>
    <w:rsid w:val="00F036C9"/>
    <w:rsid w:val="01323926"/>
    <w:rsid w:val="01566362"/>
    <w:rsid w:val="01A17E0A"/>
    <w:rsid w:val="01B110AA"/>
    <w:rsid w:val="023575E5"/>
    <w:rsid w:val="024C5DF5"/>
    <w:rsid w:val="025657AD"/>
    <w:rsid w:val="026E6F9B"/>
    <w:rsid w:val="02A76009"/>
    <w:rsid w:val="02E24CF0"/>
    <w:rsid w:val="02E62FD5"/>
    <w:rsid w:val="03062D2F"/>
    <w:rsid w:val="031C07A5"/>
    <w:rsid w:val="03892A60"/>
    <w:rsid w:val="038F541B"/>
    <w:rsid w:val="045C7FB1"/>
    <w:rsid w:val="04B30C95"/>
    <w:rsid w:val="051A6F66"/>
    <w:rsid w:val="05263B5D"/>
    <w:rsid w:val="054B27F0"/>
    <w:rsid w:val="056B77C2"/>
    <w:rsid w:val="056E4A9C"/>
    <w:rsid w:val="057C19CF"/>
    <w:rsid w:val="05A14F91"/>
    <w:rsid w:val="05C313AC"/>
    <w:rsid w:val="060E6ACB"/>
    <w:rsid w:val="06293905"/>
    <w:rsid w:val="06700194"/>
    <w:rsid w:val="069A035E"/>
    <w:rsid w:val="06ED4932"/>
    <w:rsid w:val="06F21F49"/>
    <w:rsid w:val="070103DE"/>
    <w:rsid w:val="07320CEB"/>
    <w:rsid w:val="07610E7C"/>
    <w:rsid w:val="078B5EF9"/>
    <w:rsid w:val="07C02047"/>
    <w:rsid w:val="08047E4C"/>
    <w:rsid w:val="080953FF"/>
    <w:rsid w:val="08387E2F"/>
    <w:rsid w:val="084773F1"/>
    <w:rsid w:val="08795AC0"/>
    <w:rsid w:val="08C91051"/>
    <w:rsid w:val="08DB7915"/>
    <w:rsid w:val="09324404"/>
    <w:rsid w:val="095A5B83"/>
    <w:rsid w:val="0978425B"/>
    <w:rsid w:val="09B554AF"/>
    <w:rsid w:val="09D16784"/>
    <w:rsid w:val="09E449CF"/>
    <w:rsid w:val="09F63AFE"/>
    <w:rsid w:val="09FB7366"/>
    <w:rsid w:val="0A2F7F3E"/>
    <w:rsid w:val="0A374116"/>
    <w:rsid w:val="0A530F50"/>
    <w:rsid w:val="0A652A31"/>
    <w:rsid w:val="0A6D7B38"/>
    <w:rsid w:val="0A7E2706"/>
    <w:rsid w:val="0A856C30"/>
    <w:rsid w:val="0AE0655C"/>
    <w:rsid w:val="0AF344E1"/>
    <w:rsid w:val="0B3B1F99"/>
    <w:rsid w:val="0B495EAF"/>
    <w:rsid w:val="0B6F331C"/>
    <w:rsid w:val="0B7A69B0"/>
    <w:rsid w:val="0BE856C8"/>
    <w:rsid w:val="0C012C2E"/>
    <w:rsid w:val="0C0B2B0B"/>
    <w:rsid w:val="0C14470F"/>
    <w:rsid w:val="0C403756"/>
    <w:rsid w:val="0C437F80"/>
    <w:rsid w:val="0CBB4B8B"/>
    <w:rsid w:val="0CC00650"/>
    <w:rsid w:val="0CD63D02"/>
    <w:rsid w:val="0CEC2F96"/>
    <w:rsid w:val="0CF34325"/>
    <w:rsid w:val="0CF62067"/>
    <w:rsid w:val="0D224C0A"/>
    <w:rsid w:val="0D3F27E7"/>
    <w:rsid w:val="0D780CCE"/>
    <w:rsid w:val="0DB1243D"/>
    <w:rsid w:val="0DB367A1"/>
    <w:rsid w:val="0DD00B0A"/>
    <w:rsid w:val="0DD506AB"/>
    <w:rsid w:val="0E2A021A"/>
    <w:rsid w:val="0E2A1FC8"/>
    <w:rsid w:val="0E5057A7"/>
    <w:rsid w:val="0E5C239D"/>
    <w:rsid w:val="0EC20452"/>
    <w:rsid w:val="0EC550D4"/>
    <w:rsid w:val="0EF44384"/>
    <w:rsid w:val="0F2E5AE8"/>
    <w:rsid w:val="0F36499C"/>
    <w:rsid w:val="10150A56"/>
    <w:rsid w:val="102E1B18"/>
    <w:rsid w:val="10F13271"/>
    <w:rsid w:val="112E6273"/>
    <w:rsid w:val="11786124"/>
    <w:rsid w:val="118045F5"/>
    <w:rsid w:val="11AD363C"/>
    <w:rsid w:val="11CD4F4B"/>
    <w:rsid w:val="12394ECF"/>
    <w:rsid w:val="126F1CAA"/>
    <w:rsid w:val="129A6121"/>
    <w:rsid w:val="12A10C95"/>
    <w:rsid w:val="12BA444B"/>
    <w:rsid w:val="12D360F0"/>
    <w:rsid w:val="12F878A6"/>
    <w:rsid w:val="12FB2185"/>
    <w:rsid w:val="12FC56ED"/>
    <w:rsid w:val="13772926"/>
    <w:rsid w:val="137D2B9A"/>
    <w:rsid w:val="138163C4"/>
    <w:rsid w:val="138E130F"/>
    <w:rsid w:val="139B5716"/>
    <w:rsid w:val="13B218BC"/>
    <w:rsid w:val="13B50586"/>
    <w:rsid w:val="13B54A2A"/>
    <w:rsid w:val="13C474E3"/>
    <w:rsid w:val="13CE7899"/>
    <w:rsid w:val="13D848ED"/>
    <w:rsid w:val="13DA4490"/>
    <w:rsid w:val="13EE3E05"/>
    <w:rsid w:val="14757D15"/>
    <w:rsid w:val="14885C9A"/>
    <w:rsid w:val="14926B19"/>
    <w:rsid w:val="149A3C1F"/>
    <w:rsid w:val="149A777C"/>
    <w:rsid w:val="14DF1632"/>
    <w:rsid w:val="15001CD4"/>
    <w:rsid w:val="15400323"/>
    <w:rsid w:val="156D6C3E"/>
    <w:rsid w:val="15761F97"/>
    <w:rsid w:val="157E2810"/>
    <w:rsid w:val="15A07014"/>
    <w:rsid w:val="15CC605B"/>
    <w:rsid w:val="15E37124"/>
    <w:rsid w:val="15F66C34"/>
    <w:rsid w:val="1606156C"/>
    <w:rsid w:val="161C1292"/>
    <w:rsid w:val="16273291"/>
    <w:rsid w:val="163F682C"/>
    <w:rsid w:val="16976668"/>
    <w:rsid w:val="1726265B"/>
    <w:rsid w:val="17272224"/>
    <w:rsid w:val="173B52B1"/>
    <w:rsid w:val="17497392"/>
    <w:rsid w:val="174C7453"/>
    <w:rsid w:val="17575DF8"/>
    <w:rsid w:val="17A74689"/>
    <w:rsid w:val="17C74D2B"/>
    <w:rsid w:val="1831274A"/>
    <w:rsid w:val="18610CDC"/>
    <w:rsid w:val="18680A26"/>
    <w:rsid w:val="189866C8"/>
    <w:rsid w:val="18A1557C"/>
    <w:rsid w:val="18D45952"/>
    <w:rsid w:val="18D47700"/>
    <w:rsid w:val="18E86D07"/>
    <w:rsid w:val="18F733EE"/>
    <w:rsid w:val="19017DC9"/>
    <w:rsid w:val="191171B3"/>
    <w:rsid w:val="19143FA0"/>
    <w:rsid w:val="1915170A"/>
    <w:rsid w:val="19383A4E"/>
    <w:rsid w:val="193B777F"/>
    <w:rsid w:val="196565AA"/>
    <w:rsid w:val="1968609A"/>
    <w:rsid w:val="19E27BFB"/>
    <w:rsid w:val="1A163D48"/>
    <w:rsid w:val="1A6C1BBA"/>
    <w:rsid w:val="1A9D7FC6"/>
    <w:rsid w:val="1ABC05C7"/>
    <w:rsid w:val="1ABC48F0"/>
    <w:rsid w:val="1AD339E7"/>
    <w:rsid w:val="1AE45BF4"/>
    <w:rsid w:val="1B4F3923"/>
    <w:rsid w:val="1B7927E1"/>
    <w:rsid w:val="1B851185"/>
    <w:rsid w:val="1B8540E2"/>
    <w:rsid w:val="1BAF7FB0"/>
    <w:rsid w:val="1BB43819"/>
    <w:rsid w:val="1BC075CA"/>
    <w:rsid w:val="1BF6798D"/>
    <w:rsid w:val="1CB47446"/>
    <w:rsid w:val="1CDD28FB"/>
    <w:rsid w:val="1D5D57EA"/>
    <w:rsid w:val="1D7C1CE5"/>
    <w:rsid w:val="1D882867"/>
    <w:rsid w:val="1DAD0520"/>
    <w:rsid w:val="1DBA5153"/>
    <w:rsid w:val="1DBB6FE3"/>
    <w:rsid w:val="1DCD2970"/>
    <w:rsid w:val="1DCD471E"/>
    <w:rsid w:val="1DD12460"/>
    <w:rsid w:val="1E0736E7"/>
    <w:rsid w:val="1E0A3BC4"/>
    <w:rsid w:val="1E5906A7"/>
    <w:rsid w:val="1E603330"/>
    <w:rsid w:val="1E890F8D"/>
    <w:rsid w:val="1E976C53"/>
    <w:rsid w:val="1EA00084"/>
    <w:rsid w:val="1EA96F39"/>
    <w:rsid w:val="1ECC70CB"/>
    <w:rsid w:val="1EE44415"/>
    <w:rsid w:val="1EE6018D"/>
    <w:rsid w:val="1EE77A61"/>
    <w:rsid w:val="1EEB7551"/>
    <w:rsid w:val="1F0371CD"/>
    <w:rsid w:val="1F5350F7"/>
    <w:rsid w:val="1FE50445"/>
    <w:rsid w:val="1FFB345D"/>
    <w:rsid w:val="20375FA9"/>
    <w:rsid w:val="20653333"/>
    <w:rsid w:val="2079293B"/>
    <w:rsid w:val="20B02B54"/>
    <w:rsid w:val="20FA7F20"/>
    <w:rsid w:val="20FB77F4"/>
    <w:rsid w:val="2164183D"/>
    <w:rsid w:val="21731A80"/>
    <w:rsid w:val="2194565A"/>
    <w:rsid w:val="21A00BA4"/>
    <w:rsid w:val="21A954A2"/>
    <w:rsid w:val="21BE2CFB"/>
    <w:rsid w:val="21D7200F"/>
    <w:rsid w:val="21FA5CFD"/>
    <w:rsid w:val="221C5C74"/>
    <w:rsid w:val="223C4749"/>
    <w:rsid w:val="22A04AF7"/>
    <w:rsid w:val="22C5455D"/>
    <w:rsid w:val="22D622C7"/>
    <w:rsid w:val="23502079"/>
    <w:rsid w:val="2376267A"/>
    <w:rsid w:val="23825FAA"/>
    <w:rsid w:val="23CB16FF"/>
    <w:rsid w:val="23EA427B"/>
    <w:rsid w:val="23F93F53"/>
    <w:rsid w:val="24172B97"/>
    <w:rsid w:val="241E2177"/>
    <w:rsid w:val="241F6EAE"/>
    <w:rsid w:val="24243CE4"/>
    <w:rsid w:val="24BB5C18"/>
    <w:rsid w:val="24C50845"/>
    <w:rsid w:val="24E966AA"/>
    <w:rsid w:val="24EF58C2"/>
    <w:rsid w:val="251315B0"/>
    <w:rsid w:val="25137519"/>
    <w:rsid w:val="25234734"/>
    <w:rsid w:val="25401C79"/>
    <w:rsid w:val="25461985"/>
    <w:rsid w:val="2561056D"/>
    <w:rsid w:val="25E1345C"/>
    <w:rsid w:val="25EF3DCB"/>
    <w:rsid w:val="260158AC"/>
    <w:rsid w:val="262E3BAA"/>
    <w:rsid w:val="263E21A9"/>
    <w:rsid w:val="26887D7C"/>
    <w:rsid w:val="268B33C8"/>
    <w:rsid w:val="26C9444B"/>
    <w:rsid w:val="26FA787D"/>
    <w:rsid w:val="27225ADA"/>
    <w:rsid w:val="275F0ADD"/>
    <w:rsid w:val="27801148"/>
    <w:rsid w:val="27B04289"/>
    <w:rsid w:val="27C13545"/>
    <w:rsid w:val="27D5603A"/>
    <w:rsid w:val="27DD5EA5"/>
    <w:rsid w:val="282E4ADB"/>
    <w:rsid w:val="28520641"/>
    <w:rsid w:val="287560DE"/>
    <w:rsid w:val="287954DB"/>
    <w:rsid w:val="288D3427"/>
    <w:rsid w:val="28B023F4"/>
    <w:rsid w:val="291853E7"/>
    <w:rsid w:val="29671ECA"/>
    <w:rsid w:val="29824F56"/>
    <w:rsid w:val="29A27252"/>
    <w:rsid w:val="29F23811"/>
    <w:rsid w:val="2A094D30"/>
    <w:rsid w:val="2A391AB9"/>
    <w:rsid w:val="2A924D25"/>
    <w:rsid w:val="2A9767DF"/>
    <w:rsid w:val="2AA333D6"/>
    <w:rsid w:val="2ACF5F79"/>
    <w:rsid w:val="2AEF3F25"/>
    <w:rsid w:val="2AF21C68"/>
    <w:rsid w:val="2AFC2AE6"/>
    <w:rsid w:val="2B03550B"/>
    <w:rsid w:val="2B083952"/>
    <w:rsid w:val="2B0D4CF3"/>
    <w:rsid w:val="2B195446"/>
    <w:rsid w:val="2B3109E2"/>
    <w:rsid w:val="2B381D70"/>
    <w:rsid w:val="2B5B01CE"/>
    <w:rsid w:val="2B634913"/>
    <w:rsid w:val="2B8F5708"/>
    <w:rsid w:val="2BFF2BD4"/>
    <w:rsid w:val="2C1D4AC2"/>
    <w:rsid w:val="2C210A56"/>
    <w:rsid w:val="2C4A1610"/>
    <w:rsid w:val="2C4B5AD3"/>
    <w:rsid w:val="2C520C10"/>
    <w:rsid w:val="2C574478"/>
    <w:rsid w:val="2C5A1872"/>
    <w:rsid w:val="2C6A3498"/>
    <w:rsid w:val="2C7D1A05"/>
    <w:rsid w:val="2C7F12EF"/>
    <w:rsid w:val="2D1265F1"/>
    <w:rsid w:val="2D46629B"/>
    <w:rsid w:val="2D517119"/>
    <w:rsid w:val="2DC85DAE"/>
    <w:rsid w:val="2E1168A9"/>
    <w:rsid w:val="2E7754F2"/>
    <w:rsid w:val="2ECD6C74"/>
    <w:rsid w:val="2ED21934"/>
    <w:rsid w:val="2EDA14B1"/>
    <w:rsid w:val="2F1C5505"/>
    <w:rsid w:val="2F1F0B51"/>
    <w:rsid w:val="2F2820FC"/>
    <w:rsid w:val="2F370591"/>
    <w:rsid w:val="2F4F1437"/>
    <w:rsid w:val="2F4F58DB"/>
    <w:rsid w:val="2F8217DB"/>
    <w:rsid w:val="2FDB716E"/>
    <w:rsid w:val="302428C3"/>
    <w:rsid w:val="303D3985"/>
    <w:rsid w:val="306233EC"/>
    <w:rsid w:val="307F3F9D"/>
    <w:rsid w:val="30986E0D"/>
    <w:rsid w:val="31052FA1"/>
    <w:rsid w:val="312811AB"/>
    <w:rsid w:val="313C61FC"/>
    <w:rsid w:val="31655A89"/>
    <w:rsid w:val="319D36B0"/>
    <w:rsid w:val="31AB491E"/>
    <w:rsid w:val="31AF440F"/>
    <w:rsid w:val="31B639EF"/>
    <w:rsid w:val="31B646F4"/>
    <w:rsid w:val="31E56082"/>
    <w:rsid w:val="31F369F1"/>
    <w:rsid w:val="32330746"/>
    <w:rsid w:val="32452FC5"/>
    <w:rsid w:val="32904240"/>
    <w:rsid w:val="32911D66"/>
    <w:rsid w:val="33460DA3"/>
    <w:rsid w:val="33813B89"/>
    <w:rsid w:val="33884F17"/>
    <w:rsid w:val="33BA52ED"/>
    <w:rsid w:val="33D22636"/>
    <w:rsid w:val="34142C4F"/>
    <w:rsid w:val="341B222F"/>
    <w:rsid w:val="34313801"/>
    <w:rsid w:val="343B642D"/>
    <w:rsid w:val="34757B91"/>
    <w:rsid w:val="351D5B33"/>
    <w:rsid w:val="351F7AFD"/>
    <w:rsid w:val="35356F94"/>
    <w:rsid w:val="35CB37E1"/>
    <w:rsid w:val="35CD1307"/>
    <w:rsid w:val="35FC068E"/>
    <w:rsid w:val="35FD0494"/>
    <w:rsid w:val="36114536"/>
    <w:rsid w:val="361A2073"/>
    <w:rsid w:val="364F4412"/>
    <w:rsid w:val="36633A19"/>
    <w:rsid w:val="368C2F70"/>
    <w:rsid w:val="36AA789A"/>
    <w:rsid w:val="36FA3B3C"/>
    <w:rsid w:val="373A29CC"/>
    <w:rsid w:val="37421881"/>
    <w:rsid w:val="374C0952"/>
    <w:rsid w:val="37AB38CA"/>
    <w:rsid w:val="381551E7"/>
    <w:rsid w:val="38293D99"/>
    <w:rsid w:val="3832535A"/>
    <w:rsid w:val="385C2E16"/>
    <w:rsid w:val="388540E6"/>
    <w:rsid w:val="38B13162"/>
    <w:rsid w:val="38B36EDA"/>
    <w:rsid w:val="38F30DC5"/>
    <w:rsid w:val="38F90665"/>
    <w:rsid w:val="39186D3D"/>
    <w:rsid w:val="3942200C"/>
    <w:rsid w:val="3973104F"/>
    <w:rsid w:val="39812B34"/>
    <w:rsid w:val="39B27763"/>
    <w:rsid w:val="39B36A66"/>
    <w:rsid w:val="39BD3563"/>
    <w:rsid w:val="39E9692C"/>
    <w:rsid w:val="39FE23D7"/>
    <w:rsid w:val="3A097CB2"/>
    <w:rsid w:val="3A1F40FB"/>
    <w:rsid w:val="3ABC194A"/>
    <w:rsid w:val="3AE93583"/>
    <w:rsid w:val="3AF31810"/>
    <w:rsid w:val="3B095C6B"/>
    <w:rsid w:val="3B482935"/>
    <w:rsid w:val="3BCC6BED"/>
    <w:rsid w:val="3C073099"/>
    <w:rsid w:val="3C172AFD"/>
    <w:rsid w:val="3C177780"/>
    <w:rsid w:val="3C597D99"/>
    <w:rsid w:val="3CA8662A"/>
    <w:rsid w:val="3CC04181"/>
    <w:rsid w:val="3CE16F85"/>
    <w:rsid w:val="3CF11D7F"/>
    <w:rsid w:val="3CF67395"/>
    <w:rsid w:val="3D000214"/>
    <w:rsid w:val="3D103806"/>
    <w:rsid w:val="3D193084"/>
    <w:rsid w:val="3D347EBE"/>
    <w:rsid w:val="3D477BF1"/>
    <w:rsid w:val="3D4E71D1"/>
    <w:rsid w:val="3D864515"/>
    <w:rsid w:val="3DA6700D"/>
    <w:rsid w:val="3DB90469"/>
    <w:rsid w:val="3DC265C2"/>
    <w:rsid w:val="3E29379B"/>
    <w:rsid w:val="3E42660A"/>
    <w:rsid w:val="3E7E7642"/>
    <w:rsid w:val="3F0062A9"/>
    <w:rsid w:val="3F3319E8"/>
    <w:rsid w:val="3F3C12AC"/>
    <w:rsid w:val="3F8F587F"/>
    <w:rsid w:val="3F95733A"/>
    <w:rsid w:val="3FA37920"/>
    <w:rsid w:val="3FAF7CCF"/>
    <w:rsid w:val="3FEE6A4A"/>
    <w:rsid w:val="40061FE5"/>
    <w:rsid w:val="406B3BF6"/>
    <w:rsid w:val="40866C82"/>
    <w:rsid w:val="40A50CF4"/>
    <w:rsid w:val="40AB0497"/>
    <w:rsid w:val="415F2EA0"/>
    <w:rsid w:val="41654AEA"/>
    <w:rsid w:val="41C96FF3"/>
    <w:rsid w:val="41DA54D8"/>
    <w:rsid w:val="42072045"/>
    <w:rsid w:val="421F738E"/>
    <w:rsid w:val="42227AF1"/>
    <w:rsid w:val="422C51A6"/>
    <w:rsid w:val="42A70AE7"/>
    <w:rsid w:val="42F327D4"/>
    <w:rsid w:val="43092019"/>
    <w:rsid w:val="43217136"/>
    <w:rsid w:val="43301127"/>
    <w:rsid w:val="435117C9"/>
    <w:rsid w:val="436F39FE"/>
    <w:rsid w:val="43B9111D"/>
    <w:rsid w:val="43F81C45"/>
    <w:rsid w:val="43FF1225"/>
    <w:rsid w:val="440523CD"/>
    <w:rsid w:val="440F51E1"/>
    <w:rsid w:val="44557097"/>
    <w:rsid w:val="44827989"/>
    <w:rsid w:val="44B71B00"/>
    <w:rsid w:val="44F22B38"/>
    <w:rsid w:val="452C19F8"/>
    <w:rsid w:val="455C6204"/>
    <w:rsid w:val="45941E41"/>
    <w:rsid w:val="45943BEF"/>
    <w:rsid w:val="45B55914"/>
    <w:rsid w:val="45E701C3"/>
    <w:rsid w:val="45F11042"/>
    <w:rsid w:val="46256F3D"/>
    <w:rsid w:val="46276812"/>
    <w:rsid w:val="46427818"/>
    <w:rsid w:val="46445615"/>
    <w:rsid w:val="465D0485"/>
    <w:rsid w:val="46683FDD"/>
    <w:rsid w:val="467B51EF"/>
    <w:rsid w:val="469043B7"/>
    <w:rsid w:val="469C1719"/>
    <w:rsid w:val="469C7ABC"/>
    <w:rsid w:val="47055DD6"/>
    <w:rsid w:val="471B5C59"/>
    <w:rsid w:val="473016F6"/>
    <w:rsid w:val="473D77C4"/>
    <w:rsid w:val="47411B55"/>
    <w:rsid w:val="47507FEA"/>
    <w:rsid w:val="47527C17"/>
    <w:rsid w:val="47743CD8"/>
    <w:rsid w:val="478F28C0"/>
    <w:rsid w:val="47E26E94"/>
    <w:rsid w:val="480A1F47"/>
    <w:rsid w:val="4860600B"/>
    <w:rsid w:val="48C447EC"/>
    <w:rsid w:val="492139EC"/>
    <w:rsid w:val="4933371F"/>
    <w:rsid w:val="499F2B63"/>
    <w:rsid w:val="49E36F33"/>
    <w:rsid w:val="4A233794"/>
    <w:rsid w:val="4A38723F"/>
    <w:rsid w:val="4A7836BE"/>
    <w:rsid w:val="4A7B35D0"/>
    <w:rsid w:val="4A9B77CE"/>
    <w:rsid w:val="4ABD5996"/>
    <w:rsid w:val="4ACA56B2"/>
    <w:rsid w:val="4ACE54AE"/>
    <w:rsid w:val="4B3C4B0D"/>
    <w:rsid w:val="4B4B2FA2"/>
    <w:rsid w:val="4B663938"/>
    <w:rsid w:val="4BA6642B"/>
    <w:rsid w:val="4C5145E8"/>
    <w:rsid w:val="4C6B4F7E"/>
    <w:rsid w:val="4C746529"/>
    <w:rsid w:val="4C7B78B7"/>
    <w:rsid w:val="4C820C46"/>
    <w:rsid w:val="4CE56900"/>
    <w:rsid w:val="4D390793"/>
    <w:rsid w:val="4D442BB5"/>
    <w:rsid w:val="4D601437"/>
    <w:rsid w:val="4D693BB4"/>
    <w:rsid w:val="4D875DE8"/>
    <w:rsid w:val="4DA42E3E"/>
    <w:rsid w:val="4DD2460E"/>
    <w:rsid w:val="4E2A50F1"/>
    <w:rsid w:val="4E3A08CC"/>
    <w:rsid w:val="4E7C58ED"/>
    <w:rsid w:val="4E915170"/>
    <w:rsid w:val="4ED212E5"/>
    <w:rsid w:val="4EF76209"/>
    <w:rsid w:val="4EFE032C"/>
    <w:rsid w:val="4F1162B1"/>
    <w:rsid w:val="4F544163"/>
    <w:rsid w:val="4FBF5D0D"/>
    <w:rsid w:val="4FF40956"/>
    <w:rsid w:val="50047BC4"/>
    <w:rsid w:val="50632B3C"/>
    <w:rsid w:val="508B3E41"/>
    <w:rsid w:val="50B25872"/>
    <w:rsid w:val="50BB4726"/>
    <w:rsid w:val="50CA6717"/>
    <w:rsid w:val="50E53551"/>
    <w:rsid w:val="50E57F92"/>
    <w:rsid w:val="50FB2D75"/>
    <w:rsid w:val="5100038B"/>
    <w:rsid w:val="5134311A"/>
    <w:rsid w:val="514C3875"/>
    <w:rsid w:val="516A7EFA"/>
    <w:rsid w:val="51976D09"/>
    <w:rsid w:val="51A451BA"/>
    <w:rsid w:val="51EB103B"/>
    <w:rsid w:val="520536D2"/>
    <w:rsid w:val="521F0CE5"/>
    <w:rsid w:val="52214A5D"/>
    <w:rsid w:val="52320A18"/>
    <w:rsid w:val="523F1387"/>
    <w:rsid w:val="52A631B4"/>
    <w:rsid w:val="52BF26E8"/>
    <w:rsid w:val="530F2B07"/>
    <w:rsid w:val="531B3CDF"/>
    <w:rsid w:val="53267789"/>
    <w:rsid w:val="534A1D91"/>
    <w:rsid w:val="5380617B"/>
    <w:rsid w:val="53D03945"/>
    <w:rsid w:val="54116045"/>
    <w:rsid w:val="545F361A"/>
    <w:rsid w:val="545F603C"/>
    <w:rsid w:val="54624EB9"/>
    <w:rsid w:val="54C70621"/>
    <w:rsid w:val="54DE09E3"/>
    <w:rsid w:val="54E56216"/>
    <w:rsid w:val="54F63F7F"/>
    <w:rsid w:val="55197C6D"/>
    <w:rsid w:val="55592760"/>
    <w:rsid w:val="55911EF9"/>
    <w:rsid w:val="55A57CE3"/>
    <w:rsid w:val="55A97243"/>
    <w:rsid w:val="55DA73FC"/>
    <w:rsid w:val="56310C44"/>
    <w:rsid w:val="56680EAC"/>
    <w:rsid w:val="568850AA"/>
    <w:rsid w:val="56AD4B11"/>
    <w:rsid w:val="56B22127"/>
    <w:rsid w:val="56E85B49"/>
    <w:rsid w:val="56ED13B1"/>
    <w:rsid w:val="56ED315F"/>
    <w:rsid w:val="57211FE5"/>
    <w:rsid w:val="573E1C0D"/>
    <w:rsid w:val="57461256"/>
    <w:rsid w:val="578E4942"/>
    <w:rsid w:val="587873A1"/>
    <w:rsid w:val="589917F1"/>
    <w:rsid w:val="58A12453"/>
    <w:rsid w:val="58AB32D2"/>
    <w:rsid w:val="58B73A25"/>
    <w:rsid w:val="58E16CF4"/>
    <w:rsid w:val="58EA204C"/>
    <w:rsid w:val="58F76517"/>
    <w:rsid w:val="59080725"/>
    <w:rsid w:val="593257A1"/>
    <w:rsid w:val="593E7CA2"/>
    <w:rsid w:val="59C04B5B"/>
    <w:rsid w:val="59DE1485"/>
    <w:rsid w:val="5A5C0D28"/>
    <w:rsid w:val="5A683600"/>
    <w:rsid w:val="5AEA369E"/>
    <w:rsid w:val="5AF2343A"/>
    <w:rsid w:val="5BA1276A"/>
    <w:rsid w:val="5BA61212"/>
    <w:rsid w:val="5C084598"/>
    <w:rsid w:val="5C2238AB"/>
    <w:rsid w:val="5C553C81"/>
    <w:rsid w:val="5C7F6F4D"/>
    <w:rsid w:val="5CC23280"/>
    <w:rsid w:val="5CCC45E4"/>
    <w:rsid w:val="5D086F45"/>
    <w:rsid w:val="5DB76275"/>
    <w:rsid w:val="5E0C1675"/>
    <w:rsid w:val="5E1831B8"/>
    <w:rsid w:val="5E6000A3"/>
    <w:rsid w:val="5E7D126D"/>
    <w:rsid w:val="5EB822A5"/>
    <w:rsid w:val="5F357D99"/>
    <w:rsid w:val="5F3A35AD"/>
    <w:rsid w:val="5F5D4BFA"/>
    <w:rsid w:val="5F5E0A5B"/>
    <w:rsid w:val="5F8371C4"/>
    <w:rsid w:val="5FCA04E2"/>
    <w:rsid w:val="5FEA2932"/>
    <w:rsid w:val="601B6F8F"/>
    <w:rsid w:val="60310561"/>
    <w:rsid w:val="605B55DE"/>
    <w:rsid w:val="60B371C8"/>
    <w:rsid w:val="60BE791B"/>
    <w:rsid w:val="60D46BA2"/>
    <w:rsid w:val="61161505"/>
    <w:rsid w:val="61204131"/>
    <w:rsid w:val="616B46BF"/>
    <w:rsid w:val="618E553F"/>
    <w:rsid w:val="61923281"/>
    <w:rsid w:val="61F335F4"/>
    <w:rsid w:val="6220263B"/>
    <w:rsid w:val="62347E94"/>
    <w:rsid w:val="62593D9F"/>
    <w:rsid w:val="628E5B63"/>
    <w:rsid w:val="62A50D92"/>
    <w:rsid w:val="62BB4B46"/>
    <w:rsid w:val="62D42AFB"/>
    <w:rsid w:val="63780255"/>
    <w:rsid w:val="6379750C"/>
    <w:rsid w:val="63B74E0F"/>
    <w:rsid w:val="63DA4A6C"/>
    <w:rsid w:val="63EA73A4"/>
    <w:rsid w:val="646D3B32"/>
    <w:rsid w:val="648074A3"/>
    <w:rsid w:val="64DE058B"/>
    <w:rsid w:val="65B8702E"/>
    <w:rsid w:val="65CB77FE"/>
    <w:rsid w:val="65DC4ACB"/>
    <w:rsid w:val="65FD2C93"/>
    <w:rsid w:val="66636F9A"/>
    <w:rsid w:val="66B23A7E"/>
    <w:rsid w:val="66BC66AA"/>
    <w:rsid w:val="66F95B50"/>
    <w:rsid w:val="673E5311"/>
    <w:rsid w:val="67455D20"/>
    <w:rsid w:val="6759357A"/>
    <w:rsid w:val="67696832"/>
    <w:rsid w:val="681C5653"/>
    <w:rsid w:val="6833299C"/>
    <w:rsid w:val="68776D2D"/>
    <w:rsid w:val="68D777CC"/>
    <w:rsid w:val="68DB550E"/>
    <w:rsid w:val="68E343C2"/>
    <w:rsid w:val="690600B1"/>
    <w:rsid w:val="69075408"/>
    <w:rsid w:val="692A0243"/>
    <w:rsid w:val="69571F5C"/>
    <w:rsid w:val="695B21AB"/>
    <w:rsid w:val="69FA3E5A"/>
    <w:rsid w:val="6A197BB4"/>
    <w:rsid w:val="6A42336B"/>
    <w:rsid w:val="6A7C7D5F"/>
    <w:rsid w:val="6AA14535"/>
    <w:rsid w:val="6AD62431"/>
    <w:rsid w:val="6AEA7C8A"/>
    <w:rsid w:val="6AF74155"/>
    <w:rsid w:val="6B106FC5"/>
    <w:rsid w:val="6B373FBF"/>
    <w:rsid w:val="6BDA48CE"/>
    <w:rsid w:val="6C2216A6"/>
    <w:rsid w:val="6C2E004A"/>
    <w:rsid w:val="6C517895"/>
    <w:rsid w:val="6CC4275D"/>
    <w:rsid w:val="6CF63059"/>
    <w:rsid w:val="6D18403D"/>
    <w:rsid w:val="6D262AD0"/>
    <w:rsid w:val="6D932E8A"/>
    <w:rsid w:val="6D9712DD"/>
    <w:rsid w:val="6D9E6B0A"/>
    <w:rsid w:val="6DC02F24"/>
    <w:rsid w:val="6DE11A7D"/>
    <w:rsid w:val="6E532EF0"/>
    <w:rsid w:val="6E5F098F"/>
    <w:rsid w:val="6E923C2D"/>
    <w:rsid w:val="6EFC7F8C"/>
    <w:rsid w:val="6F062BB9"/>
    <w:rsid w:val="6F0B6421"/>
    <w:rsid w:val="6FA50623"/>
    <w:rsid w:val="6FF719E0"/>
    <w:rsid w:val="70480FAF"/>
    <w:rsid w:val="70651B61"/>
    <w:rsid w:val="70C01024"/>
    <w:rsid w:val="70F21947"/>
    <w:rsid w:val="70F25AEA"/>
    <w:rsid w:val="714D2D21"/>
    <w:rsid w:val="717D77DC"/>
    <w:rsid w:val="71D945B4"/>
    <w:rsid w:val="71DB593C"/>
    <w:rsid w:val="71F96A05"/>
    <w:rsid w:val="720535FB"/>
    <w:rsid w:val="725D3437"/>
    <w:rsid w:val="729B614B"/>
    <w:rsid w:val="72C55A38"/>
    <w:rsid w:val="7349576A"/>
    <w:rsid w:val="734B14E2"/>
    <w:rsid w:val="74077E94"/>
    <w:rsid w:val="74143FCA"/>
    <w:rsid w:val="74890514"/>
    <w:rsid w:val="75265D63"/>
    <w:rsid w:val="758D7B90"/>
    <w:rsid w:val="75CD2682"/>
    <w:rsid w:val="763823E2"/>
    <w:rsid w:val="763D7808"/>
    <w:rsid w:val="7643664B"/>
    <w:rsid w:val="76F679B7"/>
    <w:rsid w:val="773F4EBA"/>
    <w:rsid w:val="77723041"/>
    <w:rsid w:val="77810731"/>
    <w:rsid w:val="77920316"/>
    <w:rsid w:val="782B3690"/>
    <w:rsid w:val="7863107C"/>
    <w:rsid w:val="78947487"/>
    <w:rsid w:val="78E81581"/>
    <w:rsid w:val="78EE4DE9"/>
    <w:rsid w:val="78FD6DDA"/>
    <w:rsid w:val="79943C0F"/>
    <w:rsid w:val="79C724C2"/>
    <w:rsid w:val="79F71A7C"/>
    <w:rsid w:val="79FA156C"/>
    <w:rsid w:val="7A4D3D91"/>
    <w:rsid w:val="7A9B68AB"/>
    <w:rsid w:val="7AF67F85"/>
    <w:rsid w:val="7B0408F4"/>
    <w:rsid w:val="7B0E3521"/>
    <w:rsid w:val="7B2C1223"/>
    <w:rsid w:val="7B3B62E0"/>
    <w:rsid w:val="7B607AF4"/>
    <w:rsid w:val="7BCC3403"/>
    <w:rsid w:val="7BDA7B3A"/>
    <w:rsid w:val="7C092FAF"/>
    <w:rsid w:val="7C280612"/>
    <w:rsid w:val="7C8D4919"/>
    <w:rsid w:val="7C977546"/>
    <w:rsid w:val="7CB023B6"/>
    <w:rsid w:val="7CB82EDA"/>
    <w:rsid w:val="7CCF6CE0"/>
    <w:rsid w:val="7D1E1A15"/>
    <w:rsid w:val="7D307B08"/>
    <w:rsid w:val="7D3A0B65"/>
    <w:rsid w:val="7D553689"/>
    <w:rsid w:val="7D60202E"/>
    <w:rsid w:val="7DA22646"/>
    <w:rsid w:val="7DA57A41"/>
    <w:rsid w:val="7DE00815"/>
    <w:rsid w:val="7DE40569"/>
    <w:rsid w:val="7DF804B8"/>
    <w:rsid w:val="7E01111B"/>
    <w:rsid w:val="7E5E47BF"/>
    <w:rsid w:val="7E906943"/>
    <w:rsid w:val="7EFE1AFE"/>
    <w:rsid w:val="7F313C82"/>
    <w:rsid w:val="7F5B0CFF"/>
    <w:rsid w:val="7F7122D0"/>
    <w:rsid w:val="7FA65EE1"/>
    <w:rsid w:val="7FAB3A34"/>
    <w:rsid w:val="7FEA3E3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2"/>
    <w:qFormat/>
    <w:uiPriority w:val="0"/>
    <w:pPr>
      <w:keepNext/>
      <w:widowControl/>
      <w:numPr>
        <w:ilvl w:val="0"/>
        <w:numId w:val="1"/>
      </w:numPr>
      <w:jc w:val="center"/>
      <w:outlineLvl w:val="0"/>
    </w:pPr>
    <w:rPr>
      <w:rFonts w:ascii="黑体" w:hAnsi="黑体" w:eastAsia="宋体"/>
      <w:b/>
      <w:kern w:val="0"/>
      <w:sz w:val="32"/>
      <w:szCs w:val="20"/>
    </w:rPr>
  </w:style>
  <w:style w:type="paragraph" w:styleId="3">
    <w:name w:val="heading 2"/>
    <w:basedOn w:val="1"/>
    <w:next w:val="1"/>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firstLineChars="200"/>
    </w:pPr>
    <w:rPr>
      <w:rFonts w:ascii="Calibri" w:hAnsi="Calibri" w:eastAsia="宋体"/>
    </w:rPr>
  </w:style>
  <w:style w:type="paragraph" w:styleId="8">
    <w:name w:val="annotation text"/>
    <w:basedOn w:val="1"/>
    <w:unhideWhenUsed/>
    <w:qFormat/>
    <w:uiPriority w:val="99"/>
    <w:pPr>
      <w:jc w:val="left"/>
    </w:pPr>
  </w:style>
  <w:style w:type="paragraph" w:styleId="9">
    <w:name w:val="Body Text"/>
    <w:basedOn w:val="1"/>
    <w:qFormat/>
    <w:uiPriority w:val="0"/>
    <w:pPr>
      <w:spacing w:line="0" w:lineRule="atLeast"/>
    </w:pPr>
    <w:rPr>
      <w:rFonts w:ascii="Calibri" w:hAnsi="Calibri"/>
      <w:b/>
      <w:sz w:val="30"/>
      <w:szCs w:val="20"/>
    </w:rPr>
  </w:style>
  <w:style w:type="paragraph" w:styleId="10">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ind w:right="90"/>
      <w:jc w:val="right"/>
    </w:pPr>
    <w:rPr>
      <w:sz w:val="18"/>
      <w:szCs w:val="18"/>
    </w:rPr>
  </w:style>
  <w:style w:type="paragraph" w:styleId="16">
    <w:name w:val="toc 1"/>
    <w:basedOn w:val="1"/>
    <w:next w:val="1"/>
    <w:qFormat/>
    <w:uiPriority w:val="0"/>
  </w:style>
  <w:style w:type="paragraph" w:styleId="17">
    <w:name w:val="toc 2"/>
    <w:basedOn w:val="1"/>
    <w:next w:val="1"/>
    <w:qFormat/>
    <w:uiPriority w:val="0"/>
    <w:pPr>
      <w:ind w:left="210"/>
      <w:jc w:val="left"/>
    </w:pPr>
    <w:rPr>
      <w:rFonts w:ascii="Times New Roman" w:hAnsi="Times New Roman" w:eastAsia="宋体" w:cs="Times New Roman"/>
      <w:smallCaps/>
      <w:sz w:val="20"/>
      <w:szCs w:val="20"/>
    </w:rPr>
  </w:style>
  <w:style w:type="paragraph" w:styleId="18">
    <w:name w:val="Body Text 2"/>
    <w:basedOn w:val="19"/>
    <w:qFormat/>
    <w:uiPriority w:val="0"/>
    <w:pPr>
      <w:spacing w:after="120" w:afterLines="0" w:line="480" w:lineRule="auto"/>
    </w:pPr>
    <w:rPr>
      <w:szCs w:val="24"/>
    </w:rPr>
  </w:style>
  <w:style w:type="paragraph" w:customStyle="1" w:styleId="19">
    <w:name w:val="Normal_2"/>
    <w:next w:val="18"/>
    <w:qFormat/>
    <w:uiPriority w:val="0"/>
    <w:pPr>
      <w:widowControl w:val="0"/>
      <w:jc w:val="both"/>
    </w:pPr>
    <w:rPr>
      <w:rFonts w:ascii="Calibri" w:hAnsi="Calibri" w:eastAsia="宋体" w:cs="Times New Roman"/>
      <w:kern w:val="2"/>
      <w:sz w:val="21"/>
      <w:szCs w:val="24"/>
    </w:rPr>
  </w:style>
  <w:style w:type="paragraph" w:styleId="2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Title"/>
    <w:basedOn w:val="1"/>
    <w:next w:val="1"/>
    <w:qFormat/>
    <w:uiPriority w:val="0"/>
    <w:pPr>
      <w:widowControl/>
      <w:spacing w:before="240" w:after="60"/>
      <w:jc w:val="center"/>
      <w:outlineLvl w:val="0"/>
    </w:pPr>
    <w:rPr>
      <w:rFonts w:ascii="Arial" w:hAnsi="Arial"/>
      <w:b/>
      <w:bCs/>
      <w:kern w:val="0"/>
      <w:sz w:val="44"/>
      <w:szCs w:val="32"/>
    </w:rPr>
  </w:style>
  <w:style w:type="paragraph" w:styleId="22">
    <w:name w:val="Body Text First Indent"/>
    <w:basedOn w:val="9"/>
    <w:qFormat/>
    <w:uiPriority w:val="0"/>
    <w:pPr>
      <w:ind w:firstLine="420" w:firstLineChars="100"/>
    </w:pPr>
  </w:style>
  <w:style w:type="paragraph" w:styleId="23">
    <w:name w:val="Body Text First Indent 2"/>
    <w:basedOn w:val="10"/>
    <w:next w:val="1"/>
    <w:qFormat/>
    <w:uiPriority w:val="0"/>
    <w:pPr>
      <w:ind w:firstLine="420" w:firstLineChars="200"/>
    </w:pPr>
  </w:style>
  <w:style w:type="table" w:styleId="25">
    <w:name w:val="Table Grid"/>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page number"/>
    <w:basedOn w:val="26"/>
    <w:qFormat/>
    <w:uiPriority w:val="0"/>
    <w:rPr>
      <w:rFonts w:ascii="Calibri" w:hAnsi="Calibri" w:eastAsia="宋体" w:cs="Times New Roman"/>
    </w:rPr>
  </w:style>
  <w:style w:type="character" w:styleId="29">
    <w:name w:val="FollowedHyperlink"/>
    <w:basedOn w:val="26"/>
    <w:qFormat/>
    <w:uiPriority w:val="0"/>
    <w:rPr>
      <w:color w:val="800080"/>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0"/>
    <w:rPr>
      <w:color w:val="0000FF"/>
      <w:u w:val="single"/>
    </w:rPr>
  </w:style>
  <w:style w:type="character" w:styleId="36">
    <w:name w:val="HTML Code"/>
    <w:basedOn w:val="26"/>
    <w:qFormat/>
    <w:uiPriority w:val="0"/>
    <w:rPr>
      <w:rFonts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列出段落1"/>
    <w:basedOn w:val="1"/>
    <w:qFormat/>
    <w:uiPriority w:val="0"/>
    <w:pPr>
      <w:ind w:firstLine="420" w:firstLineChars="200"/>
    </w:pPr>
    <w:rPr>
      <w:rFonts w:ascii="Times New Roman" w:hAnsi="Times New Roman" w:eastAsia="宋体"/>
      <w:szCs w:val="24"/>
    </w:rPr>
  </w:style>
  <w:style w:type="paragraph" w:styleId="41">
    <w:name w:val="List Paragraph"/>
    <w:basedOn w:val="1"/>
    <w:qFormat/>
    <w:uiPriority w:val="0"/>
    <w:pPr>
      <w:ind w:firstLine="420" w:firstLineChars="200"/>
    </w:pPr>
    <w:rPr>
      <w:rFonts w:ascii="Calibri" w:hAnsi="Calibri"/>
      <w:szCs w:val="22"/>
    </w:rPr>
  </w:style>
  <w:style w:type="character" w:customStyle="1" w:styleId="42">
    <w:name w:val="标题 1 Char"/>
    <w:link w:val="2"/>
    <w:qFormat/>
    <w:uiPriority w:val="0"/>
    <w:rPr>
      <w:rFonts w:ascii="黑体" w:hAnsi="黑体" w:eastAsia="宋体"/>
      <w:b/>
      <w:kern w:val="0"/>
      <w:sz w:val="32"/>
      <w:szCs w:val="20"/>
    </w:rPr>
  </w:style>
  <w:style w:type="paragraph" w:customStyle="1" w:styleId="43">
    <w:name w:val="WPSOffice手动目录 1"/>
    <w:qFormat/>
    <w:uiPriority w:val="0"/>
    <w:pPr>
      <w:ind w:leftChars="0"/>
    </w:pPr>
    <w:rPr>
      <w:rFonts w:asciiTheme="minorHAnsi" w:hAnsiTheme="minorHAnsi" w:eastAsiaTheme="minorEastAsia" w:cstheme="minorBidi"/>
      <w:sz w:val="20"/>
      <w:szCs w:val="20"/>
    </w:rPr>
  </w:style>
  <w:style w:type="paragraph" w:customStyle="1" w:styleId="44">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5">
    <w:name w:val="Body text|3"/>
    <w:basedOn w:val="1"/>
    <w:qFormat/>
    <w:uiPriority w:val="0"/>
    <w:pPr>
      <w:spacing w:after="540"/>
      <w:jc w:val="center"/>
    </w:pPr>
    <w:rPr>
      <w:rFonts w:ascii="宋体" w:hAnsi="宋体" w:cs="宋体"/>
      <w:sz w:val="34"/>
      <w:szCs w:val="34"/>
      <w:lang w:val="zh-TW" w:eastAsia="zh-TW" w:bidi="zh-TW"/>
    </w:rPr>
  </w:style>
  <w:style w:type="paragraph" w:customStyle="1" w:styleId="46">
    <w:name w:val="Body text|1"/>
    <w:basedOn w:val="1"/>
    <w:qFormat/>
    <w:uiPriority w:val="0"/>
    <w:pPr>
      <w:spacing w:line="372" w:lineRule="auto"/>
      <w:ind w:firstLine="400"/>
    </w:pPr>
    <w:rPr>
      <w:rFonts w:ascii="宋体" w:hAnsi="宋体" w:cs="宋体"/>
      <w:sz w:val="30"/>
      <w:szCs w:val="30"/>
      <w:lang w:val="zh-TW" w:eastAsia="zh-TW" w:bidi="zh-TW"/>
    </w:rPr>
  </w:style>
  <w:style w:type="paragraph" w:customStyle="1" w:styleId="47">
    <w:name w:val="Body text|2"/>
    <w:basedOn w:val="1"/>
    <w:qFormat/>
    <w:uiPriority w:val="0"/>
    <w:pPr>
      <w:spacing w:after="420"/>
      <w:ind w:firstLine="140"/>
    </w:pPr>
    <w:rPr>
      <w:rFonts w:ascii="宋体" w:hAnsi="宋体" w:cs="宋体"/>
      <w:sz w:val="17"/>
      <w:szCs w:val="17"/>
      <w:lang w:val="zh-TW" w:eastAsia="zh-TW" w:bidi="zh-TW"/>
    </w:rPr>
  </w:style>
  <w:style w:type="table" w:customStyle="1" w:styleId="4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21813</Words>
  <Characters>23127</Characters>
  <Lines>0</Lines>
  <Paragraphs>0</Paragraphs>
  <TotalTime>0</TotalTime>
  <ScaleCrop>false</ScaleCrop>
  <LinksUpToDate>false</LinksUpToDate>
  <CharactersWithSpaces>23975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Administrator</cp:lastModifiedBy>
  <cp:lastPrinted>2024-04-12T01:16:00Z</cp:lastPrinted>
  <dcterms:modified xsi:type="dcterms:W3CDTF">2024-12-25T06:45:39Z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266E69B7248A4E6EB60C0B4495132BE6_13</vt:lpwstr>
  </property>
</Properties>
</file>