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6D18A">
      <w:pPr>
        <w:pStyle w:val="2"/>
        <w:tabs>
          <w:tab w:val="left" w:pos="6840"/>
        </w:tabs>
        <w:snapToGrid w:val="0"/>
        <w:spacing w:line="240" w:lineRule="auto"/>
        <w:ind w:right="-57"/>
        <w:jc w:val="center"/>
        <w:rPr>
          <w:rFonts w:hAnsi="宋体"/>
          <w:b/>
          <w:color w:val="auto"/>
          <w:sz w:val="24"/>
          <w:szCs w:val="24"/>
          <w:highlight w:val="none"/>
        </w:rPr>
      </w:pPr>
      <w:r>
        <w:rPr>
          <w:rFonts w:hint="eastAsia" w:hAnsi="宋体"/>
          <w:b/>
          <w:color w:val="auto"/>
          <w:sz w:val="24"/>
          <w:szCs w:val="24"/>
          <w:highlight w:val="none"/>
        </w:rPr>
        <w:t>详细评审表</w:t>
      </w:r>
    </w:p>
    <w:tbl>
      <w:tblPr>
        <w:tblStyle w:val="3"/>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5D74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37" w:type="dxa"/>
            <w:gridSpan w:val="4"/>
            <w:noWrap w:val="0"/>
            <w:vAlign w:val="center"/>
          </w:tcPr>
          <w:p w14:paraId="22AF72DE">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评审表</w:t>
            </w:r>
          </w:p>
        </w:tc>
      </w:tr>
      <w:tr w14:paraId="2ECD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0" w:type="auto"/>
            <w:noWrap w:val="0"/>
            <w:vAlign w:val="center"/>
          </w:tcPr>
          <w:p w14:paraId="41C1D1A9">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38" w:type="dxa"/>
            <w:noWrap w:val="0"/>
            <w:vAlign w:val="center"/>
          </w:tcPr>
          <w:p w14:paraId="2D1F0B82">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内容</w:t>
            </w:r>
          </w:p>
        </w:tc>
        <w:tc>
          <w:tcPr>
            <w:tcW w:w="1787" w:type="dxa"/>
            <w:noWrap w:val="0"/>
            <w:vAlign w:val="center"/>
          </w:tcPr>
          <w:p w14:paraId="3154E017">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评分因素分项</w:t>
            </w:r>
          </w:p>
        </w:tc>
        <w:tc>
          <w:tcPr>
            <w:tcW w:w="7248" w:type="dxa"/>
            <w:noWrap w:val="0"/>
            <w:vAlign w:val="center"/>
          </w:tcPr>
          <w:p w14:paraId="0C192E0B">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C30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00EC21B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8" w:type="dxa"/>
            <w:noWrap w:val="0"/>
            <w:vAlign w:val="center"/>
          </w:tcPr>
          <w:p w14:paraId="15F2D6E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2B6BFB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noWrap w:val="0"/>
            <w:vAlign w:val="center"/>
          </w:tcPr>
          <w:p w14:paraId="1AE05E7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评标价格</w:t>
            </w:r>
          </w:p>
          <w:p w14:paraId="1F681E4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7248" w:type="dxa"/>
            <w:noWrap w:val="0"/>
            <w:vAlign w:val="center"/>
          </w:tcPr>
          <w:p w14:paraId="7C6C3A26">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文件要求且价格最低的报价为评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其价格分为满分。</w:t>
            </w:r>
            <w:r>
              <w:rPr>
                <w:rFonts w:hint="eastAsia" w:ascii="宋体" w:hAnsi="宋体" w:eastAsia="宋体" w:cs="宋体"/>
                <w:color w:val="auto"/>
                <w:sz w:val="21"/>
                <w:szCs w:val="21"/>
                <w:highlight w:val="none"/>
              </w:rPr>
              <w:t>其他供应商的价格分统一按照下列公式计算：</w:t>
            </w:r>
          </w:p>
          <w:p w14:paraId="7AB21CCA">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价格分数=（评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基准价/报价）*价格权值（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p w14:paraId="3423F596">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以第二次报价为依据进行计算，最终报价得分等于（磋商基准价/最终磋商报价）*价格权重（0.30）*100，四舍五入保留小数点后两位有效数字。</w:t>
            </w:r>
          </w:p>
          <w:p w14:paraId="36C1AA57">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48B7EE3E">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价格扣除：按照《政府采购促进中小企业发展管理办法》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《关于进一步加大政府采购支持中小企业力度的通知》规定，如果本项目非专门面向中小企业采购，对小型和微型企业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产品的价格给予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%的扣除，用扣除后的价格参与评审。中小企业应按照本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否则不作为认定依据。监狱企业</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需提供相关证明材料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w:t>
            </w:r>
          </w:p>
        </w:tc>
      </w:tr>
      <w:tr w14:paraId="1F3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24FC21C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38" w:type="dxa"/>
            <w:vMerge w:val="restart"/>
            <w:noWrap w:val="0"/>
            <w:vAlign w:val="center"/>
          </w:tcPr>
          <w:p w14:paraId="748487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7B841FA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部分</w:t>
            </w:r>
          </w:p>
        </w:tc>
        <w:tc>
          <w:tcPr>
            <w:tcW w:w="1787" w:type="dxa"/>
            <w:noWrap w:val="0"/>
            <w:vAlign w:val="center"/>
          </w:tcPr>
          <w:p w14:paraId="063EA1C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同类业绩</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248" w:type="dxa"/>
            <w:noWrap w:val="0"/>
            <w:vAlign w:val="center"/>
          </w:tcPr>
          <w:p w14:paraId="749F98BF">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每提供一项同类项目(所投产品)销售业绩得1分，满分5分。</w:t>
            </w:r>
          </w:p>
          <w:p w14:paraId="584A4F33">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评分依据:</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en-US" w:eastAsia="zh-CN"/>
              </w:rPr>
              <w:t>文件中附合同或中标通知书复印件，业绩有效期为2022年1月1日至今，以合同签订时间为准。(</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销售业绩或制造商的销售业绩有效)</w:t>
            </w:r>
          </w:p>
        </w:tc>
      </w:tr>
      <w:tr w14:paraId="5A67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noWrap w:val="0"/>
            <w:vAlign w:val="center"/>
          </w:tcPr>
          <w:p w14:paraId="0FE8CA3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38" w:type="dxa"/>
            <w:vMerge w:val="continue"/>
            <w:noWrap w:val="0"/>
            <w:vAlign w:val="center"/>
          </w:tcPr>
          <w:p w14:paraId="70F5ECC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1BE37CC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“节能产品”和“环境标志产 品”评价（1分）</w:t>
            </w:r>
          </w:p>
        </w:tc>
        <w:tc>
          <w:tcPr>
            <w:tcW w:w="7248" w:type="dxa"/>
            <w:noWrap w:val="0"/>
            <w:vAlign w:val="center"/>
          </w:tcPr>
          <w:p w14:paraId="6B55E6B2">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政府采购的强制产品除外： 1、投标产品属于“节能产品政府采购品目清单”产品的，且认证在有效截止日期内，得 0.5 分；不是的为 0 分； </w:t>
            </w:r>
          </w:p>
          <w:p w14:paraId="44E5AF45">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2、投标产品属于“环境标志产品政府采购品目清单”产品的，且认证在有效 </w:t>
            </w:r>
          </w:p>
          <w:p w14:paraId="2A9C34DC">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截止日期内，得 0.5 分；不是的为 0 分。</w:t>
            </w:r>
          </w:p>
        </w:tc>
      </w:tr>
      <w:tr w14:paraId="0253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DC7A68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38" w:type="dxa"/>
            <w:vMerge w:val="continue"/>
            <w:noWrap w:val="0"/>
            <w:vAlign w:val="center"/>
          </w:tcPr>
          <w:p w14:paraId="700A54A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4B22049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质量保证期 </w:t>
            </w:r>
          </w:p>
          <w:p w14:paraId="1480DBD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（保修期）</w:t>
            </w:r>
          </w:p>
          <w:p w14:paraId="114692B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0F58744E">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szCs w:val="21"/>
                <w:highlight w:val="none"/>
              </w:rPr>
              <w:t>质保期及保修期符合</w:t>
            </w:r>
            <w:r>
              <w:rPr>
                <w:rFonts w:hint="eastAsia" w:ascii="宋体" w:hAnsi="宋体" w:cs="宋体"/>
                <w:szCs w:val="21"/>
                <w:highlight w:val="none"/>
                <w:lang w:eastAsia="zh-CN"/>
              </w:rPr>
              <w:t>竞争性磋商文件</w:t>
            </w:r>
            <w:r>
              <w:rPr>
                <w:rFonts w:hint="eastAsia" w:ascii="宋体" w:hAnsi="宋体" w:cs="宋体"/>
                <w:szCs w:val="21"/>
                <w:highlight w:val="none"/>
              </w:rPr>
              <w:t>要求的基础上，每增加</w:t>
            </w:r>
            <w:r>
              <w:rPr>
                <w:rFonts w:hint="eastAsia" w:ascii="宋体" w:hAnsi="宋体" w:cs="宋体"/>
                <w:szCs w:val="21"/>
                <w:highlight w:val="none"/>
                <w:lang w:val="en-US" w:eastAsia="zh-CN"/>
              </w:rPr>
              <w:t>1</w:t>
            </w:r>
            <w:r>
              <w:rPr>
                <w:rFonts w:hint="eastAsia" w:ascii="宋体" w:hAnsi="宋体" w:cs="宋体"/>
                <w:szCs w:val="21"/>
                <w:highlight w:val="none"/>
              </w:rPr>
              <w:t>年加</w:t>
            </w:r>
            <w:r>
              <w:rPr>
                <w:rFonts w:hint="eastAsia" w:ascii="宋体" w:hAnsi="宋体" w:cs="宋体"/>
                <w:szCs w:val="21"/>
                <w:highlight w:val="none"/>
                <w:lang w:val="en-US" w:eastAsia="zh-CN"/>
              </w:rPr>
              <w:t>2</w:t>
            </w:r>
            <w:r>
              <w:rPr>
                <w:rFonts w:hint="eastAsia" w:ascii="宋体" w:hAnsi="宋体" w:cs="宋体"/>
                <w:szCs w:val="21"/>
                <w:highlight w:val="none"/>
              </w:rPr>
              <w:t>分，本项最高得</w:t>
            </w:r>
            <w:r>
              <w:rPr>
                <w:rFonts w:hint="eastAsia" w:ascii="宋体" w:hAnsi="宋体" w:cs="宋体"/>
                <w:szCs w:val="21"/>
                <w:highlight w:val="none"/>
                <w:lang w:val="en-US" w:eastAsia="zh-CN"/>
              </w:rPr>
              <w:t>4</w:t>
            </w:r>
            <w:r>
              <w:rPr>
                <w:rFonts w:hint="eastAsia" w:ascii="宋体" w:hAnsi="宋体" w:cs="宋体"/>
                <w:szCs w:val="21"/>
                <w:highlight w:val="none"/>
              </w:rPr>
              <w:t>分，最低得0分,提供承诺书并加盖公章。</w:t>
            </w:r>
            <w:r>
              <w:rPr>
                <w:rFonts w:hint="eastAsia" w:ascii="宋体" w:hAnsi="宋体" w:cs="宋体"/>
                <w:kern w:val="0"/>
                <w:szCs w:val="21"/>
                <w:highlight w:val="none"/>
                <w:lang w:bidi="ar"/>
              </w:rPr>
              <w:t>注：不满足</w:t>
            </w:r>
            <w:r>
              <w:rPr>
                <w:rFonts w:hint="eastAsia" w:ascii="宋体" w:hAnsi="宋体" w:cs="宋体"/>
                <w:kern w:val="0"/>
                <w:szCs w:val="21"/>
                <w:highlight w:val="none"/>
                <w:lang w:eastAsia="zh-CN" w:bidi="ar"/>
              </w:rPr>
              <w:t>竞争性磋商文件</w:t>
            </w:r>
            <w:r>
              <w:rPr>
                <w:rFonts w:hint="eastAsia" w:ascii="宋体" w:hAnsi="宋体" w:cs="宋体"/>
                <w:kern w:val="0"/>
                <w:szCs w:val="21"/>
                <w:highlight w:val="none"/>
                <w:lang w:bidi="ar"/>
              </w:rPr>
              <w:t xml:space="preserve">要求的质保期（保修期）其投标将被拒绝。 </w:t>
            </w:r>
          </w:p>
        </w:tc>
      </w:tr>
      <w:tr w14:paraId="7EB3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auto"/>
            <w:noWrap w:val="0"/>
            <w:vAlign w:val="center"/>
          </w:tcPr>
          <w:p w14:paraId="114D3D0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38" w:type="dxa"/>
            <w:vMerge w:val="restart"/>
            <w:noWrap w:val="0"/>
            <w:vAlign w:val="center"/>
          </w:tcPr>
          <w:p w14:paraId="1623D63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60D9E1F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shd w:val="clear" w:color="auto" w:fill="auto"/>
            <w:noWrap w:val="0"/>
            <w:vAlign w:val="center"/>
          </w:tcPr>
          <w:p w14:paraId="53DBB16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文件技术规格要求的响应程度（</w:t>
            </w:r>
            <w:r>
              <w:rPr>
                <w:rFonts w:hint="eastAsia" w:ascii="宋体" w:hAnsi="宋体" w:cs="宋体"/>
                <w:color w:val="auto"/>
                <w:sz w:val="21"/>
                <w:szCs w:val="21"/>
                <w:highlight w:val="none"/>
                <w:lang w:val="en-US" w:eastAsia="zh-CN"/>
              </w:rPr>
              <w:t>33.3</w:t>
            </w:r>
            <w:r>
              <w:rPr>
                <w:rFonts w:hint="eastAsia" w:ascii="宋体" w:hAnsi="宋体" w:eastAsia="宋体" w:cs="宋体"/>
                <w:color w:val="auto"/>
                <w:sz w:val="21"/>
                <w:szCs w:val="21"/>
                <w:highlight w:val="none"/>
                <w:lang w:val="en-US" w:eastAsia="zh-CN"/>
              </w:rPr>
              <w:t>分）</w:t>
            </w:r>
          </w:p>
        </w:tc>
        <w:tc>
          <w:tcPr>
            <w:tcW w:w="7248" w:type="dxa"/>
            <w:shd w:val="clear" w:color="auto" w:fill="auto"/>
            <w:noWrap w:val="0"/>
            <w:vAlign w:val="center"/>
          </w:tcPr>
          <w:p w14:paraId="5FC44939">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cs="宋体"/>
                <w:kern w:val="0"/>
                <w:szCs w:val="21"/>
                <w:lang w:val="zh-CN"/>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文件采购需求技术指标全部满足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文件要求的为</w:t>
            </w:r>
            <w:r>
              <w:rPr>
                <w:rFonts w:hint="eastAsia" w:ascii="宋体" w:hAnsi="宋体" w:cs="宋体"/>
                <w:color w:val="auto"/>
                <w:sz w:val="21"/>
                <w:szCs w:val="21"/>
                <w:highlight w:val="none"/>
                <w:lang w:val="en-US" w:eastAsia="zh-CN"/>
              </w:rPr>
              <w:t>33.3</w:t>
            </w:r>
            <w:r>
              <w:rPr>
                <w:rFonts w:hint="eastAsia" w:ascii="宋体" w:hAnsi="宋体" w:eastAsia="宋体" w:cs="宋体"/>
                <w:color w:val="auto"/>
                <w:sz w:val="21"/>
                <w:szCs w:val="21"/>
                <w:highlight w:val="none"/>
                <w:lang w:val="en-US" w:eastAsia="zh-CN"/>
              </w:rPr>
              <w:t>分，其中： 有 1 项</w:t>
            </w:r>
            <w:r>
              <w:rPr>
                <w:rFonts w:hint="eastAsia" w:ascii="宋体" w:hAnsi="宋体" w:cs="宋体"/>
                <w:color w:val="auto"/>
                <w:sz w:val="21"/>
                <w:szCs w:val="21"/>
                <w:highlight w:val="none"/>
                <w:lang w:val="en-US" w:eastAsia="zh-CN"/>
              </w:rPr>
              <w:t>一般技术参数</w:t>
            </w:r>
            <w:r>
              <w:rPr>
                <w:rFonts w:hint="eastAsia" w:ascii="宋体" w:hAnsi="宋体" w:eastAsia="宋体" w:cs="宋体"/>
                <w:color w:val="auto"/>
                <w:sz w:val="21"/>
                <w:szCs w:val="21"/>
                <w:highlight w:val="none"/>
                <w:lang w:val="en-US" w:eastAsia="zh-CN"/>
              </w:rPr>
              <w:t>不满足的，扣</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技术参数里▲项有一项不满足的，扣</w:t>
            </w:r>
            <w:r>
              <w:rPr>
                <w:rFonts w:hint="eastAsia" w:ascii="宋体" w:hAnsi="宋体" w:eastAsia="宋体" w:cs="宋体"/>
                <w:color w:val="auto"/>
                <w:sz w:val="21"/>
                <w:szCs w:val="21"/>
                <w:highlight w:val="none"/>
                <w:lang w:val="en-US" w:eastAsia="zh-CN"/>
              </w:rPr>
              <w:t>0.3</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扣完为止，</w:t>
            </w:r>
            <w:r>
              <w:rPr>
                <w:rFonts w:hint="default" w:ascii="宋体" w:hAnsi="宋体" w:eastAsia="宋体" w:cs="宋体"/>
                <w:color w:val="auto"/>
                <w:sz w:val="21"/>
                <w:szCs w:val="21"/>
                <w:highlight w:val="none"/>
                <w:lang w:val="en-US" w:eastAsia="zh-CN"/>
              </w:rPr>
              <w:t>最低得分 0 分。</w:t>
            </w:r>
          </w:p>
          <w:p w14:paraId="00699FDD">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1.</w:t>
            </w:r>
            <w:r>
              <w:rPr>
                <w:rFonts w:hint="eastAsia" w:ascii="宋体" w:hAnsi="宋体" w:cs="宋体"/>
                <w:color w:val="auto"/>
                <w:szCs w:val="21"/>
                <w:highlight w:val="none"/>
              </w:rPr>
              <w:t>注：“</w:t>
            </w:r>
            <w:r>
              <w:rPr>
                <w:rFonts w:hint="default" w:ascii="宋体" w:hAnsi="宋体" w:eastAsia="宋体" w:cs="宋体"/>
                <w:color w:val="auto"/>
                <w:sz w:val="21"/>
                <w:szCs w:val="21"/>
                <w:highlight w:val="none"/>
                <w:lang w:val="en-US" w:eastAsia="zh-CN"/>
              </w:rPr>
              <w:t>▲</w:t>
            </w:r>
            <w:r>
              <w:rPr>
                <w:rFonts w:hint="eastAsia" w:ascii="宋体" w:hAnsi="宋体" w:cs="宋体"/>
                <w:color w:val="auto"/>
                <w:szCs w:val="21"/>
                <w:highlight w:val="none"/>
              </w:rPr>
              <w:t>”号参数须提供相关要求的技术支持资料，且标明所在响应文件中的页码，供应商的技术偏离表中仅作出应答而未提供要求的有效技术支持资料，</w:t>
            </w:r>
            <w:r>
              <w:rPr>
                <w:rFonts w:hint="eastAsia" w:ascii="宋体" w:hAnsi="宋体" w:cs="宋体"/>
                <w:color w:val="auto"/>
                <w:szCs w:val="21"/>
                <w:highlight w:val="none"/>
                <w:lang w:val="en-US" w:eastAsia="zh-CN"/>
              </w:rPr>
              <w:t>磋商小组</w:t>
            </w:r>
            <w:r>
              <w:rPr>
                <w:rFonts w:hint="eastAsia" w:ascii="宋体" w:hAnsi="宋体" w:cs="宋体"/>
                <w:color w:val="auto"/>
                <w:szCs w:val="21"/>
                <w:highlight w:val="none"/>
              </w:rPr>
              <w:t>均有权不予认可，并扣除相应分值。如有虚假应标行为，其结果由供应商自行负责。</w:t>
            </w:r>
            <w:r>
              <w:rPr>
                <w:rFonts w:hint="eastAsia" w:ascii="宋体" w:hAnsi="宋体" w:eastAsia="宋体" w:cs="宋体"/>
                <w:color w:val="auto"/>
                <w:kern w:val="2"/>
                <w:sz w:val="21"/>
                <w:szCs w:val="21"/>
                <w:highlight w:val="none"/>
                <w:lang w:val="en-US" w:eastAsia="zh-CN" w:bidi="ar-SA"/>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p w14:paraId="725607F5">
            <w:pPr>
              <w:rPr>
                <w:rFonts w:hint="eastAsia" w:ascii="宋体" w:hAnsi="宋体" w:eastAsia="宋体" w:cs="宋体"/>
                <w:b/>
                <w:bCs/>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.最低得分为 0 分时将按照无效投标处理，予以拒绝。</w:t>
            </w:r>
          </w:p>
        </w:tc>
      </w:tr>
      <w:tr w14:paraId="6256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auto"/>
            <w:noWrap w:val="0"/>
            <w:vAlign w:val="center"/>
          </w:tcPr>
          <w:p w14:paraId="7150602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738" w:type="dxa"/>
            <w:vMerge w:val="continue"/>
            <w:noWrap w:val="0"/>
            <w:vAlign w:val="center"/>
          </w:tcPr>
          <w:p w14:paraId="5F6C51E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3E69BE4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对供应商售后服务能力的评价</w:t>
            </w:r>
          </w:p>
          <w:p w14:paraId="507A134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231401F0">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根据招标要求和投标技术响应情况，对供应商提供的售后服务方案进行评价， </w:t>
            </w:r>
          </w:p>
          <w:p w14:paraId="57A299E9">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包括：①售后服务承诺及保障措施，② 响应及处理周期，③技术服务及服务方式，④售后服务网点整体情况，共四项内容，其中每项： </w:t>
            </w:r>
          </w:p>
          <w:p w14:paraId="514AA88B">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1）提供方案内容均进行详细阐述且满足采购需求，得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 </w:t>
            </w:r>
          </w:p>
          <w:p w14:paraId="1A09F13A">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2）提供相关方案但未贴合项目实际情况进行论述，或内容中未包括具体实施 </w:t>
            </w:r>
          </w:p>
          <w:p w14:paraId="72850B61">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细节及措施，得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 </w:t>
            </w:r>
          </w:p>
          <w:p w14:paraId="3491B04C">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3）方案内容不符合项目实际情况且未提供具体实施细节及措施，得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 </w:t>
            </w:r>
          </w:p>
          <w:p w14:paraId="5C315D1E">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4）未提供相关方案不得分。</w:t>
            </w:r>
          </w:p>
        </w:tc>
      </w:tr>
      <w:tr w14:paraId="036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noWrap w:val="0"/>
            <w:vAlign w:val="center"/>
          </w:tcPr>
          <w:p w14:paraId="2FD187F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738" w:type="dxa"/>
            <w:vMerge w:val="continue"/>
            <w:noWrap w:val="0"/>
            <w:vAlign w:val="center"/>
          </w:tcPr>
          <w:p w14:paraId="67783D7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2980E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培训服务方 </w:t>
            </w:r>
          </w:p>
          <w:p w14:paraId="3B0D221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案评价（</w:t>
            </w:r>
            <w:r>
              <w:rPr>
                <w:rFonts w:hint="eastAsia" w:ascii="宋体" w:hAnsi="宋体" w:cs="宋体"/>
                <w:color w:val="auto"/>
                <w:sz w:val="21"/>
                <w:szCs w:val="21"/>
                <w:highlight w:val="none"/>
                <w:lang w:val="en-US" w:eastAsia="zh-CN"/>
              </w:rPr>
              <w:t>6.7</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19391DD0">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根据招标要求和投标技术响应情况，对供应商提供的培训服务方案进行评价，1）提供方案内容均进行详细阐述且满足采购需求，得</w:t>
            </w:r>
            <w:r>
              <w:rPr>
                <w:rFonts w:hint="eastAsia" w:ascii="宋体" w:hAnsi="宋体" w:cs="宋体"/>
                <w:color w:val="auto"/>
                <w:sz w:val="21"/>
                <w:szCs w:val="21"/>
                <w:highlight w:val="none"/>
                <w:lang w:val="en-US" w:eastAsia="zh-CN"/>
              </w:rPr>
              <w:t>6.7</w:t>
            </w:r>
            <w:r>
              <w:rPr>
                <w:rFonts w:hint="eastAsia" w:ascii="宋体" w:hAnsi="宋体" w:eastAsia="宋体" w:cs="宋体"/>
                <w:color w:val="auto"/>
                <w:sz w:val="21"/>
                <w:szCs w:val="21"/>
                <w:highlight w:val="none"/>
                <w:lang w:val="en-US" w:eastAsia="zh-CN"/>
              </w:rPr>
              <w:t>分； 2）提供相关方案但未贴合项目实际情况进行论述，或内容中未包括具体实施细节及措施，得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 3）方案内容不符合项目实际情况且未提供具体实施细节及措施，得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分；4）未提供相关方案不得分。</w:t>
            </w:r>
          </w:p>
        </w:tc>
      </w:tr>
      <w:tr w14:paraId="081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noWrap w:val="0"/>
            <w:vAlign w:val="center"/>
          </w:tcPr>
          <w:p w14:paraId="783DD9EA">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738" w:type="dxa"/>
            <w:vMerge w:val="continue"/>
            <w:noWrap w:val="0"/>
            <w:vAlign w:val="center"/>
          </w:tcPr>
          <w:p w14:paraId="6B8BBA9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08FA6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供货</w:t>
            </w:r>
            <w:bookmarkStart w:id="0" w:name="_GoBack"/>
            <w:bookmarkEnd w:id="0"/>
            <w:r>
              <w:rPr>
                <w:rFonts w:hint="eastAsia" w:ascii="宋体" w:hAnsi="宋体" w:eastAsia="宋体" w:cs="宋体"/>
                <w:color w:val="auto"/>
                <w:sz w:val="21"/>
                <w:szCs w:val="21"/>
                <w:highlight w:val="none"/>
              </w:rPr>
              <w:t>、安装调试方案</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72113C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1.供货、安装、调试方案进行了详细的阐述，能正确理解本项目供货安装调试需求，阐述思路清晰，具体实施细节及措施详细论述，满足采购需求得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2F561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2.供货、安装、调试方案虽然进行了阐述但并未贴合供货安装调试需求进行详细论述，或方案中缺少具体实施细节及措施得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11E5C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3.供货、安装、调试方案虽进行阐述但仅能部分满足需求得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4DBE3F4">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4.供货、安装、调试方案未进行任何阐述或不能满足采购需求得0分。</w:t>
            </w:r>
          </w:p>
        </w:tc>
      </w:tr>
    </w:tbl>
    <w:p w14:paraId="03E1DE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A66A6"/>
    <w:rsid w:val="199D3F96"/>
    <w:rsid w:val="74275AAB"/>
    <w:rsid w:val="7CE0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2025-01-24T09:24:10Z</dcterms:created>
  <dc:creator>Administrator</dc:creator>
  <cp:lastModifiedBy>007</cp:lastModifiedBy>
  <dcterms:modified xsi:type="dcterms:W3CDTF">2025-01-24T09:25:55Z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eyJoZGlkIjoiMTcyMWFiNjA5MWFhMmZiNWIxZTdiYmEzYWQwYjM3OGYiLCJ1c2VySWQiOiI1OTIxMDAifQ==</vt:lpwstr>
  </property>
  <property fmtid="{D5CDD505-2E9C-101B-9397-08002B2CF9AE}" pid="4" name="ICV">
    <vt:lpwstr>BA9D6D1F7F3B4A7FA5AEBA4D0923223A_12</vt:lpwstr>
  </property>
</Properties>
</file>