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lang w:eastAsia="zh-CN"/>
          <w14:textFill>
            <w14:solidFill>
              <w14:schemeClr w14:val="tx1"/>
            </w14:solidFill>
          </w14:textFill>
        </w:rPr>
        <w:t>附件：</w:t>
      </w:r>
      <w:bookmarkStart w:id="0" w:name="_GoBack"/>
      <w:bookmarkEnd w:id="0"/>
    </w:p>
    <w:tbl>
      <w:tblPr>
        <w:tblStyle w:val="16"/>
        <w:tblpPr w:leftFromText="180" w:rightFromText="180" w:vertAnchor="text" w:horzAnchor="page" w:tblpX="816" w:tblpY="286"/>
        <w:tblOverlap w:val="never"/>
        <w:tblW w:w="10595" w:type="dxa"/>
        <w:tblInd w:w="0" w:type="dxa"/>
        <w:tblLayout w:type="fixed"/>
        <w:tblCellMar>
          <w:top w:w="0" w:type="dxa"/>
          <w:left w:w="0" w:type="dxa"/>
          <w:bottom w:w="0" w:type="dxa"/>
          <w:right w:w="0" w:type="dxa"/>
        </w:tblCellMar>
      </w:tblPr>
      <w:tblGrid>
        <w:gridCol w:w="520"/>
        <w:gridCol w:w="2158"/>
        <w:gridCol w:w="3817"/>
        <w:gridCol w:w="4100"/>
      </w:tblGrid>
      <w:tr>
        <w:tblPrEx>
          <w:tblCellMar>
            <w:top w:w="0" w:type="dxa"/>
            <w:left w:w="0" w:type="dxa"/>
            <w:bottom w:w="0" w:type="dxa"/>
            <w:right w:w="0" w:type="dxa"/>
          </w:tblCellMar>
        </w:tblPrEx>
        <w:trPr>
          <w:trHeight w:val="752"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更正事项</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更正前内容</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更正后内容</w:t>
            </w:r>
          </w:p>
        </w:tc>
      </w:tr>
      <w:tr>
        <w:tblPrEx>
          <w:tblCellMar>
            <w:top w:w="0" w:type="dxa"/>
            <w:left w:w="0" w:type="dxa"/>
            <w:bottom w:w="0" w:type="dxa"/>
            <w:right w:w="0" w:type="dxa"/>
          </w:tblCellMar>
        </w:tblPrEx>
        <w:trPr>
          <w:trHeight w:val="829"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P26 “办公桌</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参数</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★基材：采用优质环保刨花板：检测依据GB/T 4897-2015、GB 18580-2017、GB/T35601-2017、GB18584-2001、HJ 571-2010、GB/T39600-2021，潮湿状态下使用板材静曲强度、内胶合强度、24H吸水厚度膨胀率符合要求；潮湿状态下使用板面握螺钉力≥1090N，板边≥910N；潮湿状态下板材防潮性能符合要求；甲醛释放量≤0.025mg/m³，达到国标ENF级环保标准。（提供原材料检测报告）。</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5、★五金配件：采用优质品牌五金配件，阻尼导轨：符合QB/T2454-2013、QB/T 3832-1999、GB/T 3325-2017国家标准检测，其中过载检测、功能检测均合格，功能耐久性达到10万次合格，耐腐蚀性能符合要求，中性盐雾试验600h达到 10级，乙酸盐雾试验500h达到10级。（提供原材料检测报告）。</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基材：采用优质环保刨花板：检测依据GB/T 4897-2015、GB 18580-2017、GB/T35601-2017、GB18584-2001、HJ 571-2010、GB/T39600-2021，★潮湿状态下使用板材静曲强度、内胶合强度、24H吸水厚度膨胀率符合要求；潮湿状态下使用板面握螺钉力≥1090N，板边≥910N；潮湿状态下板材防潮性能符合要求；甲醛释放量≤0.025mg/m³，达到国标ENF级环保标准。（提供原材料检测报告）。</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5、五金配件：采用优质品牌五金配件，阻尼导轨：符合QB/T2454-2013、QB/T 3832-1999、GB/T 3325-2017国家标准检测，其中★过载检测、功能检测均合格，功能耐久性达到10万次合格，耐腐蚀性能符合要求，中性盐雾试验600h达到 10级，乙酸盐雾试验500h达到10级。（提供原材料检测报告）</w:t>
            </w:r>
          </w:p>
        </w:tc>
      </w:tr>
      <w:tr>
        <w:tblPrEx>
          <w:tblCellMar>
            <w:top w:w="0" w:type="dxa"/>
            <w:left w:w="0" w:type="dxa"/>
            <w:bottom w:w="0" w:type="dxa"/>
            <w:right w:w="0" w:type="dxa"/>
          </w:tblCellMar>
        </w:tblPrEx>
        <w:trPr>
          <w:trHeight w:val="2737"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P27 “办公椅1</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参数</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6、★椅轮：采用优质椅轮：检测依据QB/T 2280-2016、GB/T 32487-2016、GB 28481-2012，重金属可溶性铅、镉、铬、汞均未检出；力学性能，座面垂直加载110kg，脚轮往复磨损实验10万次(有障碍物+无障碍物）无损；500h耐老化性≥4级。（提供原材料检测报告）。</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6、椅轮：采用优质椅轮：检测依据QB/T 2280-2016、GB/T 32487-2016、GB 28481-2012，★重金属可溶性铅、镉、铬、汞均未检出；力学性能，座面垂直加载110kg，脚轮往复磨损实验10万次(有障碍物+无障碍物）无损；500h耐老化性≥4级。（提供原材料检测报告）。</w:t>
            </w:r>
          </w:p>
        </w:tc>
      </w:tr>
      <w:tr>
        <w:tblPrEx>
          <w:tblCellMar>
            <w:top w:w="0" w:type="dxa"/>
            <w:left w:w="0" w:type="dxa"/>
            <w:bottom w:w="0" w:type="dxa"/>
            <w:right w:w="0" w:type="dxa"/>
          </w:tblCellMar>
        </w:tblPrEx>
        <w:trPr>
          <w:trHeight w:val="829"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P39“儿童桌</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参数</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★桌脚采用5*5cm橡胶木：抗霉菌0级（包含：黑曲霉、绳状青霉、出芽短梗霉、 球毛壳霉）、抑菌率&gt;99%（包含：金黄色葡萄球菌、白色念珠菌、肺炎克雷伯氏菌）；（提供原材料检测报告）。</w:t>
            </w:r>
            <w:r>
              <w:rPr>
                <w:rFonts w:hint="eastAsia" w:ascii="宋体" w:hAnsi="宋体" w:eastAsia="宋体" w:cs="宋体"/>
                <w:color w:val="000000" w:themeColor="text1"/>
                <w:kern w:val="0"/>
                <w:sz w:val="21"/>
                <w:szCs w:val="21"/>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14:textFill>
                  <w14:solidFill>
                    <w14:schemeClr w14:val="tx1"/>
                  </w14:solidFill>
                </w14:textFill>
              </w:rPr>
              <w:t>3、★油漆：采用环保水性漆，三底二面油漆工艺。技术要求：耐黄变性、耐水性、耐划伤性、硬度、耐磨性、抗黏连性满足GB/T23999-2009要求，其中VOC含量、总铅(Pb)含量、可溶性重金属含量、乙二醇醚及醚酯总和含量、苯系物总和含量符合GB18581-2020《木器涂料中有害物质限量》标准；（提供原材料检测报告）。</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6、产品★（提供成品检测报告）：产品外观要求、理化性能要求、结构安全、有害物质限量（可迁移元素、甲醛释放量等）、力学性能、警示标识等符合GB 28007-2011《儿童家具通用技术条件》标准要求；抗菌性能99%（菌种含：金黄色葡萄球菌、大肠杆菌、白色念珠菌）。</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2、桌脚采用5*5cm橡胶木：★抗霉菌0级（包含：黑曲霉、绳状青霉、出芽短梗霉、 球毛壳霉）、抑菌率&gt;99%（包含：金黄色葡萄球菌、白色念珠菌、肺炎克雷伯氏菌）；（提供原材料检测报告）。</w:t>
            </w:r>
            <w:r>
              <w:rPr>
                <w:rFonts w:hint="eastAsia" w:ascii="宋体" w:hAnsi="宋体" w:eastAsia="宋体" w:cs="宋体"/>
                <w:color w:val="000000" w:themeColor="text1"/>
                <w:kern w:val="0"/>
                <w:sz w:val="21"/>
                <w:szCs w:val="21"/>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14:textFill>
                  <w14:solidFill>
                    <w14:schemeClr w14:val="tx1"/>
                  </w14:solidFill>
                </w14:textFill>
              </w:rPr>
              <w:t>3、油漆：采用环保水性漆，三底二面油漆工艺。★技术要求：耐黄变性、耐水性、耐划伤性、硬度、耐磨性、抗黏连性符合要求；VOC含量、总铅(Pb)含量、可溶性重金属含量、乙二醇醚及醚酯总和含量、苯系物总和含量符合要求；（提供原材料检测报告）。</w:t>
            </w:r>
            <w:r>
              <w:rPr>
                <w:rFonts w:hint="eastAsia" w:ascii="宋体" w:hAnsi="宋体" w:eastAsia="宋体" w:cs="宋体"/>
                <w:color w:val="000000" w:themeColor="text1"/>
                <w:kern w:val="0"/>
                <w:sz w:val="21"/>
                <w:szCs w:val="21"/>
                <w:lang w:val="en-US" w:eastAsia="zh-CN"/>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14:textFill>
                  <w14:solidFill>
                    <w14:schemeClr w14:val="tx1"/>
                  </w14:solidFill>
                </w14:textFill>
              </w:rPr>
              <w:t>6、★产品（提供成品检测报告）：产品外观要求、理化性能要求、结构安全、有害物质限量（可迁移元素、甲醛释放量等）、力学性能、警示标识等符合要求；抗菌性能99%（菌种含：金黄色葡萄球菌、大肠杆菌、白色念珠菌）。</w:t>
            </w:r>
          </w:p>
        </w:tc>
      </w:tr>
      <w:tr>
        <w:tblPrEx>
          <w:tblCellMar>
            <w:top w:w="0" w:type="dxa"/>
            <w:left w:w="0" w:type="dxa"/>
            <w:bottom w:w="0" w:type="dxa"/>
            <w:right w:w="0" w:type="dxa"/>
          </w:tblCellMar>
        </w:tblPrEx>
        <w:trPr>
          <w:trHeight w:val="829"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P41“儿童椅</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参数</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5、产品★（提供成品检测报告）：外观要求、理化性能要求、结构安全、有害物质限量（可迁移元素、甲醛释放量等）、力学性能、警示标识等符合GB 28007-2011《儿童家具通用技术条件》标准要求；抗菌性能99%（菌种含：金黄色葡萄球菌、大肠杆菌、白色念珠菌）；</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产品★（提供成品检测报告）：外观要求、理化性能要求、结构安全、有害物质限量（可迁移元素、甲醛释放量等）、力学性能、警示标识等符合要求；抗菌性能99%（菌种含：金黄色葡萄球菌、大肠杆菌、白色念珠菌）；</w:t>
            </w:r>
          </w:p>
        </w:tc>
      </w:tr>
      <w:tr>
        <w:tblPrEx>
          <w:tblCellMar>
            <w:top w:w="0" w:type="dxa"/>
            <w:left w:w="0" w:type="dxa"/>
            <w:bottom w:w="0" w:type="dxa"/>
            <w:right w:w="0" w:type="dxa"/>
          </w:tblCellMar>
        </w:tblPrEx>
        <w:trPr>
          <w:trHeight w:val="829"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P42“儿童床</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参数</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lang w:val="en-US" w:eastAsia="zh-CN"/>
                <w14:textFill>
                  <w14:solidFill>
                    <w14:schemeClr w14:val="tx1"/>
                  </w14:solidFill>
                </w14:textFill>
              </w:rPr>
              <w:t>产品★（提供成品检测报告）：产品外观要求、理化性能要求、结构安全、有害物质限量（可迁移元素、甲醛释放量等）、力学性能、警示标识等符合GB 28007-2011《儿童家具通用技术条件》标准要求；抗菌性能99%（菌种含：金黄色葡萄球菌、大肠杆菌、白色念珠菌）；</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产品★（提供成品检测报告）：产品外观要求、理化性能要求、结构安全、有害物质限量（可迁移元素、甲醛释放量等）、力学性能、警示标识等符合要求；抗菌性能99%（菌种含：金黄色葡萄球菌、大肠杆菌、白色念珠菌）；</w:t>
            </w:r>
          </w:p>
        </w:tc>
      </w:tr>
      <w:tr>
        <w:tblPrEx>
          <w:tblCellMar>
            <w:top w:w="0" w:type="dxa"/>
            <w:left w:w="0" w:type="dxa"/>
            <w:bottom w:w="0" w:type="dxa"/>
            <w:right w:w="0" w:type="dxa"/>
          </w:tblCellMar>
        </w:tblPrEx>
        <w:trPr>
          <w:trHeight w:val="2271"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P45“玩具柜</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参数</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3、产品★（提供成品检测报告）：产品外观要求、理化性能要求、结构安全、有害物质限量（可迁移元素、甲醛释放量等）、力学性能、警示标识等符合GB 28007-2011《儿童家具通用技术条件》标准要求；抗菌性能99%（菌种含：金黄色葡萄球菌、大肠杆菌、白色念珠菌）；</w:t>
            </w: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产品★（提供成品检测报告）：产品外观要求、理化性能要求、结构安全、有害物质限量（可迁移元素、甲醛释放量等）、力学性能、警示标识等符合要求；抗菌性能99%（菌种含：金黄色葡萄球菌、大肠杆菌、白色念珠菌）；</w:t>
            </w:r>
            <w:r>
              <w:rPr>
                <w:rFonts w:hint="eastAsia" w:ascii="宋体" w:hAnsi="宋体" w:eastAsia="宋体" w:cs="宋体"/>
                <w:color w:val="000000" w:themeColor="text1"/>
                <w:kern w:val="0"/>
                <w:sz w:val="21"/>
                <w:szCs w:val="21"/>
                <w:lang w:val="en-US" w:eastAsia="zh-CN"/>
                <w14:textFill>
                  <w14:solidFill>
                    <w14:schemeClr w14:val="tx1"/>
                  </w14:solidFill>
                </w14:textFill>
              </w:rPr>
              <w:br w:type="textWrapping"/>
            </w:r>
          </w:p>
        </w:tc>
      </w:tr>
      <w:tr>
        <w:tblPrEx>
          <w:tblCellMar>
            <w:top w:w="0" w:type="dxa"/>
            <w:left w:w="0" w:type="dxa"/>
            <w:bottom w:w="0" w:type="dxa"/>
            <w:right w:w="0" w:type="dxa"/>
          </w:tblCellMar>
        </w:tblPrEx>
        <w:trPr>
          <w:trHeight w:val="829"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kinsoku/>
              <w:wordWrap/>
              <w:overflowPunct/>
              <w:topLinePunct w:val="0"/>
              <w:autoSpaceDE w:val="0"/>
              <w:autoSpaceDN w:val="0"/>
              <w:bidi w:val="0"/>
              <w:adjustRightInd/>
              <w:spacing w:line="32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p>
        </w:tc>
        <w:tc>
          <w:tcPr>
            <w:tcW w:w="2158"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招标文件</w:t>
            </w:r>
            <w:r>
              <w:rPr>
                <w:rFonts w:hint="eastAsia" w:ascii="宋体" w:hAnsi="宋体" w:eastAsia="宋体" w:cs="宋体"/>
                <w:color w:val="000000" w:themeColor="text1"/>
                <w:kern w:val="0"/>
                <w:sz w:val="21"/>
                <w:szCs w:val="21"/>
                <w:lang w:val="en-US" w:eastAsia="zh-CN"/>
                <w14:textFill>
                  <w14:solidFill>
                    <w14:schemeClr w14:val="tx1"/>
                  </w14:solidFill>
                </w14:textFill>
              </w:rPr>
              <w:t>P86“其他要求</w:t>
            </w:r>
            <w:r>
              <w:rPr>
                <w:rFonts w:hint="default"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内容</w:t>
            </w:r>
            <w:r>
              <w:rPr>
                <w:rFonts w:hint="eastAsia" w:ascii="宋体" w:hAnsi="宋体" w:eastAsia="宋体" w:cs="宋体"/>
                <w:color w:val="000000" w:themeColor="text1"/>
                <w:kern w:val="0"/>
                <w:sz w:val="21"/>
                <w:szCs w:val="21"/>
                <w:lang w:eastAsia="zh-CN"/>
                <w14:textFill>
                  <w14:solidFill>
                    <w14:schemeClr w14:val="tx1"/>
                  </w14:solidFill>
                </w14:textFill>
              </w:rPr>
              <w:t>的更正</w:t>
            </w:r>
          </w:p>
        </w:tc>
        <w:tc>
          <w:tcPr>
            <w:tcW w:w="3817"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项目方案及安装调试方案具体在实施前须报经采购人同意后方可执行，中标</w:t>
            </w:r>
            <w:r>
              <w:rPr>
                <w:rFonts w:hint="eastAsia" w:ascii="宋体" w:hAnsi="宋体" w:eastAsia="宋体" w:cs="宋体"/>
                <w:color w:val="000000" w:themeColor="text1"/>
                <w:kern w:val="0"/>
                <w:sz w:val="21"/>
                <w:szCs w:val="21"/>
                <w:lang w:eastAsia="zh-CN"/>
                <w14:textFill>
                  <w14:solidFill>
                    <w14:schemeClr w14:val="tx1"/>
                  </w14:solidFill>
                </w14:textFill>
              </w:rPr>
              <w:t>人</w:t>
            </w:r>
            <w:r>
              <w:rPr>
                <w:rFonts w:hint="eastAsia" w:ascii="宋体" w:hAnsi="宋体" w:eastAsia="宋体" w:cs="宋体"/>
                <w:color w:val="000000" w:themeColor="text1"/>
                <w:kern w:val="0"/>
                <w:sz w:val="21"/>
                <w:szCs w:val="21"/>
                <w14:textFill>
                  <w14:solidFill>
                    <w14:schemeClr w14:val="tx1"/>
                  </w14:solidFill>
                </w14:textFill>
              </w:rPr>
              <w:t>在生产前必须到采购单位确定要采购</w:t>
            </w:r>
            <w:r>
              <w:rPr>
                <w:rFonts w:hint="eastAsia" w:ascii="宋体" w:hAnsi="宋体" w:eastAsia="宋体" w:cs="宋体"/>
                <w:color w:val="000000" w:themeColor="text1"/>
                <w:kern w:val="0"/>
                <w:sz w:val="21"/>
                <w:szCs w:val="21"/>
                <w:lang w:eastAsia="zh-CN"/>
                <w14:textFill>
                  <w14:solidFill>
                    <w14:schemeClr w14:val="tx1"/>
                  </w14:solidFill>
                </w14:textFill>
              </w:rPr>
              <w:t>货物</w:t>
            </w:r>
            <w:r>
              <w:rPr>
                <w:rFonts w:hint="eastAsia" w:ascii="宋体" w:hAnsi="宋体" w:eastAsia="宋体" w:cs="宋体"/>
                <w:color w:val="000000" w:themeColor="text1"/>
                <w:kern w:val="0"/>
                <w:sz w:val="21"/>
                <w:szCs w:val="21"/>
                <w14:textFill>
                  <w14:solidFill>
                    <w14:schemeClr w14:val="tx1"/>
                  </w14:solidFill>
                </w14:textFill>
              </w:rPr>
              <w:t>的数量、技术参数等，以免搞错，经采购单位核准后方可组织生产</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否则后果自负。</w:t>
            </w:r>
          </w:p>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4100"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auto"/>
                <w:kern w:val="0"/>
                <w:sz w:val="21"/>
                <w:szCs w:val="21"/>
                <w:lang w:val="en-US" w:eastAsia="zh-CN"/>
              </w:rPr>
              <w:t>10</w:t>
            </w:r>
            <w:r>
              <w:rPr>
                <w:rFonts w:hint="eastAsia" w:ascii="宋体" w:hAnsi="宋体" w:cs="宋体"/>
                <w:b/>
                <w:bCs/>
                <w:color w:val="auto"/>
                <w:kern w:val="0"/>
                <w:sz w:val="21"/>
                <w:szCs w:val="21"/>
                <w:lang w:val="en-US" w:eastAsia="zh-CN"/>
              </w:rPr>
              <w:t>、为了产品的一致性，便于售后维护，投标人提供家具类产品制造商不得超过3家。</w:t>
            </w:r>
            <w:r>
              <w:rPr>
                <w:rFonts w:hint="eastAsia" w:ascii="宋体" w:hAnsi="宋体" w:eastAsia="宋体" w:cs="宋体"/>
                <w:color w:val="000000" w:themeColor="text1"/>
                <w:kern w:val="0"/>
                <w:sz w:val="21"/>
                <w:szCs w:val="21"/>
                <w14:textFill>
                  <w14:solidFill>
                    <w14:schemeClr w14:val="tx1"/>
                  </w14:solidFill>
                </w14:textFill>
              </w:rPr>
              <w:t>项目方案及安装调试方案具体在实施前须报经采购人同意后方可执行，中标</w:t>
            </w:r>
            <w:r>
              <w:rPr>
                <w:rFonts w:hint="eastAsia" w:ascii="宋体" w:hAnsi="宋体" w:eastAsia="宋体" w:cs="宋体"/>
                <w:color w:val="000000" w:themeColor="text1"/>
                <w:kern w:val="0"/>
                <w:sz w:val="21"/>
                <w:szCs w:val="21"/>
                <w:lang w:eastAsia="zh-CN"/>
                <w14:textFill>
                  <w14:solidFill>
                    <w14:schemeClr w14:val="tx1"/>
                  </w14:solidFill>
                </w14:textFill>
              </w:rPr>
              <w:t>人</w:t>
            </w:r>
            <w:r>
              <w:rPr>
                <w:rFonts w:hint="eastAsia" w:ascii="宋体" w:hAnsi="宋体" w:eastAsia="宋体" w:cs="宋体"/>
                <w:color w:val="000000" w:themeColor="text1"/>
                <w:kern w:val="0"/>
                <w:sz w:val="21"/>
                <w:szCs w:val="21"/>
                <w14:textFill>
                  <w14:solidFill>
                    <w14:schemeClr w14:val="tx1"/>
                  </w14:solidFill>
                </w14:textFill>
              </w:rPr>
              <w:t>在生产前必须到采购单位确定要采购</w:t>
            </w:r>
            <w:r>
              <w:rPr>
                <w:rFonts w:hint="eastAsia" w:ascii="宋体" w:hAnsi="宋体" w:eastAsia="宋体" w:cs="宋体"/>
                <w:color w:val="000000" w:themeColor="text1"/>
                <w:kern w:val="0"/>
                <w:sz w:val="21"/>
                <w:szCs w:val="21"/>
                <w:lang w:eastAsia="zh-CN"/>
                <w14:textFill>
                  <w14:solidFill>
                    <w14:schemeClr w14:val="tx1"/>
                  </w14:solidFill>
                </w14:textFill>
              </w:rPr>
              <w:t>货物</w:t>
            </w:r>
            <w:r>
              <w:rPr>
                <w:rFonts w:hint="eastAsia" w:ascii="宋体" w:hAnsi="宋体" w:eastAsia="宋体" w:cs="宋体"/>
                <w:color w:val="000000" w:themeColor="text1"/>
                <w:kern w:val="0"/>
                <w:sz w:val="21"/>
                <w:szCs w:val="21"/>
                <w14:textFill>
                  <w14:solidFill>
                    <w14:schemeClr w14:val="tx1"/>
                  </w14:solidFill>
                </w14:textFill>
              </w:rPr>
              <w:t>的数量、技术参数等，以免搞错，经采购单位核准后方可组织生产</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否则后果自负。</w:t>
            </w:r>
          </w:p>
        </w:tc>
      </w:tr>
    </w:tbl>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cs="宋体"/>
          <w:b/>
          <w:color w:val="000000" w:themeColor="text1"/>
          <w:kern w:val="0"/>
          <w:sz w:val="24"/>
          <w14:textFill>
            <w14:solidFill>
              <w14:schemeClr w14:val="tx1"/>
            </w14:solidFill>
          </w14:textFill>
        </w:rPr>
      </w:pPr>
    </w:p>
    <w:sectPr>
      <w:footerReference r:id="rId3" w:type="default"/>
      <w:pgSz w:w="11906" w:h="16838"/>
      <w:pgMar w:top="1440" w:right="130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0"/>
      <w:lvlText w:val="%1."/>
      <w:lvlJc w:val="left"/>
      <w:pPr>
        <w:tabs>
          <w:tab w:val="left" w:pos="1200"/>
        </w:tabs>
        <w:ind w:left="12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U1ZTFmZDQ0OWZkNGUxMjdlNWY1ODg2NjExYTIifQ=="/>
  </w:docVars>
  <w:rsids>
    <w:rsidRoot w:val="00000000"/>
    <w:rsid w:val="027B123B"/>
    <w:rsid w:val="029D54E8"/>
    <w:rsid w:val="04402271"/>
    <w:rsid w:val="07C17B6D"/>
    <w:rsid w:val="09BC683E"/>
    <w:rsid w:val="19AA1DE5"/>
    <w:rsid w:val="1C2A3ADB"/>
    <w:rsid w:val="1F881265"/>
    <w:rsid w:val="22431A44"/>
    <w:rsid w:val="24107A5A"/>
    <w:rsid w:val="25CD1C4F"/>
    <w:rsid w:val="28520641"/>
    <w:rsid w:val="2BD200F8"/>
    <w:rsid w:val="2C48411F"/>
    <w:rsid w:val="34CF7756"/>
    <w:rsid w:val="364A6DFC"/>
    <w:rsid w:val="385F130A"/>
    <w:rsid w:val="38A260BF"/>
    <w:rsid w:val="39AB297D"/>
    <w:rsid w:val="39D96DB9"/>
    <w:rsid w:val="3F2D72BA"/>
    <w:rsid w:val="3FEB744C"/>
    <w:rsid w:val="4145298C"/>
    <w:rsid w:val="48D7397C"/>
    <w:rsid w:val="4C0C0983"/>
    <w:rsid w:val="4F4F2935"/>
    <w:rsid w:val="504C4459"/>
    <w:rsid w:val="50F47C38"/>
    <w:rsid w:val="58F163D1"/>
    <w:rsid w:val="5B120263"/>
    <w:rsid w:val="5B74738F"/>
    <w:rsid w:val="5E454BA5"/>
    <w:rsid w:val="61532759"/>
    <w:rsid w:val="64D836A1"/>
    <w:rsid w:val="657D7565"/>
    <w:rsid w:val="67BF54C6"/>
    <w:rsid w:val="67E17DD8"/>
    <w:rsid w:val="688212A6"/>
    <w:rsid w:val="6A40325F"/>
    <w:rsid w:val="6AA302AD"/>
    <w:rsid w:val="6BF80185"/>
    <w:rsid w:val="6E176DA8"/>
    <w:rsid w:val="6E1E6D28"/>
    <w:rsid w:val="6FAA7DC7"/>
    <w:rsid w:val="6FFE5F86"/>
    <w:rsid w:val="722A535E"/>
    <w:rsid w:val="77DC095A"/>
    <w:rsid w:val="77DE2925"/>
    <w:rsid w:val="78B9292D"/>
    <w:rsid w:val="7C1E1BC0"/>
    <w:rsid w:val="7C2C49AD"/>
    <w:rsid w:val="7C4579C7"/>
    <w:rsid w:val="7C8E608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4"/>
    <w:link w:val="20"/>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semiHidden/>
    <w:qFormat/>
    <w:uiPriority w:val="99"/>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locked/>
    <w:uiPriority w:val="0"/>
    <w:pPr>
      <w:spacing w:after="120" w:line="240" w:lineRule="auto"/>
      <w:ind w:left="420" w:leftChars="200" w:firstLine="420"/>
    </w:pPr>
    <w:rPr>
      <w:rFonts w:cs="宋体"/>
      <w:sz w:val="21"/>
      <w:szCs w:val="21"/>
    </w:rPr>
  </w:style>
  <w:style w:type="paragraph" w:styleId="3">
    <w:name w:val="Body Text Indent"/>
    <w:basedOn w:val="1"/>
    <w:next w:val="4"/>
    <w:link w:val="21"/>
    <w:autoRedefine/>
    <w:qFormat/>
    <w:uiPriority w:val="99"/>
    <w:pPr>
      <w:spacing w:line="200" w:lineRule="exact"/>
      <w:ind w:firstLine="301"/>
    </w:pPr>
    <w:rPr>
      <w:rFonts w:ascii="宋体" w:hAnsi="Courier New"/>
      <w:spacing w:val="-4"/>
      <w:sz w:val="18"/>
      <w:szCs w:val="20"/>
    </w:rPr>
  </w:style>
  <w:style w:type="paragraph" w:styleId="4">
    <w:name w:val="Normal Indent"/>
    <w:basedOn w:val="1"/>
    <w:next w:val="3"/>
    <w:autoRedefine/>
    <w:qFormat/>
    <w:locked/>
    <w:uiPriority w:val="0"/>
    <w:pPr>
      <w:widowControl/>
      <w:ind w:firstLine="420"/>
      <w:jc w:val="left"/>
    </w:pPr>
    <w:rPr>
      <w:rFonts w:ascii="Arial" w:hAnsi="Arial" w:cs="Arial"/>
      <w:kern w:val="0"/>
      <w:sz w:val="20"/>
      <w:szCs w:val="20"/>
    </w:rPr>
  </w:style>
  <w:style w:type="paragraph" w:customStyle="1" w:styleId="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7">
    <w:name w:val="Body Text"/>
    <w:basedOn w:val="1"/>
    <w:next w:val="8"/>
    <w:autoRedefine/>
    <w:qFormat/>
    <w:locked/>
    <w:uiPriority w:val="0"/>
    <w:pPr>
      <w:spacing w:after="120"/>
    </w:pPr>
    <w:rPr>
      <w:sz w:val="28"/>
    </w:rPr>
  </w:style>
  <w:style w:type="paragraph" w:styleId="8">
    <w:name w:val="Body Text First Indent"/>
    <w:basedOn w:val="7"/>
    <w:next w:val="9"/>
    <w:autoRedefine/>
    <w:qFormat/>
    <w:locked/>
    <w:uiPriority w:val="0"/>
    <w:pPr>
      <w:ind w:firstLine="420"/>
    </w:pPr>
  </w:style>
  <w:style w:type="paragraph" w:styleId="9">
    <w:name w:val="toc 6"/>
    <w:basedOn w:val="1"/>
    <w:next w:val="1"/>
    <w:autoRedefine/>
    <w:semiHidden/>
    <w:qFormat/>
    <w:locked/>
    <w:uiPriority w:val="0"/>
    <w:pPr>
      <w:ind w:left="1050"/>
      <w:jc w:val="left"/>
    </w:pPr>
    <w:rPr>
      <w:sz w:val="18"/>
      <w:szCs w:val="18"/>
    </w:rPr>
  </w:style>
  <w:style w:type="paragraph" w:styleId="10">
    <w:name w:val="Plain Text"/>
    <w:basedOn w:val="1"/>
    <w:link w:val="22"/>
    <w:autoRedefine/>
    <w:qFormat/>
    <w:uiPriority w:val="99"/>
    <w:pPr>
      <w:numPr>
        <w:ilvl w:val="0"/>
        <w:numId w:val="1"/>
      </w:numPr>
      <w:spacing w:beforeLines="50" w:afterLines="50" w:line="400" w:lineRule="exact"/>
    </w:pPr>
    <w:rPr>
      <w:rFonts w:ascii="宋体" w:hAnsi="Courier New"/>
      <w:kern w:val="0"/>
      <w:sz w:val="24"/>
    </w:rPr>
  </w:style>
  <w:style w:type="paragraph" w:styleId="11">
    <w:name w:val="Balloon Text"/>
    <w:basedOn w:val="1"/>
    <w:link w:val="29"/>
    <w:autoRedefine/>
    <w:semiHidden/>
    <w:qFormat/>
    <w:locked/>
    <w:uiPriority w:val="99"/>
    <w:rPr>
      <w:sz w:val="18"/>
      <w:szCs w:val="18"/>
    </w:rPr>
  </w:style>
  <w:style w:type="paragraph" w:styleId="12">
    <w:name w:val="footer"/>
    <w:basedOn w:val="1"/>
    <w:link w:val="23"/>
    <w:autoRedefine/>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24"/>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HTML Preformatted"/>
    <w:basedOn w:val="1"/>
    <w:link w:val="2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Normal (Web)"/>
    <w:basedOn w:val="1"/>
    <w:autoRedefine/>
    <w:qFormat/>
    <w:uiPriority w:val="99"/>
    <w:pPr>
      <w:spacing w:beforeAutospacing="1" w:afterAutospacing="1"/>
      <w:jc w:val="left"/>
    </w:pPr>
    <w:rPr>
      <w:kern w:val="0"/>
      <w:sz w:val="24"/>
    </w:rPr>
  </w:style>
  <w:style w:type="character" w:styleId="18">
    <w:name w:val="FollowedHyperlink"/>
    <w:basedOn w:val="17"/>
    <w:autoRedefine/>
    <w:qFormat/>
    <w:uiPriority w:val="99"/>
    <w:rPr>
      <w:rFonts w:cs="Times New Roman"/>
      <w:color w:val="000000"/>
      <w:u w:val="none"/>
    </w:rPr>
  </w:style>
  <w:style w:type="character" w:styleId="19">
    <w:name w:val="Hyperlink"/>
    <w:basedOn w:val="17"/>
    <w:autoRedefine/>
    <w:qFormat/>
    <w:uiPriority w:val="99"/>
    <w:rPr>
      <w:rFonts w:cs="Times New Roman"/>
      <w:color w:val="0000CC"/>
      <w:u w:val="single"/>
    </w:rPr>
  </w:style>
  <w:style w:type="character" w:customStyle="1" w:styleId="20">
    <w:name w:val="Heading 2 Char"/>
    <w:basedOn w:val="17"/>
    <w:link w:val="6"/>
    <w:autoRedefine/>
    <w:semiHidden/>
    <w:qFormat/>
    <w:locked/>
    <w:uiPriority w:val="99"/>
    <w:rPr>
      <w:rFonts w:ascii="Cambria" w:hAnsi="Cambria" w:eastAsia="宋体" w:cs="Times New Roman"/>
      <w:b/>
      <w:bCs/>
      <w:sz w:val="32"/>
      <w:szCs w:val="32"/>
    </w:rPr>
  </w:style>
  <w:style w:type="character" w:customStyle="1" w:styleId="21">
    <w:name w:val="Body Text Indent Char"/>
    <w:basedOn w:val="17"/>
    <w:link w:val="3"/>
    <w:autoRedefine/>
    <w:semiHidden/>
    <w:qFormat/>
    <w:locked/>
    <w:uiPriority w:val="99"/>
    <w:rPr>
      <w:rFonts w:ascii="Times New Roman" w:hAnsi="Times New Roman" w:cs="Times New Roman"/>
      <w:sz w:val="24"/>
      <w:szCs w:val="24"/>
    </w:rPr>
  </w:style>
  <w:style w:type="character" w:customStyle="1" w:styleId="22">
    <w:name w:val="Plain Text Char"/>
    <w:basedOn w:val="17"/>
    <w:link w:val="10"/>
    <w:autoRedefine/>
    <w:semiHidden/>
    <w:qFormat/>
    <w:locked/>
    <w:uiPriority w:val="99"/>
    <w:rPr>
      <w:rFonts w:ascii="宋体" w:hAnsi="Courier New" w:eastAsia="宋体" w:cs="Courier New"/>
      <w:sz w:val="21"/>
      <w:szCs w:val="21"/>
    </w:rPr>
  </w:style>
  <w:style w:type="character" w:customStyle="1" w:styleId="23">
    <w:name w:val="Footer Char"/>
    <w:basedOn w:val="17"/>
    <w:link w:val="12"/>
    <w:autoRedefine/>
    <w:semiHidden/>
    <w:qFormat/>
    <w:locked/>
    <w:uiPriority w:val="99"/>
    <w:rPr>
      <w:rFonts w:cs="Times New Roman"/>
      <w:sz w:val="18"/>
      <w:szCs w:val="18"/>
    </w:rPr>
  </w:style>
  <w:style w:type="character" w:customStyle="1" w:styleId="24">
    <w:name w:val="Header Char"/>
    <w:basedOn w:val="17"/>
    <w:link w:val="13"/>
    <w:autoRedefine/>
    <w:semiHidden/>
    <w:qFormat/>
    <w:locked/>
    <w:uiPriority w:val="99"/>
    <w:rPr>
      <w:rFonts w:cs="Times New Roman"/>
      <w:sz w:val="18"/>
      <w:szCs w:val="18"/>
    </w:rPr>
  </w:style>
  <w:style w:type="character" w:customStyle="1" w:styleId="25">
    <w:name w:val="HTML Preformatted Char"/>
    <w:basedOn w:val="17"/>
    <w:link w:val="14"/>
    <w:autoRedefine/>
    <w:semiHidden/>
    <w:qFormat/>
    <w:locked/>
    <w:uiPriority w:val="99"/>
    <w:rPr>
      <w:rFonts w:ascii="Courier New" w:hAnsi="Courier New" w:cs="Courier New"/>
      <w:sz w:val="20"/>
      <w:szCs w:val="20"/>
    </w:rPr>
  </w:style>
  <w:style w:type="character" w:customStyle="1" w:styleId="26">
    <w:name w:val="纯文本 Char"/>
    <w:autoRedefine/>
    <w:qFormat/>
    <w:uiPriority w:val="99"/>
    <w:rPr>
      <w:rFonts w:ascii="宋体" w:hAnsi="Courier New" w:eastAsia="宋体"/>
      <w:sz w:val="24"/>
    </w:rPr>
  </w:style>
  <w:style w:type="paragraph" w:customStyle="1" w:styleId="27">
    <w:name w:val="列出段落1"/>
    <w:basedOn w:val="1"/>
    <w:autoRedefine/>
    <w:qFormat/>
    <w:uiPriority w:val="99"/>
    <w:pPr>
      <w:ind w:firstLine="420" w:firstLineChars="200"/>
    </w:pPr>
  </w:style>
  <w:style w:type="paragraph" w:customStyle="1" w:styleId="28">
    <w:name w:val="正文表格内容"/>
    <w:basedOn w:val="1"/>
    <w:autoRedefine/>
    <w:qFormat/>
    <w:uiPriority w:val="99"/>
    <w:pPr>
      <w:widowControl/>
      <w:jc w:val="left"/>
    </w:pPr>
    <w:rPr>
      <w:rFonts w:ascii="Arial" w:hAnsi="Arial"/>
      <w:bCs/>
      <w:kern w:val="0"/>
      <w:szCs w:val="18"/>
    </w:rPr>
  </w:style>
  <w:style w:type="character" w:customStyle="1" w:styleId="29">
    <w:name w:val="Balloon Text Char"/>
    <w:basedOn w:val="17"/>
    <w:link w:val="11"/>
    <w:autoRedefine/>
    <w:semiHidden/>
    <w:qFormat/>
    <w:locked/>
    <w:uiPriority w:val="99"/>
    <w:rPr>
      <w:rFonts w:cs="Times New Roman"/>
      <w:sz w:val="2"/>
    </w:rPr>
  </w:style>
  <w:style w:type="character" w:customStyle="1" w:styleId="30">
    <w:name w:val="font21"/>
    <w:basedOn w:val="17"/>
    <w:autoRedefine/>
    <w:qFormat/>
    <w:uiPriority w:val="0"/>
    <w:rPr>
      <w:rFonts w:ascii="Arial" w:hAnsi="Arial" w:cs="Arial"/>
      <w:color w:val="000000"/>
      <w:sz w:val="24"/>
      <w:szCs w:val="24"/>
      <w:u w:val="none"/>
    </w:rPr>
  </w:style>
  <w:style w:type="paragraph" w:customStyle="1" w:styleId="31">
    <w:name w:val="Table Paragraph"/>
    <w:basedOn w:val="1"/>
    <w:autoRedefine/>
    <w:qFormat/>
    <w:uiPriority w:val="1"/>
    <w:rPr>
      <w:rFonts w:ascii="宋体" w:hAnsi="宋体" w:eastAsia="宋体" w:cs="宋体"/>
      <w:lang w:val="zh-CN" w:eastAsia="zh-CN" w:bidi="zh-CN"/>
    </w:rPr>
  </w:style>
  <w:style w:type="character" w:customStyle="1" w:styleId="32">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653</Words>
  <Characters>784</Characters>
  <Lines>0</Lines>
  <Paragraphs>0</Paragraphs>
  <TotalTime>11</TotalTime>
  <ScaleCrop>false</ScaleCrop>
  <LinksUpToDate>false</LinksUpToDate>
  <CharactersWithSpaces>907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2017-10-12T14:46:00Z</dcterms:created>
  <dc:creator>AutoBVT</dc:creator>
  <cp:lastModifiedBy>黄银凤</cp:lastModifiedBy>
  <cp:lastPrinted>2023-05-22T11:13:00Z</cp:lastPrinted>
  <dcterms:modified xsi:type="dcterms:W3CDTF">2025-02-13T03:24:40Z</dcterms:modified>
  <dc:title>关于浦江县小黄坛渗滤液处理厂委托运营服务项目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3F3403EE64B84BE59B67D764C6BDEB52_13</vt:lpwstr>
  </property>
</Properties>
</file>