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z w:val="24"/>
          <w:highlight w:val="none"/>
        </w:rPr>
      </w:pPr>
    </w:p>
    <w:p>
      <w:pPr>
        <w:adjustRightInd/>
        <w:spacing w:line="360" w:lineRule="auto"/>
        <w:rPr>
          <w:rFonts w:hint="eastAsia" w:ascii="仿宋" w:hAnsi="仿宋" w:eastAsia="仿宋" w:cs="仿宋"/>
          <w:b/>
          <w:sz w:val="36"/>
          <w:szCs w:val="36"/>
          <w:highlight w:val="none"/>
        </w:rPr>
      </w:pPr>
    </w:p>
    <w:p>
      <w:pPr>
        <w:spacing w:line="360" w:lineRule="auto"/>
        <w:ind w:firstLine="480"/>
        <w:jc w:val="center"/>
        <w:rPr>
          <w:rFonts w:hint="default" w:ascii="仿宋" w:hAnsi="仿宋" w:eastAsia="仿宋" w:cs="仿宋"/>
          <w:b/>
          <w:bCs/>
          <w:snapToGrid w:val="0"/>
          <w:kern w:val="28"/>
          <w:sz w:val="44"/>
          <w:szCs w:val="44"/>
          <w:highlight w:val="none"/>
          <w:lang w:val="en-US" w:eastAsia="zh-CN"/>
        </w:rPr>
      </w:pPr>
      <w:r>
        <w:rPr>
          <w:rFonts w:hint="eastAsia" w:ascii="仿宋" w:hAnsi="仿宋" w:eastAsia="仿宋" w:cs="仿宋"/>
          <w:b/>
          <w:bCs/>
          <w:snapToGrid w:val="0"/>
          <w:kern w:val="28"/>
          <w:sz w:val="44"/>
          <w:szCs w:val="44"/>
          <w:highlight w:val="none"/>
          <w:lang w:eastAsia="zh-CN"/>
        </w:rPr>
        <w:t>萧山区数据资源管理局2025年度政务信息化项目预审服务</w:t>
      </w:r>
      <w:r>
        <w:rPr>
          <w:rFonts w:hint="eastAsia" w:ascii="仿宋" w:hAnsi="仿宋" w:eastAsia="仿宋" w:cs="仿宋"/>
          <w:b/>
          <w:bCs/>
          <w:snapToGrid w:val="0"/>
          <w:kern w:val="28"/>
          <w:sz w:val="44"/>
          <w:szCs w:val="44"/>
          <w:highlight w:val="none"/>
          <w:lang w:val="en-US" w:eastAsia="zh-CN"/>
        </w:rPr>
        <w:t>项目</w:t>
      </w:r>
    </w:p>
    <w:p>
      <w:pPr>
        <w:pStyle w:val="5"/>
        <w:rPr>
          <w:rFonts w:hint="eastAsia" w:ascii="仿宋" w:hAnsi="仿宋" w:eastAsia="仿宋" w:cs="仿宋"/>
          <w:snapToGrid w:val="0"/>
          <w:kern w:val="28"/>
          <w:sz w:val="48"/>
          <w:szCs w:val="48"/>
          <w:highlight w:val="none"/>
        </w:rPr>
      </w:pPr>
    </w:p>
    <w:p>
      <w:pPr>
        <w:rPr>
          <w:rFonts w:hint="eastAsia" w:ascii="仿宋" w:hAnsi="仿宋" w:eastAsia="仿宋" w:cs="仿宋"/>
          <w:highlight w:val="none"/>
        </w:rPr>
      </w:pPr>
    </w:p>
    <w:p>
      <w:pPr>
        <w:rPr>
          <w:rFonts w:hint="eastAsia" w:ascii="仿宋" w:hAnsi="仿宋" w:eastAsia="仿宋" w:cs="仿宋"/>
          <w:highlight w:val="none"/>
        </w:rPr>
      </w:pPr>
    </w:p>
    <w:p>
      <w:pPr>
        <w:spacing w:line="360" w:lineRule="auto"/>
        <w:ind w:firstLine="480"/>
        <w:jc w:val="center"/>
        <w:rPr>
          <w:rFonts w:hint="eastAsia" w:ascii="仿宋" w:hAnsi="仿宋" w:eastAsia="仿宋" w:cs="仿宋"/>
          <w:b/>
          <w:bCs/>
          <w:snapToGrid w:val="0"/>
          <w:kern w:val="28"/>
          <w:sz w:val="48"/>
          <w:szCs w:val="48"/>
          <w:highlight w:val="none"/>
        </w:rPr>
      </w:pPr>
      <w:r>
        <w:rPr>
          <w:rFonts w:hint="eastAsia" w:ascii="仿宋" w:hAnsi="仿宋" w:eastAsia="仿宋" w:cs="仿宋"/>
          <w:b/>
          <w:bCs/>
          <w:snapToGrid w:val="0"/>
          <w:kern w:val="28"/>
          <w:sz w:val="48"/>
          <w:szCs w:val="48"/>
          <w:highlight w:val="none"/>
        </w:rPr>
        <w:t>交易文件</w:t>
      </w:r>
    </w:p>
    <w:p>
      <w:pPr>
        <w:adjustRightInd/>
        <w:spacing w:line="36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 （电子招投标）</w:t>
      </w:r>
    </w:p>
    <w:p>
      <w:pPr>
        <w:snapToGrid w:val="0"/>
        <w:spacing w:line="360" w:lineRule="auto"/>
        <w:jc w:val="center"/>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rPr>
        <w:t>编号:</w:t>
      </w:r>
      <w:r>
        <w:rPr>
          <w:rFonts w:hint="eastAsia" w:ascii="仿宋" w:hAnsi="仿宋" w:eastAsia="仿宋" w:cs="仿宋"/>
          <w:sz w:val="28"/>
          <w:szCs w:val="28"/>
          <w:highlight w:val="none"/>
          <w:lang w:eastAsia="zh-CN"/>
        </w:rPr>
        <w:t>HCZX(XS)2025-016</w:t>
      </w:r>
    </w:p>
    <w:p>
      <w:pPr>
        <w:adjustRightInd/>
        <w:spacing w:line="360" w:lineRule="auto"/>
        <w:rPr>
          <w:rFonts w:hint="eastAsia" w:ascii="仿宋" w:hAnsi="仿宋" w:eastAsia="仿宋" w:cs="仿宋"/>
          <w:sz w:val="24"/>
          <w:highlight w:val="none"/>
        </w:rPr>
      </w:pPr>
    </w:p>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 xml:space="preserve"> </w:t>
      </w:r>
    </w:p>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sz w:val="24"/>
          <w:highlight w:val="none"/>
        </w:rPr>
      </w:pPr>
    </w:p>
    <w:p>
      <w:pPr>
        <w:spacing w:line="360" w:lineRule="auto"/>
        <w:jc w:val="center"/>
        <w:rPr>
          <w:rFonts w:hint="eastAsia" w:ascii="仿宋" w:hAnsi="仿宋" w:eastAsia="仿宋" w:cs="仿宋"/>
          <w:sz w:val="24"/>
          <w:highlight w:val="none"/>
        </w:rPr>
      </w:pPr>
    </w:p>
    <w:p>
      <w:pPr>
        <w:pStyle w:val="5"/>
        <w:ind w:left="0" w:leftChars="0" w:firstLine="0" w:firstLineChars="0"/>
        <w:rPr>
          <w:rFonts w:hint="eastAsia" w:ascii="仿宋" w:hAnsi="仿宋" w:eastAsia="仿宋" w:cs="仿宋"/>
          <w:highlight w:val="none"/>
        </w:rPr>
      </w:pPr>
    </w:p>
    <w:p>
      <w:pPr>
        <w:spacing w:line="360" w:lineRule="auto"/>
        <w:jc w:val="both"/>
        <w:rPr>
          <w:rFonts w:hint="eastAsia" w:ascii="仿宋" w:hAnsi="仿宋" w:eastAsia="仿宋" w:cs="仿宋"/>
          <w:sz w:val="24"/>
          <w:highlight w:val="none"/>
        </w:rPr>
      </w:pPr>
    </w:p>
    <w:p>
      <w:pPr>
        <w:spacing w:line="360" w:lineRule="auto"/>
        <w:rPr>
          <w:rFonts w:hint="eastAsia" w:ascii="仿宋" w:hAnsi="仿宋" w:eastAsia="仿宋" w:cs="仿宋"/>
          <w:sz w:val="24"/>
          <w:highlight w:val="none"/>
        </w:rPr>
      </w:pPr>
    </w:p>
    <w:p>
      <w:pPr>
        <w:snapToGrid w:val="0"/>
        <w:spacing w:line="360" w:lineRule="auto"/>
        <w:jc w:val="center"/>
        <w:rPr>
          <w:rFonts w:hint="eastAsia" w:ascii="仿宋" w:hAnsi="仿宋" w:eastAsia="仿宋" w:cs="仿宋"/>
          <w:bCs/>
          <w:sz w:val="32"/>
          <w:szCs w:val="32"/>
          <w:highlight w:val="none"/>
        </w:rPr>
      </w:pPr>
      <w:r>
        <w:rPr>
          <w:rFonts w:hint="eastAsia" w:ascii="仿宋" w:hAnsi="仿宋" w:eastAsia="仿宋" w:cs="仿宋"/>
          <w:bCs/>
          <w:sz w:val="32"/>
          <w:szCs w:val="32"/>
          <w:highlight w:val="none"/>
        </w:rPr>
        <w:t>杭州市萧山区数据资源管理局</w:t>
      </w:r>
    </w:p>
    <w:p>
      <w:pPr>
        <w:snapToGrid w:val="0"/>
        <w:spacing w:line="360" w:lineRule="auto"/>
        <w:jc w:val="center"/>
        <w:rPr>
          <w:rFonts w:hint="eastAsia" w:ascii="仿宋" w:hAnsi="仿宋" w:eastAsia="仿宋" w:cs="仿宋"/>
          <w:bCs/>
          <w:sz w:val="32"/>
          <w:szCs w:val="32"/>
          <w:highlight w:val="none"/>
        </w:rPr>
      </w:pPr>
      <w:r>
        <w:rPr>
          <w:rFonts w:hint="eastAsia" w:ascii="仿宋" w:hAnsi="仿宋" w:eastAsia="仿宋" w:cs="仿宋"/>
          <w:bCs/>
          <w:sz w:val="32"/>
          <w:szCs w:val="32"/>
          <w:highlight w:val="none"/>
        </w:rPr>
        <w:t>华诚工程咨询集团有限公司</w:t>
      </w:r>
    </w:p>
    <w:p>
      <w:pPr>
        <w:snapToGrid w:val="0"/>
        <w:spacing w:line="360" w:lineRule="auto"/>
        <w:jc w:val="center"/>
        <w:rPr>
          <w:rFonts w:hint="eastAsia" w:ascii="仿宋" w:hAnsi="仿宋" w:eastAsia="仿宋" w:cs="仿宋"/>
          <w:sz w:val="24"/>
          <w:highlight w:val="none"/>
        </w:rPr>
      </w:pPr>
      <w:r>
        <w:rPr>
          <w:rFonts w:hint="eastAsia" w:ascii="仿宋" w:hAnsi="仿宋" w:eastAsia="仿宋" w:cs="仿宋"/>
          <w:bCs/>
          <w:sz w:val="32"/>
          <w:szCs w:val="32"/>
          <w:highlight w:val="none"/>
        </w:rPr>
        <w:t>202</w:t>
      </w:r>
      <w:r>
        <w:rPr>
          <w:rFonts w:hint="eastAsia" w:ascii="仿宋" w:hAnsi="仿宋" w:eastAsia="仿宋" w:cs="仿宋"/>
          <w:bCs/>
          <w:sz w:val="32"/>
          <w:szCs w:val="32"/>
          <w:highlight w:val="none"/>
          <w:lang w:val="en-US" w:eastAsia="zh-CN"/>
        </w:rPr>
        <w:t>5</w:t>
      </w:r>
      <w:r>
        <w:rPr>
          <w:rFonts w:hint="eastAsia" w:ascii="仿宋" w:hAnsi="仿宋" w:eastAsia="仿宋" w:cs="仿宋"/>
          <w:bCs/>
          <w:sz w:val="32"/>
          <w:szCs w:val="32"/>
          <w:highlight w:val="none"/>
        </w:rPr>
        <w:t>年</w:t>
      </w:r>
      <w:r>
        <w:rPr>
          <w:rFonts w:hint="eastAsia" w:ascii="仿宋" w:hAnsi="仿宋" w:eastAsia="仿宋" w:cs="仿宋"/>
          <w:bCs/>
          <w:sz w:val="32"/>
          <w:szCs w:val="32"/>
          <w:highlight w:val="none"/>
          <w:lang w:val="en-US" w:eastAsia="zh-CN"/>
        </w:rPr>
        <w:t>03</w:t>
      </w:r>
      <w:r>
        <w:rPr>
          <w:rFonts w:hint="eastAsia" w:ascii="仿宋" w:hAnsi="仿宋" w:eastAsia="仿宋" w:cs="仿宋"/>
          <w:bCs/>
          <w:sz w:val="32"/>
          <w:szCs w:val="32"/>
          <w:highlight w:val="none"/>
        </w:rPr>
        <w:t>月</w:t>
      </w:r>
      <w:r>
        <w:rPr>
          <w:rFonts w:hint="eastAsia" w:ascii="仿宋" w:hAnsi="仿宋" w:eastAsia="仿宋" w:cs="仿宋"/>
          <w:bCs/>
          <w:sz w:val="32"/>
          <w:szCs w:val="32"/>
          <w:highlight w:val="none"/>
          <w:lang w:val="en-US" w:eastAsia="zh-CN"/>
        </w:rPr>
        <w:t>25</w:t>
      </w:r>
      <w:r>
        <w:rPr>
          <w:rFonts w:hint="eastAsia" w:ascii="仿宋" w:hAnsi="仿宋" w:eastAsia="仿宋" w:cs="仿宋"/>
          <w:bCs/>
          <w:sz w:val="32"/>
          <w:szCs w:val="32"/>
          <w:highlight w:val="none"/>
        </w:rPr>
        <w:t>日</w:t>
      </w:r>
    </w:p>
    <w:p>
      <w:pPr>
        <w:spacing w:line="360" w:lineRule="auto"/>
        <w:jc w:val="center"/>
        <w:rPr>
          <w:rFonts w:hint="eastAsia" w:ascii="仿宋" w:hAnsi="仿宋" w:eastAsia="仿宋" w:cs="仿宋"/>
          <w:sz w:val="44"/>
          <w:szCs w:val="44"/>
          <w:highlight w:val="none"/>
        </w:rPr>
      </w:pPr>
      <w:r>
        <w:rPr>
          <w:rFonts w:hint="eastAsia" w:ascii="仿宋" w:hAnsi="仿宋" w:eastAsia="仿宋" w:cs="仿宋"/>
          <w:sz w:val="24"/>
          <w:highlight w:val="none"/>
        </w:rPr>
        <w:br w:type="page"/>
      </w:r>
      <w:bookmarkStart w:id="0" w:name="_Hlt67893495"/>
      <w:bookmarkEnd w:id="0"/>
    </w:p>
    <w:p>
      <w:pPr>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目  录</w:t>
      </w:r>
    </w:p>
    <w:p>
      <w:pPr>
        <w:spacing w:line="360" w:lineRule="auto"/>
        <w:rPr>
          <w:rFonts w:hint="eastAsia" w:ascii="仿宋" w:hAnsi="仿宋" w:eastAsia="仿宋" w:cs="仿宋"/>
          <w:sz w:val="24"/>
          <w:highlight w:val="none"/>
        </w:rPr>
      </w:pPr>
    </w:p>
    <w:p>
      <w:pPr>
        <w:spacing w:line="360" w:lineRule="auto"/>
        <w:rPr>
          <w:rFonts w:hint="eastAsia" w:ascii="仿宋" w:hAnsi="仿宋" w:eastAsia="仿宋" w:cs="仿宋"/>
          <w:sz w:val="24"/>
          <w:highlight w:val="none"/>
        </w:rPr>
      </w:pP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第一部分      交易公告</w:t>
      </w: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第二部分      供应商须知</w:t>
      </w: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第三部分      交易需求</w:t>
      </w: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第四部分      评审办法</w:t>
      </w: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第五部分      拟签订的合同文本</w:t>
      </w:r>
    </w:p>
    <w:p>
      <w:pPr>
        <w:spacing w:line="360" w:lineRule="auto"/>
        <w:ind w:firstLine="1440" w:firstLineChars="400"/>
        <w:rPr>
          <w:rFonts w:hint="eastAsia" w:ascii="仿宋" w:hAnsi="仿宋" w:eastAsia="仿宋" w:cs="仿宋"/>
          <w:sz w:val="36"/>
          <w:szCs w:val="36"/>
          <w:highlight w:val="none"/>
        </w:rPr>
      </w:pPr>
      <w:r>
        <w:rPr>
          <w:rFonts w:hint="eastAsia" w:ascii="仿宋" w:hAnsi="仿宋" w:eastAsia="仿宋" w:cs="仿宋"/>
          <w:sz w:val="36"/>
          <w:szCs w:val="36"/>
          <w:highlight w:val="none"/>
        </w:rPr>
        <w:t>第六部分      应提交的有关格式范例</w:t>
      </w:r>
    </w:p>
    <w:p>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rPr>
          <w:rFonts w:hint="eastAsia" w:ascii="仿宋" w:hAnsi="仿宋" w:eastAsia="仿宋" w:cs="仿宋"/>
          <w:sz w:val="24"/>
          <w:highlight w:val="none"/>
        </w:rPr>
      </w:pPr>
    </w:p>
    <w:p>
      <w:pPr>
        <w:adjustRightInd/>
        <w:spacing w:line="360" w:lineRule="auto"/>
        <w:jc w:val="center"/>
        <w:outlineLvl w:val="0"/>
        <w:rPr>
          <w:rFonts w:hint="eastAsia" w:ascii="仿宋" w:hAnsi="仿宋" w:eastAsia="仿宋" w:cs="仿宋"/>
          <w:b/>
          <w:sz w:val="24"/>
          <w:highlight w:val="none"/>
        </w:rPr>
      </w:pPr>
      <w:bookmarkStart w:id="3" w:name="第一部分"/>
      <w:r>
        <w:rPr>
          <w:rFonts w:hint="eastAsia" w:ascii="仿宋" w:hAnsi="仿宋" w:eastAsia="仿宋" w:cs="仿宋"/>
          <w:b/>
          <w:sz w:val="24"/>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仿宋" w:hAnsi="仿宋" w:eastAsia="仿宋" w:cs="仿宋"/>
          <w:b/>
          <w:sz w:val="32"/>
          <w:szCs w:val="32"/>
          <w:highlight w:val="none"/>
        </w:rPr>
        <w:t>第一部分 交易公告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u w:val="single"/>
        </w:rPr>
        <w:t>（</w:t>
      </w:r>
      <w:r>
        <w:rPr>
          <w:rFonts w:hint="eastAsia" w:ascii="仿宋" w:hAnsi="仿宋" w:eastAsia="仿宋" w:cs="仿宋"/>
          <w:sz w:val="24"/>
          <w:highlight w:val="none"/>
          <w:u w:val="single"/>
          <w:lang w:eastAsia="zh-CN"/>
        </w:rPr>
        <w:t>萧山区数据资源管理局2025年度政务信息化项目预审服务</w:t>
      </w:r>
      <w:r>
        <w:rPr>
          <w:rFonts w:hint="eastAsia" w:ascii="仿宋" w:hAnsi="仿宋" w:eastAsia="仿宋" w:cs="仿宋"/>
          <w:sz w:val="24"/>
          <w:highlight w:val="none"/>
          <w:u w:val="single"/>
        </w:rPr>
        <w:t>）</w:t>
      </w:r>
      <w:r>
        <w:rPr>
          <w:rFonts w:hint="eastAsia" w:ascii="仿宋" w:hAnsi="仿宋" w:eastAsia="仿宋" w:cs="仿宋"/>
          <w:sz w:val="24"/>
          <w:highlight w:val="none"/>
        </w:rPr>
        <w:t>的潜在供应商应在乐采云平台（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rPr>
        <w:t>https://www.lecaiyun.com/</w:t>
      </w:r>
      <w:r>
        <w:rPr>
          <w:rStyle w:val="76"/>
          <w:rFonts w:hint="eastAsia" w:ascii="仿宋" w:hAnsi="仿宋" w:eastAsia="仿宋" w:cs="仿宋"/>
          <w:snapToGrid/>
          <w:color w:val="auto"/>
          <w:kern w:val="2"/>
          <w:sz w:val="24"/>
          <w:szCs w:val="24"/>
          <w:highlight w:val="none"/>
        </w:rPr>
        <w:t>）获取（下载）交易文件，并于202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9</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点30分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递交（上传）响应文件</w:t>
      </w:r>
      <w:r>
        <w:rPr>
          <w:rFonts w:hint="eastAsia" w:ascii="仿宋" w:hAnsi="仿宋" w:eastAsia="仿宋" w:cs="仿宋"/>
          <w:sz w:val="24"/>
          <w:highlight w:val="none"/>
        </w:rPr>
        <w:t>。</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一、项目基本情况</w:t>
      </w:r>
    </w:p>
    <w:p>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项目编号：</w:t>
      </w:r>
      <w:r>
        <w:rPr>
          <w:rFonts w:hint="eastAsia" w:ascii="仿宋" w:hAnsi="仿宋" w:eastAsia="仿宋" w:cs="仿宋"/>
          <w:b/>
          <w:sz w:val="24"/>
          <w:highlight w:val="none"/>
          <w:lang w:eastAsia="zh-CN"/>
        </w:rPr>
        <w:t>HCZX(XS)2025-016</w:t>
      </w:r>
    </w:p>
    <w:p>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项目名称：</w:t>
      </w:r>
      <w:r>
        <w:rPr>
          <w:rFonts w:hint="eastAsia" w:ascii="仿宋" w:hAnsi="仿宋" w:eastAsia="仿宋" w:cs="仿宋"/>
          <w:b/>
          <w:sz w:val="24"/>
          <w:highlight w:val="none"/>
          <w:lang w:eastAsia="zh-CN"/>
        </w:rPr>
        <w:t>萧山区数据资源管理局2025年度政务信息化项目预审服务</w:t>
      </w:r>
    </w:p>
    <w:p>
      <w:pPr>
        <w:spacing w:line="360" w:lineRule="auto"/>
        <w:rPr>
          <w:rFonts w:hint="eastAsia" w:ascii="仿宋" w:hAnsi="仿宋" w:eastAsia="仿宋" w:cs="仿宋"/>
          <w:b/>
          <w:sz w:val="24"/>
          <w:highlight w:val="none"/>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预算金额（元）： </w:t>
      </w:r>
      <w:r>
        <w:rPr>
          <w:rFonts w:hint="eastAsia" w:ascii="仿宋" w:hAnsi="仿宋" w:eastAsia="仿宋" w:cs="仿宋"/>
          <w:b/>
          <w:sz w:val="24"/>
          <w:highlight w:val="none"/>
          <w:lang w:val="en-US" w:eastAsia="zh-CN"/>
        </w:rPr>
        <w:t>39</w:t>
      </w:r>
      <w:r>
        <w:rPr>
          <w:rFonts w:hint="eastAsia" w:ascii="仿宋" w:hAnsi="仿宋" w:eastAsia="仿宋" w:cs="仿宋"/>
          <w:b/>
          <w:sz w:val="24"/>
          <w:highlight w:val="none"/>
        </w:rPr>
        <w:t xml:space="preserve">0000.00     </w:t>
      </w:r>
    </w:p>
    <w:p>
      <w:pPr>
        <w:spacing w:line="360" w:lineRule="auto"/>
        <w:ind w:firstLine="480"/>
        <w:rPr>
          <w:rFonts w:hint="eastAsia" w:ascii="仿宋" w:hAnsi="仿宋" w:eastAsia="仿宋" w:cs="仿宋"/>
          <w:b/>
          <w:sz w:val="24"/>
          <w:highlight w:val="none"/>
        </w:rPr>
      </w:pPr>
      <w:r>
        <w:rPr>
          <w:rFonts w:hint="eastAsia" w:ascii="仿宋" w:hAnsi="仿宋" w:eastAsia="仿宋" w:cs="仿宋"/>
          <w:b/>
          <w:sz w:val="24"/>
          <w:highlight w:val="none"/>
        </w:rPr>
        <w:t xml:space="preserve">最高限价（元）： </w:t>
      </w:r>
      <w:r>
        <w:rPr>
          <w:rFonts w:hint="eastAsia" w:ascii="仿宋" w:hAnsi="仿宋" w:eastAsia="仿宋" w:cs="仿宋"/>
          <w:b/>
          <w:sz w:val="24"/>
          <w:highlight w:val="none"/>
          <w:lang w:val="en-US" w:eastAsia="zh-CN"/>
        </w:rPr>
        <w:t>39</w:t>
      </w:r>
      <w:r>
        <w:rPr>
          <w:rFonts w:hint="eastAsia" w:ascii="仿宋" w:hAnsi="仿宋" w:eastAsia="仿宋" w:cs="仿宋"/>
          <w:b/>
          <w:sz w:val="24"/>
          <w:highlight w:val="none"/>
        </w:rPr>
        <w:t xml:space="preserve">0000.00    </w:t>
      </w:r>
    </w:p>
    <w:p>
      <w:pPr>
        <w:pStyle w:val="7"/>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szCs w:val="24"/>
          <w:highlight w:val="none"/>
        </w:rPr>
        <w:t>交易需求：</w:t>
      </w:r>
      <w:r>
        <w:rPr>
          <w:rFonts w:hint="eastAsia" w:ascii="仿宋" w:hAnsi="仿宋" w:eastAsia="仿宋" w:cs="仿宋"/>
          <w:b/>
          <w:color w:val="auto"/>
          <w:sz w:val="24"/>
          <w:szCs w:val="24"/>
          <w:highlight w:val="none"/>
          <w:lang w:eastAsia="zh-CN"/>
        </w:rPr>
        <w:t>萧山区数据资源管理局2025年度政务信息化项目预审服务</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bCs/>
          <w:snapToGrid/>
          <w:color w:val="auto"/>
          <w:kern w:val="2"/>
          <w:sz w:val="24"/>
          <w:szCs w:val="24"/>
          <w:highlight w:val="none"/>
          <w:lang w:eastAsia="zh-CN"/>
        </w:rPr>
        <w:t>萧山区数据资源管理局2025年度政务信息化预审服务</w:t>
      </w:r>
      <w:r>
        <w:rPr>
          <w:rFonts w:hint="eastAsia" w:ascii="仿宋" w:hAnsi="仿宋" w:eastAsia="仿宋" w:cs="仿宋"/>
          <w:bCs/>
          <w:snapToGrid/>
          <w:color w:val="auto"/>
          <w:kern w:val="2"/>
          <w:sz w:val="24"/>
          <w:szCs w:val="24"/>
          <w:highlight w:val="none"/>
        </w:rPr>
        <w:t>。</w:t>
      </w:r>
      <w:r>
        <w:rPr>
          <w:rFonts w:hint="eastAsia" w:ascii="仿宋" w:hAnsi="仿宋" w:eastAsia="仿宋" w:cs="仿宋"/>
          <w:snapToGrid/>
          <w:color w:val="auto"/>
          <w:kern w:val="2"/>
          <w:sz w:val="24"/>
          <w:szCs w:val="24"/>
          <w:highlight w:val="none"/>
        </w:rPr>
        <w:t>具体以交易文件第三部分交易需求为准，供应商可点击本公告下方“浏览采购文件”查看交易需求。</w:t>
      </w:r>
    </w:p>
    <w:p>
      <w:pPr>
        <w:pStyle w:val="128"/>
        <w:ind w:firstLine="482"/>
        <w:outlineLvl w:val="2"/>
        <w:rPr>
          <w:rFonts w:hint="eastAsia" w:ascii="仿宋" w:hAnsi="仿宋" w:eastAsia="仿宋" w:cs="仿宋"/>
          <w:szCs w:val="24"/>
          <w:highlight w:val="none"/>
        </w:rPr>
      </w:pPr>
      <w:r>
        <w:rPr>
          <w:rFonts w:hint="eastAsia" w:ascii="仿宋" w:hAnsi="仿宋" w:eastAsia="仿宋" w:cs="仿宋"/>
          <w:b/>
          <w:szCs w:val="24"/>
          <w:highlight w:val="none"/>
        </w:rPr>
        <w:t>合同履约期限：</w:t>
      </w:r>
      <w:r>
        <w:rPr>
          <w:rFonts w:hint="eastAsia" w:ascii="仿宋" w:hAnsi="仿宋" w:eastAsia="仿宋" w:cs="仿宋"/>
          <w:szCs w:val="24"/>
          <w:highlight w:val="none"/>
        </w:rPr>
        <w:t xml:space="preserve"> </w:t>
      </w:r>
      <w:r>
        <w:rPr>
          <w:rFonts w:hint="eastAsia" w:ascii="仿宋" w:hAnsi="仿宋" w:eastAsia="仿宋" w:cs="仿宋"/>
          <w:bCs/>
          <w:szCs w:val="24"/>
          <w:highlight w:val="none"/>
        </w:rPr>
        <w:t>详见交易文件</w:t>
      </w:r>
    </w:p>
    <w:p>
      <w:pPr>
        <w:pStyle w:val="7"/>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本项目接受联合体投标：</w:t>
      </w:r>
      <w:r>
        <w:rPr>
          <w:rFonts w:hint="eastAsia" w:ascii="仿宋" w:hAnsi="仿宋" w:eastAsia="仿宋" w:cs="仿宋"/>
          <w:color w:val="auto"/>
          <w:kern w:val="0"/>
          <w:sz w:val="24"/>
          <w:szCs w:val="24"/>
          <w:highlight w:val="none"/>
        </w:rPr>
        <w:t xml:space="preserve"> </w:t>
      </w:r>
      <w:sdt>
        <w:sdtPr>
          <w:rPr>
            <w:rFonts w:hint="eastAsia" w:ascii="仿宋" w:hAnsi="仿宋" w:eastAsia="仿宋" w:cs="仿宋"/>
            <w:color w:val="auto"/>
            <w:kern w:val="0"/>
            <w:sz w:val="24"/>
            <w:szCs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b/>
          <w:color w:val="auto"/>
          <w:sz w:val="24"/>
          <w:szCs w:val="24"/>
          <w:highlight w:val="none"/>
        </w:rPr>
        <w:t>是；</w:t>
      </w:r>
      <w:sdt>
        <w:sdtPr>
          <w:rPr>
            <w:rFonts w:hint="eastAsia" w:ascii="仿宋" w:hAnsi="仿宋" w:eastAsia="仿宋" w:cs="仿宋"/>
            <w:color w:val="auto"/>
            <w:kern w:val="0"/>
            <w:sz w:val="24"/>
            <w:szCs w:val="24"/>
            <w:highlight w:val="none"/>
          </w:rPr>
          <w:id w:val="147472453"/>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snapToGrid w:val="0"/>
              <w:color w:val="auto"/>
              <w:kern w:val="0"/>
              <w:sz w:val="24"/>
              <w:szCs w:val="24"/>
              <w:highlight w:val="none"/>
              <w:lang w:val="en-US" w:eastAsia="zh-CN" w:bidi="ar-SA"/>
            </w:rPr>
            <w:t>þ</w:t>
          </w:r>
        </w:sdtContent>
      </w:sdt>
      <w:r>
        <w:rPr>
          <w:rFonts w:hint="eastAsia" w:ascii="仿宋" w:hAnsi="仿宋" w:eastAsia="仿宋" w:cs="仿宋"/>
          <w:b/>
          <w:color w:val="auto"/>
          <w:sz w:val="24"/>
          <w:szCs w:val="24"/>
          <w:highlight w:val="none"/>
        </w:rPr>
        <w:t>否</w:t>
      </w:r>
      <w:r>
        <w:rPr>
          <w:rFonts w:hint="eastAsia" w:ascii="仿宋" w:hAnsi="仿宋" w:eastAsia="仿宋" w:cs="仿宋"/>
          <w:color w:val="auto"/>
          <w:kern w:val="0"/>
          <w:sz w:val="24"/>
          <w:szCs w:val="24"/>
          <w:highlight w:val="none"/>
        </w:rPr>
        <w:t>。</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二、申请人的资格要求：</w:t>
      </w:r>
    </w:p>
    <w:p>
      <w:pPr>
        <w:spacing w:line="360" w:lineRule="auto"/>
        <w:ind w:firstLine="48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napToGrid w:val="0"/>
          <w:kern w:val="28"/>
          <w:sz w:val="24"/>
          <w:highlight w:val="none"/>
        </w:rPr>
        <w:t>2.</w:t>
      </w:r>
      <w:r>
        <w:rPr>
          <w:rFonts w:hint="eastAsia" w:ascii="仿宋" w:hAnsi="仿宋" w:eastAsia="仿宋" w:cs="仿宋"/>
          <w:sz w:val="24"/>
          <w:highlight w:val="none"/>
        </w:rPr>
        <w:t>本项目的特定资格要求：</w:t>
      </w:r>
      <w:sdt>
        <w:sdtPr>
          <w:rPr>
            <w:rFonts w:hint="eastAsia" w:ascii="仿宋" w:hAnsi="仿宋" w:eastAsia="仿宋" w:cs="仿宋"/>
            <w:kern w:val="0"/>
            <w:sz w:val="24"/>
            <w:highlight w:val="none"/>
          </w:rPr>
          <w:id w:val="14745601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sz w:val="24"/>
          <w:highlight w:val="none"/>
        </w:rPr>
        <w:t>无</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三、获取交易文件 </w:t>
      </w:r>
    </w:p>
    <w:p>
      <w:pPr>
        <w:spacing w:line="360" w:lineRule="auto"/>
        <w:ind w:firstLine="482" w:firstLineChars="200"/>
        <w:rPr>
          <w:rFonts w:hint="eastAsia" w:ascii="仿宋" w:hAnsi="仿宋" w:eastAsia="仿宋" w:cs="仿宋"/>
          <w:sz w:val="24"/>
          <w:highlight w:val="none"/>
        </w:rPr>
      </w:pPr>
      <w:bookmarkStart w:id="11" w:name="_Toc28359082"/>
      <w:bookmarkStart w:id="12" w:name="_Toc28359005"/>
      <w:bookmarkStart w:id="13" w:name="_Toc35393624"/>
      <w:bookmarkStart w:id="14" w:name="_Toc35393793"/>
      <w:r>
        <w:rPr>
          <w:rFonts w:hint="eastAsia" w:ascii="仿宋" w:hAnsi="仿宋" w:eastAsia="仿宋" w:cs="仿宋"/>
          <w:b/>
          <w:sz w:val="24"/>
          <w:highlight w:val="none"/>
        </w:rPr>
        <w:t>时间：</w:t>
      </w:r>
      <w:r>
        <w:rPr>
          <w:rFonts w:hint="eastAsia" w:ascii="仿宋" w:hAnsi="仿宋" w:eastAsia="仿宋" w:cs="仿宋"/>
          <w:sz w:val="24"/>
          <w:highlight w:val="none"/>
        </w:rPr>
        <w:t>/至202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9</w:t>
      </w:r>
      <w:r>
        <w:rPr>
          <w:rFonts w:hint="eastAsia" w:ascii="仿宋" w:hAnsi="仿宋" w:eastAsia="仿宋" w:cs="仿宋"/>
          <w:sz w:val="24"/>
          <w:highlight w:val="none"/>
        </w:rPr>
        <w:t>日，每天上午00:00至12:00，下午12:00至23:59（北京时间，线上获取法定节假日均可，线下获取文件法定节假日除外）</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乐采云平台（https://www.lecaiyun.com/）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供应商登录乐采云平台https://www.lecaiyun.com/在线申请获取采购文件（进入“项目采购”应用，在获取采购文件菜单中选择项目，申请获取采购文件）。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w:t>
      </w:r>
      <w:r>
        <w:rPr>
          <w:rFonts w:hint="eastAsia" w:ascii="仿宋" w:hAnsi="仿宋" w:eastAsia="仿宋" w:cs="仿宋"/>
          <w:b/>
          <w:sz w:val="24"/>
          <w:highlight w:val="none"/>
          <w:lang w:val="en-US"/>
        </w:rPr>
        <w:t>响应</w:t>
      </w:r>
      <w:r>
        <w:rPr>
          <w:rFonts w:hint="eastAsia" w:ascii="仿宋" w:hAnsi="仿宋" w:eastAsia="仿宋" w:cs="仿宋"/>
          <w:b/>
          <w:sz w:val="24"/>
          <w:highlight w:val="none"/>
        </w:rPr>
        <w:t>文件</w:t>
      </w:r>
      <w:bookmarkEnd w:id="11"/>
      <w:bookmarkEnd w:id="12"/>
      <w:r>
        <w:rPr>
          <w:rFonts w:hint="eastAsia" w:ascii="仿宋" w:hAnsi="仿宋" w:eastAsia="仿宋" w:cs="仿宋"/>
          <w:b/>
          <w:sz w:val="24"/>
          <w:highlight w:val="none"/>
        </w:rPr>
        <w:t>截止时间、开标时间和地点</w:t>
      </w:r>
      <w:bookmarkEnd w:id="13"/>
      <w:bookmarkEnd w:id="14"/>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提交响应文件截止时间：202</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年</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月</w:t>
      </w: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日</w:t>
      </w:r>
      <w:r>
        <w:rPr>
          <w:rFonts w:hint="eastAsia" w:ascii="仿宋" w:hAnsi="仿宋" w:eastAsia="仿宋" w:cs="仿宋"/>
          <w:b/>
          <w:sz w:val="24"/>
          <w:highlight w:val="none"/>
          <w:lang w:val="en-US" w:eastAsia="zh-CN"/>
        </w:rPr>
        <w:t>14</w:t>
      </w:r>
      <w:r>
        <w:rPr>
          <w:rFonts w:hint="eastAsia" w:ascii="仿宋" w:hAnsi="仿宋" w:eastAsia="仿宋" w:cs="仿宋"/>
          <w:b/>
          <w:sz w:val="24"/>
          <w:highlight w:val="none"/>
        </w:rPr>
        <w:t>点30分</w:t>
      </w:r>
      <w:r>
        <w:rPr>
          <w:rFonts w:hint="eastAsia" w:ascii="仿宋" w:hAnsi="仿宋" w:eastAsia="仿宋" w:cs="仿宋"/>
          <w:sz w:val="24"/>
          <w:szCs w:val="28"/>
          <w:highlight w:val="none"/>
        </w:rPr>
        <w:t>00秒（</w:t>
      </w:r>
      <w:r>
        <w:rPr>
          <w:rFonts w:hint="eastAsia" w:ascii="仿宋" w:hAnsi="仿宋" w:eastAsia="仿宋" w:cs="仿宋"/>
          <w:sz w:val="24"/>
          <w:highlight w:val="none"/>
        </w:rPr>
        <w:t>北京时间）</w:t>
      </w:r>
    </w:p>
    <w:p>
      <w:pPr>
        <w:spacing w:line="360" w:lineRule="auto"/>
        <w:ind w:firstLine="482" w:firstLineChars="200"/>
        <w:rPr>
          <w:rFonts w:hint="eastAsia" w:ascii="仿宋" w:hAnsi="仿宋" w:eastAsia="仿宋" w:cs="仿宋"/>
          <w:sz w:val="24"/>
          <w:szCs w:val="28"/>
          <w:highlight w:val="none"/>
        </w:rPr>
      </w:pPr>
      <w:r>
        <w:rPr>
          <w:rFonts w:hint="eastAsia" w:ascii="仿宋" w:hAnsi="仿宋" w:eastAsia="仿宋" w:cs="仿宋"/>
          <w:b/>
          <w:sz w:val="24"/>
          <w:highlight w:val="none"/>
        </w:rPr>
        <w:t>开标时间：202</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年</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月</w:t>
      </w: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日</w:t>
      </w:r>
      <w:r>
        <w:rPr>
          <w:rFonts w:hint="eastAsia" w:ascii="仿宋" w:hAnsi="仿宋" w:eastAsia="仿宋" w:cs="仿宋"/>
          <w:b/>
          <w:sz w:val="24"/>
          <w:highlight w:val="none"/>
          <w:lang w:val="en-US" w:eastAsia="zh-CN"/>
        </w:rPr>
        <w:t>14</w:t>
      </w:r>
      <w:r>
        <w:rPr>
          <w:rFonts w:hint="eastAsia" w:ascii="仿宋" w:hAnsi="仿宋" w:eastAsia="仿宋" w:cs="仿宋"/>
          <w:b/>
          <w:sz w:val="24"/>
          <w:highlight w:val="none"/>
        </w:rPr>
        <w:t>点30分</w:t>
      </w:r>
      <w:r>
        <w:rPr>
          <w:rFonts w:hint="eastAsia" w:ascii="仿宋" w:hAnsi="仿宋" w:eastAsia="仿宋" w:cs="仿宋"/>
          <w:sz w:val="24"/>
          <w:szCs w:val="28"/>
          <w:highlight w:val="none"/>
        </w:rPr>
        <w:t>00秒（</w:t>
      </w:r>
      <w:r>
        <w:rPr>
          <w:rFonts w:hint="eastAsia" w:ascii="仿宋" w:hAnsi="仿宋" w:eastAsia="仿宋" w:cs="仿宋"/>
          <w:sz w:val="24"/>
          <w:highlight w:val="none"/>
        </w:rPr>
        <w:t>北京时间）</w:t>
      </w:r>
    </w:p>
    <w:p>
      <w:pPr>
        <w:spacing w:line="360" w:lineRule="auto"/>
        <w:ind w:firstLine="482" w:firstLineChars="200"/>
        <w:rPr>
          <w:rFonts w:hint="eastAsia" w:ascii="仿宋" w:hAnsi="仿宋" w:eastAsia="仿宋" w:cs="仿宋"/>
          <w:sz w:val="24"/>
          <w:szCs w:val="28"/>
          <w:highlight w:val="none"/>
        </w:rPr>
      </w:pPr>
      <w:r>
        <w:rPr>
          <w:rFonts w:hint="eastAsia" w:ascii="仿宋" w:hAnsi="仿宋" w:eastAsia="仿宋" w:cs="仿宋"/>
          <w:b/>
          <w:sz w:val="24"/>
          <w:highlight w:val="none"/>
        </w:rPr>
        <w:t>开标地点：</w:t>
      </w:r>
      <w:r>
        <w:rPr>
          <w:rFonts w:hint="eastAsia" w:ascii="仿宋" w:hAnsi="仿宋" w:eastAsia="仿宋" w:cs="仿宋"/>
          <w:sz w:val="24"/>
          <w:szCs w:val="28"/>
          <w:highlight w:val="none"/>
        </w:rPr>
        <w:t>乐采云平台。</w:t>
      </w:r>
    </w:p>
    <w:p>
      <w:pPr>
        <w:spacing w:line="360" w:lineRule="auto"/>
        <w:rPr>
          <w:rFonts w:hint="eastAsia" w:ascii="仿宋" w:hAnsi="仿宋" w:eastAsia="仿宋" w:cs="仿宋"/>
          <w:sz w:val="24"/>
          <w:highlight w:val="none"/>
        </w:rPr>
      </w:pPr>
      <w:r>
        <w:rPr>
          <w:rFonts w:hint="eastAsia" w:ascii="仿宋" w:hAnsi="仿宋" w:eastAsia="仿宋" w:cs="仿宋"/>
          <w:b/>
          <w:sz w:val="24"/>
          <w:highlight w:val="none"/>
        </w:rPr>
        <w:t xml:space="preserve">五、公告期限 </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自本公告发布之日起5个工作日。</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六、其他补充事宜</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其他事项：（1）电子招投标的说明: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乐采云电子交易客户端”----前往“浙江政府采购网-下载专区-电子交易客户端”进行下载并安装。3）交易文件的获取：使用账号登录或者使用CA登录乐采云平台；进入“项目采购”应用，在获取采购文件菜单中选择项目，获取交易文件。4）投标文件的制作：在“乐采云电子交易客户端”中完成“填写基本信息”、“导入投标文件”、“标书关联”、“标书检查”、“电子签章”、“生成电子标书”等操作。5）采购人、采购机构将依托乐采云平台完成本项目的电子交易活动，平台不接受未按上述方式获取交易文件的供应商进行投标活动。6）对未按上述方式获取交易文件的供应商对该文件提出的质疑，采购人或采购代理机构将不予处理。7）不提供交易文件纸质版。8）投标文件的传输递交：供应商在投标截止时间前将加密的投标文件上传至政府采购云平台，还可以在投标截止时间前直接提交。备份投标文件的制作、存储、密封详见交易文件第二部分。9）投标文件的解密：供应商按照平台提示和交易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10）具体操作指南：详见乐采云平台“服务中心-帮助文档-项目采购-操作流程-电子招投标-政府采购项目电子交易管理操作指南-供应商”。</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1.采购人信息</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名    称：杭州市萧山区数据资源管理局</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地    址：杭州市萧山区博学路科创中心C座5楼</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传    真： /</w:t>
      </w:r>
    </w:p>
    <w:p>
      <w:pPr>
        <w:spacing w:line="360" w:lineRule="auto"/>
        <w:ind w:firstLine="480"/>
        <w:rPr>
          <w:rFonts w:hint="eastAsia" w:ascii="仿宋" w:hAnsi="仿宋" w:eastAsia="仿宋" w:cs="仿宋"/>
          <w:sz w:val="24"/>
          <w:highlight w:val="none"/>
          <w:lang w:eastAsia="zh-CN"/>
        </w:rPr>
      </w:pPr>
      <w:r>
        <w:rPr>
          <w:rFonts w:hint="eastAsia" w:ascii="仿宋" w:hAnsi="仿宋" w:eastAsia="仿宋" w:cs="仿宋"/>
          <w:sz w:val="24"/>
          <w:highlight w:val="none"/>
        </w:rPr>
        <w:t>项目联系人（询问）：郭女士</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项目联系方式（询问）：0571-89615965</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 xml:space="preserve">2.采购代理机构信息            </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名    称：华诚工程咨询集团有限公司</w:t>
      </w:r>
    </w:p>
    <w:p>
      <w:pPr>
        <w:spacing w:line="360" w:lineRule="auto"/>
        <w:ind w:firstLine="480"/>
        <w:rPr>
          <w:rFonts w:hint="eastAsia" w:ascii="仿宋" w:hAnsi="仿宋" w:eastAsia="仿宋" w:cs="仿宋"/>
          <w:sz w:val="24"/>
          <w:highlight w:val="none"/>
          <w:lang w:eastAsia="zh-CN"/>
        </w:rPr>
      </w:pPr>
      <w:r>
        <w:rPr>
          <w:rFonts w:hint="eastAsia" w:ascii="仿宋" w:hAnsi="仿宋" w:eastAsia="仿宋" w:cs="仿宋"/>
          <w:sz w:val="24"/>
          <w:highlight w:val="none"/>
        </w:rPr>
        <w:t>地    址：</w:t>
      </w:r>
      <w:r>
        <w:rPr>
          <w:rFonts w:hint="eastAsia" w:ascii="仿宋" w:hAnsi="仿宋" w:eastAsia="仿宋" w:cs="仿宋"/>
          <w:sz w:val="24"/>
          <w:highlight w:val="none"/>
          <w:lang w:eastAsia="zh-CN"/>
        </w:rPr>
        <w:t>杭州市萧山区杭州南站东广场1号楼902室</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传    真： /</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项目联系人（询问）： 武婷</w:t>
      </w:r>
    </w:p>
    <w:p>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项目联系方式（询问）：18814892672</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若对项目采购电子交易系统操作有疑问，可登录萧采云（https://www.zcygov.cn/），点击右侧咨询小采，获取采小蜜智能服务管家帮助，或拨打萧采云服务热线400-881-7190获取热线服务帮助。</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CA问题联系电话（人工）：汇信CA 400-888-4636；天谷CA 400-087-8198。</w:t>
      </w:r>
    </w:p>
    <w:p>
      <w:pPr>
        <w:widowControl/>
        <w:adjustRightInd/>
        <w:jc w:val="left"/>
        <w:rPr>
          <w:rFonts w:hint="eastAsia" w:ascii="仿宋" w:hAnsi="仿宋" w:eastAsia="仿宋" w:cs="仿宋"/>
          <w:b/>
          <w:sz w:val="24"/>
          <w:highlight w:val="none"/>
        </w:rPr>
      </w:pPr>
      <w:r>
        <w:rPr>
          <w:rFonts w:hint="eastAsia" w:ascii="仿宋" w:hAnsi="仿宋" w:eastAsia="仿宋" w:cs="仿宋"/>
          <w:b/>
          <w:sz w:val="24"/>
          <w:highlight w:val="none"/>
        </w:rPr>
        <w:br w:type="page"/>
      </w:r>
    </w:p>
    <w:p>
      <w:pPr>
        <w:adjustRightInd/>
        <w:spacing w:line="360" w:lineRule="auto"/>
        <w:jc w:val="center"/>
        <w:outlineLvl w:val="0"/>
        <w:rPr>
          <w:rFonts w:hint="eastAsia" w:ascii="仿宋" w:hAnsi="仿宋" w:eastAsia="仿宋" w:cs="仿宋"/>
          <w:b/>
          <w:sz w:val="24"/>
          <w:highlight w:val="none"/>
        </w:rPr>
      </w:pPr>
      <w:r>
        <w:rPr>
          <w:rFonts w:hint="eastAsia" w:ascii="仿宋" w:hAnsi="仿宋" w:eastAsia="仿宋" w:cs="仿宋"/>
          <w:b/>
          <w:sz w:val="24"/>
          <w:highlight w:val="none"/>
        </w:rPr>
        <w:t>第二部分</w:t>
      </w:r>
      <w:bookmarkEnd w:id="8"/>
      <w:r>
        <w:rPr>
          <w:rFonts w:hint="eastAsia" w:ascii="仿宋" w:hAnsi="仿宋" w:eastAsia="仿宋" w:cs="仿宋"/>
          <w:b/>
          <w:sz w:val="24"/>
          <w:highlight w:val="none"/>
        </w:rPr>
        <w:t xml:space="preserve"> 供应商须知</w:t>
      </w:r>
      <w:bookmarkEnd w:id="9"/>
    </w:p>
    <w:p>
      <w:pPr>
        <w:adjustRightInd/>
        <w:spacing w:line="360" w:lineRule="auto"/>
        <w:jc w:val="center"/>
        <w:outlineLvl w:val="0"/>
        <w:rPr>
          <w:rFonts w:hint="eastAsia" w:ascii="仿宋" w:hAnsi="仿宋" w:eastAsia="仿宋" w:cs="仿宋"/>
          <w:b/>
          <w:sz w:val="24"/>
          <w:highlight w:val="none"/>
        </w:rPr>
      </w:pPr>
      <w:r>
        <w:rPr>
          <w:rFonts w:hint="eastAsia" w:ascii="仿宋" w:hAnsi="仿宋" w:eastAsia="仿宋" w:cs="仿宋"/>
          <w:b/>
          <w:sz w:val="24"/>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trPr>
          <w:trHeight w:val="60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服务类。</w:t>
            </w:r>
          </w:p>
        </w:tc>
      </w:tr>
      <w:tr>
        <w:trPr>
          <w:trHeight w:val="20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（1）标的：</w:t>
            </w:r>
            <w:r>
              <w:rPr>
                <w:rFonts w:hint="eastAsia" w:ascii="仿宋" w:hAnsi="仿宋" w:eastAsia="仿宋" w:cs="仿宋"/>
                <w:sz w:val="24"/>
                <w:highlight w:val="none"/>
                <w:u w:val="single"/>
                <w:lang w:eastAsia="zh-CN"/>
              </w:rPr>
              <w:t>萧山区数据资源管理局2025年度政务信息化项目预审服务</w:t>
            </w:r>
            <w:r>
              <w:rPr>
                <w:rFonts w:hint="eastAsia" w:ascii="仿宋" w:hAnsi="仿宋" w:eastAsia="仿宋" w:cs="仿宋"/>
                <w:sz w:val="24"/>
                <w:highlight w:val="none"/>
              </w:rPr>
              <w:t xml:space="preserve"> ，属于</w:t>
            </w:r>
            <w:r>
              <w:rPr>
                <w:rFonts w:hint="eastAsia" w:ascii="仿宋" w:hAnsi="仿宋" w:eastAsia="仿宋" w:cs="仿宋"/>
                <w:sz w:val="24"/>
                <w:highlight w:val="none"/>
                <w:u w:val="single"/>
              </w:rPr>
              <w:t>其他未列明</w:t>
            </w:r>
            <w:r>
              <w:rPr>
                <w:rFonts w:hint="eastAsia" w:ascii="仿宋" w:hAnsi="仿宋" w:eastAsia="仿宋" w:cs="仿宋"/>
                <w:sz w:val="24"/>
                <w:highlight w:val="none"/>
              </w:rPr>
              <w:t xml:space="preserve"> 行业；</w:t>
            </w:r>
          </w:p>
          <w:p>
            <w:pPr>
              <w:rPr>
                <w:rFonts w:hint="eastAsia" w:ascii="仿宋" w:hAnsi="仿宋" w:eastAsia="仿宋" w:cs="仿宋"/>
                <w:sz w:val="24"/>
                <w:highlight w:val="none"/>
              </w:rPr>
            </w:pPr>
            <w:r>
              <w:rPr>
                <w:rFonts w:hint="eastAsia" w:ascii="仿宋" w:hAnsi="仿宋" w:eastAsia="仿宋" w:cs="仿宋"/>
                <w:sz w:val="24"/>
                <w:highlight w:val="none"/>
              </w:rPr>
              <w:t>《关于印发中小企业划型标准规定的通知》工信部联企业〔2011〕300号</w:t>
            </w:r>
          </w:p>
        </w:tc>
      </w:tr>
      <w:tr>
        <w:trPr>
          <w:trHeight w:val="12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57460"/>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本项目不允许采购进口产品。</w:t>
            </w:r>
          </w:p>
        </w:tc>
      </w:tr>
      <w:tr>
        <w:trPr>
          <w:trHeight w:val="99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6357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trPr>
          <w:trHeight w:val="128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sdt>
              <w:sdtPr>
                <w:rPr>
                  <w:rFonts w:hint="eastAsia" w:ascii="仿宋" w:hAnsi="仿宋" w:eastAsia="仿宋" w:cs="仿宋"/>
                  <w:kern w:val="0"/>
                  <w:sz w:val="24"/>
                  <w:highlight w:val="none"/>
                </w:rPr>
                <w:id w:val="147469284"/>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trPr>
          <w:trHeight w:val="89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b/>
                <w:sz w:val="24"/>
                <w:highlight w:val="none"/>
              </w:rPr>
            </w:pPr>
            <w:sdt>
              <w:sdtPr>
                <w:rPr>
                  <w:rFonts w:hint="eastAsia" w:ascii="仿宋" w:hAnsi="仿宋" w:eastAsia="仿宋" w:cs="仿宋"/>
                  <w:kern w:val="0"/>
                  <w:sz w:val="24"/>
                  <w:highlight w:val="none"/>
                </w:rPr>
                <w:id w:val="147459428"/>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tc>
      </w:tr>
      <w:tr>
        <w:trPr>
          <w:trHeight w:val="10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jc w:val="left"/>
              <w:rPr>
                <w:rFonts w:hint="eastAsia" w:ascii="仿宋" w:hAnsi="仿宋" w:eastAsia="仿宋" w:cs="仿宋"/>
                <w:b/>
                <w:kern w:val="0"/>
                <w:sz w:val="24"/>
                <w:highlight w:val="none"/>
                <w:lang w:val="zh-CN"/>
              </w:rPr>
            </w:pPr>
            <w:sdt>
              <w:sdtPr>
                <w:rPr>
                  <w:rFonts w:hint="eastAsia" w:ascii="仿宋" w:hAnsi="仿宋" w:eastAsia="仿宋" w:cs="仿宋"/>
                  <w:kern w:val="0"/>
                  <w:sz w:val="24"/>
                  <w:highlight w:val="none"/>
                </w:rPr>
                <w:id w:val="147474633"/>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trPr>
          <w:trHeight w:val="1800"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（1）资格证明文件：见交易文件第二部分11.1。</w:t>
            </w:r>
          </w:p>
          <w:p>
            <w:pPr>
              <w:spacing w:line="360" w:lineRule="auto"/>
              <w:jc w:val="left"/>
              <w:rPr>
                <w:rFonts w:hint="eastAsia" w:ascii="仿宋" w:hAnsi="仿宋" w:eastAsia="仿宋" w:cs="仿宋"/>
                <w:snapToGrid w:val="0"/>
                <w:kern w:val="0"/>
                <w:sz w:val="24"/>
                <w:highlight w:val="none"/>
              </w:rPr>
            </w:pPr>
            <w:r>
              <w:rPr>
                <w:rFonts w:hint="eastAsia" w:ascii="仿宋" w:hAnsi="仿宋" w:eastAsia="仿宋" w:cs="仿宋"/>
                <w:kern w:val="0"/>
                <w:sz w:val="24"/>
                <w:highlight w:val="none"/>
                <w:lang w:val="zh-CN"/>
              </w:rPr>
              <w:t>投标人未提供有效的资格证明文件的，视为投标人不具备交易文件中规定的资格要求，投标无效。</w:t>
            </w:r>
          </w:p>
        </w:tc>
      </w:tr>
      <w:tr>
        <w:trPr>
          <w:trHeight w:val="148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（2）资信证明文件：根据交易文件第四部分评标标准提供。</w:t>
            </w:r>
          </w:p>
        </w:tc>
      </w:tr>
      <w:tr>
        <w:trPr>
          <w:trHeight w:val="73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有关本项目实施所需的所有费用（含税费）均计入报价。</w:t>
            </w:r>
            <w:r>
              <w:rPr>
                <w:rFonts w:hint="eastAsia" w:ascii="仿宋" w:hAnsi="仿宋" w:eastAsia="仿宋" w:cs="仿宋"/>
                <w:b/>
                <w:bCs/>
                <w:kern w:val="0"/>
                <w:sz w:val="24"/>
                <w:highlight w:val="none"/>
                <w:lang w:val="zh-CN"/>
              </w:rPr>
              <w:t>投标文件</w:t>
            </w:r>
            <w:r>
              <w:rPr>
                <w:rFonts w:hint="eastAsia" w:ascii="仿宋" w:hAnsi="仿宋" w:eastAsia="仿宋" w:cs="仿宋"/>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kern w:val="0"/>
                <w:sz w:val="24"/>
                <w:highlight w:val="none"/>
                <w:lang w:val="zh-CN"/>
              </w:rPr>
              <w:t>投标文件中价格全部采用人民币报价。交易文件未列明，而投标人认为必需的费用也需列入报价。</w:t>
            </w:r>
            <w:r>
              <w:rPr>
                <w:rFonts w:hint="eastAsia" w:ascii="仿宋" w:hAnsi="仿宋" w:eastAsia="仿宋" w:cs="仿宋"/>
                <w:b/>
                <w:kern w:val="0"/>
                <w:sz w:val="24"/>
                <w:highlight w:val="none"/>
                <w:lang w:val="zh-CN"/>
              </w:rPr>
              <w:t>提醒：验收时检测费用由采购人承担，不包含在投标总价中。</w:t>
            </w:r>
          </w:p>
          <w:p>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投标报价出现下列情形的，投标无效：</w:t>
            </w:r>
          </w:p>
          <w:p>
            <w:pPr>
              <w:snapToGrid w:val="0"/>
              <w:spacing w:line="360" w:lineRule="auto"/>
              <w:ind w:firstLine="241" w:firstLineChars="100"/>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kern w:val="0"/>
                <w:sz w:val="24"/>
                <w:highlight w:val="none"/>
                <w:lang w:val="zh-CN"/>
              </w:rPr>
            </w:pPr>
            <w:r>
              <w:rPr>
                <w:rFonts w:hint="eastAsia" w:ascii="仿宋" w:hAnsi="仿宋" w:eastAsia="仿宋" w:cs="仿宋"/>
                <w:b/>
                <w:kern w:val="0"/>
                <w:sz w:val="24"/>
                <w:highlight w:val="none"/>
                <w:lang w:val="zh-CN"/>
              </w:rPr>
              <w:t>投标报价超过交易文件中规定的预算金额或者最高限价的;</w:t>
            </w:r>
          </w:p>
          <w:p>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highlight w:val="none"/>
              </w:rPr>
              <w:t>;</w:t>
            </w:r>
          </w:p>
          <w:p>
            <w:pPr>
              <w:spacing w:line="360" w:lineRule="auto"/>
              <w:ind w:firstLine="241" w:firstLineChars="100"/>
              <w:rPr>
                <w:rFonts w:hint="eastAsia" w:ascii="仿宋" w:hAnsi="仿宋" w:eastAsia="仿宋" w:cs="仿宋"/>
                <w:sz w:val="24"/>
                <w:highlight w:val="none"/>
              </w:rPr>
            </w:pP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tc>
      </w:tr>
      <w:tr>
        <w:trPr>
          <w:trHeight w:val="120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pPr>
              <w:pStyle w:val="33"/>
              <w:spacing w:line="360" w:lineRule="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本项目备份文件是否收取：不收取</w:t>
            </w:r>
          </w:p>
        </w:tc>
      </w:tr>
      <w:tr>
        <w:trPr>
          <w:trHeight w:val="82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11</w:t>
            </w:r>
          </w:p>
        </w:tc>
        <w:tc>
          <w:tcPr>
            <w:tcW w:w="1843" w:type="dxa"/>
            <w:tcBorders>
              <w:top w:val="single" w:color="000000" w:sz="8" w:space="0"/>
              <w:left w:val="single" w:color="000000" w:sz="2" w:space="0"/>
              <w:right w:val="single" w:color="000000" w:sz="8" w:space="0"/>
            </w:tcBorders>
            <w:shd w:val="clear" w:color="auto" w:fill="auto"/>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代理服务费</w:t>
            </w:r>
          </w:p>
        </w:tc>
        <w:tc>
          <w:tcPr>
            <w:tcW w:w="6095" w:type="dxa"/>
            <w:tcBorders>
              <w:top w:val="single" w:color="000000" w:sz="8" w:space="0"/>
              <w:left w:val="single" w:color="000000" w:sz="2" w:space="0"/>
              <w:right w:val="single" w:color="000000" w:sz="8" w:space="0"/>
            </w:tcBorders>
            <w:shd w:val="clear" w:color="auto" w:fill="auto"/>
            <w:vAlign w:val="center"/>
          </w:tcPr>
          <w:p>
            <w:pPr>
              <w:pStyle w:val="33"/>
              <w:spacing w:line="360" w:lineRule="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本次代理服务费由中标人支付。</w:t>
            </w:r>
          </w:p>
        </w:tc>
      </w:tr>
      <w:tr>
        <w:trPr>
          <w:trHeight w:val="94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pPr>
              <w:jc w:val="center"/>
              <w:rPr>
                <w:rFonts w:hint="eastAsia" w:ascii="仿宋" w:hAnsi="仿宋" w:eastAsia="仿宋" w:cs="仿宋"/>
                <w:sz w:val="24"/>
                <w:highlight w:val="none"/>
              </w:rPr>
            </w:pPr>
            <w:r>
              <w:rPr>
                <w:rFonts w:hint="eastAsia" w:ascii="仿宋" w:hAnsi="仿宋" w:eastAsia="仿宋" w:cs="仿宋"/>
                <w:b/>
                <w:sz w:val="24"/>
                <w:highlight w:val="none"/>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pPr>
              <w:rPr>
                <w:rFonts w:hint="eastAsia" w:ascii="仿宋" w:hAnsi="仿宋" w:eastAsia="仿宋" w:cs="仿宋"/>
                <w:sz w:val="24"/>
                <w:highlight w:val="none"/>
              </w:rPr>
            </w:pPr>
            <w:r>
              <w:rPr>
                <w:rFonts w:hint="eastAsia" w:ascii="仿宋" w:hAnsi="仿宋" w:eastAsia="仿宋" w:cs="仿宋"/>
                <w:sz w:val="24"/>
                <w:highlight w:val="none"/>
              </w:rPr>
              <w:t>本项目由采购人进行资格文件及信用信息查询。</w:t>
            </w:r>
          </w:p>
        </w:tc>
      </w:tr>
      <w:tr>
        <w:trPr>
          <w:trHeight w:val="119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pPr>
              <w:jc w:val="center"/>
              <w:rPr>
                <w:rFonts w:hint="eastAsia" w:ascii="仿宋" w:hAnsi="仿宋" w:eastAsia="仿宋" w:cs="仿宋"/>
                <w:b/>
                <w:sz w:val="24"/>
                <w:highlight w:val="none"/>
              </w:rPr>
            </w:pPr>
            <w:r>
              <w:rPr>
                <w:rFonts w:hint="eastAsia" w:ascii="仿宋" w:hAnsi="仿宋" w:eastAsia="仿宋" w:cs="仿宋"/>
                <w:b/>
                <w:sz w:val="24"/>
                <w:highlight w:val="none"/>
              </w:rPr>
              <w:t>质疑接收人及答复</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rPr>
              <w:t>质疑接收人</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武婷 ；</w:t>
            </w:r>
            <w:r>
              <w:rPr>
                <w:rFonts w:hint="eastAsia" w:ascii="仿宋" w:hAnsi="仿宋" w:eastAsia="仿宋" w:cs="仿宋"/>
                <w:sz w:val="24"/>
                <w:highlight w:val="none"/>
              </w:rPr>
              <w:t>联系方式：</w:t>
            </w:r>
            <w:r>
              <w:rPr>
                <w:rFonts w:hint="eastAsia" w:ascii="仿宋" w:hAnsi="仿宋" w:eastAsia="仿宋" w:cs="仿宋"/>
                <w:sz w:val="24"/>
                <w:highlight w:val="none"/>
                <w:lang w:val="en-US" w:eastAsia="zh-CN"/>
              </w:rPr>
              <w:t>18814892672；</w:t>
            </w:r>
          </w:p>
          <w:p>
            <w:pPr>
              <w:snapToGrid w:val="0"/>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邮箱：1371494089@qq.com</w:t>
            </w:r>
          </w:p>
          <w:p>
            <w:pPr>
              <w:pStyle w:val="2"/>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质疑截止时间：</w:t>
            </w:r>
            <w:r>
              <w:rPr>
                <w:rFonts w:hint="eastAsia" w:ascii="仿宋" w:hAnsi="仿宋" w:eastAsia="仿宋" w:cs="仿宋"/>
                <w:snapToGrid w:val="0"/>
                <w:szCs w:val="21"/>
                <w:highlight w:val="none"/>
                <w:lang w:val="en-US" w:eastAsia="zh-CN"/>
              </w:rPr>
              <w:t>2025年4月3日17:00</w:t>
            </w:r>
          </w:p>
          <w:p>
            <w:pPr>
              <w:pStyle w:val="3"/>
              <w:ind w:firstLine="0"/>
              <w:rPr>
                <w:rFonts w:hint="default" w:ascii="仿宋" w:hAnsi="仿宋" w:eastAsia="仿宋" w:cs="仿宋"/>
                <w:snapToGrid w:val="0"/>
                <w:szCs w:val="21"/>
                <w:highlight w:val="none"/>
                <w:lang w:val="en-US" w:eastAsia="zh-CN"/>
              </w:rPr>
            </w:pPr>
            <w:r>
              <w:rPr>
                <w:rFonts w:hint="eastAsia" w:ascii="仿宋" w:hAnsi="仿宋" w:eastAsia="仿宋" w:cs="仿宋"/>
                <w:snapToGrid w:val="0"/>
                <w:szCs w:val="21"/>
                <w:highlight w:val="none"/>
                <w:lang w:val="en-US" w:eastAsia="zh-CN"/>
              </w:rPr>
              <w:t>答复截止时间：2025年4月7日17:00</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本项目涉及资格条件、交易需求、评分办法及采购过程中有关现场考察或开标前答疑会等事项由采购人进行答复。</w:t>
            </w:r>
          </w:p>
          <w:p>
            <w:pPr>
              <w:rPr>
                <w:rFonts w:hint="eastAsia" w:ascii="仿宋" w:hAnsi="仿宋" w:eastAsia="仿宋" w:cs="仿宋"/>
                <w:sz w:val="24"/>
                <w:highlight w:val="none"/>
              </w:rPr>
            </w:pPr>
            <w:r>
              <w:rPr>
                <w:rFonts w:hint="eastAsia" w:ascii="仿宋" w:hAnsi="仿宋" w:eastAsia="仿宋" w:cs="仿宋"/>
                <w:sz w:val="24"/>
                <w:highlight w:val="none"/>
              </w:rPr>
              <w:t>涉及流程规范性、组织程序等相关事项，由采购机构进行答复。</w:t>
            </w:r>
          </w:p>
        </w:tc>
      </w:tr>
      <w:tr>
        <w:trPr>
          <w:trHeight w:val="114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本项目通用总则条款与前附表等专用特别规定有冲突之处，以专用条款（特别规定）为准</w:t>
            </w:r>
          </w:p>
        </w:tc>
      </w:tr>
    </w:tbl>
    <w:p>
      <w:pPr>
        <w:snapToGrid w:val="0"/>
        <w:spacing w:line="360" w:lineRule="auto"/>
        <w:jc w:val="center"/>
        <w:rPr>
          <w:rFonts w:hint="eastAsia" w:ascii="仿宋" w:hAnsi="仿宋" w:eastAsia="仿宋" w:cs="仿宋"/>
          <w:b/>
          <w:sz w:val="24"/>
          <w:highlight w:val="none"/>
        </w:rPr>
      </w:pPr>
    </w:p>
    <w:bookmarkEnd w:id="10"/>
    <w:p>
      <w:pPr>
        <w:rPr>
          <w:rFonts w:hint="eastAsia" w:ascii="仿宋" w:hAnsi="仿宋" w:eastAsia="仿宋" w:cs="仿宋"/>
          <w:b/>
          <w:sz w:val="32"/>
          <w:szCs w:val="20"/>
          <w:highlight w:val="none"/>
        </w:rPr>
      </w:pPr>
      <w:bookmarkStart w:id="15" w:name="_Toc91899903"/>
      <w:bookmarkStart w:id="16" w:name="第三部分"/>
      <w:bookmarkStart w:id="17" w:name="_Toc164416483"/>
      <w:r>
        <w:rPr>
          <w:rFonts w:hint="eastAsia" w:ascii="仿宋" w:hAnsi="仿宋" w:eastAsia="仿宋" w:cs="仿宋"/>
          <w:b/>
          <w:sz w:val="32"/>
          <w:szCs w:val="20"/>
          <w:highlight w:val="none"/>
        </w:rPr>
        <w:br w:type="page"/>
      </w:r>
    </w:p>
    <w:p>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一、总则</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 适用范围</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本交易文件适用于该项目的交易、响应、开标、资格审查及信用信息查询、评审、定标、合同、验收等行为（法律、法规另有规定的，从其规定）。</w:t>
      </w:r>
    </w:p>
    <w:p>
      <w:pPr>
        <w:numPr>
          <w:ilvl w:val="0"/>
          <w:numId w:val="1"/>
        </w:num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定义</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“采购人”系指交易公告中载明的本项目的采购人。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“采购代理机构”系指交易公告中载明的本项目的采购代理机构。</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“供应商”系指是指响应交易、参加投标竞争的法人、其他组织或者自然人。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2.6“▲” 系指实质性要求条款，“</w:t>
      </w:r>
      <w:sdt>
        <w:sdtPr>
          <w:rPr>
            <w:rFonts w:hint="eastAsia" w:ascii="仿宋" w:hAnsi="仿宋" w:eastAsia="仿宋" w:cs="仿宋"/>
            <w:sz w:val="24"/>
            <w:highlight w:val="none"/>
          </w:rPr>
          <w:id w:val="147460685"/>
        </w:sdtPr>
        <w:sdtEndPr>
          <w:rPr>
            <w:rFonts w:hint="eastAsia" w:ascii="仿宋" w:hAnsi="仿宋" w:eastAsia="仿宋" w:cs="仿宋"/>
            <w:sz w:val="24"/>
            <w:highlight w:val="none"/>
          </w:rPr>
        </w:sdtEndPr>
        <w:sdtContent>
          <w:sdt>
            <w:sdtPr>
              <w:rPr>
                <w:rFonts w:hint="eastAsia" w:ascii="仿宋" w:hAnsi="仿宋" w:eastAsia="仿宋" w:cs="仿宋"/>
                <w:sz w:val="24"/>
                <w:highlight w:val="none"/>
              </w:rPr>
              <w:id w:val="147451332"/>
            </w:sdtPr>
            <w:sdtEndPr>
              <w:rPr>
                <w:rFonts w:hint="eastAsia" w:ascii="仿宋" w:hAnsi="仿宋" w:eastAsia="仿宋" w:cs="仿宋"/>
                <w:sz w:val="24"/>
                <w:highlight w:val="none"/>
              </w:rPr>
            </w:sdtEndPr>
            <w:sdtContent>
              <w:sdt>
                <w:sdtPr>
                  <w:rPr>
                    <w:rFonts w:hint="eastAsia" w:ascii="仿宋" w:hAnsi="仿宋" w:eastAsia="仿宋" w:cs="仿宋"/>
                    <w:sz w:val="24"/>
                    <w:highlight w:val="none"/>
                  </w:rPr>
                  <w:id w:val="147482429"/>
                </w:sdtPr>
                <w:sdtEndPr>
                  <w:rPr>
                    <w:rFonts w:hint="eastAsia" w:ascii="仿宋" w:hAnsi="仿宋" w:eastAsia="仿宋" w:cs="仿宋"/>
                    <w:sz w:val="24"/>
                    <w:highlight w:val="none"/>
                  </w:rPr>
                </w:sdtEndPr>
                <w:sdtContent>
                  <w:r>
                    <w:rPr>
                      <w:rFonts w:hint="eastAsia" w:ascii="仿宋" w:hAnsi="仿宋" w:eastAsia="仿宋" w:cs="仿宋"/>
                      <w:sz w:val="24"/>
                      <w:highlight w:val="none"/>
                    </w:rPr>
                    <w:sym w:font="Wingdings 2" w:char="0052"/>
                  </w:r>
                </w:sdtContent>
              </w:sdt>
            </w:sdtContent>
          </w:sdt>
        </w:sdtContent>
      </w:sdt>
      <w:r>
        <w:rPr>
          <w:rFonts w:hint="eastAsia" w:ascii="仿宋" w:hAnsi="仿宋" w:eastAsia="仿宋" w:cs="仿宋"/>
          <w:sz w:val="24"/>
          <w:highlight w:val="none"/>
        </w:rPr>
        <w:t>” 系指适用本项目的要求，“</w:t>
      </w:r>
      <w:sdt>
        <w:sdtPr>
          <w:rPr>
            <w:rFonts w:hint="eastAsia" w:ascii="仿宋" w:hAnsi="仿宋" w:eastAsia="仿宋" w:cs="仿宋"/>
            <w:sz w:val="24"/>
            <w:highlight w:val="none"/>
          </w:rPr>
          <w:id w:val="147461241"/>
        </w:sdtPr>
        <w:sdtEndPr>
          <w:rPr>
            <w:rFonts w:hint="eastAsia" w:ascii="仿宋" w:hAnsi="仿宋" w:eastAsia="仿宋" w:cs="仿宋"/>
            <w:sz w:val="24"/>
            <w:highlight w:val="none"/>
          </w:rPr>
        </w:sdtEndPr>
        <w:sdtContent>
          <w:r>
            <w:rPr>
              <w:rFonts w:hint="eastAsia" w:ascii="仿宋" w:hAnsi="仿宋" w:eastAsia="仿宋" w:cs="仿宋"/>
              <w:sz w:val="24"/>
              <w:highlight w:val="none"/>
            </w:rPr>
            <w:t>☐</w:t>
          </w:r>
        </w:sdtContent>
      </w:sdt>
      <w:r>
        <w:rPr>
          <w:rFonts w:hint="eastAsia" w:ascii="仿宋" w:hAnsi="仿宋" w:eastAsia="仿宋" w:cs="仿宋"/>
          <w:sz w:val="24"/>
          <w:highlight w:val="none"/>
        </w:rPr>
        <w:t>” 系指不适用本项目的要求。</w:t>
      </w:r>
      <w:r>
        <w:rPr>
          <w:rFonts w:hint="eastAsia" w:ascii="仿宋" w:hAnsi="仿宋" w:eastAsia="仿宋" w:cs="仿宋"/>
          <w:sz w:val="24"/>
          <w:highlight w:val="none"/>
        </w:rPr>
        <w:cr/>
      </w:r>
      <w:r>
        <w:rPr>
          <w:rFonts w:hint="eastAsia" w:ascii="仿宋" w:hAnsi="仿宋" w:eastAsia="仿宋" w:cs="仿宋"/>
          <w:b/>
          <w:sz w:val="24"/>
          <w:highlight w:val="none"/>
        </w:rPr>
        <w:t>3. 询问、质疑、投诉</w:t>
      </w:r>
    </w:p>
    <w:p>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rPr>
        <w:t>3.1</w:t>
      </w:r>
      <w:r>
        <w:rPr>
          <w:rFonts w:hint="eastAsia" w:ascii="仿宋" w:hAnsi="仿宋" w:eastAsia="仿宋" w:cs="仿宋"/>
          <w:kern w:val="0"/>
          <w:sz w:val="24"/>
          <w:highlight w:val="none"/>
          <w:lang w:val="zh-CN"/>
        </w:rPr>
        <w:t>供应商询问</w:t>
      </w:r>
    </w:p>
    <w:p>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供应商质疑</w:t>
      </w:r>
    </w:p>
    <w:p>
      <w:pPr>
        <w:pStyle w:val="33"/>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3.2</w:t>
      </w:r>
      <w:r>
        <w:rPr>
          <w:rFonts w:hint="eastAsia" w:ascii="仿宋" w:hAnsi="仿宋" w:eastAsia="仿宋" w:cs="仿宋"/>
          <w:sz w:val="24"/>
          <w:highlight w:val="none"/>
        </w:rPr>
        <w:t>.1提出质疑的供应商应当是参与所质疑项目采购活动的供应商。潜在供应商已依法获取其可质疑的交易文件的，可以对该文件提出质疑。</w:t>
      </w:r>
    </w:p>
    <w:p>
      <w:pPr>
        <w:pStyle w:val="33"/>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3.2</w:t>
      </w:r>
      <w:r>
        <w:rPr>
          <w:rFonts w:hint="eastAsia" w:ascii="仿宋" w:hAnsi="仿宋" w:eastAsia="仿宋" w:cs="仿宋"/>
          <w:sz w:val="24"/>
          <w:highlight w:val="none"/>
        </w:rPr>
        <w:t>.2供应商认为交易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7"/>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color w:val="auto"/>
          <w:kern w:val="0"/>
          <w:sz w:val="24"/>
          <w:highlight w:val="none"/>
        </w:rPr>
        <w:t>3.2</w:t>
      </w:r>
      <w:r>
        <w:rPr>
          <w:rFonts w:hint="eastAsia" w:ascii="仿宋" w:hAnsi="仿宋" w:eastAsia="仿宋" w:cs="仿宋"/>
          <w:snapToGrid/>
          <w:color w:val="auto"/>
          <w:kern w:val="2"/>
          <w:sz w:val="24"/>
          <w:highlight w:val="none"/>
        </w:rPr>
        <w:t>.2.1对交易文件提出质疑的，质疑期限为供应商获得交易文件之日或者交易文件公告期限届满之日起计算。</w:t>
      </w:r>
    </w:p>
    <w:p>
      <w:pPr>
        <w:pStyle w:val="33"/>
        <w:spacing w:line="360" w:lineRule="auto"/>
        <w:ind w:left="479" w:leftChars="228"/>
        <w:rPr>
          <w:rFonts w:hint="eastAsia" w:ascii="仿宋" w:hAnsi="仿宋" w:eastAsia="仿宋" w:cs="仿宋"/>
          <w:sz w:val="24"/>
          <w:highlight w:val="none"/>
        </w:rPr>
      </w:pPr>
      <w:r>
        <w:rPr>
          <w:rFonts w:hint="eastAsia" w:ascii="仿宋" w:hAnsi="仿宋" w:eastAsia="仿宋" w:cs="仿宋"/>
          <w:kern w:val="0"/>
          <w:sz w:val="24"/>
          <w:highlight w:val="none"/>
        </w:rPr>
        <w:t>3.2</w:t>
      </w:r>
      <w:r>
        <w:rPr>
          <w:rFonts w:hint="eastAsia" w:ascii="仿宋" w:hAnsi="仿宋" w:eastAsia="仿宋" w:cs="仿宋"/>
          <w:sz w:val="24"/>
          <w:highlight w:val="none"/>
        </w:rPr>
        <w:t>.2.2对采购过程提出质疑的，质疑期限为各采购程序环节结束之日起计算。</w:t>
      </w:r>
      <w:r>
        <w:rPr>
          <w:rFonts w:hint="eastAsia" w:ascii="仿宋" w:hAnsi="仿宋" w:eastAsia="仿宋" w:cs="仿宋"/>
          <w:kern w:val="0"/>
          <w:sz w:val="24"/>
          <w:highlight w:val="none"/>
        </w:rPr>
        <w:t>3.2</w:t>
      </w:r>
      <w:r>
        <w:rPr>
          <w:rFonts w:hint="eastAsia" w:ascii="仿宋" w:hAnsi="仿宋" w:eastAsia="仿宋" w:cs="仿宋"/>
          <w:sz w:val="24"/>
          <w:highlight w:val="none"/>
        </w:rPr>
        <w:t>.2.3对采购结果提出质疑的，质疑期限自采购结果公告期限届满之日起计算。</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w:t>
      </w:r>
      <w:r>
        <w:rPr>
          <w:rFonts w:hint="eastAsia" w:ascii="仿宋" w:hAnsi="仿宋" w:eastAsia="仿宋" w:cs="仿宋"/>
          <w:sz w:val="24"/>
          <w:highlight w:val="none"/>
        </w:rPr>
        <w:t>供应商提出质疑应当提交质疑函和必要的证明材料。质疑函应当包括下列内容：</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w:t>
      </w: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.3.1供应商的姓名或者名称、地址、邮编、联系人及联系电话；</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w:t>
      </w: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.3.2质疑项目的名称、编号；</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w:t>
      </w: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.3.3具体、明确的质疑事项和与质疑事项相关的请求；</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w:t>
      </w: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.3.4事实依据；</w:t>
      </w:r>
    </w:p>
    <w:p>
      <w:pPr>
        <w:pStyle w:val="33"/>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w:t>
      </w: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.3.5必要的法律依据；</w:t>
      </w:r>
    </w:p>
    <w:p>
      <w:pPr>
        <w:pStyle w:val="33"/>
        <w:spacing w:line="360" w:lineRule="auto"/>
        <w:ind w:firstLine="960" w:firstLineChars="400"/>
        <w:rPr>
          <w:rFonts w:hint="eastAsia" w:ascii="仿宋" w:hAnsi="仿宋" w:eastAsia="仿宋" w:cs="仿宋"/>
          <w:kern w:val="0"/>
          <w:sz w:val="24"/>
          <w:highlight w:val="none"/>
          <w:lang w:val="zh-CN"/>
        </w:rPr>
      </w:pPr>
      <w:r>
        <w:rPr>
          <w:rFonts w:hint="eastAsia" w:ascii="仿宋" w:hAnsi="仿宋" w:eastAsia="仿宋" w:cs="仿宋"/>
          <w:kern w:val="0"/>
          <w:sz w:val="24"/>
          <w:highlight w:val="none"/>
        </w:rPr>
        <w:t>3.2</w:t>
      </w:r>
      <w:r>
        <w:rPr>
          <w:rFonts w:hint="eastAsia" w:ascii="仿宋" w:hAnsi="仿宋" w:eastAsia="仿宋" w:cs="仿宋"/>
          <w:kern w:val="0"/>
          <w:sz w:val="24"/>
          <w:highlight w:val="none"/>
          <w:lang w:val="zh-CN"/>
        </w:rPr>
        <w:t>.3.6提出质疑的日期。</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质疑函范本及制作说明详见附件2。</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3.2.4采购人或者采购代理机构应当在收到供应商的书面质疑后3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3.2.5询问或者质疑事项可能影响采购结果的，采购人应当暂停签订合同，已经签订合同的，应当中止履行合同。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highlight w:val="none"/>
          <w:lang w:val="zh-CN"/>
        </w:rPr>
      </w:pPr>
      <w:r>
        <w:rPr>
          <w:rFonts w:hint="eastAsia" w:ascii="仿宋" w:hAnsi="仿宋" w:eastAsia="仿宋" w:cs="仿宋"/>
          <w:highlight w:val="none"/>
        </w:rPr>
        <w:t>3.3</w:t>
      </w:r>
      <w:r>
        <w:rPr>
          <w:rFonts w:hint="eastAsia" w:ascii="仿宋" w:hAnsi="仿宋" w:eastAsia="仿宋" w:cs="仿宋"/>
          <w:highlight w:val="none"/>
          <w:lang w:val="zh-CN"/>
        </w:rPr>
        <w:t>供应商投诉</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3.3.1质疑供应商对采购人、采购代理机构的答复不满意或者采购人、采购代理机构未在规定的时间内作出答复的，可以在答复期满后十五个工作日内向同级政府采购监督管理部门提出投诉。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3.3.</w:t>
      </w:r>
      <w:r>
        <w:rPr>
          <w:rFonts w:hint="eastAsia" w:ascii="仿宋" w:hAnsi="仿宋" w:eastAsia="仿宋" w:cs="仿宋"/>
          <w:highlight w:val="none"/>
          <w:lang w:val="zh-CN"/>
        </w:rPr>
        <w:t>2</w:t>
      </w:r>
      <w:r>
        <w:rPr>
          <w:rFonts w:hint="eastAsia" w:ascii="仿宋" w:hAnsi="仿宋" w:eastAsia="仿宋" w:cs="仿宋"/>
          <w:highlight w:val="none"/>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3.3.3供应商投诉应当有明确的请求和必要的证明材料。</w:t>
      </w:r>
    </w:p>
    <w:p>
      <w:pPr>
        <w:pStyle w:val="128"/>
        <w:snapToGrid w:val="0"/>
        <w:spacing w:before="0"/>
        <w:ind w:firstLine="0" w:firstLineChars="0"/>
        <w:rPr>
          <w:rFonts w:hint="eastAsia" w:ascii="仿宋" w:hAnsi="仿宋" w:eastAsia="仿宋" w:cs="仿宋"/>
          <w:sz w:val="18"/>
          <w:szCs w:val="18"/>
          <w:highlight w:val="none"/>
        </w:rPr>
      </w:pPr>
    </w:p>
    <w:p>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 xml:space="preserve">      二、交易文件的构成、澄清、修改</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4．交易文件的构成</w:t>
      </w:r>
    </w:p>
    <w:p>
      <w:pPr>
        <w:pStyle w:val="33"/>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4.1 交易文件包括下列文件及附件：</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4.1.1交易公告；</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4.1.2供应商须知；</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4.1.3交易需求；</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4.1.4评审办法；</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4.1.5拟签订的合同文本；</w:t>
      </w:r>
    </w:p>
    <w:p>
      <w:pPr>
        <w:pStyle w:val="33"/>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4.1</w:t>
      </w:r>
      <w:r>
        <w:rPr>
          <w:rFonts w:hint="eastAsia" w:ascii="仿宋" w:hAnsi="仿宋" w:eastAsia="仿宋" w:cs="仿宋"/>
          <w:sz w:val="24"/>
          <w:highlight w:val="none"/>
        </w:rPr>
        <w:t>.6</w:t>
      </w:r>
      <w:r>
        <w:rPr>
          <w:rFonts w:hint="eastAsia" w:ascii="仿宋" w:hAnsi="仿宋" w:eastAsia="仿宋" w:cs="仿宋"/>
          <w:sz w:val="24"/>
          <w:szCs w:val="24"/>
          <w:highlight w:val="none"/>
        </w:rPr>
        <w:t>应提交的有关格式范例。</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4.2与本项目有关的</w:t>
      </w:r>
      <w:r>
        <w:rPr>
          <w:rFonts w:hint="eastAsia" w:ascii="仿宋" w:hAnsi="仿宋" w:eastAsia="仿宋" w:cs="仿宋"/>
          <w:bCs/>
          <w:sz w:val="24"/>
          <w:highlight w:val="none"/>
        </w:rPr>
        <w:t>澄清或者修改的内容为交易文件的组成部分</w:t>
      </w:r>
      <w:r>
        <w:rPr>
          <w:rFonts w:hint="eastAsia" w:ascii="仿宋" w:hAnsi="仿宋" w:eastAsia="仿宋" w:cs="仿宋"/>
          <w:sz w:val="24"/>
          <w:highlight w:val="none"/>
        </w:rPr>
        <w:t>。</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5. 交易文件的澄清、修改</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5.1已获取交易文件的潜在供应商，若有问题需要澄清，应于投标截止时间前，以书面形式向采购代理机构提出。</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5.2 采购代理机构对交易文件进行澄清或修改的，将同时通过电子交易平台通知已获取交易文件的潜在供应商。依法应当公告的，将按规定公告，同时视情况延长投标截止时间和开标时间。该澄清或者修改的内容为交易文件的组成部分。</w:t>
      </w:r>
    </w:p>
    <w:p>
      <w:pPr>
        <w:pStyle w:val="2"/>
        <w:rPr>
          <w:rFonts w:hint="eastAsia" w:ascii="仿宋" w:hAnsi="仿宋" w:eastAsia="仿宋" w:cs="仿宋"/>
          <w:sz w:val="18"/>
          <w:szCs w:val="18"/>
          <w:highlight w:val="none"/>
          <w:lang w:val="en-US"/>
        </w:rPr>
      </w:pPr>
      <w:r>
        <w:rPr>
          <w:rFonts w:hint="eastAsia" w:ascii="仿宋" w:hAnsi="仿宋" w:eastAsia="仿宋" w:cs="仿宋"/>
          <w:szCs w:val="24"/>
          <w:highlight w:val="none"/>
          <w:lang w:val="en-US"/>
        </w:rPr>
        <w:t xml:space="preserve">    </w:t>
      </w:r>
    </w:p>
    <w:p>
      <w:pPr>
        <w:adjustRightInd/>
        <w:spacing w:line="360" w:lineRule="auto"/>
        <w:jc w:val="center"/>
        <w:outlineLvl w:val="0"/>
        <w:rPr>
          <w:rFonts w:hint="eastAsia" w:ascii="仿宋" w:hAnsi="仿宋" w:eastAsia="仿宋" w:cs="仿宋"/>
          <w:b/>
          <w:sz w:val="30"/>
          <w:szCs w:val="20"/>
          <w:highlight w:val="none"/>
        </w:rPr>
      </w:pPr>
      <w:r>
        <w:rPr>
          <w:rFonts w:hint="eastAsia" w:ascii="仿宋" w:hAnsi="仿宋" w:eastAsia="仿宋" w:cs="仿宋"/>
          <w:b/>
          <w:sz w:val="30"/>
          <w:szCs w:val="20"/>
          <w:highlight w:val="none"/>
        </w:rPr>
        <w:t>三、投标</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6. 交易文件的获取</w:t>
      </w:r>
    </w:p>
    <w:p>
      <w:pPr>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详见交易公告中获取交易文件的时间期限、地点、方式及交易文件售价。</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7.开标前答疑会或现场考察</w:t>
      </w:r>
    </w:p>
    <w:p>
      <w:pPr>
        <w:pStyle w:val="33"/>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采购人组织潜在供应商现场考察或者召开开标前答疑会的，潜在供应商按第二部分供应商须知前附表的规定参加现场考察或者开标前答疑会。</w:t>
      </w:r>
    </w:p>
    <w:p>
      <w:pPr>
        <w:pStyle w:val="33"/>
        <w:spacing w:line="360" w:lineRule="auto"/>
        <w:rPr>
          <w:rFonts w:hint="eastAsia" w:ascii="仿宋" w:hAnsi="仿宋" w:eastAsia="仿宋" w:cs="仿宋"/>
          <w:b/>
          <w:szCs w:val="24"/>
          <w:highlight w:val="none"/>
        </w:rPr>
      </w:pPr>
      <w:r>
        <w:rPr>
          <w:rFonts w:hint="eastAsia" w:ascii="仿宋" w:hAnsi="仿宋" w:eastAsia="仿宋" w:cs="仿宋"/>
          <w:b/>
          <w:kern w:val="28"/>
          <w:sz w:val="24"/>
          <w:szCs w:val="24"/>
          <w:highlight w:val="none"/>
        </w:rPr>
        <w:t>8.投标保证金</w:t>
      </w:r>
    </w:p>
    <w:p>
      <w:pPr>
        <w:pStyle w:val="7"/>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9. 响应文件的语言</w:t>
      </w:r>
    </w:p>
    <w:p>
      <w:pPr>
        <w:autoSpaceDE w:val="0"/>
        <w:autoSpaceDN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响应文件及供应商与采购有关的来往通知、函件和文件均应使用中文。</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 响应文件的组成</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10.1.1符合参加政府采购活动应当具备的一般条件的承诺函；</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10.1.2本项目的特定资格要求</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w:t>
      </w:r>
      <w:r>
        <w:rPr>
          <w:rFonts w:hint="eastAsia" w:ascii="仿宋" w:hAnsi="仿宋" w:eastAsia="仿宋" w:cs="仿宋"/>
          <w:sz w:val="24"/>
          <w:highlight w:val="none"/>
        </w:rPr>
        <w:t>0</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r>
        <w:rPr>
          <w:rFonts w:hint="eastAsia" w:ascii="仿宋" w:hAnsi="仿宋" w:eastAsia="仿宋" w:cs="仿宋"/>
          <w:sz w:val="24"/>
          <w:highlight w:val="none"/>
          <w:lang w:val="zh-CN"/>
        </w:rPr>
        <w:t>：</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zh-CN"/>
        </w:rPr>
        <w:t>1</w:t>
      </w:r>
      <w:r>
        <w:rPr>
          <w:rFonts w:hint="eastAsia" w:ascii="仿宋" w:hAnsi="仿宋" w:eastAsia="仿宋" w:cs="仿宋"/>
          <w:sz w:val="24"/>
          <w:highlight w:val="none"/>
        </w:rPr>
        <w:t>0.2.1响应函；</w:t>
      </w:r>
      <w:r>
        <w:rPr>
          <w:rFonts w:hint="eastAsia" w:ascii="仿宋" w:hAnsi="仿宋" w:eastAsia="仿宋" w:cs="仿宋"/>
          <w:sz w:val="24"/>
          <w:highlight w:val="none"/>
          <w:lang w:val="zh-CN"/>
        </w:rPr>
        <w:t xml:space="preserve"> </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zh-CN"/>
        </w:rPr>
        <w:t>1</w:t>
      </w:r>
      <w:r>
        <w:rPr>
          <w:rFonts w:hint="eastAsia" w:ascii="仿宋" w:hAnsi="仿宋" w:eastAsia="仿宋" w:cs="仿宋"/>
          <w:sz w:val="24"/>
          <w:highlight w:val="none"/>
        </w:rPr>
        <w:t>0.2.2授权委托书或法定代表人（单位负责人、自然人本人）身份证明；</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zh-CN"/>
        </w:rPr>
        <w:t>1</w:t>
      </w:r>
      <w:r>
        <w:rPr>
          <w:rFonts w:hint="eastAsia" w:ascii="仿宋" w:hAnsi="仿宋" w:eastAsia="仿宋" w:cs="仿宋"/>
          <w:sz w:val="24"/>
          <w:highlight w:val="none"/>
        </w:rPr>
        <w:t>0.2.3分包意向协议</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zh-CN"/>
        </w:rPr>
        <w:t>1</w:t>
      </w:r>
      <w:r>
        <w:rPr>
          <w:rFonts w:hint="eastAsia" w:ascii="仿宋" w:hAnsi="仿宋" w:eastAsia="仿宋" w:cs="仿宋"/>
          <w:sz w:val="24"/>
          <w:highlight w:val="none"/>
        </w:rPr>
        <w:t>0.2.4符合性审查资料；</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zh-CN"/>
        </w:rPr>
        <w:t>1</w:t>
      </w:r>
      <w:r>
        <w:rPr>
          <w:rFonts w:hint="eastAsia" w:ascii="仿宋" w:hAnsi="仿宋" w:eastAsia="仿宋" w:cs="仿宋"/>
          <w:sz w:val="24"/>
          <w:highlight w:val="none"/>
        </w:rPr>
        <w:t>0.2.5评审标准相应的商务技术资料；</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10.2.6投标标的清单；</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10.2.7商务技术偏离表；</w:t>
      </w:r>
    </w:p>
    <w:p>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zh-CN"/>
        </w:rPr>
        <w:t>1</w:t>
      </w:r>
      <w:r>
        <w:rPr>
          <w:rFonts w:hint="eastAsia" w:ascii="仿宋" w:hAnsi="仿宋" w:eastAsia="仿宋" w:cs="仿宋"/>
          <w:sz w:val="24"/>
          <w:highlight w:val="none"/>
        </w:rPr>
        <w:t>0</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8</w:t>
      </w:r>
      <w:r>
        <w:rPr>
          <w:rFonts w:hint="eastAsia" w:ascii="仿宋" w:hAnsi="仿宋" w:eastAsia="仿宋" w:cs="仿宋"/>
          <w:sz w:val="24"/>
          <w:highlight w:val="none"/>
          <w:lang w:val="zh-CN"/>
        </w:rPr>
        <w:t>政府采购供应商廉洁自律承诺书；</w:t>
      </w:r>
    </w:p>
    <w:p>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rPr>
        <w:t>10</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r>
        <w:rPr>
          <w:rFonts w:hint="eastAsia" w:ascii="仿宋" w:hAnsi="仿宋" w:eastAsia="仿宋" w:cs="仿宋"/>
          <w:sz w:val="24"/>
          <w:highlight w:val="none"/>
        </w:rPr>
        <w:t xml:space="preserve"> </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10.3.1响应一览表（报价表）；</w:t>
      </w:r>
    </w:p>
    <w:p>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10.3.2供应商针对报价需要说明的其他文件和资料（格式自拟）。</w:t>
      </w:r>
    </w:p>
    <w:p>
      <w:pPr>
        <w:spacing w:line="360" w:lineRule="auto"/>
        <w:ind w:firstLine="723" w:firstLineChars="300"/>
        <w:rPr>
          <w:rFonts w:hint="eastAsia" w:ascii="仿宋" w:hAnsi="仿宋" w:eastAsia="仿宋" w:cs="仿宋"/>
          <w:b/>
          <w:sz w:val="24"/>
          <w:highlight w:val="none"/>
        </w:rPr>
      </w:pPr>
      <w:r>
        <w:rPr>
          <w:rFonts w:hint="eastAsia" w:ascii="仿宋" w:hAnsi="仿宋" w:eastAsia="仿宋" w:cs="仿宋"/>
          <w:b/>
          <w:sz w:val="24"/>
          <w:highlight w:val="none"/>
        </w:rPr>
        <w:t>响应文件含有采购人不能接受的附加条件的，投标无效；</w:t>
      </w:r>
    </w:p>
    <w:p>
      <w:pPr>
        <w:spacing w:line="360" w:lineRule="auto"/>
        <w:ind w:firstLine="723" w:firstLineChars="300"/>
        <w:rPr>
          <w:rFonts w:hint="eastAsia" w:ascii="仿宋" w:hAnsi="仿宋" w:eastAsia="仿宋" w:cs="仿宋"/>
          <w:b/>
          <w:sz w:val="24"/>
          <w:szCs w:val="21"/>
          <w:highlight w:val="none"/>
        </w:rPr>
      </w:pPr>
      <w:r>
        <w:rPr>
          <w:rFonts w:hint="eastAsia" w:ascii="仿宋" w:hAnsi="仿宋" w:eastAsia="仿宋" w:cs="仿宋"/>
          <w:b/>
          <w:sz w:val="24"/>
          <w:highlight w:val="none"/>
        </w:rPr>
        <w:t>供应商提供虚假材料投标的，投标无效。</w:t>
      </w:r>
    </w:p>
    <w:p>
      <w:pPr>
        <w:pStyle w:val="128"/>
        <w:snapToGrid w:val="0"/>
        <w:spacing w:before="0"/>
        <w:ind w:firstLine="0" w:firstLineChars="0"/>
        <w:outlineLvl w:val="0"/>
        <w:rPr>
          <w:rFonts w:hint="eastAsia" w:ascii="仿宋" w:hAnsi="仿宋" w:eastAsia="仿宋" w:cs="仿宋"/>
          <w:b/>
          <w:szCs w:val="24"/>
          <w:highlight w:val="none"/>
        </w:rPr>
      </w:pPr>
      <w:r>
        <w:rPr>
          <w:rFonts w:hint="eastAsia" w:ascii="仿宋" w:hAnsi="仿宋" w:eastAsia="仿宋" w:cs="仿宋"/>
          <w:b/>
          <w:szCs w:val="24"/>
          <w:highlight w:val="none"/>
        </w:rPr>
        <w:t>11</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响应文件的编制</w:t>
      </w:r>
    </w:p>
    <w:p>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1</w:t>
      </w: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响应</w:t>
      </w:r>
      <w:r>
        <w:rPr>
          <w:rFonts w:hint="eastAsia" w:ascii="仿宋" w:hAnsi="仿宋" w:eastAsia="仿宋" w:cs="仿宋"/>
          <w:kern w:val="0"/>
          <w:sz w:val="24"/>
          <w:highlight w:val="none"/>
          <w:lang w:val="zh-CN"/>
        </w:rPr>
        <w:t>文件分为资格文件、商务技术文件、报价文件三部分。各供应商在编制</w:t>
      </w:r>
      <w:r>
        <w:rPr>
          <w:rFonts w:hint="eastAsia" w:ascii="仿宋" w:hAnsi="仿宋" w:eastAsia="仿宋" w:cs="仿宋"/>
          <w:kern w:val="0"/>
          <w:sz w:val="24"/>
          <w:highlight w:val="none"/>
        </w:rPr>
        <w:t>响应</w:t>
      </w:r>
      <w:r>
        <w:rPr>
          <w:rFonts w:hint="eastAsia" w:ascii="仿宋" w:hAnsi="仿宋" w:eastAsia="仿宋" w:cs="仿宋"/>
          <w:kern w:val="0"/>
          <w:sz w:val="24"/>
          <w:highlight w:val="none"/>
          <w:lang w:val="zh-CN"/>
        </w:rPr>
        <w:t>文件时请按照</w:t>
      </w:r>
      <w:r>
        <w:rPr>
          <w:rFonts w:hint="eastAsia" w:ascii="仿宋" w:hAnsi="仿宋" w:eastAsia="仿宋" w:cs="仿宋"/>
          <w:kern w:val="0"/>
          <w:sz w:val="24"/>
          <w:highlight w:val="none"/>
        </w:rPr>
        <w:t>交易</w:t>
      </w:r>
      <w:r>
        <w:rPr>
          <w:rFonts w:hint="eastAsia" w:ascii="仿宋" w:hAnsi="仿宋" w:eastAsia="仿宋" w:cs="仿宋"/>
          <w:kern w:val="0"/>
          <w:sz w:val="24"/>
          <w:highlight w:val="none"/>
          <w:lang w:val="zh-CN"/>
        </w:rPr>
        <w:t>文件第六部分规定的格式进行，混乱的编排导致</w:t>
      </w:r>
      <w:r>
        <w:rPr>
          <w:rFonts w:hint="eastAsia" w:ascii="仿宋" w:hAnsi="仿宋" w:eastAsia="仿宋" w:cs="仿宋"/>
          <w:kern w:val="0"/>
          <w:sz w:val="24"/>
          <w:highlight w:val="none"/>
        </w:rPr>
        <w:t>响应</w:t>
      </w:r>
      <w:r>
        <w:rPr>
          <w:rFonts w:hint="eastAsia" w:ascii="仿宋" w:hAnsi="仿宋" w:eastAsia="仿宋" w:cs="仿宋"/>
          <w:kern w:val="0"/>
          <w:sz w:val="24"/>
          <w:highlight w:val="none"/>
          <w:lang w:val="zh-CN"/>
        </w:rPr>
        <w:t>文件被误读或评审委员会查找不到有效文件是供应商的风险。</w:t>
      </w:r>
    </w:p>
    <w:p>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1</w:t>
      </w:r>
      <w:r>
        <w:rPr>
          <w:rFonts w:hint="eastAsia" w:ascii="仿宋" w:hAnsi="仿宋" w:eastAsia="仿宋" w:cs="仿宋"/>
          <w:kern w:val="0"/>
          <w:sz w:val="24"/>
          <w:highlight w:val="none"/>
          <w:lang w:val="zh-CN"/>
        </w:rPr>
        <w:t>.2供应商进行电子投标应安装客户端软件—“政采云电子交易客户端”，并按照</w:t>
      </w:r>
      <w:r>
        <w:rPr>
          <w:rFonts w:hint="eastAsia" w:ascii="仿宋" w:hAnsi="仿宋" w:eastAsia="仿宋" w:cs="仿宋"/>
          <w:kern w:val="0"/>
          <w:sz w:val="24"/>
          <w:highlight w:val="none"/>
        </w:rPr>
        <w:t>交易</w:t>
      </w:r>
      <w:r>
        <w:rPr>
          <w:rFonts w:hint="eastAsia" w:ascii="仿宋" w:hAnsi="仿宋" w:eastAsia="仿宋" w:cs="仿宋"/>
          <w:kern w:val="0"/>
          <w:sz w:val="24"/>
          <w:highlight w:val="none"/>
          <w:lang w:val="zh-CN"/>
        </w:rPr>
        <w:t>文件和电子交易平台的要求编制并加密</w:t>
      </w:r>
      <w:r>
        <w:rPr>
          <w:rFonts w:hint="eastAsia" w:ascii="仿宋" w:hAnsi="仿宋" w:eastAsia="仿宋" w:cs="仿宋"/>
          <w:kern w:val="0"/>
          <w:sz w:val="24"/>
          <w:highlight w:val="none"/>
        </w:rPr>
        <w:t>响应</w:t>
      </w:r>
      <w:r>
        <w:rPr>
          <w:rFonts w:hint="eastAsia" w:ascii="仿宋" w:hAnsi="仿宋" w:eastAsia="仿宋" w:cs="仿宋"/>
          <w:kern w:val="0"/>
          <w:sz w:val="24"/>
          <w:highlight w:val="none"/>
          <w:lang w:val="zh-CN"/>
        </w:rPr>
        <w:t>文件。供应商未按规定加密的</w:t>
      </w:r>
      <w:r>
        <w:rPr>
          <w:rFonts w:hint="eastAsia" w:ascii="仿宋" w:hAnsi="仿宋" w:eastAsia="仿宋" w:cs="仿宋"/>
          <w:kern w:val="0"/>
          <w:sz w:val="24"/>
          <w:highlight w:val="none"/>
        </w:rPr>
        <w:t>响应</w:t>
      </w:r>
      <w:r>
        <w:rPr>
          <w:rFonts w:hint="eastAsia" w:ascii="仿宋" w:hAnsi="仿宋" w:eastAsia="仿宋" w:cs="仿宋"/>
          <w:kern w:val="0"/>
          <w:sz w:val="24"/>
          <w:highlight w:val="none"/>
          <w:lang w:val="zh-CN"/>
        </w:rPr>
        <w:t>文件，电子交易平台将拒收并提示。</w:t>
      </w:r>
    </w:p>
    <w:p>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1</w:t>
      </w:r>
      <w:r>
        <w:rPr>
          <w:rFonts w:hint="eastAsia" w:ascii="仿宋" w:hAnsi="仿宋" w:eastAsia="仿宋" w:cs="仿宋"/>
          <w:kern w:val="0"/>
          <w:sz w:val="24"/>
          <w:highlight w:val="none"/>
          <w:lang w:val="zh-CN"/>
        </w:rPr>
        <w:t>.3使用“政采云电子交易客户端”需要提前申领CA数字证书，申领流程请自行前往“浙江政府采购网-下载专区-电子交易客户端-CA驱动和申领流程”进行查阅。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12.响应文件的签署、盖章</w:t>
      </w:r>
    </w:p>
    <w:p>
      <w:pPr>
        <w:pStyle w:val="128"/>
        <w:snapToGrid w:val="0"/>
        <w:spacing w:before="0"/>
        <w:ind w:firstLine="480"/>
        <w:rPr>
          <w:rFonts w:hint="eastAsia" w:ascii="仿宋" w:hAnsi="仿宋" w:eastAsia="仿宋" w:cs="仿宋"/>
          <w:b/>
          <w:highlight w:val="none"/>
        </w:rPr>
      </w:pPr>
      <w:r>
        <w:rPr>
          <w:rFonts w:hint="eastAsia" w:ascii="仿宋" w:hAnsi="仿宋" w:eastAsia="仿宋" w:cs="仿宋"/>
          <w:szCs w:val="24"/>
          <w:highlight w:val="none"/>
        </w:rPr>
        <w:t>12.1响应文件按照交易文件第六部分格式要</w:t>
      </w:r>
      <w:r>
        <w:rPr>
          <w:rFonts w:hint="eastAsia" w:ascii="仿宋" w:hAnsi="仿宋" w:eastAsia="仿宋" w:cs="仿宋"/>
          <w:highlight w:val="none"/>
        </w:rPr>
        <w:t>求进行签署、盖章。</w:t>
      </w:r>
      <w:r>
        <w:rPr>
          <w:rFonts w:hint="eastAsia" w:ascii="仿宋" w:hAnsi="仿宋" w:eastAsia="仿宋" w:cs="仿宋"/>
          <w:b/>
          <w:highlight w:val="none"/>
        </w:rPr>
        <w:t>▲供应商的响应文件未按照交易文件要求签署、盖章的，其投标无效</w:t>
      </w:r>
      <w:r>
        <w:rPr>
          <w:rFonts w:hint="eastAsia" w:ascii="仿宋" w:hAnsi="仿宋" w:eastAsia="仿宋" w:cs="仿宋"/>
          <w:szCs w:val="24"/>
          <w:highlight w:val="none"/>
        </w:rPr>
        <w:t>。</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12.2为确保网上操作合法、有效和安全，供应商应当在投标截止时间前完成在“政府采购云平台”的身份认证，确保在电子投标过程中能够对相关数据电文进行加密和使用电子签名。</w:t>
      </w:r>
    </w:p>
    <w:p>
      <w:pPr>
        <w:pStyle w:val="128"/>
        <w:snapToGrid w:val="0"/>
        <w:spacing w:before="0"/>
        <w:ind w:firstLine="480"/>
        <w:rPr>
          <w:rFonts w:hint="eastAsia" w:ascii="仿宋" w:hAnsi="仿宋" w:eastAsia="仿宋" w:cs="仿宋"/>
          <w:szCs w:val="24"/>
          <w:highlight w:val="none"/>
        </w:rPr>
      </w:pPr>
      <w:r>
        <w:rPr>
          <w:rFonts w:hint="eastAsia" w:ascii="仿宋" w:hAnsi="仿宋" w:eastAsia="仿宋" w:cs="仿宋"/>
          <w:highlight w:val="none"/>
        </w:rPr>
        <w:t>12.3交易文件对响应文件签署、盖章的要求适用于电子签名。</w:t>
      </w:r>
    </w:p>
    <w:p>
      <w:pPr>
        <w:pStyle w:val="128"/>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13. 响应文件的提交、补充、修改、撤回</w:t>
      </w:r>
    </w:p>
    <w:p>
      <w:pPr>
        <w:pStyle w:val="128"/>
        <w:ind w:firstLine="480"/>
        <w:rPr>
          <w:rFonts w:hint="eastAsia" w:ascii="仿宋" w:hAnsi="仿宋" w:eastAsia="仿宋" w:cs="仿宋"/>
          <w:szCs w:val="24"/>
          <w:highlight w:val="none"/>
        </w:rPr>
      </w:pPr>
      <w:r>
        <w:rPr>
          <w:rFonts w:hint="eastAsia" w:ascii="仿宋" w:hAnsi="仿宋" w:eastAsia="仿宋" w:cs="仿宋"/>
          <w:szCs w:val="24"/>
          <w:highlight w:val="none"/>
        </w:rPr>
        <w:t>13.1 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pPr>
        <w:pStyle w:val="128"/>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13.2电子交易平台收到响应文件，将妥善保存。在投标截止时间前，除供应商补充、修改或者撤回响应文件外，任何单位和个人不得解密或提取响应文件。</w:t>
      </w:r>
    </w:p>
    <w:p>
      <w:pPr>
        <w:pStyle w:val="128"/>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13.3采购人、采购代理机构可以视情况延长响应文件提交的截止时间。在上述情况下，采购代理机构与供应商以前在投标截止期方面的全部权利、责任和义务，将适用于延长至新的投标截止期。</w:t>
      </w:r>
    </w:p>
    <w:p>
      <w:pPr>
        <w:pStyle w:val="33"/>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14.备份响应文件</w:t>
      </w:r>
    </w:p>
    <w:p>
      <w:pPr>
        <w:pStyle w:val="33"/>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highlight w:val="none"/>
        </w:rPr>
        <w:t xml:space="preserve"> </w:t>
      </w:r>
      <w:r>
        <w:rPr>
          <w:rFonts w:hint="eastAsia" w:ascii="仿宋" w:hAnsi="仿宋" w:eastAsia="仿宋" w:cs="仿宋"/>
          <w:b/>
          <w:sz w:val="24"/>
          <w:szCs w:val="24"/>
          <w:highlight w:val="none"/>
        </w:rPr>
        <w:t>不收取备份响应文件。</w:t>
      </w:r>
    </w:p>
    <w:p>
      <w:pPr>
        <w:pStyle w:val="128"/>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15.响应文件的无效处理</w:t>
      </w:r>
    </w:p>
    <w:p>
      <w:pPr>
        <w:pStyle w:val="128"/>
        <w:spacing w:before="0"/>
        <w:ind w:firstLine="480"/>
        <w:rPr>
          <w:rFonts w:hint="eastAsia" w:ascii="仿宋" w:hAnsi="仿宋" w:eastAsia="仿宋" w:cs="仿宋"/>
          <w:bCs/>
          <w:szCs w:val="24"/>
          <w:highlight w:val="none"/>
        </w:rPr>
      </w:pPr>
      <w:r>
        <w:rPr>
          <w:rFonts w:hint="eastAsia" w:ascii="仿宋" w:hAnsi="仿宋" w:eastAsia="仿宋" w:cs="仿宋"/>
          <w:bCs/>
          <w:szCs w:val="24"/>
          <w:highlight w:val="none"/>
        </w:rPr>
        <w:t>有交易文件第四部分4.2规定的情形之一的，投标无效：</w:t>
      </w:r>
    </w:p>
    <w:p>
      <w:pPr>
        <w:pStyle w:val="128"/>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16.投标有效期</w:t>
      </w:r>
    </w:p>
    <w:p>
      <w:pPr>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16.1投标有效期为从提交响应文件的截止之日起90天。▲</w:t>
      </w:r>
      <w:r>
        <w:rPr>
          <w:rFonts w:hint="eastAsia" w:ascii="仿宋" w:hAnsi="仿宋" w:eastAsia="仿宋" w:cs="仿宋"/>
          <w:b/>
          <w:sz w:val="24"/>
          <w:szCs w:val="20"/>
          <w:highlight w:val="none"/>
        </w:rPr>
        <w:t>供应商的响应文件中承</w:t>
      </w:r>
      <w:r>
        <w:rPr>
          <w:rFonts w:hint="eastAsia" w:ascii="仿宋" w:hAnsi="仿宋" w:eastAsia="仿宋" w:cs="仿宋"/>
          <w:b/>
          <w:sz w:val="24"/>
          <w:szCs w:val="21"/>
          <w:highlight w:val="none"/>
        </w:rPr>
        <w:t>诺的投标有效期少于交易文件中载明的投标有效期的，投标无效。</w:t>
      </w:r>
    </w:p>
    <w:p>
      <w:pPr>
        <w:pStyle w:val="128"/>
        <w:spacing w:before="0"/>
        <w:ind w:firstLine="480"/>
        <w:rPr>
          <w:rFonts w:hint="eastAsia" w:ascii="仿宋" w:hAnsi="仿宋" w:eastAsia="仿宋" w:cs="仿宋"/>
          <w:highlight w:val="none"/>
        </w:rPr>
      </w:pPr>
      <w:r>
        <w:rPr>
          <w:rFonts w:hint="eastAsia" w:ascii="仿宋" w:hAnsi="仿宋" w:eastAsia="仿宋" w:cs="仿宋"/>
          <w:highlight w:val="none"/>
        </w:rPr>
        <w:t>16.2响应文件合格投递后，自投标截止日期起，在投标有效期内有效。</w:t>
      </w:r>
    </w:p>
    <w:p>
      <w:pPr>
        <w:pStyle w:val="128"/>
        <w:spacing w:before="0"/>
        <w:ind w:firstLine="480"/>
        <w:jc w:val="left"/>
        <w:rPr>
          <w:rFonts w:hint="eastAsia" w:ascii="仿宋" w:hAnsi="仿宋" w:eastAsia="仿宋" w:cs="仿宋"/>
          <w:highlight w:val="none"/>
        </w:rPr>
      </w:pPr>
      <w:r>
        <w:rPr>
          <w:rFonts w:hint="eastAsia" w:ascii="仿宋" w:hAnsi="仿宋" w:eastAsia="仿宋" w:cs="仿宋"/>
          <w:highlight w:val="none"/>
        </w:rPr>
        <w:t>16.3在在原定投标有效期满之前，如果出现特殊情况，采购代理机构可以以书面形式通知供应商延长投标有效期。供应商同意延长的，不得要求或被允许修改其响应文件，供应商拒绝延长的，其投标无效。</w:t>
      </w:r>
    </w:p>
    <w:p>
      <w:pPr>
        <w:pStyle w:val="128"/>
        <w:spacing w:before="0"/>
        <w:ind w:firstLine="643"/>
        <w:rPr>
          <w:rFonts w:hint="eastAsia" w:ascii="仿宋" w:hAnsi="仿宋" w:eastAsia="仿宋" w:cs="仿宋"/>
          <w:b/>
          <w:sz w:val="32"/>
          <w:highlight w:val="none"/>
        </w:rPr>
      </w:pPr>
    </w:p>
    <w:p>
      <w:pPr>
        <w:pStyle w:val="128"/>
        <w:spacing w:before="0"/>
        <w:ind w:firstLine="1928" w:firstLineChars="600"/>
        <w:rPr>
          <w:rFonts w:hint="eastAsia" w:ascii="仿宋" w:hAnsi="仿宋" w:eastAsia="仿宋" w:cs="仿宋"/>
          <w:b/>
          <w:sz w:val="32"/>
          <w:highlight w:val="none"/>
        </w:rPr>
      </w:pPr>
      <w:r>
        <w:rPr>
          <w:rFonts w:hint="eastAsia" w:ascii="仿宋" w:hAnsi="仿宋" w:eastAsia="仿宋" w:cs="仿宋"/>
          <w:b/>
          <w:sz w:val="32"/>
          <w:highlight w:val="none"/>
        </w:rPr>
        <w:t>四、开标、资格审查与信用信息查询</w:t>
      </w:r>
    </w:p>
    <w:p>
      <w:pPr>
        <w:pStyle w:val="554"/>
        <w:spacing w:before="0" w:line="360" w:lineRule="auto"/>
        <w:ind w:left="0" w:firstLine="241" w:firstLineChars="100"/>
        <w:contextualSpacing/>
        <w:rPr>
          <w:rFonts w:hint="eastAsia" w:ascii="仿宋" w:hAnsi="仿宋" w:eastAsia="仿宋" w:cs="仿宋"/>
          <w:sz w:val="24"/>
          <w:highlight w:val="none"/>
        </w:rPr>
      </w:pPr>
      <w:r>
        <w:rPr>
          <w:rFonts w:hint="eastAsia" w:ascii="仿宋" w:hAnsi="仿宋" w:eastAsia="仿宋" w:cs="仿宋"/>
          <w:b/>
          <w:sz w:val="24"/>
          <w:szCs w:val="24"/>
          <w:highlight w:val="none"/>
        </w:rPr>
        <w:t>17.开标</w:t>
      </w:r>
      <w:r>
        <w:rPr>
          <w:rFonts w:hint="eastAsia" w:ascii="仿宋" w:hAnsi="仿宋" w:eastAsia="仿宋" w:cs="仿宋"/>
          <w:sz w:val="24"/>
          <w:highlight w:val="none"/>
        </w:rPr>
        <w:t xml:space="preserve"> </w:t>
      </w:r>
    </w:p>
    <w:p>
      <w:pPr>
        <w:pStyle w:val="554"/>
        <w:spacing w:before="0" w:line="360" w:lineRule="auto"/>
        <w:ind w:left="0" w:firstLine="480" w:firstLineChars="200"/>
        <w:contextualSpacing/>
        <w:rPr>
          <w:rFonts w:hint="eastAsia" w:ascii="仿宋" w:hAnsi="仿宋" w:eastAsia="仿宋" w:cs="仿宋"/>
          <w:sz w:val="24"/>
          <w:highlight w:val="none"/>
        </w:rPr>
      </w:pPr>
      <w:r>
        <w:rPr>
          <w:rFonts w:hint="eastAsia" w:ascii="仿宋" w:hAnsi="仿宋" w:eastAsia="仿宋" w:cs="仿宋"/>
          <w:sz w:val="24"/>
          <w:highlight w:val="none"/>
        </w:rPr>
        <w:t>17.1采购代理机构按照交易文件规定的时间通过电子交易平台组织开标，所有供应商均应当准时在线参加。供应商不足3家的，不得开标。</w:t>
      </w:r>
    </w:p>
    <w:p>
      <w:pPr>
        <w:pStyle w:val="554"/>
        <w:spacing w:before="0" w:line="360" w:lineRule="auto"/>
        <w:ind w:left="0" w:firstLine="480" w:firstLineChars="200"/>
        <w:contextualSpacing/>
        <w:rPr>
          <w:rFonts w:hint="eastAsia" w:ascii="仿宋" w:hAnsi="仿宋" w:eastAsia="仿宋" w:cs="仿宋"/>
          <w:sz w:val="24"/>
          <w:highlight w:val="none"/>
        </w:rPr>
      </w:pPr>
      <w:r>
        <w:rPr>
          <w:rFonts w:hint="eastAsia" w:ascii="仿宋" w:hAnsi="仿宋" w:eastAsia="仿宋" w:cs="仿宋"/>
          <w:sz w:val="24"/>
          <w:highlight w:val="none"/>
        </w:rPr>
        <w:t>17.2开标时，电子交易平台按开标时间自动提取所有响应文件。采购代理机构依托电子交易平台发起开始解密指令，供应商按照平台提示和交易文件的规定在半小时内完成在线解密。</w:t>
      </w:r>
    </w:p>
    <w:p>
      <w:pPr>
        <w:pStyle w:val="554"/>
        <w:spacing w:before="0" w:line="360" w:lineRule="auto"/>
        <w:ind w:left="0" w:firstLine="480" w:firstLineChars="200"/>
        <w:contextualSpacing/>
        <w:rPr>
          <w:rFonts w:hint="eastAsia" w:ascii="仿宋" w:hAnsi="仿宋" w:eastAsia="仿宋" w:cs="仿宋"/>
          <w:b/>
          <w:sz w:val="24"/>
          <w:highlight w:val="none"/>
        </w:rPr>
      </w:pPr>
      <w:r>
        <w:rPr>
          <w:rFonts w:hint="eastAsia" w:ascii="仿宋" w:hAnsi="仿宋" w:eastAsia="仿宋" w:cs="仿宋"/>
          <w:sz w:val="24"/>
          <w:highlight w:val="none"/>
        </w:rPr>
        <w:t>17.3响应文件未按时解密，供应商提供了备份响应文件的，以备份响应文件作为依据，否则视为响应文件撤回。响应文件已按时解密的，备份响应文件自动失效。</w:t>
      </w:r>
    </w:p>
    <w:p>
      <w:pPr>
        <w:widowControl/>
        <w:spacing w:before="100" w:beforeAutospacing="1" w:after="240" w:line="360" w:lineRule="auto"/>
        <w:jc w:val="left"/>
        <w:rPr>
          <w:rFonts w:hint="eastAsia" w:ascii="仿宋" w:hAnsi="仿宋" w:eastAsia="仿宋" w:cs="仿宋"/>
          <w:b/>
          <w:sz w:val="24"/>
          <w:szCs w:val="20"/>
          <w:highlight w:val="none"/>
        </w:rPr>
      </w:pPr>
      <w:r>
        <w:rPr>
          <w:rFonts w:hint="eastAsia" w:ascii="仿宋" w:hAnsi="仿宋" w:eastAsia="仿宋" w:cs="仿宋"/>
          <w:b/>
          <w:sz w:val="24"/>
          <w:szCs w:val="20"/>
          <w:highlight w:val="none"/>
        </w:rPr>
        <w:t>18、资格审查</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18.1开标后，采购人将依据法律法规和交易文件的规定，对供应商的资格进行审查。</w:t>
      </w:r>
    </w:p>
    <w:p>
      <w:pPr>
        <w:pStyle w:val="128"/>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18.2供应商未按照交易文件要求提供与</w:t>
      </w:r>
      <w:r>
        <w:rPr>
          <w:rFonts w:hint="eastAsia" w:ascii="仿宋" w:hAnsi="仿宋" w:eastAsia="仿宋" w:cs="仿宋"/>
          <w:highlight w:val="none"/>
        </w:rPr>
        <w:t>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rPr>
        <w:t>供应商不具备交易文件中规定的资格要求，其投标无效。</w:t>
      </w:r>
    </w:p>
    <w:p>
      <w:pPr>
        <w:pStyle w:val="128"/>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18.</w:t>
      </w:r>
      <w:r>
        <w:rPr>
          <w:rFonts w:hint="eastAsia" w:ascii="仿宋" w:hAnsi="仿宋" w:eastAsia="仿宋" w:cs="仿宋"/>
          <w:highlight w:val="none"/>
        </w:rPr>
        <w:t>3对未通过资格审查的供应商，告知其未通过的原因。</w:t>
      </w:r>
    </w:p>
    <w:p>
      <w:pPr>
        <w:pStyle w:val="128"/>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18.</w:t>
      </w:r>
      <w:r>
        <w:rPr>
          <w:rFonts w:hint="eastAsia" w:ascii="仿宋" w:hAnsi="仿宋" w:eastAsia="仿宋" w:cs="仿宋"/>
          <w:highlight w:val="none"/>
        </w:rPr>
        <w:t>4合格供应商不足3家的，不再评审。</w:t>
      </w:r>
    </w:p>
    <w:p>
      <w:pPr>
        <w:pStyle w:val="128"/>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19、信用信息查询</w:t>
      </w:r>
    </w:p>
    <w:p>
      <w:pPr>
        <w:pStyle w:val="128"/>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19.1信用信息查询渠道及截止时间：采购人将在资格审查时通过“信用中国”网站(www.creditchina.gov.cn)、中国政府采购网(www.ccgp.gov.cn)渠道查询供应商接受资格时的信用记录。</w:t>
      </w:r>
    </w:p>
    <w:p>
      <w:pPr>
        <w:pStyle w:val="128"/>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19.2信用信息查询记录和证据留存的具体方式：现场查询的供应商的信用记录、查询结果经确认后将与采购文件一起存档。</w:t>
      </w:r>
    </w:p>
    <w:p>
      <w:pPr>
        <w:pStyle w:val="128"/>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19.3信用信息的使用规则：经查询列入失信被执行人名单、重大税收违法案件当事人名单、政府采购严重违法失信行为记录名单的供应商将被拒绝参与政府采购活动。</w:t>
      </w:r>
    </w:p>
    <w:p>
      <w:pPr>
        <w:pStyle w:val="128"/>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highlight w:val="none"/>
        </w:rPr>
        <w:t>。</w:t>
      </w:r>
    </w:p>
    <w:p>
      <w:pPr>
        <w:pStyle w:val="128"/>
        <w:spacing w:before="0"/>
        <w:ind w:firstLine="0" w:firstLineChars="0"/>
        <w:rPr>
          <w:rFonts w:hint="eastAsia" w:ascii="仿宋" w:hAnsi="仿宋" w:eastAsia="仿宋" w:cs="仿宋"/>
          <w:kern w:val="0"/>
          <w:szCs w:val="24"/>
          <w:highlight w:val="none"/>
        </w:rPr>
      </w:pPr>
    </w:p>
    <w:p>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五、评审</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20.</w:t>
      </w:r>
      <w:r>
        <w:rPr>
          <w:rFonts w:hint="eastAsia" w:ascii="仿宋" w:hAnsi="仿宋" w:eastAsia="仿宋" w:cs="仿宋"/>
          <w:highlight w:val="none"/>
        </w:rPr>
        <w:t xml:space="preserve"> </w:t>
      </w:r>
      <w:r>
        <w:rPr>
          <w:rFonts w:hint="eastAsia" w:ascii="仿宋" w:hAnsi="仿宋" w:eastAsia="仿宋" w:cs="仿宋"/>
          <w:sz w:val="24"/>
          <w:highlight w:val="none"/>
        </w:rPr>
        <w:t>评审委员会将根据交易文件和有关规定，履行评审工作职责，并按照评审方法及评分标准，全面衡量各供应商对交易文件的响应情况。对实质上响应交易文件的供应商，按照评审因素的量化指标排出推荐中标的供应商的先后顺序，并按顺序提出授标建议。</w:t>
      </w:r>
      <w:r>
        <w:rPr>
          <w:rFonts w:hint="eastAsia" w:ascii="仿宋" w:hAnsi="仿宋" w:eastAsia="仿宋" w:cs="仿宋"/>
          <w:b/>
          <w:sz w:val="24"/>
          <w:highlight w:val="none"/>
        </w:rPr>
        <w:t>详见交易文件第四部分评审办法。</w:t>
      </w:r>
    </w:p>
    <w:p>
      <w:pPr>
        <w:spacing w:line="360" w:lineRule="auto"/>
        <w:rPr>
          <w:rFonts w:hint="eastAsia" w:ascii="仿宋" w:hAnsi="仿宋" w:eastAsia="仿宋" w:cs="仿宋"/>
          <w:b/>
          <w:sz w:val="24"/>
          <w:highlight w:val="none"/>
        </w:rPr>
      </w:pPr>
    </w:p>
    <w:p>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六、定标</w:t>
      </w:r>
    </w:p>
    <w:p>
      <w:pPr>
        <w:pStyle w:val="25"/>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21. 确定中标供应商</w:t>
      </w:r>
    </w:p>
    <w:p>
      <w:pPr>
        <w:pStyle w:val="128"/>
        <w:snapToGrid w:val="0"/>
        <w:spacing w:before="0"/>
        <w:ind w:firstLine="480"/>
        <w:rPr>
          <w:rFonts w:hint="eastAsia" w:ascii="仿宋" w:hAnsi="仿宋" w:eastAsia="仿宋" w:cs="仿宋"/>
          <w:b/>
          <w:szCs w:val="24"/>
          <w:highlight w:val="none"/>
        </w:rPr>
      </w:pPr>
      <w:r>
        <w:rPr>
          <w:rFonts w:hint="eastAsia" w:ascii="仿宋" w:hAnsi="仿宋" w:eastAsia="仿宋" w:cs="仿宋"/>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成交）候选人撤销投标（响应）文件不能成为采购人不确认采购结果的正当理由。中标、成交通知书和中标、成交结果公告应当在规定时间内同时发出。</w:t>
      </w:r>
    </w:p>
    <w:p>
      <w:pPr>
        <w:pStyle w:val="128"/>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22. 中标通知与中标结果公告</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22.1自中标人确定之日起2个工作日内，采购代理机构通过电子交易平台向中标人发出中标通知书，同时编制发布采购结果公告。采购代理机构也可以以纸质形式进行中标通知。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22.2中标结果公告内容包括采购人及其委托的采购代理机构的名称、地址、联系方式，项目名称和项目编号，中标人名称、地址和中标金额，主要中标标的的名称、规格型号、数量、单价、服务要求，开标记录、</w:t>
      </w:r>
      <w:bookmarkStart w:id="18" w:name="_Hlk101184471"/>
      <w:r>
        <w:rPr>
          <w:rFonts w:hint="eastAsia" w:ascii="仿宋" w:hAnsi="仿宋" w:eastAsia="仿宋" w:cs="仿宋"/>
          <w:sz w:val="24"/>
          <w:highlight w:val="none"/>
        </w:rPr>
        <w:t>资格审查情况、评审专家抽取规则、符合性审查情况、</w:t>
      </w:r>
      <w:bookmarkEnd w:id="18"/>
      <w:r>
        <w:rPr>
          <w:rFonts w:hint="eastAsia" w:ascii="仿宋" w:hAnsi="仿宋" w:eastAsia="仿宋" w:cs="仿宋"/>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22.3公告期限为1个工作日。</w:t>
      </w:r>
    </w:p>
    <w:p>
      <w:pPr>
        <w:pStyle w:val="25"/>
        <w:rPr>
          <w:rFonts w:hint="eastAsia" w:ascii="仿宋" w:hAnsi="仿宋" w:eastAsia="仿宋" w:cs="仿宋"/>
          <w:highlight w:val="none"/>
        </w:rPr>
      </w:pPr>
    </w:p>
    <w:p>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七、合同授予</w:t>
      </w:r>
    </w:p>
    <w:p>
      <w:pPr>
        <w:pStyle w:val="25"/>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23. 合同的签订</w:t>
      </w:r>
    </w:p>
    <w:p>
      <w:pPr>
        <w:widowControl/>
        <w:shd w:val="clear" w:color="auto" w:fill="FFFFFF"/>
        <w:spacing w:line="360" w:lineRule="auto"/>
        <w:ind w:firstLine="480"/>
        <w:jc w:val="left"/>
        <w:rPr>
          <w:rFonts w:hint="eastAsia" w:ascii="仿宋" w:hAnsi="仿宋" w:eastAsia="仿宋" w:cs="仿宋"/>
          <w:kern w:val="0"/>
          <w:sz w:val="24"/>
          <w:highlight w:val="none"/>
        </w:rPr>
      </w:pPr>
      <w:r>
        <w:rPr>
          <w:rFonts w:hint="eastAsia" w:ascii="仿宋" w:hAnsi="仿宋" w:eastAsia="仿宋" w:cs="仿宋"/>
          <w:sz w:val="24"/>
          <w:highlight w:val="none"/>
        </w:rPr>
        <w:t>23.1</w:t>
      </w:r>
      <w:r>
        <w:rPr>
          <w:rFonts w:hint="eastAsia" w:ascii="仿宋" w:hAnsi="仿宋" w:eastAsia="仿宋" w:cs="仿宋"/>
          <w:kern w:val="0"/>
          <w:sz w:val="24"/>
          <w:highlight w:val="none"/>
        </w:rPr>
        <w:t xml:space="preserve"> 采购人与中标人应当在中标通知书发出之日起30个工作日内，与中标供应商按照采购文件确定的事项签订采购合同。</w:t>
      </w:r>
    </w:p>
    <w:p>
      <w:pPr>
        <w:pStyle w:val="128"/>
        <w:snapToGrid w:val="0"/>
        <w:spacing w:before="0"/>
        <w:ind w:firstLine="480"/>
        <w:rPr>
          <w:rFonts w:hint="eastAsia" w:ascii="仿宋" w:hAnsi="仿宋" w:eastAsia="仿宋" w:cs="仿宋"/>
          <w:kern w:val="0"/>
          <w:highlight w:val="none"/>
        </w:rPr>
      </w:pPr>
      <w:r>
        <w:rPr>
          <w:rFonts w:hint="eastAsia" w:ascii="仿宋" w:hAnsi="仿宋" w:eastAsia="仿宋" w:cs="仿宋"/>
          <w:kern w:val="0"/>
          <w:highlight w:val="none"/>
          <w:lang w:val="zh-CN"/>
        </w:rPr>
        <w:t>2</w:t>
      </w:r>
      <w:r>
        <w:rPr>
          <w:rFonts w:hint="eastAsia" w:ascii="仿宋" w:hAnsi="仿宋" w:eastAsia="仿宋" w:cs="仿宋"/>
          <w:kern w:val="0"/>
          <w:highlight w:val="none"/>
        </w:rPr>
        <w:t>3</w:t>
      </w:r>
      <w:r>
        <w:rPr>
          <w:rFonts w:hint="eastAsia" w:ascii="仿宋" w:hAnsi="仿宋" w:eastAsia="仿宋" w:cs="仿宋"/>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23.3如签订合同并生效后，供应商无故拒绝或延期，除按照合同条款处理外，列入不良行为记录一次，并给予通报。</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23.4中标供应商拒绝与采购人签订合同的，采购人可以按照评审报告推荐的中标或者成交候选人名单排序，确定下一候选人为中标供应商，也可以重新开展政府采购活动。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hint="eastAsia" w:ascii="仿宋" w:hAnsi="仿宋" w:eastAsia="仿宋" w:cs="仿宋"/>
          <w:highlight w:val="none"/>
        </w:rPr>
      </w:pPr>
      <w:r>
        <w:rPr>
          <w:rFonts w:hint="eastAsia" w:ascii="仿宋" w:hAnsi="仿宋" w:eastAsia="仿宋" w:cs="仿宋"/>
          <w:highlight w:val="none"/>
        </w:rPr>
        <w:t>23.5采购合同由采购人与中标供应商根据交易文件、响应文件等内容线签订。</w:t>
      </w:r>
    </w:p>
    <w:p>
      <w:pPr>
        <w:pStyle w:val="128"/>
        <w:snapToGrid w:val="0"/>
        <w:spacing w:before="0" w:after="120"/>
        <w:ind w:firstLine="480"/>
        <w:rPr>
          <w:rFonts w:hint="eastAsia" w:ascii="仿宋" w:hAnsi="仿宋" w:eastAsia="仿宋" w:cs="仿宋"/>
          <w:highlight w:val="none"/>
        </w:rPr>
      </w:pPr>
    </w:p>
    <w:p>
      <w:pPr>
        <w:pStyle w:val="25"/>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24. 履约保证金</w:t>
      </w:r>
    </w:p>
    <w:p>
      <w:pPr>
        <w:tabs>
          <w:tab w:val="left" w:pos="0"/>
        </w:tabs>
        <w:spacing w:line="360" w:lineRule="auto"/>
        <w:ind w:firstLine="482"/>
        <w:rPr>
          <w:rFonts w:hint="eastAsia" w:ascii="仿宋" w:hAnsi="仿宋" w:eastAsia="仿宋" w:cs="仿宋"/>
          <w:b/>
          <w:sz w:val="24"/>
          <w:highlight w:val="none"/>
        </w:rPr>
      </w:pPr>
      <w:r>
        <w:rPr>
          <w:rFonts w:hint="eastAsia" w:ascii="仿宋" w:hAnsi="仿宋" w:eastAsia="仿宋" w:cs="仿宋"/>
          <w:kern w:val="0"/>
          <w:sz w:val="24"/>
          <w:highlight w:val="none"/>
        </w:rPr>
        <w:t>本项目不收取履约保证金。</w:t>
      </w:r>
    </w:p>
    <w:p>
      <w:pPr>
        <w:snapToGrid w:val="0"/>
        <w:spacing w:line="360" w:lineRule="auto"/>
        <w:ind w:firstLine="3357" w:firstLineChars="1045"/>
        <w:rPr>
          <w:rFonts w:hint="eastAsia" w:ascii="仿宋" w:hAnsi="仿宋" w:eastAsia="仿宋" w:cs="仿宋"/>
          <w:b/>
          <w:sz w:val="32"/>
          <w:highlight w:val="none"/>
        </w:rPr>
      </w:pPr>
    </w:p>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32"/>
          <w:highlight w:val="none"/>
        </w:rPr>
        <w:t>八、电子交易活动的中止</w:t>
      </w:r>
    </w:p>
    <w:p>
      <w:pPr>
        <w:pStyle w:val="128"/>
        <w:snapToGrid w:val="0"/>
        <w:spacing w:before="0"/>
        <w:ind w:firstLine="0" w:firstLineChars="0"/>
        <w:rPr>
          <w:rFonts w:hint="eastAsia" w:ascii="仿宋" w:hAnsi="仿宋" w:eastAsia="仿宋" w:cs="仿宋"/>
          <w:highlight w:val="none"/>
        </w:rPr>
      </w:pPr>
      <w:r>
        <w:rPr>
          <w:rFonts w:hint="eastAsia" w:ascii="仿宋" w:hAnsi="仿宋" w:eastAsia="仿宋" w:cs="仿宋"/>
          <w:b/>
          <w:bCs/>
          <w:highlight w:val="none"/>
        </w:rPr>
        <w:t>2</w:t>
      </w:r>
      <w:r>
        <w:rPr>
          <w:rFonts w:hint="eastAsia" w:ascii="仿宋" w:hAnsi="仿宋" w:eastAsia="仿宋" w:cs="仿宋"/>
          <w:b/>
          <w:bCs/>
          <w:szCs w:val="24"/>
          <w:highlight w:val="none"/>
        </w:rPr>
        <w:t>5</w:t>
      </w:r>
      <w:r>
        <w:rPr>
          <w:rFonts w:hint="eastAsia" w:ascii="仿宋" w:hAnsi="仿宋" w:eastAsia="仿宋" w:cs="仿宋"/>
          <w:b/>
          <w:szCs w:val="24"/>
          <w:highlight w:val="none"/>
        </w:rPr>
        <w:t>. 电子交易活动的中止。</w:t>
      </w:r>
      <w:r>
        <w:rPr>
          <w:rFonts w:hint="eastAsia" w:ascii="仿宋" w:hAnsi="仿宋" w:eastAsia="仿宋" w:cs="仿宋"/>
          <w:highlight w:val="none"/>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25.1电子交易平台发生故障而无法登录访问的； </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25.2电子交易平台应用或数据库出现错误，不能进行正常操作的；</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25.3电子交易平台发现严重安全漏洞，有潜在泄密危险的；</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25.4病毒发作导致不能进行正常操作的； </w:t>
      </w:r>
    </w:p>
    <w:p>
      <w:pPr>
        <w:pStyle w:val="128"/>
        <w:snapToGrid w:val="0"/>
        <w:spacing w:before="0"/>
        <w:ind w:firstLine="480"/>
        <w:rPr>
          <w:rFonts w:hint="eastAsia" w:ascii="仿宋" w:hAnsi="仿宋" w:eastAsia="仿宋" w:cs="仿宋"/>
          <w:highlight w:val="none"/>
        </w:rPr>
      </w:pPr>
      <w:r>
        <w:rPr>
          <w:rFonts w:hint="eastAsia" w:ascii="仿宋" w:hAnsi="仿宋" w:eastAsia="仿宋" w:cs="仿宋"/>
          <w:highlight w:val="none"/>
        </w:rPr>
        <w:t>25.5其他无法保证电子交易的公平、公正和安全的情况。</w:t>
      </w:r>
    </w:p>
    <w:p>
      <w:pPr>
        <w:pStyle w:val="128"/>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rPr>
        <w:t xml:space="preserve"> 26.出现以上情形，不影响采购公平、公正性的，采购组织机构可以待上述情形消除后继续组织电子交易活动，也可以决定某些环节以纸质形式进行；影响或可能影响采购公平、公正性的，应当重新采购。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sz w:val="24"/>
          <w:highlight w:val="none"/>
        </w:rPr>
      </w:pPr>
    </w:p>
    <w:p>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九、验收</w:t>
      </w:r>
    </w:p>
    <w:p>
      <w:pPr>
        <w:pStyle w:val="25"/>
        <w:spacing w:line="360" w:lineRule="auto"/>
        <w:ind w:firstLine="0" w:firstLineChars="0"/>
        <w:rPr>
          <w:rFonts w:hint="eastAsia" w:ascii="仿宋" w:hAnsi="仿宋" w:eastAsia="仿宋" w:cs="仿宋"/>
          <w:b/>
          <w:highlight w:val="none"/>
        </w:rPr>
      </w:pPr>
      <w:r>
        <w:rPr>
          <w:rFonts w:hint="eastAsia" w:ascii="仿宋" w:hAnsi="仿宋" w:eastAsia="仿宋" w:cs="仿宋"/>
          <w:b/>
          <w:highlight w:val="none"/>
        </w:rPr>
        <w:t>27.验收</w:t>
      </w:r>
    </w:p>
    <w:p>
      <w:pPr>
        <w:tabs>
          <w:tab w:val="left" w:pos="0"/>
        </w:tabs>
        <w:spacing w:line="360" w:lineRule="auto"/>
        <w:ind w:firstLine="480"/>
        <w:rPr>
          <w:rFonts w:hint="eastAsia" w:ascii="仿宋" w:hAnsi="仿宋" w:eastAsia="仿宋" w:cs="仿宋"/>
          <w:sz w:val="24"/>
          <w:highlight w:val="none"/>
        </w:rPr>
      </w:pPr>
      <w:r>
        <w:rPr>
          <w:rFonts w:hint="eastAsia" w:ascii="仿宋" w:hAnsi="仿宋" w:eastAsia="仿宋" w:cs="仿宋"/>
          <w:kern w:val="0"/>
          <w:sz w:val="24"/>
          <w:highlight w:val="none"/>
        </w:rPr>
        <w:t>27.1采购人组织对供应商履约的验收。</w:t>
      </w:r>
    </w:p>
    <w:bookmarkEnd w:id="15"/>
    <w:p>
      <w:pPr>
        <w:tabs>
          <w:tab w:val="left" w:pos="0"/>
        </w:tabs>
        <w:spacing w:line="360" w:lineRule="auto"/>
        <w:ind w:firstLine="480"/>
        <w:rPr>
          <w:rFonts w:hint="eastAsia" w:ascii="仿宋" w:hAnsi="仿宋" w:eastAsia="仿宋" w:cs="仿宋"/>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68072998"/>
      <w:bookmarkEnd w:id="19"/>
      <w:bookmarkStart w:id="20" w:name="_Hlt74729768"/>
      <w:bookmarkEnd w:id="20"/>
      <w:bookmarkStart w:id="21" w:name="_Hlt68073093"/>
      <w:bookmarkEnd w:id="21"/>
      <w:bookmarkStart w:id="22" w:name="_Hlt68057669"/>
      <w:bookmarkEnd w:id="22"/>
      <w:bookmarkStart w:id="23" w:name="_Hlt75236011"/>
      <w:bookmarkEnd w:id="23"/>
      <w:bookmarkStart w:id="24" w:name="_Hlt75236101"/>
      <w:bookmarkEnd w:id="24"/>
      <w:bookmarkStart w:id="25" w:name="_Hlt74730295"/>
      <w:bookmarkEnd w:id="25"/>
      <w:bookmarkStart w:id="26" w:name="_Hlt74707468"/>
      <w:bookmarkEnd w:id="26"/>
      <w:bookmarkStart w:id="27" w:name="_Hlt68403820"/>
      <w:bookmarkEnd w:id="27"/>
      <w:bookmarkStart w:id="28" w:name="_Hlt68072990"/>
      <w:bookmarkEnd w:id="28"/>
      <w:bookmarkStart w:id="29" w:name="_Hlt74714665"/>
      <w:bookmarkEnd w:id="29"/>
      <w:bookmarkStart w:id="30" w:name="_Hlt75236290"/>
      <w:bookmarkEnd w:id="30"/>
    </w:p>
    <w:bookmarkEnd w:id="16"/>
    <w:bookmarkEnd w:id="17"/>
    <w:p>
      <w:pPr>
        <w:spacing w:line="360" w:lineRule="auto"/>
        <w:jc w:val="center"/>
        <w:outlineLvl w:val="0"/>
        <w:rPr>
          <w:rFonts w:hint="eastAsia" w:ascii="仿宋" w:hAnsi="仿宋" w:eastAsia="仿宋" w:cs="仿宋"/>
          <w:b/>
          <w:sz w:val="24"/>
          <w:highlight w:val="none"/>
        </w:rPr>
      </w:pPr>
      <w:bookmarkStart w:id="31" w:name="第四部分"/>
      <w:r>
        <w:rPr>
          <w:rFonts w:hint="eastAsia" w:ascii="仿宋" w:hAnsi="仿宋" w:eastAsia="仿宋" w:cs="仿宋"/>
          <w:b/>
          <w:sz w:val="24"/>
          <w:highlight w:val="none"/>
        </w:rPr>
        <w:t>第三部分   交易需求</w:t>
      </w:r>
    </w:p>
    <w:p>
      <w:pPr>
        <w:snapToGrid w:val="0"/>
        <w:rPr>
          <w:rStyle w:val="962"/>
          <w:rFonts w:hint="eastAsia" w:ascii="仿宋" w:hAnsi="仿宋" w:eastAsia="仿宋" w:cs="仿宋"/>
          <w:sz w:val="24"/>
          <w:highlight w:val="none"/>
        </w:rPr>
      </w:pPr>
      <w:r>
        <w:rPr>
          <w:rStyle w:val="962"/>
          <w:rFonts w:hint="eastAsia" w:ascii="仿宋" w:hAnsi="仿宋" w:eastAsia="仿宋" w:cs="仿宋"/>
          <w:sz w:val="24"/>
          <w:highlight w:val="none"/>
        </w:rPr>
        <w:t>属于实质性要求条款的，请用符号“▲”标明，否则属于非实质性要求。</w:t>
      </w:r>
    </w:p>
    <w:p>
      <w:pPr>
        <w:pStyle w:val="5"/>
        <w:ind w:left="0" w:firstLine="0"/>
        <w:rPr>
          <w:rFonts w:hint="eastAsia" w:ascii="仿宋" w:hAnsi="仿宋" w:eastAsia="仿宋" w:cs="仿宋"/>
          <w:sz w:val="24"/>
          <w:szCs w:val="24"/>
          <w:highlight w:val="none"/>
        </w:rPr>
      </w:pPr>
    </w:p>
    <w:p>
      <w:pPr>
        <w:pStyle w:val="5"/>
        <w:numPr>
          <w:ilvl w:val="0"/>
          <w:numId w:val="2"/>
        </w:numPr>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val="en-US"/>
        </w:rPr>
        <w:t>交易</w:t>
      </w:r>
      <w:r>
        <w:rPr>
          <w:rFonts w:hint="eastAsia" w:ascii="仿宋" w:hAnsi="仿宋" w:eastAsia="仿宋" w:cs="仿宋"/>
          <w:sz w:val="24"/>
          <w:szCs w:val="24"/>
          <w:highlight w:val="none"/>
        </w:rPr>
        <w:t>一览表</w:t>
      </w:r>
    </w:p>
    <w:p>
      <w:pPr>
        <w:pStyle w:val="8"/>
        <w:rPr>
          <w:rFonts w:hint="eastAsia"/>
          <w:highlight w:val="none"/>
        </w:rPr>
      </w:pPr>
      <w:r>
        <w:rPr>
          <w:rFonts w:hint="eastAsia" w:ascii="仿宋" w:hAnsi="仿宋" w:eastAsia="仿宋" w:cs="仿宋"/>
          <w:sz w:val="24"/>
          <w:szCs w:val="24"/>
          <w:highlight w:val="none"/>
        </w:rPr>
        <w:t>标项一：</w:t>
      </w:r>
    </w:p>
    <w:tbl>
      <w:tblPr>
        <w:tblStyle w:val="62"/>
        <w:tblpPr w:leftFromText="180" w:rightFromText="180" w:vertAnchor="text" w:horzAnchor="margin" w:tblpX="-242" w:tblpY="63"/>
        <w:tblOverlap w:val="never"/>
        <w:tblW w:w="9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0"/>
        <w:gridCol w:w="3429"/>
        <w:gridCol w:w="1200"/>
        <w:gridCol w:w="1044"/>
        <w:gridCol w:w="1822"/>
        <w:gridCol w:w="1000"/>
      </w:tblGrid>
      <w:tr>
        <w:trPr>
          <w:cantSplit/>
          <w:trHeight w:val="793" w:hRule="atLeast"/>
        </w:trPr>
        <w:tc>
          <w:tcPr>
            <w:tcW w:w="620" w:type="dxa"/>
            <w:tcMar>
              <w:top w:w="15" w:type="dxa"/>
              <w:left w:w="15" w:type="dxa"/>
              <w:bottom w:w="0" w:type="dxa"/>
              <w:right w:w="15" w:type="dxa"/>
            </w:tcMar>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3429" w:type="dxa"/>
            <w:tcMar>
              <w:top w:w="15" w:type="dxa"/>
              <w:left w:w="15" w:type="dxa"/>
              <w:bottom w:w="0" w:type="dxa"/>
              <w:right w:w="15" w:type="dxa"/>
            </w:tcMar>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名称</w:t>
            </w:r>
          </w:p>
        </w:tc>
        <w:tc>
          <w:tcPr>
            <w:tcW w:w="1200" w:type="dxa"/>
            <w:tcMar>
              <w:top w:w="15" w:type="dxa"/>
              <w:left w:w="15" w:type="dxa"/>
              <w:bottom w:w="0" w:type="dxa"/>
              <w:right w:w="15" w:type="dxa"/>
            </w:tcMar>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数量</w:t>
            </w:r>
          </w:p>
        </w:tc>
        <w:tc>
          <w:tcPr>
            <w:tcW w:w="1044" w:type="dxa"/>
            <w:tcMar>
              <w:top w:w="15" w:type="dxa"/>
              <w:left w:w="15" w:type="dxa"/>
              <w:bottom w:w="0" w:type="dxa"/>
              <w:right w:w="15" w:type="dxa"/>
            </w:tcMar>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单位</w:t>
            </w:r>
          </w:p>
        </w:tc>
        <w:tc>
          <w:tcPr>
            <w:tcW w:w="1822" w:type="dxa"/>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服务要求</w:t>
            </w:r>
          </w:p>
        </w:tc>
        <w:tc>
          <w:tcPr>
            <w:tcW w:w="1000" w:type="dxa"/>
            <w:vAlign w:val="center"/>
          </w:tcPr>
          <w:p>
            <w:pPr>
              <w:tabs>
                <w:tab w:val="left" w:pos="0"/>
              </w:tabs>
              <w:snapToGrid w:val="0"/>
              <w:jc w:val="center"/>
              <w:rPr>
                <w:rFonts w:hint="eastAsia" w:ascii="仿宋" w:hAnsi="仿宋" w:eastAsia="仿宋" w:cs="仿宋"/>
                <w:sz w:val="24"/>
                <w:highlight w:val="none"/>
              </w:rPr>
            </w:pPr>
            <w:r>
              <w:rPr>
                <w:rFonts w:hint="eastAsia" w:ascii="仿宋" w:hAnsi="仿宋" w:eastAsia="仿宋" w:cs="仿宋"/>
                <w:sz w:val="24"/>
                <w:highlight w:val="none"/>
              </w:rPr>
              <w:t>备注</w:t>
            </w:r>
          </w:p>
        </w:tc>
      </w:tr>
      <w:tr>
        <w:trPr>
          <w:cantSplit/>
          <w:trHeight w:val="923" w:hRule="atLeast"/>
        </w:trPr>
        <w:tc>
          <w:tcPr>
            <w:tcW w:w="620" w:type="dxa"/>
            <w:tcMar>
              <w:top w:w="15" w:type="dxa"/>
              <w:left w:w="15" w:type="dxa"/>
              <w:bottom w:w="0" w:type="dxa"/>
              <w:right w:w="15" w:type="dxa"/>
            </w:tcMar>
            <w:vAlign w:val="center"/>
          </w:tcPr>
          <w:p>
            <w:pPr>
              <w:tabs>
                <w:tab w:val="left" w:pos="0"/>
              </w:tabs>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3429" w:type="dxa"/>
            <w:tcMar>
              <w:top w:w="15" w:type="dxa"/>
              <w:left w:w="15" w:type="dxa"/>
              <w:bottom w:w="0" w:type="dxa"/>
              <w:right w:w="15" w:type="dxa"/>
            </w:tcMar>
            <w:vAlign w:val="center"/>
          </w:tcPr>
          <w:p>
            <w:pPr>
              <w:jc w:val="center"/>
              <w:textAlignment w:val="center"/>
              <w:rPr>
                <w:rFonts w:hint="eastAsia" w:ascii="仿宋" w:hAnsi="仿宋" w:eastAsia="仿宋" w:cs="仿宋"/>
                <w:sz w:val="24"/>
                <w:highlight w:val="none"/>
                <w:lang w:eastAsia="zh-CN"/>
              </w:rPr>
            </w:pPr>
            <w:r>
              <w:rPr>
                <w:rFonts w:hint="eastAsia" w:ascii="仿宋" w:hAnsi="仿宋" w:eastAsia="仿宋" w:cs="仿宋"/>
                <w:bCs/>
                <w:sz w:val="24"/>
                <w:highlight w:val="none"/>
                <w:lang w:eastAsia="zh-CN"/>
              </w:rPr>
              <w:t>萧山区数据资源管理局2025年度政务信息化项目预审服务</w:t>
            </w:r>
          </w:p>
        </w:tc>
        <w:tc>
          <w:tcPr>
            <w:tcW w:w="1200" w:type="dxa"/>
            <w:tcMar>
              <w:top w:w="15" w:type="dxa"/>
              <w:left w:w="15" w:type="dxa"/>
              <w:bottom w:w="0" w:type="dxa"/>
              <w:right w:w="15" w:type="dxa"/>
            </w:tcMar>
            <w:vAlign w:val="center"/>
          </w:tcPr>
          <w:p>
            <w:pPr>
              <w:jc w:val="center"/>
              <w:textAlignment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044" w:type="dxa"/>
            <w:tcMar>
              <w:top w:w="15" w:type="dxa"/>
              <w:left w:w="15" w:type="dxa"/>
              <w:bottom w:w="0" w:type="dxa"/>
              <w:right w:w="15" w:type="dxa"/>
            </w:tcMar>
            <w:vAlign w:val="center"/>
          </w:tcPr>
          <w:p>
            <w:pPr>
              <w:jc w:val="center"/>
              <w:textAlignment w:val="center"/>
              <w:rPr>
                <w:rFonts w:hint="eastAsia" w:ascii="仿宋" w:hAnsi="仿宋" w:eastAsia="仿宋" w:cs="仿宋"/>
                <w:sz w:val="24"/>
                <w:highlight w:val="none"/>
              </w:rPr>
            </w:pPr>
            <w:r>
              <w:rPr>
                <w:rFonts w:hint="eastAsia" w:ascii="仿宋" w:hAnsi="仿宋" w:eastAsia="仿宋" w:cs="仿宋"/>
                <w:sz w:val="24"/>
                <w:highlight w:val="none"/>
              </w:rPr>
              <w:t>项</w:t>
            </w:r>
          </w:p>
        </w:tc>
        <w:tc>
          <w:tcPr>
            <w:tcW w:w="1822" w:type="dxa"/>
            <w:vAlign w:val="center"/>
          </w:tcPr>
          <w:p>
            <w:pPr>
              <w:tabs>
                <w:tab w:val="left" w:pos="0"/>
              </w:tabs>
              <w:jc w:val="center"/>
              <w:rPr>
                <w:rFonts w:hint="eastAsia" w:ascii="仿宋" w:hAnsi="仿宋" w:eastAsia="仿宋" w:cs="仿宋"/>
                <w:sz w:val="24"/>
                <w:highlight w:val="none"/>
              </w:rPr>
            </w:pPr>
            <w:r>
              <w:rPr>
                <w:rFonts w:hint="eastAsia" w:ascii="仿宋" w:hAnsi="仿宋" w:eastAsia="仿宋" w:cs="仿宋"/>
                <w:bCs/>
                <w:sz w:val="24"/>
                <w:highlight w:val="none"/>
              </w:rPr>
              <w:t>详见招标需求</w:t>
            </w:r>
          </w:p>
        </w:tc>
        <w:tc>
          <w:tcPr>
            <w:tcW w:w="1000" w:type="dxa"/>
            <w:vAlign w:val="center"/>
          </w:tcPr>
          <w:p>
            <w:pPr>
              <w:tabs>
                <w:tab w:val="left" w:pos="0"/>
              </w:tabs>
              <w:jc w:val="center"/>
              <w:rPr>
                <w:rFonts w:hint="eastAsia" w:ascii="仿宋" w:hAnsi="仿宋" w:eastAsia="仿宋" w:cs="仿宋"/>
                <w:bCs/>
                <w:sz w:val="24"/>
                <w:highlight w:val="none"/>
              </w:rPr>
            </w:pPr>
            <w:r>
              <w:rPr>
                <w:rFonts w:hint="eastAsia" w:ascii="仿宋" w:hAnsi="仿宋" w:eastAsia="仿宋" w:cs="仿宋"/>
                <w:bCs/>
                <w:sz w:val="24"/>
                <w:highlight w:val="none"/>
              </w:rPr>
              <w:t>/</w:t>
            </w:r>
          </w:p>
        </w:tc>
      </w:tr>
    </w:tbl>
    <w:p>
      <w:pPr>
        <w:pStyle w:val="5"/>
        <w:numPr>
          <w:ilvl w:val="0"/>
          <w:numId w:val="0"/>
        </w:numPr>
        <w:ind w:leftChars="0"/>
        <w:jc w:val="both"/>
        <w:rPr>
          <w:rFonts w:hint="eastAsia" w:ascii="仿宋" w:hAnsi="仿宋" w:eastAsia="仿宋" w:cs="仿宋"/>
          <w:sz w:val="24"/>
          <w:szCs w:val="24"/>
          <w:highlight w:val="none"/>
          <w:lang w:val="en-US"/>
        </w:rPr>
      </w:pPr>
    </w:p>
    <w:p>
      <w:pPr>
        <w:pStyle w:val="5"/>
        <w:numPr>
          <w:ilvl w:val="0"/>
          <w:numId w:val="0"/>
        </w:numPr>
        <w:ind w:leftChars="0"/>
        <w:jc w:val="center"/>
        <w:rPr>
          <w:rFonts w:hint="eastAsia" w:ascii="仿宋" w:hAnsi="仿宋" w:eastAsia="仿宋" w:cs="仿宋"/>
          <w:sz w:val="24"/>
          <w:szCs w:val="24"/>
          <w:highlight w:val="none"/>
        </w:rPr>
      </w:pPr>
      <w:r>
        <w:rPr>
          <w:rFonts w:hint="eastAsia" w:ascii="仿宋" w:eastAsia="仿宋" w:cs="仿宋"/>
          <w:sz w:val="24"/>
          <w:szCs w:val="24"/>
          <w:highlight w:val="none"/>
          <w:lang w:val="en-US" w:eastAsia="zh-CN"/>
        </w:rPr>
        <w:t>二、</w:t>
      </w:r>
      <w:r>
        <w:rPr>
          <w:rFonts w:hint="eastAsia" w:ascii="仿宋" w:hAnsi="仿宋" w:eastAsia="仿宋" w:cs="仿宋"/>
          <w:sz w:val="24"/>
          <w:szCs w:val="24"/>
          <w:highlight w:val="none"/>
          <w:lang w:val="en-US"/>
        </w:rPr>
        <w:t>交易</w:t>
      </w:r>
      <w:r>
        <w:rPr>
          <w:rFonts w:hint="eastAsia" w:ascii="仿宋" w:hAnsi="仿宋" w:eastAsia="仿宋" w:cs="仿宋"/>
          <w:sz w:val="24"/>
          <w:szCs w:val="24"/>
          <w:highlight w:val="none"/>
        </w:rPr>
        <w:t>需求</w:t>
      </w:r>
    </w:p>
    <w:p>
      <w:pP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技术要求：</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项目概况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为</w:t>
      </w:r>
      <w:r>
        <w:rPr>
          <w:rFonts w:hint="eastAsia" w:ascii="仿宋" w:hAnsi="仿宋" w:eastAsia="仿宋" w:cs="仿宋"/>
          <w:bCs/>
          <w:color w:val="000000"/>
          <w:sz w:val="24"/>
          <w:szCs w:val="24"/>
          <w:highlight w:val="none"/>
        </w:rPr>
        <w:t>进一步规范</w:t>
      </w:r>
      <w:r>
        <w:rPr>
          <w:rFonts w:hint="eastAsia" w:ascii="仿宋" w:hAnsi="仿宋" w:eastAsia="仿宋" w:cs="仿宋"/>
          <w:bCs/>
          <w:color w:val="000000"/>
          <w:sz w:val="24"/>
          <w:szCs w:val="24"/>
          <w:highlight w:val="none"/>
          <w:lang w:val="en-US" w:eastAsia="zh-CN"/>
        </w:rPr>
        <w:t>萧山区</w:t>
      </w:r>
      <w:r>
        <w:rPr>
          <w:rFonts w:hint="eastAsia" w:ascii="仿宋" w:hAnsi="仿宋" w:eastAsia="仿宋" w:cs="仿宋"/>
          <w:bCs/>
          <w:color w:val="000000"/>
          <w:sz w:val="24"/>
          <w:szCs w:val="24"/>
          <w:highlight w:val="none"/>
        </w:rPr>
        <w:t>政务</w:t>
      </w:r>
      <w:r>
        <w:rPr>
          <w:rFonts w:hint="eastAsia" w:ascii="仿宋" w:hAnsi="仿宋" w:eastAsia="仿宋" w:cs="仿宋"/>
          <w:bCs/>
          <w:color w:val="000000"/>
          <w:sz w:val="24"/>
          <w:szCs w:val="24"/>
          <w:highlight w:val="none"/>
          <w:lang w:val="en-US" w:eastAsia="zh-CN"/>
        </w:rPr>
        <w:t>信息化</w:t>
      </w:r>
      <w:r>
        <w:rPr>
          <w:rFonts w:hint="eastAsia" w:ascii="仿宋" w:hAnsi="仿宋" w:eastAsia="仿宋" w:cs="仿宋"/>
          <w:bCs/>
          <w:color w:val="000000"/>
          <w:sz w:val="24"/>
          <w:szCs w:val="24"/>
          <w:highlight w:val="none"/>
        </w:rPr>
        <w:t>项目建设，提升</w:t>
      </w:r>
      <w:r>
        <w:rPr>
          <w:rFonts w:hint="eastAsia" w:ascii="仿宋" w:hAnsi="仿宋" w:eastAsia="仿宋" w:cs="仿宋"/>
          <w:bCs/>
          <w:color w:val="000000"/>
          <w:sz w:val="24"/>
          <w:szCs w:val="24"/>
          <w:highlight w:val="none"/>
          <w:lang w:val="en-US" w:eastAsia="zh-CN"/>
        </w:rPr>
        <w:t>数字化应用规范化管理，</w:t>
      </w:r>
      <w:r>
        <w:rPr>
          <w:rFonts w:hint="eastAsia" w:ascii="仿宋" w:hAnsi="仿宋" w:eastAsia="仿宋" w:cs="仿宋"/>
          <w:bCs/>
          <w:color w:val="000000"/>
          <w:sz w:val="24"/>
          <w:szCs w:val="24"/>
          <w:highlight w:val="none"/>
          <w:lang w:eastAsia="zh-CN"/>
        </w:rPr>
        <w:t>推动</w:t>
      </w:r>
      <w:r>
        <w:rPr>
          <w:rFonts w:hint="eastAsia" w:ascii="仿宋" w:hAnsi="仿宋" w:eastAsia="仿宋" w:cs="仿宋"/>
          <w:bCs/>
          <w:color w:val="000000"/>
          <w:sz w:val="24"/>
          <w:szCs w:val="24"/>
          <w:highlight w:val="none"/>
          <w:lang w:val="en-US" w:eastAsia="zh-CN"/>
        </w:rPr>
        <w:t>数字化</w:t>
      </w:r>
      <w:r>
        <w:rPr>
          <w:rFonts w:hint="eastAsia" w:ascii="仿宋" w:hAnsi="仿宋" w:eastAsia="仿宋" w:cs="仿宋"/>
          <w:bCs/>
          <w:color w:val="000000"/>
          <w:sz w:val="24"/>
          <w:szCs w:val="24"/>
          <w:highlight w:val="none"/>
          <w:lang w:eastAsia="zh-CN"/>
        </w:rPr>
        <w:t>应用真正发挥实战实效，</w:t>
      </w:r>
      <w:r>
        <w:rPr>
          <w:rFonts w:hint="eastAsia" w:ascii="仿宋" w:hAnsi="仿宋" w:eastAsia="仿宋" w:cs="仿宋"/>
          <w:bCs/>
          <w:color w:val="000000"/>
          <w:sz w:val="24"/>
          <w:szCs w:val="24"/>
          <w:highlight w:val="none"/>
          <w:lang w:val="en-US" w:eastAsia="zh-CN"/>
        </w:rPr>
        <w:t>确保项目按计划和要求进行。以专业、科学、规范的方法，对需要履行审批手续的政府直接投资、其他资金注入的项目进行预审服务。</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bookmarkStart w:id="32" w:name="_Toc168046417"/>
      <w:r>
        <w:rPr>
          <w:rFonts w:hint="eastAsia" w:ascii="仿宋" w:hAnsi="仿宋" w:eastAsia="仿宋" w:cs="仿宋"/>
          <w:b/>
          <w:bCs/>
          <w:sz w:val="24"/>
          <w:szCs w:val="24"/>
          <w:highlight w:val="none"/>
          <w:lang w:val="en-US" w:eastAsia="zh-CN"/>
        </w:rPr>
        <w:t>项目建设规范</w:t>
      </w:r>
      <w:bookmarkEnd w:id="32"/>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《国家信息化发展战略纲要》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 xml:space="preserve">《“十四五”国家信息化规划》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《国家政务信息化项目建设管理办法》（国办发〔2019〕57号）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《浙江省本级电子政务项目审批管理办法（修订）》（浙发改高技〔2024〕175 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《关于进一步加强全省电子政务项目统筹管理工作的通知》（浙数局发〔2022〕11号）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《浙江省省级电子政务项目建设指南（修订）》（浙数局发〔2023〕2号）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《浙江省电子政务项目立项专家评审工作指引》（浙数局发〔2023〕6号）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《杭州市人民政府办公厅关于印发杭州市智慧电子政务项目管理办法(试行)的通知》（杭政办函〔2015〕10号）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《关于2020年杭州市智慧电子政务项目实行全流程管理的通知》（杭智办〔2019〕20号）</w:t>
      </w:r>
    </w:p>
    <w:p>
      <w:pPr>
        <w:pStyle w:val="3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《杭州市本级政务信息化项目验收管理工作指引（试行）》</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《杭州市萧山区政务信息化项目管理办法》（萧政办发〔2023〕38号）</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
          <w:bCs/>
          <w:sz w:val="24"/>
          <w:szCs w:val="24"/>
          <w:highlight w:val="none"/>
          <w:lang w:val="en-US" w:eastAsia="zh-CN"/>
        </w:rPr>
        <w:t>服务内容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按照采购人的审查要求，在2025年度为区政务信息化项目申报材料、建设方案的预审阶段提供咨询评估服务，出具评估报告并提出相关意见建议。主要包含以下工作内容：</w:t>
      </w:r>
    </w:p>
    <w:p>
      <w:pPr>
        <w:pStyle w:val="33"/>
        <w:keepNext w:val="0"/>
        <w:keepLines w:val="0"/>
        <w:pageBreakBefore w:val="0"/>
        <w:widowControl w:val="0"/>
        <w:numPr>
          <w:ilvl w:val="0"/>
          <w:numId w:val="4"/>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sz w:val="24"/>
          <w:szCs w:val="24"/>
          <w:highlight w:val="none"/>
          <w:lang w:val="en-US" w:eastAsia="zh-CN"/>
        </w:rPr>
        <w:t>入库前审查。协助采购人对区政府信息化项目的申报材料完整性、建设依据充分性、绩效目标明确性、建设需求必要性开展形式审查；对申报项目的建设内容进行查重比对。</w:t>
      </w:r>
    </w:p>
    <w:p>
      <w:pPr>
        <w:pStyle w:val="33"/>
        <w:keepNext w:val="0"/>
        <w:keepLines w:val="0"/>
        <w:pageBreakBefore w:val="0"/>
        <w:widowControl w:val="0"/>
        <w:numPr>
          <w:ilvl w:val="0"/>
          <w:numId w:val="4"/>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sz w:val="24"/>
          <w:szCs w:val="24"/>
          <w:highlight w:val="none"/>
          <w:lang w:val="en-US" w:eastAsia="zh-CN"/>
        </w:rPr>
        <w:t>方案预审。配合采购人做好对项目建设方案和投资估算等进行全面、客观的咨询评估。包括：</w:t>
      </w:r>
    </w:p>
    <w:p>
      <w:pPr>
        <w:pStyle w:val="33"/>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sz w:val="24"/>
          <w:szCs w:val="24"/>
          <w:highlight w:val="none"/>
          <w:lang w:val="en-US" w:eastAsia="zh-CN"/>
        </w:rPr>
        <w:t>合规性审查。评估项目的必要性；审查项目建设方案、投资概算等文件规定的建设内容、目标、预算等各环节内容一致，不存在重大差异；审查申报材料齐全、完整性。</w:t>
      </w:r>
    </w:p>
    <w:p>
      <w:pPr>
        <w:pStyle w:val="33"/>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方案内容审查。投标人在收到申报单位提交的材料后，3个工作日内完成材料框架的完整性审查，并反馈至申报单位整改。要求申报表框架内容明确清晰；项目方案各章节内容完整；国产化要求明确可控；系统填报信息需满足项目库要求，按系统审核流程环节提出不同预审意见。</w:t>
      </w:r>
    </w:p>
    <w:p>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技术可行性及安全可靠性审查。协助审查申报单位项目立项必要性、方案内容合理性、技术方案可行性、安全可靠性、投资预算合理性以及经济和社会效益等方面提出科学、合理的意见和建议，为项目投资立项提供决策支持，为申报单位修改完善建设方案提供咨询服务。出具需求评估审核意见。</w:t>
      </w:r>
    </w:p>
    <w:p>
      <w:pPr>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概算合理性审查。投标人需按照建设方案和投资概算，根据项目特点，通过科学专业的评估方法，判断应用软件的价格是否与功能匹配、基础设施设备参数价格是否必要和合理，对项目造价进行分析、计算和判断，最终形成评估结论。</w:t>
      </w:r>
    </w:p>
    <w:p>
      <w:pPr>
        <w:spacing w:line="360" w:lineRule="auto"/>
        <w:ind w:firstLine="480" w:firstLineChars="200"/>
        <w:outlineLvl w:val="9"/>
        <w:rPr>
          <w:rFonts w:hint="eastAsia" w:ascii="仿宋" w:hAnsi="仿宋" w:eastAsia="仿宋" w:cs="仿宋"/>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5）方案跟踪整改。投标人需复核项目按意见修改完善的建设方案，针对未修改完善的提出整改意见，推动项目申报单位整改落实。</w:t>
      </w:r>
    </w:p>
    <w:p>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申报管理体系优化</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按照采购人的要求，梳理、分类归纳各项申报内容，修订形成科学、合理、规范的项目申报方案模板，确保项目相关重点信息在方案中完全体现。在已有申报模板的基础上，完善项目绩效目标章节，支撑后续绩效评价工作的有序开展；优化网络安全章节，明确项目是否落实安全可靠原则和国产化适配；优化运维管理章节，初步制定建设项目的运维费用、内容和运维时长及要求。结合萧山区现有项目基础，从现状分析、需求合理性、投资估算、文本规范性、效益分析等制定需求评估规则。</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产出成果</w:t>
      </w:r>
    </w:p>
    <w:p>
      <w:pPr>
        <w:pStyle w:val="699"/>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val="0"/>
          <w:bCs/>
          <w:color w:val="000000"/>
          <w:sz w:val="24"/>
          <w:szCs w:val="24"/>
          <w:highlight w:val="none"/>
          <w:lang w:val="en-US" w:eastAsia="zh-CN"/>
        </w:rPr>
        <w:t>投标人应提交包含但不仅限于以下成果，最终以采购人确定的成果物及相应名称为准，主要包括：</w:t>
      </w:r>
      <w:r>
        <w:rPr>
          <w:rFonts w:hint="eastAsia" w:ascii="仿宋" w:hAnsi="仿宋" w:eastAsia="仿宋" w:cs="仿宋"/>
          <w:bCs/>
          <w:color w:val="000000"/>
          <w:sz w:val="24"/>
          <w:szCs w:val="24"/>
          <w:highlight w:val="none"/>
          <w:lang w:val="en-US" w:eastAsia="zh-CN"/>
        </w:rPr>
        <w:t>《</w:t>
      </w:r>
      <w:r>
        <w:rPr>
          <w:rFonts w:hint="eastAsia" w:ascii="仿宋" w:hAnsi="仿宋" w:eastAsia="仿宋" w:cs="仿宋"/>
          <w:bCs/>
          <w:color w:val="000000"/>
          <w:sz w:val="24"/>
          <w:szCs w:val="24"/>
          <w:highlight w:val="none"/>
          <w:lang w:val="en-US" w:eastAsia="zh-CN"/>
        </w:rPr>
        <w:t>入库前审查意见表》</w:t>
      </w:r>
      <w:r>
        <w:rPr>
          <w:rFonts w:hint="eastAsia" w:ascii="仿宋" w:hAnsi="仿宋" w:eastAsia="仿宋" w:cs="仿宋"/>
          <w:bCs/>
          <w:color w:val="000000"/>
          <w:sz w:val="24"/>
          <w:szCs w:val="24"/>
          <w:highlight w:val="none"/>
          <w:lang w:val="en-US" w:eastAsia="zh-CN"/>
        </w:rPr>
        <w:t>《项目预审意见》《项目预审报告》《预审明细表》《预算审核总表》《预算审核明细表》；</w:t>
      </w:r>
      <w:r>
        <w:rPr>
          <w:rFonts w:hint="eastAsia" w:ascii="仿宋" w:hAnsi="仿宋" w:eastAsia="仿宋" w:cs="仿宋"/>
          <w:bCs/>
          <w:color w:val="000000"/>
          <w:sz w:val="24"/>
          <w:szCs w:val="24"/>
          <w:highlight w:val="none"/>
          <w:lang w:val="en-US" w:eastAsia="zh-CN"/>
        </w:rPr>
        <w:t>项目储备库准入指导性文件；申报材料模板等。</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服务要求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1.投标人应具有完善的服务保障体系，配备有足够的专业技术人员。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2.投标人在服务过程中应对本次服务所涉及的项目的其他服务内容进行回避。包括区域内经萧山区数据资源管理局立项项目的建设开发、第三方检测、监理等。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3.投标人必须与采购人签订保密协议，与其拟派本项目的服务人员签订保密协议。投标人在实际服务过程中，对采购人、建设单位提供的所有信息承担保密责任，对其拟派本项目服务人员的泄密行为承担连带法律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4.投标人具有较强的服务响应能力，如项目需要，能快速响应，1小时内到达用户现场，并提供持续有效的服务。</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人员要求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投标人应具备相关预审、咨询能力和经验，同时服务方和具体服务人员须严格遵循采购文件所列服务内容要求及规避原则。成立预审工作组，明确参与本项目的服务人员名单，服务人员名单经采购人审核确认后，不得随意更换，若由于不可控原因需中途撤换，须经采购人同意认可，替换人员的资质条件不得低于被替换人员。具体要求如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投标人应成立预审服务项目组（人员不少于5人），其中包括项目负责人1人、技术负责人1人、预审人员不少于3人。服务期内根据采购人的需求提供驻场服务，项目组成员应与所承担的任务相匹配，应具备相关服务能力和经验。项目负责人在项目关键节点要求到位率100%，在项目攻坚阶段，根据项目需要增加驻场服务人员。</w:t>
      </w:r>
    </w:p>
    <w:p>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时间要求</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收到完整齐全的项目资料后，应当在下列时间内完成预审报告：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1.信息化项目送审金额在100万元之内，从接受到需求文档、支撑材料起3 个工作日内完成；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2.信息化项目送审金额在100-500万元之内，从接受到需求文档、支撑材料起5个工作日内完成；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3.信息化项目送审金额在500-1000万元以上，从接受到需求文档、支撑材料起10个工作日内完成；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4.信息化项目送审金额在1000-3000万元以上，从接受到需求文档、支撑材料起15个工作日内完成；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 xml:space="preserve">5.信息化项目送审金额在3000万元以上，从接受到需求文档、支撑材料起30个工作日内完成。 </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kern w:val="2"/>
          <w:sz w:val="24"/>
          <w:szCs w:val="24"/>
          <w:highlight w:val="none"/>
          <w:lang w:val="en-US" w:eastAsia="zh-CN" w:bidi="ar-SA"/>
        </w:rPr>
        <w:t>如遇超大规模项目，另行协商沟通。</w:t>
      </w:r>
    </w:p>
    <w:p>
      <w:pPr>
        <w:numPr>
          <w:ilvl w:val="0"/>
          <w:numId w:val="3"/>
        </w:numPr>
        <w:spacing w:before="157" w:beforeLines="50" w:after="157" w:afterLines="50" w:line="360" w:lineRule="auto"/>
        <w:ind w:firstLine="0" w:firstLineChars="0"/>
        <w:outlineLvl w:val="9"/>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sz w:val="24"/>
          <w:szCs w:val="24"/>
          <w:highlight w:val="none"/>
          <w:lang w:val="en-US" w:eastAsia="zh-CN"/>
        </w:rPr>
        <w:t>监管处罚</w:t>
      </w:r>
    </w:p>
    <w:p>
      <w:pPr>
        <w:numPr>
          <w:ilvl w:val="-1"/>
          <w:numId w:val="0"/>
        </w:numPr>
        <w:spacing w:before="157" w:beforeLines="50" w:after="157" w:afterLines="50" w:line="360" w:lineRule="auto"/>
        <w:ind w:firstLine="480" w:firstLineChars="200"/>
        <w:outlineLvl w:val="9"/>
        <w:rPr>
          <w:rFonts w:hint="eastAsia" w:ascii="仿宋" w:hAnsi="仿宋" w:eastAsia="仿宋" w:cs="仿宋"/>
          <w:bCs/>
          <w:color w:val="000000"/>
          <w:sz w:val="24"/>
          <w:szCs w:val="24"/>
          <w:highlight w:val="none"/>
          <w:lang w:val="en-US" w:eastAsia="zh-CN"/>
        </w:rPr>
      </w:pPr>
      <w:r>
        <w:rPr>
          <w:rFonts w:hint="eastAsia" w:ascii="仿宋" w:hAnsi="仿宋" w:eastAsia="仿宋" w:cs="仿宋"/>
          <w:b w:val="0"/>
          <w:bCs w:val="0"/>
          <w:sz w:val="24"/>
          <w:szCs w:val="24"/>
          <w:highlight w:val="none"/>
          <w:lang w:val="en-US" w:eastAsia="zh-CN"/>
        </w:rPr>
        <w:t>1.</w:t>
      </w:r>
      <w:r>
        <w:rPr>
          <w:rFonts w:hint="eastAsia" w:ascii="仿宋" w:hAnsi="仿宋" w:eastAsia="仿宋" w:cs="仿宋"/>
          <w:bCs/>
          <w:color w:val="000000"/>
          <w:sz w:val="24"/>
          <w:szCs w:val="24"/>
          <w:highlight w:val="none"/>
          <w:lang w:val="en-US" w:eastAsia="zh-CN"/>
        </w:rPr>
        <w:t>服务期限内，投标人每提交一份预审报告后，采购人对投标人的服务开展满意度打分。满意度在80分以下的，每出现一次扣1000元；满意度在60分以下的，每出现一次扣2000元；满意度在60分以下出现5次及以上的，采购人有权单方面解除合同并不再支付未结算的费用。</w:t>
      </w:r>
    </w:p>
    <w:p>
      <w:pPr>
        <w:pStyle w:val="2"/>
        <w:numPr>
          <w:ilvl w:val="-1"/>
          <w:numId w:val="0"/>
        </w:num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bCs/>
          <w:color w:val="000000"/>
          <w:sz w:val="24"/>
          <w:szCs w:val="24"/>
          <w:highlight w:val="none"/>
          <w:lang w:val="en-US" w:eastAsia="zh-CN"/>
        </w:rPr>
        <w:t xml:space="preserve"> 2.服务期限内，采购人未在要求时间内提交方案预审报告的，每出现一次扣500元，如有特殊情况不能按时提交预审报告，需提前一天告知采购人，征得采购人同意后，不做处罚。</w:t>
      </w:r>
    </w:p>
    <w:p>
      <w:pPr>
        <w:pStyle w:val="2"/>
        <w:numPr>
          <w:ilvl w:val="0"/>
          <w:numId w:val="0"/>
        </w:numPr>
        <w:spacing w:line="360" w:lineRule="auto"/>
        <w:rPr>
          <w:rFonts w:hint="eastAsia" w:ascii="仿宋" w:hAnsi="仿宋" w:eastAsia="仿宋" w:cs="仿宋"/>
          <w:bCs/>
          <w:color w:val="000000"/>
          <w:sz w:val="24"/>
          <w:szCs w:val="24"/>
          <w:highlight w:val="none"/>
          <w:lang w:val="en-US" w:eastAsia="zh-CN"/>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bCs/>
          <w:color w:val="000000"/>
          <w:sz w:val="24"/>
          <w:szCs w:val="24"/>
          <w:highlight w:val="none"/>
          <w:lang w:val="en-US" w:eastAsia="zh-CN"/>
        </w:rPr>
        <w:t xml:space="preserve">  3.服务期限内，如发现投标人出现下列情形之一的，采购人将根据合同或协议书的要求，对投标人违法违规等行为予以通报批评。同时采购人有权单方面解除合同并不再支付未结算的费用，并且由此产生的一切经济损失和责任全部由投标人负责：</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①提供的服务不符合国家有关规定和投标文件承诺的标准的；</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②无正当理由拒绝按照投标承诺提供服务的；</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③被投诉质疑，经证实情况属实且情形严重的；</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④擅自将业务转包或分包给其他单位或个人的；</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⑤在服务过程中徇私舞弊、滥用职权、弄虚作假、隐瞒事实真相的；</w:t>
      </w:r>
    </w:p>
    <w:p>
      <w:pPr>
        <w:pStyle w:val="2"/>
        <w:numPr>
          <w:ilvl w:val="0"/>
          <w:numId w:val="0"/>
        </w:numPr>
        <w:spacing w:line="360" w:lineRule="auto"/>
        <w:ind w:firstLine="480" w:firstLineChars="200"/>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⑥违反法律法规和合同约定的其他情形的。</w:t>
      </w:r>
    </w:p>
    <w:p>
      <w:pPr>
        <w:spacing w:line="560" w:lineRule="exact"/>
        <w:rPr>
          <w:rFonts w:hint="eastAsia" w:ascii="仿宋" w:hAnsi="仿宋" w:eastAsia="仿宋" w:cs="仿宋"/>
          <w:b/>
          <w:kern w:val="0"/>
          <w:sz w:val="24"/>
          <w:szCs w:val="20"/>
          <w:highlight w:val="none"/>
        </w:rPr>
      </w:pPr>
    </w:p>
    <w:p>
      <w:pPr>
        <w:spacing w:line="560" w:lineRule="exact"/>
        <w:rPr>
          <w:rFonts w:hint="eastAsia" w:ascii="仿宋" w:hAnsi="仿宋" w:eastAsia="仿宋" w:cs="仿宋"/>
          <w:b w:val="0"/>
          <w:bCs/>
          <w:snapToGrid w:val="0"/>
          <w:kern w:val="2"/>
          <w:szCs w:val="24"/>
          <w:highlight w:val="none"/>
          <w:lang w:val="en-US"/>
        </w:rPr>
      </w:pPr>
      <w:r>
        <w:rPr>
          <w:rFonts w:hint="eastAsia" w:ascii="仿宋" w:hAnsi="仿宋" w:eastAsia="仿宋" w:cs="仿宋"/>
          <w:b/>
          <w:kern w:val="0"/>
          <w:sz w:val="24"/>
          <w:szCs w:val="20"/>
          <w:highlight w:val="none"/>
        </w:rPr>
        <w:t>商务要求：</w:t>
      </w:r>
      <w:bookmarkStart w:id="33" w:name="_Toc51885427"/>
    </w:p>
    <w:bookmarkEnd w:id="33"/>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一、项目服务周期及地点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1.服务期：一年。在服务期内，中标单位应完成全部服务内容，提交相关工作成果。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2.服务地点：采购人指定地点。</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二、付款条件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合同签订后，采购人收到发票后15日内，在财政状况允许的情况下支付40%预付款；</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服务期满，中标单位提交所有成果物且采购人收到中标单位开具的等额发票后7个工作日内支付剩余合同款。</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三、其他要求</w:t>
      </w:r>
    </w:p>
    <w:p>
      <w:pPr>
        <w:pStyle w:val="43"/>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Chars="0" w:firstLine="480" w:firstLineChars="200"/>
        <w:textAlignment w:val="auto"/>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 xml:space="preserve"> 1.知识产权保证：中标单位同意并保证尊重任何其他第三方的知识产权及其他合法权益，承诺对其所提供的产品、服务均拥有完全的合法的权利，不会侵犯其他第三方的知识产权及其他合法权益，若因本项目所提供的产品、服务或因履行本合同导致侵犯其他第三方的知识产权及其他合法权益，所引起的全部责任由中标单位承担，如因此而造成采购方损失时，亦由中标方负责赔偿。</w:t>
      </w:r>
    </w:p>
    <w:p>
      <w:pPr>
        <w:pStyle w:val="43"/>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Chars="0" w:firstLine="480" w:firstLineChars="200"/>
        <w:textAlignment w:val="auto"/>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kern w:val="2"/>
          <w:sz w:val="24"/>
          <w:szCs w:val="24"/>
          <w:highlight w:val="none"/>
          <w:lang w:val="en-US" w:eastAsia="zh-CN" w:bidi="ar-SA"/>
        </w:rPr>
        <w:t>2.知识产权归属：本项目中包括但不仅限于所有项目资料、文字、图片、声像资料、电子数据等均归采购人所有，中标单位不得泄露和超越本项目范围使用。</w:t>
      </w:r>
    </w:p>
    <w:p>
      <w:pPr>
        <w:spacing w:line="360" w:lineRule="auto"/>
        <w:rPr>
          <w:rFonts w:hint="eastAsia" w:ascii="仿宋" w:hAnsi="仿宋" w:eastAsia="仿宋" w:cs="仿宋"/>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pStyle w:val="2"/>
        <w:rPr>
          <w:rFonts w:hint="eastAsia" w:ascii="仿宋" w:hAnsi="仿宋" w:eastAsia="仿宋" w:cs="仿宋"/>
          <w:b/>
          <w:sz w:val="24"/>
          <w:highlight w:val="none"/>
        </w:rPr>
      </w:pPr>
    </w:p>
    <w:p>
      <w:pPr>
        <w:pStyle w:val="3"/>
        <w:rPr>
          <w:rFonts w:hint="eastAsia" w:ascii="仿宋" w:hAnsi="仿宋" w:eastAsia="仿宋" w:cs="仿宋"/>
          <w:b/>
          <w:sz w:val="24"/>
          <w:highlight w:val="none"/>
        </w:rPr>
      </w:pPr>
    </w:p>
    <w:p>
      <w:pPr>
        <w:rPr>
          <w:rFonts w:hint="eastAsia" w:ascii="仿宋" w:hAnsi="仿宋" w:eastAsia="仿宋" w:cs="仿宋"/>
          <w:b/>
          <w:sz w:val="24"/>
          <w:highlight w:val="none"/>
        </w:rPr>
      </w:pPr>
    </w:p>
    <w:p>
      <w:pPr>
        <w:pStyle w:val="2"/>
        <w:rPr>
          <w:rFonts w:hint="eastAsia" w:ascii="仿宋" w:hAnsi="仿宋" w:eastAsia="仿宋" w:cs="仿宋"/>
          <w:b/>
          <w:sz w:val="24"/>
          <w:highlight w:val="none"/>
        </w:rPr>
      </w:pPr>
    </w:p>
    <w:p>
      <w:pPr>
        <w:pStyle w:val="3"/>
        <w:rPr>
          <w:rFonts w:hint="eastAsia" w:ascii="仿宋" w:hAnsi="仿宋" w:eastAsia="仿宋" w:cs="仿宋"/>
          <w:b/>
          <w:sz w:val="24"/>
          <w:highlight w:val="none"/>
        </w:rPr>
      </w:pPr>
    </w:p>
    <w:p>
      <w:pPr>
        <w:rPr>
          <w:rFonts w:hint="eastAsia" w:ascii="仿宋" w:hAnsi="仿宋" w:eastAsia="仿宋" w:cs="仿宋"/>
          <w:b/>
          <w:sz w:val="24"/>
          <w:highlight w:val="none"/>
        </w:rPr>
      </w:pPr>
    </w:p>
    <w:p>
      <w:pPr>
        <w:pStyle w:val="2"/>
        <w:rPr>
          <w:rFonts w:hint="eastAsia" w:ascii="仿宋" w:hAnsi="仿宋" w:eastAsia="仿宋" w:cs="仿宋"/>
          <w:b/>
          <w:sz w:val="24"/>
          <w:highlight w:val="none"/>
        </w:rPr>
      </w:pPr>
    </w:p>
    <w:p>
      <w:pPr>
        <w:pStyle w:val="3"/>
        <w:rPr>
          <w:rFonts w:hint="eastAsia" w:ascii="仿宋" w:hAnsi="仿宋" w:eastAsia="仿宋" w:cs="仿宋"/>
          <w:b/>
          <w:sz w:val="24"/>
          <w:highlight w:val="none"/>
        </w:rPr>
      </w:pPr>
    </w:p>
    <w:p>
      <w:pPr>
        <w:rPr>
          <w:rFonts w:hint="eastAsia" w:ascii="仿宋" w:hAnsi="仿宋" w:eastAsia="仿宋" w:cs="仿宋"/>
          <w:b/>
          <w:sz w:val="24"/>
          <w:highlight w:val="none"/>
        </w:rPr>
      </w:pPr>
    </w:p>
    <w:p>
      <w:pPr>
        <w:pStyle w:val="2"/>
        <w:rPr>
          <w:rFonts w:hint="eastAsia" w:ascii="仿宋" w:hAnsi="仿宋" w:eastAsia="仿宋" w:cs="仿宋"/>
          <w:b/>
          <w:sz w:val="24"/>
          <w:highlight w:val="none"/>
        </w:rPr>
      </w:pPr>
    </w:p>
    <w:p>
      <w:pPr>
        <w:pStyle w:val="3"/>
        <w:rPr>
          <w:rFonts w:hint="eastAsia"/>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p>
    <w:p>
      <w:pPr>
        <w:spacing w:line="360" w:lineRule="auto"/>
        <w:jc w:val="center"/>
        <w:outlineLvl w:val="0"/>
        <w:rPr>
          <w:rFonts w:hint="eastAsia" w:ascii="仿宋" w:hAnsi="仿宋" w:eastAsia="仿宋" w:cs="仿宋"/>
          <w:b/>
          <w:sz w:val="24"/>
          <w:highlight w:val="none"/>
        </w:rPr>
      </w:pPr>
      <w:r>
        <w:rPr>
          <w:rFonts w:hint="eastAsia" w:ascii="仿宋" w:hAnsi="仿宋" w:eastAsia="仿宋" w:cs="仿宋"/>
          <w:b/>
          <w:sz w:val="24"/>
          <w:highlight w:val="none"/>
        </w:rPr>
        <w:t xml:space="preserve">第四部分   </w:t>
      </w:r>
      <w:bookmarkStart w:id="34" w:name="_Toc184313276"/>
      <w:bookmarkEnd w:id="34"/>
      <w:bookmarkStart w:id="35" w:name="_Toc184313252"/>
      <w:bookmarkEnd w:id="35"/>
      <w:bookmarkStart w:id="36" w:name="_Toc184314447"/>
      <w:bookmarkEnd w:id="36"/>
      <w:bookmarkStart w:id="37" w:name="_Toc184312096"/>
      <w:bookmarkEnd w:id="37"/>
      <w:bookmarkStart w:id="38" w:name="_Toc184314471"/>
      <w:bookmarkEnd w:id="38"/>
      <w:bookmarkStart w:id="39" w:name="_Toc184308037"/>
      <w:bookmarkEnd w:id="39"/>
      <w:bookmarkStart w:id="40" w:name="_Toc184310314"/>
      <w:bookmarkEnd w:id="40"/>
      <w:bookmarkStart w:id="41" w:name="_Toc184308072"/>
      <w:bookmarkEnd w:id="41"/>
      <w:bookmarkStart w:id="42" w:name="_Toc184310282"/>
      <w:bookmarkEnd w:id="42"/>
      <w:bookmarkStart w:id="43" w:name="_Toc184308083"/>
      <w:bookmarkEnd w:id="43"/>
      <w:bookmarkStart w:id="44" w:name="_Toc184308100"/>
      <w:bookmarkEnd w:id="44"/>
      <w:bookmarkStart w:id="45" w:name="_Toc184308096"/>
      <w:bookmarkEnd w:id="45"/>
      <w:bookmarkStart w:id="46" w:name="_Toc184312081"/>
      <w:bookmarkEnd w:id="46"/>
      <w:bookmarkStart w:id="47" w:name="_Toc184310334"/>
      <w:bookmarkEnd w:id="47"/>
      <w:bookmarkStart w:id="48" w:name="_Toc184308091"/>
      <w:bookmarkEnd w:id="48"/>
      <w:bookmarkStart w:id="49" w:name="_Toc184313296"/>
      <w:bookmarkEnd w:id="49"/>
      <w:bookmarkStart w:id="50" w:name="_Toc184313263"/>
      <w:bookmarkEnd w:id="50"/>
      <w:bookmarkStart w:id="51" w:name="_Toc184310293"/>
      <w:bookmarkEnd w:id="51"/>
      <w:bookmarkStart w:id="52" w:name="_Toc184310323"/>
      <w:bookmarkEnd w:id="52"/>
      <w:bookmarkStart w:id="53" w:name="_Toc184314433"/>
      <w:bookmarkEnd w:id="53"/>
      <w:bookmarkStart w:id="54" w:name="_Toc184312116"/>
      <w:bookmarkEnd w:id="54"/>
      <w:bookmarkStart w:id="55" w:name="_Toc184310324"/>
      <w:bookmarkEnd w:id="55"/>
      <w:bookmarkStart w:id="56" w:name="_Toc184310289"/>
      <w:bookmarkEnd w:id="56"/>
      <w:bookmarkStart w:id="57" w:name="_Toc184313266"/>
      <w:bookmarkEnd w:id="57"/>
      <w:bookmarkStart w:id="58" w:name="_Toc184308039"/>
      <w:bookmarkEnd w:id="58"/>
      <w:bookmarkStart w:id="59" w:name="_Toc184310318"/>
      <w:bookmarkEnd w:id="59"/>
      <w:bookmarkStart w:id="60" w:name="_Toc184313260"/>
      <w:bookmarkEnd w:id="60"/>
      <w:bookmarkStart w:id="61" w:name="_Toc184314441"/>
      <w:bookmarkEnd w:id="61"/>
      <w:bookmarkStart w:id="62" w:name="_Toc184314469"/>
      <w:bookmarkEnd w:id="62"/>
      <w:bookmarkStart w:id="63" w:name="_Toc184313286"/>
      <w:bookmarkEnd w:id="63"/>
      <w:bookmarkStart w:id="64" w:name="_Toc184310327"/>
      <w:bookmarkEnd w:id="64"/>
      <w:bookmarkStart w:id="65" w:name="_Toc184310329"/>
      <w:bookmarkEnd w:id="65"/>
      <w:bookmarkStart w:id="66" w:name="_Toc184312137"/>
      <w:bookmarkEnd w:id="66"/>
      <w:bookmarkStart w:id="67" w:name="_Toc184314468"/>
      <w:bookmarkEnd w:id="67"/>
      <w:bookmarkStart w:id="68" w:name="_Toc184308045"/>
      <w:bookmarkEnd w:id="68"/>
      <w:bookmarkStart w:id="69" w:name="_Toc184310308"/>
      <w:bookmarkEnd w:id="69"/>
      <w:bookmarkStart w:id="70" w:name="_Toc184310285"/>
      <w:bookmarkEnd w:id="70"/>
      <w:bookmarkStart w:id="71" w:name="_Toc184310309"/>
      <w:bookmarkEnd w:id="71"/>
      <w:bookmarkStart w:id="72" w:name="_Toc184314451"/>
      <w:bookmarkEnd w:id="72"/>
      <w:bookmarkStart w:id="73" w:name="_Toc184314427"/>
      <w:bookmarkEnd w:id="73"/>
      <w:bookmarkStart w:id="74" w:name="_Toc184310333"/>
      <w:bookmarkEnd w:id="74"/>
      <w:bookmarkStart w:id="75" w:name="_Toc184313267"/>
      <w:bookmarkEnd w:id="75"/>
      <w:bookmarkStart w:id="76" w:name="_Toc184310326"/>
      <w:bookmarkEnd w:id="76"/>
      <w:bookmarkStart w:id="77" w:name="_Toc184308074"/>
      <w:bookmarkEnd w:id="77"/>
      <w:bookmarkStart w:id="78" w:name="_Toc184313309"/>
      <w:bookmarkEnd w:id="78"/>
      <w:bookmarkStart w:id="79" w:name="_Toc184313284"/>
      <w:bookmarkEnd w:id="79"/>
      <w:bookmarkStart w:id="80" w:name="_Toc184313295"/>
      <w:bookmarkEnd w:id="80"/>
      <w:bookmarkStart w:id="81" w:name="_Toc184310298"/>
      <w:bookmarkEnd w:id="81"/>
      <w:bookmarkStart w:id="82" w:name="_Toc184312098"/>
      <w:bookmarkEnd w:id="82"/>
      <w:bookmarkStart w:id="83" w:name="_Toc184314446"/>
      <w:bookmarkEnd w:id="83"/>
      <w:bookmarkStart w:id="84" w:name="_Toc184314412"/>
      <w:bookmarkEnd w:id="84"/>
      <w:bookmarkStart w:id="85" w:name="_Toc184314429"/>
      <w:bookmarkEnd w:id="85"/>
      <w:bookmarkStart w:id="86" w:name="_Toc184314421"/>
      <w:bookmarkEnd w:id="86"/>
      <w:bookmarkStart w:id="87" w:name="_Toc184312129"/>
      <w:bookmarkEnd w:id="87"/>
      <w:bookmarkStart w:id="88" w:name="_Toc184312080"/>
      <w:bookmarkEnd w:id="88"/>
      <w:bookmarkStart w:id="89" w:name="_Toc184313302"/>
      <w:bookmarkEnd w:id="89"/>
      <w:bookmarkStart w:id="90" w:name="_Toc184314466"/>
      <w:bookmarkEnd w:id="90"/>
      <w:bookmarkStart w:id="91" w:name="_Toc184308099"/>
      <w:bookmarkEnd w:id="91"/>
      <w:bookmarkStart w:id="92" w:name="_Toc184308068"/>
      <w:bookmarkEnd w:id="92"/>
      <w:bookmarkStart w:id="93" w:name="_Toc184308089"/>
      <w:bookmarkEnd w:id="93"/>
      <w:bookmarkStart w:id="94" w:name="_Toc184314450"/>
      <w:bookmarkEnd w:id="94"/>
      <w:bookmarkStart w:id="95" w:name="_Toc184310338"/>
      <w:bookmarkEnd w:id="95"/>
      <w:bookmarkStart w:id="96" w:name="_Toc184310297"/>
      <w:bookmarkEnd w:id="96"/>
      <w:bookmarkStart w:id="97" w:name="_Toc184310291"/>
      <w:bookmarkEnd w:id="97"/>
      <w:bookmarkStart w:id="98" w:name="_Toc184308106"/>
      <w:bookmarkEnd w:id="98"/>
      <w:bookmarkStart w:id="99" w:name="_Toc184313298"/>
      <w:bookmarkEnd w:id="99"/>
      <w:bookmarkStart w:id="100" w:name="_Toc184313289"/>
      <w:bookmarkEnd w:id="100"/>
      <w:bookmarkStart w:id="101" w:name="_Toc184313250"/>
      <w:bookmarkEnd w:id="101"/>
      <w:bookmarkStart w:id="102" w:name="_Toc184308090"/>
      <w:bookmarkEnd w:id="102"/>
      <w:bookmarkStart w:id="103" w:name="_Toc184310343"/>
      <w:bookmarkEnd w:id="103"/>
      <w:bookmarkStart w:id="104" w:name="_Toc184312106"/>
      <w:bookmarkEnd w:id="104"/>
      <w:bookmarkStart w:id="105" w:name="_Toc184310296"/>
      <w:bookmarkEnd w:id="105"/>
      <w:bookmarkStart w:id="106" w:name="_Toc184308085"/>
      <w:bookmarkEnd w:id="106"/>
      <w:bookmarkStart w:id="107" w:name="_Toc184314425"/>
      <w:bookmarkEnd w:id="107"/>
      <w:bookmarkStart w:id="108" w:name="_Toc184312074"/>
      <w:bookmarkEnd w:id="108"/>
      <w:bookmarkStart w:id="109" w:name="_Toc184313305"/>
      <w:bookmarkEnd w:id="109"/>
      <w:bookmarkStart w:id="110" w:name="_Toc184313303"/>
      <w:bookmarkEnd w:id="110"/>
      <w:bookmarkStart w:id="111" w:name="_Toc184314474"/>
      <w:bookmarkEnd w:id="111"/>
      <w:bookmarkStart w:id="112" w:name="_Toc184310279"/>
      <w:bookmarkEnd w:id="112"/>
      <w:bookmarkStart w:id="113" w:name="_Toc184314459"/>
      <w:bookmarkEnd w:id="113"/>
      <w:bookmarkStart w:id="114" w:name="_Toc184312109"/>
      <w:bookmarkEnd w:id="114"/>
      <w:bookmarkStart w:id="115" w:name="_Toc184308108"/>
      <w:bookmarkEnd w:id="115"/>
      <w:bookmarkStart w:id="116" w:name="_Toc184313290"/>
      <w:bookmarkEnd w:id="116"/>
      <w:bookmarkStart w:id="117" w:name="_Toc184313264"/>
      <w:bookmarkEnd w:id="117"/>
      <w:bookmarkStart w:id="118" w:name="_Toc184310316"/>
      <w:bookmarkEnd w:id="118"/>
      <w:bookmarkStart w:id="119" w:name="_Toc184308094"/>
      <w:bookmarkEnd w:id="119"/>
      <w:bookmarkStart w:id="120" w:name="_Toc184308104"/>
      <w:bookmarkEnd w:id="120"/>
      <w:bookmarkStart w:id="121" w:name="_Toc184312117"/>
      <w:bookmarkEnd w:id="121"/>
      <w:bookmarkStart w:id="122" w:name="_Toc184313277"/>
      <w:bookmarkEnd w:id="122"/>
      <w:bookmarkStart w:id="123" w:name="_Toc184308081"/>
      <w:bookmarkEnd w:id="123"/>
      <w:bookmarkStart w:id="124" w:name="_Toc184314423"/>
      <w:bookmarkEnd w:id="124"/>
      <w:bookmarkStart w:id="125" w:name="_Toc184310276"/>
      <w:bookmarkEnd w:id="125"/>
      <w:bookmarkStart w:id="126" w:name="_Toc184313245"/>
      <w:bookmarkEnd w:id="126"/>
      <w:bookmarkStart w:id="127" w:name="_Toc184310288"/>
      <w:bookmarkEnd w:id="127"/>
      <w:bookmarkStart w:id="128" w:name="_Toc184312102"/>
      <w:bookmarkEnd w:id="128"/>
      <w:bookmarkStart w:id="129" w:name="_Toc184314464"/>
      <w:bookmarkEnd w:id="129"/>
      <w:bookmarkStart w:id="130" w:name="_Toc184313268"/>
      <w:bookmarkEnd w:id="130"/>
      <w:bookmarkStart w:id="131" w:name="_Toc184314449"/>
      <w:bookmarkEnd w:id="131"/>
      <w:bookmarkStart w:id="132" w:name="_Toc184312123"/>
      <w:bookmarkEnd w:id="132"/>
      <w:bookmarkStart w:id="133" w:name="_Toc184314461"/>
      <w:bookmarkEnd w:id="133"/>
      <w:bookmarkStart w:id="134" w:name="_Toc184310286"/>
      <w:bookmarkEnd w:id="134"/>
      <w:bookmarkStart w:id="135" w:name="_Toc184313304"/>
      <w:bookmarkEnd w:id="135"/>
      <w:bookmarkStart w:id="136" w:name="_Toc184308056"/>
      <w:bookmarkEnd w:id="136"/>
      <w:bookmarkStart w:id="137" w:name="_Toc184313285"/>
      <w:bookmarkEnd w:id="137"/>
      <w:bookmarkStart w:id="138" w:name="_Toc184312111"/>
      <w:bookmarkEnd w:id="138"/>
      <w:bookmarkStart w:id="139" w:name="_Toc184312097"/>
      <w:bookmarkEnd w:id="139"/>
      <w:bookmarkStart w:id="140" w:name="_Toc184313243"/>
      <w:bookmarkEnd w:id="140"/>
      <w:bookmarkStart w:id="141" w:name="_Toc184308070"/>
      <w:bookmarkEnd w:id="141"/>
      <w:bookmarkStart w:id="142" w:name="_Toc184312112"/>
      <w:bookmarkEnd w:id="142"/>
      <w:bookmarkStart w:id="143" w:name="_Toc184313300"/>
      <w:bookmarkEnd w:id="143"/>
      <w:bookmarkStart w:id="144" w:name="_Toc184308047"/>
      <w:bookmarkEnd w:id="144"/>
      <w:bookmarkStart w:id="145" w:name="_Toc184312090"/>
      <w:bookmarkEnd w:id="145"/>
      <w:bookmarkStart w:id="146" w:name="_Toc184314438"/>
      <w:bookmarkEnd w:id="146"/>
      <w:bookmarkStart w:id="147" w:name="_Toc184314460"/>
      <w:bookmarkEnd w:id="147"/>
      <w:bookmarkStart w:id="148" w:name="_Toc184314477"/>
      <w:bookmarkEnd w:id="148"/>
      <w:bookmarkStart w:id="149" w:name="_Toc184314467"/>
      <w:bookmarkEnd w:id="149"/>
      <w:bookmarkStart w:id="150" w:name="_Toc184312131"/>
      <w:bookmarkEnd w:id="150"/>
      <w:bookmarkStart w:id="151" w:name="_Toc184310331"/>
      <w:bookmarkEnd w:id="151"/>
      <w:bookmarkStart w:id="152" w:name="_Toc184312113"/>
      <w:bookmarkEnd w:id="152"/>
      <w:bookmarkStart w:id="153" w:name="_Toc184314413"/>
      <w:bookmarkEnd w:id="153"/>
      <w:bookmarkStart w:id="154" w:name="_Toc184312067"/>
      <w:bookmarkEnd w:id="154"/>
      <w:bookmarkStart w:id="155" w:name="_Toc184314411"/>
      <w:bookmarkEnd w:id="155"/>
      <w:bookmarkStart w:id="156" w:name="_Toc184308041"/>
      <w:bookmarkEnd w:id="156"/>
      <w:bookmarkStart w:id="157" w:name="_Toc184308078"/>
      <w:bookmarkEnd w:id="157"/>
      <w:bookmarkStart w:id="158" w:name="_Toc184313259"/>
      <w:bookmarkEnd w:id="158"/>
      <w:bookmarkStart w:id="159" w:name="_Toc184313255"/>
      <w:bookmarkEnd w:id="159"/>
      <w:bookmarkStart w:id="160" w:name="_Toc184313271"/>
      <w:bookmarkEnd w:id="160"/>
      <w:bookmarkStart w:id="161" w:name="_Toc184312091"/>
      <w:bookmarkEnd w:id="161"/>
      <w:bookmarkStart w:id="162" w:name="_Toc184313275"/>
      <w:bookmarkEnd w:id="162"/>
      <w:bookmarkStart w:id="163" w:name="_Toc184313280"/>
      <w:bookmarkEnd w:id="163"/>
      <w:bookmarkStart w:id="164" w:name="_Toc184310277"/>
      <w:bookmarkEnd w:id="164"/>
      <w:bookmarkStart w:id="165" w:name="_Toc184314431"/>
      <w:bookmarkEnd w:id="165"/>
      <w:bookmarkStart w:id="166" w:name="_Toc184308079"/>
      <w:bookmarkEnd w:id="166"/>
      <w:bookmarkStart w:id="167" w:name="_Toc184308097"/>
      <w:bookmarkEnd w:id="167"/>
      <w:bookmarkStart w:id="168" w:name="_Toc184308069"/>
      <w:bookmarkEnd w:id="168"/>
      <w:bookmarkStart w:id="169" w:name="_Toc184312088"/>
      <w:bookmarkEnd w:id="169"/>
      <w:bookmarkStart w:id="170" w:name="_Toc184308057"/>
      <w:bookmarkEnd w:id="170"/>
      <w:bookmarkStart w:id="171" w:name="_Toc184313293"/>
      <w:bookmarkEnd w:id="171"/>
      <w:bookmarkStart w:id="172" w:name="_Toc184312110"/>
      <w:bookmarkEnd w:id="172"/>
      <w:bookmarkStart w:id="173" w:name="_Toc184312084"/>
      <w:bookmarkEnd w:id="173"/>
      <w:bookmarkStart w:id="174" w:name="_Toc184308059"/>
      <w:bookmarkEnd w:id="174"/>
      <w:bookmarkStart w:id="175" w:name="_Toc184312085"/>
      <w:bookmarkEnd w:id="175"/>
      <w:bookmarkStart w:id="176" w:name="_Toc184310319"/>
      <w:bookmarkEnd w:id="176"/>
      <w:bookmarkStart w:id="177" w:name="_Toc184314416"/>
      <w:bookmarkEnd w:id="177"/>
      <w:bookmarkStart w:id="178" w:name="_Toc184313308"/>
      <w:bookmarkEnd w:id="178"/>
      <w:bookmarkStart w:id="179" w:name="_Toc184312139"/>
      <w:bookmarkEnd w:id="179"/>
      <w:bookmarkStart w:id="180" w:name="_Toc184310287"/>
      <w:bookmarkEnd w:id="180"/>
      <w:bookmarkStart w:id="181" w:name="_Toc184310344"/>
      <w:bookmarkEnd w:id="181"/>
      <w:bookmarkStart w:id="182" w:name="_Toc184308093"/>
      <w:bookmarkEnd w:id="182"/>
      <w:bookmarkStart w:id="183" w:name="_Toc184310330"/>
      <w:bookmarkEnd w:id="183"/>
      <w:bookmarkStart w:id="184" w:name="_Toc184314472"/>
      <w:bookmarkEnd w:id="184"/>
      <w:bookmarkStart w:id="185" w:name="_Toc184313273"/>
      <w:bookmarkEnd w:id="185"/>
      <w:bookmarkStart w:id="186" w:name="_Toc184314444"/>
      <w:bookmarkEnd w:id="186"/>
      <w:bookmarkStart w:id="187" w:name="_Toc184312115"/>
      <w:bookmarkEnd w:id="187"/>
      <w:bookmarkStart w:id="188" w:name="_Toc184308092"/>
      <w:bookmarkEnd w:id="188"/>
      <w:bookmarkStart w:id="189" w:name="_Toc184312099"/>
      <w:bookmarkEnd w:id="189"/>
      <w:bookmarkStart w:id="190" w:name="_Toc184310302"/>
      <w:bookmarkEnd w:id="190"/>
      <w:bookmarkStart w:id="191" w:name="_Toc184308087"/>
      <w:bookmarkEnd w:id="191"/>
      <w:bookmarkStart w:id="192" w:name="_Toc184312134"/>
      <w:bookmarkEnd w:id="192"/>
      <w:bookmarkStart w:id="193" w:name="_Toc184310278"/>
      <w:bookmarkEnd w:id="193"/>
      <w:bookmarkStart w:id="194" w:name="_Toc184308080"/>
      <w:bookmarkEnd w:id="194"/>
      <w:bookmarkStart w:id="195" w:name="_Toc184314476"/>
      <w:bookmarkEnd w:id="195"/>
      <w:bookmarkStart w:id="196" w:name="_Toc184310305"/>
      <w:bookmarkEnd w:id="196"/>
      <w:bookmarkStart w:id="197" w:name="_Toc184312095"/>
      <w:bookmarkEnd w:id="197"/>
      <w:bookmarkStart w:id="198" w:name="_Toc184313307"/>
      <w:bookmarkEnd w:id="198"/>
      <w:bookmarkStart w:id="199" w:name="_Toc184308073"/>
      <w:bookmarkEnd w:id="199"/>
      <w:bookmarkStart w:id="200" w:name="_Toc184312072"/>
      <w:bookmarkEnd w:id="200"/>
      <w:bookmarkStart w:id="201" w:name="_Toc184314432"/>
      <w:bookmarkEnd w:id="201"/>
      <w:bookmarkStart w:id="202" w:name="_Toc184310321"/>
      <w:bookmarkEnd w:id="202"/>
      <w:bookmarkStart w:id="203" w:name="_Toc184308050"/>
      <w:bookmarkEnd w:id="203"/>
      <w:bookmarkStart w:id="204" w:name="_Toc184310307"/>
      <w:bookmarkEnd w:id="204"/>
      <w:bookmarkStart w:id="205" w:name="_Toc184308075"/>
      <w:bookmarkEnd w:id="205"/>
      <w:bookmarkStart w:id="206" w:name="_Toc184313281"/>
      <w:bookmarkEnd w:id="206"/>
      <w:bookmarkStart w:id="207" w:name="_Toc184314436"/>
      <w:bookmarkEnd w:id="207"/>
      <w:bookmarkStart w:id="208" w:name="_Toc184308058"/>
      <w:bookmarkEnd w:id="208"/>
      <w:bookmarkStart w:id="209" w:name="_Toc184313301"/>
      <w:bookmarkEnd w:id="209"/>
      <w:bookmarkStart w:id="210" w:name="_Toc184310303"/>
      <w:bookmarkEnd w:id="210"/>
      <w:bookmarkStart w:id="211" w:name="_Toc184314480"/>
      <w:bookmarkEnd w:id="211"/>
      <w:bookmarkStart w:id="212" w:name="_Toc184310283"/>
      <w:bookmarkEnd w:id="212"/>
      <w:bookmarkStart w:id="213" w:name="_Toc184308048"/>
      <w:bookmarkEnd w:id="213"/>
      <w:bookmarkStart w:id="214" w:name="_Toc184314420"/>
      <w:bookmarkEnd w:id="214"/>
      <w:bookmarkStart w:id="215" w:name="_Toc184313244"/>
      <w:bookmarkEnd w:id="215"/>
      <w:bookmarkStart w:id="216" w:name="_Toc184308084"/>
      <w:bookmarkEnd w:id="216"/>
      <w:bookmarkStart w:id="217" w:name="_Toc184314439"/>
      <w:bookmarkEnd w:id="217"/>
      <w:bookmarkStart w:id="218" w:name="_Toc184310315"/>
      <w:bookmarkEnd w:id="218"/>
      <w:bookmarkStart w:id="219" w:name="_Toc184312069"/>
      <w:bookmarkEnd w:id="219"/>
      <w:bookmarkStart w:id="220" w:name="_Toc184310342"/>
      <w:bookmarkEnd w:id="220"/>
      <w:bookmarkStart w:id="221" w:name="_Toc184310295"/>
      <w:bookmarkEnd w:id="221"/>
      <w:bookmarkStart w:id="222" w:name="_Toc184308065"/>
      <w:bookmarkEnd w:id="222"/>
      <w:bookmarkStart w:id="223" w:name="_Toc184312077"/>
      <w:bookmarkEnd w:id="223"/>
      <w:bookmarkStart w:id="224" w:name="_Toc184312100"/>
      <w:bookmarkEnd w:id="224"/>
      <w:bookmarkStart w:id="225" w:name="_Toc184314470"/>
      <w:bookmarkEnd w:id="225"/>
      <w:bookmarkStart w:id="226" w:name="_Toc184310301"/>
      <w:bookmarkEnd w:id="226"/>
      <w:bookmarkStart w:id="227" w:name="_Toc184313253"/>
      <w:bookmarkEnd w:id="227"/>
      <w:bookmarkStart w:id="228" w:name="_Toc184308103"/>
      <w:bookmarkEnd w:id="228"/>
      <w:bookmarkStart w:id="229" w:name="_Toc184313274"/>
      <w:bookmarkEnd w:id="229"/>
      <w:bookmarkStart w:id="230" w:name="_Toc184310284"/>
      <w:bookmarkEnd w:id="230"/>
      <w:bookmarkStart w:id="231" w:name="_Toc184312079"/>
      <w:bookmarkEnd w:id="231"/>
      <w:bookmarkStart w:id="232" w:name="_Toc184313279"/>
      <w:bookmarkEnd w:id="232"/>
      <w:bookmarkStart w:id="233" w:name="_Toc184313306"/>
      <w:bookmarkEnd w:id="233"/>
      <w:bookmarkStart w:id="234" w:name="_Toc184312068"/>
      <w:bookmarkEnd w:id="234"/>
      <w:bookmarkStart w:id="235" w:name="_Toc184308077"/>
      <w:bookmarkEnd w:id="235"/>
      <w:bookmarkStart w:id="236" w:name="_Toc184313257"/>
      <w:bookmarkEnd w:id="236"/>
      <w:bookmarkStart w:id="237" w:name="_Toc184314418"/>
      <w:bookmarkEnd w:id="237"/>
      <w:bookmarkStart w:id="238" w:name="_Toc184310328"/>
      <w:bookmarkEnd w:id="238"/>
      <w:bookmarkStart w:id="239" w:name="_Toc184312120"/>
      <w:bookmarkEnd w:id="239"/>
      <w:bookmarkStart w:id="240" w:name="_Toc184310292"/>
      <w:bookmarkEnd w:id="240"/>
      <w:bookmarkStart w:id="241" w:name="_Toc184310299"/>
      <w:bookmarkEnd w:id="241"/>
      <w:bookmarkStart w:id="242" w:name="_Toc184312130"/>
      <w:bookmarkEnd w:id="242"/>
      <w:bookmarkStart w:id="243" w:name="_Toc184312128"/>
      <w:bookmarkEnd w:id="243"/>
      <w:bookmarkStart w:id="244" w:name="_Toc184314414"/>
      <w:bookmarkEnd w:id="244"/>
      <w:bookmarkStart w:id="245" w:name="_Toc184312087"/>
      <w:bookmarkEnd w:id="245"/>
      <w:bookmarkStart w:id="246" w:name="_Toc184312105"/>
      <w:bookmarkEnd w:id="246"/>
      <w:bookmarkStart w:id="247" w:name="_Toc184313256"/>
      <w:bookmarkEnd w:id="247"/>
      <w:bookmarkStart w:id="248" w:name="_Toc184313249"/>
      <w:bookmarkEnd w:id="248"/>
      <w:bookmarkStart w:id="249" w:name="_Toc184313258"/>
      <w:bookmarkEnd w:id="249"/>
      <w:bookmarkStart w:id="250" w:name="_Toc184314463"/>
      <w:bookmarkEnd w:id="250"/>
      <w:bookmarkStart w:id="251" w:name="_Toc184312108"/>
      <w:bookmarkEnd w:id="251"/>
      <w:bookmarkStart w:id="252" w:name="_Toc184310275"/>
      <w:bookmarkEnd w:id="252"/>
      <w:bookmarkStart w:id="253" w:name="_Toc184314475"/>
      <w:bookmarkEnd w:id="253"/>
      <w:bookmarkStart w:id="254" w:name="_Toc184308086"/>
      <w:bookmarkEnd w:id="254"/>
      <w:bookmarkStart w:id="255" w:name="_Toc184308044"/>
      <w:bookmarkEnd w:id="255"/>
      <w:bookmarkStart w:id="256" w:name="_Toc184314426"/>
      <w:bookmarkEnd w:id="256"/>
      <w:bookmarkStart w:id="257" w:name="_Toc184312086"/>
      <w:bookmarkEnd w:id="257"/>
      <w:bookmarkStart w:id="258" w:name="_Toc184310274"/>
      <w:bookmarkEnd w:id="258"/>
      <w:bookmarkStart w:id="259" w:name="_Toc184310325"/>
      <w:bookmarkEnd w:id="259"/>
      <w:bookmarkStart w:id="260" w:name="_Toc184312124"/>
      <w:bookmarkEnd w:id="260"/>
      <w:bookmarkStart w:id="261" w:name="_Toc184308095"/>
      <w:bookmarkEnd w:id="261"/>
      <w:bookmarkStart w:id="262" w:name="_Toc184314417"/>
      <w:bookmarkEnd w:id="262"/>
      <w:bookmarkStart w:id="263" w:name="_Toc184312136"/>
      <w:bookmarkEnd w:id="263"/>
      <w:bookmarkStart w:id="264" w:name="_Toc184312114"/>
      <w:bookmarkEnd w:id="264"/>
      <w:bookmarkStart w:id="265" w:name="_Toc184308098"/>
      <w:bookmarkEnd w:id="265"/>
      <w:bookmarkStart w:id="266" w:name="_Toc184313238"/>
      <w:bookmarkEnd w:id="266"/>
      <w:bookmarkStart w:id="267" w:name="_Toc184313246"/>
      <w:bookmarkEnd w:id="267"/>
      <w:bookmarkStart w:id="268" w:name="_Toc184310290"/>
      <w:bookmarkEnd w:id="268"/>
      <w:bookmarkStart w:id="269" w:name="_Toc184312125"/>
      <w:bookmarkEnd w:id="269"/>
      <w:bookmarkStart w:id="270" w:name="_Toc184308049"/>
      <w:bookmarkEnd w:id="270"/>
      <w:bookmarkStart w:id="271" w:name="_Toc184312104"/>
      <w:bookmarkEnd w:id="271"/>
      <w:bookmarkStart w:id="272" w:name="_Toc184314445"/>
      <w:bookmarkEnd w:id="272"/>
      <w:bookmarkStart w:id="273" w:name="_Toc184312138"/>
      <w:bookmarkEnd w:id="273"/>
      <w:bookmarkStart w:id="274" w:name="_Toc184313269"/>
      <w:bookmarkEnd w:id="274"/>
      <w:bookmarkStart w:id="275" w:name="_Toc184310332"/>
      <w:bookmarkEnd w:id="275"/>
      <w:bookmarkStart w:id="276" w:name="_Toc184313239"/>
      <w:bookmarkEnd w:id="276"/>
      <w:bookmarkStart w:id="277" w:name="_Toc184312094"/>
      <w:bookmarkEnd w:id="277"/>
      <w:bookmarkStart w:id="278" w:name="_Toc184314462"/>
      <w:bookmarkEnd w:id="278"/>
      <w:bookmarkStart w:id="279" w:name="_Toc184313262"/>
      <w:bookmarkEnd w:id="279"/>
      <w:bookmarkStart w:id="280" w:name="_Toc184310341"/>
      <w:bookmarkEnd w:id="280"/>
      <w:bookmarkStart w:id="281" w:name="_Toc184308066"/>
      <w:bookmarkEnd w:id="281"/>
      <w:bookmarkStart w:id="282" w:name="_Toc184314454"/>
      <w:bookmarkEnd w:id="282"/>
      <w:bookmarkStart w:id="283" w:name="_Toc184313292"/>
      <w:bookmarkEnd w:id="283"/>
      <w:bookmarkStart w:id="284" w:name="_Toc184310336"/>
      <w:bookmarkEnd w:id="284"/>
      <w:bookmarkStart w:id="285" w:name="_Toc184313248"/>
      <w:bookmarkEnd w:id="285"/>
      <w:bookmarkStart w:id="286" w:name="_Toc184313247"/>
      <w:bookmarkEnd w:id="286"/>
      <w:bookmarkStart w:id="287" w:name="_Toc184313297"/>
      <w:bookmarkEnd w:id="287"/>
      <w:bookmarkStart w:id="288" w:name="_Toc184308082"/>
      <w:bookmarkEnd w:id="288"/>
      <w:bookmarkStart w:id="289" w:name="_Toc184308101"/>
      <w:bookmarkEnd w:id="289"/>
      <w:bookmarkStart w:id="290" w:name="_Toc184312078"/>
      <w:bookmarkEnd w:id="290"/>
      <w:bookmarkStart w:id="291" w:name="_Toc184308038"/>
      <w:bookmarkEnd w:id="291"/>
      <w:bookmarkStart w:id="292" w:name="_Toc184310272"/>
      <w:bookmarkEnd w:id="292"/>
      <w:bookmarkStart w:id="293" w:name="_Toc184313291"/>
      <w:bookmarkEnd w:id="293"/>
      <w:bookmarkStart w:id="294" w:name="_Toc184310312"/>
      <w:bookmarkEnd w:id="294"/>
      <w:bookmarkStart w:id="295" w:name="_Toc184310300"/>
      <w:bookmarkEnd w:id="295"/>
      <w:bookmarkStart w:id="296" w:name="_Toc184312135"/>
      <w:bookmarkEnd w:id="296"/>
      <w:bookmarkStart w:id="297" w:name="_Toc184314478"/>
      <w:bookmarkEnd w:id="297"/>
      <w:bookmarkStart w:id="298" w:name="_Toc184314434"/>
      <w:bookmarkEnd w:id="298"/>
      <w:bookmarkStart w:id="299" w:name="_Toc184313270"/>
      <w:bookmarkEnd w:id="299"/>
      <w:bookmarkStart w:id="300" w:name="_Toc184314440"/>
      <w:bookmarkEnd w:id="300"/>
      <w:bookmarkStart w:id="301" w:name="_Toc184313254"/>
      <w:bookmarkEnd w:id="301"/>
      <w:bookmarkStart w:id="302" w:name="_Toc184310313"/>
      <w:bookmarkEnd w:id="302"/>
      <w:bookmarkStart w:id="303" w:name="_Toc184308036"/>
      <w:bookmarkEnd w:id="303"/>
      <w:bookmarkStart w:id="304" w:name="_Toc184314442"/>
      <w:bookmarkEnd w:id="304"/>
      <w:bookmarkStart w:id="305" w:name="_Toc184308052"/>
      <w:bookmarkEnd w:id="305"/>
      <w:bookmarkStart w:id="306" w:name="_Toc184313283"/>
      <w:bookmarkEnd w:id="306"/>
      <w:bookmarkStart w:id="307" w:name="_Toc184313242"/>
      <w:bookmarkEnd w:id="307"/>
      <w:bookmarkStart w:id="308" w:name="_Toc184313287"/>
      <w:bookmarkEnd w:id="308"/>
      <w:bookmarkStart w:id="309" w:name="_Toc184314430"/>
      <w:bookmarkEnd w:id="309"/>
      <w:bookmarkStart w:id="310" w:name="_Toc184310322"/>
      <w:bookmarkEnd w:id="310"/>
      <w:bookmarkStart w:id="311" w:name="_Toc184313310"/>
      <w:bookmarkEnd w:id="311"/>
      <w:bookmarkStart w:id="312" w:name="_Toc184308055"/>
      <w:bookmarkEnd w:id="312"/>
      <w:bookmarkStart w:id="313" w:name="_Toc184312075"/>
      <w:bookmarkEnd w:id="313"/>
      <w:bookmarkStart w:id="314" w:name="_Toc184308067"/>
      <w:bookmarkEnd w:id="314"/>
      <w:bookmarkStart w:id="315" w:name="_Toc184312101"/>
      <w:bookmarkEnd w:id="315"/>
      <w:bookmarkStart w:id="316" w:name="_Toc184314482"/>
      <w:bookmarkEnd w:id="316"/>
      <w:bookmarkStart w:id="317" w:name="_Toc184308102"/>
      <w:bookmarkEnd w:id="317"/>
      <w:bookmarkStart w:id="318" w:name="_Toc184313272"/>
      <w:bookmarkEnd w:id="318"/>
      <w:bookmarkStart w:id="319" w:name="_Toc184314457"/>
      <w:bookmarkEnd w:id="319"/>
      <w:bookmarkStart w:id="320" w:name="_Toc184313241"/>
      <w:bookmarkEnd w:id="320"/>
      <w:bookmarkStart w:id="321" w:name="_Toc184308051"/>
      <w:bookmarkEnd w:id="321"/>
      <w:bookmarkStart w:id="322" w:name="_Toc184312107"/>
      <w:bookmarkEnd w:id="322"/>
      <w:bookmarkStart w:id="323" w:name="_Toc184308071"/>
      <w:bookmarkEnd w:id="323"/>
      <w:bookmarkStart w:id="324" w:name="_Toc184310304"/>
      <w:bookmarkEnd w:id="324"/>
      <w:bookmarkStart w:id="325" w:name="_Toc184313299"/>
      <w:bookmarkEnd w:id="325"/>
      <w:bookmarkStart w:id="326" w:name="_Toc184308063"/>
      <w:bookmarkEnd w:id="326"/>
      <w:bookmarkStart w:id="327" w:name="_Toc184310280"/>
      <w:bookmarkEnd w:id="327"/>
      <w:bookmarkStart w:id="328" w:name="_Toc184312073"/>
      <w:bookmarkEnd w:id="328"/>
      <w:bookmarkStart w:id="329" w:name="_Toc184312103"/>
      <w:bookmarkEnd w:id="329"/>
      <w:bookmarkStart w:id="330" w:name="_Toc184314479"/>
      <w:bookmarkEnd w:id="330"/>
      <w:bookmarkStart w:id="331" w:name="_Toc184310306"/>
      <w:bookmarkEnd w:id="331"/>
      <w:bookmarkStart w:id="332" w:name="_Toc184308088"/>
      <w:bookmarkEnd w:id="332"/>
      <w:bookmarkStart w:id="333" w:name="_Toc184308054"/>
      <w:bookmarkEnd w:id="333"/>
      <w:bookmarkStart w:id="334" w:name="_Toc184312076"/>
      <w:bookmarkEnd w:id="334"/>
      <w:bookmarkStart w:id="335" w:name="_Toc184308060"/>
      <w:bookmarkEnd w:id="335"/>
      <w:bookmarkStart w:id="336" w:name="_Toc184313265"/>
      <w:bookmarkEnd w:id="336"/>
      <w:bookmarkStart w:id="337" w:name="_Toc184313288"/>
      <w:bookmarkEnd w:id="337"/>
      <w:bookmarkStart w:id="338" w:name="_Toc184314455"/>
      <w:bookmarkEnd w:id="338"/>
      <w:bookmarkStart w:id="339" w:name="_Toc184314458"/>
      <w:bookmarkEnd w:id="339"/>
      <w:bookmarkStart w:id="340" w:name="_Toc184310281"/>
      <w:bookmarkEnd w:id="340"/>
      <w:bookmarkStart w:id="341" w:name="_Toc184308053"/>
      <w:bookmarkEnd w:id="341"/>
      <w:bookmarkStart w:id="342" w:name="_Toc184308064"/>
      <w:bookmarkEnd w:id="342"/>
      <w:bookmarkStart w:id="343" w:name="_Toc184314424"/>
      <w:bookmarkEnd w:id="343"/>
      <w:bookmarkStart w:id="344" w:name="_Toc184312082"/>
      <w:bookmarkEnd w:id="344"/>
      <w:bookmarkStart w:id="345" w:name="_Toc184312127"/>
      <w:bookmarkEnd w:id="345"/>
      <w:bookmarkStart w:id="346" w:name="_Toc184314453"/>
      <w:bookmarkEnd w:id="346"/>
      <w:bookmarkStart w:id="347" w:name="_Toc184310320"/>
      <w:bookmarkEnd w:id="347"/>
      <w:bookmarkStart w:id="348" w:name="_Toc184308061"/>
      <w:bookmarkEnd w:id="348"/>
      <w:bookmarkStart w:id="349" w:name="_Toc184310335"/>
      <w:bookmarkEnd w:id="349"/>
      <w:bookmarkStart w:id="350" w:name="_Toc184308107"/>
      <w:bookmarkEnd w:id="350"/>
      <w:bookmarkStart w:id="351" w:name="_Toc184314419"/>
      <w:bookmarkEnd w:id="351"/>
      <w:bookmarkStart w:id="352" w:name="_Toc184310340"/>
      <w:bookmarkEnd w:id="352"/>
      <w:bookmarkStart w:id="353" w:name="_Toc184310337"/>
      <w:bookmarkEnd w:id="353"/>
      <w:bookmarkStart w:id="354" w:name="_Toc184312132"/>
      <w:bookmarkEnd w:id="354"/>
      <w:bookmarkStart w:id="355" w:name="_Toc184314437"/>
      <w:bookmarkEnd w:id="355"/>
      <w:bookmarkStart w:id="356" w:name="_Toc184312070"/>
      <w:bookmarkEnd w:id="356"/>
      <w:bookmarkStart w:id="357" w:name="_Toc184314473"/>
      <w:bookmarkEnd w:id="357"/>
      <w:bookmarkStart w:id="358" w:name="_Toc184312118"/>
      <w:bookmarkEnd w:id="358"/>
      <w:bookmarkStart w:id="359" w:name="_Toc184310317"/>
      <w:bookmarkEnd w:id="359"/>
      <w:bookmarkStart w:id="360" w:name="_Toc184312121"/>
      <w:bookmarkEnd w:id="360"/>
      <w:bookmarkStart w:id="361" w:name="_Toc184312126"/>
      <w:bookmarkEnd w:id="361"/>
      <w:bookmarkStart w:id="362" w:name="_Toc184308105"/>
      <w:bookmarkEnd w:id="362"/>
      <w:bookmarkStart w:id="363" w:name="_Toc184308043"/>
      <w:bookmarkEnd w:id="363"/>
      <w:bookmarkStart w:id="364" w:name="_Toc184308076"/>
      <w:bookmarkEnd w:id="364"/>
      <w:bookmarkStart w:id="365" w:name="_Toc184313261"/>
      <w:bookmarkEnd w:id="365"/>
      <w:bookmarkStart w:id="366" w:name="_Toc184314465"/>
      <w:bookmarkEnd w:id="366"/>
      <w:bookmarkStart w:id="367" w:name="_Toc184313294"/>
      <w:bookmarkEnd w:id="367"/>
      <w:bookmarkStart w:id="368" w:name="_Toc184312093"/>
      <w:bookmarkEnd w:id="368"/>
      <w:bookmarkStart w:id="369" w:name="_Toc184308042"/>
      <w:bookmarkEnd w:id="369"/>
      <w:bookmarkStart w:id="370" w:name="_Toc184314448"/>
      <w:bookmarkEnd w:id="370"/>
      <w:bookmarkStart w:id="371" w:name="_Toc184312089"/>
      <w:bookmarkEnd w:id="371"/>
      <w:bookmarkStart w:id="372" w:name="_Toc184313251"/>
      <w:bookmarkEnd w:id="372"/>
      <w:bookmarkStart w:id="373" w:name="_Toc184314428"/>
      <w:bookmarkEnd w:id="373"/>
      <w:bookmarkStart w:id="374" w:name="_Toc184314415"/>
      <w:bookmarkEnd w:id="374"/>
      <w:bookmarkStart w:id="375" w:name="_Toc184314452"/>
      <w:bookmarkEnd w:id="375"/>
      <w:bookmarkStart w:id="376" w:name="_Toc184312133"/>
      <w:bookmarkEnd w:id="376"/>
      <w:bookmarkStart w:id="377" w:name="_Toc184310310"/>
      <w:bookmarkEnd w:id="377"/>
      <w:bookmarkStart w:id="378" w:name="_Toc184308040"/>
      <w:bookmarkEnd w:id="378"/>
      <w:bookmarkStart w:id="379" w:name="_Toc184310273"/>
      <w:bookmarkEnd w:id="379"/>
      <w:bookmarkStart w:id="380" w:name="_Toc184310311"/>
      <w:bookmarkEnd w:id="380"/>
      <w:bookmarkStart w:id="381" w:name="_Toc184312092"/>
      <w:bookmarkEnd w:id="381"/>
      <w:bookmarkStart w:id="382" w:name="_Toc184308062"/>
      <w:bookmarkEnd w:id="382"/>
      <w:bookmarkStart w:id="383" w:name="_Toc184310294"/>
      <w:bookmarkEnd w:id="383"/>
      <w:bookmarkStart w:id="384" w:name="_Toc184314481"/>
      <w:bookmarkEnd w:id="384"/>
      <w:bookmarkStart w:id="385" w:name="_Toc184308046"/>
      <w:bookmarkEnd w:id="385"/>
      <w:bookmarkStart w:id="386" w:name="_Toc184314410"/>
      <w:bookmarkEnd w:id="386"/>
      <w:bookmarkStart w:id="387" w:name="_Toc184314443"/>
      <w:bookmarkEnd w:id="387"/>
      <w:bookmarkStart w:id="388" w:name="_Toc184313240"/>
      <w:bookmarkEnd w:id="388"/>
      <w:bookmarkStart w:id="389" w:name="_Toc184312083"/>
      <w:bookmarkEnd w:id="389"/>
      <w:bookmarkStart w:id="390" w:name="_Toc184312071"/>
      <w:bookmarkEnd w:id="390"/>
      <w:bookmarkStart w:id="391" w:name="_Toc184312119"/>
      <w:bookmarkEnd w:id="391"/>
      <w:bookmarkStart w:id="392" w:name="_Toc184313278"/>
      <w:bookmarkEnd w:id="392"/>
      <w:bookmarkStart w:id="393" w:name="_Toc184314422"/>
      <w:bookmarkEnd w:id="393"/>
      <w:bookmarkStart w:id="394" w:name="_Toc184313282"/>
      <w:bookmarkEnd w:id="394"/>
      <w:bookmarkStart w:id="395" w:name="_Toc184312122"/>
      <w:bookmarkEnd w:id="395"/>
      <w:bookmarkStart w:id="396" w:name="_Toc184314435"/>
      <w:bookmarkEnd w:id="396"/>
      <w:bookmarkStart w:id="397" w:name="_Toc184310339"/>
      <w:bookmarkEnd w:id="397"/>
      <w:bookmarkStart w:id="398" w:name="_Toc184314456"/>
      <w:bookmarkEnd w:id="398"/>
      <w:r>
        <w:rPr>
          <w:rFonts w:hint="eastAsia" w:ascii="仿宋" w:hAnsi="仿宋" w:eastAsia="仿宋" w:cs="仿宋"/>
          <w:b/>
          <w:sz w:val="24"/>
          <w:highlight w:val="none"/>
        </w:rPr>
        <w:t>评审办法</w:t>
      </w:r>
    </w:p>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评审办法前附表</w:t>
      </w:r>
    </w:p>
    <w:p>
      <w:pPr>
        <w:spacing w:line="360" w:lineRule="auto"/>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（一）技术商务评审因素（满分</w:t>
      </w:r>
      <w:r>
        <w:rPr>
          <w:rFonts w:hint="eastAsia" w:ascii="仿宋" w:hAnsi="仿宋" w:eastAsia="仿宋" w:cs="仿宋"/>
          <w:b/>
          <w:bCs/>
          <w:sz w:val="24"/>
          <w:highlight w:val="none"/>
        </w:rPr>
        <w:t xml:space="preserve"> 90 </w:t>
      </w:r>
      <w:r>
        <w:rPr>
          <w:rFonts w:hint="eastAsia" w:ascii="仿宋" w:hAnsi="仿宋" w:eastAsia="仿宋" w:cs="仿宋"/>
          <w:b/>
          <w:bCs/>
          <w:sz w:val="24"/>
          <w:highlight w:val="none"/>
          <w:lang w:val="zh-CN"/>
        </w:rPr>
        <w:t>分）</w:t>
      </w:r>
    </w:p>
    <w:p>
      <w:pPr>
        <w:spacing w:line="360" w:lineRule="auto"/>
        <w:rPr>
          <w:rFonts w:hint="eastAsia" w:ascii="仿宋" w:hAnsi="仿宋" w:eastAsia="仿宋" w:cs="仿宋"/>
          <w:highlight w:val="none"/>
        </w:rPr>
      </w:pPr>
      <w:r>
        <w:rPr>
          <w:rFonts w:hint="eastAsia" w:ascii="仿宋" w:hAnsi="仿宋" w:eastAsia="仿宋" w:cs="仿宋"/>
          <w:sz w:val="24"/>
          <w:highlight w:val="none"/>
          <w:lang w:val="zh-CN"/>
        </w:rPr>
        <w:t>评标委员会对各投标人的技术商务充分审核、讨论及评议后，每人一份评分表，进行独自打分并签名。在统计得分时，如发现某一单项评分超过评分细则规定的分值范围，则该张评分表无效。投标人技术部分的得分为评标委员会各成员的有效评分的算术平均值。</w:t>
      </w:r>
    </w:p>
    <w:tbl>
      <w:tblPr>
        <w:tblStyle w:val="63"/>
        <w:tblW w:w="9180" w:type="dxa"/>
        <w:tblInd w:w="-1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7"/>
        <w:gridCol w:w="1205"/>
        <w:gridCol w:w="6110"/>
        <w:gridCol w:w="509"/>
        <w:gridCol w:w="849"/>
      </w:tblGrid>
      <w:tr>
        <w:tc>
          <w:tcPr>
            <w:tcW w:w="507" w:type="dxa"/>
            <w:vAlign w:val="center"/>
          </w:tcPr>
          <w:p>
            <w:pPr>
              <w:pStyle w:val="43"/>
              <w:keepNext w:val="0"/>
              <w:keepLines w:val="0"/>
              <w:pageBreakBefore w:val="0"/>
              <w:widowControl w:val="0"/>
              <w:kinsoku/>
              <w:wordWrap/>
              <w:overflowPunct/>
              <w:topLinePunct w:val="0"/>
              <w:autoSpaceDE/>
              <w:autoSpaceDN/>
              <w:bidi w:val="0"/>
              <w:adjustRightInd/>
              <w:snapToGrid/>
              <w:spacing w:before="0" w:after="0" w:line="200" w:lineRule="atLeast"/>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序号</w:t>
            </w:r>
          </w:p>
        </w:tc>
        <w:tc>
          <w:tcPr>
            <w:tcW w:w="1205" w:type="dxa"/>
            <w:vAlign w:val="center"/>
          </w:tcPr>
          <w:p>
            <w:pPr>
              <w:pStyle w:val="43"/>
              <w:keepNext w:val="0"/>
              <w:keepLines w:val="0"/>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评分项目</w:t>
            </w:r>
          </w:p>
        </w:tc>
        <w:tc>
          <w:tcPr>
            <w:tcW w:w="6110" w:type="dxa"/>
            <w:vAlign w:val="center"/>
          </w:tcPr>
          <w:p>
            <w:pPr>
              <w:pStyle w:val="43"/>
              <w:keepNext w:val="0"/>
              <w:keepLines w:val="0"/>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评审内容</w:t>
            </w:r>
          </w:p>
        </w:tc>
        <w:tc>
          <w:tcPr>
            <w:tcW w:w="509" w:type="dxa"/>
            <w:vAlign w:val="center"/>
          </w:tcPr>
          <w:p>
            <w:pPr>
              <w:pStyle w:val="43"/>
              <w:keepNext w:val="0"/>
              <w:keepLines w:val="0"/>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分值</w:t>
            </w:r>
          </w:p>
        </w:tc>
        <w:tc>
          <w:tcPr>
            <w:tcW w:w="849" w:type="dxa"/>
            <w:vAlign w:val="center"/>
          </w:tcPr>
          <w:p>
            <w:pPr>
              <w:pStyle w:val="43"/>
              <w:keepNext w:val="0"/>
              <w:keepLines w:val="0"/>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主客观分</w:t>
            </w:r>
          </w:p>
        </w:tc>
      </w:tr>
      <w:tr>
        <w:tc>
          <w:tcPr>
            <w:tcW w:w="507" w:type="dxa"/>
            <w:vMerge w:val="restart"/>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w:t>
            </w:r>
          </w:p>
        </w:tc>
        <w:tc>
          <w:tcPr>
            <w:tcW w:w="1205" w:type="dxa"/>
            <w:vMerge w:val="restart"/>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企业资信分（10分）</w:t>
            </w:r>
          </w:p>
        </w:tc>
        <w:tc>
          <w:tcPr>
            <w:tcW w:w="6110" w:type="dxa"/>
          </w:tcPr>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1.1</w:t>
            </w:r>
            <w:r>
              <w:rPr>
                <w:rFonts w:hint="eastAsia" w:ascii="仿宋" w:hAnsi="仿宋" w:eastAsia="仿宋" w:cs="仿宋"/>
                <w:sz w:val="24"/>
                <w:szCs w:val="24"/>
                <w:highlight w:val="none"/>
              </w:rPr>
              <w:t>供应商具有有效期内的质量管理体系认证证书、信息技术服务管理体系认证证书、信息安全管理体系认证证书的，本项最多3分，未提供不得分。</w:t>
            </w:r>
          </w:p>
          <w:p>
            <w:pPr>
              <w:pStyle w:val="43"/>
              <w:keepNext w:val="0"/>
              <w:keepLines w:val="0"/>
              <w:pageBreakBefore w:val="0"/>
              <w:widowControl w:val="0"/>
              <w:kinsoku/>
              <w:wordWrap/>
              <w:overflowPunct/>
              <w:topLinePunct w:val="0"/>
              <w:autoSpaceDE/>
              <w:autoSpaceDN/>
              <w:bidi w:val="0"/>
              <w:adjustRightInd/>
              <w:snapToGrid/>
              <w:spacing w:before="0" w:after="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b/>
                <w:sz w:val="24"/>
                <w:szCs w:val="24"/>
                <w:highlight w:val="none"/>
              </w:rPr>
              <w:t>注：投标文件须提供相关证书复印件以及国家市场监督管理总局-全国认证认可信息公共服务平台查询网页截图并加盖公章，否则不得分。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3</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tcPr>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具有工程咨询单位资信证书（专业为电子、信息工程（含通信、广电、信息化）或具有备案在全国投资项目在线审批监管平台工程咨询单位名单名录，专业为电子、信息工程（含通信、广电、信息化）的得1分；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1.3</w:t>
            </w:r>
            <w:r>
              <w:rPr>
                <w:rFonts w:hint="eastAsia" w:ascii="仿宋" w:hAnsi="仿宋" w:eastAsia="仿宋" w:cs="仿宋"/>
                <w:sz w:val="24"/>
                <w:szCs w:val="24"/>
                <w:highlight w:val="none"/>
              </w:rPr>
              <w:t>具有软件造价评估机构服务能力等级证书的，得1分；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1.4</w:t>
            </w:r>
            <w:r>
              <w:rPr>
                <w:rFonts w:hint="eastAsia" w:ascii="仿宋" w:hAnsi="仿宋" w:eastAsia="仿宋" w:cs="仿宋"/>
                <w:sz w:val="24"/>
                <w:szCs w:val="24"/>
                <w:highlight w:val="none"/>
              </w:rPr>
              <w:t>具有软件造价评估类、</w:t>
            </w:r>
            <w:r>
              <w:rPr>
                <w:rFonts w:hint="eastAsia" w:ascii="仿宋" w:hAnsi="仿宋" w:eastAsia="仿宋" w:cs="仿宋"/>
                <w:sz w:val="24"/>
                <w:szCs w:val="24"/>
                <w:highlight w:val="none"/>
                <w:lang w:val="en-US" w:eastAsia="zh-CN"/>
              </w:rPr>
              <w:t>咨询</w:t>
            </w:r>
            <w:r>
              <w:rPr>
                <w:rFonts w:hint="eastAsia" w:ascii="仿宋" w:hAnsi="仿宋" w:eastAsia="仿宋" w:cs="仿宋"/>
                <w:sz w:val="24"/>
                <w:szCs w:val="24"/>
                <w:highlight w:val="none"/>
              </w:rPr>
              <w:t>类、项目</w:t>
            </w:r>
            <w:r>
              <w:rPr>
                <w:rFonts w:hint="eastAsia" w:ascii="仿宋" w:hAnsi="仿宋" w:eastAsia="仿宋" w:cs="仿宋"/>
                <w:sz w:val="24"/>
                <w:szCs w:val="24"/>
                <w:highlight w:val="none"/>
                <w:lang w:val="en-US" w:eastAsia="zh-CN"/>
              </w:rPr>
              <w:t>管理</w:t>
            </w:r>
            <w:r>
              <w:rPr>
                <w:rFonts w:hint="eastAsia" w:ascii="仿宋" w:hAnsi="仿宋" w:eastAsia="仿宋" w:cs="仿宋"/>
                <w:sz w:val="24"/>
                <w:szCs w:val="24"/>
                <w:highlight w:val="none"/>
              </w:rPr>
              <w:t>类系统软件著作权登记证书并承诺用于本项目的，每有一项得1分，最高得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p>
          <w:p>
            <w:pPr>
              <w:pStyle w:val="43"/>
              <w:keepNext w:val="0"/>
              <w:keepLines w:val="0"/>
              <w:pageBreakBefore w:val="0"/>
              <w:widowControl w:val="0"/>
              <w:kinsoku/>
              <w:wordWrap/>
              <w:overflowPunct/>
              <w:topLinePunct w:val="0"/>
              <w:autoSpaceDE/>
              <w:autoSpaceDN/>
              <w:bidi w:val="0"/>
              <w:adjustRightInd/>
              <w:snapToGrid/>
              <w:spacing w:before="0" w:after="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b/>
                <w:sz w:val="24"/>
                <w:szCs w:val="24"/>
                <w:highlight w:val="none"/>
              </w:rPr>
              <w:t>注：投标文件须提供相关材料复印件并加盖公章，否则不得分。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tcPr>
          <w:p>
            <w:pPr>
              <w:adjustRightInd w:val="0"/>
              <w:snapToGrid w:val="0"/>
              <w:spacing w:line="240" w:lineRule="auto"/>
              <w:ind w:left="3" w:leftChars="-10" w:hanging="24" w:hangingChars="10"/>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供应商</w:t>
            </w:r>
            <w:r>
              <w:rPr>
                <w:rFonts w:hint="eastAsia" w:ascii="仿宋" w:hAnsi="仿宋" w:eastAsia="仿宋" w:cs="仿宋"/>
                <w:b/>
                <w:color w:val="000000"/>
                <w:sz w:val="24"/>
                <w:szCs w:val="24"/>
                <w:highlight w:val="none"/>
                <w:lang w:val="en-US" w:eastAsia="zh-CN"/>
              </w:rPr>
              <w:t>类似</w:t>
            </w:r>
            <w:r>
              <w:rPr>
                <w:rFonts w:hint="eastAsia" w:ascii="仿宋" w:hAnsi="仿宋" w:eastAsia="仿宋" w:cs="仿宋"/>
                <w:b/>
                <w:color w:val="000000"/>
                <w:sz w:val="24"/>
                <w:szCs w:val="24"/>
                <w:highlight w:val="none"/>
              </w:rPr>
              <w:t>业绩：</w:t>
            </w:r>
          </w:p>
          <w:p>
            <w:pPr>
              <w:spacing w:line="240" w:lineRule="auto"/>
              <w:ind w:firstLine="0" w:firstLineChars="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1、供应商自202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年1月1日以来（以合同签订时间为准）承担过类似信息化或数字化项目立项评审或预审工作的，</w:t>
            </w:r>
            <w:r>
              <w:rPr>
                <w:rFonts w:hint="eastAsia" w:ascii="仿宋" w:hAnsi="仿宋" w:eastAsia="仿宋" w:cs="仿宋"/>
                <w:sz w:val="24"/>
                <w:szCs w:val="24"/>
                <w:highlight w:val="none"/>
                <w:lang w:val="en-US" w:eastAsia="zh-CN"/>
              </w:rPr>
              <w:t>每有一个</w:t>
            </w:r>
            <w:r>
              <w:rPr>
                <w:rFonts w:hint="eastAsia" w:ascii="仿宋" w:hAnsi="仿宋" w:eastAsia="仿宋" w:cs="仿宋"/>
                <w:sz w:val="24"/>
                <w:szCs w:val="24"/>
                <w:highlight w:val="none"/>
              </w:rPr>
              <w:t>得0.5分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最高得1分。</w:t>
            </w:r>
          </w:p>
          <w:p>
            <w:pPr>
              <w:pStyle w:val="43"/>
              <w:keepNext w:val="0"/>
              <w:keepLines w:val="0"/>
              <w:pageBreakBefore w:val="0"/>
              <w:widowControl w:val="0"/>
              <w:kinsoku/>
              <w:wordWrap/>
              <w:overflowPunct/>
              <w:topLinePunct w:val="0"/>
              <w:autoSpaceDE/>
              <w:autoSpaceDN/>
              <w:bidi w:val="0"/>
              <w:adjustRightInd/>
              <w:snapToGrid/>
              <w:spacing w:before="0" w:after="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b/>
                <w:color w:val="000000"/>
                <w:sz w:val="24"/>
                <w:szCs w:val="24"/>
                <w:highlight w:val="none"/>
              </w:rPr>
              <w:t>注：投标文件须提供合同关键页（含签订合同双方的单位名称、合同项目名称与含签订合同双方的落款盖章、签订日期）复印件加盖公章，否则不得分。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r>
        <w:tc>
          <w:tcPr>
            <w:tcW w:w="507" w:type="dxa"/>
            <w:vMerge w:val="restart"/>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w:t>
            </w:r>
          </w:p>
        </w:tc>
        <w:tc>
          <w:tcPr>
            <w:tcW w:w="1205" w:type="dxa"/>
            <w:vMerge w:val="restart"/>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商务技术分（90分）</w:t>
            </w: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sz w:val="24"/>
                <w:szCs w:val="24"/>
                <w:highlight w:val="none"/>
              </w:rPr>
            </w:pPr>
            <w:r>
              <w:rPr>
                <w:rFonts w:hint="eastAsia" w:ascii="仿宋" w:hAnsi="仿宋" w:eastAsia="仿宋" w:cs="仿宋"/>
                <w:b/>
                <w:sz w:val="24"/>
                <w:szCs w:val="24"/>
                <w:highlight w:val="none"/>
              </w:rPr>
              <w:t>项</w:t>
            </w:r>
            <w:r>
              <w:rPr>
                <w:rFonts w:hint="eastAsia" w:ascii="仿宋" w:hAnsi="仿宋" w:eastAsia="仿宋" w:cs="仿宋"/>
                <w:b/>
                <w:sz w:val="24"/>
                <w:szCs w:val="24"/>
                <w:highlight w:val="none"/>
                <w:lang w:val="en-US" w:eastAsia="zh-CN"/>
              </w:rPr>
              <w:t>目整体实施方案</w:t>
            </w:r>
            <w:r>
              <w:rPr>
                <w:rFonts w:hint="eastAsia" w:ascii="仿宋" w:hAnsi="仿宋" w:eastAsia="仿宋" w:cs="仿宋"/>
                <w:b/>
                <w:sz w:val="24"/>
                <w:szCs w:val="24"/>
                <w:highlight w:val="none"/>
              </w:rPr>
              <w:t>：</w:t>
            </w:r>
          </w:p>
          <w:p>
            <w:pPr>
              <w:spacing w:line="240" w:lineRule="auto"/>
              <w:ind w:firstLine="0" w:firstLineChars="0"/>
              <w:rPr>
                <w:rFonts w:hint="eastAsia" w:ascii="仿宋" w:hAnsi="仿宋" w:eastAsia="仿宋" w:cs="仿宋"/>
                <w:kern w:val="2"/>
                <w:sz w:val="24"/>
                <w:szCs w:val="24"/>
                <w:highlight w:val="none"/>
                <w:lang w:val="en-US" w:eastAsia="zh-CN" w:bidi="ar-SA"/>
              </w:rPr>
            </w:pPr>
            <w:r>
              <w:rPr>
                <w:rFonts w:hint="eastAsia" w:ascii="仿宋" w:hAnsi="仿宋" w:eastAsia="仿宋" w:cs="仿宋"/>
                <w:color w:val="000000"/>
                <w:sz w:val="24"/>
                <w:szCs w:val="24"/>
                <w:highlight w:val="none"/>
                <w:lang w:val="en-US" w:eastAsia="zh-CN"/>
              </w:rPr>
              <w:t>根据投标人提供的项目实施方案合理性、科学性、规范性和可操作性等进行评分。实施方案合理性强，科学性强，具备可操作性的得5-6分；实施方案基本满足采购文件要求的得3-4分；实施方案较差的得1-2分；无实施方案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sz w:val="24"/>
                <w:szCs w:val="24"/>
                <w:highlight w:val="none"/>
              </w:rPr>
            </w:pPr>
            <w:r>
              <w:rPr>
                <w:rFonts w:hint="eastAsia" w:ascii="仿宋" w:hAnsi="仿宋" w:eastAsia="仿宋" w:cs="仿宋"/>
                <w:b/>
                <w:sz w:val="24"/>
                <w:szCs w:val="24"/>
                <w:highlight w:val="none"/>
              </w:rPr>
              <w:t>项目需求分析：</w:t>
            </w:r>
          </w:p>
          <w:p>
            <w:pPr>
              <w:spacing w:line="240" w:lineRule="auto"/>
              <w:ind w:firstLine="0" w:firstLineChars="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根据供应商对项目需求情况分析的合理性、完整性、准确性进行综合评审打分。理解全面、详细、透彻的得</w:t>
            </w:r>
            <w:r>
              <w:rPr>
                <w:rFonts w:hint="eastAsia" w:ascii="仿宋" w:hAnsi="仿宋" w:eastAsia="仿宋" w:cs="仿宋"/>
                <w:sz w:val="24"/>
                <w:szCs w:val="24"/>
                <w:highlight w:val="none"/>
                <w:lang w:val="en-US" w:eastAsia="zh-CN"/>
              </w:rPr>
              <w:t>5-6</w:t>
            </w:r>
            <w:r>
              <w:rPr>
                <w:rFonts w:hint="eastAsia" w:ascii="仿宋" w:hAnsi="仿宋" w:eastAsia="仿宋" w:cs="仿宋"/>
                <w:sz w:val="24"/>
                <w:szCs w:val="24"/>
                <w:highlight w:val="none"/>
              </w:rPr>
              <w:t>分，内容较为详细的得</w:t>
            </w:r>
            <w:r>
              <w:rPr>
                <w:rFonts w:hint="eastAsia" w:ascii="仿宋" w:hAnsi="仿宋" w:eastAsia="仿宋" w:cs="仿宋"/>
                <w:sz w:val="24"/>
                <w:szCs w:val="24"/>
                <w:highlight w:val="none"/>
                <w:lang w:val="en-US" w:eastAsia="zh-CN"/>
              </w:rPr>
              <w:t>3-4</w:t>
            </w:r>
            <w:r>
              <w:rPr>
                <w:rFonts w:hint="eastAsia" w:ascii="仿宋" w:hAnsi="仿宋" w:eastAsia="仿宋" w:cs="仿宋"/>
                <w:sz w:val="24"/>
                <w:szCs w:val="24"/>
                <w:highlight w:val="none"/>
              </w:rPr>
              <w:t>分，内容、针对性一般的得1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分，存在明显缺陷或未体现相关内容的不得分。</w:t>
            </w:r>
          </w:p>
        </w:tc>
        <w:tc>
          <w:tcPr>
            <w:tcW w:w="509" w:type="dxa"/>
            <w:shd w:val="clear" w:color="auto" w:fill="auto"/>
            <w:vAlign w:val="center"/>
          </w:tcPr>
          <w:p>
            <w:pPr>
              <w:pStyle w:val="43"/>
              <w:jc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6</w:t>
            </w:r>
          </w:p>
        </w:tc>
        <w:tc>
          <w:tcPr>
            <w:tcW w:w="849" w:type="dxa"/>
            <w:shd w:val="clear" w:color="auto" w:fill="auto"/>
            <w:vAlign w:val="center"/>
          </w:tcPr>
          <w:p>
            <w:pPr>
              <w:pStyle w:val="43"/>
              <w:jc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firstLine="0" w:firstLineChars="0"/>
              <w:rPr>
                <w:rFonts w:hint="eastAsia" w:ascii="仿宋" w:hAnsi="仿宋" w:eastAsia="仿宋" w:cs="仿宋"/>
                <w:b/>
                <w:sz w:val="24"/>
                <w:szCs w:val="24"/>
                <w:highlight w:val="none"/>
              </w:rPr>
            </w:pPr>
            <w:r>
              <w:rPr>
                <w:rFonts w:hint="eastAsia" w:ascii="仿宋" w:hAnsi="仿宋" w:eastAsia="仿宋" w:cs="仿宋"/>
                <w:b/>
                <w:sz w:val="24"/>
                <w:szCs w:val="24"/>
                <w:highlight w:val="none"/>
              </w:rPr>
              <w:t>重难点分析：</w:t>
            </w:r>
          </w:p>
          <w:p>
            <w:pPr>
              <w:spacing w:line="240" w:lineRule="auto"/>
              <w:ind w:firstLine="0" w:firstLineChars="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根据供应商针对本项目分析实施过程中可能遇见的重难点情况，及给出的</w:t>
            </w:r>
            <w:r>
              <w:rPr>
                <w:rFonts w:hint="eastAsia" w:ascii="仿宋" w:hAnsi="仿宋" w:eastAsia="仿宋" w:cs="仿宋"/>
                <w:sz w:val="24"/>
                <w:szCs w:val="24"/>
                <w:highlight w:val="none"/>
                <w:lang w:val="en-US" w:eastAsia="zh-CN"/>
              </w:rPr>
              <w:t>对应措施</w:t>
            </w:r>
            <w:r>
              <w:rPr>
                <w:rFonts w:hint="eastAsia" w:ascii="仿宋" w:hAnsi="仿宋" w:eastAsia="仿宋" w:cs="仿宋"/>
                <w:sz w:val="24"/>
                <w:szCs w:val="24"/>
                <w:highlight w:val="none"/>
              </w:rPr>
              <w:t>进行评价打分，内容全面、详细、针对性强的得</w:t>
            </w:r>
            <w:r>
              <w:rPr>
                <w:rFonts w:hint="eastAsia" w:ascii="仿宋" w:hAnsi="仿宋" w:eastAsia="仿宋" w:cs="仿宋"/>
                <w:sz w:val="24"/>
                <w:szCs w:val="24"/>
                <w:highlight w:val="none"/>
                <w:lang w:val="en-US" w:eastAsia="zh-CN"/>
              </w:rPr>
              <w:t>5-6</w:t>
            </w:r>
            <w:r>
              <w:rPr>
                <w:rFonts w:hint="eastAsia" w:ascii="仿宋" w:hAnsi="仿宋" w:eastAsia="仿宋" w:cs="仿宋"/>
                <w:sz w:val="24"/>
                <w:szCs w:val="24"/>
                <w:highlight w:val="none"/>
              </w:rPr>
              <w:t>分，内容较为全面详细、针对性较强的得</w:t>
            </w:r>
            <w:r>
              <w:rPr>
                <w:rFonts w:hint="eastAsia" w:ascii="仿宋" w:hAnsi="仿宋" w:eastAsia="仿宋" w:cs="仿宋"/>
                <w:sz w:val="24"/>
                <w:szCs w:val="24"/>
                <w:highlight w:val="none"/>
                <w:lang w:val="en-US" w:eastAsia="zh-CN"/>
              </w:rPr>
              <w:t>3-4</w:t>
            </w:r>
            <w:r>
              <w:rPr>
                <w:rFonts w:hint="eastAsia" w:ascii="仿宋" w:hAnsi="仿宋" w:eastAsia="仿宋" w:cs="仿宋"/>
                <w:sz w:val="24"/>
                <w:szCs w:val="24"/>
                <w:highlight w:val="none"/>
              </w:rPr>
              <w:t>分，内容、针对性一般的得1-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分，存在明显缺陷或未体现相关内容的不得分。</w:t>
            </w:r>
          </w:p>
        </w:tc>
        <w:tc>
          <w:tcPr>
            <w:tcW w:w="509" w:type="dxa"/>
            <w:shd w:val="clear" w:color="auto" w:fill="auto"/>
            <w:vAlign w:val="center"/>
          </w:tcPr>
          <w:p>
            <w:pPr>
              <w:pStyle w:val="43"/>
              <w:jc w:val="center"/>
              <w:rPr>
                <w:rFonts w:hint="eastAsia" w:ascii="仿宋" w:hAnsi="仿宋" w:eastAsia="仿宋" w:cs="仿宋"/>
                <w:kern w:val="2"/>
                <w:sz w:val="24"/>
                <w:szCs w:val="24"/>
                <w:highlight w:val="none"/>
                <w:vertAlign w:val="baseline"/>
                <w:lang w:val="en-US" w:eastAsia="zh-CN" w:bidi="ar-SA"/>
              </w:rPr>
            </w:pPr>
            <w:r>
              <w:rPr>
                <w:rFonts w:hint="eastAsia" w:ascii="仿宋" w:hAnsi="仿宋" w:eastAsia="仿宋" w:cs="仿宋"/>
                <w:kern w:val="2"/>
                <w:sz w:val="24"/>
                <w:szCs w:val="24"/>
                <w:highlight w:val="none"/>
                <w:vertAlign w:val="baseline"/>
                <w:lang w:val="en-US" w:eastAsia="zh-CN" w:bidi="ar-SA"/>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项目预审方案</w:t>
            </w:r>
            <w:r>
              <w:rPr>
                <w:rFonts w:hint="eastAsia" w:ascii="仿宋" w:hAnsi="仿宋" w:eastAsia="仿宋" w:cs="仿宋"/>
                <w:b/>
                <w:sz w:val="24"/>
                <w:szCs w:val="24"/>
                <w:highlight w:val="none"/>
              </w:rPr>
              <w:t>：</w:t>
            </w:r>
          </w:p>
          <w:p>
            <w:pPr>
              <w:spacing w:line="240" w:lineRule="auto"/>
              <w:ind w:firstLine="0" w:firstLineChars="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根据供应商对整体服务方案思路和基本框架，包含但不限于服务内容、服务进度等内容的完整性、合理性和清晰性进行综合评审打分。服务方案内容合理科学、环节安排等符合采购需求得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6分，方案内容存在欠缺或与项目匹配度一般的得</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4分，与采购需求匹配程度较差得1-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分，存在明显缺陷或未体现相关内容的不得分。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sz w:val="24"/>
                <w:szCs w:val="24"/>
                <w:highlight w:val="none"/>
              </w:rPr>
            </w:pPr>
            <w:r>
              <w:rPr>
                <w:rFonts w:hint="eastAsia" w:ascii="仿宋" w:hAnsi="仿宋" w:eastAsia="仿宋" w:cs="仿宋"/>
                <w:b/>
                <w:sz w:val="24"/>
                <w:szCs w:val="24"/>
                <w:highlight w:val="none"/>
              </w:rPr>
              <w:t>质量</w:t>
            </w:r>
            <w:r>
              <w:rPr>
                <w:rFonts w:hint="eastAsia" w:ascii="仿宋" w:hAnsi="仿宋" w:eastAsia="仿宋" w:cs="仿宋"/>
                <w:b/>
                <w:sz w:val="24"/>
                <w:szCs w:val="24"/>
                <w:highlight w:val="none"/>
                <w:lang w:val="en-US" w:eastAsia="zh-CN"/>
              </w:rPr>
              <w:t>控制</w:t>
            </w:r>
            <w:r>
              <w:rPr>
                <w:rFonts w:hint="eastAsia" w:ascii="仿宋" w:hAnsi="仿宋" w:eastAsia="仿宋" w:cs="仿宋"/>
                <w:b/>
                <w:sz w:val="24"/>
                <w:szCs w:val="24"/>
                <w:highlight w:val="none"/>
              </w:rPr>
              <w:t>方案：</w:t>
            </w:r>
          </w:p>
          <w:p>
            <w:pPr>
              <w:pStyle w:val="43"/>
              <w:keepNext w:val="0"/>
              <w:keepLines w:val="0"/>
              <w:pageBreakBefore w:val="0"/>
              <w:widowControl w:val="0"/>
              <w:kinsoku/>
              <w:wordWrap/>
              <w:overflowPunct/>
              <w:topLinePunct w:val="0"/>
              <w:autoSpaceDE/>
              <w:autoSpaceDN/>
              <w:bidi w:val="0"/>
              <w:adjustRightInd/>
              <w:snapToGrid/>
              <w:spacing w:before="0" w:after="0"/>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kern w:val="0"/>
                <w:sz w:val="24"/>
                <w:szCs w:val="24"/>
                <w:highlight w:val="none"/>
                <w:lang w:val="en-US" w:eastAsia="zh-CN"/>
              </w:rPr>
              <w:t>根据供应商</w:t>
            </w:r>
            <w:r>
              <w:rPr>
                <w:rFonts w:hint="eastAsia" w:ascii="仿宋" w:hAnsi="仿宋" w:eastAsia="仿宋" w:cs="仿宋"/>
                <w:kern w:val="0"/>
                <w:sz w:val="24"/>
                <w:szCs w:val="24"/>
                <w:highlight w:val="none"/>
              </w:rPr>
              <w:t>对本项目提供的方案内容详细、全面、科学合理，</w:t>
            </w:r>
            <w:r>
              <w:rPr>
                <w:rFonts w:hint="eastAsia" w:ascii="仿宋" w:hAnsi="仿宋" w:eastAsia="仿宋" w:cs="仿宋"/>
                <w:color w:val="000000"/>
                <w:kern w:val="0"/>
                <w:sz w:val="24"/>
                <w:szCs w:val="24"/>
                <w:highlight w:val="none"/>
              </w:rPr>
              <w:t>方案内容完整且与项目匹配度好的得</w:t>
            </w:r>
            <w:r>
              <w:rPr>
                <w:rFonts w:hint="eastAsia" w:ascii="仿宋" w:hAnsi="仿宋" w:eastAsia="仿宋" w:cs="仿宋"/>
                <w:color w:val="000000"/>
                <w:kern w:val="0"/>
                <w:sz w:val="24"/>
                <w:szCs w:val="24"/>
                <w:highlight w:val="none"/>
                <w:lang w:val="en-US" w:eastAsia="zh-CN"/>
              </w:rPr>
              <w:t>4-</w:t>
            </w:r>
            <w:r>
              <w:rPr>
                <w:rFonts w:hint="eastAsia" w:ascii="仿宋" w:hAnsi="仿宋" w:eastAsia="仿宋" w:cs="仿宋"/>
                <w:color w:val="000000"/>
                <w:kern w:val="0"/>
                <w:sz w:val="24"/>
                <w:szCs w:val="24"/>
                <w:highlight w:val="none"/>
              </w:rPr>
              <w:t>5分；方案内容基本完整且与项目匹配度较好的得</w:t>
            </w:r>
            <w:r>
              <w:rPr>
                <w:rFonts w:hint="eastAsia" w:ascii="仿宋" w:hAnsi="仿宋" w:eastAsia="仿宋" w:cs="仿宋"/>
                <w:color w:val="000000"/>
                <w:kern w:val="0"/>
                <w:sz w:val="24"/>
                <w:szCs w:val="24"/>
                <w:highlight w:val="none"/>
                <w:lang w:val="en-US" w:eastAsia="zh-CN"/>
              </w:rPr>
              <w:t>2-</w:t>
            </w:r>
            <w:r>
              <w:rPr>
                <w:rFonts w:hint="eastAsia" w:ascii="仿宋" w:hAnsi="仿宋" w:eastAsia="仿宋" w:cs="仿宋"/>
                <w:color w:val="000000"/>
                <w:kern w:val="0"/>
                <w:sz w:val="24"/>
                <w:szCs w:val="24"/>
                <w:highlight w:val="none"/>
              </w:rPr>
              <w:t>3分；方案内容存在欠缺或与项目匹配度一般的得1分；方案内容缺失严重或与项目不匹配的不得分。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sz w:val="24"/>
                <w:szCs w:val="24"/>
                <w:highlight w:val="none"/>
                <w:lang w:val="zh-CN"/>
              </w:rPr>
            </w:pPr>
            <w:r>
              <w:rPr>
                <w:rFonts w:hint="eastAsia" w:ascii="仿宋" w:hAnsi="仿宋" w:eastAsia="仿宋" w:cs="仿宋"/>
                <w:b/>
                <w:sz w:val="24"/>
                <w:szCs w:val="24"/>
                <w:highlight w:val="none"/>
              </w:rPr>
              <w:t>进度</w:t>
            </w:r>
            <w:r>
              <w:rPr>
                <w:rFonts w:hint="eastAsia" w:ascii="仿宋" w:hAnsi="仿宋" w:eastAsia="仿宋" w:cs="仿宋"/>
                <w:b/>
                <w:sz w:val="24"/>
                <w:szCs w:val="24"/>
                <w:highlight w:val="none"/>
                <w:lang w:val="en-US" w:eastAsia="zh-CN"/>
              </w:rPr>
              <w:t>控制方案</w:t>
            </w:r>
            <w:r>
              <w:rPr>
                <w:rFonts w:hint="eastAsia" w:ascii="仿宋" w:hAnsi="仿宋" w:eastAsia="仿宋" w:cs="仿宋"/>
                <w:b/>
                <w:sz w:val="24"/>
                <w:szCs w:val="24"/>
                <w:highlight w:val="none"/>
              </w:rPr>
              <w:t>：</w:t>
            </w:r>
          </w:p>
          <w:p>
            <w:pPr>
              <w:spacing w:line="240" w:lineRule="auto"/>
              <w:ind w:firstLine="0" w:firstLineChars="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sz w:val="24"/>
                <w:szCs w:val="24"/>
                <w:highlight w:val="none"/>
              </w:rPr>
              <w:t>供应商提供保障项目按时完成的进度安排，方案合理可行，</w:t>
            </w:r>
            <w:r>
              <w:rPr>
                <w:rFonts w:hint="eastAsia" w:ascii="仿宋" w:hAnsi="仿宋" w:eastAsia="仿宋" w:cs="仿宋"/>
                <w:color w:val="000000"/>
                <w:kern w:val="0"/>
                <w:sz w:val="24"/>
                <w:szCs w:val="24"/>
                <w:highlight w:val="none"/>
              </w:rPr>
              <w:t>方案内容完整且与项目匹配度好的得</w:t>
            </w:r>
            <w:r>
              <w:rPr>
                <w:rFonts w:hint="eastAsia" w:ascii="仿宋" w:hAnsi="仿宋" w:eastAsia="仿宋" w:cs="仿宋"/>
                <w:color w:val="000000"/>
                <w:kern w:val="0"/>
                <w:sz w:val="24"/>
                <w:szCs w:val="24"/>
                <w:highlight w:val="none"/>
                <w:lang w:val="en-US" w:eastAsia="zh-CN"/>
              </w:rPr>
              <w:t>4-</w:t>
            </w:r>
            <w:r>
              <w:rPr>
                <w:rFonts w:hint="eastAsia" w:ascii="仿宋" w:hAnsi="仿宋" w:eastAsia="仿宋" w:cs="仿宋"/>
                <w:color w:val="000000"/>
                <w:kern w:val="0"/>
                <w:sz w:val="24"/>
                <w:szCs w:val="24"/>
                <w:highlight w:val="none"/>
              </w:rPr>
              <w:t>5分；方案内容基本完整且与项目匹配度较好的得</w:t>
            </w:r>
            <w:r>
              <w:rPr>
                <w:rFonts w:hint="eastAsia" w:ascii="仿宋" w:hAnsi="仿宋" w:eastAsia="仿宋" w:cs="仿宋"/>
                <w:color w:val="000000"/>
                <w:kern w:val="0"/>
                <w:sz w:val="24"/>
                <w:szCs w:val="24"/>
                <w:highlight w:val="none"/>
                <w:lang w:val="en-US" w:eastAsia="zh-CN"/>
              </w:rPr>
              <w:t>2-</w:t>
            </w:r>
            <w:r>
              <w:rPr>
                <w:rFonts w:hint="eastAsia" w:ascii="仿宋" w:hAnsi="仿宋" w:eastAsia="仿宋" w:cs="仿宋"/>
                <w:color w:val="000000"/>
                <w:kern w:val="0"/>
                <w:sz w:val="24"/>
                <w:szCs w:val="24"/>
                <w:highlight w:val="none"/>
              </w:rPr>
              <w:t>3分；方案内容存在欠缺或与项目匹配度一般的得1分；方案内容缺失严重或与项目不匹配的不得分。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rPr>
          <w:trHeight w:val="3010" w:hRule="atLeast"/>
        </w:trP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spacing w:line="240" w:lineRule="auto"/>
              <w:ind w:firstLine="0" w:firstLineChars="0"/>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评估报告内容的完整性及合理性：</w:t>
            </w:r>
          </w:p>
          <w:p>
            <w:pPr>
              <w:spacing w:line="240" w:lineRule="auto"/>
              <w:ind w:firstLine="0" w:firstLineChars="0"/>
              <w:rPr>
                <w:rFonts w:hint="eastAsia" w:ascii="仿宋" w:hAnsi="仿宋" w:eastAsia="仿宋" w:cs="仿宋"/>
                <w:b/>
                <w:sz w:val="24"/>
                <w:szCs w:val="24"/>
                <w:highlight w:val="none"/>
                <w:lang w:val="en-US" w:eastAsia="zh-CN"/>
              </w:rPr>
            </w:pPr>
            <w:r>
              <w:rPr>
                <w:rFonts w:hint="eastAsia" w:ascii="仿宋" w:hAnsi="仿宋" w:eastAsia="仿宋" w:cs="仿宋"/>
                <w:i w:val="0"/>
                <w:iCs w:val="0"/>
                <w:color w:val="000000"/>
                <w:kern w:val="0"/>
                <w:sz w:val="24"/>
                <w:szCs w:val="24"/>
                <w:highlight w:val="none"/>
                <w:u w:val="none"/>
                <w:lang w:val="en-US" w:eastAsia="zh-CN" w:bidi="ar"/>
              </w:rPr>
              <w:t>投标人依据软件成本度量相关标准，模拟出具一份造价评估报告，评估报告内容需包含软件功能点规模、工作量、成本的评估内容以及计算过程、计算参数等内容。需提供报告样例，根据报告内容完整性及合理性，由评委综合评定，内容完整，全面且与项目匹配度好的得5-6分，</w:t>
            </w:r>
            <w:r>
              <w:rPr>
                <w:rFonts w:hint="eastAsia" w:ascii="仿宋" w:hAnsi="仿宋" w:eastAsia="仿宋" w:cs="仿宋"/>
                <w:color w:val="000000"/>
                <w:kern w:val="0"/>
                <w:sz w:val="24"/>
                <w:szCs w:val="24"/>
                <w:highlight w:val="none"/>
              </w:rPr>
              <w:t>内容基本完整且与项目匹配度较好的得3-4分；内容存在欠缺或与项目匹配度一般的得1-2分；内容缺失严重或与项目不匹配的不得分。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color w:val="000000"/>
                <w:sz w:val="24"/>
                <w:szCs w:val="24"/>
                <w:highlight w:val="none"/>
                <w:lang w:val="zh-CN"/>
              </w:rPr>
            </w:pPr>
            <w:r>
              <w:rPr>
                <w:rFonts w:hint="eastAsia" w:ascii="仿宋" w:hAnsi="仿宋" w:eastAsia="仿宋" w:cs="仿宋"/>
                <w:b/>
                <w:color w:val="000000"/>
                <w:sz w:val="24"/>
                <w:szCs w:val="24"/>
                <w:highlight w:val="none"/>
                <w:lang w:val="zh-CN"/>
              </w:rPr>
              <w:t>风险及应对措施：</w:t>
            </w:r>
          </w:p>
          <w:p>
            <w:pPr>
              <w:spacing w:line="240" w:lineRule="auto"/>
              <w:ind w:firstLine="0" w:firstLineChars="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kern w:val="0"/>
                <w:sz w:val="24"/>
                <w:szCs w:val="24"/>
                <w:highlight w:val="none"/>
                <w:lang w:val="en-US" w:eastAsia="zh-CN"/>
              </w:rPr>
              <w:t>供应商针对本项目中可能出现的风险提供风险预案。</w:t>
            </w:r>
            <w:r>
              <w:rPr>
                <w:rFonts w:hint="eastAsia" w:ascii="仿宋" w:hAnsi="仿宋" w:eastAsia="仿宋" w:cs="仿宋"/>
                <w:kern w:val="0"/>
                <w:sz w:val="24"/>
                <w:szCs w:val="24"/>
                <w:highlight w:val="none"/>
                <w:lang w:val="zh-CN"/>
              </w:rPr>
              <w:t>方案内容</w:t>
            </w:r>
            <w:r>
              <w:rPr>
                <w:rFonts w:hint="eastAsia" w:ascii="仿宋" w:hAnsi="仿宋" w:eastAsia="仿宋" w:cs="仿宋"/>
                <w:kern w:val="0"/>
                <w:sz w:val="24"/>
                <w:szCs w:val="24"/>
                <w:highlight w:val="none"/>
                <w:lang w:val="en-US" w:eastAsia="zh-CN"/>
              </w:rPr>
              <w:t>全面、具体</w:t>
            </w:r>
            <w:r>
              <w:rPr>
                <w:rFonts w:hint="eastAsia" w:ascii="仿宋" w:hAnsi="仿宋" w:eastAsia="仿宋" w:cs="仿宋"/>
                <w:kern w:val="0"/>
                <w:sz w:val="24"/>
                <w:szCs w:val="24"/>
                <w:highlight w:val="none"/>
                <w:lang w:val="zh-CN"/>
              </w:rPr>
              <w:t>，</w:t>
            </w:r>
            <w:r>
              <w:rPr>
                <w:rFonts w:hint="eastAsia" w:ascii="仿宋" w:hAnsi="仿宋" w:eastAsia="仿宋" w:cs="仿宋"/>
                <w:sz w:val="24"/>
                <w:szCs w:val="24"/>
                <w:highlight w:val="none"/>
              </w:rPr>
              <w:t>且切实可行</w:t>
            </w:r>
            <w:r>
              <w:rPr>
                <w:rFonts w:hint="eastAsia" w:ascii="仿宋" w:hAnsi="仿宋" w:eastAsia="仿宋" w:cs="仿宋"/>
                <w:kern w:val="0"/>
                <w:sz w:val="24"/>
                <w:szCs w:val="24"/>
                <w:highlight w:val="none"/>
                <w:lang w:val="zh-CN"/>
              </w:rPr>
              <w:t>并符合采购需求得</w:t>
            </w:r>
            <w:r>
              <w:rPr>
                <w:rFonts w:hint="eastAsia" w:ascii="仿宋" w:hAnsi="仿宋" w:eastAsia="仿宋" w:cs="仿宋"/>
                <w:kern w:val="0"/>
                <w:sz w:val="24"/>
                <w:szCs w:val="24"/>
                <w:highlight w:val="none"/>
                <w:lang w:val="en-US" w:eastAsia="zh-CN"/>
              </w:rPr>
              <w:t>4-6</w:t>
            </w:r>
            <w:r>
              <w:rPr>
                <w:rFonts w:hint="eastAsia" w:ascii="仿宋" w:hAnsi="仿宋" w:eastAsia="仿宋" w:cs="仿宋"/>
                <w:kern w:val="0"/>
                <w:sz w:val="24"/>
                <w:szCs w:val="24"/>
                <w:highlight w:val="none"/>
                <w:lang w:val="zh-CN"/>
              </w:rPr>
              <w:t>分，方案内容较为完整，基本符合采购需求的得2</w:t>
            </w:r>
            <w:r>
              <w:rPr>
                <w:rFonts w:hint="eastAsia" w:ascii="仿宋" w:hAnsi="仿宋" w:eastAsia="仿宋" w:cs="仿宋"/>
                <w:kern w:val="0"/>
                <w:sz w:val="24"/>
                <w:szCs w:val="24"/>
                <w:highlight w:val="none"/>
                <w:lang w:val="en-US" w:eastAsia="zh-CN"/>
              </w:rPr>
              <w:t>-4</w:t>
            </w:r>
            <w:r>
              <w:rPr>
                <w:rFonts w:hint="eastAsia" w:ascii="仿宋" w:hAnsi="仿宋" w:eastAsia="仿宋" w:cs="仿宋"/>
                <w:kern w:val="0"/>
                <w:sz w:val="24"/>
                <w:szCs w:val="24"/>
                <w:highlight w:val="none"/>
                <w:lang w:val="zh-CN"/>
              </w:rPr>
              <w:t>分，方案内容有欠缺，部分符合采购需求的得1</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lang w:val="zh-CN"/>
              </w:rPr>
              <w:t>分，未体现相关内容或方案不合理的</w:t>
            </w:r>
            <w:r>
              <w:rPr>
                <w:rFonts w:hint="eastAsia" w:ascii="仿宋" w:hAnsi="仿宋" w:eastAsia="仿宋" w:cs="仿宋"/>
                <w:kern w:val="0"/>
                <w:sz w:val="24"/>
                <w:szCs w:val="24"/>
                <w:highlight w:val="none"/>
                <w:lang w:val="en-US" w:eastAsia="zh-CN"/>
              </w:rPr>
              <w:t>不</w:t>
            </w:r>
            <w:r>
              <w:rPr>
                <w:rFonts w:hint="eastAsia" w:ascii="仿宋" w:hAnsi="仿宋" w:eastAsia="仿宋" w:cs="仿宋"/>
                <w:kern w:val="0"/>
                <w:sz w:val="24"/>
                <w:szCs w:val="24"/>
                <w:highlight w:val="none"/>
                <w:lang w:val="zh-CN"/>
              </w:rPr>
              <w:t>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合理化建议：</w:t>
            </w:r>
          </w:p>
          <w:p>
            <w:pPr>
              <w:spacing w:line="240" w:lineRule="auto"/>
              <w:ind w:firstLine="0" w:firstLineChars="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sz w:val="24"/>
                <w:szCs w:val="24"/>
                <w:highlight w:val="none"/>
              </w:rPr>
              <w:t>结合自身经验和体会，提出针对本项目的合理化建议或意见，内容全面、完整且切实可行符合采购人需求的得</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分，内容全面、完整的得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分，内容、针对性一般的得1分，存在明显缺陷或未体现相关内容的不得分。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pStyle w:val="128"/>
              <w:spacing w:before="0"/>
              <w:ind w:firstLine="0" w:firstLineChars="0"/>
              <w:rPr>
                <w:rFonts w:hint="eastAsia" w:ascii="仿宋" w:hAnsi="仿宋" w:eastAsia="仿宋" w:cs="仿宋"/>
                <w:b/>
                <w:color w:val="000000"/>
                <w:kern w:val="2"/>
                <w:sz w:val="24"/>
                <w:szCs w:val="24"/>
                <w:highlight w:val="none"/>
                <w:lang w:val="en-US" w:eastAsia="zh-CN" w:bidi="ar-SA"/>
              </w:rPr>
            </w:pPr>
            <w:r>
              <w:rPr>
                <w:rFonts w:hint="eastAsia" w:ascii="仿宋" w:hAnsi="仿宋" w:eastAsia="仿宋" w:cs="仿宋"/>
                <w:b/>
                <w:color w:val="000000"/>
                <w:kern w:val="2"/>
                <w:sz w:val="24"/>
                <w:szCs w:val="24"/>
                <w:highlight w:val="none"/>
                <w:lang w:val="en-US" w:eastAsia="zh-CN" w:bidi="ar-SA"/>
              </w:rPr>
              <w:t>人员到位率、稳定性措施及管理制度：</w:t>
            </w:r>
          </w:p>
          <w:p>
            <w:pPr>
              <w:pStyle w:val="128"/>
              <w:numPr>
                <w:ilvl w:val="0"/>
                <w:numId w:val="6"/>
              </w:numPr>
              <w:spacing w:before="0" w:line="240" w:lineRule="auto"/>
              <w:ind w:firstLine="0" w:firstLineChars="0"/>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供应商</w:t>
            </w:r>
            <w:r>
              <w:rPr>
                <w:rFonts w:hint="eastAsia" w:ascii="仿宋" w:hAnsi="仿宋" w:eastAsia="仿宋" w:cs="仿宋"/>
                <w:kern w:val="0"/>
                <w:sz w:val="24"/>
                <w:szCs w:val="24"/>
                <w:highlight w:val="none"/>
                <w:lang w:val="zh-CN"/>
              </w:rPr>
              <w:t>针对技术人员到位率和人员稳定性方面的保障措施，驻场人数及人员应急措施</w:t>
            </w:r>
            <w:r>
              <w:rPr>
                <w:rFonts w:hint="eastAsia" w:ascii="仿宋" w:hAnsi="仿宋" w:eastAsia="仿宋" w:cs="仿宋"/>
                <w:kern w:val="0"/>
                <w:sz w:val="24"/>
                <w:szCs w:val="24"/>
                <w:highlight w:val="none"/>
                <w:lang w:val="en-US" w:eastAsia="zh-CN"/>
              </w:rPr>
              <w:t>提供方案。</w:t>
            </w:r>
            <w:r>
              <w:rPr>
                <w:rFonts w:hint="eastAsia" w:ascii="仿宋" w:hAnsi="仿宋" w:eastAsia="仿宋" w:cs="仿宋"/>
                <w:kern w:val="0"/>
                <w:sz w:val="24"/>
                <w:szCs w:val="24"/>
                <w:highlight w:val="none"/>
                <w:lang w:val="zh-CN"/>
              </w:rPr>
              <w:t>方案内容完整，并符合采购需求得</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lang w:val="zh-CN"/>
              </w:rPr>
              <w:t>分，方案内容较为完整，基本符合采购需求的得2分，方案内容有欠缺，部分符合采购需求的得1分，未体现相关内容或方案不合理的</w:t>
            </w:r>
            <w:r>
              <w:rPr>
                <w:rFonts w:hint="eastAsia" w:ascii="仿宋" w:hAnsi="仿宋" w:eastAsia="仿宋" w:cs="仿宋"/>
                <w:kern w:val="0"/>
                <w:sz w:val="24"/>
                <w:szCs w:val="24"/>
                <w:highlight w:val="none"/>
                <w:lang w:val="en-US" w:eastAsia="zh-CN"/>
              </w:rPr>
              <w:t>不</w:t>
            </w:r>
            <w:r>
              <w:rPr>
                <w:rFonts w:hint="eastAsia" w:ascii="仿宋" w:hAnsi="仿宋" w:eastAsia="仿宋" w:cs="仿宋"/>
                <w:kern w:val="0"/>
                <w:sz w:val="24"/>
                <w:szCs w:val="24"/>
                <w:highlight w:val="none"/>
                <w:lang w:val="zh-CN"/>
              </w:rPr>
              <w:t>得分。</w:t>
            </w:r>
          </w:p>
          <w:p>
            <w:pPr>
              <w:pStyle w:val="128"/>
              <w:numPr>
                <w:ilvl w:val="0"/>
                <w:numId w:val="6"/>
              </w:numPr>
              <w:spacing w:before="0" w:line="240" w:lineRule="auto"/>
              <w:ind w:firstLine="0" w:firstLineChars="0"/>
              <w:rPr>
                <w:rFonts w:hint="eastAsia" w:ascii="仿宋" w:hAnsi="仿宋" w:eastAsia="仿宋" w:cs="仿宋"/>
                <w:kern w:val="0"/>
                <w:sz w:val="24"/>
                <w:szCs w:val="24"/>
                <w:highlight w:val="none"/>
                <w:lang w:val="en-US" w:eastAsia="zh-CN"/>
              </w:rPr>
            </w:pPr>
            <w:r>
              <w:rPr>
                <w:rFonts w:hint="eastAsia" w:ascii="仿宋" w:hAnsi="仿宋" w:eastAsia="仿宋" w:cs="仿宋"/>
                <w:color w:val="000000"/>
                <w:kern w:val="0"/>
                <w:sz w:val="24"/>
                <w:szCs w:val="24"/>
                <w:highlight w:val="none"/>
              </w:rPr>
              <w:t>管理制度（职业道德规范制度、人员考核制度、员工日常行为规范管理制度、档案管理制度等相关规章制度）完整、有效性，方案内容完整且与项目匹配度好的得</w:t>
            </w:r>
            <w:r>
              <w:rPr>
                <w:rFonts w:hint="eastAsia" w:ascii="仿宋" w:hAnsi="仿宋" w:eastAsia="仿宋" w:cs="仿宋"/>
                <w:color w:val="000000"/>
                <w:kern w:val="0"/>
                <w:sz w:val="24"/>
                <w:szCs w:val="24"/>
                <w:highlight w:val="none"/>
                <w:lang w:val="en-US" w:eastAsia="zh-CN"/>
              </w:rPr>
              <w:t>3</w:t>
            </w:r>
            <w:r>
              <w:rPr>
                <w:rFonts w:hint="eastAsia" w:ascii="仿宋" w:hAnsi="仿宋" w:eastAsia="仿宋" w:cs="仿宋"/>
                <w:color w:val="000000"/>
                <w:kern w:val="0"/>
                <w:sz w:val="24"/>
                <w:szCs w:val="24"/>
                <w:highlight w:val="none"/>
              </w:rPr>
              <w:t>分；方案内容基本完整且与项目匹配度较好的得</w:t>
            </w:r>
            <w:r>
              <w:rPr>
                <w:rFonts w:hint="eastAsia" w:ascii="仿宋" w:hAnsi="仿宋" w:eastAsia="仿宋" w:cs="仿宋"/>
                <w:color w:val="000000"/>
                <w:kern w:val="0"/>
                <w:sz w:val="24"/>
                <w:szCs w:val="24"/>
                <w:highlight w:val="none"/>
                <w:lang w:val="en-US" w:eastAsia="zh-CN"/>
              </w:rPr>
              <w:t>2</w:t>
            </w:r>
            <w:r>
              <w:rPr>
                <w:rFonts w:hint="eastAsia" w:ascii="仿宋" w:hAnsi="仿宋" w:eastAsia="仿宋" w:cs="仿宋"/>
                <w:color w:val="000000"/>
                <w:kern w:val="0"/>
                <w:sz w:val="24"/>
                <w:szCs w:val="24"/>
                <w:highlight w:val="none"/>
              </w:rPr>
              <w:t>分；方案内容存在欠缺或与项目匹配度一般的得1分；方案内容缺失严重或与项目不匹配的不得分。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rPr>
          <w:trHeight w:val="2052" w:hRule="atLeast"/>
        </w:trP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left="3" w:leftChars="-10" w:hanging="24" w:hangingChars="10"/>
              <w:rPr>
                <w:rFonts w:hint="eastAsia" w:ascii="仿宋" w:hAnsi="仿宋" w:eastAsia="仿宋" w:cs="仿宋"/>
                <w:b/>
                <w:color w:val="000000"/>
                <w:sz w:val="24"/>
                <w:szCs w:val="24"/>
                <w:highlight w:val="none"/>
                <w:lang w:val="zh-CN"/>
              </w:rPr>
            </w:pPr>
            <w:r>
              <w:rPr>
                <w:rFonts w:hint="eastAsia" w:ascii="仿宋" w:hAnsi="仿宋" w:eastAsia="仿宋" w:cs="仿宋"/>
                <w:b/>
                <w:color w:val="000000"/>
                <w:sz w:val="24"/>
                <w:szCs w:val="24"/>
                <w:highlight w:val="none"/>
                <w:lang w:bidi="ar"/>
              </w:rPr>
              <w:t>保密及廉政执业</w:t>
            </w:r>
            <w:r>
              <w:rPr>
                <w:rFonts w:hint="eastAsia" w:ascii="仿宋" w:hAnsi="仿宋" w:eastAsia="仿宋" w:cs="仿宋"/>
                <w:b/>
                <w:color w:val="000000"/>
                <w:sz w:val="24"/>
                <w:szCs w:val="24"/>
                <w:highlight w:val="none"/>
                <w:lang w:val="zh-CN"/>
              </w:rPr>
              <w:t>方案：</w:t>
            </w:r>
          </w:p>
          <w:p>
            <w:pPr>
              <w:spacing w:line="240" w:lineRule="auto"/>
              <w:ind w:firstLine="0" w:firstLineChars="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保密及廉政执业方案合理可行，针对本项目的保密协议及严格的廉政执业、保密制度等合理可行得</w:t>
            </w:r>
            <w:r>
              <w:rPr>
                <w:rFonts w:hint="eastAsia" w:ascii="仿宋" w:hAnsi="仿宋" w:eastAsia="仿宋" w:cs="仿宋"/>
                <w:sz w:val="24"/>
                <w:szCs w:val="24"/>
                <w:highlight w:val="none"/>
                <w:lang w:val="en-US" w:eastAsia="zh-CN"/>
              </w:rPr>
              <w:t>3-5</w:t>
            </w:r>
            <w:r>
              <w:rPr>
                <w:rFonts w:hint="eastAsia" w:ascii="仿宋" w:hAnsi="仿宋" w:eastAsia="仿宋" w:cs="仿宋"/>
                <w:sz w:val="24"/>
                <w:szCs w:val="24"/>
                <w:highlight w:val="none"/>
              </w:rPr>
              <w:t>分；方案较可行得2</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分；方案可行性一般的得1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分，存在明显缺陷或未体现相关内容的不得分。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主观分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firstLine="0" w:firstLineChars="0"/>
              <w:textAlignment w:val="baseline"/>
              <w:rPr>
                <w:rFonts w:hint="eastAsia" w:ascii="仿宋" w:hAnsi="仿宋" w:eastAsia="仿宋" w:cs="仿宋"/>
                <w:b/>
                <w:sz w:val="24"/>
                <w:szCs w:val="24"/>
                <w:highlight w:val="none"/>
              </w:rPr>
            </w:pPr>
            <w:r>
              <w:rPr>
                <w:rFonts w:hint="eastAsia" w:ascii="仿宋" w:hAnsi="仿宋" w:eastAsia="仿宋" w:cs="仿宋"/>
                <w:b/>
                <w:sz w:val="24"/>
                <w:szCs w:val="24"/>
                <w:highlight w:val="none"/>
              </w:rPr>
              <w:t>项目</w:t>
            </w:r>
            <w:r>
              <w:rPr>
                <w:rFonts w:hint="eastAsia" w:ascii="仿宋" w:hAnsi="仿宋" w:eastAsia="仿宋" w:cs="仿宋"/>
                <w:b/>
                <w:sz w:val="24"/>
                <w:szCs w:val="24"/>
                <w:highlight w:val="none"/>
                <w:lang w:val="en-US" w:eastAsia="zh-CN"/>
              </w:rPr>
              <w:t>总</w:t>
            </w:r>
            <w:r>
              <w:rPr>
                <w:rFonts w:hint="eastAsia" w:ascii="仿宋" w:hAnsi="仿宋" w:eastAsia="仿宋" w:cs="仿宋"/>
                <w:b/>
                <w:sz w:val="24"/>
                <w:szCs w:val="24"/>
                <w:highlight w:val="none"/>
              </w:rPr>
              <w:t>负责人：</w:t>
            </w:r>
          </w:p>
          <w:p>
            <w:pPr>
              <w:pStyle w:val="2"/>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1、具有信息系统项目管理师</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高级）</w:t>
            </w:r>
            <w:r>
              <w:rPr>
                <w:rFonts w:hint="eastAsia" w:ascii="仿宋" w:hAnsi="仿宋" w:eastAsia="仿宋" w:cs="仿宋"/>
                <w:sz w:val="24"/>
                <w:szCs w:val="24"/>
                <w:highlight w:val="none"/>
              </w:rPr>
              <w:t>、咨询工程师证书（投资）、</w:t>
            </w:r>
            <w:r>
              <w:rPr>
                <w:rFonts w:hint="eastAsia" w:ascii="仿宋" w:hAnsi="仿宋" w:eastAsia="仿宋" w:cs="仿宋"/>
                <w:sz w:val="24"/>
                <w:szCs w:val="24"/>
                <w:highlight w:val="none"/>
                <w:lang w:val="en-US" w:eastAsia="zh-CN"/>
              </w:rPr>
              <w:t>统计师</w:t>
            </w:r>
            <w:r>
              <w:rPr>
                <w:rFonts w:hint="eastAsia" w:ascii="仿宋" w:hAnsi="仿宋" w:eastAsia="仿宋" w:cs="仿宋"/>
                <w:sz w:val="24"/>
                <w:szCs w:val="24"/>
                <w:highlight w:val="none"/>
              </w:rPr>
              <w:t>证书、软件造价</w:t>
            </w:r>
            <w:r>
              <w:rPr>
                <w:rFonts w:hint="eastAsia" w:ascii="仿宋" w:hAnsi="仿宋" w:eastAsia="仿宋" w:cs="仿宋"/>
                <w:sz w:val="24"/>
                <w:szCs w:val="24"/>
                <w:highlight w:val="none"/>
                <w:lang w:val="en-US" w:eastAsia="zh-CN"/>
              </w:rPr>
              <w:t>评估</w:t>
            </w:r>
            <w:r>
              <w:rPr>
                <w:rFonts w:hint="eastAsia" w:ascii="仿宋" w:hAnsi="仿宋" w:eastAsia="仿宋" w:cs="仿宋"/>
                <w:sz w:val="24"/>
                <w:szCs w:val="24"/>
                <w:highlight w:val="none"/>
              </w:rPr>
              <w:t>师证书的，每有一个得1分，最高得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p>
          <w:p>
            <w:pPr>
              <w:pStyle w:val="2"/>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2、具有电子政务项目</w:t>
            </w:r>
            <w:r>
              <w:rPr>
                <w:rFonts w:hint="eastAsia" w:ascii="仿宋" w:hAnsi="仿宋" w:eastAsia="仿宋" w:cs="仿宋"/>
                <w:sz w:val="24"/>
                <w:szCs w:val="24"/>
                <w:highlight w:val="none"/>
                <w:lang w:val="en-US" w:eastAsia="zh-CN"/>
              </w:rPr>
              <w:t>预审</w:t>
            </w:r>
            <w:r>
              <w:rPr>
                <w:rFonts w:hint="eastAsia" w:ascii="仿宋" w:hAnsi="仿宋" w:eastAsia="仿宋" w:cs="仿宋"/>
                <w:sz w:val="24"/>
                <w:szCs w:val="24"/>
                <w:highlight w:val="none"/>
              </w:rPr>
              <w:t>和电子政务系统审计经验的，得2分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需提供相应工作经验证明材料</w:t>
            </w:r>
            <w:r>
              <w:rPr>
                <w:rFonts w:hint="eastAsia" w:ascii="仿宋" w:hAnsi="仿宋" w:eastAsia="仿宋" w:cs="仿宋"/>
                <w:sz w:val="24"/>
                <w:szCs w:val="24"/>
                <w:highlight w:val="none"/>
              </w:rPr>
              <w:t>。</w:t>
            </w:r>
          </w:p>
          <w:p>
            <w:pPr>
              <w:pStyle w:val="44"/>
              <w:spacing w:line="240" w:lineRule="auto"/>
              <w:ind w:left="2" w:leftChars="0" w:hanging="2" w:hangingChars="1"/>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注：须提供相关证明材料及供应商为其缴纳的近三个月内任意一个月的社保证明复印件加盖公章，未提供不得分。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adjustRightInd w:val="0"/>
              <w:snapToGrid w:val="0"/>
              <w:spacing w:line="240" w:lineRule="auto"/>
              <w:ind w:firstLine="0" w:firstLineChars="0"/>
              <w:textAlignment w:val="baseline"/>
              <w:rPr>
                <w:rFonts w:hint="eastAsia" w:ascii="仿宋" w:hAnsi="仿宋" w:eastAsia="仿宋" w:cs="仿宋"/>
                <w:b/>
                <w:sz w:val="24"/>
                <w:szCs w:val="24"/>
                <w:highlight w:val="none"/>
              </w:rPr>
            </w:pPr>
            <w:r>
              <w:rPr>
                <w:rFonts w:hint="eastAsia" w:ascii="仿宋" w:hAnsi="仿宋" w:eastAsia="仿宋" w:cs="仿宋"/>
                <w:b/>
                <w:sz w:val="24"/>
                <w:szCs w:val="24"/>
                <w:highlight w:val="none"/>
              </w:rPr>
              <w:t>技术负责人：</w:t>
            </w:r>
          </w:p>
          <w:p>
            <w:pPr>
              <w:pStyle w:val="2"/>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1、具有咨询工程师证书（投资）、软件工程造价师证书、信息系统项目管理师</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高级）</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程序员</w:t>
            </w:r>
            <w:r>
              <w:rPr>
                <w:rFonts w:hint="eastAsia" w:ascii="仿宋" w:hAnsi="仿宋" w:eastAsia="仿宋" w:cs="仿宋"/>
                <w:sz w:val="24"/>
                <w:szCs w:val="24"/>
                <w:highlight w:val="none"/>
              </w:rPr>
              <w:t>证书的，每有一个得1分，最高得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p>
          <w:p>
            <w:pPr>
              <w:pStyle w:val="2"/>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2、具有电子政务项目</w:t>
            </w:r>
            <w:r>
              <w:rPr>
                <w:rFonts w:hint="eastAsia" w:ascii="仿宋" w:hAnsi="仿宋" w:eastAsia="仿宋" w:cs="仿宋"/>
                <w:sz w:val="24"/>
                <w:szCs w:val="24"/>
                <w:highlight w:val="none"/>
                <w:lang w:val="en-US" w:eastAsia="zh-CN"/>
              </w:rPr>
              <w:t>预</w:t>
            </w:r>
            <w:r>
              <w:rPr>
                <w:rFonts w:hint="eastAsia" w:ascii="仿宋" w:hAnsi="仿宋" w:eastAsia="仿宋" w:cs="仿宋"/>
                <w:sz w:val="24"/>
                <w:szCs w:val="24"/>
                <w:highlight w:val="none"/>
              </w:rPr>
              <w:t>审和电子政务系统</w:t>
            </w:r>
            <w:r>
              <w:rPr>
                <w:rFonts w:hint="eastAsia" w:ascii="仿宋" w:hAnsi="仿宋" w:eastAsia="仿宋" w:cs="仿宋"/>
                <w:sz w:val="24"/>
                <w:szCs w:val="24"/>
                <w:highlight w:val="none"/>
                <w:lang w:val="en-US" w:eastAsia="zh-CN"/>
              </w:rPr>
              <w:t>审计</w:t>
            </w:r>
            <w:r>
              <w:rPr>
                <w:rFonts w:hint="eastAsia" w:ascii="仿宋" w:hAnsi="仿宋" w:eastAsia="仿宋" w:cs="仿宋"/>
                <w:sz w:val="24"/>
                <w:szCs w:val="24"/>
                <w:highlight w:val="none"/>
              </w:rPr>
              <w:t>经验的，得</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需提供相应工作经验证明材料</w:t>
            </w:r>
            <w:r>
              <w:rPr>
                <w:rFonts w:hint="eastAsia" w:ascii="仿宋" w:hAnsi="仿宋" w:eastAsia="仿宋" w:cs="仿宋"/>
                <w:sz w:val="24"/>
                <w:szCs w:val="24"/>
                <w:highlight w:val="none"/>
              </w:rPr>
              <w:t>。</w:t>
            </w:r>
          </w:p>
          <w:p>
            <w:pPr>
              <w:pStyle w:val="44"/>
              <w:spacing w:line="240" w:lineRule="auto"/>
              <w:ind w:left="2" w:leftChars="0" w:hanging="2" w:hangingChars="1"/>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注：须提供相关证明材料及供应商为其缴纳的近三个月内任意一个月的社保证明复印件加盖公章，未提供不得分。</w:t>
            </w:r>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r>
        <w:tc>
          <w:tcPr>
            <w:tcW w:w="507"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1205" w:type="dxa"/>
            <w:vMerge w:val="continue"/>
            <w:vAlign w:val="center"/>
          </w:tcPr>
          <w:p>
            <w:pPr>
              <w:pStyle w:val="43"/>
              <w:jc w:val="center"/>
              <w:rPr>
                <w:rFonts w:hint="eastAsia" w:ascii="仿宋" w:hAnsi="仿宋" w:eastAsia="仿宋" w:cs="仿宋"/>
                <w:sz w:val="24"/>
                <w:szCs w:val="24"/>
                <w:highlight w:val="none"/>
                <w:vertAlign w:val="baseline"/>
                <w:lang w:val="en-US" w:eastAsia="zh-CN"/>
              </w:rPr>
            </w:pPr>
          </w:p>
        </w:tc>
        <w:tc>
          <w:tcPr>
            <w:tcW w:w="6110" w:type="dxa"/>
            <w:shd w:val="clear" w:color="auto" w:fill="auto"/>
            <w:vAlign w:val="center"/>
          </w:tcPr>
          <w:p>
            <w:pPr>
              <w:pStyle w:val="44"/>
              <w:spacing w:line="240" w:lineRule="auto"/>
              <w:ind w:left="0" w:leftChars="0" w:firstLine="0" w:firstLineChars="0"/>
              <w:jc w:val="left"/>
              <w:rPr>
                <w:rFonts w:hint="eastAsia" w:ascii="仿宋" w:hAnsi="仿宋" w:eastAsia="仿宋" w:cs="仿宋"/>
                <w:b/>
                <w:sz w:val="24"/>
                <w:szCs w:val="24"/>
                <w:highlight w:val="none"/>
              </w:rPr>
            </w:pPr>
            <w:bookmarkStart w:id="409" w:name="_GoBack"/>
            <w:r>
              <w:rPr>
                <w:rFonts w:hint="eastAsia" w:ascii="仿宋" w:hAnsi="仿宋" w:eastAsia="仿宋" w:cs="仿宋"/>
                <w:b/>
                <w:sz w:val="24"/>
                <w:szCs w:val="24"/>
                <w:highlight w:val="none"/>
              </w:rPr>
              <w:t>团队成员（项目</w:t>
            </w:r>
            <w:r>
              <w:rPr>
                <w:rFonts w:hint="eastAsia" w:ascii="仿宋" w:hAnsi="仿宋" w:eastAsia="仿宋" w:cs="仿宋"/>
                <w:b/>
                <w:sz w:val="24"/>
                <w:szCs w:val="24"/>
                <w:highlight w:val="none"/>
                <w:lang w:val="en-US" w:eastAsia="zh-CN"/>
              </w:rPr>
              <w:t>总</w:t>
            </w:r>
            <w:r>
              <w:rPr>
                <w:rFonts w:hint="eastAsia" w:ascii="仿宋" w:hAnsi="仿宋" w:eastAsia="仿宋" w:cs="仿宋"/>
                <w:b/>
                <w:sz w:val="24"/>
                <w:szCs w:val="24"/>
                <w:highlight w:val="none"/>
              </w:rPr>
              <w:t>负责人、技术负责人除外）：</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1、具有咨询工程师证书（投资）的得1分；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2、具有信息系统项目管理师</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高级）证书</w:t>
            </w:r>
            <w:r>
              <w:rPr>
                <w:rFonts w:hint="eastAsia" w:ascii="仿宋" w:hAnsi="仿宋" w:eastAsia="仿宋" w:cs="仿宋"/>
                <w:sz w:val="24"/>
                <w:szCs w:val="24"/>
                <w:highlight w:val="none"/>
              </w:rPr>
              <w:t>的得1分；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具有软件工程造价师证书</w:t>
            </w:r>
            <w:r>
              <w:rPr>
                <w:rFonts w:hint="eastAsia" w:ascii="仿宋" w:hAnsi="仿宋" w:eastAsia="仿宋" w:cs="仿宋"/>
                <w:sz w:val="24"/>
                <w:szCs w:val="24"/>
                <w:highlight w:val="none"/>
                <w:lang w:val="en-US" w:eastAsia="zh-CN"/>
              </w:rPr>
              <w:t>的</w:t>
            </w:r>
            <w:r>
              <w:rPr>
                <w:rFonts w:hint="eastAsia" w:ascii="仿宋" w:hAnsi="仿宋" w:eastAsia="仿宋" w:cs="仿宋"/>
                <w:sz w:val="24"/>
                <w:szCs w:val="24"/>
                <w:highlight w:val="none"/>
              </w:rPr>
              <w:t>得1分；</w:t>
            </w:r>
          </w:p>
          <w:p>
            <w:pPr>
              <w:tabs>
                <w:tab w:val="left" w:pos="432"/>
              </w:tabs>
              <w:spacing w:line="240" w:lineRule="auto"/>
              <w:ind w:firstLine="0"/>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4、具有会计专业技术资格证书的得1分；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、具有计算机技术与软件专业技术资格（水平）考试中级证书</w:t>
            </w:r>
            <w:r>
              <w:rPr>
                <w:rFonts w:hint="eastAsia" w:ascii="仿宋" w:hAnsi="仿宋" w:eastAsia="仿宋" w:cs="仿宋"/>
                <w:sz w:val="24"/>
                <w:szCs w:val="24"/>
                <w:highlight w:val="none"/>
                <w:lang w:val="en-US" w:eastAsia="zh-CN"/>
              </w:rPr>
              <w:t>及以上证书的，</w:t>
            </w:r>
            <w:r>
              <w:rPr>
                <w:rFonts w:hint="eastAsia" w:ascii="仿宋" w:hAnsi="仿宋" w:eastAsia="仿宋" w:cs="仿宋"/>
                <w:sz w:val="24"/>
                <w:szCs w:val="24"/>
                <w:highlight w:val="none"/>
              </w:rPr>
              <w:t>每有一个得1分，最多得2分。</w:t>
            </w:r>
          </w:p>
          <w:p>
            <w:pPr>
              <w:spacing w:line="240" w:lineRule="auto"/>
              <w:ind w:firstLine="0" w:firstLineChars="0"/>
              <w:rPr>
                <w:rFonts w:hint="eastAsia" w:ascii="仿宋" w:hAnsi="仿宋" w:eastAsia="仿宋" w:cs="仿宋"/>
                <w:sz w:val="24"/>
                <w:szCs w:val="24"/>
                <w:highlight w:val="none"/>
              </w:rPr>
            </w:pPr>
            <w:r>
              <w:rPr>
                <w:rFonts w:hint="eastAsia" w:ascii="仿宋" w:hAnsi="仿宋" w:eastAsia="仿宋" w:cs="仿宋"/>
                <w:sz w:val="24"/>
                <w:szCs w:val="24"/>
                <w:highlight w:val="none"/>
              </w:rPr>
              <w:t>本项最高得</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w:t>
            </w:r>
          </w:p>
          <w:p>
            <w:pPr>
              <w:pStyle w:val="33"/>
              <w:spacing w:line="240" w:lineRule="auto"/>
              <w:ind w:firstLine="0" w:firstLineChars="0"/>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szCs w:val="24"/>
                <w:highlight w:val="none"/>
              </w:rPr>
              <w:t>注：一人多证仅按单项计分。须提供相关证明材料及供应商为其缴纳的近三个月内任意一个月的社保证明复印件加盖公章，未提供不得分。</w:t>
            </w:r>
            <w:bookmarkEnd w:id="409"/>
          </w:p>
        </w:tc>
        <w:tc>
          <w:tcPr>
            <w:tcW w:w="50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6</w:t>
            </w:r>
          </w:p>
        </w:tc>
        <w:tc>
          <w:tcPr>
            <w:tcW w:w="849" w:type="dxa"/>
            <w:vAlign w:val="center"/>
          </w:tcPr>
          <w:p>
            <w:pPr>
              <w:pStyle w:val="43"/>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客观分</w:t>
            </w:r>
          </w:p>
        </w:tc>
      </w:tr>
    </w:tbl>
    <w:p>
      <w:pPr>
        <w:autoSpaceDE w:val="0"/>
        <w:autoSpaceDN w:val="0"/>
        <w:spacing w:line="360" w:lineRule="auto"/>
        <w:rPr>
          <w:rFonts w:hint="eastAsia" w:ascii="仿宋" w:hAnsi="仿宋" w:eastAsia="仿宋" w:cs="仿宋"/>
          <w:b/>
          <w:sz w:val="24"/>
          <w:szCs w:val="24"/>
          <w:highlight w:val="none"/>
          <w:lang w:val="zh-CN"/>
        </w:rPr>
      </w:pPr>
    </w:p>
    <w:p>
      <w:pPr>
        <w:autoSpaceDE w:val="0"/>
        <w:autoSpaceDN w:val="0"/>
        <w:spacing w:line="360" w:lineRule="auto"/>
        <w:rPr>
          <w:rFonts w:hint="eastAsia" w:ascii="仿宋" w:hAnsi="仿宋" w:eastAsia="仿宋" w:cs="仿宋"/>
          <w:b/>
          <w:sz w:val="24"/>
          <w:szCs w:val="24"/>
          <w:highlight w:val="none"/>
          <w:lang w:val="zh-CN"/>
        </w:rPr>
      </w:pPr>
      <w:r>
        <w:rPr>
          <w:rFonts w:hint="eastAsia" w:ascii="仿宋" w:hAnsi="仿宋" w:eastAsia="仿宋" w:cs="仿宋"/>
          <w:b/>
          <w:sz w:val="24"/>
          <w:szCs w:val="24"/>
          <w:highlight w:val="none"/>
          <w:lang w:val="zh-CN"/>
        </w:rPr>
        <w:t>（</w:t>
      </w:r>
      <w:r>
        <w:rPr>
          <w:rFonts w:hint="eastAsia" w:ascii="仿宋" w:hAnsi="仿宋" w:eastAsia="仿宋" w:cs="仿宋"/>
          <w:b/>
          <w:sz w:val="24"/>
          <w:szCs w:val="24"/>
          <w:highlight w:val="none"/>
          <w:lang w:val="en-US" w:eastAsia="zh-CN"/>
        </w:rPr>
        <w:t>二</w:t>
      </w:r>
      <w:r>
        <w:rPr>
          <w:rFonts w:hint="eastAsia" w:ascii="仿宋" w:hAnsi="仿宋" w:eastAsia="仿宋" w:cs="仿宋"/>
          <w:b/>
          <w:sz w:val="24"/>
          <w:szCs w:val="24"/>
          <w:highlight w:val="none"/>
          <w:lang w:val="zh-CN"/>
        </w:rPr>
        <w:t>）商务报价（满分</w:t>
      </w:r>
      <w:r>
        <w:rPr>
          <w:rFonts w:hint="eastAsia" w:ascii="仿宋" w:hAnsi="仿宋" w:eastAsia="仿宋" w:cs="仿宋"/>
          <w:b/>
          <w:sz w:val="24"/>
          <w:szCs w:val="24"/>
          <w:highlight w:val="none"/>
          <w:u w:val="single"/>
        </w:rPr>
        <w:t xml:space="preserve"> 10 </w:t>
      </w:r>
      <w:r>
        <w:rPr>
          <w:rFonts w:hint="eastAsia" w:ascii="仿宋" w:hAnsi="仿宋" w:eastAsia="仿宋" w:cs="仿宋"/>
          <w:b/>
          <w:sz w:val="24"/>
          <w:szCs w:val="24"/>
          <w:highlight w:val="none"/>
          <w:lang w:val="zh-CN"/>
        </w:rPr>
        <w:t>分）</w:t>
      </w:r>
    </w:p>
    <w:p>
      <w:pPr>
        <w:snapToGrid w:val="0"/>
        <w:spacing w:line="360" w:lineRule="auto"/>
        <w:ind w:firstLine="482" w:firstLineChars="200"/>
        <w:rPr>
          <w:rFonts w:hint="eastAsia" w:ascii="仿宋" w:hAnsi="仿宋" w:eastAsia="仿宋" w:cs="仿宋"/>
          <w:b/>
          <w:bCs/>
          <w:sz w:val="24"/>
          <w:szCs w:val="24"/>
          <w:highlight w:val="none"/>
          <w:lang w:val="zh-CN"/>
        </w:rPr>
      </w:pPr>
      <w:r>
        <w:rPr>
          <w:rFonts w:hint="eastAsia" w:ascii="仿宋" w:hAnsi="仿宋" w:eastAsia="仿宋" w:cs="仿宋"/>
          <w:b/>
          <w:bCs/>
          <w:sz w:val="24"/>
          <w:szCs w:val="24"/>
          <w:highlight w:val="none"/>
        </w:rPr>
        <w:t>1.</w:t>
      </w:r>
      <w:r>
        <w:rPr>
          <w:rFonts w:hint="eastAsia" w:ascii="仿宋" w:hAnsi="仿宋" w:eastAsia="仿宋" w:cs="仿宋"/>
          <w:b/>
          <w:bCs/>
          <w:sz w:val="24"/>
          <w:szCs w:val="24"/>
          <w:highlight w:val="none"/>
          <w:lang w:val="zh-CN"/>
        </w:rPr>
        <w:t>投标价格的合理性：</w:t>
      </w:r>
    </w:p>
    <w:p>
      <w:pPr>
        <w:snapToGrid w:val="0"/>
        <w:spacing w:line="360" w:lineRule="auto"/>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分析总报价及各个分项报价是否合理，报价范围是否完整，有否重大错漏项，评标委员会认为投标报价出现异常时，有权要求投标人在评标期间对投标报价的详细组成作出解释和澄清，并确认其投标报价是否有效。</w:t>
      </w:r>
    </w:p>
    <w:p>
      <w:pPr>
        <w:snapToGrid w:val="0"/>
        <w:spacing w:line="360" w:lineRule="auto"/>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2.商务报价计算</w:t>
      </w:r>
    </w:p>
    <w:p>
      <w:pPr>
        <w:snapToGrid w:val="0"/>
        <w:spacing w:line="360" w:lineRule="auto"/>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各投标人的商务报价得分统一采用低价优先法计算，即满足采购文件要求且投标价格最低的投标报价为评标基准价，其价格分为满分</w:t>
      </w:r>
      <w:r>
        <w:rPr>
          <w:rFonts w:hint="eastAsia" w:ascii="仿宋" w:hAnsi="仿宋" w:eastAsia="仿宋" w:cs="仿宋"/>
          <w:sz w:val="24"/>
          <w:szCs w:val="24"/>
          <w:highlight w:val="none"/>
          <w:u w:val="single"/>
        </w:rPr>
        <w:t xml:space="preserve"> 10 </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zh-CN"/>
        </w:rPr>
        <w:t>。其他投标人的商务报价得分统一按照下列公式计算：</w:t>
      </w:r>
    </w:p>
    <w:p>
      <w:pPr>
        <w:snapToGrid w:val="0"/>
        <w:spacing w:line="360" w:lineRule="auto"/>
        <w:ind w:firstLine="480" w:firstLineChars="200"/>
        <w:rPr>
          <w:rFonts w:hint="eastAsia" w:ascii="仿宋" w:hAnsi="仿宋" w:eastAsia="仿宋" w:cs="仿宋"/>
          <w:sz w:val="24"/>
          <w:highlight w:val="none"/>
          <w:shd w:val="clear" w:color="auto" w:fill="FFFFFF"/>
        </w:rPr>
      </w:pPr>
      <w:r>
        <w:rPr>
          <w:rFonts w:hint="eastAsia" w:ascii="仿宋" w:hAnsi="仿宋" w:eastAsia="仿宋" w:cs="仿宋"/>
          <w:sz w:val="24"/>
          <w:szCs w:val="24"/>
          <w:highlight w:val="none"/>
          <w:lang w:val="zh-CN"/>
        </w:rPr>
        <w:t>投标报价得分=（评标基准价/投标报价）×价格权值（即</w:t>
      </w:r>
      <w:r>
        <w:rPr>
          <w:rFonts w:hint="eastAsia" w:ascii="仿宋" w:hAnsi="仿宋" w:eastAsia="仿宋" w:cs="仿宋"/>
          <w:sz w:val="24"/>
          <w:szCs w:val="24"/>
          <w:highlight w:val="none"/>
          <w:u w:val="single"/>
        </w:rPr>
        <w:t xml:space="preserve"> 10 </w:t>
      </w:r>
      <w:r>
        <w:rPr>
          <w:rFonts w:hint="eastAsia" w:ascii="仿宋" w:hAnsi="仿宋" w:eastAsia="仿宋" w:cs="仿宋"/>
          <w:sz w:val="24"/>
          <w:szCs w:val="24"/>
          <w:highlight w:val="none"/>
          <w:lang w:val="zh-CN"/>
        </w:rPr>
        <w:t>%）×100</w:t>
      </w:r>
    </w:p>
    <w:p>
      <w:pPr>
        <w:spacing w:line="360" w:lineRule="auto"/>
        <w:rPr>
          <w:rFonts w:hint="eastAsia" w:ascii="仿宋" w:hAnsi="仿宋" w:eastAsia="仿宋" w:cs="仿宋"/>
          <w:b/>
          <w:sz w:val="24"/>
          <w:highlight w:val="none"/>
        </w:rPr>
      </w:pPr>
      <w:r>
        <w:rPr>
          <w:rFonts w:hint="eastAsia" w:ascii="仿宋" w:hAnsi="仿宋" w:eastAsia="仿宋" w:cs="仿宋"/>
          <w:sz w:val="24"/>
          <w:highlight w:val="none"/>
          <w:shd w:val="clear" w:color="auto" w:fill="FFFFFF"/>
        </w:rPr>
        <w:t>*</w:t>
      </w: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w:t>
      </w:r>
    </w:p>
    <w:p>
      <w:pPr>
        <w:rPr>
          <w:rFonts w:hint="eastAsia" w:ascii="仿宋" w:hAnsi="仿宋" w:eastAsia="仿宋" w:cs="仿宋"/>
          <w:highlight w:val="none"/>
        </w:rPr>
      </w:pPr>
    </w:p>
    <w:p>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一、评审方法</w:t>
      </w:r>
    </w:p>
    <w:p>
      <w:pPr>
        <w:adjustRightInd/>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1.本项目采用综合评分法。</w:t>
      </w:r>
      <w:r>
        <w:rPr>
          <w:rFonts w:hint="eastAsia" w:ascii="仿宋" w:hAnsi="仿宋" w:eastAsia="仿宋" w:cs="仿宋"/>
          <w:kern w:val="0"/>
          <w:sz w:val="24"/>
          <w:highlight w:val="none"/>
        </w:rPr>
        <w:t>综合评分法，是指投标文件满足交易文件全部实质性要求，且按照评审因素的量化指标评审得分最高的供应商为中标候选人的评标方法。</w:t>
      </w:r>
    </w:p>
    <w:p>
      <w:pPr>
        <w:adjustRightInd/>
        <w:spacing w:line="360" w:lineRule="auto"/>
        <w:rPr>
          <w:rFonts w:hint="eastAsia" w:ascii="仿宋" w:hAnsi="仿宋" w:eastAsia="仿宋" w:cs="仿宋"/>
          <w:kern w:val="0"/>
          <w:sz w:val="24"/>
          <w:highlight w:val="none"/>
        </w:rPr>
      </w:pPr>
      <w:r>
        <w:rPr>
          <w:rFonts w:hint="eastAsia" w:ascii="仿宋" w:hAnsi="仿宋" w:eastAsia="仿宋" w:cs="仿宋"/>
          <w:b/>
          <w:sz w:val="24"/>
          <w:highlight w:val="none"/>
        </w:rPr>
        <w:t>二、评标标准</w:t>
      </w:r>
    </w:p>
    <w:p>
      <w:pPr>
        <w:spacing w:line="360" w:lineRule="auto"/>
        <w:ind w:firstLine="472" w:firstLineChars="196"/>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sz w:val="24"/>
          <w:highlight w:val="none"/>
        </w:rPr>
        <w:t xml:space="preserve"> </w:t>
      </w:r>
      <w:r>
        <w:rPr>
          <w:rFonts w:hint="eastAsia" w:ascii="仿宋" w:hAnsi="仿宋" w:eastAsia="仿宋" w:cs="仿宋"/>
          <w:b/>
          <w:sz w:val="24"/>
          <w:highlight w:val="none"/>
        </w:rPr>
        <w:t>评标标准：</w:t>
      </w:r>
      <w:r>
        <w:rPr>
          <w:rFonts w:hint="eastAsia" w:ascii="仿宋" w:hAnsi="仿宋" w:eastAsia="仿宋" w:cs="仿宋"/>
          <w:kern w:val="0"/>
          <w:sz w:val="24"/>
          <w:highlight w:val="none"/>
        </w:rPr>
        <w:t>见评审办法前附表。</w:t>
      </w:r>
    </w:p>
    <w:p>
      <w:pPr>
        <w:spacing w:line="360" w:lineRule="auto"/>
        <w:outlineLvl w:val="0"/>
        <w:rPr>
          <w:rFonts w:hint="eastAsia" w:ascii="仿宋" w:hAnsi="仿宋" w:eastAsia="仿宋" w:cs="仿宋"/>
          <w:b/>
          <w:sz w:val="24"/>
          <w:highlight w:val="none"/>
        </w:rPr>
      </w:pPr>
      <w:r>
        <w:rPr>
          <w:rFonts w:hint="eastAsia" w:ascii="仿宋" w:hAnsi="仿宋" w:eastAsia="仿宋" w:cs="仿宋"/>
          <w:b/>
          <w:sz w:val="24"/>
          <w:highlight w:val="none"/>
        </w:rPr>
        <w:t>三、评标程序</w:t>
      </w:r>
    </w:p>
    <w:p>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3.1符合性审查。</w:t>
      </w:r>
      <w:r>
        <w:rPr>
          <w:rFonts w:hint="eastAsia" w:ascii="仿宋" w:hAnsi="仿宋" w:eastAsia="仿宋" w:cs="仿宋"/>
          <w:kern w:val="0"/>
          <w:sz w:val="24"/>
          <w:highlight w:val="none"/>
        </w:rPr>
        <w:t>评标委员会应当对符合资格的投标人的投标文件进行符合性审查，以确定其是否满足交易文件的实质性要求。不满足交易文件的实质性要求的，投标无效。</w:t>
      </w:r>
    </w:p>
    <w:p>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3.2 比较与评价。</w:t>
      </w:r>
      <w:r>
        <w:rPr>
          <w:rFonts w:hint="eastAsia" w:ascii="仿宋" w:hAnsi="仿宋" w:eastAsia="仿宋" w:cs="仿宋"/>
          <w:kern w:val="0"/>
          <w:sz w:val="24"/>
          <w:highlight w:val="none"/>
        </w:rPr>
        <w:t>评标委员会应当按照交易文件中规定的评标方法和标准，对符合性审查合格的投标文件进行商务和技术评估，综合比较与评价。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3.3汇总商务技术得分。</w:t>
      </w:r>
      <w:r>
        <w:rPr>
          <w:rFonts w:hint="eastAsia" w:ascii="仿宋" w:hAnsi="仿宋" w:eastAsia="仿宋" w:cs="仿宋"/>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highlight w:val="none"/>
        </w:rPr>
      </w:pPr>
      <w:r>
        <w:rPr>
          <w:rFonts w:hint="eastAsia" w:ascii="仿宋" w:hAnsi="仿宋" w:eastAsia="仿宋" w:cs="仿宋"/>
          <w:b/>
          <w:kern w:val="0"/>
          <w:sz w:val="24"/>
          <w:highlight w:val="none"/>
        </w:rPr>
        <w:t>3.4报价评审。</w:t>
      </w:r>
    </w:p>
    <w:p>
      <w:pPr>
        <w:pStyle w:val="128"/>
        <w:spacing w:before="0"/>
        <w:ind w:firstLine="508" w:firstLineChars="212"/>
        <w:rPr>
          <w:rFonts w:hint="eastAsia" w:ascii="仿宋" w:hAnsi="仿宋" w:eastAsia="仿宋" w:cs="仿宋"/>
          <w:kern w:val="0"/>
          <w:szCs w:val="24"/>
          <w:highlight w:val="none"/>
        </w:rPr>
      </w:pPr>
      <w:r>
        <w:rPr>
          <w:rFonts w:hint="eastAsia" w:ascii="仿宋" w:hAnsi="仿宋" w:eastAsia="仿宋" w:cs="仿宋"/>
          <w:kern w:val="0"/>
          <w:szCs w:val="24"/>
          <w:highlight w:val="none"/>
        </w:rPr>
        <w:t>3.4.1投标文件报价出现前后不一致的，按照下列规定修正：</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3.4.1.1投标文件中开标一览表(报价表)内容与投标文件中相应内容不一致的，以开标一览表(报价表)为准;</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3.4.1.2大写金额和小写金额不一致的，以大写金额为准;</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3.4.1.3单价金额小数点或者百分比有明显错位的，以开标一览表的总价为准，并修改单价;</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3.4.1.4总价金额与按单价汇总金额不一致的，以单价金额计算结果为准。</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3.4.3投标报价超过交易文件中规定的预算金额或者最高限价的，投标无效。</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kern w:val="0"/>
          <w:sz w:val="24"/>
          <w:highlight w:val="none"/>
        </w:rPr>
      </w:pPr>
      <w:r>
        <w:rPr>
          <w:rFonts w:hint="eastAsia" w:ascii="仿宋" w:hAnsi="仿宋" w:eastAsia="仿宋" w:cs="仿宋"/>
          <w:b/>
          <w:kern w:val="0"/>
          <w:sz w:val="24"/>
          <w:highlight w:val="none"/>
        </w:rPr>
        <w:t>3.5排序与推荐。</w:t>
      </w:r>
      <w:r>
        <w:rPr>
          <w:rFonts w:hint="eastAsia" w:ascii="仿宋" w:hAnsi="仿宋" w:eastAsia="仿宋" w:cs="仿宋"/>
          <w:kern w:val="0"/>
          <w:sz w:val="24"/>
          <w:highlight w:val="none"/>
        </w:rPr>
        <w:t>采用综合评分法的，评标结果按评审后得分由高到低顺序排列。得分相同的，按投标报价由低到高顺序排列。得分且投标报价相同的并列。投标文件满足交易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kern w:val="0"/>
          <w:sz w:val="24"/>
          <w:highlight w:val="none"/>
        </w:rPr>
      </w:pPr>
      <w:r>
        <w:rPr>
          <w:rFonts w:hint="eastAsia" w:ascii="仿宋" w:hAnsi="仿宋" w:eastAsia="仿宋" w:cs="仿宋"/>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3.6编写评标报告。</w:t>
      </w:r>
      <w:r>
        <w:rPr>
          <w:rFonts w:hint="eastAsia" w:ascii="仿宋" w:hAnsi="仿宋" w:eastAsia="仿宋" w:cs="仿宋"/>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sz w:val="24"/>
          <w:highlight w:val="none"/>
        </w:rPr>
      </w:pPr>
      <w:r>
        <w:rPr>
          <w:rFonts w:hint="eastAsia" w:ascii="仿宋" w:hAnsi="仿宋" w:eastAsia="仿宋" w:cs="仿宋"/>
          <w:b/>
          <w:sz w:val="24"/>
          <w:highlight w:val="none"/>
        </w:rPr>
        <w:t>四、评标中的其他事项</w:t>
      </w:r>
    </w:p>
    <w:p>
      <w:pPr>
        <w:pStyle w:val="128"/>
        <w:spacing w:before="0"/>
        <w:ind w:firstLine="472" w:firstLineChars="196"/>
        <w:rPr>
          <w:rFonts w:hint="eastAsia" w:ascii="仿宋" w:hAnsi="仿宋" w:eastAsia="仿宋" w:cs="仿宋"/>
          <w:kern w:val="0"/>
          <w:szCs w:val="24"/>
          <w:highlight w:val="none"/>
        </w:rPr>
      </w:pPr>
      <w:r>
        <w:rPr>
          <w:rFonts w:hint="eastAsia" w:ascii="仿宋" w:hAnsi="仿宋" w:eastAsia="仿宋" w:cs="仿宋"/>
          <w:b/>
          <w:kern w:val="0"/>
          <w:szCs w:val="24"/>
          <w:highlight w:val="none"/>
        </w:rPr>
        <w:t>4.1投标人澄清、说明或者补正。</w:t>
      </w:r>
      <w:r>
        <w:rPr>
          <w:rFonts w:hint="eastAsia" w:ascii="仿宋" w:hAnsi="仿宋" w:eastAsia="仿宋" w:cs="仿宋"/>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仿宋" w:hAnsi="仿宋" w:eastAsia="仿宋" w:cs="仿宋"/>
          <w:highlight w:val="none"/>
        </w:rPr>
      </w:pPr>
      <w:r>
        <w:rPr>
          <w:rFonts w:hint="eastAsia" w:ascii="仿宋" w:hAnsi="仿宋" w:eastAsia="仿宋" w:cs="仿宋"/>
          <w:b/>
          <w:kern w:val="0"/>
          <w:highlight w:val="none"/>
        </w:rPr>
        <w:t>4.2投标无效。</w:t>
      </w:r>
      <w:r>
        <w:rPr>
          <w:rFonts w:hint="eastAsia" w:ascii="仿宋" w:hAnsi="仿宋" w:eastAsia="仿宋" w:cs="仿宋"/>
          <w:highlight w:val="none"/>
        </w:rPr>
        <w:t>有下列情形之一的，投标无效：</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4.2.1投标人不具备交易文件中规定的资格要求的（投标人未提供有效的资格文件的，视为投标人不具备交易文件中规定的资格要求）；</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4.2.2投标文件未按照交易文件要求签署、盖章的；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4.2.4投标文件含有采购人不能接受的附加条件的；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4.2.5投标文件中承诺的投标有效期少于交易文件中载明的投标有效期的；</w:t>
      </w:r>
    </w:p>
    <w:p>
      <w:pPr>
        <w:snapToGrid w:val="0"/>
        <w:spacing w:line="360" w:lineRule="auto"/>
        <w:ind w:firstLine="120" w:firstLineChars="50"/>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4.2.6投标文件出现不是唯一的、有选择性投标报价的;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4.2.7投标报价超过交易文件中规定的预算金额或者最高限价的;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4.2.9投标人对根据修正原则修正后的报价不确认的；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4.2.10投标人提供虚假材料投标的；</w:t>
      </w:r>
    </w:p>
    <w:p>
      <w:pPr>
        <w:spacing w:line="360" w:lineRule="auto"/>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4.2.12投标人仅提交备份投标文件，未在电子交易平台传输递交投标文件的，投标无效；</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4.2.13投标人未提供样品或提供的样品不满足交易需求实质性条件的，投标无效；</w:t>
      </w:r>
    </w:p>
    <w:p>
      <w:pPr>
        <w:pStyle w:val="5"/>
        <w:ind w:left="862" w:leftChars="205"/>
        <w:rPr>
          <w:rFonts w:hint="eastAsia" w:ascii="仿宋" w:hAnsi="仿宋" w:eastAsia="仿宋" w:cs="仿宋"/>
          <w:sz w:val="24"/>
          <w:szCs w:val="24"/>
          <w:highlight w:val="none"/>
        </w:rPr>
      </w:pPr>
      <w:r>
        <w:rPr>
          <w:rFonts w:hint="eastAsia" w:ascii="仿宋" w:hAnsi="仿宋" w:eastAsia="仿宋" w:cs="仿宋"/>
          <w:b w:val="0"/>
          <w:bCs w:val="0"/>
          <w:kern w:val="0"/>
          <w:sz w:val="24"/>
          <w:szCs w:val="24"/>
          <w:highlight w:val="none"/>
          <w:lang w:val="en-US"/>
        </w:rPr>
        <w:t>4.2.14 投标文件不满足交易文件的实质性要求的；</w:t>
      </w:r>
    </w:p>
    <w:p>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4.2.15法律、法规、规章（适用本市的）及省级以上规范性文件（适用本市的）规定的其他无效情形。</w:t>
      </w:r>
    </w:p>
    <w:p>
      <w:pPr>
        <w:pStyle w:val="25"/>
        <w:snapToGrid w:val="0"/>
        <w:spacing w:line="360" w:lineRule="auto"/>
        <w:ind w:firstLine="472" w:firstLineChars="196"/>
        <w:rPr>
          <w:rFonts w:hint="eastAsia" w:ascii="仿宋" w:hAnsi="仿宋" w:eastAsia="仿宋" w:cs="仿宋"/>
          <w:highlight w:val="none"/>
        </w:rPr>
      </w:pPr>
      <w:r>
        <w:rPr>
          <w:rFonts w:hint="eastAsia" w:ascii="仿宋" w:hAnsi="仿宋" w:eastAsia="仿宋" w:cs="仿宋"/>
          <w:b/>
          <w:highlight w:val="none"/>
        </w:rPr>
        <w:t>5.废标。</w:t>
      </w:r>
      <w:r>
        <w:rPr>
          <w:rFonts w:hint="eastAsia" w:ascii="仿宋" w:hAnsi="仿宋" w:eastAsia="仿宋" w:cs="仿宋"/>
          <w:highlight w:val="none"/>
        </w:rPr>
        <w:t>根据《中华人民共和国政府采购法》第三十六条之规定，在采购中，出现下列情形之一的，应予废标：</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5.1符合专业条件的供应商或者对交易文件作实质响应的供应商不足3家的；</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5.2出现影响采购公正的违法、违规行为的；</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5.3投标人的报价均超过了采购预算，采购人不能支付的；</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5.4因重大变故，采购任务取消的。</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废标后，采购代理机构应当将废标理由通知所有投标人。</w:t>
      </w:r>
    </w:p>
    <w:p>
      <w:pPr>
        <w:pStyle w:val="25"/>
        <w:snapToGrid w:val="0"/>
        <w:spacing w:line="360" w:lineRule="auto"/>
        <w:ind w:firstLine="590" w:firstLineChars="245"/>
        <w:rPr>
          <w:rFonts w:hint="eastAsia" w:ascii="仿宋" w:hAnsi="仿宋" w:eastAsia="仿宋" w:cs="仿宋"/>
          <w:highlight w:val="none"/>
        </w:rPr>
      </w:pPr>
      <w:r>
        <w:rPr>
          <w:rFonts w:hint="eastAsia" w:ascii="仿宋" w:hAnsi="仿宋" w:eastAsia="仿宋" w:cs="仿宋"/>
          <w:b/>
          <w:highlight w:val="none"/>
        </w:rPr>
        <w:t>6.修改交易文件，重新组织采购活动。</w:t>
      </w:r>
      <w:r>
        <w:rPr>
          <w:rFonts w:hint="eastAsia" w:ascii="仿宋" w:hAnsi="仿宋" w:eastAsia="仿宋" w:cs="仿宋"/>
          <w:highlight w:val="none"/>
        </w:rPr>
        <w:t>评标委员会发现交易文件存在歧义、重大缺陷导致评标工作无法进行，或者交易文件内容违反国家有关强制性规定的，将停止评标工作，并与采购人、采购代理机构沟通并作书面记录。采购人、采购代理机构确认后，将修改交易文件，重新组织采购活动。</w:t>
      </w:r>
    </w:p>
    <w:p>
      <w:pPr>
        <w:pStyle w:val="25"/>
        <w:snapToGrid w:val="0"/>
        <w:spacing w:line="360" w:lineRule="auto"/>
        <w:ind w:firstLine="482"/>
        <w:rPr>
          <w:rFonts w:hint="eastAsia" w:ascii="仿宋" w:hAnsi="仿宋" w:eastAsia="仿宋" w:cs="仿宋"/>
          <w:highlight w:val="none"/>
        </w:rPr>
      </w:pPr>
      <w:r>
        <w:rPr>
          <w:rFonts w:hint="eastAsia" w:ascii="仿宋" w:hAnsi="仿宋" w:eastAsia="仿宋" w:cs="仿宋"/>
          <w:b/>
          <w:kern w:val="0"/>
          <w:highlight w:val="none"/>
        </w:rPr>
        <w:t>7.重新开展采购。</w:t>
      </w:r>
      <w:r>
        <w:rPr>
          <w:rFonts w:hint="eastAsia" w:ascii="仿宋" w:hAnsi="仿宋" w:eastAsia="仿宋" w:cs="仿宋"/>
          <w:highlight w:val="none"/>
        </w:rPr>
        <w:t>有政府采购法第七十一条、第七十二条规定的违法行为之一，影响或者可能影响中标结果的，依照下列规定处理：</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7.1未确定中标供应商的，终止本次政府采购活动，重新开展政府采购活动。</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7.4政府采购合同已经履行，给采购人、供应商造成损失的，由责任人承担赔偿责任。</w:t>
      </w:r>
    </w:p>
    <w:p>
      <w:pPr>
        <w:pStyle w:val="25"/>
        <w:snapToGrid w:val="0"/>
        <w:spacing w:line="360" w:lineRule="auto"/>
        <w:rPr>
          <w:rFonts w:hint="eastAsia" w:ascii="仿宋" w:hAnsi="仿宋" w:eastAsia="仿宋" w:cs="仿宋"/>
          <w:highlight w:val="none"/>
        </w:rPr>
      </w:pPr>
      <w:r>
        <w:rPr>
          <w:rFonts w:hint="eastAsia" w:ascii="仿宋" w:hAnsi="仿宋" w:eastAsia="仿宋" w:cs="仿宋"/>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5"/>
        <w:snapToGrid w:val="0"/>
        <w:spacing w:line="360" w:lineRule="auto"/>
        <w:ind w:firstLine="0" w:firstLineChars="0"/>
        <w:rPr>
          <w:rFonts w:hint="eastAsia" w:ascii="仿宋" w:hAnsi="仿宋" w:eastAsia="仿宋" w:cs="仿宋"/>
          <w:highlight w:val="none"/>
        </w:rPr>
      </w:pPr>
    </w:p>
    <w:bookmarkEnd w:id="31"/>
    <w:p>
      <w:pPr>
        <w:spacing w:line="360" w:lineRule="auto"/>
        <w:ind w:left="720" w:leftChars="343" w:firstLine="723" w:firstLineChars="300"/>
        <w:outlineLvl w:val="0"/>
        <w:rPr>
          <w:rFonts w:hint="eastAsia" w:ascii="仿宋" w:hAnsi="仿宋" w:eastAsia="仿宋" w:cs="仿宋"/>
          <w:b/>
          <w:sz w:val="24"/>
          <w:highlight w:val="none"/>
        </w:rPr>
      </w:pPr>
      <w:bookmarkStart w:id="399" w:name="第五部分"/>
      <w:bookmarkStart w:id="400" w:name="_Toc86217003"/>
    </w:p>
    <w:p>
      <w:pPr>
        <w:spacing w:line="360" w:lineRule="auto"/>
        <w:ind w:left="720" w:leftChars="343" w:firstLine="723" w:firstLineChars="300"/>
        <w:outlineLvl w:val="0"/>
        <w:rPr>
          <w:rFonts w:hint="eastAsia" w:ascii="仿宋" w:hAnsi="仿宋" w:eastAsia="仿宋" w:cs="仿宋"/>
          <w:b/>
          <w:sz w:val="24"/>
          <w:highlight w:val="none"/>
        </w:rPr>
      </w:pPr>
      <w:r>
        <w:rPr>
          <w:rFonts w:hint="eastAsia" w:ascii="仿宋" w:hAnsi="仿宋" w:eastAsia="仿宋" w:cs="仿宋"/>
          <w:b/>
          <w:sz w:val="24"/>
          <w:highlight w:val="none"/>
        </w:rPr>
        <w:t xml:space="preserve">    </w:t>
      </w:r>
    </w:p>
    <w:p>
      <w:pPr>
        <w:widowControl/>
        <w:adjustRightInd/>
        <w:jc w:val="left"/>
        <w:rPr>
          <w:rFonts w:hint="eastAsia" w:ascii="仿宋" w:hAnsi="仿宋" w:eastAsia="仿宋" w:cs="仿宋"/>
          <w:b/>
          <w:sz w:val="24"/>
          <w:highlight w:val="none"/>
        </w:rPr>
      </w:pPr>
      <w:r>
        <w:rPr>
          <w:rFonts w:hint="eastAsia" w:ascii="仿宋" w:hAnsi="仿宋" w:eastAsia="仿宋" w:cs="仿宋"/>
          <w:b/>
          <w:sz w:val="24"/>
          <w:highlight w:val="none"/>
        </w:rPr>
        <w:br w:type="page"/>
      </w:r>
    </w:p>
    <w:p>
      <w:pPr>
        <w:spacing w:line="360" w:lineRule="auto"/>
        <w:jc w:val="center"/>
        <w:outlineLvl w:val="0"/>
        <w:rPr>
          <w:rFonts w:hint="eastAsia" w:ascii="仿宋" w:hAnsi="仿宋" w:eastAsia="仿宋" w:cs="仿宋"/>
          <w:b/>
          <w:sz w:val="24"/>
          <w:highlight w:val="none"/>
        </w:rPr>
      </w:pPr>
      <w:r>
        <w:rPr>
          <w:rFonts w:hint="eastAsia" w:ascii="仿宋" w:hAnsi="仿宋" w:eastAsia="仿宋" w:cs="仿宋"/>
          <w:b/>
          <w:sz w:val="24"/>
          <w:highlight w:val="none"/>
        </w:rPr>
        <w:t>第五部分 拟签订的合同文本</w:t>
      </w:r>
    </w:p>
    <w:p>
      <w:pPr>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注：本合同条款仅作参考，最终以实际签订合同为准。</w:t>
      </w:r>
    </w:p>
    <w:p>
      <w:pPr>
        <w:rPr>
          <w:rFonts w:hint="eastAsia" w:ascii="仿宋" w:hAnsi="仿宋" w:eastAsia="仿宋" w:cs="仿宋"/>
          <w:sz w:val="24"/>
          <w:highlight w:val="none"/>
        </w:rPr>
      </w:pP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rPr>
        <w:t>甲方（委托方）：</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rPr>
        <w:t>乙方（服务方）：</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sz w:val="24"/>
          <w:szCs w:val="24"/>
          <w:highlight w:val="none"/>
          <w:u w:val="single"/>
          <w:shd w:val="clear" w:color="auto" w:fill="FFFFFF"/>
        </w:rPr>
      </w:pPr>
      <w:r>
        <w:rPr>
          <w:rFonts w:hint="eastAsia" w:ascii="仿宋" w:hAnsi="仿宋" w:eastAsia="仿宋" w:cs="仿宋"/>
          <w:sz w:val="24"/>
          <w:szCs w:val="24"/>
          <w:highlight w:val="none"/>
          <w:shd w:val="clear" w:color="auto" w:fill="FFFFFF"/>
        </w:rPr>
        <w:t xml:space="preserve">    甲、乙双方根据</w:t>
      </w:r>
      <w:r>
        <w:rPr>
          <w:rFonts w:hint="eastAsia" w:ascii="仿宋" w:hAnsi="仿宋" w:eastAsia="仿宋" w:cs="仿宋"/>
          <w:sz w:val="24"/>
          <w:szCs w:val="24"/>
          <w:highlight w:val="none"/>
          <w:shd w:val="clear" w:color="auto" w:fill="FFFFFF"/>
          <w:lang w:val="en-US" w:eastAsia="zh-CN"/>
        </w:rPr>
        <w:t>萧山区数据资源管理局</w:t>
      </w:r>
      <w:r>
        <w:rPr>
          <w:rFonts w:hint="eastAsia" w:ascii="仿宋" w:hAnsi="仿宋" w:eastAsia="仿宋" w:cs="仿宋"/>
          <w:sz w:val="24"/>
          <w:szCs w:val="24"/>
          <w:highlight w:val="none"/>
          <w:shd w:val="clear" w:color="auto" w:fill="FFFFFF"/>
        </w:rPr>
        <w:t>关于</w:t>
      </w:r>
      <w:r>
        <w:rPr>
          <w:rFonts w:hint="eastAsia" w:ascii="仿宋" w:hAnsi="仿宋" w:eastAsia="仿宋" w:cs="仿宋"/>
          <w:sz w:val="24"/>
          <w:szCs w:val="24"/>
          <w:highlight w:val="none"/>
          <w:shd w:val="clear" w:color="auto" w:fill="FFFFFF"/>
          <w:lang w:val="en-US" w:eastAsia="zh-CN"/>
        </w:rPr>
        <w:t>2025年度政务信息化项目预审服务的</w:t>
      </w:r>
      <w:r>
        <w:rPr>
          <w:rFonts w:hint="eastAsia" w:ascii="仿宋" w:hAnsi="仿宋" w:eastAsia="仿宋" w:cs="仿宋"/>
          <w:sz w:val="24"/>
          <w:szCs w:val="24"/>
          <w:highlight w:val="none"/>
          <w:shd w:val="clear" w:color="auto" w:fill="FFFFFF"/>
        </w:rPr>
        <w:t>采购结果，签署本合同。甲乙双方本着既严格执行国家有关政策，又兼顾双方利益的原则，就甲方委托乙方提供</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服务事宜，双方经协商一致，签订本合同，以资共同遵守。</w:t>
      </w:r>
    </w:p>
    <w:p>
      <w:pPr>
        <w:pStyle w:val="58"/>
        <w:keepNext w:val="0"/>
        <w:keepLines w:val="0"/>
        <w:pageBreakBefore w:val="0"/>
        <w:widowControl/>
        <w:numPr>
          <w:ilvl w:val="0"/>
          <w:numId w:val="7"/>
        </w:numPr>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rPr>
        <w:t xml:space="preserve">   服务范围</w:t>
      </w:r>
      <w:r>
        <w:rPr>
          <w:rFonts w:hint="eastAsia" w:ascii="仿宋" w:hAnsi="仿宋" w:eastAsia="仿宋" w:cs="仿宋"/>
          <w:b w:val="0"/>
          <w:bCs/>
          <w:sz w:val="24"/>
          <w:szCs w:val="24"/>
          <w:highlight w:val="none"/>
          <w:shd w:val="clear" w:color="auto" w:fill="FFFFFF"/>
          <w:lang w:eastAsia="zh-CN"/>
        </w:rPr>
        <w:t>、</w:t>
      </w:r>
      <w:r>
        <w:rPr>
          <w:rFonts w:hint="eastAsia" w:ascii="仿宋" w:hAnsi="仿宋" w:eastAsia="仿宋" w:cs="仿宋"/>
          <w:b w:val="0"/>
          <w:bCs/>
          <w:sz w:val="24"/>
          <w:szCs w:val="24"/>
          <w:highlight w:val="none"/>
          <w:shd w:val="clear" w:color="auto" w:fill="FFFFFF"/>
          <w:lang w:val="en-US" w:eastAsia="zh-CN"/>
        </w:rPr>
        <w:t>期限及地点</w:t>
      </w:r>
    </w:p>
    <w:p>
      <w:pPr>
        <w:pStyle w:val="58"/>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right="0" w:rightChars="0"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范围：</w:t>
      </w:r>
      <w:r>
        <w:rPr>
          <w:rFonts w:hint="eastAsia" w:ascii="仿宋" w:hAnsi="仿宋" w:eastAsia="仿宋" w:cs="仿宋"/>
          <w:sz w:val="24"/>
          <w:szCs w:val="24"/>
          <w:highlight w:val="none"/>
          <w:shd w:val="clear" w:color="auto" w:fill="FFFFFF"/>
        </w:rPr>
        <w:t>对</w:t>
      </w:r>
      <w:r>
        <w:rPr>
          <w:rFonts w:hint="eastAsia" w:ascii="仿宋" w:hAnsi="仿宋" w:eastAsia="仿宋" w:cs="仿宋"/>
          <w:sz w:val="24"/>
          <w:szCs w:val="24"/>
          <w:highlight w:val="none"/>
          <w:shd w:val="clear" w:color="auto" w:fill="FFFFFF"/>
          <w:lang w:val="en-US" w:eastAsia="zh-CN"/>
        </w:rPr>
        <w:t>萧山区</w:t>
      </w:r>
      <w:r>
        <w:rPr>
          <w:rFonts w:hint="eastAsia" w:ascii="仿宋" w:hAnsi="仿宋" w:eastAsia="仿宋" w:cs="仿宋"/>
          <w:sz w:val="24"/>
          <w:szCs w:val="24"/>
          <w:highlight w:val="none"/>
          <w:shd w:val="clear" w:color="auto" w:fill="FFFFFF"/>
          <w:lang w:val="en-US" w:eastAsia="zh-CN"/>
        </w:rPr>
        <w:t>数据资源管理局2025年度的政务信息化项目</w:t>
      </w:r>
      <w:r>
        <w:rPr>
          <w:rFonts w:hint="eastAsia" w:ascii="仿宋" w:hAnsi="仿宋" w:eastAsia="仿宋" w:cs="仿宋"/>
          <w:sz w:val="24"/>
          <w:szCs w:val="24"/>
          <w:highlight w:val="none"/>
          <w:shd w:val="clear" w:color="auto" w:fill="FFFFFF"/>
        </w:rPr>
        <w:t>进行第三方</w:t>
      </w:r>
      <w:r>
        <w:rPr>
          <w:rFonts w:hint="eastAsia" w:ascii="仿宋" w:hAnsi="仿宋" w:eastAsia="仿宋" w:cs="仿宋"/>
          <w:sz w:val="24"/>
          <w:szCs w:val="24"/>
          <w:highlight w:val="none"/>
          <w:shd w:val="clear" w:color="auto" w:fill="FFFFFF"/>
          <w:lang w:val="en-US" w:eastAsia="zh-CN"/>
        </w:rPr>
        <w:t>预审服务</w:t>
      </w:r>
      <w:r>
        <w:rPr>
          <w:rFonts w:hint="eastAsia" w:ascii="仿宋" w:hAnsi="仿宋" w:eastAsia="仿宋" w:cs="仿宋"/>
          <w:sz w:val="24"/>
          <w:szCs w:val="24"/>
          <w:highlight w:val="none"/>
          <w:shd w:val="clear" w:color="auto" w:fill="FFFFFF"/>
        </w:rPr>
        <w:t>。</w:t>
      </w:r>
    </w:p>
    <w:p>
      <w:pPr>
        <w:pStyle w:val="58"/>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right="0" w:rightChars="0" w:firstLine="480" w:firstLineChars="20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期限：合同签订之日起1年。</w:t>
      </w:r>
    </w:p>
    <w:p>
      <w:pPr>
        <w:pStyle w:val="58"/>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right="0" w:rightChars="0" w:firstLine="480" w:firstLineChars="20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 xml:space="preserve">地点：采购人指定地点。 </w:t>
      </w:r>
    </w:p>
    <w:p>
      <w:pPr>
        <w:pStyle w:val="58"/>
        <w:keepNext w:val="0"/>
        <w:keepLines w:val="0"/>
        <w:pageBreakBefore w:val="0"/>
        <w:widowControl/>
        <w:numPr>
          <w:ilvl w:val="0"/>
          <w:numId w:val="7"/>
        </w:numPr>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服务内容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在2025年度为区政务信息化项目申报材料、建设方案的预审阶段提供咨询评估服务，出具评估报告并提出相关意见建议。主要包含以下工作内容：</w:t>
      </w:r>
    </w:p>
    <w:p>
      <w:pPr>
        <w:pStyle w:val="3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1.入库前审查。协助采购人对区政府信息化项目的申报材料完整性、建设依据充分性、绩效目标明确性、建设需求必要性开展形式审查；对申报项目的建设内容进行查重比对。</w:t>
      </w:r>
    </w:p>
    <w:p>
      <w:pPr>
        <w:pStyle w:val="3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2.方案预审。配合采购人做好对项目建设方案和投资估算等进行全面、客观的咨询评估。包括：</w:t>
      </w:r>
    </w:p>
    <w:p>
      <w:pPr>
        <w:pStyle w:val="3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3.合规性审查。评估项目的必要性；审查项目建设方案、投资概算等文件规定的建设内容、目标、预算等各环节内容一致，不存在重大差异；审查申报材料齐全、完整性。</w:t>
      </w:r>
    </w:p>
    <w:p>
      <w:pPr>
        <w:pStyle w:val="3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4.方案内容审查。投标人在收到申报单位提交的材料后，3个工作日内完成材料框架的完整性审查，并反馈至申报单位整改。要求申报表框架内容明确清晰；项目方案各章节内容完整；系统填报信息需满足项目库要求，按系统审核流程环节提出不同预审意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5.技术可行性及安全可靠性审查。协助审查申报单位项目立项必要性、方案内容合理性、技术方案可行性、安全可靠性、投资预算合理性以及经济和社会效益等方面提出科学、合理的意见和建议，为项目投资立项提供决策支持，为申报单位修改完善建设方案提供咨询服务。出具需求评估审核意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6.概算合理性审查。投标人需按照建设方案和投资概算，根据项目特点，通过科学专业的评估方法，判断应用软件的价格是否与功能匹配、基础设施设备参数价格是否必要和合理，对项目造价进行分析、计算和判断，最终形成评估结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7.方案跟踪整改。投标人需复核项目按意见修改完善的建设方案，针对未修改完善的提出整改意见，推动项目申报单位整改落实。</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8.申报管理体系优化</w:t>
      </w:r>
    </w:p>
    <w:p>
      <w:pPr>
        <w:keepNext w:val="0"/>
        <w:keepLines w:val="0"/>
        <w:widowControl w:val="0"/>
        <w:suppressLineNumbers w:val="0"/>
        <w:spacing w:line="360" w:lineRule="auto"/>
        <w:ind w:firstLine="480" w:firstLineChars="200"/>
        <w:jc w:val="left"/>
        <w:outlineLvl w:val="9"/>
        <w:rPr>
          <w:rFonts w:hint="eastAsia" w:ascii="仿宋" w:hAnsi="仿宋" w:eastAsia="仿宋" w:cs="仿宋"/>
          <w:bCs/>
          <w:color w:val="000000"/>
          <w:sz w:val="24"/>
          <w:szCs w:val="24"/>
          <w:highlight w:val="none"/>
        </w:rPr>
      </w:pPr>
      <w:r>
        <w:rPr>
          <w:rFonts w:hint="eastAsia" w:ascii="仿宋" w:hAnsi="仿宋" w:eastAsia="仿宋" w:cs="仿宋"/>
          <w:kern w:val="0"/>
          <w:sz w:val="24"/>
          <w:szCs w:val="24"/>
          <w:highlight w:val="none"/>
          <w:shd w:val="clear" w:color="auto" w:fill="FFFFFF"/>
          <w:lang w:val="en-US" w:eastAsia="zh-CN" w:bidi="ar"/>
        </w:rPr>
        <w:t>按照采购人的要求，梳理、分类归纳各项申报内容，修订形成科学、合理、规范的项目申报方案模板，确保项目相关重点信息在方案中完全体现。在已有申报模板的基础上，完善项目绩效目标章节，支撑后续绩效评价工作的有序开展；优化网络安全章节，明确项目是否落实安全可靠原则和国产化适配；优化运维管理章节，初步制定建设项目的运维费用、内容和运维时长及要求。结合萧山区现有项目基础，从现状分析、需求合理性、投资估算、文本规范性、效益分析等制定需求评估规则。</w:t>
      </w:r>
    </w:p>
    <w:p>
      <w:pPr>
        <w:pStyle w:val="58"/>
        <w:keepNext w:val="0"/>
        <w:keepLines w:val="0"/>
        <w:pageBreakBefore w:val="0"/>
        <w:widowControl/>
        <w:numPr>
          <w:ilvl w:val="0"/>
          <w:numId w:val="7"/>
        </w:numPr>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 时间要求</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收到完整齐全的项目资料后，应当在下列时间内完成预审报告：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1.信息化项目送审金额在100万元之内，从接受到需求文档、支撑材料起3 个工作日内完成；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2.信息化项目送审金额在100-500万元之内，从接受到需求文档、支撑材料起5个工作日内完成；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3.信息化项目送审金额在500-1000万元以上，从接受到需求文档、支撑材料起10个工作日内完成；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4.信息化项目送审金额在1000-3000万元以上，从接受到需求文档、支撑材料起15个工作日内完成；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 xml:space="preserve">5.信息化项目送审金额在3000万元以上，从接受到需求文档、支撑材料起30个工作日内完成。 </w:t>
      </w:r>
    </w:p>
    <w:p>
      <w:pPr>
        <w:pStyle w:val="58"/>
        <w:keepNext w:val="0"/>
        <w:keepLines w:val="0"/>
        <w:pageBreakBefore w:val="0"/>
        <w:widowControl/>
        <w:numPr>
          <w:ilvl w:val="-1"/>
          <w:numId w:val="0"/>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480" w:firstLineChars="200"/>
        <w:jc w:val="both"/>
        <w:textAlignment w:val="auto"/>
        <w:rPr>
          <w:rFonts w:hint="eastAsia" w:ascii="仿宋" w:hAnsi="仿宋" w:eastAsia="仿宋" w:cs="仿宋"/>
          <w:b w:val="0"/>
          <w:bCs/>
          <w:sz w:val="24"/>
          <w:szCs w:val="24"/>
          <w:highlight w:val="none"/>
          <w:shd w:val="clear" w:color="auto" w:fill="FFFFFF"/>
          <w:lang w:val="en-US" w:eastAsia="zh-CN"/>
        </w:rPr>
      </w:pPr>
      <w:r>
        <w:rPr>
          <w:rFonts w:hint="eastAsia" w:ascii="仿宋" w:hAnsi="仿宋" w:eastAsia="仿宋" w:cs="仿宋"/>
          <w:b w:val="0"/>
          <w:bCs/>
          <w:sz w:val="24"/>
          <w:szCs w:val="24"/>
          <w:highlight w:val="none"/>
          <w:shd w:val="clear" w:color="auto" w:fill="FFFFFF"/>
          <w:lang w:val="en-US" w:eastAsia="zh-CN"/>
        </w:rPr>
        <w:t>如遇超大规模项目，另行协商沟通。</w:t>
      </w:r>
    </w:p>
    <w:p>
      <w:pPr>
        <w:pStyle w:val="58"/>
        <w:keepNext w:val="0"/>
        <w:keepLines w:val="0"/>
        <w:pageBreakBefore w:val="0"/>
        <w:widowControl/>
        <w:numPr>
          <w:ilvl w:val="0"/>
          <w:numId w:val="7"/>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0" w:firstLineChars="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lang w:val="en-US" w:eastAsia="zh-CN"/>
        </w:rPr>
        <w:t>监管处罚</w:t>
      </w:r>
    </w:p>
    <w:p>
      <w:pPr>
        <w:numPr>
          <w:ilvl w:val="-1"/>
          <w:numId w:val="0"/>
        </w:numPr>
        <w:spacing w:line="360" w:lineRule="auto"/>
        <w:ind w:firstLine="480" w:firstLineChars="200"/>
        <w:outlineLvl w:val="9"/>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1.服务期限内，投标人每提供一份预审报告，采购人对投标人的服务开展满意度打分。满意度在80分以下的，每出现一次扣1000元；满意度在60分以下的，每出现一次扣2000元；满意度在60分以下出现5次及以上的，采购人有权单方面解除合同并不再支付未结算的费用。</w:t>
      </w:r>
    </w:p>
    <w:p>
      <w:pPr>
        <w:pStyle w:val="2"/>
        <w:numPr>
          <w:ilvl w:val="-1"/>
          <w:numId w:val="0"/>
        </w:numPr>
        <w:spacing w:line="360" w:lineRule="auto"/>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 xml:space="preserve">    2.服务期限内，采购人未在要求时间内提交方案预审报告的，每出现一次扣500元，如有特殊情况不能按时提交预审报告，需提前一天告知采购人，征得采购人同意后，不做处罚。</w:t>
      </w:r>
    </w:p>
    <w:p>
      <w:pPr>
        <w:pStyle w:val="2"/>
        <w:numPr>
          <w:ilvl w:val="0"/>
          <w:numId w:val="0"/>
        </w:numPr>
        <w:spacing w:line="360" w:lineRule="auto"/>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 xml:space="preserve">    3.服务期限内，如发现投标人出现下列情形之一的，采购人将根据合同或协议书的要求，对投标人违法违规等行为予以通报批评。同时采购人有权单方面解除合同并不再支付未结算的费用，并且由此产生的一切经济损失和责任全部由投标人负责：</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①提供的服务不符合国家有关规定和投标文件承诺的标准的；</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②无正当理由拒绝按照投标承诺提供服务的；</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③被投诉质疑，经证实情况属实且情形严重的；</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④擅自将业务转包或分包给其他单位或个人的；</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⑤在服务过程中徇私舞弊、滥用职权、弄虚作假、隐瞒事实真相的；</w:t>
      </w:r>
    </w:p>
    <w:p>
      <w:pPr>
        <w:pStyle w:val="2"/>
        <w:numPr>
          <w:ilvl w:val="0"/>
          <w:numId w:val="0"/>
        </w:numPr>
        <w:spacing w:line="360" w:lineRule="auto"/>
        <w:ind w:firstLine="480" w:firstLineChars="200"/>
        <w:rPr>
          <w:rFonts w:hint="eastAsia" w:ascii="仿宋" w:hAnsi="仿宋" w:eastAsia="仿宋" w:cs="仿宋"/>
          <w:bCs/>
          <w:kern w:val="0"/>
          <w:sz w:val="24"/>
          <w:szCs w:val="24"/>
          <w:highlight w:val="none"/>
          <w:shd w:val="clear" w:color="auto" w:fill="FFFFFF"/>
          <w:lang w:val="en-US" w:eastAsia="zh-CN" w:bidi="ar"/>
        </w:rPr>
      </w:pPr>
      <w:r>
        <w:rPr>
          <w:rFonts w:hint="eastAsia" w:ascii="仿宋" w:hAnsi="仿宋" w:eastAsia="仿宋" w:cs="仿宋"/>
          <w:bCs/>
          <w:kern w:val="0"/>
          <w:sz w:val="24"/>
          <w:szCs w:val="24"/>
          <w:highlight w:val="none"/>
          <w:shd w:val="clear" w:color="auto" w:fill="FFFFFF"/>
          <w:lang w:val="en-US" w:eastAsia="zh-CN" w:bidi="ar"/>
        </w:rPr>
        <w:t>⑥违反法律法规和合同约定的其他情形的。</w:t>
      </w:r>
    </w:p>
    <w:p>
      <w:pPr>
        <w:pStyle w:val="58"/>
        <w:keepNext w:val="0"/>
        <w:keepLines w:val="0"/>
        <w:pageBreakBefore w:val="0"/>
        <w:widowControl/>
        <w:numPr>
          <w:ilvl w:val="0"/>
          <w:numId w:val="7"/>
        </w:numPr>
        <w:shd w:val="clear" w:color="auto" w:fill="FFFFFF"/>
        <w:kinsoku/>
        <w:wordWrap/>
        <w:overflowPunct/>
        <w:topLinePunct w:val="0"/>
        <w:autoSpaceDE/>
        <w:autoSpaceDN/>
        <w:bidi w:val="0"/>
        <w:adjustRightInd/>
        <w:snapToGrid/>
        <w:spacing w:before="0" w:beforeAutospacing="0" w:after="0" w:afterAutospacing="0" w:line="600" w:lineRule="exact"/>
        <w:ind w:leftChars="0" w:firstLine="0" w:firstLineChars="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甲方的权利和义务</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1.甲方负责</w:t>
      </w:r>
      <w:r>
        <w:rPr>
          <w:rFonts w:hint="eastAsia" w:ascii="仿宋" w:hAnsi="仿宋" w:eastAsia="仿宋" w:cs="仿宋"/>
          <w:sz w:val="24"/>
          <w:szCs w:val="24"/>
          <w:highlight w:val="none"/>
          <w:shd w:val="clear" w:color="auto" w:fill="FFFFFF"/>
          <w:lang w:eastAsia="zh-Hans"/>
        </w:rPr>
        <w:t>将</w:t>
      </w:r>
      <w:r>
        <w:rPr>
          <w:rFonts w:hint="eastAsia" w:ascii="仿宋" w:hAnsi="仿宋" w:eastAsia="仿宋" w:cs="仿宋"/>
          <w:sz w:val="24"/>
          <w:szCs w:val="24"/>
          <w:highlight w:val="none"/>
          <w:shd w:val="clear" w:color="auto" w:fill="FFFFFF"/>
          <w:lang w:val="en-US" w:eastAsia="zh-CN"/>
        </w:rPr>
        <w:t>预审所需的</w:t>
      </w:r>
      <w:r>
        <w:rPr>
          <w:rFonts w:hint="eastAsia" w:ascii="仿宋" w:hAnsi="仿宋" w:eastAsia="仿宋" w:cs="仿宋"/>
          <w:sz w:val="24"/>
          <w:szCs w:val="24"/>
          <w:highlight w:val="none"/>
          <w:shd w:val="clear" w:color="auto" w:fill="FFFFFF"/>
        </w:rPr>
        <w:t>相关资料及时</w:t>
      </w:r>
      <w:r>
        <w:rPr>
          <w:rFonts w:hint="eastAsia" w:ascii="仿宋" w:hAnsi="仿宋" w:eastAsia="仿宋" w:cs="仿宋"/>
          <w:sz w:val="24"/>
          <w:szCs w:val="24"/>
          <w:highlight w:val="none"/>
          <w:shd w:val="clear" w:color="auto" w:fill="FFFFFF"/>
          <w:lang w:val="en-US" w:eastAsia="zh-CN"/>
        </w:rPr>
        <w:t>免费</w:t>
      </w:r>
      <w:r>
        <w:rPr>
          <w:rFonts w:hint="eastAsia" w:ascii="仿宋" w:hAnsi="仿宋" w:eastAsia="仿宋" w:cs="仿宋"/>
          <w:sz w:val="24"/>
          <w:szCs w:val="24"/>
          <w:highlight w:val="none"/>
          <w:shd w:val="clear" w:color="auto" w:fill="FFFFFF"/>
        </w:rPr>
        <w:t>提供给乙方。</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2.甲方有权对合同规定范围内乙方的服务行为进行监督和检查，拥有监管权。</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3.根据本合同规定，按时向乙方支付应付服务费用。</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4</w:t>
      </w:r>
      <w:r>
        <w:rPr>
          <w:rFonts w:hint="eastAsia" w:ascii="仿宋" w:hAnsi="仿宋" w:eastAsia="仿宋" w:cs="仿宋"/>
          <w:sz w:val="24"/>
          <w:szCs w:val="24"/>
          <w:highlight w:val="none"/>
          <w:shd w:val="clear" w:color="auto" w:fill="FFFFFF"/>
        </w:rPr>
        <w:t>.甲方有权要求乙方派出的</w:t>
      </w:r>
      <w:r>
        <w:rPr>
          <w:rFonts w:hint="eastAsia" w:ascii="仿宋" w:hAnsi="仿宋" w:eastAsia="仿宋" w:cs="仿宋"/>
          <w:sz w:val="24"/>
          <w:szCs w:val="24"/>
          <w:highlight w:val="none"/>
          <w:shd w:val="clear" w:color="auto" w:fill="FFFFFF"/>
          <w:lang w:val="en-US" w:eastAsia="zh-CN"/>
        </w:rPr>
        <w:t>咨询</w:t>
      </w:r>
      <w:r>
        <w:rPr>
          <w:rFonts w:hint="eastAsia" w:ascii="仿宋" w:hAnsi="仿宋" w:eastAsia="仿宋" w:cs="仿宋"/>
          <w:sz w:val="24"/>
          <w:szCs w:val="24"/>
          <w:highlight w:val="none"/>
          <w:shd w:val="clear" w:color="auto" w:fill="FFFFFF"/>
        </w:rPr>
        <w:t>工作组成员保持相对稳定，乙方调换</w:t>
      </w:r>
      <w:r>
        <w:rPr>
          <w:rFonts w:hint="eastAsia" w:ascii="仿宋" w:hAnsi="仿宋" w:eastAsia="仿宋" w:cs="仿宋"/>
          <w:sz w:val="24"/>
          <w:szCs w:val="24"/>
          <w:highlight w:val="none"/>
          <w:shd w:val="clear" w:color="auto" w:fill="FFFFFF"/>
          <w:lang w:val="en-US" w:eastAsia="zh-CN"/>
        </w:rPr>
        <w:t>项目负责人</w:t>
      </w:r>
      <w:r>
        <w:rPr>
          <w:rFonts w:hint="eastAsia" w:ascii="仿宋" w:hAnsi="仿宋" w:eastAsia="仿宋" w:cs="仿宋"/>
          <w:sz w:val="24"/>
          <w:szCs w:val="24"/>
          <w:highlight w:val="none"/>
          <w:shd w:val="clear" w:color="auto" w:fill="FFFFFF"/>
        </w:rPr>
        <w:t>须事先经甲方同意；</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5</w:t>
      </w:r>
      <w:r>
        <w:rPr>
          <w:rFonts w:hint="eastAsia" w:ascii="仿宋" w:hAnsi="仿宋" w:eastAsia="仿宋" w:cs="仿宋"/>
          <w:sz w:val="24"/>
          <w:szCs w:val="24"/>
          <w:highlight w:val="none"/>
          <w:shd w:val="clear" w:color="auto" w:fill="FFFFFF"/>
        </w:rPr>
        <w:t>.甲方有权要求乙方按期提交</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业务范围内的工作报告；</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6</w:t>
      </w:r>
      <w:r>
        <w:rPr>
          <w:rFonts w:hint="eastAsia" w:ascii="仿宋" w:hAnsi="仿宋" w:eastAsia="仿宋" w:cs="仿宋"/>
          <w:sz w:val="24"/>
          <w:szCs w:val="24"/>
          <w:highlight w:val="none"/>
          <w:shd w:val="clear" w:color="auto" w:fill="FFFFFF"/>
        </w:rPr>
        <w:t>.甲方应当为主负责外部关系的协调，为乙方</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工作提供良好的外部条件；</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7</w:t>
      </w:r>
      <w:r>
        <w:rPr>
          <w:rFonts w:hint="eastAsia" w:ascii="仿宋" w:hAnsi="仿宋" w:eastAsia="仿宋" w:cs="仿宋"/>
          <w:sz w:val="24"/>
          <w:szCs w:val="24"/>
          <w:highlight w:val="none"/>
          <w:shd w:val="clear" w:color="auto" w:fill="FFFFFF"/>
        </w:rPr>
        <w:t>.甲方应在3个工作日内就乙方书面提交并要求做出决定的事宜，做出书面答复。</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四</w:t>
      </w:r>
      <w:r>
        <w:rPr>
          <w:rFonts w:hint="eastAsia" w:ascii="仿宋" w:hAnsi="仿宋" w:eastAsia="仿宋" w:cs="仿宋"/>
          <w:b w:val="0"/>
          <w:bCs/>
          <w:sz w:val="24"/>
          <w:szCs w:val="24"/>
          <w:highlight w:val="none"/>
          <w:shd w:val="clear" w:color="auto" w:fill="FFFFFF"/>
        </w:rPr>
        <w:t>条   乙方的权利和义务</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1.自觉遵守有关法律、法规规定，严格执行审计制度、廉洁纪律和职业道德。保守甲方和</w:t>
      </w:r>
      <w:r>
        <w:rPr>
          <w:rFonts w:hint="eastAsia" w:ascii="仿宋" w:hAnsi="仿宋" w:eastAsia="仿宋" w:cs="仿宋"/>
          <w:sz w:val="24"/>
          <w:szCs w:val="24"/>
          <w:highlight w:val="none"/>
          <w:shd w:val="clear" w:color="auto" w:fill="FFFFFF"/>
          <w:lang w:val="en-US" w:eastAsia="zh-CN"/>
        </w:rPr>
        <w:t>建设</w:t>
      </w:r>
      <w:r>
        <w:rPr>
          <w:rFonts w:hint="eastAsia" w:ascii="仿宋" w:hAnsi="仿宋" w:eastAsia="仿宋" w:cs="仿宋"/>
          <w:sz w:val="24"/>
          <w:szCs w:val="24"/>
          <w:highlight w:val="none"/>
          <w:shd w:val="clear" w:color="auto" w:fill="FFFFFF"/>
        </w:rPr>
        <w:t>单位资料数据的秘密，保密义务在本协议</w:t>
      </w:r>
      <w:r>
        <w:rPr>
          <w:rFonts w:hint="eastAsia" w:ascii="仿宋" w:hAnsi="仿宋" w:eastAsia="仿宋" w:cs="仿宋"/>
          <w:sz w:val="24"/>
          <w:szCs w:val="24"/>
          <w:highlight w:val="none"/>
          <w:shd w:val="clear" w:color="auto" w:fill="FFFFFF"/>
          <w:lang w:eastAsia="zh-Hans"/>
        </w:rPr>
        <w:t>履行期间及</w:t>
      </w:r>
      <w:r>
        <w:rPr>
          <w:rFonts w:hint="eastAsia" w:ascii="仿宋" w:hAnsi="仿宋" w:eastAsia="仿宋" w:cs="仿宋"/>
          <w:sz w:val="24"/>
          <w:szCs w:val="24"/>
          <w:highlight w:val="none"/>
          <w:shd w:val="clear" w:color="auto" w:fill="FFFFFF"/>
        </w:rPr>
        <w:t>终止</w:t>
      </w:r>
      <w:r>
        <w:rPr>
          <w:rFonts w:hint="eastAsia" w:ascii="仿宋" w:hAnsi="仿宋" w:eastAsia="仿宋" w:cs="仿宋"/>
          <w:sz w:val="24"/>
          <w:szCs w:val="24"/>
          <w:highlight w:val="none"/>
          <w:shd w:val="clear" w:color="auto" w:fill="FFFFFF"/>
          <w:lang w:eastAsia="zh-Hans"/>
        </w:rPr>
        <w:t>后永久</w:t>
      </w:r>
      <w:r>
        <w:rPr>
          <w:rFonts w:hint="eastAsia" w:ascii="仿宋" w:hAnsi="仿宋" w:eastAsia="仿宋" w:cs="仿宋"/>
          <w:sz w:val="24"/>
          <w:szCs w:val="24"/>
          <w:highlight w:val="none"/>
          <w:shd w:val="clear" w:color="auto" w:fill="FFFFFF"/>
        </w:rPr>
        <w:t>有效。</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2.乙方保证在开展业务时，严格按照甲方的工作要求和相关制度规定进行，并接受甲方的监督，同时按甲方的质量和进度要求及时提供</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报告，对出具的</w:t>
      </w:r>
      <w:r>
        <w:rPr>
          <w:rFonts w:hint="eastAsia" w:ascii="仿宋" w:hAnsi="仿宋" w:eastAsia="仿宋" w:cs="仿宋"/>
          <w:sz w:val="24"/>
          <w:szCs w:val="24"/>
          <w:highlight w:val="none"/>
          <w:shd w:val="clear" w:color="auto" w:fill="FFFFFF"/>
          <w:lang w:val="en-US" w:eastAsia="zh-CN"/>
        </w:rPr>
        <w:t>报告</w:t>
      </w:r>
      <w:r>
        <w:rPr>
          <w:rFonts w:hint="eastAsia" w:ascii="仿宋" w:hAnsi="仿宋" w:eastAsia="仿宋" w:cs="仿宋"/>
          <w:sz w:val="24"/>
          <w:szCs w:val="24"/>
          <w:highlight w:val="none"/>
          <w:shd w:val="clear" w:color="auto" w:fill="FFFFFF"/>
        </w:rPr>
        <w:t>的真实性、完整性、可靠性负责，并同意对承担相关业务的质量向社会公示，</w:t>
      </w:r>
      <w:r>
        <w:rPr>
          <w:rFonts w:hint="eastAsia" w:ascii="仿宋" w:hAnsi="仿宋" w:eastAsia="仿宋" w:cs="仿宋"/>
          <w:sz w:val="24"/>
          <w:szCs w:val="24"/>
          <w:highlight w:val="none"/>
          <w:shd w:val="clear" w:color="auto" w:fill="FFFFFF"/>
          <w:lang w:eastAsia="zh-Hans"/>
        </w:rPr>
        <w:t>同意</w:t>
      </w:r>
      <w:r>
        <w:rPr>
          <w:rFonts w:hint="eastAsia" w:ascii="仿宋" w:hAnsi="仿宋" w:eastAsia="仿宋" w:cs="仿宋"/>
          <w:sz w:val="24"/>
          <w:szCs w:val="24"/>
          <w:highlight w:val="none"/>
          <w:shd w:val="clear" w:color="auto" w:fill="FFFFFF"/>
        </w:rPr>
        <w:t>接受相关部门对项目质量的审查考核。</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lang w:val="en-US" w:eastAsia="zh-CN"/>
        </w:rPr>
        <w:t>3</w:t>
      </w:r>
      <w:r>
        <w:rPr>
          <w:rFonts w:hint="eastAsia" w:ascii="仿宋" w:hAnsi="仿宋" w:eastAsia="仿宋" w:cs="仿宋"/>
          <w:sz w:val="24"/>
          <w:szCs w:val="24"/>
          <w:highlight w:val="none"/>
          <w:shd w:val="clear" w:color="auto" w:fill="FFFFFF"/>
        </w:rPr>
        <w:t>.按合同规定收取</w:t>
      </w:r>
      <w:r>
        <w:rPr>
          <w:rFonts w:hint="eastAsia" w:ascii="仿宋" w:hAnsi="仿宋" w:eastAsia="仿宋" w:cs="仿宋"/>
          <w:sz w:val="24"/>
          <w:szCs w:val="24"/>
          <w:highlight w:val="none"/>
          <w:shd w:val="clear" w:color="auto" w:fill="FFFFFF"/>
          <w:lang w:eastAsia="zh-Hans"/>
        </w:rPr>
        <w:t>服务</w:t>
      </w:r>
      <w:r>
        <w:rPr>
          <w:rFonts w:hint="eastAsia" w:ascii="仿宋" w:hAnsi="仿宋" w:eastAsia="仿宋" w:cs="仿宋"/>
          <w:sz w:val="24"/>
          <w:szCs w:val="24"/>
          <w:highlight w:val="none"/>
          <w:shd w:val="clear" w:color="auto" w:fill="FFFFFF"/>
        </w:rPr>
        <w:t>费用。</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lang w:eastAsia="zh-CN"/>
        </w:rPr>
      </w:pPr>
      <w:r>
        <w:rPr>
          <w:rFonts w:hint="eastAsia" w:ascii="仿宋" w:hAnsi="仿宋" w:eastAsia="仿宋" w:cs="仿宋"/>
          <w:sz w:val="24"/>
          <w:szCs w:val="24"/>
          <w:highlight w:val="none"/>
          <w:shd w:val="clear" w:color="auto" w:fill="FFFFFF"/>
          <w:lang w:val="en-US" w:eastAsia="zh-CN"/>
        </w:rPr>
        <w:t>4.</w:t>
      </w:r>
      <w:r>
        <w:rPr>
          <w:rFonts w:hint="eastAsia" w:ascii="仿宋" w:hAnsi="仿宋" w:eastAsia="仿宋" w:cs="仿宋"/>
          <w:sz w:val="24"/>
          <w:szCs w:val="24"/>
          <w:highlight w:val="none"/>
          <w:shd w:val="clear" w:color="auto" w:fill="FFFFFF"/>
        </w:rPr>
        <w:t>乙方按合同约定派出</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工作需要的工作组成员，按照整体项目进展，开展相关工作，并保证派出的工作组成员相对稳定，更换</w:t>
      </w:r>
      <w:r>
        <w:rPr>
          <w:rFonts w:hint="eastAsia" w:ascii="仿宋" w:hAnsi="仿宋" w:eastAsia="仿宋" w:cs="仿宋"/>
          <w:sz w:val="24"/>
          <w:szCs w:val="24"/>
          <w:highlight w:val="none"/>
          <w:shd w:val="clear" w:color="auto" w:fill="FFFFFF"/>
          <w:lang w:val="en-US" w:eastAsia="zh-CN"/>
        </w:rPr>
        <w:t>项目负责人</w:t>
      </w:r>
      <w:r>
        <w:rPr>
          <w:rFonts w:hint="eastAsia" w:ascii="仿宋" w:hAnsi="仿宋" w:eastAsia="仿宋" w:cs="仿宋"/>
          <w:sz w:val="24"/>
          <w:szCs w:val="24"/>
          <w:highlight w:val="none"/>
          <w:shd w:val="clear" w:color="auto" w:fill="FFFFFF"/>
        </w:rPr>
        <w:t>前应事先书面通知甲方，并征得甲方同意</w:t>
      </w:r>
      <w:r>
        <w:rPr>
          <w:rFonts w:hint="eastAsia" w:ascii="仿宋" w:hAnsi="仿宋" w:eastAsia="仿宋" w:cs="仿宋"/>
          <w:sz w:val="24"/>
          <w:szCs w:val="24"/>
          <w:highlight w:val="none"/>
          <w:shd w:val="clear" w:color="auto" w:fill="FFFFFF"/>
          <w:lang w:eastAsia="zh-CN"/>
        </w:rPr>
        <w:t>。</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lang w:eastAsia="zh-CN"/>
        </w:rPr>
      </w:pPr>
      <w:r>
        <w:rPr>
          <w:rFonts w:hint="eastAsia" w:ascii="仿宋" w:hAnsi="仿宋" w:eastAsia="仿宋" w:cs="仿宋"/>
          <w:sz w:val="24"/>
          <w:szCs w:val="24"/>
          <w:highlight w:val="none"/>
          <w:shd w:val="clear" w:color="auto" w:fill="FFFFFF"/>
          <w:lang w:eastAsia="zh-CN"/>
        </w:rPr>
        <w:t>5.</w:t>
      </w:r>
      <w:r>
        <w:rPr>
          <w:rFonts w:hint="eastAsia" w:ascii="仿宋" w:hAnsi="仿宋" w:eastAsia="仿宋" w:cs="仿宋"/>
          <w:sz w:val="24"/>
          <w:szCs w:val="24"/>
          <w:highlight w:val="none"/>
          <w:shd w:val="clear" w:color="auto" w:fill="FFFFFF"/>
          <w:lang w:val="en-US" w:eastAsia="zh-CN"/>
        </w:rPr>
        <w:t>乙</w:t>
      </w:r>
      <w:r>
        <w:rPr>
          <w:rFonts w:hint="eastAsia" w:ascii="仿宋" w:hAnsi="仿宋" w:eastAsia="仿宋" w:cs="仿宋"/>
          <w:sz w:val="24"/>
          <w:szCs w:val="24"/>
          <w:highlight w:val="none"/>
          <w:shd w:val="clear" w:color="auto" w:fill="FFFFFF"/>
        </w:rPr>
        <w:t>方</w:t>
      </w:r>
      <w:r>
        <w:rPr>
          <w:rFonts w:hint="eastAsia" w:ascii="仿宋" w:hAnsi="仿宋" w:eastAsia="仿宋" w:cs="仿宋"/>
          <w:sz w:val="24"/>
          <w:szCs w:val="24"/>
          <w:highlight w:val="none"/>
          <w:shd w:val="clear" w:color="auto" w:fill="FFFFFF"/>
          <w:lang w:val="en-US" w:eastAsia="zh-CN"/>
        </w:rPr>
        <w:t>应按照甲方</w:t>
      </w:r>
      <w:r>
        <w:rPr>
          <w:rFonts w:hint="eastAsia" w:ascii="仿宋" w:hAnsi="仿宋" w:eastAsia="仿宋" w:cs="仿宋"/>
          <w:sz w:val="24"/>
          <w:szCs w:val="24"/>
          <w:highlight w:val="none"/>
          <w:shd w:val="clear" w:color="auto" w:fill="FFFFFF"/>
        </w:rPr>
        <w:t>要求按期提交</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rPr>
        <w:t>业务范围内的工作报告；</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lang w:eastAsia="zh-CN"/>
        </w:rPr>
      </w:pPr>
      <w:r>
        <w:rPr>
          <w:rFonts w:hint="eastAsia" w:ascii="仿宋" w:hAnsi="仿宋" w:eastAsia="仿宋" w:cs="仿宋"/>
          <w:sz w:val="24"/>
          <w:szCs w:val="24"/>
          <w:highlight w:val="none"/>
          <w:shd w:val="clear" w:color="auto" w:fill="FFFFFF"/>
          <w:lang w:val="en-US" w:eastAsia="zh-CN"/>
        </w:rPr>
        <w:t>6.</w:t>
      </w:r>
      <w:r>
        <w:rPr>
          <w:rFonts w:hint="eastAsia" w:ascii="仿宋" w:hAnsi="仿宋" w:eastAsia="仿宋" w:cs="仿宋"/>
          <w:sz w:val="24"/>
          <w:szCs w:val="24"/>
          <w:highlight w:val="none"/>
          <w:shd w:val="clear" w:color="auto" w:fill="FFFFFF"/>
          <w:lang w:eastAsia="zh-CN"/>
        </w:rPr>
        <w:t>乙方使用甲方提供的设施和物品属甲方的财产。在</w:t>
      </w:r>
      <w:r>
        <w:rPr>
          <w:rFonts w:hint="eastAsia" w:ascii="仿宋" w:hAnsi="仿宋" w:eastAsia="仿宋" w:cs="仿宋"/>
          <w:sz w:val="24"/>
          <w:szCs w:val="24"/>
          <w:highlight w:val="none"/>
          <w:shd w:val="clear" w:color="auto" w:fill="FFFFFF"/>
          <w:lang w:val="en-US" w:eastAsia="zh-CN"/>
        </w:rPr>
        <w:t>预审</w:t>
      </w:r>
      <w:r>
        <w:rPr>
          <w:rFonts w:hint="eastAsia" w:ascii="仿宋" w:hAnsi="仿宋" w:eastAsia="仿宋" w:cs="仿宋"/>
          <w:sz w:val="24"/>
          <w:szCs w:val="24"/>
          <w:highlight w:val="none"/>
          <w:shd w:val="clear" w:color="auto" w:fill="FFFFFF"/>
          <w:lang w:eastAsia="zh-CN"/>
        </w:rPr>
        <w:t>工作完成或中止后的5个工作日内，应将其设施按合同约定的时间和方式移交给甲方，如有损坏，应予以赔偿；</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7</w:t>
      </w:r>
      <w:r>
        <w:rPr>
          <w:rFonts w:hint="eastAsia" w:ascii="仿宋" w:hAnsi="仿宋" w:eastAsia="仿宋" w:cs="仿宋"/>
          <w:sz w:val="24"/>
          <w:szCs w:val="24"/>
          <w:highlight w:val="none"/>
          <w:shd w:val="clear" w:color="auto" w:fill="FFFFFF"/>
          <w:lang w:eastAsia="zh-CN"/>
        </w:rPr>
        <w:t>.在合同期内或合同终止后，乙方不得泄露与本工程、本合同业务有关的商业合同、技术文档、业务管理、</w:t>
      </w:r>
      <w:r>
        <w:rPr>
          <w:rFonts w:hint="eastAsia" w:ascii="仿宋" w:hAnsi="仿宋" w:eastAsia="仿宋" w:cs="仿宋"/>
          <w:sz w:val="24"/>
          <w:szCs w:val="24"/>
          <w:highlight w:val="none"/>
          <w:shd w:val="clear" w:color="auto" w:fill="FFFFFF"/>
          <w:lang w:val="en-US" w:eastAsia="zh-CN"/>
        </w:rPr>
        <w:t>项目方案</w:t>
      </w:r>
      <w:r>
        <w:rPr>
          <w:rFonts w:hint="eastAsia" w:ascii="仿宋" w:hAnsi="仿宋" w:eastAsia="仿宋" w:cs="仿宋"/>
          <w:sz w:val="24"/>
          <w:szCs w:val="24"/>
          <w:highlight w:val="none"/>
          <w:shd w:val="clear" w:color="auto" w:fill="FFFFFF"/>
          <w:lang w:eastAsia="zh-CN"/>
        </w:rPr>
        <w:t>等方面的保密资料。</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lang w:val="en-US" w:eastAsia="zh-CN"/>
        </w:rPr>
        <w:t xml:space="preserve">第五条   </w:t>
      </w:r>
      <w:r>
        <w:rPr>
          <w:rFonts w:hint="eastAsia" w:ascii="仿宋" w:hAnsi="仿宋" w:eastAsia="仿宋" w:cs="仿宋"/>
          <w:b w:val="0"/>
          <w:bCs/>
          <w:sz w:val="24"/>
          <w:szCs w:val="24"/>
          <w:highlight w:val="none"/>
          <w:shd w:val="clear" w:color="auto" w:fill="FFFFFF"/>
        </w:rPr>
        <w:t>履约保证金（如有）</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本项目免收履约保证金。</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lang w:val="en-US" w:eastAsia="zh-CN"/>
        </w:rPr>
        <w:t xml:space="preserve">第六条   </w:t>
      </w:r>
      <w:r>
        <w:rPr>
          <w:rFonts w:hint="eastAsia" w:ascii="仿宋" w:hAnsi="仿宋" w:eastAsia="仿宋" w:cs="仿宋"/>
          <w:b w:val="0"/>
          <w:bCs/>
          <w:sz w:val="24"/>
          <w:szCs w:val="24"/>
          <w:highlight w:val="none"/>
          <w:shd w:val="clear" w:color="auto" w:fill="FFFFFF"/>
        </w:rPr>
        <w:t>转包或分包</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1.本合同范围的服务，应由乙方直接提供，不得转让他人供应；</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2.本项目允许非主体、非关键工作进行分包，拟在中标后将中标项目的非主体、非关键性工作分包的，应当在投标文件提供分包协议，分包承担主体应当具备相应资质条件且不得再次分包。上述分包行为，还应得到甲方的书面同意，否则乙方不得进行分包。</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3.如有转让他人供应或不符合合同约定的分包行为，甲方有权解除合同，没收履约保证金并追究乙方的违约责任。</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七</w:t>
      </w:r>
      <w:r>
        <w:rPr>
          <w:rFonts w:hint="eastAsia" w:ascii="仿宋" w:hAnsi="仿宋" w:eastAsia="仿宋" w:cs="仿宋"/>
          <w:b w:val="0"/>
          <w:bCs/>
          <w:sz w:val="24"/>
          <w:szCs w:val="24"/>
          <w:highlight w:val="none"/>
          <w:shd w:val="clear" w:color="auto" w:fill="FFFFFF"/>
        </w:rPr>
        <w:t>条   费用及支付方式</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合同总价</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shd w:val="clear" w:color="auto" w:fill="FFFFFF"/>
          <w:lang w:val="en-US" w:eastAsia="zh-CN"/>
        </w:rPr>
        <w:t>人民币</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元整</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shd w:val="clear" w:color="auto" w:fill="FFFFFF"/>
        </w:rPr>
        <w:t>￥</w:t>
      </w:r>
      <w:r>
        <w:rPr>
          <w:rFonts w:hint="eastAsia" w:ascii="仿宋" w:hAnsi="仿宋" w:eastAsia="仿宋" w:cs="仿宋"/>
          <w:sz w:val="24"/>
          <w:szCs w:val="24"/>
          <w:highlight w:val="none"/>
          <w:u w:val="single"/>
          <w:shd w:val="clear" w:color="auto" w:fill="FFFFFF"/>
          <w:lang w:val="en-US" w:eastAsia="zh-CN"/>
        </w:rPr>
        <w:t xml:space="preserve">      </w:t>
      </w:r>
      <w:r>
        <w:rPr>
          <w:rFonts w:hint="eastAsia" w:ascii="仿宋" w:hAnsi="仿宋" w:eastAsia="仿宋" w:cs="仿宋"/>
          <w:sz w:val="24"/>
          <w:szCs w:val="24"/>
          <w:highlight w:val="none"/>
        </w:rPr>
        <w:t>）。</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shd w:val="clear" w:color="auto" w:fill="FFFFFF"/>
          <w:lang w:eastAsia="zh-CN"/>
        </w:rPr>
      </w:pPr>
      <w:r>
        <w:rPr>
          <w:rFonts w:hint="eastAsia" w:ascii="仿宋" w:hAnsi="仿宋" w:eastAsia="仿宋" w:cs="仿宋"/>
          <w:sz w:val="24"/>
          <w:szCs w:val="24"/>
          <w:highlight w:val="none"/>
          <w:shd w:val="clear" w:color="auto" w:fill="FFFFFF"/>
        </w:rPr>
        <w:t>2.支付方式</w:t>
      </w:r>
      <w:r>
        <w:rPr>
          <w:rFonts w:hint="eastAsia" w:ascii="仿宋" w:hAnsi="仿宋" w:eastAsia="仿宋" w:cs="仿宋"/>
          <w:sz w:val="24"/>
          <w:szCs w:val="24"/>
          <w:highlight w:val="none"/>
          <w:shd w:val="clear" w:color="auto" w:fill="FFFFFF"/>
          <w:lang w:eastAsia="zh-CN"/>
        </w:rPr>
        <w:t>：</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本次服务分二次支付。</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 xml:space="preserve">第一次支付在合同签订后15个工作日内支付合同总额的40%作为预付款； </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第二次支付</w:t>
      </w:r>
      <w:bookmarkStart w:id="401" w:name="bookmark50"/>
      <w:r>
        <w:rPr>
          <w:rFonts w:hint="eastAsia" w:ascii="仿宋" w:hAnsi="仿宋" w:eastAsia="仿宋" w:cs="仿宋"/>
          <w:sz w:val="24"/>
          <w:szCs w:val="24"/>
          <w:highlight w:val="none"/>
          <w:shd w:val="clear" w:color="auto" w:fill="FFFFFF"/>
          <w:lang w:val="en-US" w:eastAsia="zh-CN"/>
        </w:rPr>
        <w:t>在服务期满，乙方提交所有成果物且乙方收到开具的等额发票后7个工作日内支付剩余合同款。</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lang w:val="en-US" w:eastAsia="zh-CN"/>
        </w:rPr>
        <w:t>3.乙方须在合同款项支付前向甲方提供等额有效的合法发票，以便甲方办理支付手续；否则甲方有权拒绝付款，由此造成的一切损失由乙方承担。</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八</w:t>
      </w:r>
      <w:r>
        <w:rPr>
          <w:rFonts w:hint="eastAsia" w:ascii="仿宋" w:hAnsi="仿宋" w:eastAsia="仿宋" w:cs="仿宋"/>
          <w:b w:val="0"/>
          <w:bCs/>
          <w:sz w:val="24"/>
          <w:szCs w:val="24"/>
          <w:highlight w:val="none"/>
          <w:shd w:val="clear" w:color="auto" w:fill="FFFFFF"/>
        </w:rPr>
        <w:t>条   技术资料</w:t>
      </w:r>
      <w:bookmarkEnd w:id="401"/>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rPr>
      </w:pPr>
      <w:bookmarkStart w:id="402" w:name="bookmark51"/>
      <w:r>
        <w:rPr>
          <w:rFonts w:hint="eastAsia" w:ascii="仿宋" w:hAnsi="仿宋" w:eastAsia="仿宋" w:cs="仿宋"/>
          <w:sz w:val="24"/>
          <w:szCs w:val="24"/>
          <w:highlight w:val="none"/>
        </w:rPr>
        <w:t>1</w:t>
      </w:r>
      <w:bookmarkEnd w:id="402"/>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乙方应按</w:t>
      </w:r>
      <w:r>
        <w:rPr>
          <w:rFonts w:hint="eastAsia" w:ascii="仿宋" w:hAnsi="仿宋" w:eastAsia="仿宋" w:cs="仿宋"/>
          <w:sz w:val="24"/>
          <w:szCs w:val="24"/>
          <w:highlight w:val="none"/>
          <w:lang w:val="en-US" w:eastAsia="zh-CN"/>
        </w:rPr>
        <w:t>甲方要求</w:t>
      </w:r>
      <w:r>
        <w:rPr>
          <w:rFonts w:hint="eastAsia" w:ascii="仿宋" w:hAnsi="仿宋" w:eastAsia="仿宋" w:cs="仿宋"/>
          <w:sz w:val="24"/>
          <w:szCs w:val="24"/>
          <w:highlight w:val="none"/>
        </w:rPr>
        <w:t>的时间向甲方提供有关技术资料。</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600" w:firstLineChars="250"/>
        <w:jc w:val="both"/>
        <w:textAlignment w:val="auto"/>
        <w:rPr>
          <w:rFonts w:hint="eastAsia" w:ascii="仿宋" w:hAnsi="仿宋" w:eastAsia="仿宋" w:cs="仿宋"/>
          <w:sz w:val="24"/>
          <w:szCs w:val="24"/>
          <w:highlight w:val="none"/>
        </w:rPr>
      </w:pPr>
      <w:bookmarkStart w:id="403" w:name="bookmark52"/>
      <w:r>
        <w:rPr>
          <w:rFonts w:hint="eastAsia" w:ascii="仿宋" w:hAnsi="仿宋" w:eastAsia="仿宋" w:cs="仿宋"/>
          <w:sz w:val="24"/>
          <w:szCs w:val="24"/>
          <w:highlight w:val="none"/>
        </w:rPr>
        <w:t>2</w:t>
      </w:r>
      <w:bookmarkEnd w:id="403"/>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没有甲方事先书面同意，乙方不得将由甲方提供的有关合同或任何合同条文、规格、计划、图纸、样品或资料提供给与履行本合同无关的任何其他人</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即使向履行本合同有关的人员提供，也应注意保密并限于履行合同的必需范围。</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九</w:t>
      </w:r>
      <w:r>
        <w:rPr>
          <w:rFonts w:hint="eastAsia" w:ascii="仿宋" w:hAnsi="仿宋" w:eastAsia="仿宋" w:cs="仿宋"/>
          <w:b w:val="0"/>
          <w:bCs/>
          <w:sz w:val="24"/>
          <w:szCs w:val="24"/>
          <w:highlight w:val="none"/>
          <w:shd w:val="clear" w:color="auto" w:fill="FFFFFF"/>
        </w:rPr>
        <w:t>条   违约责任</w:t>
      </w:r>
    </w:p>
    <w:p>
      <w:pPr>
        <w:spacing w:line="360" w:lineRule="auto"/>
        <w:ind w:firstLine="480" w:firstLineChars="200"/>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1.甲方无正当理由拒绝接受服务的，甲方向乙方偿付合同款项百分之五作为违约金。</w:t>
      </w:r>
    </w:p>
    <w:p>
      <w:pPr>
        <w:spacing w:line="360" w:lineRule="auto"/>
        <w:ind w:firstLine="480" w:firstLineChars="200"/>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2.甲方无故逾期验收和办理款项支付手续的,甲方应按逾期付款总额每日万分之五向乙方支付违约金。</w:t>
      </w:r>
    </w:p>
    <w:p>
      <w:pPr>
        <w:numPr>
          <w:ilvl w:val="0"/>
          <w:numId w:val="0"/>
        </w:numPr>
        <w:spacing w:line="360" w:lineRule="auto"/>
        <w:ind w:left="0" w:firstLine="480" w:firstLineChars="200"/>
        <w:rPr>
          <w:rFonts w:hint="eastAsia" w:ascii="仿宋" w:hAnsi="仿宋" w:eastAsia="仿宋" w:cs="仿宋"/>
          <w:kern w:val="0"/>
          <w:sz w:val="24"/>
          <w:szCs w:val="24"/>
          <w:highlight w:val="none"/>
          <w:shd w:val="clear" w:color="auto" w:fill="FFFFFF"/>
          <w:lang w:val="en-US" w:eastAsia="zh-CN" w:bidi="ar"/>
        </w:rPr>
      </w:pPr>
      <w:r>
        <w:rPr>
          <w:rFonts w:hint="eastAsia" w:ascii="仿宋" w:hAnsi="仿宋" w:eastAsia="仿宋" w:cs="仿宋"/>
          <w:kern w:val="0"/>
          <w:sz w:val="24"/>
          <w:szCs w:val="24"/>
          <w:highlight w:val="none"/>
          <w:shd w:val="clear" w:color="auto" w:fill="FFFFFF"/>
          <w:lang w:val="en-US" w:eastAsia="zh-CN" w:bidi="ar"/>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以上违约金总额不超过本合同总金额的30%。</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十</w:t>
      </w:r>
      <w:r>
        <w:rPr>
          <w:rFonts w:hint="eastAsia" w:ascii="仿宋" w:hAnsi="仿宋" w:eastAsia="仿宋" w:cs="仿宋"/>
          <w:b w:val="0"/>
          <w:bCs/>
          <w:sz w:val="24"/>
          <w:szCs w:val="24"/>
          <w:highlight w:val="none"/>
          <w:shd w:val="clear" w:color="auto" w:fill="FFFFFF"/>
        </w:rPr>
        <w:t>条</w:t>
      </w:r>
      <w:r>
        <w:rPr>
          <w:rFonts w:hint="eastAsia" w:ascii="仿宋" w:hAnsi="仿宋" w:eastAsia="仿宋" w:cs="仿宋"/>
          <w:b w:val="0"/>
          <w:bCs/>
          <w:sz w:val="24"/>
          <w:szCs w:val="24"/>
          <w:highlight w:val="none"/>
          <w:shd w:val="clear" w:color="auto" w:fill="FFFFFF"/>
          <w:lang w:val="en-US" w:eastAsia="zh-CN"/>
        </w:rPr>
        <w:t xml:space="preserve">   </w:t>
      </w:r>
      <w:r>
        <w:rPr>
          <w:rFonts w:hint="eastAsia" w:ascii="仿宋" w:hAnsi="仿宋" w:eastAsia="仿宋" w:cs="仿宋"/>
          <w:b w:val="0"/>
          <w:bCs/>
          <w:sz w:val="24"/>
          <w:szCs w:val="24"/>
          <w:highlight w:val="none"/>
          <w:shd w:val="clear" w:color="auto" w:fill="FFFFFF"/>
        </w:rPr>
        <w:t>合同的变更</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如果出现不可预见的情况，影响</w:t>
      </w:r>
      <w:r>
        <w:rPr>
          <w:rFonts w:hint="eastAsia" w:ascii="仿宋" w:hAnsi="仿宋" w:eastAsia="仿宋" w:cs="仿宋"/>
          <w:sz w:val="24"/>
          <w:szCs w:val="24"/>
          <w:highlight w:val="none"/>
          <w:shd w:val="clear" w:color="auto" w:fill="FFFFFF"/>
          <w:lang w:val="en-US" w:eastAsia="zh-CN"/>
        </w:rPr>
        <w:t>服务</w:t>
      </w:r>
      <w:r>
        <w:rPr>
          <w:rFonts w:hint="eastAsia" w:ascii="仿宋" w:hAnsi="仿宋" w:eastAsia="仿宋" w:cs="仿宋"/>
          <w:sz w:val="24"/>
          <w:szCs w:val="24"/>
          <w:highlight w:val="none"/>
          <w:shd w:val="clear" w:color="auto" w:fill="FFFFFF"/>
        </w:rPr>
        <w:t>如期完成，或需要提前出具评价报告时，甲乙双方均可要求变更约定事项，但应及时通知对方，并由双方协商解决，</w:t>
      </w:r>
      <w:r>
        <w:rPr>
          <w:rFonts w:hint="eastAsia" w:ascii="仿宋" w:hAnsi="仿宋" w:eastAsia="仿宋" w:cs="仿宋"/>
          <w:sz w:val="24"/>
          <w:szCs w:val="24"/>
          <w:highlight w:val="none"/>
          <w:shd w:val="clear" w:color="auto" w:fill="FFFFFF"/>
          <w:lang w:eastAsia="zh-Hans"/>
        </w:rPr>
        <w:t>达成一致的可以协商变更</w:t>
      </w:r>
      <w:r>
        <w:rPr>
          <w:rFonts w:hint="eastAsia" w:ascii="仿宋" w:hAnsi="仿宋" w:eastAsia="仿宋" w:cs="仿宋"/>
          <w:sz w:val="24"/>
          <w:szCs w:val="24"/>
          <w:highlight w:val="none"/>
          <w:shd w:val="clear" w:color="auto" w:fill="FFFFFF"/>
        </w:rPr>
        <w:t>。</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十一</w:t>
      </w:r>
      <w:r>
        <w:rPr>
          <w:rFonts w:hint="eastAsia" w:ascii="仿宋" w:hAnsi="仿宋" w:eastAsia="仿宋" w:cs="仿宋"/>
          <w:b w:val="0"/>
          <w:bCs/>
          <w:sz w:val="24"/>
          <w:szCs w:val="24"/>
          <w:highlight w:val="none"/>
          <w:shd w:val="clear" w:color="auto" w:fill="FFFFFF"/>
        </w:rPr>
        <w:t>条</w:t>
      </w:r>
      <w:r>
        <w:rPr>
          <w:rFonts w:hint="eastAsia" w:ascii="仿宋" w:hAnsi="仿宋" w:eastAsia="仿宋" w:cs="仿宋"/>
          <w:b w:val="0"/>
          <w:bCs/>
          <w:sz w:val="24"/>
          <w:szCs w:val="24"/>
          <w:highlight w:val="none"/>
          <w:shd w:val="clear" w:color="auto" w:fill="FFFFFF"/>
          <w:lang w:val="en-US" w:eastAsia="zh-CN"/>
        </w:rPr>
        <w:t xml:space="preserve">   </w:t>
      </w:r>
      <w:r>
        <w:rPr>
          <w:rFonts w:hint="eastAsia" w:ascii="仿宋" w:hAnsi="仿宋" w:eastAsia="仿宋" w:cs="仿宋"/>
          <w:b w:val="0"/>
          <w:bCs/>
          <w:sz w:val="24"/>
          <w:szCs w:val="24"/>
          <w:highlight w:val="none"/>
          <w:shd w:val="clear" w:color="auto" w:fill="FFFFFF"/>
        </w:rPr>
        <w:t>不可抗力</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1.任何一方对由于不可抗力造成的部分或全部不能履行本合同不承担违约责任。但迟延履行后发生不可抗力的，不能免除责任。</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2.遇有不可抗力的一方，应在三日内将事件的情况以书面形式通知另一方，并在事件发生后十日内，向另一方提交合同不能履行或部分不能履行或需要延期履行理由的报告。</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3.不可抗力是指合同双方不可预见、不可避免、不可克服的自然灾害和社会事件。</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十二</w:t>
      </w:r>
      <w:r>
        <w:rPr>
          <w:rFonts w:hint="eastAsia" w:ascii="仿宋" w:hAnsi="仿宋" w:eastAsia="仿宋" w:cs="仿宋"/>
          <w:b w:val="0"/>
          <w:bCs/>
          <w:sz w:val="24"/>
          <w:szCs w:val="24"/>
          <w:highlight w:val="none"/>
          <w:shd w:val="clear" w:color="auto" w:fill="FFFFFF"/>
        </w:rPr>
        <w:t>条</w:t>
      </w:r>
      <w:r>
        <w:rPr>
          <w:rFonts w:hint="eastAsia" w:ascii="仿宋" w:hAnsi="仿宋" w:eastAsia="仿宋" w:cs="仿宋"/>
          <w:b w:val="0"/>
          <w:bCs/>
          <w:sz w:val="24"/>
          <w:szCs w:val="24"/>
          <w:highlight w:val="none"/>
          <w:shd w:val="clear" w:color="auto" w:fill="FFFFFF"/>
          <w:lang w:val="en-US" w:eastAsia="zh-CN"/>
        </w:rPr>
        <w:t xml:space="preserve">   </w:t>
      </w:r>
      <w:r>
        <w:rPr>
          <w:rFonts w:hint="eastAsia" w:ascii="仿宋" w:hAnsi="仿宋" w:eastAsia="仿宋" w:cs="仿宋"/>
          <w:b w:val="0"/>
          <w:bCs/>
          <w:sz w:val="24"/>
          <w:szCs w:val="24"/>
          <w:highlight w:val="none"/>
          <w:shd w:val="clear" w:color="auto" w:fill="FFFFFF"/>
        </w:rPr>
        <w:t>适用法律和争议解决</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如双方在履行合同时发生纠纷，应尽量协商解决。如协商不成的，可向</w:t>
      </w:r>
      <w:r>
        <w:rPr>
          <w:rFonts w:hint="eastAsia" w:ascii="仿宋" w:hAnsi="仿宋" w:eastAsia="仿宋" w:cs="仿宋"/>
          <w:sz w:val="24"/>
          <w:szCs w:val="24"/>
          <w:highlight w:val="none"/>
          <w:shd w:val="clear" w:color="auto" w:fill="FFFFFF"/>
          <w:lang w:val="en-US" w:eastAsia="zh-CN"/>
        </w:rPr>
        <w:t>甲方所在地</w:t>
      </w:r>
      <w:r>
        <w:rPr>
          <w:rFonts w:hint="eastAsia" w:ascii="仿宋" w:hAnsi="仿宋" w:eastAsia="仿宋" w:cs="仿宋"/>
          <w:sz w:val="24"/>
          <w:szCs w:val="24"/>
          <w:highlight w:val="none"/>
          <w:shd w:val="clear" w:color="auto" w:fill="FFFFFF"/>
        </w:rPr>
        <w:t>人民法院提起诉讼。</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firstLine="480" w:firstLineChars="200"/>
        <w:jc w:val="both"/>
        <w:textAlignment w:val="auto"/>
        <w:rPr>
          <w:rFonts w:hint="eastAsia" w:ascii="仿宋" w:hAnsi="仿宋" w:eastAsia="仿宋" w:cs="仿宋"/>
          <w:b w:val="0"/>
          <w:bCs/>
          <w:sz w:val="24"/>
          <w:szCs w:val="24"/>
          <w:highlight w:val="none"/>
          <w:shd w:val="clear" w:color="auto" w:fill="FFFFFF"/>
        </w:rPr>
      </w:pPr>
      <w:r>
        <w:rPr>
          <w:rFonts w:hint="eastAsia" w:ascii="仿宋" w:hAnsi="仿宋" w:eastAsia="仿宋" w:cs="仿宋"/>
          <w:b w:val="0"/>
          <w:bCs/>
          <w:sz w:val="24"/>
          <w:szCs w:val="24"/>
          <w:highlight w:val="none"/>
          <w:shd w:val="clear" w:color="auto" w:fill="FFFFFF"/>
        </w:rPr>
        <w:t>第</w:t>
      </w:r>
      <w:r>
        <w:rPr>
          <w:rFonts w:hint="eastAsia" w:ascii="仿宋" w:hAnsi="仿宋" w:eastAsia="仿宋" w:cs="仿宋"/>
          <w:b w:val="0"/>
          <w:bCs/>
          <w:sz w:val="24"/>
          <w:szCs w:val="24"/>
          <w:highlight w:val="none"/>
          <w:shd w:val="clear" w:color="auto" w:fill="FFFFFF"/>
          <w:lang w:val="en-US" w:eastAsia="zh-CN"/>
        </w:rPr>
        <w:t>十三</w:t>
      </w:r>
      <w:r>
        <w:rPr>
          <w:rFonts w:hint="eastAsia" w:ascii="仿宋" w:hAnsi="仿宋" w:eastAsia="仿宋" w:cs="仿宋"/>
          <w:b w:val="0"/>
          <w:bCs/>
          <w:sz w:val="24"/>
          <w:szCs w:val="24"/>
          <w:highlight w:val="none"/>
          <w:shd w:val="clear" w:color="auto" w:fill="FFFFFF"/>
        </w:rPr>
        <w:t>条</w:t>
      </w:r>
      <w:r>
        <w:rPr>
          <w:rFonts w:hint="eastAsia" w:ascii="仿宋" w:hAnsi="仿宋" w:eastAsia="仿宋" w:cs="仿宋"/>
          <w:b w:val="0"/>
          <w:bCs/>
          <w:sz w:val="24"/>
          <w:szCs w:val="24"/>
          <w:highlight w:val="none"/>
          <w:shd w:val="clear" w:color="auto" w:fill="FFFFFF"/>
          <w:lang w:val="en-US" w:eastAsia="zh-CN"/>
        </w:rPr>
        <w:t xml:space="preserve">   </w:t>
      </w:r>
      <w:r>
        <w:rPr>
          <w:rFonts w:hint="eastAsia" w:ascii="仿宋" w:hAnsi="仿宋" w:eastAsia="仿宋" w:cs="仿宋"/>
          <w:b w:val="0"/>
          <w:bCs/>
          <w:sz w:val="24"/>
          <w:szCs w:val="24"/>
          <w:highlight w:val="none"/>
          <w:shd w:val="clear" w:color="auto" w:fill="FFFFFF"/>
        </w:rPr>
        <w:t>其他约定事项</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1.本合同未尽之事宜，可以以补充协议的形式加以补充或参照本合同类似条款。补充协议与本合同具有同样的法律效力。</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auto"/>
        <w:rPr>
          <w:rFonts w:hint="eastAsia" w:ascii="仿宋" w:hAnsi="仿宋" w:eastAsia="仿宋" w:cs="仿宋"/>
          <w:sz w:val="24"/>
          <w:szCs w:val="24"/>
          <w:highlight w:val="none"/>
          <w:shd w:val="clear" w:color="auto" w:fill="FFFFFF"/>
        </w:rPr>
      </w:pPr>
      <w:r>
        <w:rPr>
          <w:rFonts w:hint="eastAsia" w:ascii="仿宋" w:hAnsi="仿宋" w:eastAsia="仿宋" w:cs="仿宋"/>
          <w:sz w:val="24"/>
          <w:szCs w:val="24"/>
          <w:highlight w:val="none"/>
          <w:shd w:val="clear" w:color="auto" w:fill="FFFFFF"/>
        </w:rPr>
        <w:t>2.本合同</w:t>
      </w:r>
      <w:r>
        <w:rPr>
          <w:rFonts w:hint="eastAsia" w:ascii="仿宋" w:hAnsi="仿宋" w:eastAsia="仿宋" w:cs="仿宋"/>
          <w:sz w:val="24"/>
          <w:szCs w:val="24"/>
          <w:highlight w:val="none"/>
          <w:shd w:val="clear" w:color="auto" w:fill="FFFFFF"/>
          <w:lang w:eastAsia="zh-Hans"/>
        </w:rPr>
        <w:t>自双方盖章之日起生效，</w:t>
      </w:r>
      <w:r>
        <w:rPr>
          <w:rFonts w:hint="eastAsia" w:ascii="仿宋" w:hAnsi="仿宋" w:eastAsia="仿宋" w:cs="仿宋"/>
          <w:sz w:val="24"/>
          <w:szCs w:val="24"/>
          <w:highlight w:val="none"/>
          <w:u w:val="single"/>
          <w:shd w:val="clear" w:color="auto" w:fill="FFFFFF"/>
        </w:rPr>
        <w:t>一式</w:t>
      </w:r>
      <w:r>
        <w:rPr>
          <w:rFonts w:hint="eastAsia" w:ascii="仿宋" w:hAnsi="仿宋" w:eastAsia="仿宋" w:cs="仿宋"/>
          <w:sz w:val="24"/>
          <w:szCs w:val="24"/>
          <w:highlight w:val="none"/>
          <w:u w:val="single"/>
          <w:shd w:val="clear" w:color="auto" w:fill="FFFFFF"/>
          <w:lang w:val="en-US" w:eastAsia="zh-CN"/>
        </w:rPr>
        <w:t>肆</w:t>
      </w:r>
      <w:r>
        <w:rPr>
          <w:rFonts w:hint="eastAsia" w:ascii="仿宋" w:hAnsi="仿宋" w:eastAsia="仿宋" w:cs="仿宋"/>
          <w:sz w:val="24"/>
          <w:szCs w:val="24"/>
          <w:highlight w:val="none"/>
          <w:u w:val="single"/>
          <w:shd w:val="clear" w:color="auto" w:fill="FFFFFF"/>
        </w:rPr>
        <w:t>份</w:t>
      </w:r>
      <w:r>
        <w:rPr>
          <w:rFonts w:hint="eastAsia" w:ascii="仿宋" w:hAnsi="仿宋" w:eastAsia="仿宋" w:cs="仿宋"/>
          <w:sz w:val="24"/>
          <w:szCs w:val="24"/>
          <w:highlight w:val="none"/>
          <w:shd w:val="clear" w:color="auto" w:fill="FFFFFF"/>
        </w:rPr>
        <w:t>，甲</w:t>
      </w:r>
      <w:r>
        <w:rPr>
          <w:rFonts w:hint="eastAsia" w:ascii="仿宋" w:hAnsi="仿宋" w:eastAsia="仿宋" w:cs="仿宋"/>
          <w:sz w:val="24"/>
          <w:szCs w:val="24"/>
          <w:highlight w:val="none"/>
          <w:shd w:val="clear" w:color="auto" w:fill="FFFFFF"/>
          <w:lang w:val="en-US" w:eastAsia="zh-CN"/>
        </w:rPr>
        <w:t>乙双</w:t>
      </w:r>
      <w:r>
        <w:rPr>
          <w:rFonts w:hint="eastAsia" w:ascii="仿宋" w:hAnsi="仿宋" w:eastAsia="仿宋" w:cs="仿宋"/>
          <w:sz w:val="24"/>
          <w:szCs w:val="24"/>
          <w:highlight w:val="none"/>
          <w:shd w:val="clear" w:color="auto" w:fill="FFFFFF"/>
        </w:rPr>
        <w:t>方</w:t>
      </w:r>
      <w:r>
        <w:rPr>
          <w:rFonts w:hint="eastAsia" w:ascii="仿宋" w:hAnsi="仿宋" w:eastAsia="仿宋" w:cs="仿宋"/>
          <w:sz w:val="24"/>
          <w:szCs w:val="24"/>
          <w:highlight w:val="none"/>
          <w:shd w:val="clear" w:color="auto" w:fill="FFFFFF"/>
          <w:lang w:val="en-US" w:eastAsia="zh-CN"/>
        </w:rPr>
        <w:t>各</w:t>
      </w:r>
      <w:r>
        <w:rPr>
          <w:rFonts w:hint="eastAsia" w:ascii="仿宋" w:hAnsi="仿宋" w:eastAsia="仿宋" w:cs="仿宋"/>
          <w:sz w:val="24"/>
          <w:szCs w:val="24"/>
          <w:highlight w:val="none"/>
          <w:shd w:val="clear" w:color="auto" w:fill="FFFFFF"/>
        </w:rPr>
        <w:t>执</w:t>
      </w:r>
      <w:r>
        <w:rPr>
          <w:rFonts w:hint="eastAsia" w:ascii="仿宋" w:hAnsi="仿宋" w:eastAsia="仿宋" w:cs="仿宋"/>
          <w:sz w:val="24"/>
          <w:szCs w:val="24"/>
          <w:highlight w:val="none"/>
          <w:u w:val="single"/>
          <w:shd w:val="clear" w:color="auto" w:fill="FFFFFF"/>
          <w:lang w:val="en-US" w:eastAsia="zh-CN"/>
        </w:rPr>
        <w:t>贰</w:t>
      </w:r>
      <w:r>
        <w:rPr>
          <w:rFonts w:hint="eastAsia" w:ascii="仿宋" w:hAnsi="仿宋" w:eastAsia="仿宋" w:cs="仿宋"/>
          <w:sz w:val="24"/>
          <w:szCs w:val="24"/>
          <w:highlight w:val="none"/>
          <w:u w:val="single"/>
          <w:shd w:val="clear" w:color="auto" w:fill="FFFFFF"/>
        </w:rPr>
        <w:t>份</w:t>
      </w:r>
      <w:r>
        <w:rPr>
          <w:rFonts w:hint="eastAsia" w:ascii="仿宋" w:hAnsi="仿宋" w:eastAsia="仿宋" w:cs="仿宋"/>
          <w:sz w:val="24"/>
          <w:szCs w:val="24"/>
          <w:highlight w:val="none"/>
          <w:shd w:val="clear" w:color="auto" w:fill="FFFFFF"/>
        </w:rPr>
        <w:t>，具有同等法律效力</w:t>
      </w:r>
      <w:r>
        <w:rPr>
          <w:rFonts w:hint="eastAsia" w:ascii="仿宋" w:hAnsi="仿宋" w:eastAsia="仿宋" w:cs="仿宋"/>
          <w:sz w:val="24"/>
          <w:szCs w:val="24"/>
          <w:highlight w:val="none"/>
          <w:shd w:val="clear" w:color="auto" w:fill="FFFFFF"/>
          <w:lang w:eastAsia="zh-CN"/>
        </w:rPr>
        <w:t>，</w:t>
      </w:r>
      <w:r>
        <w:rPr>
          <w:rFonts w:hint="eastAsia" w:ascii="仿宋" w:hAnsi="仿宋" w:eastAsia="仿宋" w:cs="仿宋"/>
          <w:sz w:val="24"/>
          <w:szCs w:val="24"/>
          <w:highlight w:val="none"/>
          <w:shd w:val="clear" w:color="auto" w:fill="FFFFFF"/>
          <w:lang w:val="en-US" w:eastAsia="zh-CN"/>
        </w:rPr>
        <w:t>自双方签章之日起生效</w:t>
      </w:r>
      <w:r>
        <w:rPr>
          <w:rFonts w:hint="eastAsia" w:ascii="仿宋" w:hAnsi="仿宋" w:eastAsia="仿宋" w:cs="仿宋"/>
          <w:sz w:val="24"/>
          <w:szCs w:val="24"/>
          <w:highlight w:val="none"/>
          <w:shd w:val="clear" w:color="auto" w:fill="FFFFFF"/>
        </w:rPr>
        <w:t>。</w:t>
      </w:r>
    </w:p>
    <w:p>
      <w:pPr>
        <w:spacing w:line="520" w:lineRule="exact"/>
        <w:ind w:firstLine="453" w:firstLineChars="189"/>
        <w:rPr>
          <w:rFonts w:hint="eastAsia" w:ascii="仿宋" w:hAnsi="仿宋" w:eastAsia="仿宋" w:cs="仿宋"/>
          <w:sz w:val="24"/>
          <w:szCs w:val="24"/>
          <w:highlight w:val="none"/>
        </w:rPr>
      </w:pPr>
      <w:r>
        <w:rPr>
          <w:rFonts w:hint="eastAsia" w:ascii="仿宋" w:hAnsi="仿宋" w:eastAsia="仿宋" w:cs="仿宋"/>
          <w:sz w:val="24"/>
          <w:szCs w:val="24"/>
          <w:highlight w:val="none"/>
          <w:shd w:val="clear" w:color="auto" w:fill="FFFFFF"/>
          <w:lang w:val="en-US" w:eastAsia="zh-CN"/>
        </w:rPr>
        <w:t>3.</w:t>
      </w:r>
      <w:r>
        <w:rPr>
          <w:rFonts w:hint="eastAsia" w:ascii="仿宋" w:hAnsi="仿宋" w:eastAsia="仿宋" w:cs="仿宋"/>
          <w:sz w:val="24"/>
          <w:szCs w:val="24"/>
          <w:highlight w:val="none"/>
          <w:lang w:bidi="ar"/>
        </w:rPr>
        <w:t>本合同未尽事宜，遵照</w:t>
      </w:r>
      <w:r>
        <w:rPr>
          <w:rFonts w:hint="eastAsia" w:ascii="仿宋" w:hAnsi="仿宋" w:eastAsia="仿宋" w:cs="仿宋"/>
          <w:snapToGrid w:val="0"/>
          <w:sz w:val="24"/>
          <w:szCs w:val="24"/>
          <w:highlight w:val="none"/>
        </w:rPr>
        <w:t>《中华人民共和国民法典》</w:t>
      </w:r>
      <w:r>
        <w:rPr>
          <w:rFonts w:hint="eastAsia" w:ascii="仿宋" w:hAnsi="仿宋" w:eastAsia="仿宋" w:cs="仿宋"/>
          <w:sz w:val="24"/>
          <w:szCs w:val="24"/>
          <w:highlight w:val="none"/>
          <w:lang w:bidi="ar"/>
        </w:rPr>
        <w:t>有关条文执行。</w:t>
      </w:r>
    </w:p>
    <w:p>
      <w:pPr>
        <w:rPr>
          <w:rFonts w:hint="eastAsia" w:ascii="仿宋" w:hAnsi="仿宋" w:eastAsia="仿宋" w:cs="仿宋"/>
          <w:sz w:val="24"/>
          <w:szCs w:val="24"/>
          <w:highlight w:val="none"/>
          <w:shd w:val="clear" w:color="auto" w:fill="FFFFFF"/>
          <w:lang w:eastAsia="zh-CN"/>
        </w:rPr>
      </w:pPr>
      <w:r>
        <w:rPr>
          <w:rFonts w:hint="eastAsia" w:ascii="仿宋" w:hAnsi="仿宋" w:eastAsia="仿宋" w:cs="仿宋"/>
          <w:sz w:val="24"/>
          <w:szCs w:val="24"/>
          <w:highlight w:val="none"/>
          <w:shd w:val="clear" w:color="auto" w:fill="FFFFFF"/>
          <w:lang w:eastAsia="zh-CN"/>
        </w:rPr>
        <w:br w:type="page"/>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jc w:val="both"/>
        <w:textAlignment w:val="auto"/>
        <w:rPr>
          <w:rFonts w:hint="eastAsia" w:ascii="仿宋_GB2312" w:hAnsi="仿宋_GB2312" w:eastAsia="仿宋_GB2312" w:cs="仿宋_GB2312"/>
          <w:sz w:val="28"/>
          <w:szCs w:val="28"/>
          <w:highlight w:val="none"/>
          <w:shd w:val="clear" w:color="auto" w:fill="FFFFFF"/>
          <w:lang w:val="en-US" w:eastAsia="zh-CN"/>
        </w:rPr>
      </w:pPr>
      <w:r>
        <w:rPr>
          <w:rFonts w:hint="eastAsia" w:ascii="仿宋_GB2312" w:hAnsi="仿宋_GB2312" w:eastAsia="仿宋_GB2312" w:cs="仿宋_GB2312"/>
          <w:sz w:val="28"/>
          <w:szCs w:val="28"/>
          <w:highlight w:val="none"/>
          <w:shd w:val="clear" w:color="auto" w:fill="FFFFFF"/>
          <w:lang w:eastAsia="zh-CN"/>
        </w:rPr>
        <w:t>（</w:t>
      </w:r>
      <w:r>
        <w:rPr>
          <w:rFonts w:hint="eastAsia" w:ascii="仿宋_GB2312" w:hAnsi="仿宋_GB2312" w:eastAsia="仿宋_GB2312" w:cs="仿宋_GB2312"/>
          <w:sz w:val="28"/>
          <w:szCs w:val="28"/>
          <w:highlight w:val="none"/>
          <w:shd w:val="clear" w:color="auto" w:fill="FFFFFF"/>
          <w:lang w:val="en-US" w:eastAsia="zh-CN"/>
        </w:rPr>
        <w:t>以下为盖章页，无正文）</w:t>
      </w: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jc w:val="both"/>
        <w:textAlignment w:val="auto"/>
        <w:rPr>
          <w:rFonts w:hint="default" w:ascii="仿宋_GB2312" w:hAnsi="仿宋_GB2312" w:eastAsia="仿宋_GB2312" w:cs="仿宋_GB2312"/>
          <w:sz w:val="28"/>
          <w:szCs w:val="28"/>
          <w:highlight w:val="none"/>
          <w:shd w:val="clear" w:color="auto" w:fill="FFFFFF"/>
          <w:lang w:val="en-US" w:eastAsia="zh-CN"/>
        </w:rPr>
      </w:pPr>
    </w:p>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jc w:val="both"/>
        <w:textAlignment w:val="auto"/>
        <w:rPr>
          <w:rFonts w:hint="eastAsia" w:ascii="仿宋_GB2312" w:hAnsi="仿宋_GB2312" w:eastAsia="仿宋_GB2312" w:cs="仿宋_GB2312"/>
          <w:sz w:val="28"/>
          <w:szCs w:val="28"/>
          <w:highlight w:val="none"/>
          <w:shd w:val="clear" w:color="auto" w:fill="FFFFFF"/>
        </w:rPr>
      </w:pPr>
    </w:p>
    <w:tbl>
      <w:tblPr>
        <w:tblStyle w:val="62"/>
        <w:tblW w:w="9360" w:type="dxa"/>
        <w:jc w:val="center"/>
        <w:tblLayout w:type="fixed"/>
        <w:tblCellMar>
          <w:top w:w="0" w:type="dxa"/>
          <w:left w:w="108" w:type="dxa"/>
          <w:bottom w:w="0" w:type="dxa"/>
          <w:right w:w="108" w:type="dxa"/>
        </w:tblCellMar>
      </w:tblPr>
      <w:tblGrid>
        <w:gridCol w:w="4568"/>
        <w:gridCol w:w="4792"/>
      </w:tblGrid>
      <w:tr>
        <w:trPr>
          <w:trHeight w:val="1492" w:hRule="atLeast"/>
          <w:jc w:val="center"/>
        </w:trPr>
        <w:tc>
          <w:tcPr>
            <w:tcW w:w="4568"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甲方：</w:t>
            </w:r>
          </w:p>
        </w:tc>
        <w:tc>
          <w:tcPr>
            <w:tcW w:w="4792"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乙方：</w:t>
            </w:r>
          </w:p>
        </w:tc>
      </w:tr>
      <w:tr>
        <w:trPr>
          <w:trHeight w:val="844" w:hRule="atLeast"/>
          <w:jc w:val="center"/>
        </w:trPr>
        <w:tc>
          <w:tcPr>
            <w:tcW w:w="4568"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地址：</w:t>
            </w:r>
            <w:r>
              <w:rPr>
                <w:rFonts w:hint="eastAsia" w:ascii="仿宋" w:hAnsi="仿宋" w:eastAsia="仿宋" w:cs="仿宋"/>
                <w:sz w:val="30"/>
                <w:szCs w:val="30"/>
                <w:highlight w:val="none"/>
                <w:lang w:bidi="ar"/>
              </w:rPr>
              <w:tab/>
            </w:r>
          </w:p>
        </w:tc>
        <w:tc>
          <w:tcPr>
            <w:tcW w:w="4792"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地址：</w:t>
            </w:r>
          </w:p>
        </w:tc>
      </w:tr>
      <w:tr>
        <w:trPr>
          <w:trHeight w:val="1556" w:hRule="atLeast"/>
          <w:jc w:val="center"/>
        </w:trPr>
        <w:tc>
          <w:tcPr>
            <w:tcW w:w="4568"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法定（授权）代表人：</w:t>
            </w:r>
          </w:p>
        </w:tc>
        <w:tc>
          <w:tcPr>
            <w:tcW w:w="4792"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法定（授权）代表人：</w:t>
            </w:r>
          </w:p>
        </w:tc>
      </w:tr>
      <w:tr>
        <w:trPr>
          <w:trHeight w:val="306" w:hRule="atLeast"/>
          <w:jc w:val="center"/>
        </w:trPr>
        <w:tc>
          <w:tcPr>
            <w:tcW w:w="4568"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 xml:space="preserve">签署日期：    年 </w:t>
            </w:r>
            <w:r>
              <w:rPr>
                <w:rFonts w:hint="eastAsia" w:ascii="仿宋" w:hAnsi="仿宋" w:eastAsia="仿宋" w:cs="仿宋"/>
                <w:sz w:val="30"/>
                <w:szCs w:val="30"/>
                <w:highlight w:val="none"/>
                <w:lang w:val="en-US" w:eastAsia="zh-CN" w:bidi="ar"/>
              </w:rPr>
              <w:t xml:space="preserve"> </w:t>
            </w:r>
            <w:r>
              <w:rPr>
                <w:rFonts w:hint="eastAsia" w:ascii="仿宋" w:hAnsi="仿宋" w:eastAsia="仿宋" w:cs="仿宋"/>
                <w:sz w:val="30"/>
                <w:szCs w:val="30"/>
                <w:highlight w:val="none"/>
                <w:lang w:bidi="ar"/>
              </w:rPr>
              <w:t xml:space="preserve"> 月  日</w:t>
            </w:r>
          </w:p>
        </w:tc>
        <w:tc>
          <w:tcPr>
            <w:tcW w:w="4792" w:type="dxa"/>
            <w:noWrap w:val="0"/>
            <w:vAlign w:val="top"/>
          </w:tcPr>
          <w:p>
            <w:pPr>
              <w:keepNext w:val="0"/>
              <w:keepLines w:val="0"/>
              <w:pageBreakBefore w:val="0"/>
              <w:kinsoku/>
              <w:wordWrap/>
              <w:overflowPunct/>
              <w:topLinePunct w:val="0"/>
              <w:autoSpaceDE/>
              <w:autoSpaceDN/>
              <w:bidi w:val="0"/>
              <w:adjustRightInd/>
              <w:spacing w:line="580" w:lineRule="exact"/>
              <w:textAlignment w:val="auto"/>
              <w:rPr>
                <w:rFonts w:hint="eastAsia" w:ascii="仿宋" w:hAnsi="仿宋" w:eastAsia="仿宋" w:cs="仿宋"/>
                <w:sz w:val="30"/>
                <w:szCs w:val="30"/>
                <w:highlight w:val="none"/>
                <w:lang w:bidi="ar"/>
              </w:rPr>
            </w:pPr>
            <w:r>
              <w:rPr>
                <w:rFonts w:hint="eastAsia" w:ascii="仿宋" w:hAnsi="仿宋" w:eastAsia="仿宋" w:cs="仿宋"/>
                <w:sz w:val="30"/>
                <w:szCs w:val="30"/>
                <w:highlight w:val="none"/>
                <w:lang w:bidi="ar"/>
              </w:rPr>
              <w:t xml:space="preserve">签署日期：    年 </w:t>
            </w:r>
            <w:r>
              <w:rPr>
                <w:rFonts w:hint="eastAsia" w:ascii="仿宋" w:hAnsi="仿宋" w:eastAsia="仿宋" w:cs="仿宋"/>
                <w:sz w:val="30"/>
                <w:szCs w:val="30"/>
                <w:highlight w:val="none"/>
                <w:lang w:val="en-US" w:eastAsia="zh-CN" w:bidi="ar"/>
              </w:rPr>
              <w:t xml:space="preserve"> </w:t>
            </w:r>
            <w:r>
              <w:rPr>
                <w:rFonts w:hint="eastAsia" w:ascii="仿宋" w:hAnsi="仿宋" w:eastAsia="仿宋" w:cs="仿宋"/>
                <w:sz w:val="30"/>
                <w:szCs w:val="30"/>
                <w:highlight w:val="none"/>
                <w:lang w:bidi="ar"/>
              </w:rPr>
              <w:t xml:space="preserve"> 月 </w:t>
            </w:r>
            <w:r>
              <w:rPr>
                <w:rFonts w:hint="eastAsia" w:ascii="仿宋" w:hAnsi="仿宋" w:eastAsia="仿宋" w:cs="仿宋"/>
                <w:sz w:val="30"/>
                <w:szCs w:val="30"/>
                <w:highlight w:val="none"/>
                <w:lang w:val="en-US" w:eastAsia="zh-CN" w:bidi="ar"/>
              </w:rPr>
              <w:t xml:space="preserve"> </w:t>
            </w:r>
            <w:r>
              <w:rPr>
                <w:rFonts w:hint="eastAsia" w:ascii="仿宋" w:hAnsi="仿宋" w:eastAsia="仿宋" w:cs="仿宋"/>
                <w:sz w:val="30"/>
                <w:szCs w:val="30"/>
                <w:highlight w:val="none"/>
                <w:lang w:bidi="ar"/>
              </w:rPr>
              <w:t xml:space="preserve"> 日</w:t>
            </w:r>
          </w:p>
        </w:tc>
      </w:tr>
    </w:tbl>
    <w:p>
      <w:pPr>
        <w:pStyle w:val="5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560" w:firstLineChars="200"/>
        <w:jc w:val="both"/>
        <w:textAlignment w:val="auto"/>
        <w:rPr>
          <w:rFonts w:hint="eastAsia" w:ascii="仿宋_GB2312" w:hAnsi="仿宋_GB2312" w:eastAsia="仿宋_GB2312" w:cs="仿宋_GB2312"/>
          <w:sz w:val="28"/>
          <w:szCs w:val="28"/>
          <w:highlight w:val="none"/>
          <w:shd w:val="clear" w:color="auto" w:fill="FFFFFF"/>
        </w:rPr>
      </w:pPr>
    </w:p>
    <w:p>
      <w:pPr>
        <w:numPr>
          <w:ilvl w:val="0"/>
          <w:numId w:val="0"/>
        </w:numPr>
        <w:rPr>
          <w:rFonts w:hint="default" w:ascii="Times New Roman" w:hAnsi="Times New Roman" w:eastAsia="仿宋_GB2312"/>
          <w:bCs/>
          <w:color w:val="000000"/>
          <w:sz w:val="28"/>
          <w:szCs w:val="28"/>
          <w:highlight w:val="none"/>
          <w:lang w:val="en-US" w:eastAsia="zh-CN"/>
        </w:rPr>
      </w:pPr>
    </w:p>
    <w:p>
      <w:pPr>
        <w:spacing w:line="480" w:lineRule="auto"/>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p>
    <w:p>
      <w:pPr>
        <w:widowControl/>
        <w:adjustRightInd/>
        <w:jc w:val="center"/>
        <w:rPr>
          <w:rFonts w:hint="eastAsia" w:ascii="仿宋" w:hAnsi="仿宋" w:eastAsia="仿宋" w:cs="仿宋"/>
          <w:b/>
          <w:sz w:val="24"/>
          <w:highlight w:val="none"/>
        </w:rPr>
      </w:pPr>
      <w:r>
        <w:rPr>
          <w:rFonts w:hint="eastAsia" w:ascii="仿宋" w:hAnsi="仿宋" w:eastAsia="仿宋" w:cs="仿宋"/>
          <w:b/>
          <w:sz w:val="24"/>
          <w:highlight w:val="none"/>
        </w:rPr>
        <w:t>第六部分</w:t>
      </w:r>
      <w:bookmarkEnd w:id="399"/>
      <w:r>
        <w:rPr>
          <w:rFonts w:hint="eastAsia" w:ascii="仿宋" w:hAnsi="仿宋" w:eastAsia="仿宋" w:cs="仿宋"/>
          <w:b/>
          <w:sz w:val="24"/>
          <w:highlight w:val="none"/>
        </w:rPr>
        <w:t xml:space="preserve"> </w:t>
      </w:r>
      <w:bookmarkEnd w:id="400"/>
      <w:r>
        <w:rPr>
          <w:rFonts w:hint="eastAsia" w:ascii="仿宋" w:hAnsi="仿宋" w:eastAsia="仿宋" w:cs="仿宋"/>
          <w:b/>
          <w:sz w:val="24"/>
          <w:highlight w:val="none"/>
        </w:rPr>
        <w:t>应提交的有关格式范例</w:t>
      </w:r>
    </w:p>
    <w:p>
      <w:pPr>
        <w:spacing w:line="360" w:lineRule="auto"/>
        <w:jc w:val="center"/>
        <w:outlineLvl w:val="0"/>
        <w:rPr>
          <w:rFonts w:hint="eastAsia" w:ascii="仿宋" w:hAnsi="仿宋" w:eastAsia="仿宋" w:cs="仿宋"/>
          <w:b/>
          <w:kern w:val="0"/>
          <w:sz w:val="24"/>
          <w:highlight w:val="none"/>
        </w:rPr>
      </w:pPr>
    </w:p>
    <w:p>
      <w:pPr>
        <w:spacing w:line="360" w:lineRule="auto"/>
        <w:jc w:val="center"/>
        <w:outlineLvl w:val="0"/>
        <w:rPr>
          <w:rFonts w:hint="eastAsia" w:ascii="仿宋" w:hAnsi="仿宋" w:eastAsia="仿宋" w:cs="仿宋"/>
          <w:b/>
          <w:kern w:val="0"/>
          <w:sz w:val="24"/>
          <w:highlight w:val="none"/>
        </w:rPr>
      </w:pPr>
      <w:r>
        <w:rPr>
          <w:rFonts w:hint="eastAsia" w:ascii="仿宋" w:hAnsi="仿宋" w:eastAsia="仿宋" w:cs="仿宋"/>
          <w:b/>
          <w:kern w:val="0"/>
          <w:sz w:val="24"/>
          <w:highlight w:val="none"/>
        </w:rPr>
        <w:t>资格文件部分</w:t>
      </w:r>
    </w:p>
    <w:p>
      <w:pPr>
        <w:spacing w:line="360" w:lineRule="auto"/>
        <w:jc w:val="center"/>
        <w:outlineLvl w:val="0"/>
        <w:rPr>
          <w:rFonts w:hint="eastAsia" w:ascii="仿宋" w:hAnsi="仿宋" w:eastAsia="仿宋" w:cs="仿宋"/>
          <w:b/>
          <w:kern w:val="0"/>
          <w:sz w:val="24"/>
          <w:highlight w:val="none"/>
        </w:rPr>
      </w:pPr>
      <w:r>
        <w:rPr>
          <w:rFonts w:hint="eastAsia" w:ascii="仿宋" w:hAnsi="仿宋" w:eastAsia="仿宋" w:cs="仿宋"/>
          <w:b/>
          <w:kern w:val="0"/>
          <w:sz w:val="24"/>
          <w:highlight w:val="none"/>
        </w:rPr>
        <w:t>目录</w:t>
      </w:r>
    </w:p>
    <w:p>
      <w:pPr>
        <w:spacing w:line="360" w:lineRule="auto"/>
        <w:jc w:val="center"/>
        <w:outlineLvl w:val="0"/>
        <w:rPr>
          <w:rFonts w:hint="eastAsia" w:ascii="仿宋" w:hAnsi="仿宋" w:eastAsia="仿宋" w:cs="仿宋"/>
          <w:b/>
          <w:kern w:val="0"/>
          <w:sz w:val="24"/>
          <w:highlight w:val="none"/>
        </w:rPr>
      </w:pP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pPr>
        <w:snapToGrid w:val="0"/>
        <w:spacing w:line="360" w:lineRule="auto"/>
        <w:rPr>
          <w:rFonts w:hint="eastAsia" w:ascii="仿宋" w:hAnsi="仿宋" w:eastAsia="仿宋" w:cs="仿宋"/>
          <w:sz w:val="24"/>
          <w:highlight w:val="none"/>
        </w:rPr>
      </w:pPr>
      <w:r>
        <w:rPr>
          <w:rFonts w:hint="eastAsia" w:ascii="仿宋" w:hAnsi="仿宋" w:eastAsia="仿宋" w:cs="仿宋"/>
          <w:snapToGrid w:val="0"/>
          <w:kern w:val="28"/>
          <w:sz w:val="24"/>
          <w:highlight w:val="none"/>
        </w:rPr>
        <w:t>（2）联合协议（如果有）</w:t>
      </w:r>
      <w:r>
        <w:rPr>
          <w:rFonts w:hint="eastAsia" w:ascii="仿宋" w:hAnsi="仿宋" w:eastAsia="仿宋" w:cs="仿宋"/>
          <w:sz w:val="24"/>
          <w:highlight w:val="none"/>
        </w:rPr>
        <w:t>……………………………………………………………（页码）</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（3）本项目的特定资格要求（如果有）……………………………………………（页码）</w:t>
      </w:r>
    </w:p>
    <w:p>
      <w:pPr>
        <w:snapToGrid w:val="0"/>
        <w:spacing w:line="360" w:lineRule="auto"/>
        <w:ind w:firstLine="480" w:firstLineChars="200"/>
        <w:rPr>
          <w:rFonts w:hint="eastAsia" w:ascii="仿宋" w:hAnsi="仿宋" w:eastAsia="仿宋" w:cs="仿宋"/>
          <w:sz w:val="24"/>
          <w:highlight w:val="none"/>
        </w:rPr>
      </w:pPr>
    </w:p>
    <w:p>
      <w:pPr>
        <w:spacing w:line="360" w:lineRule="auto"/>
        <w:ind w:firstLine="480" w:firstLineChars="200"/>
        <w:rPr>
          <w:rFonts w:hint="eastAsia" w:ascii="仿宋" w:hAnsi="仿宋" w:eastAsia="仿宋" w:cs="仿宋"/>
          <w:sz w:val="24"/>
          <w:highlight w:val="none"/>
        </w:rPr>
      </w:pPr>
    </w:p>
    <w:p>
      <w:pPr>
        <w:snapToGrid w:val="0"/>
        <w:spacing w:line="360" w:lineRule="auto"/>
        <w:ind w:right="480"/>
        <w:jc w:val="center"/>
        <w:rPr>
          <w:rFonts w:hint="eastAsia" w:ascii="仿宋" w:hAnsi="仿宋" w:eastAsia="仿宋" w:cs="仿宋"/>
          <w:b/>
          <w:kern w:val="0"/>
          <w:sz w:val="24"/>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24"/>
          <w:highlight w:val="none"/>
        </w:rPr>
        <w:t xml:space="preserve">  一、 符合参加政府采购活动应当具备的一般条件的承诺函</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pPr>
        <w:snapToGrid w:val="0"/>
        <w:spacing w:line="360" w:lineRule="auto"/>
        <w:rPr>
          <w:rFonts w:hint="eastAsia" w:ascii="仿宋" w:hAnsi="仿宋" w:eastAsia="仿宋" w:cs="仿宋"/>
          <w:b/>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rPr>
          <w:rFonts w:hint="eastAsia" w:ascii="仿宋" w:hAnsi="仿宋" w:eastAsia="仿宋" w:cs="仿宋"/>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widowControl/>
        <w:adjustRightInd/>
        <w:jc w:val="left"/>
        <w:rPr>
          <w:rFonts w:hint="eastAsia" w:ascii="仿宋" w:hAnsi="仿宋" w:eastAsia="仿宋" w:cs="仿宋"/>
          <w:b/>
          <w:kern w:val="0"/>
          <w:sz w:val="24"/>
          <w:highlight w:val="none"/>
        </w:rPr>
      </w:pPr>
    </w:p>
    <w:p>
      <w:pPr>
        <w:rPr>
          <w:rFonts w:hint="eastAsia" w:ascii="仿宋" w:hAnsi="仿宋" w:eastAsia="仿宋" w:cs="仿宋"/>
          <w:b/>
          <w:kern w:val="0"/>
          <w:sz w:val="24"/>
          <w:highlight w:val="none"/>
        </w:rPr>
      </w:pPr>
      <w:r>
        <w:rPr>
          <w:rFonts w:hint="eastAsia" w:ascii="仿宋" w:hAnsi="仿宋" w:eastAsia="仿宋" w:cs="仿宋"/>
          <w:b/>
          <w:kern w:val="0"/>
          <w:sz w:val="24"/>
          <w:highlight w:val="none"/>
        </w:rPr>
        <w:br w:type="page"/>
      </w:r>
    </w:p>
    <w:p>
      <w:pPr>
        <w:widowControl/>
        <w:spacing w:line="360" w:lineRule="auto"/>
        <w:ind w:firstLine="482" w:firstLineChars="200"/>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二、联合协议（如果有）</w:t>
      </w:r>
    </w:p>
    <w:p>
      <w:pPr>
        <w:widowControl/>
        <w:spacing w:line="360" w:lineRule="auto"/>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widowControl/>
        <w:spacing w:line="360" w:lineRule="auto"/>
        <w:ind w:left="150"/>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三、本项目的特定资格要求</w:t>
      </w:r>
    </w:p>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（根据招标公告本项目的特定资格要求提供相应的材料；未要求的，无需提供）</w:t>
      </w:r>
    </w:p>
    <w:p>
      <w:pPr>
        <w:rPr>
          <w:rFonts w:hint="eastAsia" w:ascii="仿宋" w:hAnsi="仿宋" w:eastAsia="仿宋" w:cs="仿宋"/>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widowControl/>
        <w:adjustRightInd/>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br w:type="page"/>
      </w:r>
    </w:p>
    <w:p>
      <w:pPr>
        <w:spacing w:line="360" w:lineRule="auto"/>
        <w:ind w:right="420"/>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商务技术文件部分</w:t>
      </w:r>
    </w:p>
    <w:p>
      <w:pPr>
        <w:spacing w:line="360" w:lineRule="auto"/>
        <w:jc w:val="center"/>
        <w:outlineLvl w:val="0"/>
        <w:rPr>
          <w:rFonts w:hint="eastAsia" w:ascii="仿宋" w:hAnsi="仿宋" w:eastAsia="仿宋" w:cs="仿宋"/>
          <w:b/>
          <w:kern w:val="0"/>
          <w:sz w:val="24"/>
          <w:highlight w:val="none"/>
        </w:rPr>
      </w:pPr>
    </w:p>
    <w:p>
      <w:pPr>
        <w:spacing w:line="360" w:lineRule="auto"/>
        <w:jc w:val="center"/>
        <w:outlineLvl w:val="0"/>
        <w:rPr>
          <w:rFonts w:hint="eastAsia" w:ascii="仿宋" w:hAnsi="仿宋" w:eastAsia="仿宋" w:cs="仿宋"/>
          <w:b/>
          <w:kern w:val="0"/>
          <w:sz w:val="24"/>
          <w:highlight w:val="none"/>
        </w:rPr>
      </w:pPr>
      <w:r>
        <w:rPr>
          <w:rFonts w:hint="eastAsia" w:ascii="仿宋" w:hAnsi="仿宋" w:eastAsia="仿宋" w:cs="仿宋"/>
          <w:b/>
          <w:kern w:val="0"/>
          <w:sz w:val="24"/>
          <w:highlight w:val="none"/>
        </w:rPr>
        <w:t>目录</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（1）投标函………………………………………………………………………（页码）（2）授权委托书或法定代表人（单位负责人、自然人本人）身份证明……（页码）</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（3）分包意向协议（如果有）…………………………………………………（页码）</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（4）符合性审查资料……………………………………………………………（页码）</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（5）评标标准相应的商务技术资料……………………………………………（页码）</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（6）投标标的清单………………………………………………………………（页码）</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（7）商务技术偏离表……………………………………………………………（页码）</w:t>
      </w:r>
    </w:p>
    <w:p>
      <w:pPr>
        <w:snapToGrid w:val="0"/>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rPr>
        <w:t>8</w:t>
      </w:r>
      <w:r>
        <w:rPr>
          <w:rFonts w:hint="eastAsia" w:ascii="仿宋" w:hAnsi="仿宋" w:eastAsia="仿宋" w:cs="仿宋"/>
          <w:sz w:val="24"/>
          <w:highlight w:val="none"/>
          <w:lang w:val="zh-CN"/>
        </w:rPr>
        <w:t>）政府采购供应商廉洁自律承诺书</w:t>
      </w:r>
      <w:r>
        <w:rPr>
          <w:rFonts w:hint="eastAsia" w:ascii="仿宋" w:hAnsi="仿宋" w:eastAsia="仿宋" w:cs="仿宋"/>
          <w:sz w:val="24"/>
          <w:highlight w:val="none"/>
        </w:rPr>
        <w:t>………………………………………（页码）</w:t>
      </w: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snapToGrid w:val="0"/>
        <w:spacing w:line="360" w:lineRule="auto"/>
        <w:jc w:val="center"/>
        <w:rPr>
          <w:rFonts w:hint="eastAsia" w:ascii="仿宋" w:hAnsi="仿宋" w:eastAsia="仿宋" w:cs="仿宋"/>
          <w:b/>
          <w:kern w:val="0"/>
          <w:sz w:val="24"/>
          <w:highlight w:val="none"/>
          <w:lang w:val="zh-CN"/>
        </w:rPr>
      </w:pPr>
    </w:p>
    <w:p>
      <w:pPr>
        <w:rPr>
          <w:rFonts w:hint="eastAsia" w:ascii="仿宋" w:hAnsi="仿宋" w:eastAsia="仿宋" w:cs="仿宋"/>
          <w:b/>
          <w:kern w:val="0"/>
          <w:sz w:val="24"/>
          <w:highlight w:val="none"/>
          <w:lang w:val="zh-CN"/>
        </w:rPr>
      </w:pPr>
    </w:p>
    <w:p>
      <w:pPr>
        <w:widowControl/>
        <w:adjustRightInd/>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br w:type="page"/>
      </w:r>
    </w:p>
    <w:p>
      <w:pPr>
        <w:snapToGrid w:val="0"/>
        <w:spacing w:line="360" w:lineRule="auto"/>
        <w:jc w:val="center"/>
        <w:outlineLvl w:val="0"/>
        <w:rPr>
          <w:rFonts w:hint="eastAsia" w:ascii="仿宋" w:hAnsi="仿宋" w:eastAsia="仿宋" w:cs="仿宋"/>
          <w:b/>
          <w:sz w:val="24"/>
          <w:highlight w:val="none"/>
        </w:rPr>
      </w:pPr>
      <w:r>
        <w:rPr>
          <w:rFonts w:hint="eastAsia" w:ascii="仿宋" w:hAnsi="仿宋" w:eastAsia="仿宋" w:cs="仿宋"/>
          <w:b/>
          <w:kern w:val="0"/>
          <w:sz w:val="24"/>
          <w:highlight w:val="none"/>
        </w:rPr>
        <w:t>一、投标</w:t>
      </w:r>
      <w:r>
        <w:rPr>
          <w:rFonts w:hint="eastAsia" w:ascii="仿宋" w:hAnsi="仿宋" w:eastAsia="仿宋" w:cs="仿宋"/>
          <w:b/>
          <w:sz w:val="24"/>
          <w:highlight w:val="none"/>
        </w:rPr>
        <w:t>函</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1、我方承诺投标有效期从提交投标文件的截止之日起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天（不少于90天），本投标文件在投标有效期满之前均具有约束力。</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2、我方的投标文件包括以下内容：</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2.1资格文件：</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2.1.1承诺函；</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2.1.2</w:t>
      </w:r>
      <w:r>
        <w:rPr>
          <w:rFonts w:hint="eastAsia" w:ascii="仿宋" w:hAnsi="仿宋" w:eastAsia="仿宋" w:cs="仿宋"/>
          <w:snapToGrid w:val="0"/>
          <w:kern w:val="28"/>
          <w:sz w:val="24"/>
          <w:highlight w:val="none"/>
        </w:rPr>
        <w:t>联合协议</w:t>
      </w:r>
      <w:bookmarkStart w:id="404" w:name="_Hlk101257010"/>
      <w:r>
        <w:rPr>
          <w:rFonts w:hint="eastAsia" w:ascii="仿宋" w:hAnsi="仿宋" w:eastAsia="仿宋" w:cs="仿宋"/>
          <w:sz w:val="24"/>
          <w:highlight w:val="none"/>
        </w:rPr>
        <w:t>（如果有)</w:t>
      </w:r>
      <w:bookmarkEnd w:id="404"/>
      <w:r>
        <w:rPr>
          <w:rFonts w:hint="eastAsia" w:ascii="仿宋" w:hAnsi="仿宋" w:eastAsia="仿宋" w:cs="仿宋"/>
          <w:snapToGrid w:val="0"/>
          <w:kern w:val="28"/>
          <w:sz w:val="24"/>
          <w:highlight w:val="none"/>
        </w:rPr>
        <w:t>；</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2.1.3本项目的特定资格要求（如果有)。</w:t>
      </w:r>
    </w:p>
    <w:p>
      <w:pPr>
        <w:snapToGrid w:val="0"/>
        <w:spacing w:line="360" w:lineRule="auto"/>
        <w:ind w:left="210" w:leftChars="1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2.2.1投标函；</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2.2.3分包意向协议（如果有)；</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2.2.4符合性审查资料；</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2.2.5评标标准相应的商务技术资料；</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2.2.6投标标的清单；</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2.2.7商务技术偏离表；</w:t>
      </w:r>
    </w:p>
    <w:p>
      <w:pPr>
        <w:snapToGrid w:val="0"/>
        <w:spacing w:line="360" w:lineRule="auto"/>
        <w:ind w:left="420" w:leftChars="2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8</w:t>
      </w:r>
      <w:r>
        <w:rPr>
          <w:rFonts w:hint="eastAsia" w:ascii="仿宋" w:hAnsi="仿宋" w:eastAsia="仿宋" w:cs="仿宋"/>
          <w:sz w:val="24"/>
          <w:highlight w:val="none"/>
          <w:lang w:val="zh-CN"/>
        </w:rPr>
        <w:t>政府采购供应商廉洁自律承诺书；</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3报价文件</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2.3.2供应商针对报价需要说明的其他文件和资料（格式自拟）。</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3、我方承诺除商务技术偏离表列出的偏离外，我方响应交易文件的全部要求。</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4、如我方中标，我方承诺：</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4.3按照交易文件要求提交履约保证金； </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5、其他补充说明: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spacing w:line="360" w:lineRule="auto"/>
        <w:ind w:firstLine="3600" w:firstLineChars="1500"/>
        <w:rPr>
          <w:rFonts w:hint="eastAsia"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kern w:val="0"/>
          <w:sz w:val="24"/>
          <w:highlight w:val="none"/>
          <w:u w:val="single"/>
        </w:rPr>
      </w:pPr>
    </w:p>
    <w:p>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pPr>
        <w:rPr>
          <w:rFonts w:hint="eastAsia" w:ascii="仿宋" w:hAnsi="仿宋" w:eastAsia="仿宋" w:cs="仿宋"/>
          <w:b/>
          <w:kern w:val="0"/>
          <w:sz w:val="24"/>
          <w:highlight w:val="none"/>
        </w:rPr>
      </w:pPr>
      <w:r>
        <w:rPr>
          <w:rFonts w:hint="eastAsia" w:ascii="仿宋" w:hAnsi="仿宋" w:eastAsia="仿宋" w:cs="仿宋"/>
          <w:b/>
          <w:kern w:val="0"/>
          <w:sz w:val="24"/>
          <w:highlight w:val="none"/>
        </w:rPr>
        <w:br w:type="page"/>
      </w:r>
    </w:p>
    <w:p>
      <w:pPr>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二、授权委托书或法定代表人（单位负责人、自然人本人）身份证明</w:t>
      </w:r>
    </w:p>
    <w:p>
      <w:pPr>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pPr>
        <w:snapToGrid w:val="0"/>
        <w:spacing w:line="360" w:lineRule="auto"/>
        <w:rPr>
          <w:rFonts w:hint="eastAsia" w:ascii="仿宋" w:hAnsi="仿宋" w:eastAsia="仿宋" w:cs="仿宋"/>
          <w:sz w:val="24"/>
          <w:highlight w:val="none"/>
        </w:rPr>
      </w:pPr>
    </w:p>
    <w:p>
      <w:pPr>
        <w:snapToGrid w:val="0"/>
        <w:spacing w:line="360" w:lineRule="auto"/>
        <w:ind w:firstLine="2154" w:firstLineChars="894"/>
        <w:rPr>
          <w:rFonts w:hint="eastAsia" w:ascii="仿宋" w:hAnsi="仿宋" w:eastAsia="仿宋" w:cs="仿宋"/>
          <w:sz w:val="24"/>
          <w:highlight w:val="none"/>
        </w:rPr>
      </w:pPr>
      <w:r>
        <w:rPr>
          <w:rFonts w:hint="eastAsia" w:ascii="仿宋" w:hAnsi="仿宋" w:eastAsia="仿宋" w:cs="仿宋"/>
          <w:b/>
          <w:kern w:val="0"/>
          <w:sz w:val="24"/>
          <w:highlight w:val="none"/>
          <w:lang w:val="zh-CN"/>
        </w:rPr>
        <w:t>授权委托书（适用于非联合体投标）</w:t>
      </w:r>
      <w:r>
        <w:rPr>
          <w:rFonts w:hint="eastAsia" w:ascii="仿宋" w:hAnsi="仿宋" w:eastAsia="仿宋" w:cs="仿宋"/>
          <w:sz w:val="24"/>
          <w:highlight w:val="none"/>
        </w:rPr>
        <w:t xml:space="preserve">                               </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政府采购投标的一切事项，其法律后果由我方承担。</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投标人名称(电子签名)：</w:t>
      </w:r>
    </w:p>
    <w:p>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24"/>
          <w:highlight w:val="none"/>
          <w:lang w:val="zh-CN"/>
        </w:rPr>
        <w:t>法定代表人、单位负责人或自然人本人</w:t>
      </w:r>
      <w:r>
        <w:rPr>
          <w:rFonts w:hint="eastAsia" w:ascii="仿宋" w:hAnsi="仿宋" w:eastAsia="仿宋" w:cs="仿宋"/>
          <w:b/>
          <w:sz w:val="24"/>
          <w:highlight w:val="none"/>
        </w:rPr>
        <w:t>的身份证明（适用于法定代表人、单位负责人或者自然人本人代表投标人参加投标）</w:t>
      </w:r>
    </w:p>
    <w:p>
      <w:pPr>
        <w:pStyle w:val="146"/>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rPr>
          <w:trHeight w:val="4812" w:hRule="atLeast"/>
          <w:jc w:val="center"/>
        </w:trPr>
        <w:tc>
          <w:tcPr>
            <w:tcW w:w="9207" w:type="dxa"/>
          </w:tcPr>
          <w:p>
            <w:pPr>
              <w:pStyle w:val="146"/>
              <w:adjustRightIn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正面：                                 反面：</w:t>
            </w:r>
          </w:p>
          <w:p>
            <w:pPr>
              <w:pStyle w:val="146"/>
              <w:adjustRightInd w:val="0"/>
              <w:spacing w:line="360" w:lineRule="auto"/>
              <w:rPr>
                <w:rFonts w:hint="eastAsia" w:ascii="仿宋" w:hAnsi="仿宋" w:eastAsia="仿宋" w:cs="仿宋"/>
                <w:bCs/>
                <w:sz w:val="24"/>
                <w:szCs w:val="24"/>
                <w:highlight w:val="none"/>
              </w:rPr>
            </w:pPr>
          </w:p>
        </w:tc>
      </w:tr>
    </w:tbl>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pPr>
        <w:spacing w:line="360" w:lineRule="auto"/>
        <w:jc w:val="center"/>
        <w:rPr>
          <w:rFonts w:hint="eastAsia" w:ascii="仿宋" w:hAnsi="仿宋" w:eastAsia="仿宋" w:cs="仿宋"/>
          <w:b/>
          <w:kern w:val="0"/>
          <w:sz w:val="24"/>
          <w:highlight w:val="none"/>
        </w:rPr>
      </w:pPr>
      <w:r>
        <w:rPr>
          <w:rFonts w:hint="eastAsia" w:ascii="仿宋" w:hAnsi="仿宋" w:eastAsia="仿宋" w:cs="仿宋"/>
          <w:kern w:val="0"/>
          <w:sz w:val="24"/>
          <w:highlight w:val="none"/>
          <w:lang w:val="zh-CN"/>
        </w:rPr>
        <w:t xml:space="preserve">                   日期：  年  月  日</w:t>
      </w:r>
    </w:p>
    <w:p>
      <w:pPr>
        <w:snapToGrid w:val="0"/>
        <w:spacing w:line="360" w:lineRule="auto"/>
        <w:ind w:right="480"/>
        <w:rPr>
          <w:rFonts w:hint="eastAsia" w:ascii="仿宋" w:hAnsi="仿宋" w:eastAsia="仿宋" w:cs="仿宋"/>
          <w:b/>
          <w:kern w:val="0"/>
          <w:sz w:val="24"/>
          <w:highlight w:val="none"/>
        </w:rPr>
        <w:sectPr>
          <w:footerReference r:id="rId9" w:type="first"/>
          <w:footerReference r:id="rId8" w:type="default"/>
          <w:pgSz w:w="11906" w:h="16838"/>
          <w:pgMar w:top="1276" w:right="1418" w:bottom="1247" w:left="1418" w:header="851" w:footer="992" w:gutter="0"/>
          <w:cols w:space="720" w:num="1"/>
          <w:titlePg/>
          <w:docGrid w:linePitch="312" w:charSpace="0"/>
        </w:sectPr>
      </w:pPr>
    </w:p>
    <w:p>
      <w:pPr>
        <w:snapToGrid w:val="0"/>
        <w:spacing w:line="360" w:lineRule="auto"/>
        <w:ind w:firstLine="2650" w:firstLineChars="1100"/>
        <w:rPr>
          <w:rFonts w:hint="eastAsia" w:ascii="仿宋" w:hAnsi="仿宋" w:eastAsia="仿宋" w:cs="仿宋"/>
          <w:b/>
          <w:kern w:val="0"/>
          <w:sz w:val="24"/>
          <w:highlight w:val="none"/>
        </w:rPr>
      </w:pPr>
      <w:r>
        <w:rPr>
          <w:rFonts w:hint="eastAsia" w:ascii="仿宋" w:hAnsi="仿宋" w:eastAsia="仿宋" w:cs="仿宋"/>
          <w:b/>
          <w:kern w:val="0"/>
          <w:sz w:val="24"/>
          <w:highlight w:val="none"/>
        </w:rPr>
        <w:t>三、分包意向协议（如果有）</w:t>
      </w:r>
    </w:p>
    <w:p>
      <w:pPr>
        <w:widowControl/>
        <w:spacing w:line="360" w:lineRule="auto"/>
        <w:ind w:firstLine="120" w:firstLineChars="50"/>
        <w:jc w:val="left"/>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sz w:val="24"/>
          <w:highlight w:val="none"/>
        </w:rPr>
        <w:t>]</w:t>
      </w:r>
    </w:p>
    <w:p>
      <w:pPr>
        <w:snapToGrid w:val="0"/>
        <w:spacing w:line="360" w:lineRule="auto"/>
        <w:rPr>
          <w:rFonts w:hint="eastAsia" w:ascii="仿宋" w:hAnsi="仿宋" w:eastAsia="仿宋" w:cs="仿宋"/>
          <w:kern w:val="0"/>
          <w:sz w:val="24"/>
          <w:highlight w:val="none"/>
        </w:rPr>
      </w:pPr>
    </w:p>
    <w:p>
      <w:pPr>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四、符合性审查资料</w:t>
      </w:r>
    </w:p>
    <w:p>
      <w:pPr>
        <w:jc w:val="center"/>
        <w:rPr>
          <w:rFonts w:hint="eastAsia" w:ascii="仿宋" w:hAnsi="仿宋" w:eastAsia="仿宋" w:cs="仿宋"/>
          <w:b/>
          <w:kern w:val="0"/>
          <w:sz w:val="24"/>
          <w:highlight w:val="none"/>
        </w:rPr>
      </w:pPr>
    </w:p>
    <w:tbl>
      <w:tblPr>
        <w:tblStyle w:val="62"/>
        <w:tblW w:w="9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4728"/>
        <w:gridCol w:w="2416"/>
        <w:gridCol w:w="1343"/>
      </w:tblGrid>
      <w:tr>
        <w:trPr>
          <w:trHeight w:val="954" w:hRule="atLeast"/>
        </w:trPr>
        <w:tc>
          <w:tcPr>
            <w:tcW w:w="611"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4728"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实质性要求</w:t>
            </w:r>
          </w:p>
        </w:tc>
        <w:tc>
          <w:tcPr>
            <w:tcW w:w="2416"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需要提供的符合性审查资料</w:t>
            </w:r>
          </w:p>
        </w:tc>
        <w:tc>
          <w:tcPr>
            <w:tcW w:w="1343"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投标文件中的</w:t>
            </w:r>
          </w:p>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页码位置</w:t>
            </w:r>
          </w:p>
        </w:tc>
      </w:tr>
      <w:tr>
        <w:trPr>
          <w:trHeight w:val="954" w:hRule="atLeast"/>
        </w:trPr>
        <w:tc>
          <w:tcPr>
            <w:tcW w:w="611" w:type="dxa"/>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728" w:type="dxa"/>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投标文件按照交易文件要求签署、盖章。</w:t>
            </w:r>
          </w:p>
        </w:tc>
        <w:tc>
          <w:tcPr>
            <w:tcW w:w="2416" w:type="dxa"/>
            <w:vAlign w:val="center"/>
          </w:tcPr>
          <w:p>
            <w:pPr>
              <w:rPr>
                <w:rFonts w:hint="eastAsia" w:ascii="仿宋" w:hAnsi="仿宋" w:eastAsia="仿宋" w:cs="仿宋"/>
                <w:sz w:val="24"/>
                <w:highlight w:val="none"/>
              </w:rPr>
            </w:pPr>
            <w:r>
              <w:rPr>
                <w:rFonts w:hint="eastAsia" w:ascii="仿宋" w:hAnsi="仿宋" w:eastAsia="仿宋" w:cs="仿宋"/>
                <w:sz w:val="24"/>
                <w:highlight w:val="none"/>
              </w:rPr>
              <w:t>需要使用电子签名或者签字盖章的投标文件的组成部分</w:t>
            </w:r>
          </w:p>
        </w:tc>
        <w:tc>
          <w:tcPr>
            <w:tcW w:w="1343" w:type="dxa"/>
          </w:tcPr>
          <w:p>
            <w:pPr>
              <w:rPr>
                <w:rFonts w:hint="eastAsia" w:ascii="仿宋" w:hAnsi="仿宋" w:eastAsia="仿宋" w:cs="仿宋"/>
                <w:sz w:val="24"/>
                <w:highlight w:val="none"/>
              </w:rPr>
            </w:pPr>
          </w:p>
          <w:p>
            <w:pPr>
              <w:rPr>
                <w:rFonts w:hint="eastAsia" w:ascii="仿宋" w:hAnsi="仿宋" w:eastAsia="仿宋" w:cs="仿宋"/>
                <w:sz w:val="24"/>
                <w:highlight w:val="none"/>
              </w:rPr>
            </w:pPr>
            <w:r>
              <w:rPr>
                <w:rFonts w:hint="eastAsia" w:ascii="仿宋" w:hAnsi="仿宋" w:eastAsia="仿宋" w:cs="仿宋"/>
                <w:sz w:val="24"/>
                <w:highlight w:val="none"/>
              </w:rPr>
              <w:t>见投标文件</w:t>
            </w:r>
          </w:p>
          <w:p>
            <w:pPr>
              <w:rPr>
                <w:rFonts w:hint="eastAsia" w:ascii="仿宋" w:hAnsi="仿宋" w:eastAsia="仿宋" w:cs="仿宋"/>
                <w:sz w:val="24"/>
                <w:highlight w:val="none"/>
              </w:rPr>
            </w:pPr>
            <w:r>
              <w:rPr>
                <w:rFonts w:hint="eastAsia" w:ascii="仿宋" w:hAnsi="仿宋" w:eastAsia="仿宋" w:cs="仿宋"/>
                <w:sz w:val="24"/>
                <w:highlight w:val="none"/>
              </w:rPr>
              <w:t>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trPr>
          <w:trHeight w:val="954" w:hRule="atLeast"/>
        </w:trPr>
        <w:tc>
          <w:tcPr>
            <w:tcW w:w="611" w:type="dxa"/>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4728" w:type="dxa"/>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投标文件中承诺的投标有效期不少于交易文件中载明的投标有效期。</w:t>
            </w:r>
          </w:p>
        </w:tc>
        <w:tc>
          <w:tcPr>
            <w:tcW w:w="2416" w:type="dxa"/>
            <w:vAlign w:val="center"/>
          </w:tcPr>
          <w:p>
            <w:pPr>
              <w:rPr>
                <w:rFonts w:hint="eastAsia" w:ascii="仿宋" w:hAnsi="仿宋" w:eastAsia="仿宋" w:cs="仿宋"/>
                <w:sz w:val="24"/>
                <w:highlight w:val="none"/>
              </w:rPr>
            </w:pPr>
            <w:r>
              <w:rPr>
                <w:rFonts w:hint="eastAsia" w:ascii="仿宋" w:hAnsi="仿宋" w:eastAsia="仿宋" w:cs="仿宋"/>
                <w:sz w:val="24"/>
                <w:highlight w:val="none"/>
              </w:rPr>
              <w:t>投标函</w:t>
            </w:r>
          </w:p>
        </w:tc>
        <w:tc>
          <w:tcPr>
            <w:tcW w:w="1343" w:type="dxa"/>
          </w:tcPr>
          <w:p>
            <w:pPr>
              <w:rPr>
                <w:rFonts w:hint="eastAsia" w:ascii="仿宋" w:hAnsi="仿宋" w:eastAsia="仿宋" w:cs="仿宋"/>
                <w:sz w:val="24"/>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trPr>
          <w:trHeight w:val="1595" w:hRule="atLeast"/>
        </w:trPr>
        <w:tc>
          <w:tcPr>
            <w:tcW w:w="611" w:type="dxa"/>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4728" w:type="dxa"/>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投标文件满足交易文件的其它实质性要求。</w:t>
            </w:r>
          </w:p>
        </w:tc>
        <w:tc>
          <w:tcPr>
            <w:tcW w:w="2416" w:type="dxa"/>
            <w:vAlign w:val="center"/>
          </w:tcPr>
          <w:p>
            <w:pPr>
              <w:rPr>
                <w:rFonts w:hint="eastAsia" w:ascii="仿宋" w:hAnsi="仿宋" w:eastAsia="仿宋" w:cs="仿宋"/>
                <w:sz w:val="24"/>
                <w:highlight w:val="none"/>
              </w:rPr>
            </w:pPr>
            <w:r>
              <w:rPr>
                <w:rFonts w:hint="eastAsia" w:ascii="仿宋" w:hAnsi="仿宋" w:eastAsia="仿宋" w:cs="仿宋"/>
                <w:kern w:val="0"/>
                <w:sz w:val="24"/>
                <w:highlight w:val="none"/>
              </w:rPr>
              <w:t>交易文件其它实质性要求相应的材料（“▲” 系指实质性要求条款，交易文件无其它实质性要求的，无需提供）</w:t>
            </w:r>
          </w:p>
        </w:tc>
        <w:tc>
          <w:tcPr>
            <w:tcW w:w="1343" w:type="dxa"/>
          </w:tcPr>
          <w:p>
            <w:pPr>
              <w:rPr>
                <w:rFonts w:hint="eastAsia" w:ascii="仿宋" w:hAnsi="仿宋" w:eastAsia="仿宋" w:cs="仿宋"/>
                <w:sz w:val="24"/>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bl>
    <w:p>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sz w:val="24"/>
          <w:highlight w:val="none"/>
        </w:rPr>
      </w:pPr>
      <w:r>
        <w:rPr>
          <w:rFonts w:hint="eastAsia" w:ascii="仿宋" w:hAnsi="仿宋" w:eastAsia="仿宋" w:cs="仿宋"/>
          <w:b/>
          <w:kern w:val="0"/>
          <w:sz w:val="24"/>
          <w:highlight w:val="none"/>
        </w:rPr>
        <w:t>五、评标标准相应的商务技术资料</w:t>
      </w:r>
    </w:p>
    <w:p>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（按交易文件第四部分评标办法前附表中“投标文件中评标标准相应的商务技术资料目录”提供资料。）</w:t>
      </w: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pStyle w:val="5"/>
        <w:rPr>
          <w:rFonts w:hint="eastAsia" w:ascii="仿宋" w:hAnsi="仿宋" w:eastAsia="仿宋" w:cs="仿宋"/>
          <w:highlight w:val="none"/>
        </w:rPr>
      </w:pPr>
    </w:p>
    <w:p>
      <w:pPr>
        <w:rPr>
          <w:rFonts w:hint="eastAsia" w:ascii="仿宋" w:hAnsi="仿宋" w:eastAsia="仿宋" w:cs="仿宋"/>
          <w:b/>
          <w:kern w:val="0"/>
          <w:sz w:val="24"/>
          <w:highlight w:val="none"/>
        </w:rPr>
      </w:pPr>
      <w:r>
        <w:rPr>
          <w:rFonts w:hint="eastAsia" w:ascii="仿宋" w:hAnsi="仿宋" w:eastAsia="仿宋" w:cs="仿宋"/>
          <w:b/>
          <w:kern w:val="0"/>
          <w:sz w:val="24"/>
          <w:highlight w:val="none"/>
        </w:rPr>
        <w:br w:type="page"/>
      </w:r>
    </w:p>
    <w:p>
      <w:pPr>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六、投标标的清单</w:t>
      </w:r>
    </w:p>
    <w:tbl>
      <w:tblPr>
        <w:tblStyle w:val="62"/>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294"/>
        <w:gridCol w:w="1286"/>
        <w:gridCol w:w="1355"/>
        <w:gridCol w:w="2226"/>
        <w:gridCol w:w="879"/>
        <w:gridCol w:w="1442"/>
      </w:tblGrid>
      <w:tr>
        <w:trPr>
          <w:trHeight w:val="1923"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29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12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服务范围</w:t>
            </w:r>
          </w:p>
        </w:tc>
        <w:tc>
          <w:tcPr>
            <w:tcW w:w="13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服务要求</w:t>
            </w: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服务时间</w:t>
            </w: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服务标准</w:t>
            </w: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tc>
      </w:tr>
      <w:tr>
        <w:trPr>
          <w:trHeight w:val="487"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r>
      <w:tr>
        <w:trPr>
          <w:trHeight w:val="487"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r>
      <w:tr>
        <w:trPr>
          <w:trHeight w:val="498"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29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p>
        </w:tc>
        <w:tc>
          <w:tcPr>
            <w:tcW w:w="22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highlight w:val="none"/>
              </w:rPr>
            </w:pPr>
          </w:p>
        </w:tc>
      </w:tr>
    </w:tbl>
    <w:p>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p>
    <w:p>
      <w:pPr>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七、商务技术偏离表</w:t>
      </w:r>
    </w:p>
    <w:tbl>
      <w:tblPr>
        <w:tblStyle w:val="63"/>
        <w:tblW w:w="90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
        <w:gridCol w:w="3533"/>
        <w:gridCol w:w="3402"/>
        <w:gridCol w:w="1224"/>
      </w:tblGrid>
      <w:tr>
        <w:trPr>
          <w:trHeight w:val="345" w:hRule="atLeast"/>
        </w:trPr>
        <w:tc>
          <w:tcPr>
            <w:tcW w:w="920" w:type="dxa"/>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533" w:type="dxa"/>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交易文件章节及具体内容</w:t>
            </w:r>
          </w:p>
        </w:tc>
        <w:tc>
          <w:tcPr>
            <w:tcW w:w="3402" w:type="dxa"/>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24" w:type="dxa"/>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trPr>
          <w:trHeight w:val="345" w:hRule="atLeast"/>
        </w:trPr>
        <w:tc>
          <w:tcPr>
            <w:tcW w:w="920" w:type="dxa"/>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533" w:type="dxa"/>
          </w:tcPr>
          <w:p>
            <w:pPr>
              <w:jc w:val="center"/>
              <w:rPr>
                <w:rFonts w:hint="eastAsia" w:ascii="仿宋" w:hAnsi="仿宋" w:eastAsia="仿宋" w:cs="仿宋"/>
                <w:b/>
                <w:kern w:val="0"/>
                <w:sz w:val="24"/>
                <w:highlight w:val="none"/>
              </w:rPr>
            </w:pPr>
          </w:p>
        </w:tc>
        <w:tc>
          <w:tcPr>
            <w:tcW w:w="3402" w:type="dxa"/>
          </w:tcPr>
          <w:p>
            <w:pPr>
              <w:jc w:val="center"/>
              <w:rPr>
                <w:rFonts w:hint="eastAsia" w:ascii="仿宋" w:hAnsi="仿宋" w:eastAsia="仿宋" w:cs="仿宋"/>
                <w:b/>
                <w:kern w:val="0"/>
                <w:sz w:val="24"/>
                <w:highlight w:val="none"/>
              </w:rPr>
            </w:pPr>
          </w:p>
        </w:tc>
        <w:tc>
          <w:tcPr>
            <w:tcW w:w="1224" w:type="dxa"/>
          </w:tcPr>
          <w:p>
            <w:pPr>
              <w:jc w:val="center"/>
              <w:rPr>
                <w:rFonts w:hint="eastAsia" w:ascii="仿宋" w:hAnsi="仿宋" w:eastAsia="仿宋" w:cs="仿宋"/>
                <w:b/>
                <w:kern w:val="0"/>
                <w:sz w:val="24"/>
                <w:highlight w:val="none"/>
              </w:rPr>
            </w:pPr>
          </w:p>
        </w:tc>
      </w:tr>
      <w:tr>
        <w:trPr>
          <w:trHeight w:val="345" w:hRule="atLeast"/>
        </w:trPr>
        <w:tc>
          <w:tcPr>
            <w:tcW w:w="920" w:type="dxa"/>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533" w:type="dxa"/>
          </w:tcPr>
          <w:p>
            <w:pPr>
              <w:jc w:val="center"/>
              <w:rPr>
                <w:rFonts w:hint="eastAsia" w:ascii="仿宋" w:hAnsi="仿宋" w:eastAsia="仿宋" w:cs="仿宋"/>
                <w:b/>
                <w:kern w:val="0"/>
                <w:sz w:val="24"/>
                <w:highlight w:val="none"/>
              </w:rPr>
            </w:pPr>
          </w:p>
        </w:tc>
        <w:tc>
          <w:tcPr>
            <w:tcW w:w="3402" w:type="dxa"/>
          </w:tcPr>
          <w:p>
            <w:pPr>
              <w:jc w:val="center"/>
              <w:rPr>
                <w:rFonts w:hint="eastAsia" w:ascii="仿宋" w:hAnsi="仿宋" w:eastAsia="仿宋" w:cs="仿宋"/>
                <w:b/>
                <w:kern w:val="0"/>
                <w:sz w:val="24"/>
                <w:highlight w:val="none"/>
              </w:rPr>
            </w:pPr>
          </w:p>
        </w:tc>
        <w:tc>
          <w:tcPr>
            <w:tcW w:w="1224" w:type="dxa"/>
          </w:tcPr>
          <w:p>
            <w:pPr>
              <w:jc w:val="center"/>
              <w:rPr>
                <w:rFonts w:hint="eastAsia" w:ascii="仿宋" w:hAnsi="仿宋" w:eastAsia="仿宋" w:cs="仿宋"/>
                <w:b/>
                <w:kern w:val="0"/>
                <w:sz w:val="24"/>
                <w:highlight w:val="none"/>
              </w:rPr>
            </w:pPr>
          </w:p>
        </w:tc>
      </w:tr>
      <w:tr>
        <w:trPr>
          <w:trHeight w:val="356" w:hRule="atLeast"/>
        </w:trPr>
        <w:tc>
          <w:tcPr>
            <w:tcW w:w="920" w:type="dxa"/>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533" w:type="dxa"/>
          </w:tcPr>
          <w:p>
            <w:pPr>
              <w:jc w:val="center"/>
              <w:rPr>
                <w:rFonts w:hint="eastAsia" w:ascii="仿宋" w:hAnsi="仿宋" w:eastAsia="仿宋" w:cs="仿宋"/>
                <w:b/>
                <w:kern w:val="0"/>
                <w:sz w:val="24"/>
                <w:highlight w:val="none"/>
              </w:rPr>
            </w:pPr>
          </w:p>
        </w:tc>
        <w:tc>
          <w:tcPr>
            <w:tcW w:w="3402" w:type="dxa"/>
          </w:tcPr>
          <w:p>
            <w:pPr>
              <w:jc w:val="center"/>
              <w:rPr>
                <w:rFonts w:hint="eastAsia" w:ascii="仿宋" w:hAnsi="仿宋" w:eastAsia="仿宋" w:cs="仿宋"/>
                <w:b/>
                <w:kern w:val="0"/>
                <w:sz w:val="24"/>
                <w:highlight w:val="none"/>
              </w:rPr>
            </w:pPr>
          </w:p>
        </w:tc>
        <w:tc>
          <w:tcPr>
            <w:tcW w:w="1224" w:type="dxa"/>
          </w:tcPr>
          <w:p>
            <w:pPr>
              <w:jc w:val="center"/>
              <w:rPr>
                <w:rFonts w:hint="eastAsia" w:ascii="仿宋" w:hAnsi="仿宋" w:eastAsia="仿宋" w:cs="仿宋"/>
                <w:b/>
                <w:kern w:val="0"/>
                <w:sz w:val="24"/>
                <w:highlight w:val="none"/>
              </w:rPr>
            </w:pPr>
          </w:p>
        </w:tc>
      </w:tr>
    </w:tbl>
    <w:p>
      <w:pPr>
        <w:jc w:val="left"/>
        <w:rPr>
          <w:rFonts w:hint="eastAsia"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投标人保证：除商务技术偏离表列出的偏离外，投标人响应交易文件的全部要求</w:t>
      </w:r>
    </w:p>
    <w:p>
      <w:pPr>
        <w:jc w:val="center"/>
        <w:rPr>
          <w:rFonts w:hint="eastAsia" w:ascii="仿宋" w:hAnsi="仿宋" w:eastAsia="仿宋" w:cs="仿宋"/>
          <w:b/>
          <w:kern w:val="0"/>
          <w:sz w:val="24"/>
          <w:highlight w:val="none"/>
        </w:rPr>
      </w:pPr>
    </w:p>
    <w:p>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pPr>
        <w:ind w:firstLine="1434" w:firstLineChars="595"/>
        <w:rPr>
          <w:rFonts w:hint="eastAsia" w:ascii="仿宋" w:hAnsi="仿宋" w:eastAsia="仿宋" w:cs="仿宋"/>
          <w:b/>
          <w:bCs/>
          <w:sz w:val="24"/>
          <w:highlight w:val="none"/>
        </w:rPr>
      </w:pPr>
    </w:p>
    <w:p>
      <w:pPr>
        <w:ind w:firstLine="1434" w:firstLineChars="595"/>
        <w:rPr>
          <w:rFonts w:hint="eastAsia" w:ascii="仿宋" w:hAnsi="仿宋" w:eastAsia="仿宋" w:cs="仿宋"/>
          <w:b/>
          <w:bCs/>
          <w:sz w:val="24"/>
          <w:highlight w:val="none"/>
        </w:rPr>
      </w:pPr>
    </w:p>
    <w:p>
      <w:pPr>
        <w:ind w:firstLine="1434" w:firstLineChars="595"/>
        <w:rPr>
          <w:rFonts w:hint="eastAsia" w:ascii="仿宋" w:hAnsi="仿宋" w:eastAsia="仿宋" w:cs="仿宋"/>
          <w:b/>
          <w:bCs/>
          <w:sz w:val="24"/>
          <w:highlight w:val="none"/>
        </w:rPr>
      </w:pPr>
    </w:p>
    <w:p>
      <w:pPr>
        <w:widowControl/>
        <w:adjustRightInd/>
        <w:jc w:val="left"/>
        <w:rPr>
          <w:rFonts w:hint="eastAsia" w:ascii="仿宋" w:hAnsi="仿宋" w:eastAsia="仿宋" w:cs="仿宋"/>
          <w:b/>
          <w:bCs/>
          <w:sz w:val="24"/>
          <w:highlight w:val="none"/>
        </w:rPr>
      </w:pPr>
      <w:r>
        <w:rPr>
          <w:rFonts w:hint="eastAsia" w:ascii="仿宋" w:hAnsi="仿宋" w:eastAsia="仿宋" w:cs="仿宋"/>
          <w:b/>
          <w:bCs/>
          <w:sz w:val="24"/>
          <w:highlight w:val="none"/>
        </w:rPr>
        <w:br w:type="page"/>
      </w:r>
    </w:p>
    <w:p>
      <w:pPr>
        <w:jc w:val="center"/>
        <w:rPr>
          <w:rFonts w:hint="eastAsia" w:ascii="仿宋" w:hAnsi="仿宋" w:eastAsia="仿宋" w:cs="仿宋"/>
          <w:b/>
          <w:kern w:val="0"/>
          <w:sz w:val="24"/>
          <w:highlight w:val="none"/>
        </w:rPr>
      </w:pPr>
      <w:r>
        <w:rPr>
          <w:rFonts w:hint="eastAsia" w:ascii="仿宋" w:hAnsi="仿宋" w:eastAsia="仿宋" w:cs="仿宋"/>
          <w:b/>
          <w:bCs/>
          <w:sz w:val="24"/>
          <w:highlight w:val="none"/>
        </w:rPr>
        <w:t>八</w:t>
      </w:r>
      <w:r>
        <w:rPr>
          <w:rFonts w:hint="eastAsia" w:ascii="仿宋" w:hAnsi="仿宋" w:eastAsia="仿宋" w:cs="仿宋"/>
          <w:b/>
          <w:kern w:val="0"/>
          <w:sz w:val="24"/>
          <w:highlight w:val="none"/>
        </w:rPr>
        <w:t>、</w:t>
      </w:r>
      <w:r>
        <w:rPr>
          <w:rFonts w:hint="eastAsia" w:ascii="仿宋" w:hAnsi="仿宋" w:eastAsia="仿宋" w:cs="仿宋"/>
          <w:b/>
          <w:kern w:val="0"/>
          <w:sz w:val="24"/>
          <w:highlight w:val="none"/>
          <w:lang w:val="zh-CN"/>
        </w:rPr>
        <w:t>政府采购供应商廉洁自律承诺书</w:t>
      </w:r>
    </w:p>
    <w:p>
      <w:pPr>
        <w:snapToGrid w:val="0"/>
        <w:spacing w:line="360" w:lineRule="auto"/>
        <w:rPr>
          <w:rFonts w:hint="eastAsia" w:ascii="仿宋" w:hAnsi="仿宋" w:eastAsia="仿宋" w:cs="仿宋"/>
          <w:sz w:val="24"/>
          <w:highlight w:val="none"/>
        </w:rPr>
      </w:pP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w:t>
      </w:r>
    </w:p>
    <w:p>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spacing w:line="360" w:lineRule="auto"/>
        <w:jc w:val="center"/>
        <w:rPr>
          <w:rFonts w:hint="eastAsia" w:ascii="仿宋" w:hAnsi="仿宋" w:eastAsia="仿宋" w:cs="仿宋"/>
          <w:b/>
          <w:bCs/>
          <w:sz w:val="24"/>
          <w:highlight w:val="none"/>
        </w:rPr>
      </w:pPr>
    </w:p>
    <w:p>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pPr>
        <w:spacing w:line="360" w:lineRule="auto"/>
        <w:jc w:val="center"/>
        <w:rPr>
          <w:rFonts w:hint="eastAsia" w:ascii="仿宋" w:hAnsi="仿宋" w:eastAsia="仿宋" w:cs="仿宋"/>
          <w:b/>
          <w:bCs/>
          <w:sz w:val="24"/>
          <w:highlight w:val="none"/>
        </w:rPr>
        <w:sectPr>
          <w:footerReference r:id="rId11" w:type="firs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kern w:val="0"/>
          <w:sz w:val="24"/>
          <w:highlight w:val="none"/>
        </w:rPr>
      </w:pPr>
      <w:r>
        <w:rPr>
          <w:rFonts w:hint="eastAsia" w:ascii="仿宋" w:hAnsi="仿宋" w:eastAsia="仿宋" w:cs="仿宋"/>
          <w:b/>
          <w:kern w:val="0"/>
          <w:sz w:val="24"/>
          <w:highlight w:val="none"/>
        </w:rPr>
        <w:t>报价文件部分</w:t>
      </w:r>
    </w:p>
    <w:p>
      <w:pPr>
        <w:spacing w:line="360" w:lineRule="auto"/>
        <w:jc w:val="center"/>
        <w:outlineLvl w:val="0"/>
        <w:rPr>
          <w:rFonts w:hint="eastAsia" w:ascii="仿宋" w:hAnsi="仿宋" w:eastAsia="仿宋" w:cs="仿宋"/>
          <w:b/>
          <w:kern w:val="0"/>
          <w:sz w:val="24"/>
          <w:highlight w:val="none"/>
        </w:rPr>
      </w:pPr>
      <w:r>
        <w:rPr>
          <w:rFonts w:hint="eastAsia" w:ascii="仿宋" w:hAnsi="仿宋" w:eastAsia="仿宋" w:cs="仿宋"/>
          <w:b/>
          <w:kern w:val="0"/>
          <w:sz w:val="24"/>
          <w:highlight w:val="none"/>
        </w:rPr>
        <w:t>目录</w:t>
      </w:r>
    </w:p>
    <w:p>
      <w:pPr>
        <w:spacing w:line="360" w:lineRule="auto"/>
        <w:jc w:val="center"/>
        <w:outlineLvl w:val="0"/>
        <w:rPr>
          <w:rFonts w:hint="eastAsia" w:ascii="仿宋" w:hAnsi="仿宋" w:eastAsia="仿宋" w:cs="仿宋"/>
          <w:b/>
          <w:kern w:val="0"/>
          <w:sz w:val="24"/>
          <w:highlight w:val="none"/>
        </w:rPr>
      </w:pPr>
    </w:p>
    <w:p>
      <w:pPr>
        <w:numPr>
          <w:ilvl w:val="0"/>
          <w:numId w:val="8"/>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开标一览表（报价表）………………………………………………………（页码）</w:t>
      </w:r>
    </w:p>
    <w:p>
      <w:pPr>
        <w:pStyle w:val="5"/>
        <w:numPr>
          <w:ilvl w:val="0"/>
          <w:numId w:val="8"/>
        </w:numPr>
        <w:rPr>
          <w:rFonts w:hint="eastAsia" w:ascii="仿宋" w:hAnsi="仿宋" w:eastAsia="仿宋" w:cs="仿宋"/>
          <w:b w:val="0"/>
          <w:bCs w:val="0"/>
          <w:sz w:val="24"/>
          <w:szCs w:val="24"/>
          <w:highlight w:val="none"/>
          <w:lang w:val="en-US"/>
        </w:rPr>
      </w:pPr>
      <w:r>
        <w:rPr>
          <w:rFonts w:hint="eastAsia" w:ascii="仿宋" w:hAnsi="仿宋" w:eastAsia="仿宋" w:cs="仿宋"/>
          <w:b w:val="0"/>
          <w:bCs w:val="0"/>
          <w:sz w:val="24"/>
          <w:szCs w:val="24"/>
          <w:highlight w:val="none"/>
          <w:lang w:val="en-US"/>
        </w:rPr>
        <w:t>供应商针对报价需要说明的其他文件和资料（格式自拟）…………………（页码）</w:t>
      </w: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snapToGrid w:val="0"/>
        <w:spacing w:line="360" w:lineRule="auto"/>
        <w:ind w:right="480"/>
        <w:jc w:val="center"/>
        <w:rPr>
          <w:rFonts w:hint="eastAsia" w:ascii="仿宋" w:hAnsi="仿宋" w:eastAsia="仿宋" w:cs="仿宋"/>
          <w:b/>
          <w:kern w:val="0"/>
          <w:sz w:val="24"/>
          <w:highlight w:val="none"/>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24"/>
          <w:szCs w:val="24"/>
          <w:highlight w:val="none"/>
        </w:rPr>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一、开标一览表（报价表）</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按你方交易文件要求，我们，本投标文件签字方，谨此向你方发出要约如下：如你方接受本投标，我方承诺按照如下开标一览表（报价表）的价格完成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（采购编号）】的实施</w:t>
      </w:r>
      <w:r>
        <w:rPr>
          <w:rFonts w:hint="eastAsia" w:ascii="仿宋" w:hAnsi="仿宋" w:eastAsia="仿宋" w:cs="仿宋"/>
          <w:kern w:val="0"/>
          <w:sz w:val="24"/>
          <w:highlight w:val="none"/>
          <w:lang w:val="zh-CN"/>
        </w:rPr>
        <w:t>。</w:t>
      </w:r>
    </w:p>
    <w:p>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2"/>
        <w:tblW w:w="145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954"/>
        <w:gridCol w:w="2181"/>
        <w:gridCol w:w="2318"/>
        <w:gridCol w:w="2181"/>
        <w:gridCol w:w="2045"/>
        <w:gridCol w:w="2046"/>
        <w:gridCol w:w="2045"/>
      </w:tblGrid>
      <w:tr>
        <w:trPr>
          <w:trHeight w:val="1440" w:hRule="atLeast"/>
        </w:trPr>
        <w:tc>
          <w:tcPr>
            <w:tcW w:w="786" w:type="dxa"/>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954" w:type="dxa"/>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2181" w:type="dxa"/>
          </w:tcPr>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服务范围</w:t>
            </w:r>
          </w:p>
        </w:tc>
        <w:tc>
          <w:tcPr>
            <w:tcW w:w="2318" w:type="dxa"/>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服务要求</w:t>
            </w:r>
          </w:p>
        </w:tc>
        <w:tc>
          <w:tcPr>
            <w:tcW w:w="2181" w:type="dxa"/>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服务时间</w:t>
            </w:r>
          </w:p>
        </w:tc>
        <w:tc>
          <w:tcPr>
            <w:tcW w:w="2045" w:type="dxa"/>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服务标准</w:t>
            </w:r>
          </w:p>
        </w:tc>
        <w:tc>
          <w:tcPr>
            <w:tcW w:w="2046" w:type="dxa"/>
          </w:tcPr>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服务人数</w:t>
            </w:r>
          </w:p>
        </w:tc>
        <w:tc>
          <w:tcPr>
            <w:tcW w:w="2045" w:type="dxa"/>
            <w:vAlign w:val="center"/>
          </w:tcPr>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pPr>
              <w:spacing w:line="360" w:lineRule="auto"/>
              <w:jc w:val="center"/>
              <w:rPr>
                <w:rFonts w:hint="eastAsia" w:ascii="仿宋" w:hAnsi="仿宋" w:eastAsia="仿宋" w:cs="仿宋"/>
                <w:b/>
                <w:sz w:val="24"/>
                <w:highlight w:val="none"/>
              </w:rPr>
            </w:pPr>
          </w:p>
        </w:tc>
      </w:tr>
      <w:tr>
        <w:trPr>
          <w:trHeight w:val="486" w:hRule="atLeast"/>
        </w:trPr>
        <w:tc>
          <w:tcPr>
            <w:tcW w:w="786" w:type="dxa"/>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954" w:type="dxa"/>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318"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c>
          <w:tcPr>
            <w:tcW w:w="2046" w:type="dxa"/>
          </w:tcPr>
          <w:p>
            <w:pPr>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r>
      <w:tr>
        <w:trPr>
          <w:trHeight w:val="486" w:hRule="atLeast"/>
        </w:trPr>
        <w:tc>
          <w:tcPr>
            <w:tcW w:w="786" w:type="dxa"/>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954" w:type="dxa"/>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XX</w:t>
            </w: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318"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c>
          <w:tcPr>
            <w:tcW w:w="2046" w:type="dxa"/>
          </w:tcPr>
          <w:p>
            <w:pPr>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r>
      <w:tr>
        <w:trPr>
          <w:trHeight w:val="486" w:hRule="atLeast"/>
        </w:trPr>
        <w:tc>
          <w:tcPr>
            <w:tcW w:w="786" w:type="dxa"/>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954"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318"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c>
          <w:tcPr>
            <w:tcW w:w="2046" w:type="dxa"/>
          </w:tcPr>
          <w:p>
            <w:pPr>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r>
      <w:tr>
        <w:trPr>
          <w:trHeight w:val="486" w:hRule="atLeast"/>
        </w:trPr>
        <w:tc>
          <w:tcPr>
            <w:tcW w:w="786" w:type="dxa"/>
            <w:vAlign w:val="center"/>
          </w:tcPr>
          <w:p>
            <w:pPr>
              <w:spacing w:line="360" w:lineRule="auto"/>
              <w:jc w:val="center"/>
              <w:rPr>
                <w:rFonts w:hint="eastAsia" w:ascii="仿宋" w:hAnsi="仿宋" w:eastAsia="仿宋" w:cs="仿宋"/>
                <w:sz w:val="24"/>
                <w:highlight w:val="none"/>
              </w:rPr>
            </w:pPr>
          </w:p>
        </w:tc>
        <w:tc>
          <w:tcPr>
            <w:tcW w:w="954"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318"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c>
          <w:tcPr>
            <w:tcW w:w="2046" w:type="dxa"/>
          </w:tcPr>
          <w:p>
            <w:pPr>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r>
      <w:tr>
        <w:trPr>
          <w:trHeight w:val="486" w:hRule="atLeast"/>
        </w:trPr>
        <w:tc>
          <w:tcPr>
            <w:tcW w:w="786" w:type="dxa"/>
            <w:vAlign w:val="center"/>
          </w:tcPr>
          <w:p>
            <w:pPr>
              <w:spacing w:line="360" w:lineRule="auto"/>
              <w:jc w:val="center"/>
              <w:rPr>
                <w:rFonts w:hint="eastAsia" w:ascii="仿宋" w:hAnsi="仿宋" w:eastAsia="仿宋" w:cs="仿宋"/>
                <w:sz w:val="24"/>
                <w:highlight w:val="none"/>
              </w:rPr>
            </w:pPr>
          </w:p>
        </w:tc>
        <w:tc>
          <w:tcPr>
            <w:tcW w:w="954"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318" w:type="dxa"/>
            <w:vAlign w:val="center"/>
          </w:tcPr>
          <w:p>
            <w:pPr>
              <w:snapToGrid w:val="0"/>
              <w:spacing w:line="360" w:lineRule="auto"/>
              <w:jc w:val="center"/>
              <w:rPr>
                <w:rFonts w:hint="eastAsia" w:ascii="仿宋" w:hAnsi="仿宋" w:eastAsia="仿宋" w:cs="仿宋"/>
                <w:sz w:val="24"/>
                <w:highlight w:val="none"/>
              </w:rPr>
            </w:pPr>
          </w:p>
        </w:tc>
        <w:tc>
          <w:tcPr>
            <w:tcW w:w="2181" w:type="dxa"/>
            <w:vAlign w:val="center"/>
          </w:tcPr>
          <w:p>
            <w:pPr>
              <w:snapToGrid w:val="0"/>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c>
          <w:tcPr>
            <w:tcW w:w="2046" w:type="dxa"/>
          </w:tcPr>
          <w:p>
            <w:pPr>
              <w:spacing w:line="360" w:lineRule="auto"/>
              <w:jc w:val="center"/>
              <w:rPr>
                <w:rFonts w:hint="eastAsia" w:ascii="仿宋" w:hAnsi="仿宋" w:eastAsia="仿宋" w:cs="仿宋"/>
                <w:sz w:val="24"/>
                <w:highlight w:val="none"/>
              </w:rPr>
            </w:pPr>
          </w:p>
        </w:tc>
        <w:tc>
          <w:tcPr>
            <w:tcW w:w="2045" w:type="dxa"/>
            <w:vAlign w:val="center"/>
          </w:tcPr>
          <w:p>
            <w:pPr>
              <w:spacing w:line="360" w:lineRule="auto"/>
              <w:jc w:val="center"/>
              <w:rPr>
                <w:rFonts w:hint="eastAsia" w:ascii="仿宋" w:hAnsi="仿宋" w:eastAsia="仿宋" w:cs="仿宋"/>
                <w:sz w:val="24"/>
                <w:highlight w:val="none"/>
              </w:rPr>
            </w:pPr>
          </w:p>
        </w:tc>
      </w:tr>
      <w:tr>
        <w:trPr>
          <w:trHeight w:val="683" w:hRule="atLeast"/>
        </w:trPr>
        <w:tc>
          <w:tcPr>
            <w:tcW w:w="6239" w:type="dxa"/>
            <w:gridSpan w:val="4"/>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投标报价（小写）</w:t>
            </w:r>
          </w:p>
        </w:tc>
        <w:tc>
          <w:tcPr>
            <w:tcW w:w="8317" w:type="dxa"/>
            <w:gridSpan w:val="4"/>
          </w:tcPr>
          <w:p>
            <w:pPr>
              <w:spacing w:line="360" w:lineRule="auto"/>
              <w:jc w:val="center"/>
              <w:rPr>
                <w:rFonts w:hint="eastAsia" w:ascii="仿宋" w:hAnsi="仿宋" w:eastAsia="仿宋" w:cs="仿宋"/>
                <w:sz w:val="24"/>
                <w:highlight w:val="none"/>
              </w:rPr>
            </w:pPr>
          </w:p>
        </w:tc>
      </w:tr>
      <w:tr>
        <w:trPr>
          <w:trHeight w:val="630" w:hRule="atLeast"/>
        </w:trPr>
        <w:tc>
          <w:tcPr>
            <w:tcW w:w="6239" w:type="dxa"/>
            <w:gridSpan w:val="4"/>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投标报价（大写）</w:t>
            </w:r>
          </w:p>
        </w:tc>
        <w:tc>
          <w:tcPr>
            <w:tcW w:w="8317" w:type="dxa"/>
            <w:gridSpan w:val="4"/>
          </w:tcPr>
          <w:p>
            <w:pPr>
              <w:spacing w:line="360" w:lineRule="auto"/>
              <w:jc w:val="center"/>
              <w:rPr>
                <w:rFonts w:hint="eastAsia" w:ascii="仿宋" w:hAnsi="仿宋" w:eastAsia="仿宋" w:cs="仿宋"/>
                <w:sz w:val="24"/>
                <w:highlight w:val="none"/>
              </w:rPr>
            </w:pPr>
          </w:p>
        </w:tc>
      </w:tr>
    </w:tbl>
    <w:p>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pPr>
        <w:spacing w:line="360" w:lineRule="auto"/>
        <w:ind w:left="-2" w:leftChars="-1"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1、投标人需按本表格式填写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w:t>
      </w:r>
      <w:r>
        <w:rPr>
          <w:rFonts w:hint="eastAsia" w:ascii="仿宋" w:hAnsi="仿宋" w:eastAsia="仿宋" w:cs="仿宋"/>
          <w:kern w:val="0"/>
          <w:sz w:val="24"/>
          <w:highlight w:val="none"/>
          <w:lang w:val="zh-CN"/>
        </w:rPr>
        <w:t>。</w:t>
      </w:r>
    </w:p>
    <w:p>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投标文件含有采购人不能接受的附加条件的，投标无效。</w:t>
      </w:r>
    </w:p>
    <w:p>
      <w:pPr>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符合交易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5、特别说明：▲供应商报价低于项目预算50%的，应当在报价文件中详细阐述不影响产品质量或者诚信履约的具体原因，未做阐述说明的，投标无效。</w:t>
      </w:r>
    </w:p>
    <w:p>
      <w:pPr>
        <w:spacing w:line="360" w:lineRule="auto"/>
        <w:ind w:firstLine="482" w:firstLineChars="200"/>
        <w:rPr>
          <w:rFonts w:hint="eastAsia" w:ascii="仿宋" w:hAnsi="仿宋" w:eastAsia="仿宋" w:cs="仿宋"/>
          <w:b/>
          <w:kern w:val="0"/>
          <w:sz w:val="24"/>
          <w:highlight w:val="none"/>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24"/>
          <w:szCs w:val="24"/>
          <w:highlight w:val="none"/>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24"/>
          <w:szCs w:val="24"/>
          <w:highlight w:val="none"/>
        </w:rPr>
        <w:sectPr>
          <w:pgSz w:w="16838" w:h="11906" w:orient="landscape"/>
          <w:pgMar w:top="1418" w:right="1247" w:bottom="1418" w:left="1276" w:header="851" w:footer="992" w:gutter="0"/>
          <w:cols w:space="720" w:num="1"/>
          <w:titlePg/>
          <w:docGrid w:linePitch="312" w:charSpace="0"/>
        </w:sectPr>
      </w:pPr>
    </w:p>
    <w:p>
      <w:pPr>
        <w:numPr>
          <w:ilvl w:val="0"/>
          <w:numId w:val="2"/>
        </w:numPr>
        <w:jc w:val="center"/>
        <w:rPr>
          <w:rFonts w:hint="eastAsia" w:ascii="仿宋" w:hAnsi="仿宋" w:eastAsia="仿宋" w:cs="仿宋"/>
          <w:sz w:val="24"/>
          <w:highlight w:val="none"/>
        </w:rPr>
      </w:pPr>
      <w:r>
        <w:rPr>
          <w:rFonts w:hint="eastAsia" w:ascii="仿宋" w:hAnsi="仿宋" w:eastAsia="仿宋" w:cs="仿宋"/>
          <w:sz w:val="24"/>
          <w:highlight w:val="none"/>
        </w:rPr>
        <w:t>供应商针对报价需要说明的其他文件和资料（格式自拟）</w:t>
      </w:r>
    </w:p>
    <w:p>
      <w:pPr>
        <w:rPr>
          <w:rFonts w:hint="eastAsia" w:ascii="仿宋" w:hAnsi="仿宋" w:eastAsia="仿宋" w:cs="仿宋"/>
          <w:sz w:val="24"/>
          <w:highlight w:val="none"/>
        </w:rPr>
      </w:pPr>
    </w:p>
    <w:p>
      <w:pPr>
        <w:numPr>
          <w:ilvl w:val="0"/>
          <w:numId w:val="2"/>
        </w:numPr>
        <w:jc w:val="center"/>
        <w:rPr>
          <w:rFonts w:hint="eastAsia" w:ascii="仿宋" w:hAnsi="仿宋" w:eastAsia="仿宋" w:cs="仿宋"/>
          <w:sz w:val="24"/>
          <w:highlight w:val="none"/>
        </w:rPr>
      </w:pPr>
      <w:r>
        <w:rPr>
          <w:rFonts w:hint="eastAsia" w:ascii="仿宋" w:hAnsi="仿宋" w:eastAsia="仿宋" w:cs="仿宋"/>
          <w:sz w:val="24"/>
          <w:highlight w:val="none"/>
        </w:rPr>
        <w:br w:type="page"/>
      </w:r>
    </w:p>
    <w:p>
      <w:pPr>
        <w:rPr>
          <w:rFonts w:hint="eastAsia" w:ascii="仿宋" w:hAnsi="仿宋" w:eastAsia="仿宋" w:cs="仿宋"/>
          <w:highlight w:val="none"/>
        </w:rPr>
      </w:pPr>
    </w:p>
    <w:p>
      <w:pPr>
        <w:spacing w:line="360" w:lineRule="auto"/>
        <w:jc w:val="left"/>
        <w:rPr>
          <w:rFonts w:hint="eastAsia" w:ascii="仿宋" w:hAnsi="仿宋" w:eastAsia="仿宋" w:cs="仿宋"/>
          <w:b/>
          <w:spacing w:val="6"/>
          <w:sz w:val="24"/>
          <w:highlight w:val="none"/>
        </w:rPr>
      </w:pPr>
      <w:r>
        <w:rPr>
          <w:rFonts w:hint="eastAsia" w:ascii="仿宋" w:hAnsi="仿宋" w:eastAsia="仿宋" w:cs="仿宋"/>
          <w:b/>
          <w:spacing w:val="6"/>
          <w:sz w:val="24"/>
          <w:highlight w:val="none"/>
        </w:rPr>
        <w:t>附件1：质疑函范本及制作说明</w:t>
      </w:r>
    </w:p>
    <w:p>
      <w:pPr>
        <w:spacing w:line="360" w:lineRule="auto"/>
        <w:jc w:val="center"/>
        <w:rPr>
          <w:rFonts w:hint="eastAsia" w:ascii="仿宋" w:hAnsi="仿宋" w:eastAsia="仿宋" w:cs="仿宋"/>
          <w:b/>
          <w:spacing w:val="6"/>
          <w:sz w:val="24"/>
          <w:highlight w:val="none"/>
        </w:rPr>
      </w:pPr>
      <w:r>
        <w:rPr>
          <w:rFonts w:hint="eastAsia" w:ascii="仿宋" w:hAnsi="仿宋" w:eastAsia="仿宋" w:cs="仿宋"/>
          <w:b/>
          <w:spacing w:val="6"/>
          <w:sz w:val="24"/>
          <w:highlight w:val="none"/>
        </w:rPr>
        <w:t>质疑函范本</w:t>
      </w:r>
    </w:p>
    <w:p>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hint="eastAsia" w:ascii="仿宋" w:hAnsi="仿宋" w:eastAsia="仿宋" w:cs="仿宋"/>
          <w:b/>
          <w:sz w:val="24"/>
          <w:highlight w:val="none"/>
        </w:rPr>
      </w:pPr>
      <w:r>
        <w:rPr>
          <w:rFonts w:hint="eastAsia" w:ascii="仿宋" w:hAnsi="仿宋" w:eastAsia="仿宋" w:cs="仿宋"/>
          <w:sz w:val="24"/>
          <w:highlight w:val="none"/>
        </w:rPr>
        <w:t xml:space="preserve">日期：      </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rPr>
          <w:rFonts w:hint="eastAsia" w:ascii="仿宋" w:hAnsi="仿宋" w:eastAsia="仿宋" w:cs="仿宋"/>
          <w:b/>
          <w:spacing w:val="6"/>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rPr>
          <w:rFonts w:hint="eastAsia" w:ascii="仿宋" w:hAnsi="仿宋" w:eastAsia="仿宋" w:cs="仿宋"/>
          <w:b/>
          <w:spacing w:val="6"/>
          <w:sz w:val="24"/>
          <w:highlight w:val="none"/>
        </w:rPr>
      </w:pPr>
      <w:r>
        <w:rPr>
          <w:rFonts w:hint="eastAsia" w:ascii="仿宋" w:hAnsi="仿宋" w:eastAsia="仿宋" w:cs="仿宋"/>
          <w:b/>
          <w:spacing w:val="6"/>
          <w:sz w:val="24"/>
          <w:highlight w:val="none"/>
        </w:rPr>
        <w:br w:type="page"/>
      </w:r>
    </w:p>
    <w:p>
      <w:pPr>
        <w:autoSpaceDE w:val="0"/>
        <w:autoSpaceDN w:val="0"/>
        <w:jc w:val="center"/>
        <w:rPr>
          <w:rFonts w:hint="eastAsia" w:ascii="仿宋" w:hAnsi="仿宋" w:eastAsia="仿宋" w:cs="仿宋"/>
          <w:b/>
          <w:bCs/>
          <w:sz w:val="24"/>
          <w:highlight w:val="none"/>
        </w:rPr>
      </w:pPr>
      <w:r>
        <w:rPr>
          <w:rFonts w:hint="eastAsia" w:ascii="仿宋" w:hAnsi="仿宋" w:eastAsia="仿宋" w:cs="仿宋"/>
          <w:b/>
          <w:spacing w:val="6"/>
          <w:sz w:val="24"/>
          <w:highlight w:val="none"/>
        </w:rPr>
        <w:t>附件2：</w:t>
      </w:r>
      <w:r>
        <w:rPr>
          <w:rFonts w:hint="eastAsia" w:ascii="仿宋" w:hAnsi="仿宋" w:eastAsia="仿宋" w:cs="仿宋"/>
          <w:b/>
          <w:bCs/>
          <w:sz w:val="24"/>
          <w:highlight w:val="none"/>
        </w:rPr>
        <w:t>业务专用章使用说明函</w:t>
      </w:r>
    </w:p>
    <w:p>
      <w:pPr>
        <w:spacing w:line="360" w:lineRule="auto"/>
        <w:rPr>
          <w:rFonts w:hint="eastAsia" w:ascii="仿宋" w:hAnsi="仿宋" w:eastAsia="仿宋" w:cs="仿宋"/>
          <w:sz w:val="24"/>
          <w:highlight w:val="none"/>
          <w:u w:val="single"/>
        </w:rPr>
      </w:pPr>
    </w:p>
    <w:p>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你方组织的（项目名称）【招标编号：（采购编号）】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rPr>
        <w:t>投标单位（法定名称章）：</w:t>
      </w:r>
    </w:p>
    <w:p>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pPr>
        <w:rPr>
          <w:rFonts w:hint="eastAsia" w:ascii="仿宋" w:hAnsi="仿宋" w:eastAsia="仿宋" w:cs="仿宋"/>
          <w:sz w:val="24"/>
          <w:highlight w:val="none"/>
        </w:rPr>
      </w:pPr>
      <w:r>
        <w:rPr>
          <w:rFonts w:hint="eastAsia" w:ascii="仿宋" w:hAnsi="仿宋" w:eastAsia="仿宋" w:cs="仿宋"/>
          <w:b/>
          <w:bCs/>
          <w:sz w:val="24"/>
          <w:highlight w:val="none"/>
        </w:rPr>
        <w:t>附：</w:t>
      </w:r>
    </w:p>
    <w:p>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9ZAPP9gAAAAKAQAADwAAAAAAAAABACAAAAA4AAAA&#10;ZHJzL2Rvd25yZXYueG1sUEsBAhQAFAAAAAgAh07iQOLXmAk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GYxHptgAAAAKAQAADwAAAAAAAAABACAAAAA4AAAA&#10;ZHJzL2Rvd25yZXYueG1sUEsBAhQAFAAAAAgAh07iQHeCfUQqAgAAdAQAAA4AAAAAAAAAAQAgAAAA&#10;PQEAAGRycy9lMm9Eb2MueG1sUEsFBgAAAAAGAAYAWQEAANkFA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投标单位法定名称章（印模）                投标单位“XX专用章”（印模）</w:t>
      </w: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autoSpaceDE w:val="0"/>
        <w:autoSpaceDN w:val="0"/>
        <w:jc w:val="center"/>
        <w:rPr>
          <w:rFonts w:hint="eastAsia" w:ascii="仿宋" w:hAnsi="仿宋" w:eastAsia="仿宋" w:cs="仿宋"/>
          <w:b/>
          <w:spacing w:val="6"/>
          <w:sz w:val="24"/>
          <w:highlight w:val="none"/>
        </w:rPr>
      </w:pPr>
    </w:p>
    <w:p>
      <w:pPr>
        <w:spacing w:line="360" w:lineRule="auto"/>
        <w:rPr>
          <w:rFonts w:hint="eastAsia" w:ascii="仿宋" w:hAnsi="仿宋" w:eastAsia="仿宋" w:cs="仿宋"/>
          <w:bCs/>
          <w:sz w:val="24"/>
          <w:highlight w:val="none"/>
        </w:rPr>
      </w:pPr>
    </w:p>
    <w:sectPr>
      <w:headerReference r:id="rId16" w:type="first"/>
      <w:footerReference r:id="rId19" w:type="first"/>
      <w:headerReference r:id="rId15" w:type="defaul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01"/>
    <w:family w:val="auto"/>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Cambria">
    <w:altName w:val="苹方-简"/>
    <w:panose1 w:val="02040503050406030204"/>
    <w:charset w:val="00"/>
    <w:family w:val="roman"/>
    <w:pitch w:val="default"/>
    <w:sig w:usb0="00000000" w:usb1="00000000" w:usb2="02000000" w:usb3="00000000" w:csb0="2000019F" w:csb1="00000000"/>
  </w:font>
  <w:font w:name="微软雅黑">
    <w:altName w:val="汉仪旗黑"/>
    <w:panose1 w:val="020B0503020204020204"/>
    <w:charset w:val="86"/>
    <w:family w:val="swiss"/>
    <w:pitch w:val="default"/>
    <w:sig w:usb0="00000000" w:usb1="00000000" w:usb2="00000016" w:usb3="00000000" w:csb0="0004001F" w:csb1="00000000"/>
  </w:font>
  <w:font w:name="隶书">
    <w:altName w:val="报隶-简"/>
    <w:panose1 w:val="02010509060101010101"/>
    <w:charset w:val="86"/>
    <w:family w:val="modern"/>
    <w:pitch w:val="default"/>
    <w:sig w:usb0="00000000" w:usb1="00000000" w:usb2="00000000" w:usb3="00000000" w:csb0="00040000" w:csb1="00000000"/>
  </w:font>
  <w:font w:name="楷体_GB2312">
    <w:altName w:val="汉仪楷体简"/>
    <w:panose1 w:val="00000000000000000000"/>
    <w:charset w:val="86"/>
    <w:family w:val="modern"/>
    <w:pitch w:val="default"/>
    <w:sig w:usb0="00000000" w:usb1="00000000" w:usb2="00000000" w:usb3="00000000" w:csb0="00040000" w:csb1="00000000"/>
  </w:font>
  <w:font w:name="Futura Bk">
    <w:altName w:val="苹方-简"/>
    <w:panose1 w:val="00000000000000000000"/>
    <w:charset w:val="00"/>
    <w:family w:val="auto"/>
    <w:pitch w:val="default"/>
    <w:sig w:usb0="00000000" w:usb1="00000000" w:usb2="00000000" w:usb3="00000000" w:csb0="0000009F" w:csb1="00000000"/>
  </w:font>
  <w:font w:name="华文中宋">
    <w:altName w:val="汉仪书宋二KW"/>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AFF" w:usb1="C000605B" w:usb2="00000029" w:usb3="00000000" w:csb0="200101FF" w:csb1="20280000"/>
  </w:font>
  <w:font w:name="MS Sans Serif">
    <w:altName w:val="苹方-简"/>
    <w:panose1 w:val="00000000000000000000"/>
    <w:charset w:val="00"/>
    <w:family w:val="swiss"/>
    <w:pitch w:val="default"/>
    <w:sig w:usb0="00000000" w:usb1="00000000" w:usb2="00000000" w:usb3="00000000" w:csb0="00000001" w:csb1="00000000"/>
  </w:font>
  <w:font w:name="Lucida Sans">
    <w:altName w:val="苹方-简"/>
    <w:panose1 w:val="020B0602030504020204"/>
    <w:charset w:val="00"/>
    <w:family w:val="swiss"/>
    <w:pitch w:val="default"/>
    <w:sig w:usb0="00000000" w:usb1="00000000" w:usb2="00000000" w:usb3="00000000" w:csb0="20000001" w:csb1="00000000"/>
  </w:font>
  <w:font w:name="等线 Light">
    <w:altName w:val="汉仪中等线KW"/>
    <w:panose1 w:val="02010600030101010101"/>
    <w:charset w:val="86"/>
    <w:family w:val="auto"/>
    <w:pitch w:val="default"/>
    <w:sig w:usb0="00000000" w:usb1="00000000" w:usb2="00000016" w:usb3="00000000" w:csb0="0004000F" w:csb1="00000000"/>
  </w:font>
  <w:font w:name="Verdana">
    <w:panose1 w:val="020B0804030504040204"/>
    <w:charset w:val="00"/>
    <w:family w:val="swiss"/>
    <w:pitch w:val="default"/>
    <w:sig w:usb0="A10006FF" w:usb1="4000205B" w:usb2="00000010" w:usb3="00000000" w:csb0="2000019F" w:csb1="00000000"/>
  </w:font>
  <w:font w:name="ˎ̥">
    <w:altName w:val="苹方-简"/>
    <w:panose1 w:val="00000000000000000000"/>
    <w:charset w:val="00"/>
    <w:family w:val="auto"/>
    <w:pitch w:val="default"/>
    <w:sig w:usb0="00000000" w:usb1="00000000" w:usb2="00000000" w:usb3="00000000" w:csb0="00040001" w:csb1="00000000"/>
  </w:font>
  <w:font w:name="幼圆">
    <w:altName w:val="华文宋体"/>
    <w:panose1 w:val="02010509060101010101"/>
    <w:charset w:val="86"/>
    <w:family w:val="modern"/>
    <w:pitch w:val="default"/>
    <w:sig w:usb0="00000000" w:usb1="0000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苹方-简"/>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0000000000000000000"/>
    <w:charset w:val="00"/>
    <w:family w:val="swiss"/>
    <w:pitch w:val="default"/>
    <w:sig w:usb0="E00002FF" w:usb1="5000785B" w:usb2="00000000" w:usb3="00000000" w:csb0="2000019F" w:csb1="4F010000"/>
  </w:font>
  <w:font w:name="Cumberland">
    <w:altName w:val="苹方-简"/>
    <w:panose1 w:val="00000000000000000000"/>
    <w:charset w:val="00"/>
    <w:family w:val="modern"/>
    <w:pitch w:val="default"/>
    <w:sig w:usb0="00000000" w:usb1="00000000" w:usb2="00000000" w:usb3="00000000" w:csb0="00040001" w:csb1="00000000"/>
  </w:font>
  <w:font w:name="方正宋体">
    <w:altName w:val="汉仪书宋二KW"/>
    <w:panose1 w:val="00000000000000000000"/>
    <w:charset w:val="00"/>
    <w:family w:val="auto"/>
    <w:pitch w:val="default"/>
    <w:sig w:usb0="00000000" w:usb1="00000000" w:usb2="00000000" w:usb3="00000000" w:csb0="00040001" w:csb1="00000000"/>
  </w:font>
  <w:font w:name="Futura Hv">
    <w:altName w:val="苹方-简"/>
    <w:panose1 w:val="00000000000000000000"/>
    <w:charset w:val="00"/>
    <w:family w:val="swiss"/>
    <w:pitch w:val="default"/>
    <w:sig w:usb0="00000000" w:usb1="00000000" w:usb2="00000000" w:usb3="00000000" w:csb0="000001FB" w:csb1="00000000"/>
  </w:font>
  <w:font w:name="Segoe UI">
    <w:altName w:val="苹方-简"/>
    <w:panose1 w:val="020B0502040204020203"/>
    <w:charset w:val="00"/>
    <w:family w:val="swiss"/>
    <w:pitch w:val="default"/>
    <w:sig w:usb0="00000000" w:usb1="00000000" w:usb2="00000009" w:usb3="00000000" w:csb0="200001FF" w:csb1="00000000"/>
  </w:font>
  <w:font w:name="Latha">
    <w:altName w:val="苹方-简"/>
    <w:panose1 w:val="02000400000000000000"/>
    <w:charset w:val="00"/>
    <w:family w:val="swiss"/>
    <w:pitch w:val="default"/>
    <w:sig w:usb0="00000000" w:usb1="00000000" w:usb2="00000000" w:usb3="00000000" w:csb0="00000001" w:csb1="00000000"/>
  </w:font>
  <w:font w:name="等线">
    <w:altName w:val="汉仪中等线KW"/>
    <w:panose1 w:val="02010600030101010101"/>
    <w:charset w:val="86"/>
    <w:family w:val="auto"/>
    <w:pitch w:val="default"/>
    <w:sig w:usb0="00000000" w:usb1="00000000" w:usb2="00000016" w:usb3="00000000" w:csb0="0004000F" w:csb1="00000000"/>
  </w:font>
  <w:font w:name="新宋体">
    <w:altName w:val="方正书宋_GBK"/>
    <w:panose1 w:val="02010609030101010101"/>
    <w:charset w:val="86"/>
    <w:family w:val="modern"/>
    <w:pitch w:val="default"/>
    <w:sig w:usb0="00000000" w:usb1="00000000" w:usb2="0000000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Lucida Sans Unicode">
    <w:altName w:val="苹方-简"/>
    <w:panose1 w:val="020B0602030504020204"/>
    <w:charset w:val="00"/>
    <w:family w:val="swiss"/>
    <w:pitch w:val="default"/>
    <w:sig w:usb0="00000000" w:usb1="00000000" w:usb2="00000000" w:usb3="00000000" w:csb0="200000BF" w:csb1="D7F70000"/>
  </w:font>
  <w:font w:name="Century Gothic">
    <w:altName w:val="苹方-简"/>
    <w:panose1 w:val="020B0502020202020204"/>
    <w:charset w:val="00"/>
    <w:family w:val="swiss"/>
    <w:pitch w:val="default"/>
    <w:sig w:usb0="00000000" w:usb1="00000000" w:usb2="00000000" w:usb3="00000000" w:csb0="2000009F" w:csb1="DFD70000"/>
  </w:font>
  <w:font w:name="Aldine401 BT">
    <w:altName w:val="苹方-简"/>
    <w:panose1 w:val="00000000000000000000"/>
    <w:charset w:val="00"/>
    <w:family w:val="roman"/>
    <w:pitch w:val="default"/>
    <w:sig w:usb0="00000000" w:usb1="00000000" w:usb2="00000000" w:usb3="00000000" w:csb0="00000011" w:csb1="00000000"/>
  </w:font>
  <w:font w:name=".PingFang SC">
    <w:panose1 w:val="02020503050405090304"/>
    <w:charset w:val="00"/>
    <w:family w:val="modern"/>
    <w:pitch w:val="default"/>
    <w:sig w:usb0="E0000AFF" w:usb1="00007843" w:usb2="00000001" w:usb3="00000000" w:csb0="400001BF" w:csb1="DFF70000"/>
  </w:font>
  <w:font w:name="Wingdings 2">
    <w:panose1 w:val="05020102010507070707"/>
    <w:charset w:val="02"/>
    <w:family w:val="roman"/>
    <w:pitch w:val="default"/>
    <w:sig w:usb0="00000000" w:usb1="00000000" w:usb2="00000000" w:usb3="00000000" w:csb0="80000000" w:csb1="00000000"/>
  </w:font>
  <w:font w:name="汉仪书宋二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冬青黑体简体中文">
    <w:panose1 w:val="020B0300000000000000"/>
    <w:charset w:val="86"/>
    <w:family w:val="auto"/>
    <w:pitch w:val="default"/>
    <w:sig w:usb0="A00002BF" w:usb1="1ACF7CFA" w:usb2="00000016" w:usb3="00000000" w:csb0="00060007"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 w:name="苹方-简">
    <w:panose1 w:val="020B0400000000000000"/>
    <w:charset w:val="86"/>
    <w:family w:val="auto"/>
    <w:pitch w:val="default"/>
    <w:sig w:usb0="A00002FF" w:usb1="7ACFFDFB" w:usb2="00000017" w:usb3="00000000" w:csb0="00040001" w:csb1="00000000"/>
  </w:font>
  <w:font w:name="汉仪旗黑">
    <w:panose1 w:val="00020600040101010101"/>
    <w:charset w:val="86"/>
    <w:family w:val="auto"/>
    <w:pitch w:val="default"/>
    <w:sig w:usb0="A00002BF" w:usb1="1ACF7CFA" w:usb2="00000016" w:usb3="00000000" w:csb0="0004009F" w:csb1="DFD70000"/>
  </w:font>
  <w:font w:name="报隶-简">
    <w:panose1 w:val="02010600040101010101"/>
    <w:charset w:val="86"/>
    <w:family w:val="auto"/>
    <w:pitch w:val="default"/>
    <w:sig w:usb0="80000287" w:usb1="280F3C52" w:usb2="00000016" w:usb3="00000000" w:csb0="0004001F" w:csb1="00000000"/>
  </w:font>
  <w:font w:name="汉仪楷体简">
    <w:panose1 w:val="02010600000101010101"/>
    <w:charset w:val="86"/>
    <w:family w:val="auto"/>
    <w:pitch w:val="default"/>
    <w:sig w:usb0="00000001" w:usb1="080E0800" w:usb2="00000002" w:usb3="00000000" w:csb0="00040000" w:csb1="00000000"/>
  </w:font>
  <w:font w:name="汉仪中等线KW">
    <w:panose1 w:val="01010104010101010101"/>
    <w:charset w:val="86"/>
    <w:family w:val="auto"/>
    <w:pitch w:val="default"/>
    <w:sig w:usb0="800002BF" w:usb1="004F7CFA" w:usb2="00000000" w:usb3="00000000" w:csb0="00040001" w:csb1="00000000"/>
  </w:font>
  <w:font w:name="华文宋体">
    <w:panose1 w:val="02010600040101010101"/>
    <w:charset w:val="86"/>
    <w:family w:val="auto"/>
    <w:pitch w:val="default"/>
    <w:sig w:usb0="80000287" w:usb1="280F3C52" w:usb2="00000016" w:usb3="00000000" w:csb0="0004001F" w:csb1="00000000"/>
  </w:font>
  <w:font w:name="Arial">
    <w:panose1 w:val="020B0604020202090204"/>
    <w:charset w:val="00"/>
    <w:family w:val="auto"/>
    <w:pitch w:val="default"/>
    <w:sig w:usb0="E0000AFF" w:usb1="00007843" w:usb2="00000001" w:usb3="00000000" w:csb0="400001BF" w:csb1="DFF70000"/>
  </w:font>
  <w:font w:name="方正书宋_GBK">
    <w:panose1 w:val="02000000000000000000"/>
    <w:charset w:val="86"/>
    <w:family w:val="auto"/>
    <w:pitch w:val="default"/>
    <w:sig w:usb0="A00002BF" w:usb1="38CF7CFA" w:usb2="00082016" w:usb3="00000000" w:csb0="00040001" w:csb1="00000000"/>
  </w:font>
  <w:font w:name="汉仪楷体KW">
    <w:panose1 w:val="00020600040101010101"/>
    <w:charset w:val="86"/>
    <w:family w:val="auto"/>
    <w:pitch w:val="default"/>
    <w:sig w:usb0="A00002BF" w:usb1="18EF7CFA" w:usb2="00000016" w:usb3="00000000" w:csb0="00040000" w:csb1="00000000"/>
  </w:font>
  <w:font w:name="宋体-简">
    <w:panose1 w:val="02010800040101010101"/>
    <w:charset w:val="86"/>
    <w:family w:val="auto"/>
    <w:pitch w:val="default"/>
    <w:sig w:usb0="00000001" w:usb1="080F0000" w:usb2="00000000" w:usb3="00000000" w:csb0="00040000" w:csb1="00000000"/>
  </w:font>
  <w:font w:name="仿宋">
    <w:altName w:val="方正仿宋_GBK"/>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5" w:name="_Toc36110187"/>
    <w:bookmarkStart w:id="406" w:name="_Toc131845147"/>
    <w:bookmarkStart w:id="407" w:name="_Toc164085800"/>
    <w:bookmarkStart w:id="408" w:name="_Toc91899912"/>
    <w:r>
      <w:rPr>
        <w:rFonts w:hint="eastAsia" w:ascii="仿宋_GB2312" w:eastAsia="仿宋_GB2312"/>
        <w:kern w:val="0"/>
        <w:szCs w:val="21"/>
      </w:rPr>
      <w:t xml:space="preserve"> 页</w:t>
    </w:r>
    <w:bookmarkEnd w:id="405"/>
    <w:bookmarkEnd w:id="406"/>
    <w:bookmarkEnd w:id="407"/>
    <w:bookmarkEnd w:id="40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公开</w:t>
    </w:r>
    <w:r>
      <w:rPr>
        <w:rFonts w:hint="eastAsia"/>
      </w:rPr>
      <w:t>交易</w:t>
    </w:r>
    <w:r>
      <w:t>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公开</w:t>
    </w:r>
    <w:r>
      <w:rPr>
        <w:rFonts w:hint="eastAsia"/>
      </w:rPr>
      <w:t>交易</w:t>
    </w:r>
    <w:r>
      <w:rPr>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b/>
        <w:i/>
        <w:iCs/>
        <w:u w:val="single"/>
      </w:rPr>
    </w:pP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E25C20"/>
    <w:multiLevelType w:val="singleLevel"/>
    <w:tmpl w:val="B9E25C20"/>
    <w:lvl w:ilvl="0" w:tentative="0">
      <w:start w:val="1"/>
      <w:numFmt w:val="decimal"/>
      <w:suff w:val="nothing"/>
      <w:lvlText w:val="（%1）"/>
      <w:lvlJc w:val="left"/>
    </w:lvl>
  </w:abstractNum>
  <w:abstractNum w:abstractNumId="1">
    <w:nsid w:val="BAE2706E"/>
    <w:multiLevelType w:val="singleLevel"/>
    <w:tmpl w:val="BAE2706E"/>
    <w:lvl w:ilvl="0" w:tentative="0">
      <w:start w:val="1"/>
      <w:numFmt w:val="decimal"/>
      <w:lvlText w:val="%1."/>
      <w:lvlJc w:val="left"/>
      <w:pPr>
        <w:tabs>
          <w:tab w:val="left" w:pos="312"/>
        </w:tabs>
      </w:pPr>
    </w:lvl>
  </w:abstractNum>
  <w:abstractNum w:abstractNumId="2">
    <w:nsid w:val="D20BBA03"/>
    <w:multiLevelType w:val="singleLevel"/>
    <w:tmpl w:val="D20BBA03"/>
    <w:lvl w:ilvl="0" w:tentative="0">
      <w:start w:val="2"/>
      <w:numFmt w:val="decimal"/>
      <w:suff w:val="space"/>
      <w:lvlText w:val="%1."/>
      <w:lvlJc w:val="left"/>
    </w:lvl>
  </w:abstractNum>
  <w:abstractNum w:abstractNumId="3">
    <w:nsid w:val="DC34DF00"/>
    <w:multiLevelType w:val="singleLevel"/>
    <w:tmpl w:val="DC34DF00"/>
    <w:lvl w:ilvl="0" w:tentative="0">
      <w:start w:val="1"/>
      <w:numFmt w:val="chineseCounting"/>
      <w:suff w:val="space"/>
      <w:lvlText w:val="第%1条"/>
      <w:lvlJc w:val="left"/>
      <w:rPr>
        <w:rFonts w:hint="eastAsia"/>
      </w:rPr>
    </w:lvl>
  </w:abstractNum>
  <w:abstractNum w:abstractNumId="4">
    <w:nsid w:val="FFF762D3"/>
    <w:multiLevelType w:val="singleLevel"/>
    <w:tmpl w:val="FFF762D3"/>
    <w:lvl w:ilvl="0" w:tentative="0">
      <w:start w:val="1"/>
      <w:numFmt w:val="decimal"/>
      <w:suff w:val="nothing"/>
      <w:lvlText w:val="%1、"/>
      <w:lvlJc w:val="left"/>
    </w:lvl>
  </w:abstractNum>
  <w:abstractNum w:abstractNumId="5">
    <w:nsid w:val="1DEC263F"/>
    <w:multiLevelType w:val="singleLevel"/>
    <w:tmpl w:val="1DEC263F"/>
    <w:lvl w:ilvl="0" w:tentative="0">
      <w:start w:val="1"/>
      <w:numFmt w:val="decimal"/>
      <w:suff w:val="nothing"/>
      <w:lvlText w:val="%1）"/>
      <w:lvlJc w:val="left"/>
    </w:lvl>
  </w:abstractNum>
  <w:abstractNum w:abstractNumId="6">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42D26123"/>
    <w:multiLevelType w:val="singleLevel"/>
    <w:tmpl w:val="42D26123"/>
    <w:lvl w:ilvl="0" w:tentative="0">
      <w:start w:val="1"/>
      <w:numFmt w:val="chineseCounting"/>
      <w:suff w:val="nothing"/>
      <w:lvlText w:val="%1、"/>
      <w:lvlJc w:val="left"/>
      <w:rPr>
        <w:rFonts w:hint="eastAsia"/>
      </w:rPr>
    </w:lvl>
  </w:abstractNum>
  <w:num w:numId="1">
    <w:abstractNumId w:val="2"/>
  </w:num>
  <w:num w:numId="2">
    <w:abstractNumId w:val="6"/>
  </w:num>
  <w:num w:numId="3">
    <w:abstractNumId w:val="7"/>
  </w:num>
  <w:num w:numId="4">
    <w:abstractNumId w:val="1"/>
  </w:num>
  <w:num w:numId="5">
    <w:abstractNumId w:val="5"/>
  </w:num>
  <w:num w:numId="6">
    <w:abstractNumId w:val="4"/>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2E"/>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0E5"/>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48B3"/>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7AE"/>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855"/>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B84"/>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26A"/>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128"/>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A9F"/>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DD4E2A"/>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B474FF"/>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BEF4884"/>
    <w:rsid w:val="1BF0300B"/>
    <w:rsid w:val="1C0459C2"/>
    <w:rsid w:val="1C1B3B4A"/>
    <w:rsid w:val="1C88086E"/>
    <w:rsid w:val="1D266CE1"/>
    <w:rsid w:val="1D3963AF"/>
    <w:rsid w:val="1D6A673C"/>
    <w:rsid w:val="1D7E2045"/>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31215C"/>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413F05"/>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A3875"/>
    <w:rsid w:val="2EBB0FEE"/>
    <w:rsid w:val="2EC63002"/>
    <w:rsid w:val="2F0A6B38"/>
    <w:rsid w:val="2F946CCB"/>
    <w:rsid w:val="2FD25781"/>
    <w:rsid w:val="2FD66C4B"/>
    <w:rsid w:val="2FDC745C"/>
    <w:rsid w:val="2FEFEFF6"/>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1D08EB"/>
    <w:rsid w:val="34211214"/>
    <w:rsid w:val="342E63AB"/>
    <w:rsid w:val="34950E68"/>
    <w:rsid w:val="34986E94"/>
    <w:rsid w:val="34AF62C9"/>
    <w:rsid w:val="34CB4388"/>
    <w:rsid w:val="34FA6E12"/>
    <w:rsid w:val="354D7158"/>
    <w:rsid w:val="358D5588"/>
    <w:rsid w:val="35C06068"/>
    <w:rsid w:val="363A3B40"/>
    <w:rsid w:val="365302AE"/>
    <w:rsid w:val="36607A0A"/>
    <w:rsid w:val="366E227C"/>
    <w:rsid w:val="366F2E0D"/>
    <w:rsid w:val="367B6A5C"/>
    <w:rsid w:val="36A74ADA"/>
    <w:rsid w:val="36AD60D5"/>
    <w:rsid w:val="36B224F9"/>
    <w:rsid w:val="36EC0CC9"/>
    <w:rsid w:val="36F9680C"/>
    <w:rsid w:val="373F410B"/>
    <w:rsid w:val="37BF30CA"/>
    <w:rsid w:val="37E62FFB"/>
    <w:rsid w:val="37EE7094"/>
    <w:rsid w:val="37FB60C5"/>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ABBA622"/>
    <w:rsid w:val="3AFE8670"/>
    <w:rsid w:val="3B2349B7"/>
    <w:rsid w:val="3B616CFF"/>
    <w:rsid w:val="3B6259F6"/>
    <w:rsid w:val="3B976654"/>
    <w:rsid w:val="3BC01EFC"/>
    <w:rsid w:val="3BCA786A"/>
    <w:rsid w:val="3BD31E2F"/>
    <w:rsid w:val="3BF15831"/>
    <w:rsid w:val="3C007580"/>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BE00F"/>
    <w:rsid w:val="3EAF4836"/>
    <w:rsid w:val="3EC33DFA"/>
    <w:rsid w:val="3EFDF5FF"/>
    <w:rsid w:val="3F060E16"/>
    <w:rsid w:val="3F1D1096"/>
    <w:rsid w:val="3F1F0523"/>
    <w:rsid w:val="3F2F0234"/>
    <w:rsid w:val="3F6363FE"/>
    <w:rsid w:val="3F756B8F"/>
    <w:rsid w:val="3F95482B"/>
    <w:rsid w:val="3FF70F09"/>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67691"/>
    <w:rsid w:val="44002FAD"/>
    <w:rsid w:val="449101DD"/>
    <w:rsid w:val="44DE1391"/>
    <w:rsid w:val="451B225C"/>
    <w:rsid w:val="452410C9"/>
    <w:rsid w:val="45317DFB"/>
    <w:rsid w:val="456D3CE4"/>
    <w:rsid w:val="4579042C"/>
    <w:rsid w:val="457F0571"/>
    <w:rsid w:val="45851176"/>
    <w:rsid w:val="45C63B94"/>
    <w:rsid w:val="460E7DA5"/>
    <w:rsid w:val="46422483"/>
    <w:rsid w:val="464F6A5A"/>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BC19CA"/>
    <w:rsid w:val="4BEE2503"/>
    <w:rsid w:val="4C245A30"/>
    <w:rsid w:val="4CB6685F"/>
    <w:rsid w:val="4CC367FE"/>
    <w:rsid w:val="4D077F3C"/>
    <w:rsid w:val="4D123355"/>
    <w:rsid w:val="4D2A3B31"/>
    <w:rsid w:val="4D312C52"/>
    <w:rsid w:val="4D905305"/>
    <w:rsid w:val="4D964A72"/>
    <w:rsid w:val="4D9C1254"/>
    <w:rsid w:val="4E793892"/>
    <w:rsid w:val="4E800872"/>
    <w:rsid w:val="4E98737F"/>
    <w:rsid w:val="4EC569ED"/>
    <w:rsid w:val="4ED50EA1"/>
    <w:rsid w:val="4EEC050C"/>
    <w:rsid w:val="4F104EC3"/>
    <w:rsid w:val="4F266CA7"/>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CE0789"/>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1F4DCA"/>
    <w:rsid w:val="6B24787C"/>
    <w:rsid w:val="6B2E75D6"/>
    <w:rsid w:val="6B43FDE9"/>
    <w:rsid w:val="6B573233"/>
    <w:rsid w:val="6B5B6274"/>
    <w:rsid w:val="6B935D53"/>
    <w:rsid w:val="6BFB7BD7"/>
    <w:rsid w:val="6C196F71"/>
    <w:rsid w:val="6C226FCB"/>
    <w:rsid w:val="6C31226F"/>
    <w:rsid w:val="6C552F0B"/>
    <w:rsid w:val="6C8C67B7"/>
    <w:rsid w:val="6C9D744C"/>
    <w:rsid w:val="6D167928"/>
    <w:rsid w:val="6D26299B"/>
    <w:rsid w:val="6D4772EC"/>
    <w:rsid w:val="6D60667F"/>
    <w:rsid w:val="6D9078AF"/>
    <w:rsid w:val="6DAA3FEF"/>
    <w:rsid w:val="6DC0172B"/>
    <w:rsid w:val="6DCB690C"/>
    <w:rsid w:val="6DD41A5B"/>
    <w:rsid w:val="6DF43C2E"/>
    <w:rsid w:val="6DF51CA3"/>
    <w:rsid w:val="6E8335BD"/>
    <w:rsid w:val="6E8E12EF"/>
    <w:rsid w:val="6E972936"/>
    <w:rsid w:val="6ED446C5"/>
    <w:rsid w:val="6F2A7D94"/>
    <w:rsid w:val="6F8331F1"/>
    <w:rsid w:val="6F9F95CE"/>
    <w:rsid w:val="6FAE1A09"/>
    <w:rsid w:val="6FBB6FAE"/>
    <w:rsid w:val="6FD5CD4C"/>
    <w:rsid w:val="6FD75BF8"/>
    <w:rsid w:val="6FFC4458"/>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2E72082"/>
    <w:rsid w:val="73969944"/>
    <w:rsid w:val="73BB6668"/>
    <w:rsid w:val="73C0646E"/>
    <w:rsid w:val="742222F5"/>
    <w:rsid w:val="74476126"/>
    <w:rsid w:val="74706664"/>
    <w:rsid w:val="747F3682"/>
    <w:rsid w:val="749C4185"/>
    <w:rsid w:val="75067759"/>
    <w:rsid w:val="752E6DCD"/>
    <w:rsid w:val="7551380D"/>
    <w:rsid w:val="75600BE5"/>
    <w:rsid w:val="7564475C"/>
    <w:rsid w:val="7583797F"/>
    <w:rsid w:val="75D20F1D"/>
    <w:rsid w:val="75DA2C18"/>
    <w:rsid w:val="75E3B5D7"/>
    <w:rsid w:val="75F54412"/>
    <w:rsid w:val="761D08E0"/>
    <w:rsid w:val="765D347C"/>
    <w:rsid w:val="76826699"/>
    <w:rsid w:val="76C87133"/>
    <w:rsid w:val="76CD08D5"/>
    <w:rsid w:val="76DB4B92"/>
    <w:rsid w:val="77052AA4"/>
    <w:rsid w:val="77136511"/>
    <w:rsid w:val="77340A39"/>
    <w:rsid w:val="77351FD0"/>
    <w:rsid w:val="77472422"/>
    <w:rsid w:val="777F31F2"/>
    <w:rsid w:val="77BE212E"/>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FDC28F"/>
    <w:rsid w:val="7B257FFD"/>
    <w:rsid w:val="7B273D20"/>
    <w:rsid w:val="7B343476"/>
    <w:rsid w:val="7B5A2978"/>
    <w:rsid w:val="7B5A7E4C"/>
    <w:rsid w:val="7B667AF9"/>
    <w:rsid w:val="7B7468F8"/>
    <w:rsid w:val="7BEE0103"/>
    <w:rsid w:val="7BF5A57E"/>
    <w:rsid w:val="7C0A0FE4"/>
    <w:rsid w:val="7C254906"/>
    <w:rsid w:val="7C4F7BE8"/>
    <w:rsid w:val="7C590818"/>
    <w:rsid w:val="7C7C10F6"/>
    <w:rsid w:val="7C853BEA"/>
    <w:rsid w:val="7C881368"/>
    <w:rsid w:val="7CB65244"/>
    <w:rsid w:val="7CE27788"/>
    <w:rsid w:val="7CEE7036"/>
    <w:rsid w:val="7D0C32F1"/>
    <w:rsid w:val="7D0F408D"/>
    <w:rsid w:val="7D491C6C"/>
    <w:rsid w:val="7D5429C0"/>
    <w:rsid w:val="7D6E6D43"/>
    <w:rsid w:val="7DB57A34"/>
    <w:rsid w:val="7DCBD660"/>
    <w:rsid w:val="7DCF7000"/>
    <w:rsid w:val="7DD353DA"/>
    <w:rsid w:val="7DE60973"/>
    <w:rsid w:val="7DEF0916"/>
    <w:rsid w:val="7DF66136"/>
    <w:rsid w:val="7E1E5218"/>
    <w:rsid w:val="7E9A4E1F"/>
    <w:rsid w:val="7EA7723A"/>
    <w:rsid w:val="7EF56FBB"/>
    <w:rsid w:val="7EFEEEFA"/>
    <w:rsid w:val="7EFFFB89"/>
    <w:rsid w:val="7F0768EB"/>
    <w:rsid w:val="7F143BEC"/>
    <w:rsid w:val="7F715AF2"/>
    <w:rsid w:val="7F886E69"/>
    <w:rsid w:val="7F9FFF37"/>
    <w:rsid w:val="7FFB6781"/>
    <w:rsid w:val="7FFD39D3"/>
    <w:rsid w:val="B2DB27E2"/>
    <w:rsid w:val="B6FF9DD7"/>
    <w:rsid w:val="B7FE1879"/>
    <w:rsid w:val="BABFF5AB"/>
    <w:rsid w:val="BB7FA927"/>
    <w:rsid w:val="BB7FE7C7"/>
    <w:rsid w:val="BBFD0E38"/>
    <w:rsid w:val="BD6FCFBA"/>
    <w:rsid w:val="BDBAC60D"/>
    <w:rsid w:val="BE9F21A4"/>
    <w:rsid w:val="BF2BA053"/>
    <w:rsid w:val="BF7FB858"/>
    <w:rsid w:val="C7D77D0F"/>
    <w:rsid w:val="CBBA2101"/>
    <w:rsid w:val="D37B46D3"/>
    <w:rsid w:val="D7DBE25F"/>
    <w:rsid w:val="DBFB7349"/>
    <w:rsid w:val="DDF721EF"/>
    <w:rsid w:val="DDFD6FE7"/>
    <w:rsid w:val="DFF7C838"/>
    <w:rsid w:val="EBB616AC"/>
    <w:rsid w:val="EBFB750E"/>
    <w:rsid w:val="EF832B4C"/>
    <w:rsid w:val="EFAF819E"/>
    <w:rsid w:val="EFDEBE5C"/>
    <w:rsid w:val="F53D9BE1"/>
    <w:rsid w:val="F5FFD31F"/>
    <w:rsid w:val="F737087B"/>
    <w:rsid w:val="F7B97F94"/>
    <w:rsid w:val="F7D488F0"/>
    <w:rsid w:val="F7ED9356"/>
    <w:rsid w:val="F7FC6F9D"/>
    <w:rsid w:val="F9D7E0A7"/>
    <w:rsid w:val="FA5DBDB3"/>
    <w:rsid w:val="FB7F91FE"/>
    <w:rsid w:val="FBF791FE"/>
    <w:rsid w:val="FBFE0BC5"/>
    <w:rsid w:val="FD7263CC"/>
    <w:rsid w:val="FDC7E8D3"/>
    <w:rsid w:val="FF7BA8E6"/>
    <w:rsid w:val="FFA8CEF2"/>
    <w:rsid w:val="FFF8D854"/>
    <w:rsid w:val="FFFBF3EB"/>
    <w:rsid w:val="FFFFBC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27"/>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18"/>
    <w:qFormat/>
    <w:uiPriority w:val="0"/>
    <w:pPr>
      <w:ind w:firstLine="420"/>
    </w:pPr>
    <w:rPr>
      <w:rFonts w:hAnsi="Calibri" w:cs="Times New Roman"/>
      <w:snapToGrid/>
      <w:szCs w:val="20"/>
    </w:rPr>
  </w:style>
  <w:style w:type="paragraph" w:styleId="7">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6"/>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199"/>
    <w:qFormat/>
    <w:uiPriority w:val="0"/>
    <w:pPr>
      <w:shd w:val="clear" w:color="auto" w:fill="000080"/>
    </w:pPr>
  </w:style>
  <w:style w:type="paragraph" w:styleId="21">
    <w:name w:val="annotation text"/>
    <w:basedOn w:val="1"/>
    <w:link w:val="341"/>
    <w:qFormat/>
    <w:uiPriority w:val="99"/>
    <w:pPr>
      <w:jc w:val="left"/>
    </w:pPr>
  </w:style>
  <w:style w:type="paragraph" w:styleId="22">
    <w:name w:val="Salutation"/>
    <w:basedOn w:val="1"/>
    <w:next w:val="1"/>
    <w:link w:val="295"/>
    <w:qFormat/>
    <w:uiPriority w:val="0"/>
    <w:rPr>
      <w:rFonts w:ascii="仿宋_GB2312" w:eastAsia="仿宋_GB2312"/>
      <w:sz w:val="28"/>
      <w:szCs w:val="20"/>
    </w:rPr>
  </w:style>
  <w:style w:type="paragraph" w:styleId="23">
    <w:name w:val="Body Text 3"/>
    <w:basedOn w:val="1"/>
    <w:link w:val="327"/>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3"/>
    <w:qFormat/>
    <w:uiPriority w:val="0"/>
    <w:rPr>
      <w:b/>
      <w:bCs/>
    </w:rPr>
  </w:style>
  <w:style w:type="paragraph" w:styleId="61">
    <w:name w:val="Body Text First Indent 2"/>
    <w:basedOn w:val="25"/>
    <w:next w:val="1"/>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10"/>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5"/>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3"/>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7"/>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20"/>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8"/>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8"/>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4"/>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9"/>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2"/>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8"/>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11"/>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3"/>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8"/>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3"/>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1"/>
    <w:qFormat/>
    <w:uiPriority w:val="99"/>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2"/>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7"/>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8"/>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6"/>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9"/>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4"/>
    <w:qFormat/>
    <w:uiPriority w:val="0"/>
    <w:pPr>
      <w:tabs>
        <w:tab w:val="left" w:pos="840"/>
      </w:tabs>
      <w:adjustRightInd/>
      <w:ind w:left="840" w:hanging="420"/>
    </w:pPr>
  </w:style>
  <w:style w:type="paragraph" w:customStyle="1" w:styleId="62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character" w:customStyle="1" w:styleId="963">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52</Pages>
  <Words>1867</Words>
  <Characters>2186</Characters>
  <Lines>224</Lines>
  <Paragraphs>63</Paragraphs>
  <TotalTime>20</TotalTime>
  <ScaleCrop>false</ScaleCrop>
  <LinksUpToDate>false</LinksUpToDate>
  <CharactersWithSpaces>2320</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2024-12-30T22:39:00Z</dcterms:created>
  <dc:creator>玥</dc:creator>
  <cp:lastModifiedBy>华诚工程咨询-武婷</cp:lastModifiedBy>
  <cp:lastPrinted>2022-01-02T03:06:00Z</cp:lastPrinted>
  <dcterms:modified xsi:type="dcterms:W3CDTF">2025-04-01T16:35:33Z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2052-6.5.2.8766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E6CBB6D5366BC31455A5EB6730D227C2_43</vt:lpwstr>
  </property>
  <property fmtid="{D5CDD505-2E9C-101B-9397-08002B2CF9AE}" pid="5" name="KSOTemplateDocerSaveRecord">
    <vt:lpwstr>eyJoZGlkIjoiZGY5NWNkZDUzNGU2NTZhNmFjNzM2MzQwOGI1ZmE2MWIiLCJ1c2VySWQiOiIxNDU3MjE4MDQ3In0=</vt:lpwstr>
  </property>
</Properties>
</file>