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57230">
      <w:pPr>
        <w:spacing w:line="360" w:lineRule="auto"/>
        <w:ind w:right="105"/>
        <w:rPr>
          <w:rFonts w:ascii="仿宋" w:hAnsi="仿宋" w:eastAsia="仿宋" w:cs="仿宋"/>
          <w:sz w:val="30"/>
          <w:szCs w:val="30"/>
        </w:rPr>
      </w:pPr>
    </w:p>
    <w:p w14:paraId="56F345CF">
      <w:pPr>
        <w:spacing w:line="360" w:lineRule="auto"/>
        <w:ind w:right="105"/>
        <w:jc w:val="center"/>
        <w:rPr>
          <w:rFonts w:ascii="仿宋" w:hAnsi="仿宋" w:eastAsia="仿宋" w:cs="仿宋"/>
          <w:b/>
          <w:bCs/>
          <w:sz w:val="30"/>
          <w:szCs w:val="30"/>
        </w:rPr>
      </w:pPr>
    </w:p>
    <w:p w14:paraId="3B06BD5D">
      <w:pPr>
        <w:jc w:val="center"/>
        <w:outlineLvl w:val="0"/>
        <w:rPr>
          <w:rFonts w:ascii="仿宋" w:hAnsi="仿宋" w:eastAsia="仿宋" w:cs="仿宋"/>
          <w:b/>
          <w:sz w:val="36"/>
          <w:szCs w:val="36"/>
        </w:rPr>
      </w:pPr>
      <w:bookmarkStart w:id="0" w:name="_Toc11282"/>
      <w:bookmarkStart w:id="1" w:name="_Toc14961"/>
      <w:r>
        <w:rPr>
          <w:rFonts w:hint="eastAsia" w:ascii="仿宋" w:hAnsi="仿宋" w:eastAsia="仿宋" w:cs="仿宋"/>
          <w:b/>
          <w:sz w:val="36"/>
          <w:szCs w:val="36"/>
        </w:rPr>
        <w:t>杭州市能源集团工程科技有限公司</w:t>
      </w:r>
      <w:bookmarkEnd w:id="0"/>
      <w:bookmarkEnd w:id="1"/>
    </w:p>
    <w:p w14:paraId="7C51AF04">
      <w:pPr>
        <w:jc w:val="center"/>
        <w:outlineLvl w:val="0"/>
        <w:rPr>
          <w:rFonts w:ascii="仿宋" w:hAnsi="仿宋" w:eastAsia="仿宋" w:cs="仿宋"/>
          <w:b/>
          <w:sz w:val="36"/>
          <w:szCs w:val="36"/>
        </w:rPr>
      </w:pPr>
      <w:bookmarkStart w:id="2" w:name="OLE_LINK1"/>
      <w:bookmarkStart w:id="3" w:name="OLE_LINK2"/>
      <w:bookmarkStart w:id="4" w:name="_Toc3575"/>
      <w:bookmarkStart w:id="5" w:name="_Toc7601"/>
      <w:r>
        <w:rPr>
          <w:rFonts w:hint="eastAsia" w:ascii="仿宋" w:hAnsi="仿宋" w:eastAsia="仿宋" w:cs="仿宋"/>
          <w:b/>
          <w:sz w:val="36"/>
          <w:szCs w:val="36"/>
          <w:lang w:val="en-US" w:eastAsia="zh-CN"/>
        </w:rPr>
        <w:t>桐庐服务区南区光储充一体化项目南区土建项目混凝土</w:t>
      </w:r>
      <w:r>
        <w:rPr>
          <w:rFonts w:hint="eastAsia" w:ascii="仿宋" w:hAnsi="仿宋" w:eastAsia="仿宋" w:cs="仿宋"/>
          <w:b/>
          <w:sz w:val="36"/>
          <w:szCs w:val="36"/>
        </w:rPr>
        <w:t>采购</w:t>
      </w:r>
      <w:bookmarkEnd w:id="2"/>
      <w:bookmarkEnd w:id="3"/>
    </w:p>
    <w:p w14:paraId="5F688065">
      <w:pPr>
        <w:pStyle w:val="27"/>
        <w:rPr>
          <w:rFonts w:ascii="仿宋" w:hAnsi="仿宋" w:eastAsia="仿宋" w:cs="仿宋"/>
          <w:b/>
          <w:color w:val="auto"/>
          <w:sz w:val="36"/>
          <w:szCs w:val="36"/>
        </w:rPr>
      </w:pPr>
    </w:p>
    <w:p w14:paraId="6E0DE63D"/>
    <w:p w14:paraId="3D6495B1">
      <w:pPr>
        <w:pStyle w:val="2"/>
        <w:rPr>
          <w:lang w:val="en-US"/>
        </w:rPr>
      </w:pPr>
    </w:p>
    <w:p w14:paraId="1C4206C8">
      <w:pPr>
        <w:jc w:val="center"/>
        <w:outlineLvl w:val="0"/>
        <w:rPr>
          <w:rFonts w:ascii="仿宋" w:hAnsi="仿宋" w:eastAsia="仿宋" w:cs="仿宋"/>
          <w:b/>
          <w:sz w:val="52"/>
          <w:szCs w:val="52"/>
        </w:rPr>
      </w:pPr>
      <w:r>
        <w:rPr>
          <w:rFonts w:hint="eastAsia" w:ascii="仿宋" w:hAnsi="仿宋" w:eastAsia="仿宋" w:cs="仿宋"/>
          <w:b/>
          <w:sz w:val="52"/>
          <w:szCs w:val="52"/>
        </w:rPr>
        <w:t>询</w:t>
      </w:r>
      <w:bookmarkEnd w:id="4"/>
      <w:bookmarkEnd w:id="5"/>
    </w:p>
    <w:p w14:paraId="43E51F35">
      <w:pPr>
        <w:jc w:val="center"/>
        <w:outlineLvl w:val="0"/>
        <w:rPr>
          <w:rFonts w:ascii="仿宋" w:hAnsi="仿宋" w:eastAsia="仿宋" w:cs="仿宋"/>
          <w:b/>
          <w:sz w:val="52"/>
          <w:szCs w:val="52"/>
        </w:rPr>
      </w:pPr>
      <w:bookmarkStart w:id="6" w:name="_Toc16074"/>
      <w:bookmarkStart w:id="7" w:name="_Toc31318"/>
      <w:r>
        <w:rPr>
          <w:rFonts w:hint="eastAsia" w:ascii="仿宋" w:hAnsi="仿宋" w:eastAsia="仿宋" w:cs="仿宋"/>
          <w:b/>
          <w:sz w:val="52"/>
          <w:szCs w:val="52"/>
        </w:rPr>
        <w:t>价</w:t>
      </w:r>
      <w:bookmarkEnd w:id="6"/>
      <w:bookmarkEnd w:id="7"/>
    </w:p>
    <w:p w14:paraId="7962CCAB">
      <w:pPr>
        <w:jc w:val="center"/>
        <w:outlineLvl w:val="0"/>
        <w:rPr>
          <w:rFonts w:ascii="仿宋" w:hAnsi="仿宋" w:eastAsia="仿宋" w:cs="仿宋"/>
          <w:b/>
          <w:sz w:val="52"/>
          <w:szCs w:val="52"/>
        </w:rPr>
      </w:pPr>
      <w:bookmarkStart w:id="8" w:name="_Toc7946"/>
      <w:bookmarkStart w:id="9" w:name="_Toc31929"/>
      <w:r>
        <w:rPr>
          <w:rFonts w:hint="eastAsia" w:ascii="仿宋" w:hAnsi="仿宋" w:eastAsia="仿宋" w:cs="仿宋"/>
          <w:b/>
          <w:sz w:val="52"/>
          <w:szCs w:val="52"/>
        </w:rPr>
        <w:t>文</w:t>
      </w:r>
      <w:bookmarkEnd w:id="8"/>
      <w:bookmarkEnd w:id="9"/>
    </w:p>
    <w:p w14:paraId="12D6D703">
      <w:pPr>
        <w:jc w:val="center"/>
        <w:outlineLvl w:val="0"/>
        <w:rPr>
          <w:rFonts w:ascii="仿宋" w:hAnsi="仿宋" w:eastAsia="仿宋" w:cs="仿宋"/>
          <w:b/>
          <w:sz w:val="52"/>
          <w:szCs w:val="52"/>
        </w:rPr>
      </w:pPr>
      <w:bookmarkStart w:id="10" w:name="_Toc30351"/>
      <w:bookmarkStart w:id="11" w:name="_Toc15118"/>
      <w:r>
        <w:rPr>
          <w:rFonts w:hint="eastAsia" w:ascii="仿宋" w:hAnsi="仿宋" w:eastAsia="仿宋" w:cs="仿宋"/>
          <w:b/>
          <w:sz w:val="52"/>
          <w:szCs w:val="52"/>
        </w:rPr>
        <w:t>件</w:t>
      </w:r>
      <w:bookmarkEnd w:id="10"/>
      <w:bookmarkEnd w:id="11"/>
    </w:p>
    <w:p w14:paraId="61B920FE">
      <w:pPr>
        <w:pStyle w:val="10"/>
        <w:rPr>
          <w:rFonts w:ascii="仿宋" w:hAnsi="仿宋" w:eastAsia="仿宋" w:cs="仿宋"/>
          <w:b/>
          <w:bCs/>
          <w:sz w:val="48"/>
          <w:szCs w:val="48"/>
          <w:u w:val="single"/>
        </w:rPr>
      </w:pPr>
    </w:p>
    <w:p w14:paraId="40D4A715">
      <w:pPr>
        <w:pStyle w:val="10"/>
        <w:rPr>
          <w:rFonts w:ascii="仿宋" w:hAnsi="仿宋" w:eastAsia="仿宋" w:cs="仿宋"/>
          <w:b/>
          <w:bCs/>
          <w:sz w:val="48"/>
          <w:szCs w:val="48"/>
          <w:u w:val="single"/>
        </w:rPr>
      </w:pPr>
    </w:p>
    <w:p w14:paraId="3821B8C9">
      <w:pPr>
        <w:pStyle w:val="10"/>
        <w:rPr>
          <w:rFonts w:ascii="仿宋" w:hAnsi="仿宋" w:eastAsia="仿宋" w:cs="仿宋"/>
          <w:b/>
          <w:bCs/>
          <w:sz w:val="48"/>
          <w:szCs w:val="48"/>
          <w:u w:val="single"/>
        </w:rPr>
      </w:pPr>
    </w:p>
    <w:p w14:paraId="6308D565">
      <w:pPr>
        <w:jc w:val="center"/>
        <w:outlineLvl w:val="0"/>
        <w:rPr>
          <w:rFonts w:ascii="仿宋" w:hAnsi="仿宋" w:eastAsia="仿宋" w:cs="仿宋"/>
          <w:b/>
          <w:bCs/>
          <w:sz w:val="36"/>
          <w:szCs w:val="36"/>
        </w:rPr>
      </w:pPr>
      <w:bookmarkStart w:id="12" w:name="_Toc17477"/>
      <w:bookmarkStart w:id="13" w:name="_Toc21987"/>
      <w:r>
        <w:rPr>
          <w:rFonts w:hint="eastAsia" w:ascii="仿宋" w:hAnsi="仿宋" w:eastAsia="仿宋" w:cs="仿宋"/>
          <w:b/>
          <w:bCs/>
          <w:sz w:val="36"/>
          <w:szCs w:val="36"/>
        </w:rPr>
        <w:t>询价人：杭州市能源集团工程科技有限公司</w:t>
      </w:r>
      <w:bookmarkEnd w:id="12"/>
      <w:bookmarkEnd w:id="13"/>
    </w:p>
    <w:p w14:paraId="5A673224">
      <w:pPr>
        <w:jc w:val="center"/>
        <w:rPr>
          <w:rFonts w:ascii="仿宋" w:hAnsi="仿宋" w:eastAsia="仿宋" w:cs="仿宋"/>
          <w:b/>
          <w:bCs/>
          <w:sz w:val="36"/>
          <w:szCs w:val="36"/>
        </w:rPr>
      </w:pPr>
      <w:r>
        <w:rPr>
          <w:rFonts w:hint="eastAsia" w:ascii="仿宋" w:hAnsi="仿宋" w:eastAsia="仿宋" w:cs="仿宋"/>
          <w:b/>
          <w:bCs/>
          <w:sz w:val="36"/>
          <w:szCs w:val="36"/>
          <w:lang w:val="en-US" w:eastAsia="zh-CN"/>
        </w:rPr>
        <w:t xml:space="preserve">    2025</w:t>
      </w:r>
      <w:r>
        <w:rPr>
          <w:rFonts w:hint="eastAsia" w:ascii="仿宋" w:hAnsi="仿宋" w:eastAsia="仿宋" w:cs="仿宋"/>
          <w:b/>
          <w:bCs/>
          <w:sz w:val="36"/>
          <w:szCs w:val="36"/>
        </w:rPr>
        <w:t>年</w:t>
      </w:r>
      <w:r>
        <w:rPr>
          <w:rFonts w:hint="eastAsia" w:ascii="仿宋" w:hAnsi="仿宋" w:eastAsia="仿宋" w:cs="仿宋"/>
          <w:b/>
          <w:bCs/>
          <w:sz w:val="36"/>
          <w:szCs w:val="36"/>
          <w:lang w:val="en-US" w:eastAsia="zh-CN"/>
        </w:rPr>
        <w:t>3</w:t>
      </w:r>
      <w:r>
        <w:rPr>
          <w:rFonts w:hint="eastAsia" w:ascii="仿宋" w:hAnsi="仿宋" w:eastAsia="仿宋" w:cs="仿宋"/>
          <w:b/>
          <w:bCs/>
          <w:sz w:val="36"/>
          <w:szCs w:val="36"/>
        </w:rPr>
        <w:t>月</w:t>
      </w:r>
      <w:r>
        <w:rPr>
          <w:rFonts w:hint="eastAsia" w:ascii="仿宋" w:hAnsi="仿宋" w:eastAsia="仿宋" w:cs="仿宋"/>
          <w:b/>
          <w:bCs/>
          <w:sz w:val="36"/>
          <w:szCs w:val="36"/>
          <w:lang w:val="en-US" w:eastAsia="zh-CN"/>
        </w:rPr>
        <w:t>10</w:t>
      </w:r>
      <w:r>
        <w:rPr>
          <w:rFonts w:hint="eastAsia" w:ascii="仿宋" w:hAnsi="仿宋" w:eastAsia="仿宋" w:cs="仿宋"/>
          <w:b/>
          <w:bCs/>
          <w:sz w:val="36"/>
          <w:szCs w:val="36"/>
        </w:rPr>
        <w:t>日</w:t>
      </w:r>
    </w:p>
    <w:p w14:paraId="5D9F6444">
      <w:pPr>
        <w:rPr>
          <w:rStyle w:val="26"/>
          <w:rFonts w:ascii="仿宋" w:hAnsi="仿宋" w:eastAsia="仿宋" w:cs="仿宋"/>
          <w:b/>
          <w:sz w:val="36"/>
          <w:szCs w:val="36"/>
        </w:rPr>
      </w:pPr>
      <w:r>
        <w:rPr>
          <w:rFonts w:hint="eastAsia" w:ascii="仿宋" w:hAnsi="仿宋" w:eastAsia="仿宋" w:cs="仿宋"/>
          <w:sz w:val="44"/>
          <w:szCs w:val="44"/>
        </w:rPr>
        <w:br w:type="page"/>
      </w:r>
    </w:p>
    <w:p w14:paraId="67B164F0">
      <w:pPr>
        <w:numPr>
          <w:ilvl w:val="255"/>
          <w:numId w:val="0"/>
        </w:numPr>
        <w:jc w:val="center"/>
        <w:outlineLvl w:val="0"/>
        <w:rPr>
          <w:rStyle w:val="26"/>
          <w:rFonts w:ascii="仿宋" w:hAnsi="仿宋" w:eastAsia="仿宋" w:cs="仿宋"/>
          <w:b/>
          <w:sz w:val="36"/>
          <w:szCs w:val="36"/>
        </w:rPr>
      </w:pPr>
      <w:bookmarkStart w:id="14" w:name="_Toc10940"/>
      <w:bookmarkStart w:id="15" w:name="_Toc18742"/>
      <w:bookmarkStart w:id="16" w:name="_Toc24043"/>
      <w:r>
        <w:rPr>
          <w:rStyle w:val="26"/>
          <w:rFonts w:hint="eastAsia" w:ascii="仿宋" w:hAnsi="仿宋" w:eastAsia="仿宋" w:cs="仿宋"/>
          <w:b/>
          <w:sz w:val="36"/>
          <w:szCs w:val="36"/>
        </w:rPr>
        <w:t>第一部分、询价公告</w:t>
      </w:r>
      <w:bookmarkEnd w:id="14"/>
      <w:bookmarkEnd w:id="15"/>
      <w:bookmarkEnd w:id="16"/>
    </w:p>
    <w:p w14:paraId="11096966">
      <w:pPr>
        <w:pStyle w:val="18"/>
        <w:widowControl/>
        <w:snapToGrid w:val="0"/>
        <w:spacing w:beforeAutospacing="0" w:afterAutospacing="0" w:line="360" w:lineRule="auto"/>
        <w:rPr>
          <w:rStyle w:val="26"/>
          <w:rFonts w:ascii="仿宋" w:hAnsi="仿宋" w:eastAsia="仿宋" w:cs="仿宋"/>
        </w:rPr>
      </w:pPr>
      <w:bookmarkStart w:id="17" w:name="_Toc11086"/>
      <w:r>
        <w:rPr>
          <w:rStyle w:val="23"/>
          <w:rFonts w:hint="eastAsia" w:ascii="仿宋" w:hAnsi="仿宋" w:eastAsia="仿宋" w:cs="仿宋"/>
        </w:rPr>
        <w:t>一、询价人：</w:t>
      </w:r>
      <w:r>
        <w:rPr>
          <w:rStyle w:val="26"/>
          <w:rFonts w:hint="eastAsia" w:ascii="仿宋" w:hAnsi="仿宋" w:eastAsia="仿宋" w:cs="仿宋"/>
        </w:rPr>
        <w:t>杭州市能源集团工程科技有限公司</w:t>
      </w:r>
      <w:bookmarkEnd w:id="17"/>
    </w:p>
    <w:p w14:paraId="3CFEB382">
      <w:pPr>
        <w:jc w:val="both"/>
        <w:outlineLvl w:val="0"/>
        <w:rPr>
          <w:rStyle w:val="23"/>
          <w:b w:val="0"/>
          <w:bCs/>
        </w:rPr>
      </w:pPr>
      <w:r>
        <w:rPr>
          <w:rStyle w:val="23"/>
          <w:kern w:val="0"/>
          <w:sz w:val="24"/>
        </w:rPr>
        <w:t>二、</w:t>
      </w:r>
      <w:r>
        <w:rPr>
          <w:rStyle w:val="23"/>
          <w:rFonts w:hint="eastAsia" w:ascii="仿宋" w:hAnsi="仿宋" w:eastAsia="仿宋" w:cs="仿宋"/>
          <w:kern w:val="0"/>
          <w:sz w:val="24"/>
        </w:rPr>
        <w:t>项目名称</w:t>
      </w:r>
      <w:r>
        <w:rPr>
          <w:rStyle w:val="23"/>
          <w:kern w:val="0"/>
          <w:sz w:val="24"/>
        </w:rPr>
        <w:t>：</w:t>
      </w:r>
      <w:bookmarkStart w:id="18" w:name="OLE_LINK3"/>
      <w:r>
        <w:rPr>
          <w:rStyle w:val="26"/>
          <w:rFonts w:hint="eastAsia" w:ascii="仿宋" w:hAnsi="仿宋" w:eastAsia="仿宋" w:cs="仿宋"/>
          <w:kern w:val="0"/>
          <w:sz w:val="24"/>
        </w:rPr>
        <w:t>桐庐服务区南区光储充一体化项目南区土</w:t>
      </w:r>
      <w:r>
        <w:rPr>
          <w:rStyle w:val="26"/>
          <w:rFonts w:hint="eastAsia" w:ascii="仿宋" w:hAnsi="仿宋" w:eastAsia="仿宋" w:cs="仿宋"/>
          <w:kern w:val="0"/>
          <w:sz w:val="24"/>
          <w:lang w:eastAsia="zh-CN"/>
        </w:rPr>
        <w:t>建</w:t>
      </w:r>
      <w:r>
        <w:rPr>
          <w:rStyle w:val="26"/>
          <w:rFonts w:hint="eastAsia" w:ascii="仿宋" w:hAnsi="仿宋" w:eastAsia="仿宋" w:cs="仿宋"/>
          <w:kern w:val="0"/>
          <w:sz w:val="24"/>
        </w:rPr>
        <w:t>项目</w:t>
      </w:r>
      <w:r>
        <w:rPr>
          <w:rStyle w:val="26"/>
          <w:rFonts w:hint="eastAsia" w:ascii="仿宋" w:hAnsi="仿宋" w:eastAsia="仿宋" w:cs="仿宋"/>
          <w:kern w:val="0"/>
          <w:sz w:val="24"/>
          <w:lang w:eastAsia="zh-CN"/>
        </w:rPr>
        <w:t>混凝土</w:t>
      </w:r>
      <w:r>
        <w:rPr>
          <w:rStyle w:val="26"/>
          <w:rFonts w:hint="eastAsia" w:ascii="仿宋" w:hAnsi="仿宋" w:eastAsia="仿宋" w:cs="仿宋"/>
          <w:kern w:val="0"/>
          <w:sz w:val="24"/>
        </w:rPr>
        <w:t>采购</w:t>
      </w:r>
    </w:p>
    <w:bookmarkEnd w:id="18"/>
    <w:p w14:paraId="1C89BB04">
      <w:pPr>
        <w:pStyle w:val="18"/>
        <w:widowControl/>
        <w:snapToGrid w:val="0"/>
        <w:spacing w:beforeAutospacing="0" w:afterAutospacing="0" w:line="360" w:lineRule="auto"/>
        <w:rPr>
          <w:rStyle w:val="26"/>
          <w:rFonts w:hint="eastAsia"/>
          <w:b/>
        </w:rPr>
      </w:pPr>
      <w:r>
        <w:rPr>
          <w:rStyle w:val="26"/>
          <w:b/>
          <w:bCs/>
        </w:rPr>
        <w:t>三、项目编号</w:t>
      </w:r>
      <w:r>
        <w:rPr>
          <w:rStyle w:val="26"/>
          <w:rFonts w:hint="eastAsia" w:ascii="仿宋" w:hAnsi="仿宋" w:eastAsia="仿宋" w:cs="仿宋"/>
          <w:b w:val="0"/>
          <w:bCs w:val="0"/>
        </w:rPr>
        <w:t>：GKXJ202502012</w:t>
      </w:r>
    </w:p>
    <w:p w14:paraId="3A639200">
      <w:pPr>
        <w:pStyle w:val="18"/>
        <w:widowControl/>
        <w:snapToGrid w:val="0"/>
        <w:spacing w:beforeAutospacing="0" w:afterAutospacing="0" w:line="360" w:lineRule="auto"/>
        <w:rPr>
          <w:rStyle w:val="26"/>
          <w:rFonts w:ascii="仿宋" w:hAnsi="仿宋" w:eastAsia="仿宋" w:cs="仿宋"/>
        </w:rPr>
      </w:pPr>
      <w:r>
        <w:rPr>
          <w:rStyle w:val="26"/>
          <w:rFonts w:hint="eastAsia" w:ascii="仿宋" w:hAnsi="仿宋" w:eastAsia="仿宋" w:cs="仿宋"/>
        </w:rPr>
        <w:t>四、</w:t>
      </w:r>
      <w:r>
        <w:rPr>
          <w:rStyle w:val="23"/>
          <w:rFonts w:hint="eastAsia" w:ascii="仿宋" w:hAnsi="仿宋" w:eastAsia="仿宋" w:cs="仿宋"/>
        </w:rPr>
        <w:t>采购方式</w:t>
      </w:r>
      <w:r>
        <w:rPr>
          <w:rStyle w:val="26"/>
          <w:rFonts w:hint="eastAsia" w:ascii="仿宋" w:hAnsi="仿宋" w:eastAsia="仿宋" w:cs="仿宋"/>
        </w:rPr>
        <w:t>：</w:t>
      </w:r>
      <w:bookmarkStart w:id="19" w:name="_Toc16380"/>
      <w:bookmarkStart w:id="20" w:name="_Toc5187"/>
      <w:r>
        <w:rPr>
          <w:rStyle w:val="26"/>
          <w:rFonts w:hint="eastAsia" w:ascii="仿宋" w:hAnsi="仿宋" w:eastAsia="仿宋" w:cs="仿宋"/>
        </w:rPr>
        <w:t>公开询价</w:t>
      </w:r>
    </w:p>
    <w:p w14:paraId="55C25CB5">
      <w:pPr>
        <w:pStyle w:val="18"/>
        <w:widowControl/>
        <w:snapToGrid w:val="0"/>
        <w:spacing w:beforeAutospacing="0" w:afterAutospacing="0" w:line="360" w:lineRule="auto"/>
        <w:rPr>
          <w:rFonts w:ascii="仿宋" w:hAnsi="仿宋" w:eastAsia="仿宋" w:cs="仿宋"/>
        </w:rPr>
      </w:pPr>
      <w:r>
        <w:rPr>
          <w:rStyle w:val="26"/>
          <w:rFonts w:hint="eastAsia" w:ascii="仿宋" w:hAnsi="仿宋" w:eastAsia="仿宋" w:cs="仿宋"/>
        </w:rPr>
        <w:t>五、</w:t>
      </w:r>
      <w:r>
        <w:rPr>
          <w:rStyle w:val="23"/>
          <w:rFonts w:hint="eastAsia" w:ascii="仿宋" w:hAnsi="仿宋" w:eastAsia="仿宋" w:cs="仿宋"/>
        </w:rPr>
        <w:t>采购内容</w:t>
      </w:r>
      <w:r>
        <w:rPr>
          <w:rStyle w:val="26"/>
          <w:rFonts w:hint="eastAsia" w:ascii="仿宋" w:hAnsi="仿宋" w:eastAsia="仿宋" w:cs="仿宋"/>
        </w:rPr>
        <w:t>：</w:t>
      </w:r>
      <w:bookmarkEnd w:id="19"/>
      <w:bookmarkEnd w:id="20"/>
      <w:r>
        <w:rPr>
          <w:rStyle w:val="26"/>
          <w:rFonts w:hint="eastAsia" w:ascii="仿宋" w:hAnsi="仿宋" w:eastAsia="仿宋" w:cs="仿宋"/>
        </w:rPr>
        <w:t>C20、C30 泵送商品混凝土的供货、运输、装卸、调试、验收、售后及质保服务。</w:t>
      </w:r>
    </w:p>
    <w:p w14:paraId="2F272167">
      <w:pPr>
        <w:pStyle w:val="18"/>
        <w:widowControl/>
        <w:snapToGrid w:val="0"/>
        <w:spacing w:beforeAutospacing="0" w:afterAutospacing="0" w:line="360" w:lineRule="auto"/>
        <w:jc w:val="center"/>
        <w:rPr>
          <w:rFonts w:ascii="仿宋" w:hAnsi="仿宋" w:eastAsia="仿宋" w:cs="仿宋"/>
        </w:rPr>
      </w:pPr>
      <w:r>
        <w:rPr>
          <w:rFonts w:hint="eastAsia" w:ascii="仿宋" w:hAnsi="仿宋" w:eastAsia="仿宋" w:cs="仿宋"/>
        </w:rPr>
        <w:t>标的物一览表</w:t>
      </w:r>
    </w:p>
    <w:tbl>
      <w:tblPr>
        <w:tblStyle w:val="20"/>
        <w:tblW w:w="8391" w:type="dxa"/>
        <w:tblInd w:w="93" w:type="dxa"/>
        <w:tblLayout w:type="fixed"/>
        <w:tblCellMar>
          <w:top w:w="0" w:type="dxa"/>
          <w:left w:w="108" w:type="dxa"/>
          <w:bottom w:w="0" w:type="dxa"/>
          <w:right w:w="108" w:type="dxa"/>
        </w:tblCellMar>
      </w:tblPr>
      <w:tblGrid>
        <w:gridCol w:w="2092"/>
        <w:gridCol w:w="2157"/>
        <w:gridCol w:w="2054"/>
        <w:gridCol w:w="2088"/>
      </w:tblGrid>
      <w:tr w14:paraId="67A5989F">
        <w:tblPrEx>
          <w:tblCellMar>
            <w:top w:w="0" w:type="dxa"/>
            <w:left w:w="108" w:type="dxa"/>
            <w:bottom w:w="0" w:type="dxa"/>
            <w:right w:w="108" w:type="dxa"/>
          </w:tblCellMar>
        </w:tblPrEx>
        <w:trPr>
          <w:trHeight w:val="527" w:hRule="atLeast"/>
        </w:trPr>
        <w:tc>
          <w:tcPr>
            <w:tcW w:w="2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69612">
            <w:pPr>
              <w:widowControl/>
              <w:jc w:val="center"/>
              <w:textAlignment w:val="center"/>
              <w:rPr>
                <w:rFonts w:ascii="等线" w:hAnsi="等线" w:eastAsia="等线" w:cs="等线"/>
                <w:b/>
                <w:bCs/>
                <w:color w:val="000000"/>
                <w:sz w:val="22"/>
                <w:szCs w:val="22"/>
              </w:rPr>
            </w:pPr>
            <w:r>
              <w:rPr>
                <w:rFonts w:hint="eastAsia" w:ascii="等线" w:hAnsi="等线" w:eastAsia="等线" w:cs="等线"/>
                <w:b/>
                <w:bCs/>
                <w:color w:val="000000"/>
                <w:kern w:val="0"/>
                <w:sz w:val="22"/>
                <w:szCs w:val="22"/>
              </w:rPr>
              <w:t>物资名称</w:t>
            </w:r>
          </w:p>
        </w:tc>
        <w:tc>
          <w:tcPr>
            <w:tcW w:w="2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D6B26">
            <w:pPr>
              <w:widowControl/>
              <w:jc w:val="center"/>
              <w:textAlignment w:val="center"/>
              <w:rPr>
                <w:rFonts w:ascii="等线" w:hAnsi="等线" w:eastAsia="等线" w:cs="等线"/>
                <w:b/>
                <w:bCs/>
                <w:color w:val="000000"/>
                <w:sz w:val="22"/>
                <w:szCs w:val="22"/>
              </w:rPr>
            </w:pPr>
            <w:r>
              <w:rPr>
                <w:rFonts w:hint="eastAsia" w:ascii="等线" w:hAnsi="等线" w:eastAsia="等线" w:cs="等线"/>
                <w:b/>
                <w:bCs/>
                <w:color w:val="000000"/>
                <w:kern w:val="0"/>
                <w:sz w:val="22"/>
                <w:szCs w:val="22"/>
              </w:rPr>
              <w:t>型号规格</w:t>
            </w: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E3854">
            <w:pPr>
              <w:widowControl/>
              <w:jc w:val="center"/>
              <w:textAlignment w:val="center"/>
              <w:rPr>
                <w:rFonts w:ascii="等线" w:hAnsi="等线" w:eastAsia="等线" w:cs="等线"/>
                <w:b/>
                <w:bCs/>
                <w:color w:val="000000"/>
                <w:sz w:val="22"/>
                <w:szCs w:val="22"/>
              </w:rPr>
            </w:pPr>
            <w:r>
              <w:rPr>
                <w:rFonts w:hint="eastAsia" w:ascii="等线" w:hAnsi="等线" w:eastAsia="等线" w:cs="等线"/>
                <w:b/>
                <w:bCs/>
                <w:color w:val="000000"/>
                <w:kern w:val="0"/>
                <w:sz w:val="22"/>
                <w:szCs w:val="22"/>
              </w:rPr>
              <w:t>单位</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C4EBF">
            <w:pPr>
              <w:widowControl/>
              <w:jc w:val="center"/>
              <w:textAlignment w:val="center"/>
              <w:rPr>
                <w:rFonts w:hint="eastAsia" w:ascii="等线" w:hAnsi="等线" w:eastAsia="等线" w:cs="等线"/>
                <w:b/>
                <w:bCs/>
                <w:color w:val="000000"/>
                <w:kern w:val="0"/>
                <w:sz w:val="22"/>
                <w:szCs w:val="22"/>
                <w:lang w:eastAsia="zh-CN"/>
              </w:rPr>
            </w:pPr>
            <w:r>
              <w:rPr>
                <w:rFonts w:hint="eastAsia" w:ascii="等线" w:hAnsi="等线" w:eastAsia="等线" w:cs="等线"/>
                <w:b/>
                <w:bCs/>
                <w:color w:val="000000"/>
                <w:kern w:val="0"/>
                <w:sz w:val="22"/>
                <w:szCs w:val="22"/>
              </w:rPr>
              <w:t xml:space="preserve">数量 </w:t>
            </w:r>
          </w:p>
        </w:tc>
      </w:tr>
      <w:tr w14:paraId="532F7EF8">
        <w:tblPrEx>
          <w:tblCellMar>
            <w:top w:w="0" w:type="dxa"/>
            <w:left w:w="108" w:type="dxa"/>
            <w:bottom w:w="0" w:type="dxa"/>
            <w:right w:w="108" w:type="dxa"/>
          </w:tblCellMar>
        </w:tblPrEx>
        <w:trPr>
          <w:trHeight w:val="710" w:hRule="atLeast"/>
        </w:trPr>
        <w:tc>
          <w:tcPr>
            <w:tcW w:w="2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3BD7A8">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val="en-US" w:eastAsia="zh-CN"/>
              </w:rPr>
              <w:t>泵送商品混凝土</w:t>
            </w:r>
          </w:p>
        </w:tc>
        <w:tc>
          <w:tcPr>
            <w:tcW w:w="2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B471EC">
            <w:pPr>
              <w:widowControl/>
              <w:jc w:val="center"/>
              <w:textAlignment w:val="center"/>
              <w:rPr>
                <w:rFonts w:hint="eastAsia" w:ascii="仿宋" w:hAnsi="仿宋" w:eastAsia="仿宋" w:cs="仿宋"/>
                <w:color w:val="000000"/>
                <w:sz w:val="24"/>
                <w:szCs w:val="24"/>
              </w:rPr>
            </w:pPr>
            <w:r>
              <w:rPr>
                <w:rFonts w:hint="eastAsia" w:ascii="仿宋" w:hAnsi="仿宋" w:eastAsia="仿宋" w:cs="仿宋"/>
                <w:b w:val="0"/>
                <w:bCs w:val="0"/>
                <w:color w:val="333333"/>
                <w:sz w:val="24"/>
                <w:szCs w:val="24"/>
                <w:lang w:val="en-US" w:eastAsia="zh-CN"/>
              </w:rPr>
              <w:t>C20</w:t>
            </w:r>
          </w:p>
        </w:tc>
        <w:tc>
          <w:tcPr>
            <w:tcW w:w="20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143C00">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val="en-US" w:eastAsia="zh-CN"/>
              </w:rPr>
              <w:t>立方米</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9542F6">
            <w:pPr>
              <w:widowControl/>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80</w:t>
            </w:r>
          </w:p>
        </w:tc>
      </w:tr>
      <w:tr w14:paraId="4E305E06">
        <w:tblPrEx>
          <w:tblCellMar>
            <w:top w:w="0" w:type="dxa"/>
            <w:left w:w="108" w:type="dxa"/>
            <w:bottom w:w="0" w:type="dxa"/>
            <w:right w:w="108" w:type="dxa"/>
          </w:tblCellMar>
        </w:tblPrEx>
        <w:trPr>
          <w:trHeight w:val="695" w:hRule="atLeast"/>
        </w:trPr>
        <w:tc>
          <w:tcPr>
            <w:tcW w:w="2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6BB46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rPr>
              <w:t>泵送商品混凝土</w:t>
            </w:r>
          </w:p>
        </w:tc>
        <w:tc>
          <w:tcPr>
            <w:tcW w:w="2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8DC945">
            <w:pPr>
              <w:widowControl/>
              <w:jc w:val="center"/>
              <w:textAlignment w:val="center"/>
              <w:rPr>
                <w:rFonts w:hint="default" w:ascii="仿宋" w:hAnsi="仿宋" w:eastAsia="仿宋" w:cs="仿宋"/>
                <w:color w:val="000000"/>
                <w:sz w:val="24"/>
                <w:szCs w:val="24"/>
                <w:lang w:val="en-US"/>
              </w:rPr>
            </w:pPr>
            <w:r>
              <w:rPr>
                <w:rFonts w:hint="eastAsia" w:ascii="仿宋" w:hAnsi="仿宋" w:eastAsia="仿宋" w:cs="仿宋"/>
                <w:b w:val="0"/>
                <w:bCs w:val="0"/>
                <w:color w:val="333333"/>
                <w:sz w:val="24"/>
                <w:szCs w:val="24"/>
                <w:lang w:val="en-US" w:eastAsia="zh-CN"/>
              </w:rPr>
              <w:t>C30</w:t>
            </w:r>
          </w:p>
        </w:tc>
        <w:tc>
          <w:tcPr>
            <w:tcW w:w="20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4E90E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rPr>
              <w:t>立方米</w:t>
            </w:r>
          </w:p>
        </w:tc>
        <w:tc>
          <w:tcPr>
            <w:tcW w:w="20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3CB237">
            <w:pPr>
              <w:widowControl/>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360</w:t>
            </w:r>
          </w:p>
        </w:tc>
      </w:tr>
      <w:tr w14:paraId="1648363E">
        <w:tblPrEx>
          <w:tblCellMar>
            <w:top w:w="0" w:type="dxa"/>
            <w:left w:w="108" w:type="dxa"/>
            <w:bottom w:w="0" w:type="dxa"/>
            <w:right w:w="108" w:type="dxa"/>
          </w:tblCellMar>
        </w:tblPrEx>
        <w:trPr>
          <w:trHeight w:val="609" w:hRule="atLeast"/>
        </w:trPr>
        <w:tc>
          <w:tcPr>
            <w:tcW w:w="83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B4D156">
            <w:pPr>
              <w:spacing w:line="360" w:lineRule="auto"/>
              <w:ind w:firstLine="482" w:firstLineChars="200"/>
              <w:jc w:val="left"/>
              <w:outlineLvl w:val="9"/>
              <w:rPr>
                <w:rFonts w:hint="eastAsia" w:ascii="仿宋" w:hAnsi="仿宋" w:eastAsia="仿宋" w:cs="仿宋"/>
                <w:b/>
                <w:bCs/>
                <w:color w:val="000000"/>
                <w:kern w:val="0"/>
                <w:sz w:val="24"/>
                <w:szCs w:val="24"/>
              </w:rPr>
            </w:pPr>
          </w:p>
          <w:p w14:paraId="19C830E4">
            <w:pPr>
              <w:spacing w:line="360" w:lineRule="auto"/>
              <w:ind w:firstLine="480" w:firstLineChars="200"/>
              <w:jc w:val="left"/>
              <w:outlineLvl w:val="9"/>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依据《预拌混凝土》(GB/T 14902-2012)及相关国家规范和技术要求进行合同货物的加工、运输及制作，且不得低于甲方要求、其他强制性国家标准、推荐性国家标准、行业标准和交易习惯的规范和技术要求。</w:t>
            </w:r>
          </w:p>
          <w:p w14:paraId="2B92ABE1">
            <w:pPr>
              <w:widowControl/>
              <w:ind w:firstLine="240" w:firstLineChars="100"/>
              <w:jc w:val="both"/>
              <w:textAlignment w:val="center"/>
              <w:rPr>
                <w:rFonts w:hint="eastAsia" w:ascii="仿宋" w:hAnsi="仿宋" w:eastAsia="仿宋" w:cs="仿宋"/>
                <w:bCs/>
                <w:sz w:val="24"/>
                <w:szCs w:val="24"/>
                <w:highlight w:val="none"/>
                <w:lang w:eastAsia="zh-CN"/>
              </w:rPr>
            </w:pPr>
          </w:p>
        </w:tc>
      </w:tr>
    </w:tbl>
    <w:p w14:paraId="67314E8B">
      <w:pPr>
        <w:pStyle w:val="18"/>
        <w:widowControl/>
        <w:snapToGrid w:val="0"/>
        <w:spacing w:beforeAutospacing="0" w:afterAutospacing="0" w:line="360" w:lineRule="auto"/>
        <w:rPr>
          <w:rFonts w:ascii="仿宋" w:hAnsi="仿宋" w:eastAsia="仿宋" w:cs="仿宋"/>
        </w:rPr>
      </w:pPr>
    </w:p>
    <w:p w14:paraId="403AF56F">
      <w:pPr>
        <w:wordWrap w:val="0"/>
        <w:spacing w:line="360" w:lineRule="auto"/>
        <w:outlineLvl w:val="1"/>
        <w:rPr>
          <w:rFonts w:ascii="仿宋" w:hAnsi="仿宋" w:eastAsia="仿宋" w:cs="仿宋"/>
          <w:b/>
          <w:bCs/>
          <w:sz w:val="24"/>
        </w:rPr>
      </w:pPr>
      <w:bookmarkStart w:id="21" w:name="_Toc1965"/>
      <w:bookmarkStart w:id="22" w:name="_Toc1427"/>
      <w:bookmarkStart w:id="23" w:name="_Toc10372"/>
      <w:bookmarkStart w:id="24" w:name="_Toc11175"/>
      <w:r>
        <w:rPr>
          <w:rFonts w:hint="eastAsia" w:ascii="仿宋" w:hAnsi="仿宋" w:eastAsia="仿宋" w:cs="仿宋"/>
          <w:b/>
          <w:sz w:val="24"/>
        </w:rPr>
        <w:t>六、</w:t>
      </w:r>
      <w:bookmarkEnd w:id="21"/>
      <w:bookmarkStart w:id="25" w:name="_Toc11385"/>
      <w:bookmarkStart w:id="26" w:name="_Toc5881"/>
      <w:r>
        <w:rPr>
          <w:rFonts w:hint="eastAsia" w:ascii="仿宋" w:hAnsi="仿宋" w:eastAsia="仿宋" w:cs="仿宋"/>
          <w:b/>
          <w:bCs/>
          <w:sz w:val="24"/>
        </w:rPr>
        <w:t>报价要求：</w:t>
      </w:r>
      <w:bookmarkEnd w:id="25"/>
      <w:bookmarkEnd w:id="26"/>
    </w:p>
    <w:p w14:paraId="105F0BB6">
      <w:pPr>
        <w:wordWrap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1、人民币报价。</w:t>
      </w:r>
    </w:p>
    <w:p w14:paraId="1F200E5D">
      <w:pPr>
        <w:wordWrap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2、报价包括材料费、包装运输费、运输保险费、装卸、安装、质保费售后服务费、技术支持费、企业管理费、利润、税金等-切费用，应价人须按报价函中的格式要求填写。</w:t>
      </w:r>
    </w:p>
    <w:p w14:paraId="4169573E">
      <w:pPr>
        <w:snapToGrid w:val="0"/>
        <w:spacing w:line="360" w:lineRule="auto"/>
        <w:ind w:firstLine="480" w:firstLineChars="200"/>
        <w:outlineLvl w:val="1"/>
        <w:rPr>
          <w:rFonts w:ascii="仿宋" w:hAnsi="仿宋" w:eastAsia="仿宋" w:cs="仿宋"/>
          <w:sz w:val="24"/>
        </w:rPr>
      </w:pPr>
      <w:r>
        <w:rPr>
          <w:rFonts w:hint="eastAsia" w:ascii="仿宋" w:hAnsi="仿宋" w:eastAsia="仿宋" w:cs="仿宋"/>
          <w:sz w:val="24"/>
        </w:rPr>
        <w:t>3、供应商开具增值税专票。</w:t>
      </w:r>
    </w:p>
    <w:p w14:paraId="3A9CFB77">
      <w:pPr>
        <w:snapToGrid w:val="0"/>
        <w:spacing w:line="360" w:lineRule="auto"/>
        <w:outlineLvl w:val="1"/>
        <w:rPr>
          <w:rStyle w:val="23"/>
          <w:rFonts w:ascii="仿宋" w:hAnsi="仿宋" w:eastAsia="仿宋" w:cs="仿宋"/>
          <w:kern w:val="0"/>
          <w:sz w:val="24"/>
        </w:rPr>
      </w:pPr>
      <w:r>
        <w:rPr>
          <w:rStyle w:val="23"/>
          <w:rFonts w:hint="eastAsia" w:ascii="仿宋" w:hAnsi="仿宋" w:eastAsia="仿宋" w:cs="仿宋"/>
          <w:kern w:val="0"/>
          <w:sz w:val="24"/>
        </w:rPr>
        <w:t>七、供应商资格条件</w:t>
      </w:r>
      <w:bookmarkEnd w:id="22"/>
      <w:r>
        <w:rPr>
          <w:rStyle w:val="23"/>
          <w:rFonts w:hint="eastAsia" w:ascii="仿宋" w:hAnsi="仿宋" w:eastAsia="仿宋" w:cs="仿宋"/>
          <w:kern w:val="0"/>
          <w:sz w:val="24"/>
        </w:rPr>
        <w:t>：</w:t>
      </w:r>
      <w:bookmarkEnd w:id="23"/>
      <w:bookmarkEnd w:id="24"/>
    </w:p>
    <w:p w14:paraId="75E2A1CC">
      <w:pPr>
        <w:snapToGrid w:val="0"/>
        <w:spacing w:line="360" w:lineRule="auto"/>
        <w:ind w:firstLine="480" w:firstLineChars="200"/>
        <w:outlineLvl w:val="2"/>
        <w:rPr>
          <w:rFonts w:ascii="仿宋" w:hAnsi="仿宋" w:eastAsia="仿宋" w:cs="仿宋"/>
          <w:sz w:val="24"/>
        </w:rPr>
      </w:pPr>
      <w:bookmarkStart w:id="27" w:name="_Toc15144"/>
      <w:bookmarkStart w:id="28" w:name="_Toc30853"/>
      <w:r>
        <w:rPr>
          <w:rFonts w:hint="eastAsia" w:ascii="仿宋" w:hAnsi="仿宋" w:eastAsia="仿宋" w:cs="仿宋"/>
          <w:sz w:val="24"/>
        </w:rPr>
        <w:t>1、</w:t>
      </w:r>
      <w:bookmarkEnd w:id="27"/>
      <w:r>
        <w:rPr>
          <w:rFonts w:hint="eastAsia" w:ascii="仿宋" w:hAnsi="仿宋" w:eastAsia="仿宋" w:cs="仿宋"/>
          <w:sz w:val="24"/>
        </w:rPr>
        <w:t>具有独立承担民事责任能力的供应商；</w:t>
      </w:r>
      <w:bookmarkEnd w:id="28"/>
    </w:p>
    <w:p w14:paraId="427B5076">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2、单位负责人为同一人或者存在直接控股、管理关系的不同单位，不得同时参加本项目应价。（以开启当天询价人</w:t>
      </w:r>
      <w:r>
        <w:rPr>
          <w:rFonts w:hint="eastAsia" w:ascii="仿宋" w:hAnsi="仿宋" w:eastAsia="仿宋" w:cs="仿宋"/>
          <w:sz w:val="24"/>
          <w:lang w:val="zh-TW" w:eastAsia="zh-TW"/>
        </w:rPr>
        <w:t>通过</w:t>
      </w:r>
      <w:r>
        <w:rPr>
          <w:rFonts w:hint="eastAsia" w:ascii="仿宋" w:hAnsi="仿宋" w:eastAsia="仿宋" w:cs="仿宋"/>
          <w:sz w:val="24"/>
        </w:rPr>
        <w:t>“天眼查”网站查询结果为准）；</w:t>
      </w:r>
    </w:p>
    <w:p w14:paraId="62B2A2EC">
      <w:pPr>
        <w:snapToGrid w:val="0"/>
        <w:spacing w:line="360" w:lineRule="auto"/>
        <w:ind w:firstLine="480" w:firstLineChars="200"/>
        <w:outlineLvl w:val="9"/>
        <w:rPr>
          <w:rFonts w:hint="eastAsia" w:ascii="仿宋" w:hAnsi="仿宋" w:eastAsia="仿宋" w:cs="仿宋"/>
          <w:sz w:val="24"/>
        </w:rPr>
      </w:pPr>
      <w:bookmarkStart w:id="29" w:name="_Toc27642"/>
      <w:r>
        <w:rPr>
          <w:rFonts w:hint="eastAsia" w:ascii="仿宋" w:hAnsi="仿宋" w:eastAsia="仿宋" w:cs="仿宋"/>
          <w:sz w:val="24"/>
        </w:rPr>
        <w:t>3、不接受联合体应价。</w:t>
      </w:r>
      <w:bookmarkEnd w:id="29"/>
    </w:p>
    <w:p w14:paraId="12848FB9">
      <w:pPr>
        <w:wordWrap w:val="0"/>
        <w:snapToGrid w:val="0"/>
        <w:spacing w:line="420" w:lineRule="exact"/>
        <w:jc w:val="left"/>
        <w:outlineLvl w:val="1"/>
        <w:rPr>
          <w:rFonts w:ascii="仿宋" w:hAnsi="仿宋" w:eastAsia="仿宋" w:cs="仿宋"/>
          <w:b/>
          <w:bCs/>
          <w:sz w:val="24"/>
        </w:rPr>
      </w:pPr>
      <w:r>
        <w:rPr>
          <w:rFonts w:hint="eastAsia" w:ascii="仿宋" w:hAnsi="仿宋" w:eastAsia="仿宋" w:cs="仿宋"/>
          <w:b/>
          <w:bCs/>
          <w:sz w:val="24"/>
        </w:rPr>
        <w:t>八、成交原则：</w:t>
      </w:r>
    </w:p>
    <w:p w14:paraId="2B668BCD">
      <w:pPr>
        <w:wordWrap w:val="0"/>
        <w:snapToGrid w:val="0"/>
        <w:spacing w:line="420" w:lineRule="exact"/>
        <w:ind w:firstLine="480" w:firstLineChars="200"/>
        <w:jc w:val="left"/>
        <w:outlineLvl w:val="1"/>
        <w:rPr>
          <w:rFonts w:ascii="仿宋" w:hAnsi="仿宋" w:eastAsia="仿宋" w:cs="仿宋"/>
          <w:sz w:val="24"/>
        </w:rPr>
      </w:pPr>
      <w:r>
        <w:rPr>
          <w:rFonts w:hint="eastAsia" w:ascii="仿宋" w:hAnsi="仿宋" w:eastAsia="仿宋" w:cs="仿宋"/>
          <w:sz w:val="24"/>
        </w:rPr>
        <w:t>1、采用最低总价（除税价）方式确定成交供应商。（除税价精确到小数点后两位）</w:t>
      </w:r>
    </w:p>
    <w:p w14:paraId="6C397778">
      <w:pPr>
        <w:wordWrap w:val="0"/>
        <w:snapToGrid w:val="0"/>
        <w:spacing w:line="420" w:lineRule="exact"/>
        <w:ind w:firstLine="480" w:firstLineChars="200"/>
        <w:jc w:val="left"/>
        <w:outlineLvl w:val="1"/>
        <w:rPr>
          <w:rFonts w:ascii="仿宋" w:hAnsi="仿宋" w:eastAsia="仿宋" w:cs="仿宋"/>
          <w:sz w:val="24"/>
        </w:rPr>
      </w:pPr>
      <w:r>
        <w:rPr>
          <w:rFonts w:hint="eastAsia" w:ascii="仿宋" w:hAnsi="仿宋" w:eastAsia="仿宋" w:cs="仿宋"/>
          <w:sz w:val="24"/>
        </w:rPr>
        <w:t>2、如出现最低总价（除税价）一致的情况，则采取摇号方式确定中标供应商。</w:t>
      </w:r>
    </w:p>
    <w:p w14:paraId="7F7B3C28">
      <w:pPr>
        <w:wordWrap w:val="0"/>
        <w:snapToGrid w:val="0"/>
        <w:spacing w:line="420" w:lineRule="exact"/>
        <w:ind w:firstLine="480" w:firstLineChars="200"/>
        <w:jc w:val="left"/>
        <w:outlineLvl w:val="1"/>
        <w:rPr>
          <w:rFonts w:ascii="仿宋" w:hAnsi="仿宋" w:eastAsia="仿宋" w:cs="仿宋"/>
          <w:sz w:val="24"/>
        </w:rPr>
      </w:pPr>
      <w:r>
        <w:rPr>
          <w:rFonts w:hint="eastAsia" w:ascii="仿宋" w:hAnsi="仿宋" w:eastAsia="仿宋" w:cs="仿宋"/>
          <w:sz w:val="24"/>
        </w:rPr>
        <w:t>3、本货物最高含税总价限价</w:t>
      </w:r>
      <w:r>
        <w:rPr>
          <w:rFonts w:hint="eastAsia" w:ascii="仿宋" w:hAnsi="仿宋" w:eastAsia="仿宋" w:cs="仿宋"/>
          <w:sz w:val="24"/>
          <w:lang w:val="en-US" w:eastAsia="zh-CN"/>
        </w:rPr>
        <w:t xml:space="preserve"> 169600 </w:t>
      </w:r>
      <w:r>
        <w:rPr>
          <w:rFonts w:hint="eastAsia" w:ascii="仿宋" w:hAnsi="仿宋" w:eastAsia="仿宋" w:cs="仿宋"/>
          <w:sz w:val="24"/>
        </w:rPr>
        <w:t>元，超过总价限价的应价文件均无效。</w:t>
      </w:r>
    </w:p>
    <w:p w14:paraId="23095C95">
      <w:pPr>
        <w:wordWrap w:val="0"/>
        <w:snapToGrid w:val="0"/>
        <w:spacing w:line="420" w:lineRule="exact"/>
        <w:jc w:val="left"/>
        <w:outlineLvl w:val="1"/>
        <w:rPr>
          <w:rFonts w:ascii="仿宋" w:hAnsi="仿宋" w:eastAsia="仿宋" w:cs="仿宋"/>
          <w:b/>
          <w:bCs/>
          <w:sz w:val="24"/>
        </w:rPr>
      </w:pPr>
      <w:r>
        <w:rPr>
          <w:rFonts w:hint="eastAsia" w:ascii="仿宋" w:hAnsi="仿宋" w:eastAsia="仿宋" w:cs="仿宋"/>
          <w:b/>
          <w:bCs/>
          <w:sz w:val="24"/>
        </w:rPr>
        <w:t>九、商务要求：</w:t>
      </w:r>
    </w:p>
    <w:p w14:paraId="688CD3F4">
      <w:pPr>
        <w:wordWrap w:val="0"/>
        <w:snapToGrid w:val="0"/>
        <w:spacing w:line="420" w:lineRule="exact"/>
        <w:ind w:firstLine="480" w:firstLineChars="200"/>
        <w:jc w:val="left"/>
        <w:outlineLvl w:val="1"/>
        <w:rPr>
          <w:rFonts w:ascii="仿宋" w:hAnsi="仿宋" w:eastAsia="仿宋" w:cs="仿宋"/>
          <w:sz w:val="24"/>
        </w:rPr>
      </w:pPr>
      <w:r>
        <w:rPr>
          <w:rFonts w:hint="eastAsia" w:ascii="仿宋" w:hAnsi="仿宋" w:eastAsia="仿宋" w:cs="仿宋"/>
          <w:sz w:val="24"/>
        </w:rPr>
        <w:t>1、结算方式：固定单价包干，数量按实结算。</w:t>
      </w:r>
    </w:p>
    <w:p w14:paraId="31C27467">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2、付款方式：</w:t>
      </w:r>
      <w:r>
        <w:rPr>
          <w:rFonts w:hint="eastAsia" w:ascii="仿宋" w:hAnsi="仿宋" w:eastAsia="仿宋" w:cs="仿宋"/>
          <w:sz w:val="24"/>
          <w:highlight w:val="none"/>
          <w:lang w:eastAsia="zh-CN"/>
        </w:rPr>
        <w:t>合同有效期内综合单价固定不变(若合同有效期内国家税率调整的，则相应调整)，结算价=实际到货验收合格数量X综合单价。每批次货物验收合格后，根据双方确认的数量，乙方开具等金额的增值税专用发票，甲方根据已确认的数量在收到乙方开具的发票后【15】日内付款至本次结算款的 9</w:t>
      </w:r>
      <w:r>
        <w:rPr>
          <w:rFonts w:hint="eastAsia" w:ascii="仿宋" w:hAnsi="仿宋" w:eastAsia="仿宋" w:cs="仿宋"/>
          <w:sz w:val="24"/>
          <w:lang w:eastAsia="zh-CN"/>
        </w:rPr>
        <w:t>5</w:t>
      </w:r>
      <w:r>
        <w:rPr>
          <w:rFonts w:hint="eastAsia" w:ascii="仿宋" w:hAnsi="仿宋" w:eastAsia="仿宋" w:cs="仿宋"/>
          <w:sz w:val="24"/>
          <w:highlight w:val="none"/>
          <w:lang w:eastAsia="zh-CN"/>
        </w:rPr>
        <w:t>%，剩余</w:t>
      </w:r>
      <w:r>
        <w:rPr>
          <w:rFonts w:hint="eastAsia" w:ascii="仿宋" w:hAnsi="仿宋" w:eastAsia="仿宋" w:cs="仿宋"/>
          <w:sz w:val="24"/>
          <w:lang w:eastAsia="zh-CN"/>
        </w:rPr>
        <w:t>5</w:t>
      </w:r>
      <w:r>
        <w:rPr>
          <w:rFonts w:hint="eastAsia" w:ascii="仿宋" w:hAnsi="仿宋" w:eastAsia="仿宋" w:cs="仿宋"/>
          <w:sz w:val="24"/>
          <w:highlight w:val="none"/>
          <w:lang w:eastAsia="zh-CN"/>
        </w:rPr>
        <w:t>%作为质量保证金，待合同期内所有货物质保期结束后 15 天内无息退还。</w:t>
      </w:r>
    </w:p>
    <w:p w14:paraId="2DDFA99E">
      <w:pPr>
        <w:pStyle w:val="46"/>
        <w:spacing w:line="440" w:lineRule="exact"/>
        <w:rPr>
          <w:rFonts w:ascii="仿宋" w:hAnsi="仿宋" w:eastAsia="仿宋" w:cs="仿宋"/>
          <w:b/>
          <w:bCs/>
          <w:kern w:val="2"/>
          <w:szCs w:val="24"/>
          <w:lang w:val="en-US"/>
        </w:rPr>
      </w:pPr>
      <w:r>
        <w:rPr>
          <w:rFonts w:hint="eastAsia" w:ascii="仿宋" w:hAnsi="仿宋" w:eastAsia="仿宋" w:cs="仿宋"/>
          <w:b/>
          <w:bCs/>
          <w:kern w:val="2"/>
          <w:szCs w:val="24"/>
          <w:lang w:val="en-US"/>
        </w:rPr>
        <w:t>十、服务要求：</w:t>
      </w:r>
    </w:p>
    <w:p w14:paraId="4998DE91">
      <w:pPr>
        <w:wordWrap w:val="0"/>
        <w:snapToGrid w:val="0"/>
        <w:spacing w:line="420" w:lineRule="exact"/>
        <w:ind w:firstLine="480" w:firstLineChars="200"/>
        <w:jc w:val="left"/>
        <w:outlineLvl w:val="1"/>
        <w:rPr>
          <w:rFonts w:ascii="仿宋" w:hAnsi="仿宋" w:eastAsia="仿宋" w:cs="仿宋"/>
          <w:sz w:val="24"/>
        </w:rPr>
      </w:pPr>
      <w:r>
        <w:rPr>
          <w:rFonts w:hint="eastAsia" w:ascii="仿宋" w:hAnsi="仿宋" w:eastAsia="仿宋" w:cs="仿宋"/>
          <w:sz w:val="24"/>
        </w:rPr>
        <w:t>1、供货：</w:t>
      </w:r>
    </w:p>
    <w:p w14:paraId="5FA44605">
      <w:pPr>
        <w:wordWrap w:val="0"/>
        <w:snapToGrid w:val="0"/>
        <w:spacing w:line="420" w:lineRule="exact"/>
        <w:ind w:firstLine="480" w:firstLineChars="200"/>
        <w:jc w:val="left"/>
        <w:outlineLvl w:val="1"/>
        <w:rPr>
          <w:rFonts w:hint="eastAsia" w:ascii="仿宋" w:hAnsi="仿宋" w:eastAsia="仿宋" w:cs="仿宋"/>
          <w:kern w:val="0"/>
          <w:sz w:val="24"/>
          <w:lang w:eastAsia="zh-CN"/>
        </w:rPr>
      </w:pPr>
      <w:r>
        <w:rPr>
          <w:rFonts w:hint="eastAsia" w:ascii="仿宋" w:hAnsi="仿宋" w:eastAsia="仿宋" w:cs="仿宋"/>
          <w:sz w:val="24"/>
        </w:rPr>
        <w:t>供货方式：</w:t>
      </w:r>
      <w:r>
        <w:rPr>
          <w:rFonts w:hint="eastAsia" w:ascii="仿宋" w:hAnsi="仿宋" w:eastAsia="仿宋" w:cs="仿宋"/>
          <w:sz w:val="24"/>
          <w:lang w:eastAsia="zh-CN"/>
        </w:rPr>
        <w:t>按甲方通知的实际需求量分批供货，具体各批交货数量和交货时间以甲方书面供货通知单为准。</w:t>
      </w:r>
      <w:r>
        <w:rPr>
          <w:rFonts w:hint="eastAsia" w:ascii="仿宋" w:hAnsi="仿宋" w:eastAsia="仿宋" w:cs="仿宋"/>
          <w:kern w:val="0"/>
          <w:sz w:val="24"/>
          <w:lang w:eastAsia="zh-CN"/>
        </w:rPr>
        <w:t>。</w:t>
      </w:r>
    </w:p>
    <w:p w14:paraId="3D8C1079">
      <w:pPr>
        <w:wordWrap w:val="0"/>
        <w:snapToGrid w:val="0"/>
        <w:spacing w:line="420" w:lineRule="exact"/>
        <w:ind w:firstLine="480" w:firstLineChars="200"/>
        <w:jc w:val="left"/>
        <w:outlineLvl w:val="1"/>
        <w:rPr>
          <w:rFonts w:hint="eastAsia" w:ascii="仿宋" w:hAnsi="仿宋" w:eastAsia="仿宋" w:cs="仿宋"/>
          <w:kern w:val="0"/>
          <w:sz w:val="24"/>
          <w:lang w:eastAsia="zh-CN"/>
        </w:rPr>
      </w:pPr>
      <w:r>
        <w:rPr>
          <w:rFonts w:hint="eastAsia" w:ascii="仿宋" w:hAnsi="仿宋" w:eastAsia="仿宋" w:cs="仿宋"/>
          <w:kern w:val="0"/>
          <w:sz w:val="24"/>
          <w:lang w:eastAsia="zh-CN"/>
        </w:rPr>
        <w:t>供货期、供货地点:接到甲方书面供货通知单后的1天内将货物送至甲方指定地点(杭千高速桐庐服务区南区)</w:t>
      </w:r>
    </w:p>
    <w:p w14:paraId="6E6B18C8">
      <w:pPr>
        <w:wordWrap w:val="0"/>
        <w:snapToGrid w:val="0"/>
        <w:spacing w:line="420" w:lineRule="exact"/>
        <w:ind w:firstLine="480" w:firstLineChars="200"/>
        <w:jc w:val="left"/>
        <w:outlineLvl w:val="1"/>
        <w:rPr>
          <w:rFonts w:hint="eastAsia" w:ascii="仿宋" w:hAnsi="仿宋" w:eastAsia="仿宋" w:cs="仿宋"/>
          <w:kern w:val="0"/>
          <w:sz w:val="24"/>
          <w:lang w:eastAsia="zh-CN"/>
        </w:rPr>
      </w:pPr>
      <w:r>
        <w:rPr>
          <w:rFonts w:hint="eastAsia" w:ascii="仿宋" w:hAnsi="仿宋" w:eastAsia="仿宋" w:cs="仿宋"/>
          <w:kern w:val="0"/>
          <w:sz w:val="24"/>
          <w:lang w:eastAsia="zh-CN"/>
        </w:rPr>
        <w:t>供货方将货物送达甲方指定地点卸货并经甲方验收后完成交付，货物毁损灭失的风险，在货物交付之前由供货方承担。</w:t>
      </w:r>
    </w:p>
    <w:p w14:paraId="56E50507">
      <w:pPr>
        <w:pStyle w:val="2"/>
        <w:numPr>
          <w:ilvl w:val="0"/>
          <w:numId w:val="2"/>
        </w:numPr>
        <w:rPr>
          <w:lang w:val="en-US"/>
        </w:rPr>
      </w:pPr>
      <w:r>
        <w:rPr>
          <w:rStyle w:val="26"/>
          <w:rFonts w:hint="eastAsia" w:ascii="仿宋" w:hAnsi="仿宋" w:eastAsia="仿宋" w:cs="仿宋"/>
          <w:lang w:val="en-US"/>
        </w:rPr>
        <w:t>质保期：</w:t>
      </w:r>
      <w:r>
        <w:rPr>
          <w:rFonts w:hint="eastAsia" w:ascii="仿宋" w:hAnsi="仿宋" w:eastAsia="仿宋" w:cs="仿宋"/>
          <w:color w:val="auto"/>
          <w:sz w:val="24"/>
          <w:szCs w:val="24"/>
          <w:highlight w:val="none"/>
          <w:lang w:val="en-US" w:eastAsia="zh-CN"/>
        </w:rPr>
        <w:t>合同期限内所有货物验收合格之日起1年。</w:t>
      </w:r>
      <w:r>
        <w:rPr>
          <w:rFonts w:hint="eastAsia" w:ascii="仿宋" w:hAnsi="仿宋" w:eastAsia="仿宋" w:cs="仿宋"/>
          <w:lang w:val="en-US"/>
        </w:rPr>
        <w:t>在质保期内，若发现产品内在质量、内部材料及加工工艺不合格或由此产生问题，甲方应立即以书面形式通知</w:t>
      </w:r>
      <w:r>
        <w:rPr>
          <w:rFonts w:hint="eastAsia" w:ascii="仿宋" w:hAnsi="仿宋" w:eastAsia="仿宋" w:cs="仿宋"/>
          <w:color w:val="auto"/>
          <w:highlight w:val="none"/>
          <w:lang w:val="en-US" w:eastAsia="zh-CN"/>
        </w:rPr>
        <w:t>供货方</w:t>
      </w:r>
      <w:r>
        <w:rPr>
          <w:rFonts w:hint="eastAsia" w:ascii="仿宋" w:hAnsi="仿宋" w:eastAsia="仿宋" w:cs="仿宋"/>
          <w:lang w:val="en-US"/>
        </w:rPr>
        <w:t>，</w:t>
      </w:r>
      <w:r>
        <w:rPr>
          <w:rFonts w:hint="eastAsia" w:ascii="仿宋" w:hAnsi="仿宋" w:eastAsia="仿宋" w:cs="仿宋"/>
          <w:color w:val="auto"/>
          <w:highlight w:val="none"/>
          <w:lang w:val="en-US" w:eastAsia="zh-CN"/>
        </w:rPr>
        <w:t>供货方</w:t>
      </w:r>
      <w:r>
        <w:rPr>
          <w:rFonts w:hint="eastAsia" w:ascii="仿宋" w:hAnsi="仿宋" w:eastAsia="仿宋" w:cs="仿宋"/>
          <w:lang w:val="en-US"/>
        </w:rPr>
        <w:t>在接到通知后，应在当天派有能力的人到达现场排除故障，或分批替换其产品，或对损坏情况折价赔偿，并负担由此产生的一切费用。若</w:t>
      </w:r>
      <w:r>
        <w:rPr>
          <w:rFonts w:hint="eastAsia" w:ascii="仿宋" w:hAnsi="仿宋" w:eastAsia="仿宋" w:cs="仿宋"/>
          <w:color w:val="auto"/>
          <w:highlight w:val="none"/>
          <w:lang w:val="en-US" w:eastAsia="zh-CN"/>
        </w:rPr>
        <w:t>供货方</w:t>
      </w:r>
      <w:r>
        <w:rPr>
          <w:rFonts w:hint="eastAsia" w:ascii="仿宋" w:hAnsi="仿宋" w:eastAsia="仿宋" w:cs="仿宋"/>
          <w:lang w:val="en-US"/>
        </w:rPr>
        <w:t>未能及时派人到达现场，甲方可自行排除故障，费用由</w:t>
      </w:r>
      <w:r>
        <w:rPr>
          <w:rFonts w:hint="eastAsia" w:ascii="仿宋" w:hAnsi="仿宋" w:eastAsia="仿宋" w:cs="仿宋"/>
          <w:color w:val="auto"/>
          <w:highlight w:val="none"/>
          <w:lang w:val="en-US" w:eastAsia="zh-CN"/>
        </w:rPr>
        <w:t>供货方</w:t>
      </w:r>
      <w:r>
        <w:rPr>
          <w:rFonts w:hint="eastAsia" w:ascii="仿宋" w:hAnsi="仿宋" w:eastAsia="仿宋" w:cs="仿宋"/>
          <w:lang w:val="en-US"/>
        </w:rPr>
        <w:t>承担。</w:t>
      </w:r>
    </w:p>
    <w:p w14:paraId="5A171B3E">
      <w:pPr>
        <w:pStyle w:val="2"/>
        <w:numPr>
          <w:ilvl w:val="0"/>
          <w:numId w:val="2"/>
        </w:numPr>
        <w:rPr>
          <w:rStyle w:val="26"/>
          <w:rFonts w:hint="eastAsia" w:ascii="仿宋" w:hAnsi="仿宋" w:cs="仿宋"/>
        </w:rPr>
      </w:pPr>
      <w:r>
        <w:rPr>
          <w:rStyle w:val="26"/>
          <w:rFonts w:hint="eastAsia" w:ascii="仿宋" w:hAnsi="仿宋" w:eastAsia="仿宋" w:cs="仿宋"/>
          <w:lang w:val="en-US" w:eastAsia="zh-CN"/>
        </w:rPr>
        <w:t>验收要求：交付时需提供</w:t>
      </w:r>
      <w:r>
        <w:rPr>
          <w:rStyle w:val="26"/>
          <w:rFonts w:hint="eastAsia" w:ascii="仿宋" w:hAnsi="仿宋" w:eastAsia="仿宋" w:cs="仿宋"/>
          <w:lang w:val="en-US"/>
        </w:rPr>
        <w:t>合格</w:t>
      </w:r>
      <w:r>
        <w:rPr>
          <w:rStyle w:val="26"/>
          <w:rFonts w:hint="eastAsia" w:ascii="仿宋" w:hAnsi="仿宋" w:eastAsia="仿宋" w:cs="仿宋"/>
          <w:lang w:val="en-US" w:eastAsia="zh-CN"/>
        </w:rPr>
        <w:t>证</w:t>
      </w:r>
      <w:r>
        <w:rPr>
          <w:rStyle w:val="26"/>
          <w:rFonts w:hint="eastAsia" w:ascii="仿宋" w:hAnsi="仿宋" w:eastAsia="仿宋" w:cs="仿宋"/>
          <w:lang w:val="en-US"/>
        </w:rPr>
        <w:t>或者质保书等相关质量</w:t>
      </w:r>
      <w:r>
        <w:rPr>
          <w:rStyle w:val="26"/>
          <w:rFonts w:hint="eastAsia" w:ascii="仿宋" w:hAnsi="仿宋" w:eastAsia="仿宋" w:cs="仿宋"/>
          <w:lang w:val="en-US" w:eastAsia="zh-CN"/>
        </w:rPr>
        <w:t>证明</w:t>
      </w:r>
      <w:r>
        <w:rPr>
          <w:rStyle w:val="26"/>
          <w:rFonts w:hint="eastAsia" w:ascii="仿宋" w:hAnsi="仿宋" w:eastAsia="仿宋" w:cs="仿宋"/>
          <w:lang w:val="en-US"/>
        </w:rPr>
        <w:t>文件</w:t>
      </w:r>
      <w:r>
        <w:rPr>
          <w:rStyle w:val="26"/>
          <w:rFonts w:hint="eastAsia" w:ascii="仿宋" w:hAnsi="仿宋" w:eastAsia="仿宋" w:cs="仿宋"/>
          <w:lang w:val="en-US" w:eastAsia="zh-CN"/>
        </w:rPr>
        <w:t>。</w:t>
      </w:r>
    </w:p>
    <w:p w14:paraId="77F5D0AE">
      <w:pPr>
        <w:wordWrap w:val="0"/>
        <w:snapToGrid w:val="0"/>
        <w:spacing w:line="420" w:lineRule="exact"/>
        <w:jc w:val="left"/>
        <w:outlineLvl w:val="1"/>
        <w:rPr>
          <w:rFonts w:ascii="仿宋" w:hAnsi="仿宋" w:eastAsia="仿宋" w:cs="仿宋"/>
          <w:b/>
          <w:bCs/>
          <w:sz w:val="24"/>
        </w:rPr>
      </w:pPr>
      <w:r>
        <w:rPr>
          <w:rFonts w:hint="eastAsia" w:ascii="仿宋" w:hAnsi="仿宋" w:eastAsia="仿宋" w:cs="仿宋"/>
          <w:b/>
          <w:bCs/>
          <w:sz w:val="24"/>
        </w:rPr>
        <w:t>十一、报价文件：</w:t>
      </w:r>
    </w:p>
    <w:p w14:paraId="2CB8661B">
      <w:pPr>
        <w:widowControl/>
        <w:spacing w:line="360" w:lineRule="auto"/>
        <w:ind w:firstLine="480" w:firstLineChars="200"/>
        <w:jc w:val="left"/>
        <w:rPr>
          <w:rFonts w:hint="default" w:ascii="仿宋" w:hAnsi="仿宋" w:eastAsia="仿宋" w:cs="仿宋"/>
          <w:sz w:val="24"/>
          <w:lang w:val="en-US" w:eastAsia="zh-CN"/>
        </w:rPr>
      </w:pPr>
      <w:bookmarkStart w:id="30" w:name="_Toc10147"/>
      <w:bookmarkStart w:id="31" w:name="_Toc5358"/>
      <w:bookmarkStart w:id="32" w:name="_Toc29716"/>
      <w:bookmarkStart w:id="33" w:name="_Toc31561"/>
      <w:bookmarkStart w:id="34" w:name="_Toc2408"/>
      <w:bookmarkStart w:id="35" w:name="_Toc21836"/>
      <w:r>
        <w:rPr>
          <w:rFonts w:hint="eastAsia" w:ascii="仿宋" w:hAnsi="仿宋" w:eastAsia="仿宋" w:cs="仿宋"/>
          <w:sz w:val="24"/>
        </w:rPr>
        <w:t>1、报价文件包括报价函、报价明细表、营业执照复印件、法人代表身份证复印件</w:t>
      </w:r>
      <w:r>
        <w:rPr>
          <w:rFonts w:hint="eastAsia" w:ascii="仿宋" w:hAnsi="仿宋" w:eastAsia="仿宋" w:cs="仿宋"/>
          <w:sz w:val="24"/>
          <w:lang w:eastAsia="zh-CN"/>
        </w:rPr>
        <w:t>、</w:t>
      </w:r>
      <w:r>
        <w:rPr>
          <w:rFonts w:hint="eastAsia" w:ascii="仿宋" w:hAnsi="仿宋" w:eastAsia="仿宋" w:cs="仿宋"/>
          <w:sz w:val="24"/>
        </w:rPr>
        <w:t>法定代表人授权委托书及授权人身份证复印件（若报价代表为法人代表则无需提供）。报价函、报价明细表、法定代表人授权委托书按询价文件格式要求提供，以上资料及复印件均需加盖公章、严禁涂改，否则视为无效报价。</w:t>
      </w:r>
    </w:p>
    <w:p w14:paraId="10CE0067">
      <w:pPr>
        <w:wordWrap w:val="0"/>
        <w:snapToGrid w:val="0"/>
        <w:spacing w:line="420" w:lineRule="exact"/>
        <w:ind w:firstLine="480" w:firstLineChars="200"/>
        <w:jc w:val="left"/>
        <w:outlineLvl w:val="1"/>
        <w:rPr>
          <w:rFonts w:ascii="仿宋" w:hAnsi="仿宋" w:eastAsia="仿宋" w:cs="仿宋"/>
          <w:sz w:val="24"/>
        </w:rPr>
      </w:pPr>
      <w:r>
        <w:rPr>
          <w:rFonts w:hint="eastAsia" w:ascii="仿宋" w:hAnsi="仿宋" w:eastAsia="仿宋" w:cs="仿宋"/>
          <w:sz w:val="24"/>
        </w:rPr>
        <w:t>2、报价文件用文件袋密封包装，密封处应加盖单位公章，包装封面上应注明应价人名称、项目名称、项目编号及“在</w:t>
      </w:r>
      <w:bookmarkStart w:id="36" w:name="OLE_LINK5"/>
      <w:r>
        <w:rPr>
          <w:rFonts w:hint="eastAsia" w:ascii="仿宋" w:hAnsi="仿宋" w:eastAsia="仿宋" w:cs="仿宋"/>
          <w:sz w:val="24"/>
          <w:lang w:val="en-US" w:eastAsia="zh-CN"/>
        </w:rPr>
        <w:t>2025</w:t>
      </w:r>
      <w:r>
        <w:rPr>
          <w:rFonts w:hint="eastAsia" w:ascii="仿宋" w:hAnsi="仿宋" w:eastAsia="仿宋" w:cs="仿宋"/>
          <w:sz w:val="24"/>
        </w:rPr>
        <w:t>年</w:t>
      </w:r>
      <w:r>
        <w:rPr>
          <w:rFonts w:hint="eastAsia" w:ascii="仿宋" w:hAnsi="仿宋" w:eastAsia="仿宋" w:cs="仿宋"/>
          <w:sz w:val="24"/>
          <w:lang w:val="en-US" w:eastAsia="zh-CN"/>
        </w:rPr>
        <w:t>3</w:t>
      </w:r>
      <w:r>
        <w:rPr>
          <w:rFonts w:hint="eastAsia" w:ascii="仿宋" w:hAnsi="仿宋" w:eastAsia="仿宋" w:cs="仿宋"/>
          <w:sz w:val="24"/>
        </w:rPr>
        <w:t>月</w:t>
      </w:r>
      <w:r>
        <w:rPr>
          <w:rFonts w:hint="eastAsia" w:ascii="仿宋" w:hAnsi="仿宋" w:eastAsia="仿宋" w:cs="仿宋"/>
          <w:sz w:val="24"/>
          <w:lang w:val="en-US" w:eastAsia="zh-CN"/>
        </w:rPr>
        <w:t>13</w:t>
      </w:r>
      <w:r>
        <w:rPr>
          <w:rFonts w:hint="eastAsia" w:ascii="仿宋" w:hAnsi="仿宋" w:eastAsia="仿宋" w:cs="仿宋"/>
          <w:sz w:val="24"/>
        </w:rPr>
        <w:t>日</w:t>
      </w:r>
      <w:r>
        <w:rPr>
          <w:rFonts w:hint="eastAsia" w:ascii="仿宋" w:hAnsi="仿宋" w:eastAsia="仿宋" w:cs="仿宋"/>
          <w:sz w:val="24"/>
          <w:lang w:val="en-US" w:eastAsia="zh-CN"/>
        </w:rPr>
        <w:t>16</w:t>
      </w:r>
      <w:r>
        <w:rPr>
          <w:rFonts w:hint="eastAsia" w:ascii="仿宋" w:hAnsi="仿宋" w:eastAsia="仿宋" w:cs="仿宋"/>
          <w:sz w:val="24"/>
        </w:rPr>
        <w:t>时</w:t>
      </w:r>
      <w:bookmarkEnd w:id="36"/>
      <w:r>
        <w:rPr>
          <w:rFonts w:hint="eastAsia" w:ascii="仿宋" w:hAnsi="仿宋" w:eastAsia="仿宋" w:cs="仿宋"/>
          <w:sz w:val="24"/>
        </w:rPr>
        <w:t>之前不得启封”字样。未按要求包装导致询价人提前拆封的，后果由应价人负责。</w:t>
      </w:r>
    </w:p>
    <w:p w14:paraId="0B4663DB">
      <w:pPr>
        <w:pStyle w:val="2"/>
        <w:rPr>
          <w:lang w:val="en-US"/>
        </w:rPr>
      </w:pPr>
      <w:r>
        <w:rPr>
          <w:rFonts w:hint="eastAsia" w:ascii="仿宋" w:hAnsi="仿宋" w:eastAsia="仿宋" w:cs="仿宋"/>
          <w:lang w:val="en-US"/>
        </w:rPr>
        <w:t>3、报价文件份数：1份。</w:t>
      </w:r>
    </w:p>
    <w:p w14:paraId="3D6E7897">
      <w:pPr>
        <w:wordWrap w:val="0"/>
        <w:snapToGrid w:val="0"/>
        <w:spacing w:line="420" w:lineRule="exact"/>
        <w:jc w:val="left"/>
        <w:outlineLvl w:val="1"/>
        <w:rPr>
          <w:rFonts w:ascii="仿宋" w:hAnsi="仿宋" w:eastAsia="仿宋" w:cs="仿宋"/>
          <w:b/>
          <w:bCs/>
          <w:sz w:val="24"/>
        </w:rPr>
      </w:pPr>
      <w:r>
        <w:rPr>
          <w:rFonts w:hint="eastAsia" w:ascii="仿宋" w:hAnsi="仿宋" w:eastAsia="仿宋" w:cs="仿宋"/>
          <w:b/>
          <w:bCs/>
          <w:sz w:val="24"/>
        </w:rPr>
        <w:t>十二、报价文件递交</w:t>
      </w:r>
      <w:bookmarkEnd w:id="30"/>
      <w:r>
        <w:rPr>
          <w:rFonts w:hint="eastAsia" w:ascii="仿宋" w:hAnsi="仿宋" w:eastAsia="仿宋" w:cs="仿宋"/>
          <w:b/>
          <w:bCs/>
          <w:sz w:val="24"/>
        </w:rPr>
        <w:t>：</w:t>
      </w:r>
      <w:bookmarkEnd w:id="31"/>
      <w:bookmarkEnd w:id="32"/>
    </w:p>
    <w:p w14:paraId="45755C34">
      <w:pPr>
        <w:wordWrap w:val="0"/>
        <w:snapToGrid w:val="0"/>
        <w:spacing w:line="420" w:lineRule="exact"/>
        <w:ind w:firstLine="480" w:firstLineChars="200"/>
        <w:rPr>
          <w:rFonts w:ascii="仿宋" w:hAnsi="仿宋" w:eastAsia="仿宋" w:cs="仿宋"/>
          <w:sz w:val="24"/>
        </w:rPr>
      </w:pPr>
      <w:bookmarkStart w:id="37" w:name="_Toc9068"/>
      <w:r>
        <w:rPr>
          <w:rFonts w:hint="eastAsia" w:ascii="仿宋" w:hAnsi="仿宋" w:eastAsia="仿宋" w:cs="仿宋"/>
          <w:sz w:val="24"/>
        </w:rPr>
        <w:t>1、截止时间：</w:t>
      </w:r>
      <w:bookmarkEnd w:id="37"/>
      <w:r>
        <w:rPr>
          <w:rFonts w:hint="eastAsia" w:ascii="仿宋" w:hAnsi="仿宋" w:eastAsia="仿宋" w:cs="仿宋"/>
          <w:sz w:val="24"/>
          <w:lang w:val="en-US" w:eastAsia="zh-CN"/>
        </w:rPr>
        <w:t>2025</w:t>
      </w:r>
      <w:r>
        <w:rPr>
          <w:rFonts w:hint="eastAsia" w:ascii="仿宋" w:hAnsi="仿宋" w:eastAsia="仿宋" w:cs="仿宋"/>
          <w:sz w:val="24"/>
        </w:rPr>
        <w:t>年</w:t>
      </w:r>
      <w:r>
        <w:rPr>
          <w:rFonts w:hint="eastAsia" w:ascii="仿宋" w:hAnsi="仿宋" w:eastAsia="仿宋" w:cs="仿宋"/>
          <w:sz w:val="24"/>
          <w:lang w:val="en-US" w:eastAsia="zh-CN"/>
        </w:rPr>
        <w:t>3</w:t>
      </w:r>
      <w:r>
        <w:rPr>
          <w:rFonts w:hint="eastAsia" w:ascii="仿宋" w:hAnsi="仿宋" w:eastAsia="仿宋" w:cs="仿宋"/>
          <w:sz w:val="24"/>
        </w:rPr>
        <w:t>月</w:t>
      </w:r>
      <w:r>
        <w:rPr>
          <w:rFonts w:hint="eastAsia" w:ascii="仿宋" w:hAnsi="仿宋" w:eastAsia="仿宋" w:cs="仿宋"/>
          <w:sz w:val="24"/>
          <w:lang w:val="en-US" w:eastAsia="zh-CN"/>
        </w:rPr>
        <w:t>13</w:t>
      </w:r>
      <w:r>
        <w:rPr>
          <w:rFonts w:hint="eastAsia" w:ascii="仿宋" w:hAnsi="仿宋" w:eastAsia="仿宋" w:cs="仿宋"/>
          <w:sz w:val="24"/>
        </w:rPr>
        <w:t>日</w:t>
      </w:r>
      <w:r>
        <w:rPr>
          <w:rFonts w:hint="eastAsia" w:ascii="仿宋" w:hAnsi="仿宋" w:eastAsia="仿宋" w:cs="仿宋"/>
          <w:sz w:val="24"/>
          <w:lang w:val="en-US" w:eastAsia="zh-CN"/>
        </w:rPr>
        <w:t>16</w:t>
      </w:r>
      <w:r>
        <w:rPr>
          <w:rFonts w:hint="eastAsia" w:ascii="仿宋" w:hAnsi="仿宋" w:eastAsia="仿宋" w:cs="仿宋"/>
          <w:sz w:val="24"/>
        </w:rPr>
        <w:t>时</w:t>
      </w:r>
    </w:p>
    <w:p w14:paraId="031BBB83">
      <w:pPr>
        <w:wordWrap w:val="0"/>
        <w:snapToGrid w:val="0"/>
        <w:spacing w:line="420" w:lineRule="exact"/>
        <w:ind w:firstLine="480" w:firstLineChars="200"/>
        <w:rPr>
          <w:rFonts w:ascii="仿宋" w:hAnsi="仿宋" w:eastAsia="仿宋" w:cs="仿宋"/>
          <w:sz w:val="24"/>
        </w:rPr>
      </w:pPr>
      <w:r>
        <w:rPr>
          <w:rFonts w:hint="eastAsia" w:ascii="仿宋" w:hAnsi="仿宋" w:eastAsia="仿宋" w:cs="仿宋"/>
          <w:sz w:val="24"/>
        </w:rPr>
        <w:t>2、地点：杭州市</w:t>
      </w:r>
      <w:r>
        <w:rPr>
          <w:rFonts w:hint="eastAsia" w:ascii="仿宋" w:hAnsi="仿宋" w:eastAsia="仿宋" w:cs="仿宋"/>
          <w:sz w:val="24"/>
          <w:lang w:eastAsia="zh-CN"/>
        </w:rPr>
        <w:t>聚园路</w:t>
      </w:r>
      <w:r>
        <w:rPr>
          <w:rFonts w:hint="eastAsia" w:ascii="仿宋" w:hAnsi="仿宋" w:eastAsia="仿宋" w:cs="仿宋"/>
          <w:sz w:val="24"/>
          <w:lang w:val="en-US" w:eastAsia="zh-CN"/>
        </w:rPr>
        <w:t>290号能源集团大厦5楼成本管理部（招投标中心）</w:t>
      </w:r>
      <w:r>
        <w:rPr>
          <w:rFonts w:hint="eastAsia" w:ascii="仿宋" w:hAnsi="仿宋" w:eastAsia="仿宋" w:cs="仿宋"/>
          <w:sz w:val="24"/>
        </w:rPr>
        <w:t>。</w:t>
      </w:r>
    </w:p>
    <w:p w14:paraId="06CC9602">
      <w:pPr>
        <w:wordWrap w:val="0"/>
        <w:snapToGrid w:val="0"/>
        <w:spacing w:line="420" w:lineRule="exact"/>
        <w:ind w:firstLine="480" w:firstLineChars="200"/>
        <w:rPr>
          <w:rFonts w:ascii="仿宋" w:hAnsi="仿宋" w:eastAsia="仿宋" w:cs="仿宋"/>
          <w:sz w:val="24"/>
        </w:rPr>
      </w:pPr>
      <w:r>
        <w:rPr>
          <w:rFonts w:hint="eastAsia" w:ascii="仿宋" w:hAnsi="仿宋" w:eastAsia="仿宋" w:cs="仿宋"/>
          <w:sz w:val="24"/>
        </w:rPr>
        <w:t>3、</w:t>
      </w:r>
      <w:bookmarkStart w:id="38" w:name="_Toc16505"/>
      <w:r>
        <w:rPr>
          <w:rFonts w:hint="eastAsia" w:ascii="仿宋" w:hAnsi="仿宋" w:eastAsia="仿宋" w:cs="仿宋"/>
          <w:sz w:val="24"/>
        </w:rPr>
        <w:t>未在规定时间内送到的询价文件不予接受。若快递方式递交的，则以快递送达时间为准。</w:t>
      </w:r>
    </w:p>
    <w:p w14:paraId="6BD3FA37">
      <w:pPr>
        <w:wordWrap w:val="0"/>
        <w:snapToGrid w:val="0"/>
        <w:spacing w:line="420" w:lineRule="exact"/>
        <w:ind w:firstLine="480" w:firstLineChars="200"/>
        <w:rPr>
          <w:rFonts w:ascii="仿宋" w:hAnsi="仿宋" w:eastAsia="仿宋" w:cs="仿宋"/>
          <w:sz w:val="24"/>
        </w:rPr>
      </w:pPr>
      <w:r>
        <w:rPr>
          <w:rFonts w:hint="eastAsia" w:ascii="仿宋" w:hAnsi="仿宋" w:eastAsia="仿宋" w:cs="仿宋"/>
          <w:sz w:val="24"/>
        </w:rPr>
        <w:t>4、快递单上备注项目名称。</w:t>
      </w:r>
    </w:p>
    <w:p w14:paraId="4BAD4DC1">
      <w:pPr>
        <w:spacing w:line="360" w:lineRule="auto"/>
        <w:rPr>
          <w:rFonts w:ascii="仿宋" w:hAnsi="仿宋" w:eastAsia="仿宋" w:cs="仿宋"/>
          <w:b/>
          <w:bCs/>
          <w:sz w:val="24"/>
        </w:rPr>
      </w:pPr>
      <w:r>
        <w:rPr>
          <w:rFonts w:hint="eastAsia" w:ascii="仿宋" w:hAnsi="仿宋" w:eastAsia="仿宋" w:cs="仿宋"/>
          <w:b/>
          <w:bCs/>
          <w:sz w:val="24"/>
        </w:rPr>
        <w:t>十三、错误修正</w:t>
      </w:r>
    </w:p>
    <w:p w14:paraId="35C13F5F">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报价文件如果出现计算或表达上的错误，修正错误的原则如下：</w:t>
      </w:r>
    </w:p>
    <w:p w14:paraId="75B1658A">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评审小组对响应文件的报价文件进行审核，对发现计算、书写等错误的，按以下原则进行修正：</w:t>
      </w:r>
    </w:p>
    <w:p w14:paraId="3CC93649">
      <w:pPr>
        <w:tabs>
          <w:tab w:val="left" w:pos="852"/>
          <w:tab w:val="left" w:pos="90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（1）报价明细表与响应文件其他报价内容不一致的，以报价明细表为准。</w:t>
      </w:r>
      <w:r>
        <w:rPr>
          <w:rFonts w:hint="eastAsia" w:ascii="仿宋" w:hAnsi="仿宋" w:eastAsia="仿宋" w:cs="仿宋"/>
          <w:kern w:val="0"/>
          <w:sz w:val="24"/>
        </w:rPr>
        <w:t>但</w:t>
      </w:r>
      <w:r>
        <w:rPr>
          <w:rFonts w:hint="eastAsia" w:ascii="仿宋" w:hAnsi="仿宋" w:eastAsia="仿宋" w:cs="仿宋"/>
          <w:sz w:val="24"/>
        </w:rPr>
        <w:t>报价明细表</w:t>
      </w:r>
      <w:r>
        <w:rPr>
          <w:rFonts w:hint="eastAsia" w:ascii="仿宋" w:hAnsi="仿宋" w:eastAsia="仿宋" w:cs="仿宋"/>
          <w:kern w:val="0"/>
          <w:sz w:val="24"/>
        </w:rPr>
        <w:t>存在明显错误的，则澄清、说明、补正；</w:t>
      </w:r>
    </w:p>
    <w:p w14:paraId="3422DCFD">
      <w:pPr>
        <w:tabs>
          <w:tab w:val="left" w:pos="852"/>
          <w:tab w:val="left" w:pos="90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（3）如果用数字表示的数额与用文字表示的数额不一致时，以文字数额为准；</w:t>
      </w:r>
    </w:p>
    <w:p w14:paraId="63EFACF3">
      <w:pPr>
        <w:tabs>
          <w:tab w:val="left" w:pos="90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（4）</w:t>
      </w:r>
      <w:r>
        <w:rPr>
          <w:rFonts w:hint="eastAsia" w:ascii="仿宋" w:hAnsi="仿宋" w:eastAsia="仿宋" w:cs="仿宋"/>
          <w:kern w:val="0"/>
          <w:sz w:val="24"/>
        </w:rPr>
        <w:t>除明显文字错误外，</w:t>
      </w:r>
      <w:r>
        <w:rPr>
          <w:rFonts w:hint="eastAsia" w:ascii="仿宋" w:hAnsi="仿宋" w:eastAsia="仿宋" w:cs="仿宋"/>
          <w:sz w:val="24"/>
        </w:rPr>
        <w:t>响应文件的大写金额和小写金额不一致的，以大写金额为准；</w:t>
      </w:r>
    </w:p>
    <w:p w14:paraId="46E112D5">
      <w:pPr>
        <w:tabs>
          <w:tab w:val="left" w:pos="90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（5）总价金额与按单价汇总金额不一致的，以单价金额计算结果为准；</w:t>
      </w:r>
    </w:p>
    <w:p w14:paraId="0A3737BF">
      <w:pPr>
        <w:tabs>
          <w:tab w:val="left" w:pos="90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（6）</w:t>
      </w:r>
      <w:r>
        <w:rPr>
          <w:rFonts w:hint="eastAsia" w:ascii="仿宋" w:hAnsi="仿宋" w:eastAsia="仿宋" w:cs="仿宋"/>
          <w:kern w:val="0"/>
          <w:sz w:val="24"/>
        </w:rPr>
        <w:t>单价金额小数点或者百分比有明显错位的，以报价明细表的总价为准，并修改单价；</w:t>
      </w:r>
    </w:p>
    <w:p w14:paraId="7427302E">
      <w:pPr>
        <w:tabs>
          <w:tab w:val="left" w:pos="90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（7）对不同文字文本响应文件的解释发生异议的，以中文文本为准。</w:t>
      </w:r>
    </w:p>
    <w:p w14:paraId="57E8D22D">
      <w:pPr>
        <w:tabs>
          <w:tab w:val="left" w:pos="90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8）对漏（缺）报项、多报项的处理：采购文件中要求列入报价的费用（含配置、功能），漏（缺）报的视同已含在响应总价中，但在评审时取有效响应供应商中该项最高报价计入报价评审。对多报及赠送项的价格，评审时不予核减，全部进入评审。</w:t>
      </w:r>
    </w:p>
    <w:p w14:paraId="5DEE6041">
      <w:pPr>
        <w:tabs>
          <w:tab w:val="left" w:pos="90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 同时出现两种以上不一致的，按照前款规定的顺序修正。按上述修正错误的原则及方法由评审小组调整或修正响应文件的响应报价，修正后的报价经供应商确认后产生约束力，供应商不确认的，其响应无效。但根据第（5）条款调整后的总价如果超过报价一览表总价的以报价一览表的总价为准,采购人不接受调高后的总价,高出部分的价格供应商按优惠条件给予采购人;如果调整后的总价比响应函总价低的,采购人接受调整总价。</w:t>
      </w:r>
    </w:p>
    <w:bookmarkEnd w:id="33"/>
    <w:bookmarkEnd w:id="38"/>
    <w:p w14:paraId="5DDCA352">
      <w:pPr>
        <w:pStyle w:val="18"/>
        <w:widowControl/>
        <w:snapToGrid w:val="0"/>
        <w:spacing w:beforeAutospacing="0" w:afterAutospacing="0" w:line="420" w:lineRule="exact"/>
        <w:outlineLvl w:val="1"/>
        <w:rPr>
          <w:rStyle w:val="23"/>
          <w:rFonts w:ascii="仿宋" w:hAnsi="仿宋" w:eastAsia="仿宋" w:cs="仿宋"/>
        </w:rPr>
      </w:pPr>
      <w:bookmarkStart w:id="39" w:name="_Toc13377"/>
      <w:bookmarkStart w:id="40" w:name="_Toc26036"/>
      <w:r>
        <w:rPr>
          <w:rStyle w:val="23"/>
          <w:rFonts w:hint="eastAsia" w:ascii="仿宋" w:hAnsi="仿宋" w:eastAsia="仿宋" w:cs="仿宋"/>
        </w:rPr>
        <w:t>十四、联系方式</w:t>
      </w:r>
      <w:bookmarkEnd w:id="39"/>
      <w:r>
        <w:rPr>
          <w:rStyle w:val="23"/>
          <w:rFonts w:hint="eastAsia" w:ascii="仿宋" w:hAnsi="仿宋" w:eastAsia="仿宋" w:cs="仿宋"/>
        </w:rPr>
        <w:t>：</w:t>
      </w:r>
      <w:bookmarkEnd w:id="40"/>
    </w:p>
    <w:p w14:paraId="4AE648CC">
      <w:pPr>
        <w:snapToGrid w:val="0"/>
        <w:spacing w:line="420" w:lineRule="exact"/>
        <w:ind w:firstLine="482" w:firstLineChars="200"/>
        <w:outlineLvl w:val="2"/>
        <w:rPr>
          <w:rFonts w:ascii="仿宋" w:hAnsi="仿宋" w:eastAsia="仿宋" w:cs="仿宋"/>
          <w:sz w:val="24"/>
        </w:rPr>
      </w:pPr>
      <w:bookmarkStart w:id="41" w:name="_Toc21453"/>
      <w:bookmarkStart w:id="42" w:name="_Toc22977"/>
      <w:r>
        <w:rPr>
          <w:rFonts w:hint="eastAsia" w:ascii="仿宋" w:hAnsi="仿宋" w:eastAsia="仿宋" w:cs="仿宋"/>
          <w:b/>
          <w:sz w:val="24"/>
        </w:rPr>
        <w:t>询价人名称：</w:t>
      </w:r>
      <w:r>
        <w:rPr>
          <w:rFonts w:hint="eastAsia" w:ascii="仿宋" w:hAnsi="仿宋" w:eastAsia="仿宋" w:cs="仿宋"/>
          <w:sz w:val="24"/>
        </w:rPr>
        <w:t>杭州市能源集团工程科技有限公司</w:t>
      </w:r>
      <w:bookmarkEnd w:id="41"/>
      <w:bookmarkEnd w:id="42"/>
    </w:p>
    <w:p w14:paraId="46590732">
      <w:pPr>
        <w:snapToGrid w:val="0"/>
        <w:spacing w:line="420" w:lineRule="exact"/>
        <w:ind w:firstLine="482" w:firstLineChars="200"/>
        <w:rPr>
          <w:rFonts w:ascii="仿宋" w:hAnsi="仿宋" w:eastAsia="仿宋" w:cs="仿宋"/>
          <w:b/>
          <w:sz w:val="24"/>
        </w:rPr>
      </w:pPr>
      <w:r>
        <w:rPr>
          <w:rFonts w:hint="eastAsia" w:ascii="仿宋" w:hAnsi="仿宋" w:eastAsia="仿宋" w:cs="仿宋"/>
          <w:b/>
          <w:sz w:val="24"/>
        </w:rPr>
        <w:t>地址：</w:t>
      </w:r>
      <w:r>
        <w:rPr>
          <w:rFonts w:hint="eastAsia" w:ascii="仿宋" w:hAnsi="仿宋" w:eastAsia="仿宋" w:cs="仿宋"/>
          <w:sz w:val="24"/>
        </w:rPr>
        <w:t>杭州市</w:t>
      </w:r>
      <w:r>
        <w:rPr>
          <w:rFonts w:hint="eastAsia" w:ascii="仿宋" w:hAnsi="仿宋" w:eastAsia="仿宋" w:cs="仿宋"/>
          <w:sz w:val="24"/>
          <w:lang w:eastAsia="zh-CN"/>
        </w:rPr>
        <w:t>聚园路</w:t>
      </w:r>
      <w:r>
        <w:rPr>
          <w:rFonts w:hint="eastAsia" w:ascii="仿宋" w:hAnsi="仿宋" w:eastAsia="仿宋" w:cs="仿宋"/>
          <w:sz w:val="24"/>
          <w:lang w:val="en-US" w:eastAsia="zh-CN"/>
        </w:rPr>
        <w:t>290号能源集团大厦5楼</w:t>
      </w:r>
    </w:p>
    <w:p w14:paraId="38C131A9">
      <w:pPr>
        <w:snapToGrid w:val="0"/>
        <w:spacing w:line="420" w:lineRule="exact"/>
        <w:ind w:firstLine="482" w:firstLineChars="200"/>
        <w:rPr>
          <w:rFonts w:hint="eastAsia" w:ascii="仿宋" w:hAnsi="仿宋" w:eastAsia="仿宋" w:cs="仿宋"/>
          <w:sz w:val="24"/>
          <w:lang w:eastAsia="zh-CN"/>
        </w:rPr>
      </w:pPr>
      <w:r>
        <w:rPr>
          <w:rFonts w:hint="eastAsia" w:ascii="仿宋" w:hAnsi="仿宋" w:eastAsia="仿宋" w:cs="仿宋"/>
          <w:b/>
          <w:sz w:val="24"/>
        </w:rPr>
        <w:t>联系人：</w:t>
      </w:r>
      <w:r>
        <w:rPr>
          <w:rFonts w:hint="eastAsia" w:ascii="仿宋" w:hAnsi="仿宋" w:eastAsia="仿宋" w:cs="仿宋"/>
          <w:sz w:val="24"/>
        </w:rPr>
        <w:t>付佳卉、</w:t>
      </w:r>
      <w:r>
        <w:rPr>
          <w:rFonts w:hint="eastAsia" w:ascii="仿宋" w:hAnsi="仿宋" w:eastAsia="仿宋" w:cs="仿宋"/>
          <w:sz w:val="24"/>
          <w:lang w:val="en-US" w:eastAsia="zh-CN"/>
        </w:rPr>
        <w:t>李永江</w:t>
      </w:r>
    </w:p>
    <w:p w14:paraId="00C61D2F">
      <w:pPr>
        <w:snapToGrid w:val="0"/>
        <w:spacing w:line="420" w:lineRule="exact"/>
        <w:ind w:firstLine="482" w:firstLineChars="200"/>
        <w:rPr>
          <w:rFonts w:ascii="仿宋" w:hAnsi="仿宋" w:eastAsia="仿宋" w:cs="仿宋"/>
          <w:sz w:val="24"/>
        </w:rPr>
      </w:pPr>
      <w:r>
        <w:rPr>
          <w:rFonts w:hint="eastAsia" w:ascii="仿宋" w:hAnsi="仿宋" w:eastAsia="仿宋" w:cs="仿宋"/>
          <w:b/>
          <w:sz w:val="24"/>
        </w:rPr>
        <w:t>联系电话：</w:t>
      </w:r>
      <w:r>
        <w:rPr>
          <w:rFonts w:hint="eastAsia" w:ascii="仿宋" w:hAnsi="仿宋" w:eastAsia="仿宋" w:cs="仿宋"/>
          <w:sz w:val="24"/>
        </w:rPr>
        <w:t>15957135556、13703634712</w:t>
      </w:r>
    </w:p>
    <w:p w14:paraId="4A54ADAE">
      <w:pPr>
        <w:snapToGrid w:val="0"/>
        <w:spacing w:line="420" w:lineRule="exact"/>
        <w:ind w:firstLine="482" w:firstLineChars="200"/>
        <w:rPr>
          <w:rFonts w:ascii="仿宋" w:hAnsi="仿宋" w:eastAsia="仿宋" w:cs="仿宋"/>
          <w:sz w:val="24"/>
        </w:rPr>
      </w:pPr>
      <w:r>
        <w:rPr>
          <w:rFonts w:hint="eastAsia" w:ascii="仿宋" w:hAnsi="仿宋" w:eastAsia="仿宋" w:cs="仿宋"/>
          <w:b/>
          <w:bCs/>
          <w:sz w:val="24"/>
        </w:rPr>
        <w:t>纪检监督电话</w:t>
      </w:r>
      <w:r>
        <w:rPr>
          <w:rFonts w:hint="eastAsia" w:ascii="仿宋" w:hAnsi="仿宋" w:eastAsia="仿宋" w:cs="仿宋"/>
          <w:sz w:val="24"/>
        </w:rPr>
        <w:t>：</w:t>
      </w:r>
      <w:r>
        <w:rPr>
          <w:rFonts w:hint="eastAsia" w:ascii="仿宋" w:hAnsi="仿宋" w:eastAsia="仿宋" w:cs="仿宋"/>
          <w:sz w:val="24"/>
          <w:lang w:val="en-US" w:eastAsia="zh-CN"/>
        </w:rPr>
        <w:t>0571-</w:t>
      </w:r>
      <w:r>
        <w:rPr>
          <w:rFonts w:hint="eastAsia" w:ascii="仿宋" w:hAnsi="仿宋" w:eastAsia="仿宋" w:cs="仿宋"/>
          <w:sz w:val="24"/>
        </w:rPr>
        <w:t xml:space="preserve">86029152  </w:t>
      </w:r>
    </w:p>
    <w:p w14:paraId="56A924C5">
      <w:pPr>
        <w:snapToGrid w:val="0"/>
        <w:spacing w:line="420" w:lineRule="exact"/>
        <w:ind w:firstLine="480" w:firstLineChars="200"/>
        <w:rPr>
          <w:rFonts w:ascii="仿宋" w:hAnsi="仿宋" w:eastAsia="仿宋" w:cs="仿宋"/>
          <w:sz w:val="24"/>
        </w:rPr>
      </w:pPr>
    </w:p>
    <w:p w14:paraId="348035B4">
      <w:pPr>
        <w:jc w:val="right"/>
        <w:rPr>
          <w:rFonts w:ascii="仿宋" w:hAnsi="仿宋" w:eastAsia="仿宋" w:cs="仿宋"/>
          <w:bCs/>
          <w:sz w:val="24"/>
        </w:rPr>
      </w:pPr>
    </w:p>
    <w:p w14:paraId="3E44BC89">
      <w:pPr>
        <w:jc w:val="center"/>
        <w:rPr>
          <w:rFonts w:ascii="仿宋" w:hAnsi="仿宋" w:eastAsia="仿宋" w:cs="仿宋"/>
          <w:bCs/>
          <w:sz w:val="24"/>
        </w:rPr>
      </w:pPr>
      <w:r>
        <w:rPr>
          <w:rFonts w:hint="eastAsia" w:ascii="仿宋" w:hAnsi="仿宋" w:eastAsia="仿宋" w:cs="仿宋"/>
          <w:bCs/>
          <w:sz w:val="24"/>
        </w:rPr>
        <w:t xml:space="preserve">                                         杭州市能源集团工程科技有限公司</w:t>
      </w:r>
    </w:p>
    <w:p w14:paraId="3B759744">
      <w:pPr>
        <w:jc w:val="center"/>
        <w:rPr>
          <w:b/>
          <w:sz w:val="52"/>
          <w:szCs w:val="52"/>
        </w:rPr>
      </w:pPr>
      <w:r>
        <w:rPr>
          <w:rFonts w:hint="eastAsia" w:ascii="仿宋" w:hAnsi="仿宋" w:eastAsia="仿宋" w:cs="仿宋"/>
          <w:bCs/>
          <w:sz w:val="24"/>
        </w:rPr>
        <w:t xml:space="preserve">                                       </w:t>
      </w:r>
      <w:r>
        <w:rPr>
          <w:rFonts w:hint="eastAsia" w:ascii="仿宋" w:hAnsi="仿宋" w:eastAsia="仿宋" w:cs="仿宋"/>
          <w:bCs/>
          <w:sz w:val="24"/>
          <w:lang w:val="en-US" w:eastAsia="zh-CN"/>
        </w:rPr>
        <w:t xml:space="preserve">      2025</w:t>
      </w:r>
      <w:r>
        <w:rPr>
          <w:rFonts w:hint="eastAsia" w:ascii="仿宋" w:hAnsi="仿宋" w:eastAsia="仿宋" w:cs="仿宋"/>
          <w:sz w:val="24"/>
        </w:rPr>
        <w:t>年</w:t>
      </w:r>
      <w:r>
        <w:rPr>
          <w:rFonts w:hint="eastAsia" w:ascii="仿宋" w:hAnsi="仿宋" w:eastAsia="仿宋" w:cs="仿宋"/>
          <w:sz w:val="24"/>
          <w:lang w:val="en-US" w:eastAsia="zh-CN"/>
        </w:rPr>
        <w:t>3</w:t>
      </w:r>
      <w:r>
        <w:rPr>
          <w:rFonts w:hint="eastAsia" w:ascii="仿宋" w:hAnsi="仿宋" w:eastAsia="仿宋" w:cs="仿宋"/>
          <w:sz w:val="24"/>
        </w:rPr>
        <w:t>月</w:t>
      </w:r>
      <w:r>
        <w:rPr>
          <w:rFonts w:hint="eastAsia" w:ascii="仿宋" w:hAnsi="仿宋" w:eastAsia="仿宋" w:cs="仿宋"/>
          <w:sz w:val="24"/>
          <w:lang w:val="en-US" w:eastAsia="zh-CN"/>
        </w:rPr>
        <w:t>10</w:t>
      </w:r>
      <w:bookmarkStart w:id="44" w:name="_GoBack"/>
      <w:bookmarkEnd w:id="44"/>
      <w:r>
        <w:rPr>
          <w:rFonts w:hint="eastAsia" w:ascii="仿宋" w:hAnsi="仿宋" w:eastAsia="仿宋" w:cs="仿宋"/>
          <w:sz w:val="24"/>
        </w:rPr>
        <w:t>日</w:t>
      </w:r>
      <w:bookmarkStart w:id="43" w:name="_Toc7546"/>
    </w:p>
    <w:p w14:paraId="199F1A64">
      <w:pPr>
        <w:jc w:val="center"/>
        <w:rPr>
          <w:b/>
          <w:sz w:val="52"/>
          <w:szCs w:val="52"/>
        </w:rPr>
      </w:pPr>
    </w:p>
    <w:p w14:paraId="6A3E3188">
      <w:pPr>
        <w:jc w:val="center"/>
        <w:rPr>
          <w:b/>
          <w:sz w:val="52"/>
          <w:szCs w:val="52"/>
        </w:rPr>
      </w:pPr>
    </w:p>
    <w:p w14:paraId="7FE6DC0C">
      <w:pPr>
        <w:jc w:val="center"/>
        <w:rPr>
          <w:b/>
          <w:sz w:val="52"/>
          <w:szCs w:val="52"/>
        </w:rPr>
      </w:pPr>
    </w:p>
    <w:p w14:paraId="66176E0E">
      <w:pPr>
        <w:jc w:val="center"/>
        <w:rPr>
          <w:b/>
          <w:sz w:val="52"/>
          <w:szCs w:val="52"/>
        </w:rPr>
      </w:pPr>
    </w:p>
    <w:p w14:paraId="4BDF0447">
      <w:pPr>
        <w:jc w:val="center"/>
        <w:rPr>
          <w:b/>
          <w:sz w:val="52"/>
          <w:szCs w:val="52"/>
        </w:rPr>
      </w:pPr>
    </w:p>
    <w:p w14:paraId="1BA89521">
      <w:pPr>
        <w:jc w:val="center"/>
        <w:rPr>
          <w:b/>
          <w:sz w:val="52"/>
          <w:szCs w:val="52"/>
        </w:rPr>
      </w:pPr>
    </w:p>
    <w:p w14:paraId="7A2EC34D">
      <w:pPr>
        <w:jc w:val="center"/>
        <w:rPr>
          <w:b/>
          <w:sz w:val="52"/>
          <w:szCs w:val="52"/>
        </w:rPr>
      </w:pPr>
    </w:p>
    <w:p w14:paraId="230622E0">
      <w:pPr>
        <w:jc w:val="center"/>
        <w:rPr>
          <w:b/>
          <w:sz w:val="52"/>
          <w:szCs w:val="52"/>
        </w:rPr>
      </w:pPr>
    </w:p>
    <w:p w14:paraId="50A4B8D1">
      <w:pPr>
        <w:jc w:val="center"/>
        <w:rPr>
          <w:b/>
          <w:sz w:val="52"/>
          <w:szCs w:val="52"/>
        </w:rPr>
      </w:pPr>
    </w:p>
    <w:p w14:paraId="426D842C">
      <w:pPr>
        <w:rPr>
          <w:rFonts w:hint="eastAsia" w:ascii="仿宋" w:hAnsi="仿宋" w:eastAsia="仿宋" w:cs="仿宋"/>
          <w:b/>
          <w:sz w:val="44"/>
          <w:szCs w:val="44"/>
        </w:rPr>
      </w:pPr>
    </w:p>
    <w:p w14:paraId="12412E82">
      <w:pPr>
        <w:rPr>
          <w:rFonts w:hint="eastAsia" w:ascii="仿宋" w:hAnsi="仿宋" w:eastAsia="仿宋" w:cs="仿宋"/>
          <w:b/>
          <w:sz w:val="44"/>
          <w:szCs w:val="44"/>
        </w:rPr>
      </w:pPr>
    </w:p>
    <w:p w14:paraId="13EBD818">
      <w:pPr>
        <w:rPr>
          <w:rFonts w:hint="eastAsia" w:ascii="仿宋" w:hAnsi="仿宋" w:eastAsia="仿宋" w:cs="仿宋"/>
          <w:b/>
          <w:sz w:val="44"/>
          <w:szCs w:val="44"/>
        </w:rPr>
      </w:pPr>
    </w:p>
    <w:p w14:paraId="6C2ADE55">
      <w:pPr>
        <w:rPr>
          <w:rFonts w:hint="eastAsia" w:ascii="仿宋" w:hAnsi="仿宋" w:eastAsia="仿宋" w:cs="仿宋"/>
          <w:b/>
          <w:sz w:val="44"/>
          <w:szCs w:val="44"/>
        </w:rPr>
      </w:pPr>
    </w:p>
    <w:p w14:paraId="6150458B">
      <w:pPr>
        <w:rPr>
          <w:rFonts w:hint="eastAsia" w:ascii="仿宋" w:hAnsi="仿宋" w:eastAsia="仿宋" w:cs="仿宋"/>
          <w:b/>
          <w:sz w:val="44"/>
          <w:szCs w:val="44"/>
        </w:rPr>
      </w:pPr>
    </w:p>
    <w:p w14:paraId="317F74A1">
      <w:pPr>
        <w:rPr>
          <w:rFonts w:hint="eastAsia" w:ascii="仿宋" w:hAnsi="仿宋" w:eastAsia="仿宋" w:cs="仿宋"/>
          <w:b/>
          <w:sz w:val="44"/>
          <w:szCs w:val="44"/>
        </w:rPr>
      </w:pPr>
    </w:p>
    <w:p w14:paraId="1640E4BD">
      <w:pPr>
        <w:jc w:val="center"/>
        <w:rPr>
          <w:rFonts w:ascii="仿宋" w:hAnsi="仿宋" w:eastAsia="仿宋" w:cs="仿宋"/>
          <w:bCs/>
          <w:sz w:val="36"/>
          <w:szCs w:val="36"/>
        </w:rPr>
      </w:pPr>
      <w:r>
        <w:rPr>
          <w:rFonts w:hint="eastAsia" w:ascii="仿宋" w:hAnsi="仿宋" w:eastAsia="仿宋" w:cs="仿宋"/>
          <w:b/>
          <w:sz w:val="36"/>
          <w:szCs w:val="36"/>
        </w:rPr>
        <w:t>第二部分、报价函</w:t>
      </w:r>
    </w:p>
    <w:p w14:paraId="68D72EAD">
      <w:pPr>
        <w:rPr>
          <w:rFonts w:ascii="仿宋" w:hAnsi="仿宋" w:eastAsia="仿宋" w:cs="仿宋"/>
          <w:bCs/>
          <w:sz w:val="28"/>
          <w:szCs w:val="28"/>
        </w:rPr>
      </w:pPr>
      <w:r>
        <w:rPr>
          <w:rFonts w:hint="eastAsia" w:ascii="仿宋" w:hAnsi="仿宋" w:eastAsia="仿宋" w:cs="仿宋"/>
          <w:bCs/>
          <w:sz w:val="28"/>
          <w:szCs w:val="28"/>
        </w:rPr>
        <mc:AlternateContent>
          <mc:Choice Requires="wps">
            <w:drawing>
              <wp:anchor distT="0" distB="0" distL="0" distR="0" simplePos="0" relativeHeight="251659264" behindDoc="0" locked="0" layoutInCell="1" allowOverlap="1">
                <wp:simplePos x="0" y="0"/>
                <wp:positionH relativeFrom="column">
                  <wp:posOffset>-13970</wp:posOffset>
                </wp:positionH>
                <wp:positionV relativeFrom="paragraph">
                  <wp:posOffset>1905</wp:posOffset>
                </wp:positionV>
                <wp:extent cx="5969000" cy="3810"/>
                <wp:effectExtent l="0" t="0" r="0" b="0"/>
                <wp:wrapNone/>
                <wp:docPr id="1026" name="直接连接符 5"/>
                <wp:cNvGraphicFramePr/>
                <a:graphic xmlns:a="http://schemas.openxmlformats.org/drawingml/2006/main">
                  <a:graphicData uri="http://schemas.microsoft.com/office/word/2010/wordprocessingShape">
                    <wps:wsp>
                      <wps:cNvCnPr/>
                      <wps:spPr>
                        <a:xfrm flipV="1">
                          <a:off x="0" y="0"/>
                          <a:ext cx="5969000" cy="3810"/>
                        </a:xfrm>
                        <a:prstGeom prst="line">
                          <a:avLst/>
                        </a:prstGeom>
                        <a:ln w="9525" cap="flat" cmpd="sng">
                          <a:solidFill>
                            <a:srgbClr val="000000"/>
                          </a:solidFill>
                          <a:prstDash val="solid"/>
                          <a:round/>
                        </a:ln>
                      </wps:spPr>
                      <wps:bodyPr/>
                    </wps:wsp>
                  </a:graphicData>
                </a:graphic>
              </wp:anchor>
            </w:drawing>
          </mc:Choice>
          <mc:Fallback>
            <w:pict>
              <v:line id="直接连接符 5" o:spid="_x0000_s1026" o:spt="20" style="position:absolute;left:0pt;flip:y;margin-left:-1.1pt;margin-top:0.15pt;height:0.3pt;width:470pt;z-index:251659264;mso-width-relative:page;mso-height-relative:page;" filled="f" stroked="t" coordsize="21600,21600" o:gfxdata="UEsDBAoAAAAAAIdO4kAAAAAAAAAAAAAAAAAEAAAAZHJzL1BLAwQUAAAACACHTuJA4+aERdMAAAAE&#10;AQAADwAAAGRycy9kb3ducmV2LnhtbE2PwU7DMBBE70j9B2sr9dbaTSSgIU6FEPSChEQJnJ14SSLs&#10;dRS7afl7lhPcZjWjmbfl/uKdmHGKQyAN240CgdQGO1CnoX57Wt+CiMmQNS4QavjGCPtqcVWawoYz&#10;veJ8TJ3gEoqF0dCnNBZSxrZHb+ImjEjsfYbJm8Tn1Ek7mTOXeyczpa6lNwPxQm9GfOix/TqevIb7&#10;j+fH/GVufHB219Xv1tfqkGm9Wm7VHYiEl/QXhl98RoeKmZpwIhuF07DOMk5qyEGwu8tv+JGGBciq&#10;lP/hqx9QSwMEFAAAAAgAh07iQK/Mm47eAQAAngMAAA4AAABkcnMvZTJvRG9jLnhtbK1TS44TMRDd&#10;I3EHy3vSnaBEk1Y6s5ho2CCIxGfv+NNtyT+5nHRyCS6AxA5WLNlzG2aOQdkdAgybWdALq1yfV36v&#10;qlfXR2vIQUbQ3rV0OqkpkY57oV3X0ndvb59dUQKJOcGMd7KlJwn0ev30yWoIjZz53hshI0EQB80Q&#10;WtqnFJqqAt5Ly2Dig3QYVD5alvAau0pENiC6NdWsrhfV4KMI0XMJgN7NGKRnxPgYQK+U5nLj+d5K&#10;l0bUKA1LSAl6HYCuy2uVkjy9VgpkIqalyDSVE5ugvctntV6xposs9Jqfn8Ae84QHnCzTDpteoDYs&#10;MbKP+h8oq3n04FWacG+rkUhRBFlM6wfavOlZkIULSg3hIjr8P1j+6rCNRAvchHq2oMQxizO/+/jt&#10;x4fP998/4Xn39QuZZ52GAA2m37htPN8gbGMmfVTREmV0eI8wRQYkRo5F5dNFZXlMhKNzvlws6xoH&#10;wDH2/GpahlCNKBktREgvpLckGy012mUNWMMOLyFhZ0z9lZLdxpGhpcv5bI6IDBdS4SKgaQOSAteV&#10;WvBGi1ttTK6A2O1uTCQHlpeifJkf4v6VlptsGPRjXgmN6xL93omxwDisy8KMUmRr58WpKFT8OLaC&#10;fF6xvBd/3kv1799q/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j5oRF0wAAAAQBAAAPAAAAAAAA&#10;AAEAIAAAACIAAABkcnMvZG93bnJldi54bWxQSwECFAAUAAAACACHTuJAr8ybjt4BAACeAwAADgAA&#10;AAAAAAABACAAAAAiAQAAZHJzL2Uyb0RvYy54bWxQSwUGAAAAAAYABgBZAQAAcgUAAAAA&#10;">
                <v:fill on="f" focussize="0,0"/>
                <v:stroke color="#000000" joinstyle="round"/>
                <v:imagedata o:title=""/>
                <o:lock v:ext="edit" aspectratio="f"/>
              </v:line>
            </w:pict>
          </mc:Fallback>
        </mc:AlternateContent>
      </w:r>
      <w:r>
        <w:rPr>
          <w:rFonts w:hint="eastAsia" w:ascii="仿宋" w:hAnsi="仿宋" w:eastAsia="仿宋" w:cs="仿宋"/>
          <w:bCs/>
          <w:sz w:val="28"/>
          <w:szCs w:val="28"/>
        </w:rPr>
        <w:t xml:space="preserve">客户：杭州市能源集团工程科技有限公司      </w:t>
      </w:r>
    </w:p>
    <w:p w14:paraId="01560C64">
      <w:pPr>
        <w:jc w:val="left"/>
        <w:textAlignment w:val="center"/>
        <w:rPr>
          <w:rFonts w:ascii="仿宋" w:hAnsi="仿宋" w:eastAsia="仿宋" w:cs="仿宋"/>
          <w:bCs/>
          <w:sz w:val="28"/>
          <w:szCs w:val="28"/>
        </w:rPr>
      </w:pPr>
      <w:r>
        <w:rPr>
          <w:rFonts w:hint="eastAsia" w:ascii="仿宋" w:hAnsi="仿宋" w:eastAsia="仿宋" w:cs="仿宋"/>
          <w:sz w:val="28"/>
          <w:szCs w:val="28"/>
        </w:rPr>
        <mc:AlternateContent>
          <mc:Choice Requires="wps">
            <w:drawing>
              <wp:anchor distT="0" distB="0" distL="0" distR="0" simplePos="0" relativeHeight="251659264" behindDoc="0" locked="0" layoutInCell="1" allowOverlap="1">
                <wp:simplePos x="0" y="0"/>
                <wp:positionH relativeFrom="column">
                  <wp:posOffset>-29210</wp:posOffset>
                </wp:positionH>
                <wp:positionV relativeFrom="paragraph">
                  <wp:posOffset>378460</wp:posOffset>
                </wp:positionV>
                <wp:extent cx="5973445" cy="8890"/>
                <wp:effectExtent l="0" t="0" r="0" b="0"/>
                <wp:wrapNone/>
                <wp:docPr id="1027" name="直接连接符 3"/>
                <wp:cNvGraphicFramePr/>
                <a:graphic xmlns:a="http://schemas.openxmlformats.org/drawingml/2006/main">
                  <a:graphicData uri="http://schemas.microsoft.com/office/word/2010/wordprocessingShape">
                    <wps:wsp>
                      <wps:cNvCnPr/>
                      <wps:spPr>
                        <a:xfrm flipV="1">
                          <a:off x="0" y="0"/>
                          <a:ext cx="5973445" cy="8890"/>
                        </a:xfrm>
                        <a:prstGeom prst="line">
                          <a:avLst/>
                        </a:prstGeom>
                        <a:ln w="9525" cap="flat" cmpd="sng">
                          <a:solidFill>
                            <a:srgbClr val="000000"/>
                          </a:solidFill>
                          <a:prstDash val="solid"/>
                          <a:round/>
                        </a:ln>
                      </wps:spPr>
                      <wps:bodyPr/>
                    </wps:wsp>
                  </a:graphicData>
                </a:graphic>
              </wp:anchor>
            </w:drawing>
          </mc:Choice>
          <mc:Fallback>
            <w:pict>
              <v:line id="直接连接符 3" o:spid="_x0000_s1026" o:spt="20" style="position:absolute;left:0pt;flip:y;margin-left:-2.3pt;margin-top:29.8pt;height:0.7pt;width:470.35pt;z-index:251659264;mso-width-relative:page;mso-height-relative:page;" filled="f" stroked="t" coordsize="21600,21600" o:gfxdata="UEsDBAoAAAAAAIdO4kAAAAAAAAAAAAAAAAAEAAAAZHJzL1BLAwQUAAAACACHTuJAI/1P29cAAAAI&#10;AQAADwAAAGRycy9kb3ducmV2LnhtbE2PQUvEMBCF74L/IYzgbTfprhZbO11E1IsguFbPaRPbYjIp&#10;Tba7/nvHk54ew3u89021O3knFjvHMRBCtlYgLHXBjNQjNG+PqxsQMWky2gWyCN82wq4+P6t0acKR&#10;Xu2yT73gEoqlRhhSmkopYzdYr+M6TJbY+wyz14nPuZdm1kcu905ulMql1yPxwqAnez/Y7mt/8Ah3&#10;H88P25el9cGZom/ejW/U0wbx8iJTtyCSPaW/MPziMzrUzNSGA5koHMLqKuckwnXByn6xzTMQLUKe&#10;KZB1Jf8/UP8AUEsDBBQAAAAIAIdO4kCepCtU3gEAAJ4DAAAOAAAAZHJzL2Uyb0RvYy54bWytU8tu&#10;EzEU3SPxD5b3ZNK0ockoky4alQ2CSjz2jsfOWPJL9zqZ5Cf4ASR2sGLJvn9D+QyuPSFA2XTBLKz7&#10;PNfn+M7iau8s2ylAE3zDz0ZjzpSXoTV+0/B3b2+ezTjDJHwrbPCq4QeF/Gr59Mmij7WahC7YVgEj&#10;EI91HxvepRTrqkLZKSdwFKLylNQBnEjkwqZqQfSE7mw1GY+fV32ANkKQCpGiqyHJj4jwGMCgtZFq&#10;FeTWKZ8GVFBWJKKEnYnIl+W2WiuZXmuNKjHbcGKayklDyF7ns1ouRL0BETsjj1cQj7nCA05OGE9D&#10;T1ArkQTbgvkHyhkJAYNOIxlcNRApihCLs/EDbd50IqrChaTGeBId/x+sfLW7BWZa2oTx5JIzLxy9&#10;+f3Hb98/fP5x94nO+69f2HnWqY9YU/m1v4Wjh/EWMum9Bse0NfE9wRQZiBjbF5UPJ5XVPjFJwen8&#10;8vziYsqZpNxsNi+PUA0oGS0CphcqOJaNhlvjswaiFruXmGgylf4qyWHrWd/w+XSSEQUtpKZFINNF&#10;IoV+U3oxWNPeGGtzB8JmfW2B7UReivJlfoT7V1keshLYDXUlNawLhK1vhwbrqS8LM0iRrXVoD0Wh&#10;EqdnK8jHFct78adfun//Vs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1P29cAAAAIAQAADwAA&#10;AAAAAAABACAAAAAiAAAAZHJzL2Rvd25yZXYueG1sUEsBAhQAFAAAAAgAh07iQJ6kK1TeAQAAngMA&#10;AA4AAAAAAAAAAQAgAAAAJgEAAGRycy9lMm9Eb2MueG1sUEsFBgAAAAAGAAYAWQEAAHYFAAAAAA==&#10;">
                <v:fill on="f" focussize="0,0"/>
                <v:stroke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0" distR="0" simplePos="0" relativeHeight="251659264" behindDoc="0" locked="0" layoutInCell="1" allowOverlap="1">
                <wp:simplePos x="0" y="0"/>
                <wp:positionH relativeFrom="column">
                  <wp:posOffset>-8890</wp:posOffset>
                </wp:positionH>
                <wp:positionV relativeFrom="paragraph">
                  <wp:posOffset>10795</wp:posOffset>
                </wp:positionV>
                <wp:extent cx="5963920" cy="5080"/>
                <wp:effectExtent l="0" t="0" r="0" b="0"/>
                <wp:wrapNone/>
                <wp:docPr id="1028" name="直接连接符 4"/>
                <wp:cNvGraphicFramePr/>
                <a:graphic xmlns:a="http://schemas.openxmlformats.org/drawingml/2006/main">
                  <a:graphicData uri="http://schemas.microsoft.com/office/word/2010/wordprocessingShape">
                    <wps:wsp>
                      <wps:cNvCnPr/>
                      <wps:spPr>
                        <a:xfrm>
                          <a:off x="0" y="0"/>
                          <a:ext cx="5963920" cy="5079"/>
                        </a:xfrm>
                        <a:prstGeom prst="line">
                          <a:avLst/>
                        </a:prstGeom>
                        <a:ln w="9525" cap="flat" cmpd="sng">
                          <a:solidFill>
                            <a:srgbClr val="000000"/>
                          </a:solidFill>
                          <a:prstDash val="solid"/>
                          <a:round/>
                        </a:ln>
                      </wps:spPr>
                      <wps:bodyPr/>
                    </wps:wsp>
                  </a:graphicData>
                </a:graphic>
              </wp:anchor>
            </w:drawing>
          </mc:Choice>
          <mc:Fallback>
            <w:pict>
              <v:line id="直接连接符 4" o:spid="_x0000_s1026" o:spt="20" style="position:absolute;left:0pt;margin-left:-0.7pt;margin-top:0.85pt;height:0.4pt;width:469.6pt;z-index:251659264;mso-width-relative:page;mso-height-relative:page;" filled="f" stroked="t" coordsize="21600,21600" o:gfxdata="UEsDBAoAAAAAAIdO4kAAAAAAAAAAAAAAAAAEAAAAZHJzL1BLAwQUAAAACACHTuJA4Q9JzNUAAAAG&#10;AQAADwAAAGRycy9kb3ducmV2LnhtbE2PvU7DQBCEeyTe4bRINFFytgMJGJ9TAO5oEohoN77FtvDt&#10;Ob7LDzw9SwXl7Ixmvi1WZ9erI42h82wgnSWgiGtvO24MvL1W0ztQISJb7D2TgS8KsCovLwrMrT/x&#10;mo6b2Cgp4ZCjgTbGIdc61C05DDM/EIv34UeHUeTYaDviScpdr7MkWWiHHctCiwM9tlR/bg7OQKi2&#10;tK++J/UkeZ83nrL908szGnN9lSYPoCKd418YfvEFHUph2vkD26B6A9P0RpJyX4IS+36+lE92BrJb&#10;0GWh/+OXP1BLAwQUAAAACACHTuJAr9yjttYBAACUAwAADgAAAGRycy9lMm9Eb2MueG1srVPNjtMw&#10;EL4j8Q6W7zTZQBcaNd3DVssFQSXgAaaO01jynzxu074EL4DEDU4cufM2LI/B2AldWC57oAd3PD+f&#10;5/tmsrw6Gs0OMqBytuEXs5IzaYVrld01/P27mycvOMMItgXtrGz4SSK/Wj1+tBx8LSvXO93KwAjE&#10;Yj34hvcx+rooUPTSAM6cl5aCnQsGIl3DrmgDDIRudFGV5WUxuND64IREJO96DPIJMTwE0HWdEnLt&#10;xN5IG0fUIDVEooS98shXuduukyK+6TqUkemGE9OYT3qE7G06i9US6l0A3ysxtQAPaeEeJwPK0qNn&#10;qDVEYPug/oEySgSHrosz4UwxEsmKEIuL8p42b3vwMnMhqdGfRcf/ByteHzaBqZY2oaxo8hYMzfz2&#10;47cfHz7//P6JztuvX9izpNPgsab0a7sJ0w39JiTSxy6Y9E902DFrezprK4+RCXLOF5dPFxXJLig2&#10;L58vEmRxV+sDxpfSGZaMhmtlE3Oo4fAK45j6OyW5tWVDwxfzak6IQGvY0fjJNJ6ooN3lWnRatTdK&#10;61SBYbe91oEdIK1C/k0t/JWWHlkD9mNeDqU0qIPb23ZsRFtqPckxCpCsrWtPWZfsp2FlctNipW34&#10;856r7z6m1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hD0nM1QAAAAYBAAAPAAAAAAAAAAEAIAAA&#10;ACIAAABkcnMvZG93bnJldi54bWxQSwECFAAUAAAACACHTuJAr9yjttYBAACUAwAADgAAAAAAAAAB&#10;ACAAAAAkAQAAZHJzL2Uyb0RvYy54bWxQSwUGAAAAAAYABgBZAQAAbAUAAAAA&#10;">
                <v:fill on="f" focussize="0,0"/>
                <v:stroke color="#000000" joinstyle="round"/>
                <v:imagedata o:title=""/>
                <o:lock v:ext="edit" aspectratio="f"/>
              </v:line>
            </w:pict>
          </mc:Fallback>
        </mc:AlternateContent>
      </w:r>
      <w:r>
        <w:rPr>
          <w:rFonts w:hint="eastAsia" w:ascii="仿宋" w:hAnsi="仿宋" w:eastAsia="仿宋" w:cs="仿宋"/>
          <w:bCs/>
          <w:sz w:val="28"/>
          <w:szCs w:val="28"/>
        </w:rPr>
        <w:t xml:space="preserve">收件人: 付佳卉                        日期: </w:t>
      </w:r>
    </w:p>
    <w:p w14:paraId="624241C8">
      <w:pPr>
        <w:jc w:val="left"/>
        <w:textAlignment w:val="center"/>
        <w:rPr>
          <w:rFonts w:ascii="仿宋" w:hAnsi="仿宋" w:eastAsia="仿宋" w:cs="仿宋"/>
          <w:bCs/>
          <w:sz w:val="28"/>
          <w:szCs w:val="28"/>
        </w:rPr>
      </w:pPr>
      <w:r>
        <w:rPr>
          <w:rFonts w:hint="eastAsia" w:ascii="仿宋" w:hAnsi="仿宋" w:eastAsia="仿宋" w:cs="仿宋"/>
          <w:sz w:val="28"/>
          <w:szCs w:val="28"/>
        </w:rPr>
        <mc:AlternateContent>
          <mc:Choice Requires="wps">
            <w:drawing>
              <wp:anchor distT="0" distB="0" distL="0" distR="0" simplePos="0" relativeHeight="251659264" behindDoc="0" locked="0" layoutInCell="1" allowOverlap="1">
                <wp:simplePos x="0" y="0"/>
                <wp:positionH relativeFrom="column">
                  <wp:posOffset>-50165</wp:posOffset>
                </wp:positionH>
                <wp:positionV relativeFrom="paragraph">
                  <wp:posOffset>349885</wp:posOffset>
                </wp:positionV>
                <wp:extent cx="6015355" cy="2540"/>
                <wp:effectExtent l="0" t="0" r="0" b="0"/>
                <wp:wrapNone/>
                <wp:docPr id="1029" name="直接连接符 2"/>
                <wp:cNvGraphicFramePr/>
                <a:graphic xmlns:a="http://schemas.openxmlformats.org/drawingml/2006/main">
                  <a:graphicData uri="http://schemas.microsoft.com/office/word/2010/wordprocessingShape">
                    <wps:wsp>
                      <wps:cNvCnPr/>
                      <wps:spPr>
                        <a:xfrm>
                          <a:off x="0" y="0"/>
                          <a:ext cx="6015355" cy="2540"/>
                        </a:xfrm>
                        <a:prstGeom prst="line">
                          <a:avLst/>
                        </a:prstGeom>
                        <a:ln w="9525" cap="flat" cmpd="sng">
                          <a:solidFill>
                            <a:srgbClr val="000000"/>
                          </a:solidFill>
                          <a:prstDash val="solid"/>
                          <a:round/>
                        </a:ln>
                      </wps:spPr>
                      <wps:bodyPr/>
                    </wps:wsp>
                  </a:graphicData>
                </a:graphic>
              </wp:anchor>
            </w:drawing>
          </mc:Choice>
          <mc:Fallback>
            <w:pict>
              <v:line id="直接连接符 2" o:spid="_x0000_s1026" o:spt="20" style="position:absolute;left:0pt;margin-left:-3.95pt;margin-top:27.55pt;height:0.2pt;width:473.65pt;z-index:251659264;mso-width-relative:page;mso-height-relative:page;" filled="f" stroked="t" coordsize="21600,21600" o:gfxdata="UEsDBAoAAAAAAIdO4kAAAAAAAAAAAAAAAAAEAAAAZHJzL1BLAwQUAAAACACHTuJA8M2CS9cAAAAI&#10;AQAADwAAAGRycy9kb3ducmV2LnhtbE2PzU7DMBCE70i8g7VIXKrWTksKCXF6AHLj0kLFdRsvSUS8&#10;TmP3B54e9wTH2RnNfFuszrYXRxp951hDMlMgiGtnOm40vL9V0wcQPiAb7B2Thm/ysCqvrwrMjTvx&#10;mo6b0IhYwj5HDW0IQy6lr1uy6GduII7epxsthijHRpoRT7Hc9nKu1FJa7DgutDjQU0v11+ZgNfhq&#10;S/vqZ1JP1MeicTTfP7++oNa3N4l6BBHoHP7CcMGP6FBGpp07sPGi1zC9z2JSQ5omIKKfLbI7ELvL&#10;IQVZFvL/A+UvUEsDBBQAAAAIAIdO4kBfp8gK1gEAAJQDAAAOAAAAZHJzL2Uyb0RvYy54bWytU82O&#10;0zAQviPxDpbvNGkgKzZquoetlguCSsADuI7TWPKfZtymfQleAIkbnDhy523YfQzGTunCctkDOTjj&#10;+fnG3+fx4upgDdsrQO1dy+ezkjPlpO+027b8w/ubZy85wyhcJ4x3quVHhfxq+fTJYgyNqvzgTaeA&#10;EYjDZgwtH2IMTVGgHJQVOPNBOQr2HqyItIVt0YEYCd2aoirLi2L00AXwUiGSdzUF+QkRHgPo+15L&#10;tfJyZ5WLEyooIyJRwkEH5Mt82r5XMr7te1SRmZYT05hXakL2Jq3FciGaLYgwaHk6gnjMER5wskI7&#10;anqGWoko2A70P1BWS/Do+ziT3hYTkawIsZiXD7R5N4igMheSGsNZdPx/sPLNfg1MdzQJZXXJmROW&#10;7vz20/efH7/c/fhM6+23r6xKOo0BG0q/dms47TCsIZE+9GDTn+iwQ9b2eNZWHSKT5Lwo5/XzuuZM&#10;UqyqX2Tpi/vaABhfKW9ZMlputEvMRSP2rzFSP0r9nZLcxrGx5Zd1lRAFjWFP10+mDUQF3TbXoje6&#10;u9HGpAqE7ebaANuLNAr5S6wI96+01GQlcJjycmgaEvA7100FxlFdkmMSIFkb3x2zLtlPl5WRT4OV&#10;puHPfa6+f0zL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DNgkvXAAAACAEAAA8AAAAAAAAAAQAg&#10;AAAAIgAAAGRycy9kb3ducmV2LnhtbFBLAQIUABQAAAAIAIdO4kBfp8gK1gEAAJQDAAAOAAAAAAAA&#10;AAEAIAAAACYBAABkcnMvZTJvRG9jLnhtbFBLBQYAAAAABgAGAFkBAABuBQAAAAA=&#10;">
                <v:fill on="f" focussize="0,0"/>
                <v:stroke color="#000000" joinstyle="round"/>
                <v:imagedata o:title=""/>
                <o:lock v:ext="edit" aspectratio="f"/>
              </v:line>
            </w:pict>
          </mc:Fallback>
        </mc:AlternateContent>
      </w:r>
      <w:r>
        <w:rPr>
          <w:rFonts w:hint="eastAsia" w:ascii="仿宋" w:hAnsi="仿宋" w:eastAsia="仿宋" w:cs="仿宋"/>
          <w:bCs/>
          <w:sz w:val="28"/>
          <w:szCs w:val="28"/>
        </w:rPr>
        <w:t xml:space="preserve">发件人:                     </w:t>
      </w:r>
    </w:p>
    <w:p w14:paraId="4544ECB8">
      <w:pPr>
        <w:jc w:val="left"/>
        <w:textAlignment w:val="center"/>
        <w:rPr>
          <w:rFonts w:ascii="仿宋" w:hAnsi="仿宋" w:eastAsia="仿宋" w:cs="仿宋"/>
          <w:sz w:val="28"/>
          <w:szCs w:val="28"/>
        </w:rPr>
      </w:pPr>
      <w:r>
        <w:rPr>
          <w:rFonts w:hint="eastAsia" w:ascii="仿宋" w:hAnsi="仿宋" w:eastAsia="仿宋" w:cs="仿宋"/>
          <w:sz w:val="28"/>
          <w:szCs w:val="28"/>
        </w:rPr>
        <mc:AlternateContent>
          <mc:Choice Requires="wps">
            <w:drawing>
              <wp:anchor distT="0" distB="0" distL="0" distR="0" simplePos="0" relativeHeight="251659264" behindDoc="0" locked="0" layoutInCell="1" allowOverlap="1">
                <wp:simplePos x="0" y="0"/>
                <wp:positionH relativeFrom="column">
                  <wp:posOffset>-55245</wp:posOffset>
                </wp:positionH>
                <wp:positionV relativeFrom="paragraph">
                  <wp:posOffset>336550</wp:posOffset>
                </wp:positionV>
                <wp:extent cx="6031230" cy="635"/>
                <wp:effectExtent l="0" t="0" r="0" b="0"/>
                <wp:wrapNone/>
                <wp:docPr id="1030" name="直接连接符 6"/>
                <wp:cNvGraphicFramePr/>
                <a:graphic xmlns:a="http://schemas.openxmlformats.org/drawingml/2006/main">
                  <a:graphicData uri="http://schemas.microsoft.com/office/word/2010/wordprocessingShape">
                    <wps:wsp>
                      <wps:cNvCnPr/>
                      <wps:spPr>
                        <a:xfrm>
                          <a:off x="0" y="0"/>
                          <a:ext cx="6031230" cy="634"/>
                        </a:xfrm>
                        <a:prstGeom prst="line">
                          <a:avLst/>
                        </a:prstGeom>
                        <a:ln w="9525" cap="flat" cmpd="sng">
                          <a:solidFill>
                            <a:srgbClr val="000000"/>
                          </a:solidFill>
                          <a:prstDash val="solid"/>
                          <a:round/>
                        </a:ln>
                      </wps:spPr>
                      <wps:bodyPr/>
                    </wps:wsp>
                  </a:graphicData>
                </a:graphic>
              </wp:anchor>
            </w:drawing>
          </mc:Choice>
          <mc:Fallback>
            <w:pict>
              <v:line id="直接连接符 6" o:spid="_x0000_s1026" o:spt="20" style="position:absolute;left:0pt;margin-left:-4.35pt;margin-top:26.5pt;height:0.05pt;width:474.9pt;z-index:251659264;mso-width-relative:page;mso-height-relative:page;" filled="f" stroked="t" coordsize="21600,21600" o:gfxdata="UEsDBAoAAAAAAIdO4kAAAAAAAAAAAAAAAAAEAAAAZHJzL1BLAwQUAAAACACHTuJAH7ZZQdcAAAAI&#10;AQAADwAAAGRycy9kb3ducmV2LnhtbE2PS0/DMBCE70j8B2uRuFSt45ZHCXF6AHLjQgFx3cZLEhGv&#10;09h9wK9ne4LjzoxmvylWR9+rPY2xC2zBzDJQxHVwHTcW3l6r6RJUTMgO+8Bk4ZsirMrzswJzFw78&#10;Qvt1apSUcMzRQpvSkGsd65Y8xlkYiMX7DKPHJOfYaDfiQcp9r+dZdqM9diwfWhzooaX6a73zFmL1&#10;TtvqZ1JPso9FE2i+fXx+QmsvL0x2DyrRMf2F4YQv6FAK0ybs2EXVW5gubyVp4Xohk8S/uzIG1OYk&#10;GNBlof8PKH8BUEsDBBQAAAAIAIdO4kD0hllg1AEAAJMDAAAOAAAAZHJzL2Uyb0RvYy54bWytU0uO&#10;EzEQ3SNxB8t70p2EiaCVziwmGjYIIgEHqLjdaUv+yeWkk0twASR2sGLJntswcwzK7ibzYTMLsnDK&#10;9XlV77l6eXk0mh1kQOVszaeTkjNphWuU3dX808frF684wwi2Ae2srPlJIr9cPX+27H0lZ65zupGB&#10;EYjFqvc172L0VVGg6KQBnDgvLQVbFwxEuoZd0QToCd3oYlaWi6J3ofHBCYlI3vUQ5CNieAqga1sl&#10;5NqJvZE2DqhBaohECTvlka/ytG0rRXzftigj0zUnpjGf1ITsbTqL1RKqXQDfKTGOAE8Z4REnA8pS&#10;0zPUGiKwfVD/QBklgkPXxolwphiIZEWIxbR8pM2HDrzMXEhq9GfR8f/BineHTWCqoU0o5ySKBUNv&#10;fvPl5+/P325/faXz5sd3tkg69R4rSr+ymzDe0G9CIn1sg0n/RIcds7ans7byGJkg56KcT2epg6DY&#10;Yv4yIRZ3pT5gfCOdYcmouVY2EYcKDm8xDql/U5JbW9bX/PXF7IIAgbawpdcn03hignaXa9Fp1Vwr&#10;rVMFht32Sgd2gLQJ+TeO8CAtNVkDdkNeDqU0qILb22YYRFsaPakx8E/W1jWnLEv201tlcuNepWW4&#10;f8/Vd9/S6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ftllB1wAAAAgBAAAPAAAAAAAAAAEAIAAA&#10;ACIAAABkcnMvZG93bnJldi54bWxQSwECFAAUAAAACACHTuJA9IZZYNQBAACTAwAADgAAAAAAAAAB&#10;ACAAAAAmAQAAZHJzL2Uyb0RvYy54bWxQSwUGAAAAAAYABgBZAQAAbAUAAAAA&#10;">
                <v:fill on="f" focussize="0,0"/>
                <v:stroke color="#000000" joinstyle="round"/>
                <v:imagedata o:title=""/>
                <o:lock v:ext="edit" aspectratio="f"/>
              </v:line>
            </w:pict>
          </mc:Fallback>
        </mc:AlternateContent>
      </w:r>
      <w:r>
        <w:rPr>
          <w:rFonts w:hint="eastAsia" w:ascii="仿宋" w:hAnsi="仿宋" w:eastAsia="仿宋" w:cs="仿宋"/>
          <w:bCs/>
          <w:sz w:val="28"/>
          <w:szCs w:val="28"/>
        </w:rPr>
        <w:t>联系电话：</w:t>
      </w:r>
    </w:p>
    <w:p w14:paraId="4B41BDC2">
      <w:pPr>
        <w:jc w:val="left"/>
        <w:rPr>
          <w:rFonts w:ascii="仿宋" w:hAnsi="仿宋" w:eastAsia="仿宋" w:cs="仿宋"/>
          <w:sz w:val="28"/>
          <w:szCs w:val="28"/>
        </w:rPr>
      </w:pPr>
      <w:r>
        <w:rPr>
          <w:rFonts w:hint="eastAsia" w:ascii="仿宋" w:hAnsi="仿宋" w:eastAsia="仿宋" w:cs="仿宋"/>
          <w:bCs/>
          <w:sz w:val="28"/>
          <w:szCs w:val="28"/>
        </w:rPr>
        <w:t>杭州市能源集团工程科技有限公司</w:t>
      </w:r>
      <w:r>
        <w:rPr>
          <w:rFonts w:hint="eastAsia" w:ascii="仿宋" w:hAnsi="仿宋" w:eastAsia="仿宋" w:cs="仿宋"/>
          <w:sz w:val="28"/>
          <w:szCs w:val="28"/>
        </w:rPr>
        <w:t>：</w:t>
      </w:r>
    </w:p>
    <w:p w14:paraId="13080C15">
      <w:pPr>
        <w:ind w:firstLine="560" w:firstLineChars="200"/>
        <w:outlineLvl w:val="0"/>
        <w:rPr>
          <w:rFonts w:ascii="仿宋" w:hAnsi="仿宋" w:eastAsia="仿宋" w:cs="仿宋"/>
          <w:sz w:val="28"/>
          <w:szCs w:val="28"/>
        </w:rPr>
      </w:pPr>
      <w:r>
        <w:rPr>
          <w:rFonts w:hint="eastAsia" w:ascii="仿宋" w:hAnsi="仿宋" w:eastAsia="仿宋" w:cs="仿宋"/>
          <w:sz w:val="28"/>
          <w:szCs w:val="28"/>
        </w:rPr>
        <w:t>您好，现将关于</w:t>
      </w:r>
      <w:r>
        <w:rPr>
          <w:rFonts w:hint="eastAsia" w:ascii="仿宋" w:hAnsi="仿宋" w:eastAsia="仿宋" w:cs="仿宋"/>
          <w:sz w:val="28"/>
          <w:szCs w:val="28"/>
          <w:u w:val="none"/>
        </w:rPr>
        <w:t xml:space="preserve"> </w:t>
      </w:r>
      <w:r>
        <w:rPr>
          <w:rStyle w:val="22"/>
          <w:rFonts w:hint="eastAsia" w:ascii="仿宋" w:hAnsi="仿宋" w:eastAsia="仿宋" w:cs="仿宋"/>
          <w:kern w:val="2"/>
          <w:sz w:val="28"/>
          <w:szCs w:val="28"/>
        </w:rPr>
        <w:t>桐庐服务区南区光储充一体化项目南区土</w:t>
      </w:r>
      <w:r>
        <w:rPr>
          <w:rStyle w:val="22"/>
          <w:rFonts w:hint="eastAsia" w:ascii="仿宋" w:hAnsi="仿宋" w:eastAsia="仿宋" w:cs="仿宋"/>
          <w:kern w:val="2"/>
          <w:sz w:val="28"/>
          <w:szCs w:val="28"/>
          <w:lang w:eastAsia="zh-CN"/>
        </w:rPr>
        <w:t>建</w:t>
      </w:r>
      <w:r>
        <w:rPr>
          <w:rStyle w:val="22"/>
          <w:rFonts w:hint="eastAsia" w:ascii="仿宋" w:hAnsi="仿宋" w:eastAsia="仿宋" w:cs="仿宋"/>
          <w:kern w:val="2"/>
          <w:sz w:val="28"/>
          <w:szCs w:val="28"/>
        </w:rPr>
        <w:t>项目</w:t>
      </w:r>
      <w:r>
        <w:rPr>
          <w:rStyle w:val="22"/>
          <w:rFonts w:hint="eastAsia" w:ascii="仿宋" w:hAnsi="仿宋" w:eastAsia="仿宋" w:cs="仿宋"/>
          <w:kern w:val="2"/>
          <w:sz w:val="28"/>
          <w:szCs w:val="28"/>
          <w:lang w:eastAsia="zh-CN"/>
        </w:rPr>
        <w:t>混凝土</w:t>
      </w:r>
      <w:r>
        <w:rPr>
          <w:rStyle w:val="22"/>
          <w:rFonts w:hint="eastAsia" w:ascii="仿宋" w:hAnsi="仿宋" w:eastAsia="仿宋" w:cs="仿宋"/>
          <w:kern w:val="2"/>
          <w:sz w:val="28"/>
          <w:szCs w:val="28"/>
        </w:rPr>
        <w:t>采购</w:t>
      </w:r>
      <w:r>
        <w:rPr>
          <w:rFonts w:hint="eastAsia" w:ascii="仿宋" w:hAnsi="仿宋" w:eastAsia="仿宋" w:cs="仿宋"/>
          <w:sz w:val="28"/>
          <w:szCs w:val="28"/>
          <w:u w:val="none"/>
        </w:rPr>
        <w:t xml:space="preserve"> </w:t>
      </w:r>
      <w:r>
        <w:rPr>
          <w:rFonts w:hint="eastAsia" w:ascii="仿宋" w:hAnsi="仿宋" w:eastAsia="仿宋" w:cs="仿宋"/>
          <w:sz w:val="28"/>
          <w:szCs w:val="28"/>
        </w:rPr>
        <w:t>项目的询价回复予您，本次报价有效期为30天。如有不详之处请及时联系，服务内容详见询价公告采购内容。</w:t>
      </w:r>
    </w:p>
    <w:tbl>
      <w:tblPr>
        <w:tblStyle w:val="20"/>
        <w:tblW w:w="8876" w:type="dxa"/>
        <w:jc w:val="center"/>
        <w:tblLayout w:type="fixed"/>
        <w:tblCellMar>
          <w:top w:w="0" w:type="dxa"/>
          <w:left w:w="108" w:type="dxa"/>
          <w:bottom w:w="0" w:type="dxa"/>
          <w:right w:w="108" w:type="dxa"/>
        </w:tblCellMar>
      </w:tblPr>
      <w:tblGrid>
        <w:gridCol w:w="667"/>
        <w:gridCol w:w="1754"/>
        <w:gridCol w:w="676"/>
        <w:gridCol w:w="929"/>
        <w:gridCol w:w="1310"/>
        <w:gridCol w:w="1418"/>
        <w:gridCol w:w="1061"/>
        <w:gridCol w:w="1061"/>
      </w:tblGrid>
      <w:tr w14:paraId="050093E8">
        <w:tblPrEx>
          <w:tblCellMar>
            <w:top w:w="0" w:type="dxa"/>
            <w:left w:w="108" w:type="dxa"/>
            <w:bottom w:w="0" w:type="dxa"/>
            <w:right w:w="108" w:type="dxa"/>
          </w:tblCellMar>
        </w:tblPrEx>
        <w:trPr>
          <w:trHeight w:val="625" w:hRule="exact"/>
          <w:jc w:val="center"/>
        </w:trPr>
        <w:tc>
          <w:tcPr>
            <w:tcW w:w="667" w:type="dxa"/>
            <w:tcBorders>
              <w:top w:val="single" w:color="000000" w:sz="4" w:space="0"/>
              <w:left w:val="single" w:color="000000" w:sz="4" w:space="0"/>
              <w:bottom w:val="single" w:color="000000" w:sz="4" w:space="0"/>
              <w:right w:val="single" w:color="000000" w:sz="4" w:space="0"/>
            </w:tcBorders>
            <w:vAlign w:val="center"/>
          </w:tcPr>
          <w:p w14:paraId="0193EF7B">
            <w:pPr>
              <w:keepNext w:val="0"/>
              <w:keepLines w:val="0"/>
              <w:pageBreakBefore w:val="0"/>
              <w:widowControl/>
              <w:kinsoku/>
              <w:overflowPunct/>
              <w:topLinePunct w:val="0"/>
              <w:autoSpaceDE/>
              <w:autoSpaceDN/>
              <w:bidi w:val="0"/>
              <w:spacing w:line="600" w:lineRule="exact"/>
              <w:jc w:val="center"/>
              <w:textAlignment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1754" w:type="dxa"/>
            <w:tcBorders>
              <w:top w:val="single" w:color="000000" w:sz="4" w:space="0"/>
              <w:left w:val="single" w:color="000000" w:sz="4" w:space="0"/>
              <w:bottom w:val="single" w:color="000000" w:sz="4" w:space="0"/>
              <w:right w:val="single" w:color="000000" w:sz="4" w:space="0"/>
            </w:tcBorders>
            <w:vAlign w:val="center"/>
          </w:tcPr>
          <w:p w14:paraId="036B6675">
            <w:pPr>
              <w:keepNext w:val="0"/>
              <w:keepLines w:val="0"/>
              <w:pageBreakBefore w:val="0"/>
              <w:widowControl/>
              <w:kinsoku/>
              <w:overflowPunct/>
              <w:topLinePunct w:val="0"/>
              <w:autoSpaceDE/>
              <w:autoSpaceDN/>
              <w:bidi w:val="0"/>
              <w:spacing w:line="600" w:lineRule="exact"/>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名称</w:t>
            </w:r>
          </w:p>
        </w:tc>
        <w:tc>
          <w:tcPr>
            <w:tcW w:w="676" w:type="dxa"/>
            <w:tcBorders>
              <w:top w:val="single" w:color="000000" w:sz="4" w:space="0"/>
              <w:left w:val="single" w:color="000000" w:sz="4" w:space="0"/>
              <w:bottom w:val="single" w:color="000000" w:sz="4" w:space="0"/>
              <w:right w:val="single" w:color="000000" w:sz="4" w:space="0"/>
            </w:tcBorders>
            <w:vAlign w:val="center"/>
          </w:tcPr>
          <w:p w14:paraId="2FE5B955">
            <w:pPr>
              <w:keepNext w:val="0"/>
              <w:keepLines w:val="0"/>
              <w:pageBreakBefore w:val="0"/>
              <w:widowControl/>
              <w:kinsoku/>
              <w:overflowPunct/>
              <w:topLinePunct w:val="0"/>
              <w:autoSpaceDE/>
              <w:autoSpaceDN/>
              <w:bidi w:val="0"/>
              <w:spacing w:line="600" w:lineRule="exact"/>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规格</w:t>
            </w:r>
          </w:p>
        </w:tc>
        <w:tc>
          <w:tcPr>
            <w:tcW w:w="929" w:type="dxa"/>
            <w:tcBorders>
              <w:top w:val="single" w:color="000000" w:sz="4" w:space="0"/>
              <w:left w:val="single" w:color="000000" w:sz="4" w:space="0"/>
              <w:bottom w:val="single" w:color="000000" w:sz="4" w:space="0"/>
              <w:right w:val="single" w:color="000000" w:sz="4" w:space="0"/>
            </w:tcBorders>
            <w:vAlign w:val="center"/>
          </w:tcPr>
          <w:p w14:paraId="2AB26369">
            <w:pPr>
              <w:keepNext w:val="0"/>
              <w:keepLines w:val="0"/>
              <w:pageBreakBefore w:val="0"/>
              <w:widowControl/>
              <w:kinsoku/>
              <w:overflowPunct/>
              <w:topLinePunct w:val="0"/>
              <w:autoSpaceDE/>
              <w:autoSpaceDN/>
              <w:bidi w:val="0"/>
              <w:spacing w:line="600" w:lineRule="exact"/>
              <w:jc w:val="center"/>
              <w:textAlignment w:val="center"/>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单位</w:t>
            </w:r>
          </w:p>
        </w:tc>
        <w:tc>
          <w:tcPr>
            <w:tcW w:w="1310" w:type="dxa"/>
            <w:tcBorders>
              <w:top w:val="single" w:color="000000" w:sz="4" w:space="0"/>
              <w:left w:val="single" w:color="000000" w:sz="4" w:space="0"/>
              <w:bottom w:val="single" w:color="000000" w:sz="4" w:space="0"/>
              <w:right w:val="single" w:color="000000" w:sz="4" w:space="0"/>
            </w:tcBorders>
            <w:vAlign w:val="center"/>
          </w:tcPr>
          <w:p w14:paraId="4B7E6F90">
            <w:pPr>
              <w:keepNext w:val="0"/>
              <w:keepLines w:val="0"/>
              <w:pageBreakBefore w:val="0"/>
              <w:widowControl/>
              <w:kinsoku/>
              <w:overflowPunct/>
              <w:topLinePunct w:val="0"/>
              <w:autoSpaceDE/>
              <w:autoSpaceDN/>
              <w:bidi w:val="0"/>
              <w:spacing w:line="600" w:lineRule="exact"/>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数量</w:t>
            </w:r>
          </w:p>
        </w:tc>
        <w:tc>
          <w:tcPr>
            <w:tcW w:w="1418" w:type="dxa"/>
            <w:tcBorders>
              <w:top w:val="single" w:color="000000" w:sz="4" w:space="0"/>
              <w:left w:val="single" w:color="000000" w:sz="4" w:space="0"/>
              <w:bottom w:val="single" w:color="000000" w:sz="4" w:space="0"/>
              <w:right w:val="single" w:color="000000" w:sz="4" w:space="0"/>
            </w:tcBorders>
            <w:vAlign w:val="center"/>
          </w:tcPr>
          <w:p w14:paraId="0F9B3516">
            <w:pPr>
              <w:keepNext w:val="0"/>
              <w:keepLines w:val="0"/>
              <w:pageBreakBefore w:val="0"/>
              <w:widowControl/>
              <w:kinsoku/>
              <w:overflowPunct/>
              <w:topLinePunct w:val="0"/>
              <w:autoSpaceDE/>
              <w:autoSpaceDN/>
              <w:bidi w:val="0"/>
              <w:spacing w:line="600" w:lineRule="exact"/>
              <w:jc w:val="center"/>
              <w:textAlignment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综合单价（元）</w:t>
            </w:r>
          </w:p>
        </w:tc>
        <w:tc>
          <w:tcPr>
            <w:tcW w:w="1061" w:type="dxa"/>
            <w:tcBorders>
              <w:top w:val="single" w:color="000000" w:sz="4" w:space="0"/>
              <w:left w:val="single" w:color="000000" w:sz="4" w:space="0"/>
              <w:bottom w:val="single" w:color="000000" w:sz="4" w:space="0"/>
              <w:right w:val="single" w:color="000000" w:sz="4" w:space="0"/>
            </w:tcBorders>
            <w:vAlign w:val="center"/>
          </w:tcPr>
          <w:p w14:paraId="7AA634EB">
            <w:pPr>
              <w:keepNext w:val="0"/>
              <w:keepLines w:val="0"/>
              <w:pageBreakBefore w:val="0"/>
              <w:widowControl/>
              <w:kinsoku/>
              <w:overflowPunct/>
              <w:topLinePunct w:val="0"/>
              <w:autoSpaceDE/>
              <w:autoSpaceDN/>
              <w:bidi w:val="0"/>
              <w:spacing w:line="600" w:lineRule="exact"/>
              <w:jc w:val="center"/>
              <w:textAlignment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小计（元）</w:t>
            </w:r>
          </w:p>
        </w:tc>
        <w:tc>
          <w:tcPr>
            <w:tcW w:w="1061" w:type="dxa"/>
            <w:tcBorders>
              <w:top w:val="single" w:color="000000" w:sz="4" w:space="0"/>
              <w:left w:val="single" w:color="000000" w:sz="4" w:space="0"/>
              <w:bottom w:val="single" w:color="000000" w:sz="4" w:space="0"/>
              <w:right w:val="single" w:color="000000" w:sz="4" w:space="0"/>
            </w:tcBorders>
            <w:vAlign w:val="center"/>
          </w:tcPr>
          <w:p w14:paraId="75D1968E">
            <w:pPr>
              <w:keepNext w:val="0"/>
              <w:keepLines w:val="0"/>
              <w:pageBreakBefore w:val="0"/>
              <w:widowControl/>
              <w:kinsoku/>
              <w:overflowPunct/>
              <w:topLinePunct w:val="0"/>
              <w:autoSpaceDE/>
              <w:autoSpaceDN/>
              <w:bidi w:val="0"/>
              <w:spacing w:line="600" w:lineRule="exact"/>
              <w:jc w:val="center"/>
              <w:textAlignment w:val="center"/>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备注</w:t>
            </w:r>
          </w:p>
        </w:tc>
      </w:tr>
      <w:tr w14:paraId="005F5200">
        <w:tblPrEx>
          <w:tblCellMar>
            <w:top w:w="0" w:type="dxa"/>
            <w:left w:w="108" w:type="dxa"/>
            <w:bottom w:w="0" w:type="dxa"/>
            <w:right w:w="108" w:type="dxa"/>
          </w:tblCellMar>
        </w:tblPrEx>
        <w:trPr>
          <w:trHeight w:val="656" w:hRule="exact"/>
          <w:jc w:val="center"/>
        </w:trPr>
        <w:tc>
          <w:tcPr>
            <w:tcW w:w="667" w:type="dxa"/>
            <w:tcBorders>
              <w:top w:val="single" w:color="000000" w:sz="4" w:space="0"/>
              <w:left w:val="single" w:color="000000" w:sz="4" w:space="0"/>
              <w:bottom w:val="single" w:color="000000" w:sz="4" w:space="0"/>
              <w:right w:val="single" w:color="000000" w:sz="4" w:space="0"/>
            </w:tcBorders>
            <w:vAlign w:val="center"/>
          </w:tcPr>
          <w:p w14:paraId="6450A990">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1</w:t>
            </w:r>
          </w:p>
        </w:tc>
        <w:tc>
          <w:tcPr>
            <w:tcW w:w="1754" w:type="dxa"/>
            <w:tcBorders>
              <w:top w:val="single" w:color="000000" w:sz="4" w:space="0"/>
              <w:left w:val="single" w:color="000000" w:sz="4" w:space="0"/>
              <w:bottom w:val="single" w:color="000000" w:sz="4" w:space="0"/>
              <w:right w:val="single" w:color="000000" w:sz="4" w:space="0"/>
            </w:tcBorders>
            <w:vAlign w:val="center"/>
          </w:tcPr>
          <w:p w14:paraId="0E06195C">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泵送商品混凝土</w:t>
            </w:r>
          </w:p>
        </w:tc>
        <w:tc>
          <w:tcPr>
            <w:tcW w:w="676" w:type="dxa"/>
            <w:tcBorders>
              <w:top w:val="single" w:color="000000" w:sz="4" w:space="0"/>
              <w:left w:val="single" w:color="000000" w:sz="4" w:space="0"/>
              <w:bottom w:val="single" w:color="000000" w:sz="4" w:space="0"/>
              <w:right w:val="single" w:color="000000" w:sz="4" w:space="0"/>
            </w:tcBorders>
            <w:vAlign w:val="center"/>
          </w:tcPr>
          <w:p w14:paraId="46F88D08">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C20</w:t>
            </w:r>
          </w:p>
        </w:tc>
        <w:tc>
          <w:tcPr>
            <w:tcW w:w="929" w:type="dxa"/>
            <w:tcBorders>
              <w:top w:val="single" w:color="000000" w:sz="4" w:space="0"/>
              <w:left w:val="single" w:color="000000" w:sz="4" w:space="0"/>
              <w:bottom w:val="single" w:color="000000" w:sz="4" w:space="0"/>
              <w:right w:val="single" w:color="000000" w:sz="4" w:space="0"/>
            </w:tcBorders>
            <w:vAlign w:val="center"/>
          </w:tcPr>
          <w:p w14:paraId="4540306A">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立方米</w:t>
            </w:r>
          </w:p>
        </w:tc>
        <w:tc>
          <w:tcPr>
            <w:tcW w:w="1310" w:type="dxa"/>
            <w:tcBorders>
              <w:top w:val="single" w:color="000000" w:sz="4" w:space="0"/>
              <w:left w:val="single" w:color="000000" w:sz="4" w:space="0"/>
              <w:bottom w:val="single" w:color="000000" w:sz="4" w:space="0"/>
              <w:right w:val="single" w:color="000000" w:sz="4" w:space="0"/>
            </w:tcBorders>
            <w:vAlign w:val="center"/>
          </w:tcPr>
          <w:p w14:paraId="17A34422">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80</w:t>
            </w:r>
          </w:p>
        </w:tc>
        <w:tc>
          <w:tcPr>
            <w:tcW w:w="1418" w:type="dxa"/>
            <w:tcBorders>
              <w:top w:val="single" w:color="000000" w:sz="4" w:space="0"/>
              <w:left w:val="single" w:color="000000" w:sz="4" w:space="0"/>
              <w:bottom w:val="single" w:color="000000" w:sz="4" w:space="0"/>
              <w:right w:val="single" w:color="000000" w:sz="4" w:space="0"/>
            </w:tcBorders>
            <w:vAlign w:val="center"/>
          </w:tcPr>
          <w:p w14:paraId="1F4BD6DF">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仿宋" w:hAnsi="仿宋" w:eastAsia="仿宋" w:cs="仿宋"/>
                <w:kern w:val="0"/>
                <w:sz w:val="24"/>
                <w:szCs w:val="24"/>
                <w:highlight w:val="none"/>
                <w:lang w:val="en-US" w:eastAsia="zh-CN" w:bidi="ar-SA"/>
              </w:rPr>
            </w:pPr>
          </w:p>
        </w:tc>
        <w:tc>
          <w:tcPr>
            <w:tcW w:w="1061" w:type="dxa"/>
            <w:tcBorders>
              <w:top w:val="single" w:color="000000" w:sz="4" w:space="0"/>
              <w:left w:val="single" w:color="000000" w:sz="4" w:space="0"/>
              <w:bottom w:val="single" w:color="000000" w:sz="4" w:space="0"/>
              <w:right w:val="single" w:color="000000" w:sz="4" w:space="0"/>
            </w:tcBorders>
            <w:vAlign w:val="center"/>
          </w:tcPr>
          <w:p w14:paraId="6A409AAB">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仿宋" w:hAnsi="仿宋" w:eastAsia="仿宋" w:cs="仿宋"/>
                <w:kern w:val="0"/>
                <w:sz w:val="24"/>
                <w:szCs w:val="24"/>
                <w:highlight w:val="none"/>
                <w:lang w:val="en-US" w:eastAsia="zh-CN" w:bidi="ar-SA"/>
              </w:rPr>
            </w:pPr>
          </w:p>
        </w:tc>
        <w:tc>
          <w:tcPr>
            <w:tcW w:w="1061" w:type="dxa"/>
            <w:vMerge w:val="restart"/>
            <w:tcBorders>
              <w:top w:val="single" w:color="000000" w:sz="4" w:space="0"/>
              <w:left w:val="single" w:color="000000" w:sz="4" w:space="0"/>
              <w:right w:val="single" w:color="000000" w:sz="4" w:space="0"/>
            </w:tcBorders>
            <w:vAlign w:val="center"/>
          </w:tcPr>
          <w:p w14:paraId="4984415E">
            <w:pPr>
              <w:keepNext w:val="0"/>
              <w:keepLines w:val="0"/>
              <w:pageBreakBefore w:val="0"/>
              <w:kinsoku/>
              <w:overflowPunct/>
              <w:topLinePunct w:val="0"/>
              <w:autoSpaceDE/>
              <w:autoSpaceDN/>
              <w:bidi w:val="0"/>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固定综合单价，数量按实结算</w:t>
            </w:r>
          </w:p>
        </w:tc>
      </w:tr>
      <w:tr w14:paraId="53C844C0">
        <w:tblPrEx>
          <w:tblCellMar>
            <w:top w:w="0" w:type="dxa"/>
            <w:left w:w="108" w:type="dxa"/>
            <w:bottom w:w="0" w:type="dxa"/>
            <w:right w:w="108" w:type="dxa"/>
          </w:tblCellMar>
        </w:tblPrEx>
        <w:trPr>
          <w:trHeight w:val="629" w:hRule="exact"/>
          <w:jc w:val="center"/>
        </w:trPr>
        <w:tc>
          <w:tcPr>
            <w:tcW w:w="667" w:type="dxa"/>
            <w:tcBorders>
              <w:top w:val="single" w:color="000000" w:sz="4" w:space="0"/>
              <w:left w:val="single" w:color="000000" w:sz="4" w:space="0"/>
              <w:bottom w:val="single" w:color="000000" w:sz="4" w:space="0"/>
              <w:right w:val="single" w:color="000000" w:sz="4" w:space="0"/>
            </w:tcBorders>
            <w:vAlign w:val="center"/>
          </w:tcPr>
          <w:p w14:paraId="65B1B59B">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w:t>
            </w:r>
          </w:p>
        </w:tc>
        <w:tc>
          <w:tcPr>
            <w:tcW w:w="1754" w:type="dxa"/>
            <w:tcBorders>
              <w:top w:val="single" w:color="000000" w:sz="4" w:space="0"/>
              <w:left w:val="single" w:color="000000" w:sz="4" w:space="0"/>
              <w:bottom w:val="single" w:color="000000" w:sz="4" w:space="0"/>
              <w:right w:val="single" w:color="000000" w:sz="4" w:space="0"/>
            </w:tcBorders>
            <w:vAlign w:val="center"/>
          </w:tcPr>
          <w:p w14:paraId="355D9CAD">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kern w:val="0"/>
                <w:sz w:val="24"/>
                <w:szCs w:val="24"/>
                <w:highlight w:val="none"/>
                <w:lang w:val="en-US" w:eastAsia="zh-CN" w:bidi="ar-SA"/>
              </w:rPr>
              <w:t>泵送商品混凝土</w:t>
            </w:r>
          </w:p>
        </w:tc>
        <w:tc>
          <w:tcPr>
            <w:tcW w:w="676" w:type="dxa"/>
            <w:tcBorders>
              <w:top w:val="single" w:color="000000" w:sz="4" w:space="0"/>
              <w:left w:val="single" w:color="000000" w:sz="4" w:space="0"/>
              <w:bottom w:val="single" w:color="000000" w:sz="4" w:space="0"/>
              <w:right w:val="single" w:color="000000" w:sz="4" w:space="0"/>
            </w:tcBorders>
            <w:vAlign w:val="center"/>
          </w:tcPr>
          <w:p w14:paraId="48E18575">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kern w:val="0"/>
                <w:sz w:val="24"/>
                <w:szCs w:val="24"/>
                <w:highlight w:val="none"/>
                <w:lang w:val="en-US" w:eastAsia="zh-CN" w:bidi="ar-SA"/>
              </w:rPr>
              <w:t>C30</w:t>
            </w:r>
          </w:p>
        </w:tc>
        <w:tc>
          <w:tcPr>
            <w:tcW w:w="929" w:type="dxa"/>
            <w:tcBorders>
              <w:top w:val="single" w:color="000000" w:sz="4" w:space="0"/>
              <w:left w:val="single" w:color="000000" w:sz="4" w:space="0"/>
              <w:bottom w:val="single" w:color="000000" w:sz="4" w:space="0"/>
              <w:right w:val="single" w:color="000000" w:sz="4" w:space="0"/>
            </w:tcBorders>
            <w:vAlign w:val="center"/>
          </w:tcPr>
          <w:p w14:paraId="0432F71A">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立方米</w:t>
            </w:r>
          </w:p>
        </w:tc>
        <w:tc>
          <w:tcPr>
            <w:tcW w:w="1310" w:type="dxa"/>
            <w:tcBorders>
              <w:top w:val="single" w:color="000000" w:sz="4" w:space="0"/>
              <w:left w:val="single" w:color="000000" w:sz="4" w:space="0"/>
              <w:bottom w:val="single" w:color="000000" w:sz="4" w:space="0"/>
              <w:right w:val="single" w:color="000000" w:sz="4" w:space="0"/>
            </w:tcBorders>
            <w:vAlign w:val="center"/>
          </w:tcPr>
          <w:p w14:paraId="13ABEDAC">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360</w:t>
            </w:r>
          </w:p>
        </w:tc>
        <w:tc>
          <w:tcPr>
            <w:tcW w:w="1418" w:type="dxa"/>
            <w:tcBorders>
              <w:top w:val="single" w:color="000000" w:sz="4" w:space="0"/>
              <w:left w:val="single" w:color="000000" w:sz="4" w:space="0"/>
              <w:bottom w:val="single" w:color="000000" w:sz="4" w:space="0"/>
              <w:right w:val="single" w:color="000000" w:sz="4" w:space="0"/>
            </w:tcBorders>
            <w:vAlign w:val="center"/>
          </w:tcPr>
          <w:p w14:paraId="49DC46F9">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仿宋" w:hAnsi="仿宋" w:eastAsia="仿宋" w:cs="仿宋"/>
                <w:kern w:val="0"/>
                <w:sz w:val="24"/>
                <w:szCs w:val="24"/>
                <w:highlight w:val="none"/>
                <w:lang w:val="en-US" w:eastAsia="zh-CN" w:bidi="ar-SA"/>
              </w:rPr>
            </w:pPr>
          </w:p>
        </w:tc>
        <w:tc>
          <w:tcPr>
            <w:tcW w:w="1061" w:type="dxa"/>
            <w:tcBorders>
              <w:top w:val="single" w:color="000000" w:sz="4" w:space="0"/>
              <w:left w:val="single" w:color="000000" w:sz="4" w:space="0"/>
              <w:bottom w:val="single" w:color="000000" w:sz="4" w:space="0"/>
              <w:right w:val="single" w:color="000000" w:sz="4" w:space="0"/>
            </w:tcBorders>
            <w:vAlign w:val="center"/>
          </w:tcPr>
          <w:p w14:paraId="628274CE">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仿宋" w:hAnsi="仿宋" w:eastAsia="仿宋" w:cs="仿宋"/>
                <w:kern w:val="0"/>
                <w:sz w:val="24"/>
                <w:szCs w:val="24"/>
                <w:highlight w:val="none"/>
                <w:lang w:val="en-US" w:eastAsia="zh-CN" w:bidi="ar-SA"/>
              </w:rPr>
            </w:pPr>
          </w:p>
        </w:tc>
        <w:tc>
          <w:tcPr>
            <w:tcW w:w="1061" w:type="dxa"/>
            <w:vMerge w:val="continue"/>
            <w:tcBorders>
              <w:left w:val="single" w:color="000000" w:sz="4" w:space="0"/>
              <w:right w:val="single" w:color="000000" w:sz="4" w:space="0"/>
            </w:tcBorders>
            <w:vAlign w:val="center"/>
          </w:tcPr>
          <w:p w14:paraId="0C85EBAC">
            <w:pPr>
              <w:keepNext w:val="0"/>
              <w:keepLines w:val="0"/>
              <w:pageBreakBefore w:val="0"/>
              <w:kinsoku/>
              <w:overflowPunct/>
              <w:topLinePunct w:val="0"/>
              <w:autoSpaceDE/>
              <w:autoSpaceDN/>
              <w:bidi w:val="0"/>
              <w:spacing w:line="600" w:lineRule="exact"/>
              <w:jc w:val="center"/>
              <w:rPr>
                <w:rFonts w:hint="eastAsia" w:ascii="仿宋" w:hAnsi="仿宋" w:eastAsia="仿宋" w:cs="仿宋"/>
                <w:color w:val="auto"/>
                <w:sz w:val="24"/>
                <w:szCs w:val="24"/>
                <w:highlight w:val="none"/>
              </w:rPr>
            </w:pPr>
          </w:p>
        </w:tc>
      </w:tr>
      <w:tr w14:paraId="6AC2DAF6">
        <w:tblPrEx>
          <w:tblCellMar>
            <w:top w:w="0" w:type="dxa"/>
            <w:left w:w="108" w:type="dxa"/>
            <w:bottom w:w="0" w:type="dxa"/>
            <w:right w:w="108" w:type="dxa"/>
          </w:tblCellMar>
        </w:tblPrEx>
        <w:trPr>
          <w:trHeight w:val="609" w:hRule="exact"/>
          <w:jc w:val="center"/>
        </w:trPr>
        <w:tc>
          <w:tcPr>
            <w:tcW w:w="8876" w:type="dxa"/>
            <w:gridSpan w:val="8"/>
            <w:tcBorders>
              <w:top w:val="single" w:color="000000" w:sz="4" w:space="0"/>
              <w:left w:val="single" w:color="000000" w:sz="4" w:space="0"/>
              <w:bottom w:val="single" w:color="000000" w:sz="4" w:space="0"/>
              <w:right w:val="single" w:color="000000" w:sz="4" w:space="0"/>
            </w:tcBorders>
            <w:vAlign w:val="center"/>
          </w:tcPr>
          <w:p w14:paraId="693AFE74">
            <w:pPr>
              <w:keepNext w:val="0"/>
              <w:keepLines w:val="0"/>
              <w:pageBreakBefore w:val="0"/>
              <w:widowControl/>
              <w:kinsoku/>
              <w:overflowPunct/>
              <w:topLinePunct w:val="0"/>
              <w:autoSpaceDE/>
              <w:autoSpaceDN/>
              <w:bidi w:val="0"/>
              <w:spacing w:line="600" w:lineRule="exact"/>
              <w:jc w:val="center"/>
              <w:textAlignment w:val="center"/>
              <w:rPr>
                <w:rFonts w:hint="default"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eastAsia="zh-CN"/>
              </w:rPr>
              <w:t>合计（</w:t>
            </w:r>
            <w:r>
              <w:rPr>
                <w:rFonts w:hint="eastAsia" w:ascii="仿宋" w:hAnsi="仿宋" w:eastAsia="仿宋" w:cs="仿宋"/>
                <w:b/>
                <w:bCs/>
                <w:color w:val="auto"/>
                <w:kern w:val="0"/>
                <w:sz w:val="24"/>
                <w:szCs w:val="24"/>
                <w:highlight w:val="none"/>
                <w:lang w:val="en-US" w:eastAsia="zh-CN"/>
              </w:rPr>
              <w:t>含税，税率【    】%</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 xml:space="preserve">： </w:t>
            </w:r>
            <w:r>
              <w:rPr>
                <w:rFonts w:hint="eastAsia" w:ascii="仿宋" w:hAnsi="仿宋" w:eastAsia="仿宋" w:cs="仿宋"/>
                <w:b/>
                <w:bCs/>
                <w:color w:val="auto"/>
                <w:kern w:val="0"/>
                <w:sz w:val="24"/>
                <w:szCs w:val="24"/>
                <w:highlight w:val="none"/>
                <w:lang w:val="en-US" w:eastAsia="zh-CN"/>
              </w:rPr>
              <w:t xml:space="preserve">             元</w:t>
            </w:r>
          </w:p>
        </w:tc>
      </w:tr>
      <w:tr w14:paraId="3130718C">
        <w:tblPrEx>
          <w:tblCellMar>
            <w:top w:w="0" w:type="dxa"/>
            <w:left w:w="108" w:type="dxa"/>
            <w:bottom w:w="0" w:type="dxa"/>
            <w:right w:w="108" w:type="dxa"/>
          </w:tblCellMar>
        </w:tblPrEx>
        <w:trPr>
          <w:trHeight w:val="567" w:hRule="exact"/>
          <w:jc w:val="center"/>
        </w:trPr>
        <w:tc>
          <w:tcPr>
            <w:tcW w:w="8876" w:type="dxa"/>
            <w:gridSpan w:val="8"/>
            <w:tcBorders>
              <w:top w:val="single" w:color="000000" w:sz="4" w:space="0"/>
              <w:left w:val="single" w:color="000000" w:sz="4" w:space="0"/>
              <w:bottom w:val="single" w:color="000000" w:sz="4" w:space="0"/>
              <w:right w:val="single" w:color="000000" w:sz="4" w:space="0"/>
            </w:tcBorders>
            <w:vAlign w:val="center"/>
          </w:tcPr>
          <w:p w14:paraId="56ADBFE1">
            <w:pPr>
              <w:keepNext w:val="0"/>
              <w:keepLines w:val="0"/>
              <w:pageBreakBefore w:val="0"/>
              <w:widowControl/>
              <w:kinsoku/>
              <w:overflowPunct/>
              <w:topLinePunct w:val="0"/>
              <w:autoSpaceDE/>
              <w:autoSpaceDN/>
              <w:bidi w:val="0"/>
              <w:spacing w:line="600" w:lineRule="exact"/>
              <w:ind w:firstLine="2409" w:firstLineChars="1000"/>
              <w:jc w:val="both"/>
              <w:textAlignment w:val="center"/>
              <w:rPr>
                <w:rFonts w:hint="default"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eastAsia="zh-CN"/>
              </w:rPr>
              <w:t>大写：</w:t>
            </w:r>
            <w:r>
              <w:rPr>
                <w:rFonts w:hint="eastAsia" w:ascii="仿宋" w:hAnsi="仿宋" w:eastAsia="仿宋" w:cs="仿宋"/>
                <w:b/>
                <w:bCs/>
                <w:color w:val="auto"/>
                <w:kern w:val="0"/>
                <w:sz w:val="24"/>
                <w:szCs w:val="24"/>
                <w:highlight w:val="none"/>
                <w:lang w:val="en-US" w:eastAsia="zh-CN"/>
              </w:rPr>
              <w:t xml:space="preserve">                           </w:t>
            </w:r>
          </w:p>
        </w:tc>
      </w:tr>
    </w:tbl>
    <w:p w14:paraId="09B54526">
      <w:pPr>
        <w:jc w:val="left"/>
        <w:rPr>
          <w:rFonts w:ascii="仿宋" w:hAnsi="仿宋" w:eastAsia="仿宋" w:cs="仿宋"/>
          <w:sz w:val="28"/>
          <w:szCs w:val="28"/>
        </w:rPr>
      </w:pPr>
      <w:r>
        <w:rPr>
          <w:rFonts w:hint="eastAsia" w:ascii="仿宋" w:hAnsi="仿宋" w:eastAsia="仿宋" w:cs="仿宋"/>
          <w:sz w:val="28"/>
          <w:szCs w:val="28"/>
        </w:rPr>
        <w:t>本项目报价含税，税率</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2403C738">
      <w:pPr>
        <w:jc w:val="center"/>
        <w:rPr>
          <w:rFonts w:ascii="仿宋" w:hAnsi="仿宋" w:eastAsia="仿宋" w:cs="仿宋"/>
          <w:b/>
          <w:sz w:val="28"/>
          <w:szCs w:val="28"/>
        </w:rPr>
      </w:pPr>
      <w:r>
        <w:rPr>
          <w:rFonts w:hint="eastAsia"/>
          <w:b/>
          <w:sz w:val="28"/>
          <w:szCs w:val="28"/>
        </w:rPr>
        <w:t xml:space="preserve">               </w:t>
      </w:r>
      <w:r>
        <w:rPr>
          <w:rFonts w:hint="eastAsia" w:ascii="仿宋" w:hAnsi="仿宋" w:eastAsia="仿宋" w:cs="仿宋"/>
          <w:b/>
          <w:sz w:val="28"/>
          <w:szCs w:val="28"/>
        </w:rPr>
        <w:t xml:space="preserve">报价单位（盖公章）：                                </w:t>
      </w:r>
    </w:p>
    <w:p w14:paraId="1A224F08">
      <w:pPr>
        <w:jc w:val="center"/>
        <w:rPr>
          <w:rFonts w:ascii="仿宋" w:hAnsi="仿宋" w:eastAsia="仿宋" w:cs="仿宋"/>
          <w:b/>
          <w:sz w:val="28"/>
          <w:szCs w:val="28"/>
        </w:rPr>
      </w:pPr>
      <w:r>
        <w:rPr>
          <w:rFonts w:hint="eastAsia" w:ascii="仿宋" w:hAnsi="仿宋" w:eastAsia="仿宋" w:cs="仿宋"/>
          <w:b/>
          <w:sz w:val="28"/>
          <w:szCs w:val="28"/>
        </w:rPr>
        <w:t xml:space="preserve"> 日期：</w:t>
      </w:r>
      <w:bookmarkEnd w:id="34"/>
      <w:bookmarkEnd w:id="35"/>
      <w:bookmarkEnd w:id="43"/>
    </w:p>
    <w:p w14:paraId="2C2976B9">
      <w:pPr>
        <w:jc w:val="center"/>
        <w:rPr>
          <w:rFonts w:ascii="仿宋" w:hAnsi="仿宋" w:eastAsia="仿宋" w:cs="仿宋"/>
          <w:b/>
          <w:sz w:val="28"/>
          <w:szCs w:val="28"/>
        </w:rPr>
      </w:pPr>
    </w:p>
    <w:p w14:paraId="0F4F958E">
      <w:pPr>
        <w:jc w:val="center"/>
        <w:rPr>
          <w:rFonts w:ascii="仿宋" w:hAnsi="仿宋" w:eastAsia="仿宋" w:cs="仿宋"/>
          <w:b/>
          <w:sz w:val="28"/>
          <w:szCs w:val="28"/>
        </w:rPr>
      </w:pPr>
    </w:p>
    <w:p w14:paraId="17BF5D9C">
      <w:pPr>
        <w:jc w:val="center"/>
        <w:rPr>
          <w:rFonts w:ascii="仿宋" w:hAnsi="仿宋" w:eastAsia="仿宋" w:cs="仿宋"/>
          <w:b/>
          <w:sz w:val="28"/>
          <w:szCs w:val="28"/>
        </w:rPr>
      </w:pPr>
    </w:p>
    <w:p w14:paraId="45390DD2">
      <w:pPr>
        <w:widowControl/>
        <w:rPr>
          <w:rFonts w:hint="eastAsia" w:ascii="仿宋" w:hAnsi="仿宋" w:eastAsia="仿宋" w:cs="仿宋"/>
          <w:b/>
          <w:bCs/>
          <w:kern w:val="0"/>
          <w:sz w:val="36"/>
          <w:szCs w:val="36"/>
          <w:lang w:eastAsia="zh-CN"/>
        </w:rPr>
      </w:pPr>
    </w:p>
    <w:p w14:paraId="67CF60B0">
      <w:pPr>
        <w:pStyle w:val="2"/>
        <w:rPr>
          <w:rFonts w:hint="eastAsia"/>
          <w:lang w:eastAsia="zh-CN"/>
        </w:rPr>
      </w:pPr>
    </w:p>
    <w:p w14:paraId="27EE9C69">
      <w:pPr>
        <w:widowControl/>
        <w:jc w:val="center"/>
        <w:rPr>
          <w:rFonts w:ascii="仿宋" w:hAnsi="仿宋" w:eastAsia="仿宋" w:cs="仿宋"/>
          <w:b/>
          <w:bCs/>
          <w:kern w:val="0"/>
          <w:sz w:val="36"/>
          <w:szCs w:val="36"/>
        </w:rPr>
      </w:pPr>
      <w:r>
        <w:rPr>
          <w:rFonts w:ascii="仿宋" w:hAnsi="仿宋" w:eastAsia="仿宋" w:cs="仿宋"/>
          <w:b/>
          <w:bCs/>
          <w:kern w:val="0"/>
          <w:sz w:val="36"/>
          <w:szCs w:val="36"/>
        </w:rPr>
        <w:t>法定代表人授权</w:t>
      </w:r>
      <w:r>
        <w:rPr>
          <w:rFonts w:hint="eastAsia" w:ascii="仿宋" w:hAnsi="仿宋" w:eastAsia="仿宋" w:cs="仿宋"/>
          <w:b/>
          <w:bCs/>
          <w:kern w:val="0"/>
          <w:sz w:val="36"/>
          <w:szCs w:val="36"/>
        </w:rPr>
        <w:t>委托</w:t>
      </w:r>
      <w:r>
        <w:rPr>
          <w:rFonts w:ascii="仿宋" w:hAnsi="仿宋" w:eastAsia="仿宋" w:cs="仿宋"/>
          <w:b/>
          <w:bCs/>
          <w:kern w:val="0"/>
          <w:sz w:val="36"/>
          <w:szCs w:val="36"/>
        </w:rPr>
        <w:t>书</w:t>
      </w:r>
    </w:p>
    <w:p w14:paraId="466EF99B">
      <w:pPr>
        <w:adjustRightInd w:val="0"/>
        <w:snapToGrid w:val="0"/>
        <w:spacing w:line="360" w:lineRule="auto"/>
        <w:rPr>
          <w:rFonts w:ascii="仿宋" w:hAnsi="仿宋" w:eastAsia="仿宋" w:cs="仿宋"/>
          <w:kern w:val="0"/>
          <w:sz w:val="24"/>
          <w:lang w:val="zh-CN"/>
        </w:rPr>
      </w:pPr>
    </w:p>
    <w:p w14:paraId="7075BF0A">
      <w:pPr>
        <w:pStyle w:val="10"/>
        <w:spacing w:line="360" w:lineRule="auto"/>
        <w:rPr>
          <w:rFonts w:ascii="仿宋" w:hAnsi="仿宋" w:eastAsia="仿宋" w:cs="仿宋"/>
          <w:sz w:val="24"/>
        </w:rPr>
      </w:pPr>
      <w:r>
        <w:rPr>
          <w:rFonts w:hint="eastAsia" w:ascii="仿宋" w:hAnsi="仿宋" w:eastAsia="仿宋" w:cs="仿宋"/>
          <w:sz w:val="24"/>
          <w:u w:val="single"/>
        </w:rPr>
        <w:t xml:space="preserve"> （询价人）              </w:t>
      </w:r>
      <w:r>
        <w:rPr>
          <w:rFonts w:hint="eastAsia" w:ascii="仿宋" w:hAnsi="仿宋" w:eastAsia="仿宋" w:cs="仿宋"/>
          <w:sz w:val="24"/>
        </w:rPr>
        <w:t>：</w:t>
      </w:r>
    </w:p>
    <w:p w14:paraId="346437EF">
      <w:pPr>
        <w:pStyle w:val="10"/>
        <w:spacing w:line="360" w:lineRule="auto"/>
        <w:ind w:firstLine="480" w:firstLineChars="200"/>
        <w:rPr>
          <w:rFonts w:ascii="仿宋" w:hAnsi="仿宋" w:eastAsia="仿宋" w:cs="仿宋"/>
          <w:sz w:val="24"/>
        </w:rPr>
      </w:pPr>
      <w:r>
        <w:rPr>
          <w:rFonts w:hint="eastAsia" w:ascii="仿宋" w:hAnsi="仿宋" w:eastAsia="仿宋" w:cs="仿宋"/>
          <w:sz w:val="24"/>
          <w:u w:val="single"/>
        </w:rPr>
        <w:t>（报价人全称）</w:t>
      </w:r>
      <w:r>
        <w:rPr>
          <w:rFonts w:hint="eastAsia" w:ascii="仿宋" w:hAnsi="仿宋" w:eastAsia="仿宋" w:cs="仿宋"/>
          <w:sz w:val="24"/>
        </w:rPr>
        <w:t>法定代表人</w:t>
      </w:r>
      <w:r>
        <w:rPr>
          <w:rFonts w:hint="eastAsia" w:ascii="仿宋" w:hAnsi="仿宋" w:eastAsia="仿宋" w:cs="仿宋"/>
          <w:sz w:val="24"/>
          <w:u w:val="single"/>
        </w:rPr>
        <w:t>（法定代表人姓名）（身份证号）</w:t>
      </w:r>
      <w:r>
        <w:rPr>
          <w:rFonts w:hint="eastAsia" w:ascii="仿宋" w:hAnsi="仿宋" w:eastAsia="仿宋" w:cs="仿宋"/>
          <w:sz w:val="24"/>
        </w:rPr>
        <w:t>授权</w:t>
      </w:r>
      <w:r>
        <w:rPr>
          <w:rFonts w:hint="eastAsia" w:ascii="仿宋" w:hAnsi="仿宋" w:eastAsia="仿宋" w:cs="仿宋"/>
          <w:sz w:val="24"/>
          <w:u w:val="single"/>
        </w:rPr>
        <w:t xml:space="preserve"> （委托代理人姓名）               （身份证号）</w:t>
      </w:r>
      <w:r>
        <w:rPr>
          <w:rFonts w:hint="eastAsia" w:ascii="仿宋" w:hAnsi="仿宋" w:eastAsia="仿宋" w:cs="仿宋"/>
          <w:sz w:val="24"/>
        </w:rPr>
        <w:t>为委托代理人，参加贵单位组织的</w:t>
      </w:r>
      <w:r>
        <w:rPr>
          <w:rFonts w:hint="eastAsia" w:ascii="仿宋" w:hAnsi="仿宋" w:eastAsia="仿宋" w:cs="仿宋"/>
          <w:sz w:val="24"/>
          <w:u w:val="single"/>
        </w:rPr>
        <w:t xml:space="preserve">（项目名称）、（项目编号） </w:t>
      </w:r>
      <w:r>
        <w:rPr>
          <w:rFonts w:hint="eastAsia" w:ascii="仿宋" w:hAnsi="仿宋" w:eastAsia="仿宋" w:cs="仿宋"/>
          <w:sz w:val="24"/>
        </w:rPr>
        <w:t>的报价活动，并全权处理报价活动中的一切事宜。</w:t>
      </w:r>
    </w:p>
    <w:p w14:paraId="0CDF962F">
      <w:pPr>
        <w:pStyle w:val="10"/>
        <w:spacing w:line="360" w:lineRule="auto"/>
        <w:rPr>
          <w:rFonts w:ascii="仿宋" w:hAnsi="仿宋" w:eastAsia="仿宋" w:cs="仿宋"/>
          <w:sz w:val="24"/>
        </w:rPr>
      </w:pPr>
    </w:p>
    <w:p w14:paraId="37187B12">
      <w:pPr>
        <w:pStyle w:val="10"/>
        <w:spacing w:line="360" w:lineRule="auto"/>
        <w:rPr>
          <w:rFonts w:ascii="仿宋" w:hAnsi="仿宋" w:eastAsia="仿宋" w:cs="仿宋"/>
          <w:sz w:val="24"/>
        </w:rPr>
      </w:pPr>
    </w:p>
    <w:p w14:paraId="10C35CE1">
      <w:pPr>
        <w:adjustRightInd w:val="0"/>
        <w:snapToGrid w:val="0"/>
        <w:spacing w:line="360" w:lineRule="auto"/>
        <w:rPr>
          <w:rFonts w:ascii="仿宋" w:hAnsi="仿宋" w:eastAsia="仿宋" w:cs="仿宋"/>
          <w:kern w:val="0"/>
          <w:sz w:val="24"/>
        </w:rPr>
      </w:pPr>
      <w:r>
        <w:rPr>
          <w:rFonts w:hint="eastAsia" w:ascii="仿宋" w:hAnsi="仿宋" w:eastAsia="仿宋" w:cs="仿宋"/>
          <w:kern w:val="0"/>
          <w:sz w:val="24"/>
          <w:lang w:val="zh-CN"/>
        </w:rPr>
        <w:t>报价人（</w:t>
      </w:r>
      <w:r>
        <w:rPr>
          <w:rFonts w:hint="eastAsia" w:ascii="仿宋" w:hAnsi="仿宋" w:eastAsia="仿宋" w:cs="仿宋"/>
          <w:kern w:val="0"/>
          <w:sz w:val="24"/>
        </w:rPr>
        <w:t>盖公章</w:t>
      </w:r>
      <w:r>
        <w:rPr>
          <w:rFonts w:hint="eastAsia" w:ascii="仿宋" w:hAnsi="仿宋" w:eastAsia="仿宋" w:cs="仿宋"/>
          <w:kern w:val="0"/>
          <w:sz w:val="24"/>
          <w:lang w:val="zh-CN"/>
        </w:rPr>
        <w:t>)：</w:t>
      </w:r>
    </w:p>
    <w:p w14:paraId="43B5D59A">
      <w:pPr>
        <w:adjustRightInd w:val="0"/>
        <w:snapToGrid w:val="0"/>
        <w:spacing w:line="360" w:lineRule="auto"/>
        <w:rPr>
          <w:rFonts w:ascii="仿宋" w:hAnsi="仿宋" w:eastAsia="仿宋" w:cs="仿宋"/>
          <w:kern w:val="0"/>
          <w:sz w:val="24"/>
        </w:rPr>
      </w:pPr>
      <w:r>
        <w:rPr>
          <w:rFonts w:hint="eastAsia" w:ascii="仿宋" w:hAnsi="仿宋" w:eastAsia="仿宋" w:cs="仿宋"/>
          <w:kern w:val="0"/>
          <w:sz w:val="24"/>
          <w:lang w:val="zh-CN"/>
        </w:rPr>
        <w:t>法定代表人(签字或盖章)：</w:t>
      </w:r>
    </w:p>
    <w:p w14:paraId="70CD96C3">
      <w:pPr>
        <w:adjustRightInd w:val="0"/>
        <w:snapToGrid w:val="0"/>
        <w:spacing w:line="360" w:lineRule="auto"/>
        <w:rPr>
          <w:rFonts w:ascii="仿宋" w:hAnsi="仿宋" w:eastAsia="仿宋" w:cs="仿宋"/>
          <w:kern w:val="0"/>
          <w:sz w:val="24"/>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7AF64724">
      <w:pPr>
        <w:pStyle w:val="10"/>
        <w:spacing w:line="360" w:lineRule="auto"/>
        <w:rPr>
          <w:rFonts w:ascii="仿宋" w:hAnsi="仿宋" w:eastAsia="仿宋" w:cs="仿宋"/>
          <w:sz w:val="24"/>
        </w:rPr>
      </w:pPr>
    </w:p>
    <w:p w14:paraId="2411FB7A">
      <w:pPr>
        <w:pStyle w:val="10"/>
        <w:spacing w:line="360" w:lineRule="auto"/>
        <w:rPr>
          <w:rFonts w:ascii="仿宋" w:hAnsi="仿宋" w:eastAsia="仿宋" w:cs="仿宋"/>
          <w:sz w:val="24"/>
        </w:rPr>
      </w:pPr>
      <w:r>
        <w:rPr>
          <w:rFonts w:hint="eastAsia" w:ascii="仿宋" w:hAnsi="仿宋" w:eastAsia="仿宋" w:cs="仿宋"/>
          <w:sz w:val="24"/>
        </w:rPr>
        <w:t>附：</w:t>
      </w:r>
    </w:p>
    <w:p w14:paraId="72B9F33C">
      <w:pPr>
        <w:pStyle w:val="10"/>
        <w:spacing w:line="360" w:lineRule="auto"/>
        <w:rPr>
          <w:rFonts w:ascii="仿宋" w:hAnsi="仿宋" w:eastAsia="仿宋" w:cs="仿宋"/>
          <w:sz w:val="24"/>
        </w:rPr>
      </w:pPr>
      <w:r>
        <w:rPr>
          <w:rFonts w:hint="eastAsia" w:ascii="仿宋" w:hAnsi="仿宋" w:eastAsia="仿宋" w:cs="仿宋"/>
          <w:sz w:val="24"/>
        </w:rPr>
        <w:t>委托代理人姓名：</w:t>
      </w:r>
    </w:p>
    <w:p w14:paraId="26C8095C">
      <w:pPr>
        <w:pStyle w:val="10"/>
        <w:spacing w:line="360" w:lineRule="auto"/>
        <w:rPr>
          <w:rFonts w:ascii="仿宋" w:hAnsi="仿宋" w:eastAsia="仿宋" w:cs="仿宋"/>
          <w:sz w:val="24"/>
        </w:rPr>
      </w:pPr>
      <w:r>
        <w:rPr>
          <w:rFonts w:hint="eastAsia" w:ascii="仿宋" w:hAnsi="仿宋" w:eastAsia="仿宋" w:cs="仿宋"/>
          <w:sz w:val="24"/>
        </w:rPr>
        <w:t>职务：</w:t>
      </w:r>
    </w:p>
    <w:p w14:paraId="4E964F78">
      <w:pPr>
        <w:pStyle w:val="10"/>
        <w:spacing w:line="360" w:lineRule="auto"/>
        <w:rPr>
          <w:rFonts w:ascii="仿宋" w:hAnsi="仿宋" w:eastAsia="仿宋" w:cs="仿宋"/>
          <w:sz w:val="24"/>
        </w:rPr>
      </w:pPr>
      <w:r>
        <w:rPr>
          <w:rFonts w:hint="eastAsia" w:ascii="仿宋" w:hAnsi="仿宋" w:eastAsia="仿宋" w:cs="仿宋"/>
          <w:sz w:val="24"/>
        </w:rPr>
        <w:t>详细通讯地址：</w:t>
      </w:r>
    </w:p>
    <w:p w14:paraId="453AF08F">
      <w:pPr>
        <w:pStyle w:val="10"/>
        <w:spacing w:line="360" w:lineRule="auto"/>
        <w:rPr>
          <w:rFonts w:ascii="仿宋" w:hAnsi="仿宋" w:eastAsia="仿宋" w:cs="仿宋"/>
          <w:sz w:val="24"/>
        </w:rPr>
      </w:pPr>
      <w:r>
        <w:rPr>
          <w:rFonts w:hint="eastAsia" w:ascii="仿宋" w:hAnsi="仿宋" w:eastAsia="仿宋" w:cs="仿宋"/>
          <w:sz w:val="24"/>
        </w:rPr>
        <w:t>电话：</w:t>
      </w:r>
    </w:p>
    <w:p w14:paraId="064E33A6">
      <w:pPr>
        <w:pStyle w:val="10"/>
        <w:spacing w:line="360" w:lineRule="auto"/>
        <w:ind w:firstLine="420" w:firstLineChars="200"/>
        <w:rPr>
          <w:rFonts w:ascii="仿宋" w:hAnsi="仿宋" w:eastAsia="仿宋" w:cs="仿宋"/>
        </w:rPr>
      </w:pPr>
    </w:p>
    <w:p w14:paraId="4E18D547">
      <w:pPr>
        <w:widowControl/>
        <w:spacing w:line="360" w:lineRule="auto"/>
        <w:rPr>
          <w:rFonts w:ascii="仿宋" w:hAnsi="仿宋" w:eastAsia="仿宋" w:cs="仿宋"/>
          <w:sz w:val="24"/>
        </w:rPr>
      </w:pPr>
      <w:r>
        <w:rPr>
          <w:rFonts w:hint="eastAsia" w:ascii="仿宋" w:hAnsi="仿宋" w:eastAsia="仿宋" w:cs="仿宋"/>
          <w:b/>
          <w:sz w:val="24"/>
        </w:rPr>
        <w:t>附：委托代理人身份证复印件和法人代表身份证复印件（加盖公章）（若报价代表为法人代表，则提供法人代表身份证复印件，无需提供委托书和委托人身份证复印件）</w:t>
      </w:r>
    </w:p>
    <w:p w14:paraId="74F195E9">
      <w:pPr>
        <w:rPr>
          <w:rFonts w:ascii="仿宋" w:hAnsi="仿宋" w:eastAsia="仿宋" w:cs="仿宋"/>
          <w:sz w:val="24"/>
        </w:rPr>
      </w:pPr>
    </w:p>
    <w:p w14:paraId="3C6E60B8">
      <w:pPr>
        <w:rPr>
          <w:rFonts w:ascii="仿宋" w:hAnsi="仿宋" w:eastAsia="仿宋" w:cs="仿宋"/>
          <w:sz w:val="24"/>
        </w:rPr>
      </w:pPr>
    </w:p>
    <w:sectPr>
      <w:footerReference r:id="rId3" w:type="default"/>
      <w:pgSz w:w="11906" w:h="16838"/>
      <w:pgMar w:top="1440" w:right="1474"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05B43">
    <w:pPr>
      <w:pStyle w:val="1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70F6A73">
                          <w:pPr>
                            <w:pStyle w:val="12"/>
                          </w:pPr>
                          <w:r>
                            <w:fldChar w:fldCharType="begin"/>
                          </w:r>
                          <w:r>
                            <w:instrText xml:space="preserve"> PAGE  \* MERGEFORMAT </w:instrText>
                          </w:r>
                          <w:r>
                            <w:fldChar w:fldCharType="separate"/>
                          </w:r>
                          <w:r>
                            <w:t>8</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370F6A73">
                    <w:pPr>
                      <w:pStyle w:val="12"/>
                    </w:pPr>
                    <w:r>
                      <w:fldChar w:fldCharType="begin"/>
                    </w:r>
                    <w:r>
                      <w:instrText xml:space="preserve"> PAGE  \* MERGEFORMAT </w:instrText>
                    </w:r>
                    <w:r>
                      <w:fldChar w:fldCharType="separate"/>
                    </w:r>
                    <w:r>
                      <w:t>8</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decimal"/>
      <w:suff w:val="nothing"/>
      <w:lvlText w:val="%1、"/>
      <w:lvlJc w:val="left"/>
    </w:lvl>
  </w:abstractNum>
  <w:abstractNum w:abstractNumId="1">
    <w:nsid w:val="00000001"/>
    <w:multiLevelType w:val="singleLevel"/>
    <w:tmpl w:val="00000001"/>
    <w:lvl w:ilvl="0" w:tentative="0">
      <w:start w:val="1"/>
      <w:numFmt w:val="decimal"/>
      <w:pStyle w:val="6"/>
      <w:lvlText w:val="%1."/>
      <w:lvlJc w:val="left"/>
      <w:pPr>
        <w:tabs>
          <w:tab w:val="left"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ZmM3ODVhOGU3Y2NjMGE2Yzg1MmI1MGYxYzc0OTgifQ=="/>
  </w:docVars>
  <w:rsids>
    <w:rsidRoot w:val="00000000"/>
    <w:rsid w:val="06D64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7"/>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character" w:default="1" w:styleId="22">
    <w:name w:val="Default Paragraph Font"/>
    <w:qFormat/>
    <w:uiPriority w:val="1"/>
  </w:style>
  <w:style w:type="table" w:default="1" w:styleId="20">
    <w:name w:val="Normal Table"/>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pPr>
  </w:style>
  <w:style w:type="paragraph" w:styleId="3">
    <w:name w:val="Body Text"/>
    <w:basedOn w:val="1"/>
    <w:qFormat/>
    <w:uiPriority w:val="0"/>
    <w:pPr>
      <w:autoSpaceDE w:val="0"/>
      <w:autoSpaceDN w:val="0"/>
      <w:adjustRightInd w:val="0"/>
      <w:spacing w:line="360" w:lineRule="auto"/>
    </w:pPr>
    <w:rPr>
      <w:rFonts w:ascii="宋体"/>
      <w:sz w:val="24"/>
      <w:lang w:val="zh-CN"/>
    </w:rPr>
  </w:style>
  <w:style w:type="paragraph" w:styleId="6">
    <w:name w:val="List Number"/>
    <w:basedOn w:val="1"/>
    <w:qFormat/>
    <w:uiPriority w:val="0"/>
    <w:pPr>
      <w:numPr>
        <w:ilvl w:val="0"/>
        <w:numId w:val="1"/>
      </w:numPr>
    </w:pPr>
  </w:style>
  <w:style w:type="paragraph" w:styleId="7">
    <w:name w:val="Normal Indent"/>
    <w:basedOn w:val="1"/>
    <w:next w:val="1"/>
    <w:qFormat/>
    <w:uiPriority w:val="0"/>
    <w:pPr>
      <w:ind w:firstLine="420"/>
    </w:pPr>
  </w:style>
  <w:style w:type="paragraph" w:styleId="8">
    <w:name w:val="annotation text"/>
    <w:basedOn w:val="1"/>
    <w:qFormat/>
    <w:uiPriority w:val="0"/>
    <w:pPr>
      <w:jc w:val="left"/>
    </w:pPr>
  </w:style>
  <w:style w:type="paragraph" w:styleId="9">
    <w:name w:val="Body Text Indent"/>
    <w:basedOn w:val="1"/>
    <w:next w:val="1"/>
    <w:qFormat/>
    <w:uiPriority w:val="99"/>
    <w:pPr>
      <w:adjustRightInd w:val="0"/>
      <w:spacing w:line="360" w:lineRule="auto"/>
      <w:ind w:firstLine="490"/>
      <w:jc w:val="left"/>
    </w:pPr>
    <w:rPr>
      <w:rFonts w:hint="eastAsia" w:ascii="宋体" w:hAnsi="宋体"/>
      <w:sz w:val="24"/>
      <w:szCs w:val="20"/>
    </w:rPr>
  </w:style>
  <w:style w:type="paragraph" w:styleId="10">
    <w:name w:val="Plain Text"/>
    <w:basedOn w:val="1"/>
    <w:next w:val="11"/>
    <w:qFormat/>
    <w:uiPriority w:val="0"/>
    <w:rPr>
      <w:rFonts w:ascii="宋体" w:hAnsi="Courier New"/>
    </w:rPr>
  </w:style>
  <w:style w:type="paragraph" w:styleId="11">
    <w:name w:val="Date"/>
    <w:basedOn w:val="1"/>
    <w:next w:val="1"/>
    <w:qFormat/>
    <w:uiPriority w:val="0"/>
    <w:rPr>
      <w:spacing w:val="20"/>
      <w:sz w:val="28"/>
      <w:szCs w:val="20"/>
    </w:rPr>
  </w:style>
  <w:style w:type="paragraph" w:styleId="12">
    <w:name w:val="footer"/>
    <w:basedOn w:val="1"/>
    <w:link w:val="35"/>
    <w:qFormat/>
    <w:uiPriority w:val="0"/>
    <w:pPr>
      <w:tabs>
        <w:tab w:val="center" w:pos="4153"/>
        <w:tab w:val="right" w:pos="8306"/>
      </w:tabs>
      <w:snapToGrid w:val="0"/>
      <w:jc w:val="left"/>
    </w:pPr>
    <w:rPr>
      <w:sz w:val="18"/>
      <w:szCs w:val="18"/>
    </w:rPr>
  </w:style>
  <w:style w:type="paragraph" w:styleId="13">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left" w:pos="840"/>
        <w:tab w:val="right" w:leader="dot" w:pos="8296"/>
      </w:tabs>
    </w:pPr>
  </w:style>
  <w:style w:type="paragraph" w:styleId="15">
    <w:name w:val="toc 6"/>
    <w:basedOn w:val="1"/>
    <w:next w:val="1"/>
    <w:qFormat/>
    <w:uiPriority w:val="0"/>
    <w:pPr>
      <w:ind w:left="2100" w:leftChars="1000"/>
    </w:pPr>
    <w:rPr>
      <w:rFonts w:ascii="Calibri" w:hAnsi="Calibri" w:eastAsia="微软雅黑"/>
    </w:rPr>
  </w:style>
  <w:style w:type="paragraph" w:styleId="16">
    <w:name w:val="toc 2"/>
    <w:basedOn w:val="1"/>
    <w:next w:val="1"/>
    <w:qFormat/>
    <w:uiPriority w:val="0"/>
    <w:pPr>
      <w:ind w:left="420" w:leftChars="200"/>
    </w:p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8">
    <w:name w:val="Normal (Web)"/>
    <w:basedOn w:val="1"/>
    <w:qFormat/>
    <w:uiPriority w:val="0"/>
    <w:pPr>
      <w:spacing w:beforeAutospacing="1" w:afterAutospacing="1"/>
      <w:jc w:val="left"/>
    </w:pPr>
    <w:rPr>
      <w:kern w:val="0"/>
      <w:sz w:val="24"/>
    </w:rPr>
  </w:style>
  <w:style w:type="paragraph" w:styleId="19">
    <w:name w:val="Body Text First Indent 2"/>
    <w:basedOn w:val="9"/>
    <w:next w:val="1"/>
    <w:qFormat/>
    <w:uiPriority w:val="0"/>
    <w:pPr>
      <w:adjustRightInd/>
      <w:spacing w:after="120" w:line="240" w:lineRule="auto"/>
      <w:ind w:left="420" w:leftChars="200" w:firstLine="210"/>
    </w:pPr>
    <w:rPr>
      <w:sz w:val="21"/>
    </w:rPr>
  </w:style>
  <w:style w:type="table" w:styleId="21">
    <w:name w:val="Table Grid"/>
    <w:basedOn w:val="20"/>
    <w:qFormat/>
    <w:uiPriority w:val="0"/>
    <w:pPr>
      <w:widowControl w:val="0"/>
      <w:jc w:val="both"/>
    </w:pPr>
    <w:rPr>
      <w:rFonts w:ascii="Calibri" w:hAnsi="Calibri" w:eastAsia="宋体"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Emphasis"/>
    <w:basedOn w:val="22"/>
    <w:qFormat/>
    <w:uiPriority w:val="0"/>
    <w:rPr>
      <w:i/>
    </w:rPr>
  </w:style>
  <w:style w:type="character" w:styleId="25">
    <w:name w:val="Hyperlink"/>
    <w:basedOn w:val="22"/>
    <w:qFormat/>
    <w:uiPriority w:val="0"/>
    <w:rPr>
      <w:color w:val="0000FF"/>
      <w:u w:val="single"/>
    </w:rPr>
  </w:style>
  <w:style w:type="character" w:styleId="26">
    <w:name w:val="HTML Sample"/>
    <w:basedOn w:val="22"/>
    <w:qFormat/>
    <w:uiPriority w:val="0"/>
    <w:rPr>
      <w:rFonts w:ascii="Courier New" w:hAnsi="Courier New"/>
    </w:rPr>
  </w:style>
  <w:style w:type="paragraph" w:customStyle="1" w:styleId="27">
    <w:name w:val="Default"/>
    <w:next w:val="28"/>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9">
    <w:name w:val="表格文字"/>
    <w:basedOn w:val="30"/>
    <w:next w:val="3"/>
    <w:qFormat/>
    <w:uiPriority w:val="99"/>
    <w:pPr>
      <w:adjustRightInd w:val="0"/>
      <w:spacing w:line="420" w:lineRule="atLeast"/>
      <w:jc w:val="left"/>
      <w:textAlignment w:val="baseline"/>
    </w:pPr>
    <w:rPr>
      <w:rFonts w:ascii="Times New Roman" w:hAnsi="Times New Roman"/>
      <w:kern w:val="0"/>
    </w:rPr>
  </w:style>
  <w:style w:type="paragraph" w:customStyle="1" w:styleId="30">
    <w:name w:val="正文11"/>
    <w:basedOn w:val="31"/>
    <w:next w:val="29"/>
    <w:qFormat/>
    <w:uiPriority w:val="0"/>
    <w:pPr>
      <w:widowControl/>
      <w:spacing w:before="100" w:beforeAutospacing="1" w:after="100" w:afterAutospacing="1" w:line="360" w:lineRule="auto"/>
      <w:ind w:left="499" w:firstLine="499"/>
    </w:pPr>
    <w:rPr>
      <w:rFonts w:ascii="宋体" w:hAnsi="宋体" w:cs="Times New Roman"/>
      <w:kern w:val="21"/>
      <w:sz w:val="24"/>
      <w:szCs w:val="24"/>
    </w:rPr>
  </w:style>
  <w:style w:type="paragraph" w:customStyle="1" w:styleId="31">
    <w:name w:val="Normal_0"/>
    <w:basedOn w:val="32"/>
    <w:qFormat/>
    <w:uiPriority w:val="99"/>
    <w:rPr>
      <w:rFonts w:ascii="Times New Roman" w:hAnsi="Times New Roman" w:cs="Calibri"/>
      <w:szCs w:val="21"/>
    </w:rPr>
  </w:style>
  <w:style w:type="paragraph" w:customStyle="1" w:styleId="32">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_Style 2"/>
    <w:basedOn w:val="1"/>
    <w:qFormat/>
    <w:uiPriority w:val="0"/>
    <w:pPr>
      <w:ind w:firstLine="200" w:firstLineChars="200"/>
    </w:pPr>
    <w:rPr>
      <w:rFonts w:ascii="Calibri" w:hAnsi="Calibri"/>
      <w:sz w:val="28"/>
      <w:szCs w:val="22"/>
    </w:rPr>
  </w:style>
  <w:style w:type="character" w:customStyle="1" w:styleId="34">
    <w:name w:val="页眉 Char"/>
    <w:basedOn w:val="22"/>
    <w:link w:val="13"/>
    <w:qFormat/>
    <w:uiPriority w:val="0"/>
    <w:rPr>
      <w:kern w:val="2"/>
      <w:sz w:val="18"/>
      <w:szCs w:val="18"/>
    </w:rPr>
  </w:style>
  <w:style w:type="character" w:customStyle="1" w:styleId="35">
    <w:name w:val="页脚 Char"/>
    <w:basedOn w:val="22"/>
    <w:link w:val="12"/>
    <w:qFormat/>
    <w:uiPriority w:val="0"/>
    <w:rPr>
      <w:kern w:val="2"/>
      <w:sz w:val="18"/>
      <w:szCs w:val="18"/>
    </w:rPr>
  </w:style>
  <w:style w:type="paragraph" w:customStyle="1" w:styleId="36">
    <w:name w:val="纯文本1"/>
    <w:basedOn w:val="1"/>
    <w:qFormat/>
    <w:uiPriority w:val="99"/>
    <w:rPr>
      <w:rFonts w:ascii="宋体" w:hAnsi="Courier New"/>
    </w:rPr>
  </w:style>
  <w:style w:type="paragraph" w:customStyle="1" w:styleId="37">
    <w:name w:val="Other|1"/>
    <w:basedOn w:val="1"/>
    <w:qFormat/>
    <w:uiPriority w:val="0"/>
    <w:rPr>
      <w:rFonts w:ascii="宋体" w:hAnsi="宋体" w:cs="宋体"/>
      <w:sz w:val="20"/>
      <w:szCs w:val="20"/>
      <w:lang w:val="zh-TW" w:eastAsia="zh-TW" w:bidi="zh-TW"/>
    </w:rPr>
  </w:style>
  <w:style w:type="paragraph" w:customStyle="1" w:styleId="38">
    <w:name w:val="Body text|1"/>
    <w:basedOn w:val="1"/>
    <w:qFormat/>
    <w:uiPriority w:val="0"/>
    <w:pPr>
      <w:spacing w:after="240"/>
      <w:jc w:val="center"/>
    </w:pPr>
    <w:rPr>
      <w:rFonts w:ascii="宋体" w:hAnsi="宋体" w:cs="宋体"/>
      <w:sz w:val="28"/>
      <w:szCs w:val="28"/>
      <w:lang w:val="zh-TW" w:eastAsia="zh-TW" w:bidi="zh-TW"/>
    </w:rPr>
  </w:style>
  <w:style w:type="paragraph" w:customStyle="1" w:styleId="39">
    <w:name w:val="列出段落1"/>
    <w:basedOn w:val="1"/>
    <w:qFormat/>
    <w:uiPriority w:val="0"/>
    <w:pPr>
      <w:ind w:firstLine="420" w:firstLineChars="200"/>
    </w:pPr>
    <w:rPr>
      <w:rFonts w:ascii="Calibri" w:hAnsi="Calibri" w:eastAsia="微软雅黑"/>
    </w:rPr>
  </w:style>
  <w:style w:type="paragraph" w:customStyle="1" w:styleId="40">
    <w:name w:val="列出段落2"/>
    <w:basedOn w:val="1"/>
    <w:qFormat/>
    <w:uiPriority w:val="99"/>
    <w:pPr>
      <w:ind w:firstLine="420" w:firstLineChars="200"/>
    </w:pPr>
  </w:style>
  <w:style w:type="paragraph" w:customStyle="1" w:styleId="41">
    <w:name w:val="表正文"/>
    <w:basedOn w:val="1"/>
    <w:next w:val="10"/>
    <w:qFormat/>
    <w:uiPriority w:val="0"/>
    <w:rPr>
      <w:rFonts w:ascii="宋体" w:hAnsi="Courier New"/>
    </w:rPr>
  </w:style>
  <w:style w:type="paragraph" w:customStyle="1" w:styleId="42">
    <w:name w:val="WPSOffice手动目录 1"/>
    <w:qFormat/>
    <w:uiPriority w:val="0"/>
    <w:rPr>
      <w:rFonts w:ascii="Times New Roman" w:hAnsi="Times New Roman" w:eastAsia="宋体" w:cs="Times New Roman"/>
      <w:lang w:val="en-US" w:eastAsia="zh-CN" w:bidi="ar-SA"/>
    </w:rPr>
  </w:style>
  <w:style w:type="paragraph" w:customStyle="1" w:styleId="4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4">
    <w:name w:val="正文2"/>
    <w:basedOn w:val="1"/>
    <w:qFormat/>
    <w:uiPriority w:val="0"/>
    <w:pPr>
      <w:spacing w:before="156" w:line="360" w:lineRule="auto"/>
      <w:ind w:firstLine="510" w:firstLineChars="200"/>
    </w:pPr>
    <w:rPr>
      <w:sz w:val="24"/>
      <w:szCs w:val="20"/>
    </w:rPr>
  </w:style>
  <w:style w:type="paragraph" w:customStyle="1" w:styleId="45">
    <w:name w:val="样式 标题 1 + 四号 加粗"/>
    <w:basedOn w:val="4"/>
    <w:qFormat/>
    <w:uiPriority w:val="0"/>
  </w:style>
  <w:style w:type="paragraph" w:customStyle="1" w:styleId="46">
    <w:name w:val="[Normal]"/>
    <w:qFormat/>
    <w:uiPriority w:val="0"/>
    <w:rPr>
      <w:rFonts w:ascii="宋体" w:hAnsi="宋体" w:eastAsia="宋体" w:cs="Times New Roman"/>
      <w:sz w:val="24"/>
      <w:szCs w:val="22"/>
      <w:lang w:val="zh-CN" w:eastAsia="zh-CN" w:bidi="ar-SA"/>
    </w:rPr>
  </w:style>
  <w:style w:type="character" w:customStyle="1" w:styleId="47">
    <w:name w:val="标题 2 Char"/>
    <w:link w:val="5"/>
    <w:qFormat/>
    <w:uiPriority w:val="0"/>
    <w:rPr>
      <w:rFonts w:ascii="仿宋_GB2312" w:hAnsi="仿宋" w:eastAsia="仿宋_GB2312"/>
      <w:b/>
      <w:bCs/>
      <w:sz w:val="32"/>
      <w:szCs w:val="32"/>
      <w:lang w:val="zh-CN"/>
    </w:rPr>
  </w:style>
  <w:style w:type="paragraph" w:customStyle="1" w:styleId="48">
    <w:name w:val="WPSOffice手动目录 3"/>
    <w:qFormat/>
    <w:uiPriority w:val="0"/>
    <w:pPr>
      <w:ind w:left="400" w:leftChars="400"/>
    </w:pPr>
    <w:rPr>
      <w:rFonts w:ascii="Times New Roman" w:hAnsi="Times New Roman" w:eastAsia="宋体" w:cs="Times New Roman"/>
      <w:lang w:val="en-US" w:eastAsia="zh-CN" w:bidi="ar-SA"/>
    </w:rPr>
  </w:style>
  <w:style w:type="paragraph" w:styleId="4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3611</Words>
  <Characters>3803</Characters>
  <Paragraphs>180</Paragraphs>
  <TotalTime>1</TotalTime>
  <ScaleCrop>false</ScaleCrop>
  <LinksUpToDate>false</LinksUpToDate>
  <CharactersWithSpaces>4146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2021-05-17T11:00:00Z</dcterms:created>
  <dc:creator>Administrator</dc:creator>
  <cp:lastModifiedBy>付佳卉</cp:lastModifiedBy>
  <cp:lastPrinted>2024-06-24T02:18:00Z</cp:lastPrinted>
  <dcterms:modified xsi:type="dcterms:W3CDTF">2025-03-10T09:37:48Z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E24D8FAD6B234899AFD48ADEBE8B1075_13</vt:lpwstr>
  </property>
  <property fmtid="{D5CDD505-2E9C-101B-9397-08002B2CF9AE}" pid="4" name="KSOTemplateDocerSaveRecord">
    <vt:lpwstr>eyJoZGlkIjoiYTAyMTY0MDA1NTQxMjI2OTJjY2Q0NDJkNDVhYTQ0OWMiLCJ1c2VySWQiOiI1NTEwMTk0ODAifQ==</vt:lpwstr>
  </property>
</Properties>
</file>