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C4243">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仿宋" w:hAnsi="仿宋" w:eastAsia="仿宋" w:cs="仿宋"/>
          <w:b/>
          <w:bCs/>
          <w:color w:val="auto"/>
          <w:spacing w:val="0"/>
          <w:kern w:val="0"/>
          <w:sz w:val="48"/>
          <w:szCs w:val="48"/>
          <w:highlight w:val="none"/>
          <w:lang w:eastAsia="zh-CN"/>
        </w:rPr>
      </w:pPr>
      <w:r>
        <w:rPr>
          <w:rFonts w:hint="eastAsia" w:ascii="仿宋" w:hAnsi="仿宋" w:eastAsia="仿宋" w:cs="仿宋"/>
          <w:b/>
          <w:bCs/>
          <w:color w:val="auto"/>
          <w:spacing w:val="0"/>
          <w:kern w:val="0"/>
          <w:sz w:val="44"/>
          <w:szCs w:val="44"/>
          <w:highlight w:val="none"/>
          <w:lang w:eastAsia="zh-CN"/>
        </w:rPr>
        <w:t xml:space="preserve">嵊州市水务投资发展集团有限公司及下属子公司保险服务项目 </w:t>
      </w:r>
      <w:r>
        <w:rPr>
          <w:rFonts w:hint="eastAsia" w:ascii="仿宋" w:hAnsi="仿宋" w:eastAsia="仿宋" w:cs="仿宋"/>
          <w:b/>
          <w:bCs/>
          <w:color w:val="auto"/>
          <w:spacing w:val="0"/>
          <w:kern w:val="0"/>
          <w:sz w:val="48"/>
          <w:szCs w:val="48"/>
          <w:highlight w:val="none"/>
          <w:lang w:eastAsia="zh-CN"/>
        </w:rPr>
        <w:t xml:space="preserve"> </w:t>
      </w:r>
    </w:p>
    <w:p w14:paraId="741ED9FC">
      <w:pPr>
        <w:keepNext w:val="0"/>
        <w:keepLines w:val="0"/>
        <w:pageBreakBefore w:val="0"/>
        <w:widowControl w:val="0"/>
        <w:kinsoku/>
        <w:wordWrap/>
        <w:overflowPunct/>
        <w:topLinePunct w:val="0"/>
        <w:autoSpaceDE/>
        <w:autoSpaceDN/>
        <w:bidi w:val="0"/>
        <w:adjustRightInd/>
        <w:snapToGrid/>
        <w:spacing w:before="157" w:beforeLines="50" w:line="720" w:lineRule="exact"/>
        <w:jc w:val="center"/>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招标</w:t>
      </w:r>
      <w:r>
        <w:rPr>
          <w:rFonts w:hint="eastAsia" w:ascii="仿宋" w:hAnsi="仿宋" w:eastAsia="仿宋" w:cs="仿宋"/>
          <w:b w:val="0"/>
          <w:bCs w:val="0"/>
          <w:color w:val="auto"/>
          <w:sz w:val="28"/>
          <w:szCs w:val="28"/>
          <w:highlight w:val="none"/>
        </w:rPr>
        <w:t>编号：</w:t>
      </w:r>
      <w:r>
        <w:rPr>
          <w:rFonts w:hint="eastAsia" w:ascii="仿宋" w:hAnsi="仿宋" w:eastAsia="仿宋" w:cs="仿宋"/>
          <w:b w:val="0"/>
          <w:bCs w:val="0"/>
          <w:color w:val="auto"/>
          <w:sz w:val="32"/>
          <w:szCs w:val="32"/>
          <w:highlight w:val="none"/>
          <w:lang w:val="en-US" w:eastAsia="zh-CN"/>
        </w:rPr>
        <w:t>SZMY-F20241263</w:t>
      </w:r>
      <w:r>
        <w:rPr>
          <w:rFonts w:hint="eastAsia" w:ascii="仿宋" w:hAnsi="仿宋" w:eastAsia="仿宋" w:cs="仿宋"/>
          <w:b w:val="0"/>
          <w:bCs w:val="0"/>
          <w:color w:val="auto"/>
          <w:sz w:val="28"/>
          <w:szCs w:val="28"/>
          <w:highlight w:val="none"/>
        </w:rPr>
        <w:t>）</w:t>
      </w:r>
    </w:p>
    <w:p w14:paraId="4E1099B7">
      <w:pPr>
        <w:keepNext w:val="0"/>
        <w:keepLines w:val="0"/>
        <w:pageBreakBefore w:val="0"/>
        <w:widowControl w:val="0"/>
        <w:kinsoku/>
        <w:wordWrap/>
        <w:overflowPunct/>
        <w:topLinePunct w:val="0"/>
        <w:autoSpaceDE/>
        <w:autoSpaceDN/>
        <w:bidi w:val="0"/>
        <w:adjustRightInd/>
        <w:snapToGrid w:val="0"/>
        <w:spacing w:before="0" w:beforeLines="50"/>
        <w:jc w:val="center"/>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eastAsia="zh-CN"/>
        </w:rPr>
        <w:t>（</w:t>
      </w:r>
      <w:r>
        <w:rPr>
          <w:rFonts w:hint="eastAsia" w:ascii="仿宋" w:hAnsi="仿宋" w:eastAsia="仿宋" w:cs="仿宋"/>
          <w:b w:val="0"/>
          <w:bCs/>
          <w:color w:val="auto"/>
          <w:sz w:val="30"/>
          <w:szCs w:val="30"/>
          <w:highlight w:val="none"/>
          <w:lang w:val="en-US" w:eastAsia="zh-CN"/>
        </w:rPr>
        <w:t>国企采购）</w:t>
      </w:r>
    </w:p>
    <w:p w14:paraId="0273D1C8">
      <w:pPr>
        <w:keepNext w:val="0"/>
        <w:keepLines w:val="0"/>
        <w:pageBreakBefore w:val="0"/>
        <w:widowControl w:val="0"/>
        <w:kinsoku/>
        <w:wordWrap/>
        <w:overflowPunct/>
        <w:topLinePunct w:val="0"/>
        <w:autoSpaceDE/>
        <w:autoSpaceDN/>
        <w:bidi w:val="0"/>
        <w:adjustRightInd/>
        <w:snapToGrid/>
        <w:spacing w:before="0" w:beforeLines="200" w:line="1000" w:lineRule="exact"/>
        <w:jc w:val="center"/>
        <w:textAlignment w:val="auto"/>
        <w:outlineLvl w:val="0"/>
        <w:rPr>
          <w:rFonts w:hint="eastAsia" w:ascii="仿宋" w:hAnsi="仿宋" w:eastAsia="仿宋" w:cs="仿宋"/>
          <w:b/>
          <w:bCs w:val="0"/>
          <w:color w:val="auto"/>
          <w:sz w:val="84"/>
          <w:szCs w:val="84"/>
          <w:highlight w:val="none"/>
        </w:rPr>
      </w:pPr>
      <w:r>
        <w:rPr>
          <w:rFonts w:hint="eastAsia" w:ascii="仿宋" w:hAnsi="仿宋" w:eastAsia="仿宋" w:cs="仿宋"/>
          <w:b/>
          <w:bCs w:val="0"/>
          <w:color w:val="auto"/>
          <w:sz w:val="84"/>
          <w:szCs w:val="84"/>
          <w:highlight w:val="none"/>
        </w:rPr>
        <w:t>公</w:t>
      </w:r>
    </w:p>
    <w:p w14:paraId="55EC8D9F">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hint="eastAsia" w:ascii="仿宋" w:hAnsi="仿宋" w:eastAsia="仿宋" w:cs="仿宋"/>
          <w:b/>
          <w:bCs w:val="0"/>
          <w:color w:val="auto"/>
          <w:sz w:val="84"/>
          <w:szCs w:val="84"/>
          <w:highlight w:val="none"/>
        </w:rPr>
      </w:pPr>
      <w:r>
        <w:rPr>
          <w:rFonts w:hint="eastAsia" w:ascii="仿宋" w:hAnsi="仿宋" w:eastAsia="仿宋" w:cs="仿宋"/>
          <w:b/>
          <w:bCs w:val="0"/>
          <w:color w:val="auto"/>
          <w:sz w:val="84"/>
          <w:szCs w:val="84"/>
          <w:highlight w:val="none"/>
        </w:rPr>
        <w:t>开</w:t>
      </w:r>
    </w:p>
    <w:p w14:paraId="6C5EA996">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hint="eastAsia" w:ascii="仿宋" w:hAnsi="仿宋" w:eastAsia="仿宋" w:cs="仿宋"/>
          <w:b/>
          <w:bCs w:val="0"/>
          <w:color w:val="auto"/>
          <w:sz w:val="84"/>
          <w:szCs w:val="84"/>
          <w:highlight w:val="none"/>
        </w:rPr>
      </w:pPr>
      <w:r>
        <w:rPr>
          <w:rFonts w:hint="eastAsia" w:ascii="仿宋" w:hAnsi="仿宋" w:eastAsia="仿宋" w:cs="仿宋"/>
          <w:b/>
          <w:bCs w:val="0"/>
          <w:color w:val="auto"/>
          <w:sz w:val="84"/>
          <w:szCs w:val="84"/>
          <w:highlight w:val="none"/>
        </w:rPr>
        <w:t>招</w:t>
      </w:r>
    </w:p>
    <w:p w14:paraId="6FC46CF1">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hint="eastAsia" w:ascii="仿宋" w:hAnsi="仿宋" w:eastAsia="仿宋" w:cs="仿宋"/>
          <w:b/>
          <w:bCs w:val="0"/>
          <w:color w:val="auto"/>
          <w:sz w:val="84"/>
          <w:szCs w:val="84"/>
          <w:highlight w:val="none"/>
        </w:rPr>
      </w:pPr>
      <w:r>
        <w:rPr>
          <w:rFonts w:hint="eastAsia" w:ascii="仿宋" w:hAnsi="仿宋" w:eastAsia="仿宋" w:cs="仿宋"/>
          <w:b/>
          <w:bCs w:val="0"/>
          <w:color w:val="auto"/>
          <w:sz w:val="84"/>
          <w:szCs w:val="84"/>
          <w:highlight w:val="none"/>
        </w:rPr>
        <w:t>标</w:t>
      </w:r>
    </w:p>
    <w:p w14:paraId="45876881">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hint="eastAsia" w:ascii="仿宋" w:hAnsi="仿宋" w:eastAsia="仿宋" w:cs="仿宋"/>
          <w:b/>
          <w:bCs w:val="0"/>
          <w:color w:val="auto"/>
          <w:sz w:val="84"/>
          <w:szCs w:val="84"/>
          <w:highlight w:val="none"/>
        </w:rPr>
      </w:pPr>
      <w:r>
        <w:rPr>
          <w:rFonts w:hint="eastAsia" w:ascii="仿宋" w:hAnsi="仿宋" w:eastAsia="仿宋" w:cs="仿宋"/>
          <w:b/>
          <w:bCs w:val="0"/>
          <w:color w:val="auto"/>
          <w:sz w:val="84"/>
          <w:szCs w:val="84"/>
          <w:highlight w:val="none"/>
        </w:rPr>
        <w:t>文</w:t>
      </w:r>
    </w:p>
    <w:p w14:paraId="201C84F2">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hint="eastAsia" w:ascii="仿宋" w:hAnsi="仿宋" w:eastAsia="仿宋" w:cs="仿宋"/>
          <w:b/>
          <w:bCs w:val="0"/>
          <w:color w:val="auto"/>
          <w:sz w:val="44"/>
          <w:highlight w:val="none"/>
        </w:rPr>
      </w:pPr>
      <w:r>
        <w:rPr>
          <w:rFonts w:hint="eastAsia" w:ascii="仿宋" w:hAnsi="仿宋" w:eastAsia="仿宋" w:cs="仿宋"/>
          <w:b/>
          <w:bCs w:val="0"/>
          <w:color w:val="auto"/>
          <w:sz w:val="84"/>
          <w:szCs w:val="84"/>
          <w:highlight w:val="none"/>
        </w:rPr>
        <w:t>件</w:t>
      </w:r>
    </w:p>
    <w:p w14:paraId="6C34FDB6">
      <w:pPr>
        <w:spacing w:line="580" w:lineRule="exact"/>
        <w:jc w:val="both"/>
        <w:rPr>
          <w:rFonts w:hint="eastAsia" w:ascii="仿宋" w:hAnsi="仿宋" w:eastAsia="仿宋" w:cs="仿宋"/>
          <w:bCs/>
          <w:color w:val="auto"/>
          <w:sz w:val="36"/>
          <w:highlight w:val="none"/>
        </w:rPr>
      </w:pPr>
    </w:p>
    <w:p w14:paraId="485D87FA">
      <w:pPr>
        <w:adjustRightInd/>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
          <w:color w:val="auto"/>
          <w:sz w:val="44"/>
          <w:szCs w:val="44"/>
          <w:highlight w:val="none"/>
        </w:rPr>
        <w:t>（电子招投标）</w:t>
      </w:r>
    </w:p>
    <w:p w14:paraId="3EBB0E7E">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 w:hAnsi="仿宋" w:eastAsia="仿宋" w:cs="仿宋"/>
          <w:bCs/>
          <w:color w:val="auto"/>
          <w:sz w:val="32"/>
          <w:szCs w:val="32"/>
          <w:highlight w:val="none"/>
          <w:lang w:eastAsia="zh-CN"/>
        </w:rPr>
      </w:pPr>
    </w:p>
    <w:p w14:paraId="45AB3043">
      <w:pPr>
        <w:keepNext w:val="0"/>
        <w:keepLines w:val="0"/>
        <w:pageBreakBefore w:val="0"/>
        <w:widowControl w:val="0"/>
        <w:kinsoku/>
        <w:wordWrap/>
        <w:overflowPunct/>
        <w:topLinePunct w:val="0"/>
        <w:autoSpaceDE/>
        <w:autoSpaceDN/>
        <w:bidi w:val="0"/>
        <w:adjustRightInd/>
        <w:snapToGrid/>
        <w:spacing w:line="640" w:lineRule="exact"/>
        <w:ind w:firstLine="1600" w:firstLineChars="500"/>
        <w:jc w:val="both"/>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采购单位：</w:t>
      </w:r>
      <w:r>
        <w:rPr>
          <w:rFonts w:hint="eastAsia" w:ascii="仿宋" w:hAnsi="仿宋" w:eastAsia="仿宋" w:cs="仿宋"/>
          <w:color w:val="auto"/>
          <w:sz w:val="32"/>
          <w:szCs w:val="32"/>
          <w:highlight w:val="none"/>
          <w:lang w:eastAsia="zh-CN"/>
        </w:rPr>
        <w:t xml:space="preserve">嵊州市水务投资发展集团有限公司 </w:t>
      </w:r>
    </w:p>
    <w:p w14:paraId="357C5B4F">
      <w:pPr>
        <w:keepNext w:val="0"/>
        <w:keepLines w:val="0"/>
        <w:pageBreakBefore w:val="0"/>
        <w:widowControl w:val="0"/>
        <w:kinsoku/>
        <w:wordWrap/>
        <w:overflowPunct/>
        <w:topLinePunct w:val="0"/>
        <w:autoSpaceDE/>
        <w:autoSpaceDN/>
        <w:bidi w:val="0"/>
        <w:adjustRightInd/>
        <w:snapToGrid/>
        <w:spacing w:line="640" w:lineRule="exact"/>
        <w:ind w:left="0" w:leftChars="0" w:firstLine="1580" w:firstLineChars="494"/>
        <w:jc w:val="both"/>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代理机构：浙江明业项目管理有限公司</w:t>
      </w:r>
    </w:p>
    <w:p w14:paraId="1EE92C3B">
      <w:pPr>
        <w:pStyle w:val="20"/>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bCs/>
          <w:color w:val="auto"/>
          <w:szCs w:val="32"/>
          <w:highlight w:val="none"/>
        </w:rPr>
        <w:sectPr>
          <w:headerReference r:id="rId3" w:type="default"/>
          <w:pgSz w:w="11907" w:h="16840"/>
          <w:pgMar w:top="1474" w:right="1417" w:bottom="1247" w:left="1417" w:header="851" w:footer="851" w:gutter="0"/>
          <w:cols w:space="720" w:num="1"/>
        </w:sectPr>
      </w:pPr>
      <w:bookmarkStart w:id="0" w:name="用户单位名称"/>
      <w:bookmarkEnd w:id="0"/>
      <w:r>
        <w:rPr>
          <w:rFonts w:hint="eastAsia" w:ascii="仿宋" w:hAnsi="仿宋" w:eastAsia="仿宋" w:cs="仿宋"/>
          <w:bCs/>
          <w:color w:val="auto"/>
          <w:szCs w:val="32"/>
          <w:highlight w:val="none"/>
        </w:rPr>
        <w:t>202</w:t>
      </w:r>
      <w:r>
        <w:rPr>
          <w:rFonts w:hint="eastAsia" w:ascii="仿宋" w:hAnsi="仿宋" w:eastAsia="仿宋" w:cs="仿宋"/>
          <w:bCs/>
          <w:color w:val="auto"/>
          <w:szCs w:val="32"/>
          <w:highlight w:val="none"/>
          <w:lang w:val="en-US" w:eastAsia="zh-CN"/>
        </w:rPr>
        <w:t>4</w:t>
      </w:r>
      <w:r>
        <w:rPr>
          <w:rFonts w:hint="eastAsia" w:ascii="仿宋" w:hAnsi="仿宋" w:eastAsia="仿宋" w:cs="仿宋"/>
          <w:bCs/>
          <w:color w:val="auto"/>
          <w:szCs w:val="32"/>
          <w:highlight w:val="none"/>
        </w:rPr>
        <w:t>年</w:t>
      </w:r>
      <w:r>
        <w:rPr>
          <w:rFonts w:hint="eastAsia" w:ascii="仿宋" w:hAnsi="仿宋" w:eastAsia="仿宋" w:cs="仿宋"/>
          <w:bCs/>
          <w:color w:val="auto"/>
          <w:szCs w:val="32"/>
          <w:highlight w:val="none"/>
          <w:lang w:val="en-US" w:eastAsia="zh-CN"/>
        </w:rPr>
        <w:t>12</w:t>
      </w:r>
      <w:r>
        <w:rPr>
          <w:rFonts w:hint="eastAsia" w:ascii="仿宋" w:hAnsi="仿宋" w:eastAsia="仿宋" w:cs="仿宋"/>
          <w:bCs/>
          <w:color w:val="auto"/>
          <w:szCs w:val="32"/>
          <w:highlight w:val="none"/>
        </w:rPr>
        <w:t>月</w:t>
      </w:r>
    </w:p>
    <w:p w14:paraId="1C9D5CF3">
      <w:pPr>
        <w:pStyle w:val="20"/>
        <w:widowControl w:val="0"/>
        <w:spacing w:line="580" w:lineRule="exact"/>
        <w:jc w:val="center"/>
        <w:rPr>
          <w:rFonts w:hint="eastAsia"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目  录</w:t>
      </w:r>
    </w:p>
    <w:p w14:paraId="1B2D596B">
      <w:pPr>
        <w:rPr>
          <w:rFonts w:hint="eastAsia" w:ascii="仿宋" w:hAnsi="仿宋" w:eastAsia="仿宋" w:cs="仿宋"/>
          <w:color w:val="auto"/>
          <w:highlight w:val="none"/>
        </w:rPr>
      </w:pPr>
    </w:p>
    <w:p w14:paraId="44563DA5">
      <w:pPr>
        <w:rPr>
          <w:rFonts w:hint="eastAsia" w:ascii="仿宋" w:hAnsi="仿宋" w:eastAsia="仿宋" w:cs="仿宋"/>
          <w:color w:val="auto"/>
          <w:highlight w:val="none"/>
        </w:rPr>
      </w:pPr>
    </w:p>
    <w:p w14:paraId="50B38A4B">
      <w:pPr>
        <w:rPr>
          <w:rFonts w:hint="eastAsia" w:ascii="仿宋" w:hAnsi="仿宋" w:eastAsia="仿宋" w:cs="仿宋"/>
          <w:color w:val="auto"/>
          <w:highlight w:val="none"/>
        </w:rPr>
      </w:pPr>
    </w:p>
    <w:p w14:paraId="49C679F9">
      <w:pPr>
        <w:pStyle w:val="25"/>
        <w:keepNext w:val="0"/>
        <w:keepLines w:val="0"/>
        <w:pageBreakBefore w:val="0"/>
        <w:widowControl w:val="0"/>
        <w:tabs>
          <w:tab w:val="right" w:leader="dot" w:pos="9016"/>
        </w:tabs>
        <w:kinsoku/>
        <w:wordWrap/>
        <w:overflowPunct/>
        <w:topLinePunct w:val="0"/>
        <w:autoSpaceDE/>
        <w:autoSpaceDN/>
        <w:bidi w:val="0"/>
        <w:adjustRightInd/>
        <w:snapToGrid/>
        <w:spacing w:line="360" w:lineRule="auto"/>
        <w:textAlignment w:val="auto"/>
        <w:rPr>
          <w:rFonts w:hint="eastAsia" w:ascii="仿宋" w:hAnsi="仿宋" w:eastAsia="仿宋" w:cs="仿宋"/>
          <w:b w:val="0"/>
          <w:bCs/>
          <w:caps w:val="0"/>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TOC \o "1-2" \h \z \u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"_Toc513456138" </w:instrText>
      </w:r>
      <w:r>
        <w:rPr>
          <w:rFonts w:hint="eastAsia" w:ascii="仿宋" w:hAnsi="仿宋" w:eastAsia="仿宋" w:cs="仿宋"/>
          <w:color w:val="auto"/>
          <w:highlight w:val="none"/>
        </w:rPr>
        <w:fldChar w:fldCharType="separate"/>
      </w:r>
      <w:r>
        <w:rPr>
          <w:rStyle w:val="39"/>
          <w:rFonts w:hint="eastAsia" w:ascii="仿宋" w:hAnsi="仿宋" w:eastAsia="仿宋" w:cs="仿宋"/>
          <w:b w:val="0"/>
          <w:bCs/>
          <w:color w:val="auto"/>
          <w:sz w:val="28"/>
          <w:szCs w:val="28"/>
          <w:highlight w:val="none"/>
        </w:rPr>
        <w:t>第一部分  招标公告</w:t>
      </w:r>
      <w:r>
        <w:rPr>
          <w:rFonts w:hint="eastAsia" w:ascii="仿宋" w:hAnsi="仿宋" w:eastAsia="仿宋" w:cs="仿宋"/>
          <w:b w:val="0"/>
          <w:bCs/>
          <w:color w:val="auto"/>
          <w:sz w:val="28"/>
          <w:szCs w:val="28"/>
          <w:highlight w:val="none"/>
        </w:rPr>
        <w:tab/>
      </w:r>
      <w:r>
        <w:rPr>
          <w:rFonts w:hint="eastAsia" w:ascii="仿宋" w:hAnsi="仿宋" w:eastAsia="仿宋" w:cs="仿宋"/>
          <w:b w:val="0"/>
          <w:bCs/>
          <w:color w:val="auto"/>
          <w:sz w:val="28"/>
          <w:szCs w:val="28"/>
          <w:highlight w:val="none"/>
          <w:lang w:val="en-US" w:eastAsia="zh-CN"/>
        </w:rPr>
        <w:t>1</w:t>
      </w:r>
      <w:r>
        <w:rPr>
          <w:rFonts w:hint="eastAsia" w:ascii="仿宋" w:hAnsi="仿宋" w:eastAsia="仿宋" w:cs="仿宋"/>
          <w:b w:val="0"/>
          <w:bCs/>
          <w:color w:val="auto"/>
          <w:sz w:val="28"/>
          <w:szCs w:val="28"/>
          <w:highlight w:val="none"/>
        </w:rPr>
        <w:fldChar w:fldCharType="end"/>
      </w:r>
    </w:p>
    <w:p w14:paraId="080E38CB">
      <w:pPr>
        <w:pStyle w:val="25"/>
        <w:keepNext w:val="0"/>
        <w:keepLines w:val="0"/>
        <w:pageBreakBefore w:val="0"/>
        <w:widowControl w:val="0"/>
        <w:tabs>
          <w:tab w:val="right" w:leader="dot" w:pos="9016"/>
        </w:tabs>
        <w:kinsoku/>
        <w:wordWrap/>
        <w:overflowPunct/>
        <w:topLinePunct w:val="0"/>
        <w:autoSpaceDE/>
        <w:autoSpaceDN/>
        <w:bidi w:val="0"/>
        <w:adjustRightInd/>
        <w:snapToGrid/>
        <w:spacing w:line="360" w:lineRule="auto"/>
        <w:textAlignment w:val="auto"/>
        <w:rPr>
          <w:rFonts w:hint="eastAsia" w:ascii="仿宋" w:hAnsi="仿宋" w:eastAsia="仿宋" w:cs="仿宋"/>
          <w:b w:val="0"/>
          <w:bCs/>
          <w:caps w:val="0"/>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"_Toc513456139" </w:instrText>
      </w:r>
      <w:r>
        <w:rPr>
          <w:rFonts w:hint="eastAsia" w:ascii="仿宋" w:hAnsi="仿宋" w:eastAsia="仿宋" w:cs="仿宋"/>
          <w:color w:val="auto"/>
          <w:highlight w:val="none"/>
        </w:rPr>
        <w:fldChar w:fldCharType="separate"/>
      </w:r>
      <w:r>
        <w:rPr>
          <w:rStyle w:val="39"/>
          <w:rFonts w:hint="eastAsia" w:ascii="仿宋" w:hAnsi="仿宋" w:eastAsia="仿宋" w:cs="仿宋"/>
          <w:b w:val="0"/>
          <w:bCs/>
          <w:color w:val="auto"/>
          <w:sz w:val="28"/>
          <w:szCs w:val="28"/>
          <w:highlight w:val="none"/>
        </w:rPr>
        <w:t>第二部分  投标须知</w:t>
      </w:r>
      <w:r>
        <w:rPr>
          <w:rFonts w:hint="eastAsia" w:ascii="仿宋" w:hAnsi="仿宋" w:eastAsia="仿宋" w:cs="仿宋"/>
          <w:b w:val="0"/>
          <w:bCs/>
          <w:color w:val="auto"/>
          <w:sz w:val="28"/>
          <w:szCs w:val="28"/>
          <w:highlight w:val="none"/>
        </w:rPr>
        <w:tab/>
      </w:r>
      <w:r>
        <w:rPr>
          <w:rFonts w:hint="eastAsia" w:ascii="仿宋" w:hAnsi="仿宋" w:eastAsia="仿宋" w:cs="仿宋"/>
          <w:b w:val="0"/>
          <w:bCs/>
          <w:color w:val="auto"/>
          <w:sz w:val="28"/>
          <w:szCs w:val="28"/>
          <w:highlight w:val="none"/>
          <w:lang w:val="en-US" w:eastAsia="zh-CN"/>
        </w:rPr>
        <w:t>5</w:t>
      </w:r>
      <w:r>
        <w:rPr>
          <w:rFonts w:hint="eastAsia" w:ascii="仿宋" w:hAnsi="仿宋" w:eastAsia="仿宋" w:cs="仿宋"/>
          <w:b w:val="0"/>
          <w:bCs/>
          <w:color w:val="auto"/>
          <w:sz w:val="28"/>
          <w:szCs w:val="28"/>
          <w:highlight w:val="none"/>
        </w:rPr>
        <w:fldChar w:fldCharType="end"/>
      </w:r>
    </w:p>
    <w:p w14:paraId="470D665D">
      <w:pPr>
        <w:pStyle w:val="25"/>
        <w:keepNext w:val="0"/>
        <w:keepLines w:val="0"/>
        <w:pageBreakBefore w:val="0"/>
        <w:widowControl w:val="0"/>
        <w:tabs>
          <w:tab w:val="right" w:leader="dot" w:pos="9016"/>
        </w:tabs>
        <w:kinsoku/>
        <w:wordWrap/>
        <w:overflowPunct/>
        <w:topLinePunct w:val="0"/>
        <w:autoSpaceDE/>
        <w:autoSpaceDN/>
        <w:bidi w:val="0"/>
        <w:adjustRightInd/>
        <w:snapToGrid/>
        <w:spacing w:line="360" w:lineRule="auto"/>
        <w:textAlignment w:val="auto"/>
        <w:rPr>
          <w:rFonts w:hint="eastAsia" w:ascii="仿宋" w:hAnsi="仿宋" w:eastAsia="仿宋" w:cs="仿宋"/>
          <w:b w:val="0"/>
          <w:bCs/>
          <w:caps w:val="0"/>
          <w:color w:val="auto"/>
          <w:sz w:val="28"/>
          <w:szCs w:val="28"/>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"_Toc513456147" </w:instrText>
      </w:r>
      <w:r>
        <w:rPr>
          <w:rFonts w:hint="eastAsia" w:ascii="仿宋" w:hAnsi="仿宋" w:eastAsia="仿宋" w:cs="仿宋"/>
          <w:color w:val="auto"/>
          <w:highlight w:val="none"/>
        </w:rPr>
        <w:fldChar w:fldCharType="separate"/>
      </w:r>
      <w:r>
        <w:rPr>
          <w:rStyle w:val="39"/>
          <w:rFonts w:hint="eastAsia" w:ascii="仿宋" w:hAnsi="仿宋" w:eastAsia="仿宋" w:cs="仿宋"/>
          <w:b w:val="0"/>
          <w:bCs/>
          <w:color w:val="auto"/>
          <w:sz w:val="28"/>
          <w:szCs w:val="28"/>
          <w:highlight w:val="none"/>
        </w:rPr>
        <w:t>第三部分  招标项目范围及要求</w:t>
      </w:r>
      <w:r>
        <w:rPr>
          <w:rFonts w:hint="eastAsia" w:ascii="仿宋" w:hAnsi="仿宋" w:eastAsia="仿宋" w:cs="仿宋"/>
          <w:b w:val="0"/>
          <w:bCs/>
          <w:color w:val="auto"/>
          <w:sz w:val="28"/>
          <w:szCs w:val="28"/>
          <w:highlight w:val="none"/>
        </w:rPr>
        <w:tab/>
      </w:r>
      <w:r>
        <w:rPr>
          <w:rFonts w:hint="eastAsia" w:ascii="仿宋" w:hAnsi="仿宋" w:eastAsia="仿宋" w:cs="仿宋"/>
          <w:b w:val="0"/>
          <w:bCs/>
          <w:color w:val="auto"/>
          <w:sz w:val="28"/>
          <w:szCs w:val="28"/>
          <w:highlight w:val="none"/>
        </w:rPr>
        <w:fldChar w:fldCharType="end"/>
      </w:r>
      <w:r>
        <w:rPr>
          <w:rFonts w:hint="eastAsia" w:ascii="仿宋" w:hAnsi="仿宋" w:eastAsia="仿宋" w:cs="仿宋"/>
          <w:b w:val="0"/>
          <w:bCs/>
          <w:color w:val="auto"/>
          <w:sz w:val="28"/>
          <w:szCs w:val="28"/>
          <w:highlight w:val="none"/>
          <w:lang w:val="en-US" w:eastAsia="zh-CN"/>
        </w:rPr>
        <w:t>24</w:t>
      </w:r>
    </w:p>
    <w:p w14:paraId="0DFB56CB">
      <w:pPr>
        <w:pStyle w:val="25"/>
        <w:keepNext w:val="0"/>
        <w:keepLines w:val="0"/>
        <w:pageBreakBefore w:val="0"/>
        <w:widowControl w:val="0"/>
        <w:tabs>
          <w:tab w:val="right" w:leader="dot" w:pos="9016"/>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"_Toc513456151" </w:instrText>
      </w:r>
      <w:r>
        <w:rPr>
          <w:rFonts w:hint="eastAsia" w:ascii="仿宋" w:hAnsi="仿宋" w:eastAsia="仿宋" w:cs="仿宋"/>
          <w:color w:val="auto"/>
          <w:highlight w:val="none"/>
        </w:rPr>
        <w:fldChar w:fldCharType="separate"/>
      </w:r>
      <w:r>
        <w:rPr>
          <w:rStyle w:val="39"/>
          <w:rFonts w:hint="eastAsia" w:ascii="仿宋" w:hAnsi="仿宋" w:eastAsia="仿宋" w:cs="仿宋"/>
          <w:b w:val="0"/>
          <w:bCs/>
          <w:color w:val="auto"/>
          <w:sz w:val="28"/>
          <w:szCs w:val="28"/>
          <w:highlight w:val="none"/>
        </w:rPr>
        <w:t>第</w:t>
      </w:r>
      <w:r>
        <w:rPr>
          <w:rStyle w:val="39"/>
          <w:rFonts w:hint="eastAsia" w:ascii="仿宋" w:hAnsi="仿宋" w:eastAsia="仿宋" w:cs="仿宋"/>
          <w:b w:val="0"/>
          <w:bCs/>
          <w:color w:val="auto"/>
          <w:sz w:val="28"/>
          <w:szCs w:val="28"/>
          <w:highlight w:val="none"/>
          <w:lang w:val="en-US" w:eastAsia="zh-CN"/>
        </w:rPr>
        <w:t>四</w:t>
      </w:r>
      <w:r>
        <w:rPr>
          <w:rStyle w:val="39"/>
          <w:rFonts w:hint="eastAsia" w:ascii="仿宋" w:hAnsi="仿宋" w:eastAsia="仿宋" w:cs="仿宋"/>
          <w:b w:val="0"/>
          <w:bCs/>
          <w:color w:val="auto"/>
          <w:sz w:val="28"/>
          <w:szCs w:val="28"/>
          <w:highlight w:val="none"/>
        </w:rPr>
        <w:t>部分  合同主要条款</w:t>
      </w:r>
      <w:r>
        <w:rPr>
          <w:rFonts w:hint="eastAsia" w:ascii="仿宋" w:hAnsi="仿宋" w:eastAsia="仿宋" w:cs="仿宋"/>
          <w:b w:val="0"/>
          <w:bCs/>
          <w:color w:val="auto"/>
          <w:sz w:val="28"/>
          <w:szCs w:val="28"/>
          <w:highlight w:val="none"/>
        </w:rPr>
        <w:tab/>
      </w:r>
      <w:r>
        <w:rPr>
          <w:rFonts w:hint="eastAsia" w:ascii="仿宋" w:hAnsi="仿宋" w:eastAsia="仿宋" w:cs="仿宋"/>
          <w:b w:val="0"/>
          <w:bCs/>
          <w:color w:val="auto"/>
          <w:sz w:val="28"/>
          <w:szCs w:val="28"/>
          <w:highlight w:val="none"/>
        </w:rPr>
        <w:fldChar w:fldCharType="end"/>
      </w:r>
      <w:r>
        <w:rPr>
          <w:rFonts w:hint="eastAsia" w:ascii="仿宋" w:hAnsi="仿宋" w:eastAsia="仿宋" w:cs="仿宋"/>
          <w:b w:val="0"/>
          <w:bCs/>
          <w:color w:val="auto"/>
          <w:sz w:val="28"/>
          <w:szCs w:val="28"/>
          <w:highlight w:val="none"/>
          <w:lang w:val="en-US" w:eastAsia="zh-CN"/>
        </w:rPr>
        <w:t>33</w:t>
      </w:r>
    </w:p>
    <w:p w14:paraId="2B79279B">
      <w:pPr>
        <w:pStyle w:val="25"/>
        <w:keepNext w:val="0"/>
        <w:keepLines w:val="0"/>
        <w:pageBreakBefore w:val="0"/>
        <w:widowControl w:val="0"/>
        <w:tabs>
          <w:tab w:val="right" w:leader="dot" w:pos="9016"/>
        </w:tabs>
        <w:kinsoku/>
        <w:wordWrap/>
        <w:overflowPunct/>
        <w:topLinePunct w:val="0"/>
        <w:autoSpaceDE/>
        <w:autoSpaceDN/>
        <w:bidi w:val="0"/>
        <w:adjustRightInd/>
        <w:snapToGrid/>
        <w:spacing w:line="360" w:lineRule="auto"/>
        <w:textAlignment w:val="auto"/>
        <w:rPr>
          <w:rFonts w:hint="default" w:ascii="仿宋" w:hAnsi="仿宋" w:eastAsia="仿宋" w:cs="仿宋"/>
          <w:color w:val="auto"/>
          <w:highlight w:val="none"/>
          <w:lang w:val="en-US"/>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"_Toc513456150" </w:instrText>
      </w:r>
      <w:r>
        <w:rPr>
          <w:rFonts w:hint="eastAsia" w:ascii="仿宋" w:hAnsi="仿宋" w:eastAsia="仿宋" w:cs="仿宋"/>
          <w:color w:val="auto"/>
          <w:highlight w:val="none"/>
        </w:rPr>
        <w:fldChar w:fldCharType="separate"/>
      </w:r>
      <w:r>
        <w:rPr>
          <w:rStyle w:val="39"/>
          <w:rFonts w:hint="eastAsia" w:ascii="仿宋" w:hAnsi="仿宋" w:eastAsia="仿宋" w:cs="仿宋"/>
          <w:b w:val="0"/>
          <w:bCs/>
          <w:color w:val="auto"/>
          <w:sz w:val="28"/>
          <w:szCs w:val="28"/>
          <w:highlight w:val="none"/>
        </w:rPr>
        <w:t>第</w:t>
      </w:r>
      <w:r>
        <w:rPr>
          <w:rStyle w:val="39"/>
          <w:rFonts w:hint="eastAsia" w:ascii="仿宋" w:hAnsi="仿宋" w:eastAsia="仿宋" w:cs="仿宋"/>
          <w:b w:val="0"/>
          <w:bCs/>
          <w:color w:val="auto"/>
          <w:sz w:val="28"/>
          <w:szCs w:val="28"/>
          <w:highlight w:val="none"/>
          <w:lang w:val="en-US" w:eastAsia="zh-CN"/>
        </w:rPr>
        <w:t>五</w:t>
      </w:r>
      <w:r>
        <w:rPr>
          <w:rStyle w:val="39"/>
          <w:rFonts w:hint="eastAsia" w:ascii="仿宋" w:hAnsi="仿宋" w:eastAsia="仿宋" w:cs="仿宋"/>
          <w:b w:val="0"/>
          <w:bCs/>
          <w:color w:val="auto"/>
          <w:sz w:val="28"/>
          <w:szCs w:val="28"/>
          <w:highlight w:val="none"/>
        </w:rPr>
        <w:t>部分  评标办</w:t>
      </w:r>
      <w:bookmarkStart w:id="1" w:name="_Hlt516404789"/>
      <w:bookmarkStart w:id="2" w:name="_Hlt516404788"/>
      <w:r>
        <w:rPr>
          <w:rStyle w:val="39"/>
          <w:rFonts w:hint="eastAsia" w:ascii="仿宋" w:hAnsi="仿宋" w:eastAsia="仿宋" w:cs="仿宋"/>
          <w:b w:val="0"/>
          <w:bCs/>
          <w:color w:val="auto"/>
          <w:sz w:val="28"/>
          <w:szCs w:val="28"/>
          <w:highlight w:val="none"/>
        </w:rPr>
        <w:t>法</w:t>
      </w:r>
      <w:bookmarkEnd w:id="1"/>
      <w:bookmarkEnd w:id="2"/>
      <w:r>
        <w:rPr>
          <w:rFonts w:hint="eastAsia" w:ascii="仿宋" w:hAnsi="仿宋" w:eastAsia="仿宋" w:cs="仿宋"/>
          <w:b w:val="0"/>
          <w:bCs/>
          <w:color w:val="auto"/>
          <w:sz w:val="28"/>
          <w:szCs w:val="28"/>
          <w:highlight w:val="none"/>
        </w:rPr>
        <w:tab/>
      </w:r>
      <w:r>
        <w:rPr>
          <w:rFonts w:hint="eastAsia" w:ascii="仿宋" w:hAnsi="仿宋" w:eastAsia="仿宋" w:cs="仿宋"/>
          <w:b w:val="0"/>
          <w:bCs/>
          <w:color w:val="auto"/>
          <w:sz w:val="28"/>
          <w:szCs w:val="28"/>
          <w:highlight w:val="none"/>
        </w:rPr>
        <w:fldChar w:fldCharType="end"/>
      </w:r>
      <w:r>
        <w:rPr>
          <w:rFonts w:hint="eastAsia" w:ascii="仿宋" w:hAnsi="仿宋" w:eastAsia="仿宋" w:cs="仿宋"/>
          <w:b w:val="0"/>
          <w:bCs/>
          <w:color w:val="auto"/>
          <w:sz w:val="28"/>
          <w:szCs w:val="28"/>
          <w:highlight w:val="none"/>
          <w:lang w:val="en-US" w:eastAsia="zh-CN"/>
        </w:rPr>
        <w:t>44</w:t>
      </w:r>
    </w:p>
    <w:p w14:paraId="5E1D8F75">
      <w:pPr>
        <w:pStyle w:val="25"/>
        <w:keepNext w:val="0"/>
        <w:keepLines w:val="0"/>
        <w:pageBreakBefore w:val="0"/>
        <w:widowControl w:val="0"/>
        <w:tabs>
          <w:tab w:val="right" w:leader="dot" w:pos="9016"/>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"_Toc513456152" </w:instrText>
      </w:r>
      <w:r>
        <w:rPr>
          <w:rFonts w:hint="eastAsia" w:ascii="仿宋" w:hAnsi="仿宋" w:eastAsia="仿宋" w:cs="仿宋"/>
          <w:color w:val="auto"/>
          <w:highlight w:val="none"/>
        </w:rPr>
        <w:fldChar w:fldCharType="separate"/>
      </w:r>
      <w:r>
        <w:rPr>
          <w:rStyle w:val="39"/>
          <w:rFonts w:hint="eastAsia" w:ascii="仿宋" w:hAnsi="仿宋" w:eastAsia="仿宋" w:cs="仿宋"/>
          <w:b w:val="0"/>
          <w:bCs/>
          <w:color w:val="auto"/>
          <w:sz w:val="28"/>
          <w:szCs w:val="28"/>
          <w:highlight w:val="none"/>
        </w:rPr>
        <w:t>第六部分  投标文件</w:t>
      </w:r>
      <w:r>
        <w:rPr>
          <w:rStyle w:val="39"/>
          <w:rFonts w:hint="eastAsia" w:ascii="仿宋" w:hAnsi="仿宋" w:eastAsia="仿宋" w:cs="仿宋"/>
          <w:b w:val="0"/>
          <w:bCs/>
          <w:color w:val="auto"/>
          <w:sz w:val="28"/>
          <w:szCs w:val="28"/>
          <w:highlight w:val="none"/>
          <w:lang w:val="en-US" w:eastAsia="zh-CN"/>
        </w:rPr>
        <w:t>及其附件</w:t>
      </w:r>
      <w:r>
        <w:rPr>
          <w:rStyle w:val="39"/>
          <w:rFonts w:hint="eastAsia" w:ascii="仿宋" w:hAnsi="仿宋" w:eastAsia="仿宋" w:cs="仿宋"/>
          <w:b w:val="0"/>
          <w:bCs/>
          <w:color w:val="auto"/>
          <w:sz w:val="28"/>
          <w:szCs w:val="28"/>
          <w:highlight w:val="none"/>
        </w:rPr>
        <w:t>格式</w:t>
      </w:r>
      <w:r>
        <w:rPr>
          <w:rFonts w:hint="eastAsia" w:ascii="仿宋" w:hAnsi="仿宋" w:eastAsia="仿宋" w:cs="仿宋"/>
          <w:b w:val="0"/>
          <w:bCs/>
          <w:color w:val="auto"/>
          <w:sz w:val="28"/>
          <w:szCs w:val="28"/>
          <w:highlight w:val="none"/>
        </w:rPr>
        <w:tab/>
      </w:r>
      <w:r>
        <w:rPr>
          <w:rFonts w:hint="eastAsia" w:ascii="仿宋" w:hAnsi="仿宋" w:eastAsia="仿宋" w:cs="仿宋"/>
          <w:b w:val="0"/>
          <w:bCs/>
          <w:color w:val="auto"/>
          <w:sz w:val="28"/>
          <w:szCs w:val="28"/>
          <w:highlight w:val="none"/>
          <w:lang w:val="en-US" w:eastAsia="zh-CN"/>
        </w:rPr>
        <w:t>4</w:t>
      </w:r>
      <w:r>
        <w:rPr>
          <w:rFonts w:hint="eastAsia" w:ascii="仿宋" w:hAnsi="仿宋" w:eastAsia="仿宋" w:cs="仿宋"/>
          <w:b w:val="0"/>
          <w:bCs/>
          <w:color w:val="auto"/>
          <w:sz w:val="28"/>
          <w:szCs w:val="28"/>
          <w:highlight w:val="none"/>
        </w:rPr>
        <w:fldChar w:fldCharType="end"/>
      </w:r>
      <w:r>
        <w:rPr>
          <w:rFonts w:hint="eastAsia" w:ascii="仿宋" w:hAnsi="仿宋" w:eastAsia="仿宋" w:cs="仿宋"/>
          <w:b w:val="0"/>
          <w:bCs/>
          <w:color w:val="auto"/>
          <w:sz w:val="28"/>
          <w:szCs w:val="28"/>
          <w:highlight w:val="none"/>
          <w:lang w:val="en-US" w:eastAsia="zh-CN"/>
        </w:rPr>
        <w:t>6</w:t>
      </w:r>
    </w:p>
    <w:p w14:paraId="651EE86E">
      <w:pPr>
        <w:rPr>
          <w:rFonts w:hint="eastAsia" w:ascii="仿宋" w:hAnsi="仿宋" w:eastAsia="仿宋" w:cs="仿宋"/>
          <w:color w:val="auto"/>
          <w:highlight w:val="none"/>
        </w:rPr>
      </w:pPr>
    </w:p>
    <w:p w14:paraId="09083A96">
      <w:pPr>
        <w:rPr>
          <w:rFonts w:hint="eastAsia" w:ascii="仿宋" w:hAnsi="仿宋" w:eastAsia="仿宋" w:cs="仿宋"/>
          <w:color w:val="auto"/>
          <w:highlight w:val="none"/>
        </w:rPr>
      </w:pPr>
    </w:p>
    <w:p w14:paraId="4086A0DB">
      <w:pPr>
        <w:pStyle w:val="44"/>
        <w:rPr>
          <w:rFonts w:hint="eastAsia" w:ascii="仿宋" w:hAnsi="仿宋" w:eastAsia="仿宋" w:cs="仿宋"/>
          <w:color w:val="auto"/>
          <w:highlight w:val="none"/>
        </w:rPr>
      </w:pPr>
    </w:p>
    <w:p w14:paraId="0A598DB3">
      <w:pPr>
        <w:rPr>
          <w:rFonts w:hint="eastAsia" w:ascii="仿宋" w:hAnsi="仿宋" w:eastAsia="仿宋" w:cs="仿宋"/>
          <w:color w:val="auto"/>
          <w:highlight w:val="none"/>
        </w:rPr>
      </w:pPr>
      <w:r>
        <w:rPr>
          <w:rFonts w:hint="eastAsia" w:ascii="仿宋" w:hAnsi="仿宋" w:eastAsia="仿宋" w:cs="仿宋"/>
          <w:color w:val="auto"/>
          <w:highlight w:val="none"/>
        </w:rPr>
        <w:fldChar w:fldCharType="end"/>
      </w:r>
      <w:bookmarkStart w:id="3" w:name="_Toc15829"/>
    </w:p>
    <w:p w14:paraId="7AA9AE47">
      <w:pPr>
        <w:rPr>
          <w:rFonts w:hint="eastAsia" w:ascii="仿宋" w:hAnsi="仿宋" w:eastAsia="仿宋" w:cs="仿宋"/>
          <w:color w:val="auto"/>
          <w:highlight w:val="none"/>
        </w:rPr>
      </w:pPr>
    </w:p>
    <w:p w14:paraId="091F0F97">
      <w:pPr>
        <w:rPr>
          <w:rFonts w:hint="eastAsia" w:ascii="仿宋" w:hAnsi="仿宋" w:eastAsia="仿宋" w:cs="仿宋"/>
          <w:color w:val="auto"/>
          <w:highlight w:val="none"/>
        </w:rPr>
      </w:pPr>
    </w:p>
    <w:p w14:paraId="0FE024C2">
      <w:pPr>
        <w:rPr>
          <w:rFonts w:hint="eastAsia" w:ascii="仿宋" w:hAnsi="仿宋" w:eastAsia="仿宋" w:cs="仿宋"/>
          <w:color w:val="auto"/>
          <w:highlight w:val="none"/>
        </w:rPr>
      </w:pPr>
    </w:p>
    <w:p w14:paraId="46A2E388">
      <w:pPr>
        <w:rPr>
          <w:rFonts w:hint="eastAsia" w:ascii="仿宋" w:hAnsi="仿宋" w:eastAsia="仿宋" w:cs="仿宋"/>
          <w:color w:val="auto"/>
          <w:highlight w:val="none"/>
        </w:rPr>
      </w:pPr>
    </w:p>
    <w:p w14:paraId="37D05505">
      <w:pPr>
        <w:rPr>
          <w:rFonts w:hint="eastAsia" w:ascii="仿宋" w:hAnsi="仿宋" w:eastAsia="仿宋" w:cs="仿宋"/>
          <w:color w:val="auto"/>
          <w:highlight w:val="none"/>
        </w:rPr>
      </w:pPr>
    </w:p>
    <w:p w14:paraId="1E1C2EA8">
      <w:pPr>
        <w:rPr>
          <w:rFonts w:hint="eastAsia" w:ascii="仿宋" w:hAnsi="仿宋" w:eastAsia="仿宋" w:cs="仿宋"/>
          <w:color w:val="auto"/>
          <w:highlight w:val="none"/>
        </w:rPr>
      </w:pPr>
    </w:p>
    <w:p w14:paraId="5BF79FE1">
      <w:pPr>
        <w:rPr>
          <w:rFonts w:hint="eastAsia" w:ascii="仿宋" w:hAnsi="仿宋" w:eastAsia="仿宋" w:cs="仿宋"/>
          <w:color w:val="auto"/>
          <w:highlight w:val="none"/>
        </w:rPr>
      </w:pPr>
    </w:p>
    <w:p w14:paraId="5649FC04">
      <w:pPr>
        <w:rPr>
          <w:rFonts w:hint="eastAsia" w:ascii="仿宋" w:hAnsi="仿宋" w:eastAsia="仿宋" w:cs="仿宋"/>
          <w:color w:val="auto"/>
          <w:highlight w:val="none"/>
        </w:rPr>
      </w:pPr>
    </w:p>
    <w:p w14:paraId="79A616F1">
      <w:pPr>
        <w:rPr>
          <w:rFonts w:hint="eastAsia" w:ascii="仿宋" w:hAnsi="仿宋" w:eastAsia="仿宋" w:cs="仿宋"/>
          <w:color w:val="auto"/>
          <w:highlight w:val="none"/>
        </w:rPr>
      </w:pPr>
    </w:p>
    <w:p w14:paraId="3811453F">
      <w:pPr>
        <w:rPr>
          <w:rFonts w:hint="eastAsia" w:ascii="仿宋" w:hAnsi="仿宋" w:eastAsia="仿宋" w:cs="仿宋"/>
          <w:color w:val="auto"/>
          <w:highlight w:val="none"/>
        </w:rPr>
      </w:pPr>
    </w:p>
    <w:p w14:paraId="76307D81">
      <w:pPr>
        <w:rPr>
          <w:rFonts w:hint="eastAsia" w:ascii="仿宋" w:hAnsi="仿宋" w:eastAsia="仿宋" w:cs="仿宋"/>
          <w:color w:val="auto"/>
          <w:highlight w:val="none"/>
        </w:rPr>
      </w:pPr>
    </w:p>
    <w:p w14:paraId="3A86EFED">
      <w:pPr>
        <w:rPr>
          <w:rFonts w:hint="eastAsia" w:ascii="仿宋" w:hAnsi="仿宋" w:eastAsia="仿宋" w:cs="仿宋"/>
          <w:color w:val="auto"/>
          <w:highlight w:val="none"/>
        </w:rPr>
      </w:pPr>
    </w:p>
    <w:p w14:paraId="760534D3">
      <w:pPr>
        <w:rPr>
          <w:rFonts w:hint="eastAsia" w:ascii="仿宋" w:hAnsi="仿宋" w:eastAsia="仿宋" w:cs="仿宋"/>
          <w:color w:val="auto"/>
          <w:highlight w:val="none"/>
        </w:rPr>
      </w:pPr>
    </w:p>
    <w:p w14:paraId="72C70086">
      <w:pPr>
        <w:rPr>
          <w:rFonts w:hint="eastAsia" w:ascii="仿宋" w:hAnsi="仿宋" w:eastAsia="仿宋" w:cs="仿宋"/>
          <w:color w:val="auto"/>
          <w:highlight w:val="none"/>
        </w:rPr>
      </w:pPr>
    </w:p>
    <w:p w14:paraId="20DDC36F">
      <w:pPr>
        <w:rPr>
          <w:rFonts w:hint="eastAsia" w:ascii="仿宋" w:hAnsi="仿宋" w:eastAsia="仿宋" w:cs="仿宋"/>
          <w:color w:val="auto"/>
          <w:highlight w:val="none"/>
        </w:rPr>
      </w:pPr>
    </w:p>
    <w:p w14:paraId="0AE4C130">
      <w:pPr>
        <w:rPr>
          <w:rFonts w:hint="eastAsia" w:ascii="仿宋" w:hAnsi="仿宋" w:eastAsia="仿宋" w:cs="仿宋"/>
          <w:color w:val="auto"/>
          <w:highlight w:val="none"/>
        </w:rPr>
      </w:pPr>
    </w:p>
    <w:p w14:paraId="304F6A06">
      <w:pPr>
        <w:pStyle w:val="4"/>
        <w:rPr>
          <w:rFonts w:hint="eastAsia" w:ascii="仿宋" w:hAnsi="仿宋" w:eastAsia="仿宋" w:cs="仿宋"/>
          <w:color w:val="auto"/>
          <w:highlight w:val="none"/>
        </w:rPr>
      </w:pPr>
    </w:p>
    <w:p w14:paraId="270DFE0B">
      <w:pPr>
        <w:rPr>
          <w:rFonts w:hint="eastAsia" w:ascii="仿宋" w:hAnsi="仿宋" w:eastAsia="仿宋" w:cs="仿宋"/>
          <w:color w:val="auto"/>
          <w:highlight w:val="none"/>
        </w:rPr>
      </w:pPr>
    </w:p>
    <w:p w14:paraId="29D8CCB3">
      <w:pPr>
        <w:pStyle w:val="2"/>
        <w:rPr>
          <w:rFonts w:hint="eastAsia" w:ascii="仿宋" w:hAnsi="仿宋" w:eastAsia="仿宋" w:cs="仿宋"/>
          <w:color w:val="auto"/>
          <w:highlight w:val="none"/>
        </w:rPr>
      </w:pPr>
    </w:p>
    <w:p w14:paraId="45D3EE01">
      <w:pPr>
        <w:jc w:val="center"/>
        <w:rPr>
          <w:rFonts w:hint="eastAsia" w:ascii="仿宋" w:hAnsi="仿宋" w:eastAsia="仿宋" w:cs="仿宋"/>
          <w:b/>
          <w:bCs/>
          <w:color w:val="auto"/>
          <w:kern w:val="0"/>
          <w:sz w:val="36"/>
          <w:highlight w:val="none"/>
        </w:rPr>
        <w:sectPr>
          <w:footerReference r:id="rId4" w:type="default"/>
          <w:pgSz w:w="11907" w:h="16840"/>
          <w:pgMar w:top="1474" w:right="1417" w:bottom="1247" w:left="1417" w:header="851" w:footer="851" w:gutter="0"/>
          <w:pgNumType w:start="1"/>
          <w:cols w:space="720" w:num="1"/>
        </w:sectPr>
      </w:pPr>
    </w:p>
    <w:p w14:paraId="0FEC9866">
      <w:pPr>
        <w:jc w:val="center"/>
        <w:rPr>
          <w:rFonts w:hint="eastAsia" w:ascii="仿宋" w:hAnsi="仿宋" w:eastAsia="仿宋" w:cs="仿宋"/>
          <w:b/>
          <w:bCs/>
          <w:color w:val="auto"/>
          <w:kern w:val="0"/>
          <w:sz w:val="36"/>
          <w:highlight w:val="none"/>
        </w:rPr>
      </w:pPr>
      <w:r>
        <w:rPr>
          <w:rFonts w:hint="eastAsia" w:ascii="仿宋" w:hAnsi="仿宋" w:eastAsia="仿宋" w:cs="仿宋"/>
          <w:b/>
          <w:bCs/>
          <w:color w:val="auto"/>
          <w:kern w:val="0"/>
          <w:sz w:val="36"/>
          <w:highlight w:val="none"/>
        </w:rPr>
        <w:t>第一部分  招标公告</w:t>
      </w:r>
      <w:bookmarkEnd w:id="3"/>
    </w:p>
    <w:p w14:paraId="0F8B3003">
      <w:pPr>
        <w:spacing w:line="300" w:lineRule="exact"/>
        <w:jc w:val="center"/>
        <w:rPr>
          <w:rFonts w:hint="eastAsia" w:ascii="仿宋" w:hAnsi="仿宋" w:eastAsia="仿宋" w:cs="仿宋"/>
          <w:color w:val="auto"/>
          <w:spacing w:val="6"/>
          <w:sz w:val="21"/>
          <w:szCs w:val="21"/>
          <w:highlight w:val="none"/>
        </w:rPr>
      </w:pPr>
    </w:p>
    <w:p w14:paraId="31D23851">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项目概况</w:t>
      </w:r>
    </w:p>
    <w:p w14:paraId="0D3E086B">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highlight w:val="none"/>
          <w:u w:val="single"/>
          <w:lang w:eastAsia="zh-CN"/>
        </w:rPr>
        <w:t>嵊州市水务投资发展集团有限公司及下属子公司保险服务项目</w:t>
      </w:r>
      <w:r>
        <w:rPr>
          <w:rFonts w:hint="eastAsia" w:ascii="仿宋" w:hAnsi="仿宋" w:eastAsia="仿宋" w:cs="仿宋"/>
          <w:color w:val="auto"/>
          <w:szCs w:val="24"/>
          <w:highlight w:val="none"/>
        </w:rPr>
        <w:t>的潜在投标人应在</w:t>
      </w:r>
      <w:r>
        <w:rPr>
          <w:rFonts w:hint="eastAsia" w:ascii="仿宋" w:hAnsi="仿宋" w:eastAsia="仿宋" w:cs="仿宋"/>
          <w:color w:val="auto"/>
          <w:spacing w:val="6"/>
          <w:szCs w:val="24"/>
          <w:highlight w:val="none"/>
        </w:rPr>
        <w:t>乐采云平台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"http://www.zcygov.cn/获取采购文件，并于2023年" </w:instrText>
      </w:r>
      <w:r>
        <w:rPr>
          <w:rFonts w:hint="eastAsia" w:ascii="仿宋" w:hAnsi="仿宋" w:eastAsia="仿宋" w:cs="仿宋"/>
          <w:color w:val="auto"/>
          <w:highlight w:val="none"/>
        </w:rPr>
        <w:fldChar w:fldCharType="separate"/>
      </w:r>
      <w:r>
        <w:rPr>
          <w:rStyle w:val="39"/>
          <w:rFonts w:hint="eastAsia" w:ascii="仿宋" w:hAnsi="仿宋" w:eastAsia="仿宋" w:cs="仿宋"/>
          <w:color w:val="auto"/>
          <w:spacing w:val="6"/>
          <w:szCs w:val="24"/>
          <w:highlight w:val="none"/>
          <w:u w:val="none"/>
        </w:rPr>
        <w:t>http://www.zcygov.cn/</w:t>
      </w:r>
      <w:r>
        <w:rPr>
          <w:rStyle w:val="39"/>
          <w:rFonts w:hint="eastAsia" w:ascii="仿宋" w:hAnsi="仿宋" w:eastAsia="仿宋" w:cs="仿宋"/>
          <w:color w:val="auto"/>
          <w:szCs w:val="24"/>
          <w:highlight w:val="none"/>
          <w:u w:val="none"/>
        </w:rPr>
        <w:t>获取采购文件，并于</w:t>
      </w:r>
      <w:r>
        <w:rPr>
          <w:rStyle w:val="39"/>
          <w:rFonts w:hint="eastAsia" w:ascii="仿宋" w:hAnsi="仿宋" w:eastAsia="仿宋" w:cs="仿宋"/>
          <w:color w:val="auto"/>
          <w:szCs w:val="24"/>
          <w:highlight w:val="none"/>
        </w:rPr>
        <w:t>202</w:t>
      </w:r>
      <w:r>
        <w:rPr>
          <w:rStyle w:val="39"/>
          <w:rFonts w:hint="eastAsia" w:ascii="仿宋" w:hAnsi="仿宋" w:eastAsia="仿宋" w:cs="仿宋"/>
          <w:color w:val="auto"/>
          <w:szCs w:val="24"/>
          <w:highlight w:val="none"/>
          <w:lang w:val="en-US" w:eastAsia="zh-CN"/>
        </w:rPr>
        <w:t>5</w:t>
      </w:r>
      <w:r>
        <w:rPr>
          <w:rStyle w:val="39"/>
          <w:rFonts w:hint="eastAsia" w:ascii="仿宋" w:hAnsi="仿宋" w:eastAsia="仿宋" w:cs="仿宋"/>
          <w:color w:val="auto"/>
          <w:szCs w:val="24"/>
          <w:highlight w:val="none"/>
          <w:u w:val="none"/>
        </w:rPr>
        <w:t>年</w:t>
      </w:r>
      <w:r>
        <w:rPr>
          <w:rStyle w:val="39"/>
          <w:rFonts w:hint="eastAsia" w:ascii="仿宋" w:hAnsi="仿宋" w:eastAsia="仿宋" w:cs="仿宋"/>
          <w:color w:val="auto"/>
          <w:szCs w:val="24"/>
          <w:highlight w:val="none"/>
          <w:u w:val="none"/>
        </w:rPr>
        <w:fldChar w:fldCharType="end"/>
      </w:r>
      <w:r>
        <w:rPr>
          <w:rStyle w:val="39"/>
          <w:rFonts w:hint="eastAsia" w:ascii="仿宋" w:hAnsi="仿宋" w:eastAsia="仿宋" w:cs="仿宋"/>
          <w:color w:val="auto"/>
          <w:szCs w:val="24"/>
          <w:highlight w:val="none"/>
          <w:u w:val="single"/>
          <w:lang w:val="en-US" w:eastAsia="zh-CN"/>
        </w:rPr>
        <w:t>1</w:t>
      </w:r>
      <w:r>
        <w:rPr>
          <w:rFonts w:hint="eastAsia" w:ascii="仿宋" w:hAnsi="仿宋" w:eastAsia="仿宋" w:cs="仿宋"/>
          <w:color w:val="auto"/>
          <w:szCs w:val="24"/>
          <w:highlight w:val="none"/>
        </w:rPr>
        <w:t>月</w:t>
      </w:r>
      <w:r>
        <w:rPr>
          <w:rFonts w:hint="eastAsia" w:ascii="仿宋" w:hAnsi="仿宋" w:eastAsia="仿宋" w:cs="仿宋"/>
          <w:color w:val="auto"/>
          <w:szCs w:val="24"/>
          <w:highlight w:val="none"/>
          <w:u w:val="single"/>
          <w:lang w:val="en-US" w:eastAsia="zh-CN"/>
        </w:rPr>
        <w:t xml:space="preserve">      27</w:t>
      </w:r>
      <w:r>
        <w:rPr>
          <w:rFonts w:hint="eastAsia" w:ascii="仿宋" w:hAnsi="仿宋" w:eastAsia="仿宋" w:cs="仿宋"/>
          <w:color w:val="auto"/>
          <w:szCs w:val="24"/>
          <w:highlight w:val="none"/>
        </w:rPr>
        <w:t>日</w:t>
      </w:r>
      <w:r>
        <w:rPr>
          <w:rFonts w:hint="eastAsia" w:ascii="仿宋" w:hAnsi="仿宋" w:eastAsia="仿宋" w:cs="仿宋"/>
          <w:color w:val="auto"/>
          <w:szCs w:val="24"/>
          <w:highlight w:val="none"/>
          <w:u w:val="single"/>
          <w:lang w:val="en-US" w:eastAsia="zh-CN"/>
        </w:rPr>
        <w:t xml:space="preserve"> 9 </w:t>
      </w:r>
      <w:r>
        <w:rPr>
          <w:rFonts w:hint="eastAsia" w:ascii="仿宋" w:hAnsi="仿宋" w:eastAsia="仿宋" w:cs="仿宋"/>
          <w:color w:val="auto"/>
          <w:szCs w:val="24"/>
          <w:highlight w:val="none"/>
        </w:rPr>
        <w:t>点</w:t>
      </w:r>
      <w:r>
        <w:rPr>
          <w:rFonts w:hint="eastAsia" w:ascii="仿宋" w:hAnsi="仿宋" w:eastAsia="仿宋" w:cs="仿宋"/>
          <w:color w:val="auto"/>
          <w:szCs w:val="24"/>
          <w:highlight w:val="none"/>
          <w:u w:val="single"/>
        </w:rPr>
        <w:t xml:space="preserve"> 00 </w:t>
      </w:r>
      <w:r>
        <w:rPr>
          <w:rFonts w:hint="eastAsia" w:ascii="仿宋" w:hAnsi="仿宋" w:eastAsia="仿宋" w:cs="仿宋"/>
          <w:color w:val="auto"/>
          <w:szCs w:val="24"/>
          <w:highlight w:val="none"/>
        </w:rPr>
        <w:t>分</w:t>
      </w:r>
      <w:r>
        <w:rPr>
          <w:rFonts w:hint="eastAsia" w:ascii="仿宋" w:hAnsi="仿宋" w:eastAsia="仿宋" w:cs="仿宋"/>
          <w:bCs/>
          <w:color w:val="auto"/>
          <w:szCs w:val="24"/>
          <w:highlight w:val="none"/>
        </w:rPr>
        <w:t>（北京时间）前递交投标文件</w:t>
      </w:r>
      <w:r>
        <w:rPr>
          <w:rFonts w:hint="eastAsia" w:ascii="仿宋" w:hAnsi="仿宋" w:eastAsia="仿宋" w:cs="仿宋"/>
          <w:color w:val="auto"/>
          <w:szCs w:val="24"/>
          <w:highlight w:val="none"/>
        </w:rPr>
        <w:t>。</w:t>
      </w:r>
    </w:p>
    <w:p w14:paraId="1A758027">
      <w:pPr>
        <w:spacing w:line="440" w:lineRule="exact"/>
        <w:rPr>
          <w:rFonts w:hint="eastAsia" w:ascii="仿宋" w:hAnsi="仿宋" w:eastAsia="仿宋" w:cs="仿宋"/>
          <w:b/>
          <w:bCs/>
          <w:color w:val="auto"/>
          <w:spacing w:val="6"/>
          <w:szCs w:val="24"/>
          <w:highlight w:val="none"/>
        </w:rPr>
      </w:pPr>
      <w:bookmarkStart w:id="4" w:name="_Toc35393790"/>
      <w:bookmarkStart w:id="5" w:name="_Toc35393621"/>
      <w:bookmarkStart w:id="6" w:name="_Toc28359079"/>
      <w:bookmarkStart w:id="7" w:name="_Toc28359002"/>
      <w:bookmarkStart w:id="8" w:name="_Hlk24379207"/>
      <w:r>
        <w:rPr>
          <w:rFonts w:hint="eastAsia" w:ascii="仿宋" w:hAnsi="仿宋" w:eastAsia="仿宋" w:cs="仿宋"/>
          <w:b/>
          <w:bCs/>
          <w:color w:val="auto"/>
          <w:spacing w:val="6"/>
          <w:szCs w:val="24"/>
          <w:highlight w:val="none"/>
        </w:rPr>
        <w:t>一、项目基本情况</w:t>
      </w:r>
      <w:bookmarkEnd w:id="4"/>
      <w:bookmarkEnd w:id="5"/>
      <w:bookmarkEnd w:id="6"/>
      <w:bookmarkEnd w:id="7"/>
    </w:p>
    <w:p w14:paraId="14A5586C">
      <w:pPr>
        <w:spacing w:line="480" w:lineRule="exact"/>
        <w:ind w:firstLine="480" w:firstLineChars="200"/>
        <w:rPr>
          <w:rFonts w:hint="default" w:ascii="仿宋" w:hAnsi="仿宋" w:eastAsia="仿宋" w:cs="仿宋"/>
          <w:color w:val="auto"/>
          <w:highlight w:val="none"/>
          <w:u w:val="single"/>
          <w:lang w:val="en-US" w:eastAsia="zh-CN"/>
        </w:rPr>
      </w:pPr>
      <w:r>
        <w:rPr>
          <w:rFonts w:hint="eastAsia" w:ascii="仿宋" w:hAnsi="仿宋" w:eastAsia="仿宋" w:cs="仿宋"/>
          <w:color w:val="auto"/>
          <w:szCs w:val="24"/>
          <w:highlight w:val="none"/>
        </w:rPr>
        <w:t>项目编号：</w:t>
      </w:r>
      <w:r>
        <w:rPr>
          <w:rFonts w:hint="eastAsia" w:ascii="仿宋" w:hAnsi="仿宋" w:eastAsia="仿宋" w:cs="仿宋"/>
          <w:color w:val="auto"/>
          <w:highlight w:val="none"/>
          <w:u w:val="none"/>
          <w:lang w:val="en-US" w:eastAsia="zh-CN"/>
        </w:rPr>
        <w:t>SZMY-F20241263</w:t>
      </w:r>
    </w:p>
    <w:p w14:paraId="0BDB5513">
      <w:pPr>
        <w:spacing w:line="48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项目名称：</w:t>
      </w:r>
      <w:r>
        <w:rPr>
          <w:rFonts w:hint="eastAsia" w:ascii="仿宋" w:hAnsi="仿宋" w:eastAsia="仿宋" w:cs="仿宋"/>
          <w:color w:val="auto"/>
          <w:highlight w:val="none"/>
          <w:u w:val="none"/>
          <w:lang w:eastAsia="zh-CN"/>
        </w:rPr>
        <w:t xml:space="preserve">嵊州市水务投资发展集团有限公司及下属子公司保险服务项目  </w:t>
      </w:r>
    </w:p>
    <w:bookmarkEnd w:id="8"/>
    <w:p w14:paraId="509D7A11">
      <w:pPr>
        <w:spacing w:line="480" w:lineRule="exact"/>
        <w:ind w:firstLine="480" w:firstLineChars="200"/>
        <w:rPr>
          <w:rFonts w:hint="default" w:ascii="仿宋" w:hAnsi="仿宋" w:eastAsia="仿宋" w:cs="仿宋"/>
          <w:color w:val="auto"/>
          <w:szCs w:val="24"/>
          <w:highlight w:val="none"/>
          <w:lang w:val="en-US"/>
        </w:rPr>
      </w:pPr>
      <w:r>
        <w:rPr>
          <w:rFonts w:hint="eastAsia" w:ascii="仿宋" w:hAnsi="仿宋" w:eastAsia="仿宋" w:cs="仿宋"/>
          <w:color w:val="auto"/>
          <w:szCs w:val="24"/>
          <w:highlight w:val="none"/>
        </w:rPr>
        <w:t>预算金额</w:t>
      </w:r>
      <w:r>
        <w:rPr>
          <w:rFonts w:hint="eastAsia" w:ascii="仿宋" w:hAnsi="仿宋" w:eastAsia="仿宋" w:cs="仿宋"/>
          <w:color w:val="auto"/>
          <w:kern w:val="2"/>
          <w:sz w:val="24"/>
          <w:szCs w:val="24"/>
          <w:highlight w:val="none"/>
          <w:lang w:val="en-US" w:eastAsia="zh-CN" w:bidi="ar-SA"/>
        </w:rPr>
        <w:t>（元）:9640000</w:t>
      </w:r>
    </w:p>
    <w:p w14:paraId="5950BE1A">
      <w:pPr>
        <w:spacing w:line="440" w:lineRule="exact"/>
        <w:ind w:firstLine="480" w:firstLineChars="200"/>
        <w:rPr>
          <w:rFonts w:hint="default" w:ascii="仿宋" w:hAnsi="仿宋" w:eastAsia="仿宋" w:cs="仿宋"/>
          <w:color w:val="auto"/>
          <w:szCs w:val="24"/>
          <w:highlight w:val="none"/>
          <w:lang w:val="en-US"/>
        </w:rPr>
      </w:pPr>
      <w:r>
        <w:rPr>
          <w:rFonts w:hint="eastAsia" w:ascii="仿宋" w:hAnsi="仿宋" w:eastAsia="仿宋" w:cs="仿宋"/>
          <w:color w:val="auto"/>
          <w:szCs w:val="24"/>
          <w:highlight w:val="none"/>
        </w:rPr>
        <w:t>最高限价</w:t>
      </w:r>
      <w:r>
        <w:rPr>
          <w:rFonts w:hint="eastAsia" w:ascii="仿宋" w:hAnsi="仿宋" w:eastAsia="仿宋" w:cs="仿宋"/>
          <w:color w:val="auto"/>
          <w:kern w:val="2"/>
          <w:sz w:val="24"/>
          <w:szCs w:val="24"/>
          <w:highlight w:val="none"/>
          <w:lang w:val="en-US" w:eastAsia="zh-CN" w:bidi="ar-SA"/>
        </w:rPr>
        <w:t>（元）:9140000（不含车辆保险）</w:t>
      </w:r>
    </w:p>
    <w:p w14:paraId="27FB8E03">
      <w:pPr>
        <w:pStyle w:val="82"/>
        <w:spacing w:afterLines="0" w:line="440" w:lineRule="exact"/>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采购需求：</w:t>
      </w:r>
    </w:p>
    <w:p w14:paraId="1254053A">
      <w:pPr>
        <w:pStyle w:val="82"/>
        <w:spacing w:afterLines="0" w:line="440" w:lineRule="exact"/>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标项一:</w:t>
      </w:r>
    </w:p>
    <w:p w14:paraId="67B5B709">
      <w:pPr>
        <w:pStyle w:val="82"/>
        <w:spacing w:afterLines="0" w:line="440" w:lineRule="exact"/>
        <w:ind w:firstLine="480"/>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lang w:val="en-US" w:eastAsia="zh-CN" w:bidi="ar-SA"/>
        </w:rPr>
        <w:t xml:space="preserve">标项名称: </w:t>
      </w:r>
      <w:r>
        <w:rPr>
          <w:rFonts w:hint="eastAsia" w:ascii="仿宋" w:hAnsi="仿宋" w:eastAsia="仿宋" w:cs="仿宋"/>
          <w:color w:val="auto"/>
          <w:highlight w:val="none"/>
          <w:u w:val="none"/>
          <w:lang w:eastAsia="zh-CN"/>
        </w:rPr>
        <w:t xml:space="preserve">嵊州市水务投资发展集团有限公司及下属子公司保险服务项目  </w:t>
      </w:r>
    </w:p>
    <w:p w14:paraId="413DD27A">
      <w:pPr>
        <w:pStyle w:val="82"/>
        <w:spacing w:afterLines="0" w:line="440" w:lineRule="exact"/>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预算金额（元）:9640000</w:t>
      </w:r>
    </w:p>
    <w:p w14:paraId="2DA3E850">
      <w:pPr>
        <w:pStyle w:val="82"/>
        <w:spacing w:afterLines="0" w:line="440" w:lineRule="exact"/>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简要规格描述或项目基本概况介绍、用途：详见采购文件 </w:t>
      </w:r>
    </w:p>
    <w:p w14:paraId="6E1DA325">
      <w:pPr>
        <w:pStyle w:val="82"/>
        <w:spacing w:afterLines="0" w:line="440" w:lineRule="exact"/>
        <w:ind w:firstLine="480"/>
        <w:rPr>
          <w:rFonts w:hint="eastAsia" w:ascii="仿宋" w:hAnsi="仿宋" w:eastAsia="仿宋" w:cs="仿宋"/>
          <w:color w:val="auto"/>
          <w:highlight w:val="none"/>
          <w:u w:val="none"/>
          <w:lang w:val="en-US" w:eastAsia="zh-CN"/>
        </w:rPr>
      </w:pPr>
      <w:r>
        <w:rPr>
          <w:rFonts w:hint="eastAsia" w:ascii="仿宋" w:hAnsi="仿宋" w:eastAsia="仿宋" w:cs="仿宋"/>
          <w:color w:val="auto"/>
          <w:kern w:val="2"/>
          <w:sz w:val="24"/>
          <w:szCs w:val="24"/>
          <w:highlight w:val="none"/>
          <w:lang w:val="en-US" w:eastAsia="zh-CN" w:bidi="ar-SA"/>
        </w:rPr>
        <w:t>合同履约期限：</w:t>
      </w:r>
      <w:r>
        <w:rPr>
          <w:rFonts w:hint="eastAsia" w:ascii="仿宋" w:hAnsi="仿宋" w:eastAsia="仿宋" w:cs="仿宋"/>
          <w:color w:val="auto"/>
          <w:highlight w:val="none"/>
          <w:u w:val="none"/>
          <w:lang w:val="en-US" w:eastAsia="zh-CN"/>
        </w:rPr>
        <w:t>二年。</w:t>
      </w:r>
    </w:p>
    <w:p w14:paraId="07C8CA5F">
      <w:pPr>
        <w:spacing w:line="440" w:lineRule="exact"/>
        <w:ind w:firstLine="480" w:firstLineChars="200"/>
        <w:rPr>
          <w:rFonts w:hint="eastAsia" w:ascii="仿宋" w:hAnsi="仿宋" w:eastAsia="仿宋" w:cs="仿宋"/>
          <w:color w:val="auto"/>
          <w:kern w:val="2"/>
          <w:sz w:val="24"/>
          <w:szCs w:val="24"/>
          <w:highlight w:val="none"/>
          <w:lang w:val="en-US" w:eastAsia="zh-CN" w:bidi="ar-SA"/>
        </w:rPr>
      </w:pPr>
      <w:bookmarkStart w:id="9" w:name="_Toc28359080"/>
      <w:bookmarkStart w:id="10" w:name="_Toc35393791"/>
      <w:bookmarkStart w:id="11" w:name="_Toc35393622"/>
      <w:bookmarkStart w:id="12" w:name="_Toc28359003"/>
      <w:r>
        <w:rPr>
          <w:rFonts w:hint="eastAsia" w:ascii="仿宋" w:hAnsi="仿宋" w:eastAsia="仿宋" w:cs="仿宋"/>
          <w:color w:val="auto"/>
          <w:kern w:val="2"/>
          <w:sz w:val="24"/>
          <w:szCs w:val="24"/>
          <w:highlight w:val="none"/>
          <w:lang w:val="en-US" w:eastAsia="zh-CN" w:bidi="ar-SA"/>
        </w:rPr>
        <w:t>本项目接受联合体投标：</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2"/>
          <w:sz w:val="24"/>
          <w:szCs w:val="24"/>
          <w:highlight w:val="none"/>
          <w:lang w:val="en-US" w:eastAsia="zh-CN" w:bidi="ar-SA"/>
        </w:rPr>
        <w:t>否。</w:t>
      </w:r>
    </w:p>
    <w:p w14:paraId="0B91C191">
      <w:pPr>
        <w:spacing w:line="440" w:lineRule="exact"/>
        <w:rPr>
          <w:rFonts w:hint="eastAsia" w:ascii="仿宋" w:hAnsi="仿宋" w:eastAsia="仿宋" w:cs="仿宋"/>
          <w:b/>
          <w:bCs/>
          <w:color w:val="auto"/>
          <w:spacing w:val="6"/>
          <w:szCs w:val="24"/>
          <w:highlight w:val="none"/>
        </w:rPr>
      </w:pPr>
      <w:r>
        <w:rPr>
          <w:rFonts w:hint="eastAsia" w:ascii="仿宋" w:hAnsi="仿宋" w:eastAsia="仿宋" w:cs="仿宋"/>
          <w:b/>
          <w:bCs/>
          <w:color w:val="auto"/>
          <w:spacing w:val="6"/>
          <w:szCs w:val="24"/>
          <w:highlight w:val="none"/>
        </w:rPr>
        <w:t>二、</w:t>
      </w:r>
      <w:r>
        <w:rPr>
          <w:rFonts w:hint="eastAsia" w:ascii="仿宋" w:hAnsi="仿宋" w:eastAsia="仿宋" w:cs="仿宋"/>
          <w:b/>
          <w:bCs/>
          <w:color w:val="auto"/>
          <w:spacing w:val="6"/>
          <w:szCs w:val="24"/>
          <w:highlight w:val="none"/>
          <w:lang w:val="en-US" w:eastAsia="zh-CN"/>
        </w:rPr>
        <w:t>申请人</w:t>
      </w:r>
      <w:r>
        <w:rPr>
          <w:rFonts w:hint="eastAsia" w:ascii="仿宋" w:hAnsi="仿宋" w:eastAsia="仿宋" w:cs="仿宋"/>
          <w:b/>
          <w:bCs/>
          <w:color w:val="auto"/>
          <w:spacing w:val="6"/>
          <w:szCs w:val="24"/>
          <w:highlight w:val="none"/>
        </w:rPr>
        <w:t>的资格要求：</w:t>
      </w:r>
      <w:bookmarkEnd w:id="9"/>
      <w:bookmarkEnd w:id="10"/>
      <w:bookmarkEnd w:id="11"/>
      <w:bookmarkEnd w:id="12"/>
    </w:p>
    <w:p w14:paraId="13561A28">
      <w:pPr>
        <w:spacing w:line="440" w:lineRule="exact"/>
        <w:ind w:firstLine="480" w:firstLineChars="200"/>
        <w:rPr>
          <w:rFonts w:hint="eastAsia" w:ascii="仿宋" w:hAnsi="仿宋" w:eastAsia="仿宋" w:cs="仿宋"/>
          <w:snapToGrid w:val="0"/>
          <w:color w:val="auto"/>
          <w:kern w:val="28"/>
          <w:sz w:val="24"/>
          <w:szCs w:val="20"/>
          <w:highlight w:val="none"/>
        </w:rPr>
      </w:pPr>
      <w:bookmarkStart w:id="13" w:name="_Toc35393623"/>
      <w:bookmarkStart w:id="14" w:name="_Toc28359081"/>
      <w:bookmarkStart w:id="15" w:name="_Toc35393792"/>
      <w:bookmarkStart w:id="16" w:name="_Toc28359004"/>
      <w:r>
        <w:rPr>
          <w:rFonts w:hint="eastAsia" w:ascii="仿宋" w:hAnsi="仿宋" w:eastAsia="仿宋" w:cs="仿宋"/>
          <w:snapToGrid w:val="0"/>
          <w:color w:val="auto"/>
          <w:kern w:val="28"/>
          <w:sz w:val="24"/>
          <w:szCs w:val="20"/>
          <w:highlight w:val="none"/>
        </w:rPr>
        <w:t>1.具有独立承担民事责任的能力；</w:t>
      </w:r>
    </w:p>
    <w:p w14:paraId="09A40046">
      <w:pPr>
        <w:spacing w:line="440" w:lineRule="exact"/>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2.具有良好的商业信誉；</w:t>
      </w:r>
    </w:p>
    <w:p w14:paraId="3D2BCB74">
      <w:pPr>
        <w:spacing w:line="440" w:lineRule="exact"/>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3.具有履行合同所必需的设备和专业技术，售后保障等能力；</w:t>
      </w:r>
    </w:p>
    <w:p w14:paraId="7A25C59A">
      <w:pPr>
        <w:spacing w:line="440" w:lineRule="exact"/>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4.有依法缴纳税收和社会保障资金的良好记录；</w:t>
      </w:r>
    </w:p>
    <w:p w14:paraId="5D990AA9">
      <w:pPr>
        <w:spacing w:line="440" w:lineRule="exact"/>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5.参加采购活动前三年内，没有重大违法记录，严重失信行为和行贿记录；</w:t>
      </w:r>
    </w:p>
    <w:p w14:paraId="43F86D6F">
      <w:pPr>
        <w:spacing w:line="440" w:lineRule="exact"/>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6.法律、行政法规规定的其他条件。</w:t>
      </w:r>
    </w:p>
    <w:p w14:paraId="77B3FB4F">
      <w:pPr>
        <w:spacing w:line="440" w:lineRule="exact"/>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7</w:t>
      </w:r>
      <w:r>
        <w:rPr>
          <w:rFonts w:hint="eastAsia" w:ascii="仿宋" w:hAnsi="仿宋" w:eastAsia="仿宋" w:cs="仿宋"/>
          <w:snapToGrid w:val="0"/>
          <w:color w:val="auto"/>
          <w:kern w:val="28"/>
          <w:sz w:val="24"/>
          <w:szCs w:val="20"/>
          <w:highlight w:val="none"/>
        </w:rPr>
        <w:t>.未被“信用</w:t>
      </w:r>
      <w:r>
        <w:rPr>
          <w:rFonts w:hint="eastAsia" w:ascii="仿宋" w:hAnsi="仿宋" w:eastAsia="仿宋" w:cs="仿宋"/>
          <w:color w:val="auto"/>
          <w:kern w:val="2"/>
          <w:sz w:val="24"/>
          <w:szCs w:val="24"/>
          <w:highlight w:val="none"/>
          <w:lang w:val="en-US" w:eastAsia="zh-CN" w:bidi="ar-SA"/>
        </w:rPr>
        <w:t>中国</w:t>
      </w:r>
      <w:r>
        <w:rPr>
          <w:rFonts w:hint="eastAsia" w:ascii="仿宋" w:hAnsi="仿宋" w:eastAsia="仿宋" w:cs="仿宋"/>
          <w:snapToGrid w:val="0"/>
          <w:color w:val="auto"/>
          <w:kern w:val="28"/>
          <w:sz w:val="24"/>
          <w:szCs w:val="20"/>
          <w:highlight w:val="none"/>
        </w:rPr>
        <w:t>”（www.creditchina.gov.cn)、中国政府采购网（www.ccgp.gov.cn）列入失信被执行人、重大税收违法案件当事人名单、政府采购严重违法失信行为记录名单；</w:t>
      </w:r>
    </w:p>
    <w:p w14:paraId="409911E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.本项目的特定资格要求：</w:t>
      </w:r>
    </w:p>
    <w:p w14:paraId="1D16DAE2">
      <w:pPr>
        <w:spacing w:line="44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b w:val="0"/>
          <w:bCs w:val="0"/>
          <w:color w:val="auto"/>
          <w:kern w:val="0"/>
          <w:sz w:val="24"/>
          <w:szCs w:val="24"/>
          <w:highlight w:val="none"/>
          <w:lang w:val="en-US" w:eastAsia="zh-CN" w:bidi="ar-SA"/>
        </w:rPr>
        <w:t>具有中国保险监督管理委员颁发的《经营保险业务许可证》，具有开展相关保险业务的保险公司或其分支机构。</w:t>
      </w:r>
    </w:p>
    <w:p w14:paraId="2AD17FA9">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0343AB34">
      <w:pPr>
        <w:spacing w:line="440" w:lineRule="exact"/>
        <w:rPr>
          <w:rFonts w:hint="eastAsia" w:ascii="仿宋" w:hAnsi="仿宋" w:eastAsia="仿宋" w:cs="仿宋"/>
          <w:b/>
          <w:bCs/>
          <w:color w:val="auto"/>
          <w:spacing w:val="6"/>
          <w:szCs w:val="24"/>
          <w:highlight w:val="none"/>
        </w:rPr>
      </w:pPr>
      <w:r>
        <w:rPr>
          <w:rFonts w:hint="eastAsia" w:ascii="仿宋" w:hAnsi="仿宋" w:eastAsia="仿宋" w:cs="仿宋"/>
          <w:b/>
          <w:bCs/>
          <w:color w:val="auto"/>
          <w:spacing w:val="6"/>
          <w:szCs w:val="24"/>
          <w:highlight w:val="none"/>
        </w:rPr>
        <w:t>三、获取</w:t>
      </w:r>
      <w:bookmarkEnd w:id="13"/>
      <w:bookmarkEnd w:id="14"/>
      <w:bookmarkEnd w:id="15"/>
      <w:bookmarkEnd w:id="16"/>
      <w:r>
        <w:rPr>
          <w:rFonts w:hint="eastAsia" w:ascii="仿宋" w:hAnsi="仿宋" w:eastAsia="仿宋" w:cs="仿宋"/>
          <w:b/>
          <w:bCs/>
          <w:color w:val="auto"/>
          <w:spacing w:val="6"/>
          <w:szCs w:val="24"/>
          <w:highlight w:val="none"/>
          <w:lang w:val="en-US" w:eastAsia="zh-CN"/>
        </w:rPr>
        <w:t>招标</w:t>
      </w:r>
      <w:r>
        <w:rPr>
          <w:rFonts w:hint="eastAsia" w:ascii="仿宋" w:hAnsi="仿宋" w:eastAsia="仿宋" w:cs="仿宋"/>
          <w:b/>
          <w:bCs/>
          <w:color w:val="auto"/>
          <w:spacing w:val="6"/>
          <w:szCs w:val="24"/>
          <w:highlight w:val="none"/>
        </w:rPr>
        <w:t>文件</w:t>
      </w:r>
    </w:p>
    <w:p w14:paraId="529F23DD">
      <w:pPr>
        <w:spacing w:line="440" w:lineRule="exact"/>
        <w:ind w:firstLine="482" w:firstLineChars="200"/>
        <w:rPr>
          <w:rFonts w:hint="eastAsia" w:ascii="仿宋" w:hAnsi="仿宋" w:eastAsia="仿宋" w:cs="仿宋"/>
          <w:color w:val="auto"/>
          <w:sz w:val="24"/>
          <w:highlight w:val="none"/>
        </w:rPr>
      </w:pPr>
      <w:bookmarkStart w:id="17" w:name="_Toc28359005"/>
      <w:bookmarkStart w:id="18" w:name="_Toc35393793"/>
      <w:bookmarkStart w:id="19" w:name="_Toc35393624"/>
      <w:bookmarkStart w:id="20" w:name="_Toc28359082"/>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2025</w:t>
      </w:r>
      <w:r>
        <w:rPr>
          <w:rFonts w:hint="eastAsia" w:ascii="仿宋" w:hAnsi="仿宋" w:eastAsia="仿宋" w:cs="仿宋"/>
          <w:color w:val="auto"/>
          <w:sz w:val="24"/>
          <w:highlight w:val="none"/>
          <w:u w:val="single"/>
        </w:rPr>
        <w:t xml:space="preserve">年 </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27</w:t>
      </w:r>
      <w:r>
        <w:rPr>
          <w:rFonts w:hint="eastAsia" w:ascii="仿宋" w:hAnsi="仿宋" w:eastAsia="仿宋" w:cs="仿宋"/>
          <w:color w:val="auto"/>
          <w:sz w:val="24"/>
          <w:highlight w:val="none"/>
          <w:u w:val="single"/>
        </w:rPr>
        <w:t xml:space="preserve"> 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6AEBE8D6">
      <w:pPr>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乐采云平台（https://www.lecaiyun.com/） </w:t>
      </w:r>
    </w:p>
    <w:p w14:paraId="78B957CB">
      <w:pPr>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供应商登录乐采云平台https://www.lecaiyun.com/在线申请获取采购文件（进入“项目采购”应用，在获取采购文件菜单中选择项目，申请获取采购文件）。 </w:t>
      </w:r>
    </w:p>
    <w:p w14:paraId="15047BDA">
      <w:pPr>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0E6EE83B">
      <w:pPr>
        <w:pStyle w:val="30"/>
        <w:widowControl/>
        <w:spacing w:line="460" w:lineRule="exact"/>
        <w:outlineLvl w:val="1"/>
        <w:rPr>
          <w:rFonts w:hint="eastAsia" w:ascii="仿宋" w:hAnsi="仿宋" w:eastAsia="仿宋" w:cs="仿宋"/>
          <w:b/>
          <w:color w:val="auto"/>
          <w:highlight w:val="none"/>
        </w:rPr>
      </w:pPr>
      <w:r>
        <w:rPr>
          <w:rFonts w:hint="eastAsia" w:ascii="仿宋" w:hAnsi="仿宋" w:eastAsia="仿宋" w:cs="仿宋"/>
          <w:bCs/>
          <w:color w:val="auto"/>
          <w:szCs w:val="20"/>
          <w:highlight w:val="none"/>
        </w:rPr>
        <w:t> </w:t>
      </w:r>
      <w:bookmarkStart w:id="21" w:name="_Toc208"/>
      <w:bookmarkStart w:id="22" w:name="_Toc413"/>
      <w:r>
        <w:rPr>
          <w:rFonts w:hint="eastAsia" w:ascii="仿宋" w:hAnsi="仿宋" w:eastAsia="仿宋" w:cs="仿宋"/>
          <w:b/>
          <w:color w:val="auto"/>
          <w:highlight w:val="none"/>
        </w:rPr>
        <w:t>四、提交投标文件截止时间、开标时间和地点</w:t>
      </w:r>
      <w:bookmarkEnd w:id="21"/>
      <w:bookmarkEnd w:id="22"/>
    </w:p>
    <w:p w14:paraId="0BC02A10">
      <w:pPr>
        <w:pStyle w:val="30"/>
        <w:widowControl/>
        <w:spacing w:line="48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提交投标文件截止时间：</w:t>
      </w:r>
      <w:r>
        <w:rPr>
          <w:rFonts w:hint="eastAsia" w:ascii="仿宋" w:hAnsi="仿宋" w:eastAsia="仿宋" w:cs="仿宋"/>
          <w:bCs/>
          <w:color w:val="auto"/>
          <w:highlight w:val="none"/>
          <w:u w:val="single"/>
          <w:lang w:val="en-US" w:eastAsia="zh-CN"/>
        </w:rPr>
        <w:t xml:space="preserve">2025 </w:t>
      </w:r>
      <w:r>
        <w:rPr>
          <w:rFonts w:hint="eastAsia" w:ascii="仿宋" w:hAnsi="仿宋" w:eastAsia="仿宋" w:cs="仿宋"/>
          <w:bCs/>
          <w:color w:val="auto"/>
          <w:highlight w:val="none"/>
          <w:lang w:eastAsia="zh-CN"/>
        </w:rPr>
        <w:t>年</w:t>
      </w:r>
      <w:r>
        <w:rPr>
          <w:rFonts w:hint="eastAsia" w:ascii="仿宋" w:hAnsi="仿宋" w:eastAsia="仿宋" w:cs="仿宋"/>
          <w:bCs/>
          <w:color w:val="auto"/>
          <w:highlight w:val="none"/>
          <w:u w:val="single"/>
          <w:lang w:val="en-US" w:eastAsia="zh-CN"/>
        </w:rPr>
        <w:t xml:space="preserve"> 1 </w:t>
      </w:r>
      <w:r>
        <w:rPr>
          <w:rFonts w:hint="eastAsia" w:ascii="仿宋" w:hAnsi="仿宋" w:eastAsia="仿宋" w:cs="仿宋"/>
          <w:bCs/>
          <w:color w:val="auto"/>
          <w:highlight w:val="none"/>
          <w:lang w:val="en-US" w:eastAsia="zh-CN"/>
        </w:rPr>
        <w:t>月</w:t>
      </w:r>
      <w:r>
        <w:rPr>
          <w:rFonts w:hint="eastAsia" w:ascii="仿宋" w:hAnsi="仿宋" w:eastAsia="仿宋" w:cs="仿宋"/>
          <w:bCs/>
          <w:color w:val="auto"/>
          <w:highlight w:val="none"/>
          <w:u w:val="single"/>
          <w:lang w:val="en-US" w:eastAsia="zh-CN"/>
        </w:rPr>
        <w:t xml:space="preserve"> 27 </w:t>
      </w:r>
      <w:r>
        <w:rPr>
          <w:rFonts w:hint="eastAsia" w:ascii="仿宋" w:hAnsi="仿宋" w:eastAsia="仿宋" w:cs="仿宋"/>
          <w:bCs/>
          <w:color w:val="auto"/>
          <w:highlight w:val="none"/>
          <w:lang w:val="en-US" w:eastAsia="zh-CN"/>
        </w:rPr>
        <w:t>日</w:t>
      </w:r>
      <w:r>
        <w:rPr>
          <w:rFonts w:hint="eastAsia" w:ascii="仿宋" w:hAnsi="仿宋" w:eastAsia="仿宋" w:cs="仿宋"/>
          <w:bCs/>
          <w:color w:val="auto"/>
          <w:highlight w:val="none"/>
          <w:u w:val="single"/>
          <w:lang w:val="en-US" w:eastAsia="zh-CN"/>
        </w:rPr>
        <w:t xml:space="preserve"> 9</w:t>
      </w:r>
      <w:r>
        <w:rPr>
          <w:rFonts w:hint="eastAsia" w:ascii="仿宋" w:hAnsi="仿宋" w:eastAsia="仿宋" w:cs="仿宋"/>
          <w:bCs/>
          <w:color w:val="auto"/>
          <w:highlight w:val="none"/>
          <w:u w:val="single"/>
        </w:rPr>
        <w:t>:00</w:t>
      </w:r>
      <w:r>
        <w:rPr>
          <w:rFonts w:hint="eastAsia" w:ascii="仿宋" w:hAnsi="仿宋" w:eastAsia="仿宋" w:cs="仿宋"/>
          <w:bCs/>
          <w:color w:val="auto"/>
          <w:highlight w:val="none"/>
        </w:rPr>
        <w:t>（北京时间）</w:t>
      </w:r>
    </w:p>
    <w:p w14:paraId="27A66E65">
      <w:pPr>
        <w:pStyle w:val="30"/>
        <w:widowControl/>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bCs/>
          <w:color w:val="auto"/>
          <w:highlight w:val="none"/>
        </w:rPr>
        <w:t>投标地点（网址）：</w:t>
      </w:r>
      <w:r>
        <w:rPr>
          <w:rFonts w:hint="eastAsia" w:ascii="仿宋" w:hAnsi="仿宋" w:eastAsia="仿宋" w:cs="仿宋"/>
          <w:color w:val="auto"/>
          <w:sz w:val="24"/>
          <w:highlight w:val="none"/>
        </w:rPr>
        <w:t>乐采云平台（https://www.lecaiyun.com/）</w:t>
      </w:r>
    </w:p>
    <w:p w14:paraId="6CBC3B57">
      <w:pPr>
        <w:pStyle w:val="30"/>
        <w:widowControl/>
        <w:spacing w:line="48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开标时间：</w:t>
      </w:r>
      <w:r>
        <w:rPr>
          <w:rFonts w:hint="eastAsia" w:ascii="仿宋" w:hAnsi="仿宋" w:eastAsia="仿宋" w:cs="仿宋"/>
          <w:bCs/>
          <w:color w:val="auto"/>
          <w:highlight w:val="none"/>
          <w:u w:val="single"/>
          <w:lang w:val="en-US" w:eastAsia="zh-CN"/>
        </w:rPr>
        <w:t xml:space="preserve">2025 </w:t>
      </w:r>
      <w:r>
        <w:rPr>
          <w:rFonts w:hint="eastAsia" w:ascii="仿宋" w:hAnsi="仿宋" w:eastAsia="仿宋" w:cs="仿宋"/>
          <w:bCs/>
          <w:color w:val="auto"/>
          <w:highlight w:val="none"/>
          <w:lang w:eastAsia="zh-CN"/>
        </w:rPr>
        <w:t>年</w:t>
      </w:r>
      <w:r>
        <w:rPr>
          <w:rFonts w:hint="eastAsia" w:ascii="仿宋" w:hAnsi="仿宋" w:eastAsia="仿宋" w:cs="仿宋"/>
          <w:bCs/>
          <w:color w:val="auto"/>
          <w:highlight w:val="none"/>
          <w:u w:val="single"/>
          <w:lang w:val="en-US" w:eastAsia="zh-CN"/>
        </w:rPr>
        <w:t xml:space="preserve"> 1 </w:t>
      </w:r>
      <w:r>
        <w:rPr>
          <w:rFonts w:hint="eastAsia" w:ascii="仿宋" w:hAnsi="仿宋" w:eastAsia="仿宋" w:cs="仿宋"/>
          <w:bCs/>
          <w:color w:val="auto"/>
          <w:highlight w:val="none"/>
          <w:lang w:val="en-US" w:eastAsia="zh-CN"/>
        </w:rPr>
        <w:t>月</w:t>
      </w:r>
      <w:r>
        <w:rPr>
          <w:rFonts w:hint="eastAsia" w:ascii="仿宋" w:hAnsi="仿宋" w:eastAsia="仿宋" w:cs="仿宋"/>
          <w:bCs/>
          <w:color w:val="auto"/>
          <w:highlight w:val="none"/>
          <w:u w:val="single"/>
          <w:lang w:val="en-US" w:eastAsia="zh-CN"/>
        </w:rPr>
        <w:t xml:space="preserve"> 27 </w:t>
      </w:r>
      <w:r>
        <w:rPr>
          <w:rFonts w:hint="eastAsia" w:ascii="仿宋" w:hAnsi="仿宋" w:eastAsia="仿宋" w:cs="仿宋"/>
          <w:bCs/>
          <w:color w:val="auto"/>
          <w:highlight w:val="none"/>
          <w:lang w:val="en-US" w:eastAsia="zh-CN"/>
        </w:rPr>
        <w:t>日</w:t>
      </w:r>
      <w:r>
        <w:rPr>
          <w:rFonts w:hint="eastAsia" w:ascii="仿宋" w:hAnsi="仿宋" w:eastAsia="仿宋" w:cs="仿宋"/>
          <w:bCs/>
          <w:color w:val="auto"/>
          <w:highlight w:val="none"/>
          <w:u w:val="single"/>
          <w:lang w:val="en-US" w:eastAsia="zh-CN"/>
        </w:rPr>
        <w:t xml:space="preserve"> 9</w:t>
      </w:r>
      <w:r>
        <w:rPr>
          <w:rFonts w:hint="eastAsia" w:ascii="仿宋" w:hAnsi="仿宋" w:eastAsia="仿宋" w:cs="仿宋"/>
          <w:bCs/>
          <w:color w:val="auto"/>
          <w:highlight w:val="none"/>
          <w:u w:val="single"/>
        </w:rPr>
        <w:t>:00</w:t>
      </w:r>
      <w:r>
        <w:rPr>
          <w:rFonts w:hint="eastAsia" w:ascii="仿宋" w:hAnsi="仿宋" w:eastAsia="仿宋" w:cs="仿宋"/>
          <w:bCs/>
          <w:color w:val="auto"/>
          <w:highlight w:val="none"/>
        </w:rPr>
        <w:t>（北京时间）</w:t>
      </w:r>
    </w:p>
    <w:p w14:paraId="53CE51CB">
      <w:pPr>
        <w:spacing w:line="48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开标地点（网址）：乐采云平台（https://www.lecaiyun.com/）</w:t>
      </w:r>
    </w:p>
    <w:p w14:paraId="447676C7">
      <w:pPr>
        <w:pStyle w:val="30"/>
        <w:widowControl/>
        <w:spacing w:line="460" w:lineRule="exact"/>
        <w:rPr>
          <w:rFonts w:hint="eastAsia" w:ascii="仿宋" w:hAnsi="仿宋" w:eastAsia="仿宋" w:cs="仿宋"/>
          <w:b/>
          <w:color w:val="auto"/>
          <w:highlight w:val="none"/>
        </w:rPr>
      </w:pPr>
      <w:bookmarkStart w:id="23" w:name="_Toc14112"/>
      <w:bookmarkStart w:id="24" w:name="_Toc5110"/>
      <w:r>
        <w:rPr>
          <w:rFonts w:hint="eastAsia" w:ascii="仿宋" w:hAnsi="仿宋" w:eastAsia="仿宋" w:cs="仿宋"/>
          <w:b/>
          <w:color w:val="auto"/>
          <w:highlight w:val="none"/>
          <w:lang w:val="en-US" w:eastAsia="zh-CN"/>
        </w:rPr>
        <w:t>五</w:t>
      </w:r>
      <w:r>
        <w:rPr>
          <w:rFonts w:hint="eastAsia" w:ascii="仿宋" w:hAnsi="仿宋" w:eastAsia="仿宋" w:cs="仿宋"/>
          <w:b/>
          <w:color w:val="auto"/>
          <w:highlight w:val="none"/>
        </w:rPr>
        <w:t>、公告期限</w:t>
      </w:r>
      <w:bookmarkEnd w:id="23"/>
      <w:bookmarkEnd w:id="24"/>
    </w:p>
    <w:p w14:paraId="20C1836E">
      <w:pPr>
        <w:pStyle w:val="30"/>
        <w:widowControl/>
        <w:spacing w:line="46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自本公告发布之日起5个工作日。</w:t>
      </w:r>
    </w:p>
    <w:p w14:paraId="49E36385">
      <w:pPr>
        <w:widowControl/>
        <w:spacing w:line="500" w:lineRule="exact"/>
        <w:rPr>
          <w:rFonts w:hint="eastAsia" w:ascii="仿宋" w:hAnsi="仿宋" w:eastAsia="仿宋" w:cs="仿宋"/>
          <w:bCs/>
          <w:color w:val="auto"/>
          <w:highlight w:val="none"/>
        </w:rPr>
      </w:pPr>
      <w:r>
        <w:rPr>
          <w:rFonts w:hint="eastAsia" w:ascii="仿宋" w:hAnsi="仿宋" w:eastAsia="仿宋" w:cs="仿宋"/>
          <w:b/>
          <w:bCs/>
          <w:color w:val="auto"/>
          <w:spacing w:val="6"/>
          <w:szCs w:val="24"/>
          <w:highlight w:val="none"/>
          <w:lang w:val="en-US" w:eastAsia="zh-CN"/>
        </w:rPr>
        <w:t>六</w:t>
      </w:r>
      <w:r>
        <w:rPr>
          <w:rFonts w:hint="eastAsia" w:ascii="仿宋" w:hAnsi="仿宋" w:eastAsia="仿宋" w:cs="仿宋"/>
          <w:b/>
          <w:bCs/>
          <w:color w:val="auto"/>
          <w:spacing w:val="6"/>
          <w:szCs w:val="24"/>
          <w:highlight w:val="none"/>
        </w:rPr>
        <w:t>、其他补充事宜</w:t>
      </w:r>
    </w:p>
    <w:p w14:paraId="47D55F3B">
      <w:pPr>
        <w:pStyle w:val="30"/>
        <w:widowControl/>
        <w:numPr>
          <w:ilvl w:val="0"/>
          <w:numId w:val="4"/>
        </w:numPr>
        <w:spacing w:line="460" w:lineRule="exact"/>
        <w:ind w:firstLine="480" w:firstLineChars="200"/>
        <w:jc w:val="left"/>
        <w:rPr>
          <w:rFonts w:hint="eastAsia" w:ascii="仿宋" w:hAnsi="仿宋" w:eastAsia="仿宋" w:cs="仿宋"/>
          <w:color w:val="auto"/>
          <w:highlight w:val="none"/>
        </w:rPr>
      </w:pPr>
      <w:r>
        <w:rPr>
          <w:rFonts w:hint="eastAsia" w:ascii="仿宋" w:hAnsi="仿宋" w:eastAsia="仿宋" w:cs="仿宋"/>
          <w:bCs/>
          <w:color w:val="auto"/>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代理机构提出质疑。质疑供应商对采购代理机构的答复不满意或者采购代理机构未在规定的时间内作出答复的，</w:t>
      </w:r>
      <w:r>
        <w:rPr>
          <w:rFonts w:hint="eastAsia" w:ascii="仿宋" w:hAnsi="仿宋" w:eastAsia="仿宋" w:cs="仿宋"/>
          <w:color w:val="auto"/>
          <w:szCs w:val="24"/>
          <w:highlight w:val="none"/>
        </w:rPr>
        <w:t>可以在答复期满后十五个工作日</w:t>
      </w:r>
      <w:r>
        <w:rPr>
          <w:rFonts w:hint="eastAsia" w:ascii="仿宋" w:hAnsi="仿宋" w:eastAsia="仿宋" w:cs="仿宋"/>
          <w:color w:val="auto"/>
          <w:szCs w:val="24"/>
          <w:highlight w:val="none"/>
          <w:lang w:val="en-US" w:eastAsia="zh-CN"/>
        </w:rPr>
        <w:t>内根据嵊国资委【2023】1号文件的规定</w:t>
      </w:r>
      <w:r>
        <w:rPr>
          <w:rFonts w:hint="eastAsia" w:ascii="仿宋" w:hAnsi="仿宋" w:eastAsia="仿宋" w:cs="仿宋"/>
          <w:color w:val="auto"/>
          <w:szCs w:val="24"/>
          <w:highlight w:val="none"/>
        </w:rPr>
        <w:t>提出投诉。</w:t>
      </w:r>
    </w:p>
    <w:bookmarkEnd w:id="17"/>
    <w:bookmarkEnd w:id="18"/>
    <w:bookmarkEnd w:id="19"/>
    <w:bookmarkEnd w:id="20"/>
    <w:p w14:paraId="7F2CA2D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电子招投标的说明：①电子招投标：本项目以数据电文形式，依托“乐采云平台（www.lecaiyun.com）”进行招投标活动，不接受纸质投标文件；②投标准备：注册账号--点击“商家入驻”，进行采购供应商资料填写；申领CA数字证书---申领流程详见“乐采云平台-下载专区-电子交易客户端-CA驱动和申领流程”；安装“乐采云电子交易客户端”----前往“浙江企业采购信息服务网--在线下载一电子交易端”进行下载并安装；③招标文件的获取：使用账号登录或者使用CA登录乐采云平台（www.lecaiyun.com）；进入“项目采购”应用，在获取采购文件菜单中选择项目，获取招标文件；④投标文件的制作：在“乐采云电子交易客户端”中完成“填写基本信息”、“导入投标文件”、“标书关联”、“标书检查”、“电子签名”、“生成电子标书”等操作；⑤采购人、采购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顺丰快递（建议）方式递交备份投标文件1份。⑨投标文件的解密：投标人按照平台提示和招标文件的规定在半小时内完成在线解密。通过乐采云平台（www.lecaiyun.com）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没有在乐采云电子交易平台传输递交投标文件的，投标无效；⑩具体操作指南：详见乐采云平台“服务中心-帮助文档-项目采购-操作流程-电子招投标-采购项目电子交易管理操作指南-供应商”。</w:t>
      </w:r>
    </w:p>
    <w:p w14:paraId="4C0F320C">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spacing w:val="6"/>
          <w:szCs w:val="24"/>
          <w:highlight w:val="none"/>
        </w:rPr>
      </w:pPr>
      <w:r>
        <w:rPr>
          <w:rFonts w:hint="eastAsia" w:ascii="仿宋" w:hAnsi="仿宋" w:eastAsia="仿宋" w:cs="仿宋"/>
          <w:b/>
          <w:bCs/>
          <w:color w:val="auto"/>
          <w:spacing w:val="6"/>
          <w:szCs w:val="24"/>
          <w:highlight w:val="none"/>
          <w:lang w:val="en-US" w:eastAsia="zh-CN"/>
        </w:rPr>
        <w:t>七</w:t>
      </w:r>
      <w:r>
        <w:rPr>
          <w:rFonts w:hint="eastAsia" w:ascii="仿宋" w:hAnsi="仿宋" w:eastAsia="仿宋" w:cs="仿宋"/>
          <w:b/>
          <w:bCs/>
          <w:color w:val="auto"/>
          <w:spacing w:val="6"/>
          <w:szCs w:val="24"/>
          <w:highlight w:val="none"/>
        </w:rPr>
        <w:t>、对本次采购提出询问、质疑、投诉，请按以下方式联系</w:t>
      </w:r>
    </w:p>
    <w:p w14:paraId="375A70A1">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 w:hAnsi="仿宋" w:eastAsia="仿宋" w:cs="仿宋"/>
          <w:bCs/>
          <w:color w:val="auto"/>
          <w:szCs w:val="24"/>
          <w:highlight w:val="none"/>
        </w:rPr>
      </w:pPr>
      <w:r>
        <w:rPr>
          <w:rFonts w:hint="eastAsia" w:ascii="仿宋" w:hAnsi="仿宋" w:eastAsia="仿宋" w:cs="仿宋"/>
          <w:color w:val="auto"/>
          <w:kern w:val="0"/>
          <w:sz w:val="27"/>
          <w:szCs w:val="27"/>
          <w:highlight w:val="none"/>
        </w:rPr>
        <w:t xml:space="preserve">  </w:t>
      </w:r>
      <w:r>
        <w:rPr>
          <w:rFonts w:hint="eastAsia" w:ascii="仿宋" w:hAnsi="仿宋" w:eastAsia="仿宋" w:cs="仿宋"/>
          <w:bCs/>
          <w:color w:val="auto"/>
          <w:szCs w:val="24"/>
          <w:highlight w:val="none"/>
        </w:rPr>
        <w:t>1.采购人信息</w:t>
      </w:r>
    </w:p>
    <w:p w14:paraId="53F27449">
      <w:pPr>
        <w:keepNext w:val="0"/>
        <w:keepLines w:val="0"/>
        <w:pageBreakBefore w:val="0"/>
        <w:widowControl/>
        <w:kinsoku/>
        <w:wordWrap/>
        <w:overflowPunct/>
        <w:topLinePunct w:val="0"/>
        <w:autoSpaceDE/>
        <w:autoSpaceDN/>
        <w:bidi w:val="0"/>
        <w:adjustRightInd/>
        <w:snapToGrid/>
        <w:spacing w:line="480" w:lineRule="exact"/>
        <w:ind w:firstLine="345"/>
        <w:jc w:val="left"/>
        <w:textAlignment w:val="auto"/>
        <w:rPr>
          <w:rFonts w:hint="eastAsia" w:ascii="仿宋" w:hAnsi="仿宋" w:eastAsia="仿宋" w:cs="仿宋"/>
          <w:bCs/>
          <w:color w:val="auto"/>
          <w:szCs w:val="24"/>
          <w:highlight w:val="none"/>
          <w:lang w:eastAsia="zh-CN"/>
        </w:rPr>
      </w:pPr>
      <w:r>
        <w:rPr>
          <w:rFonts w:hint="eastAsia" w:ascii="仿宋" w:hAnsi="仿宋" w:eastAsia="仿宋" w:cs="仿宋"/>
          <w:bCs/>
          <w:color w:val="auto"/>
          <w:szCs w:val="24"/>
          <w:highlight w:val="none"/>
        </w:rPr>
        <w:t> 名   称：</w:t>
      </w:r>
      <w:r>
        <w:rPr>
          <w:rFonts w:hint="eastAsia" w:ascii="仿宋" w:hAnsi="仿宋" w:eastAsia="仿宋" w:cs="仿宋"/>
          <w:bCs/>
          <w:color w:val="auto"/>
          <w:szCs w:val="24"/>
          <w:highlight w:val="none"/>
          <w:lang w:eastAsia="zh-CN"/>
        </w:rPr>
        <w:t xml:space="preserve">嵊州市水务投资发展集团有限公司 </w:t>
      </w:r>
    </w:p>
    <w:p w14:paraId="1116D987">
      <w:pPr>
        <w:keepNext w:val="0"/>
        <w:keepLines w:val="0"/>
        <w:pageBreakBefore w:val="0"/>
        <w:widowControl/>
        <w:kinsoku/>
        <w:wordWrap/>
        <w:overflowPunct/>
        <w:topLinePunct w:val="0"/>
        <w:autoSpaceDE/>
        <w:autoSpaceDN/>
        <w:bidi w:val="0"/>
        <w:adjustRightInd/>
        <w:snapToGrid/>
        <w:spacing w:line="480" w:lineRule="exact"/>
        <w:ind w:firstLine="345"/>
        <w:jc w:val="left"/>
        <w:textAlignment w:val="auto"/>
        <w:rPr>
          <w:rFonts w:hint="eastAsia" w:ascii="仿宋" w:hAnsi="仿宋" w:eastAsia="仿宋" w:cs="仿宋"/>
          <w:bCs/>
          <w:color w:val="auto"/>
          <w:szCs w:val="24"/>
          <w:highlight w:val="none"/>
          <w:lang w:eastAsia="zh-CN"/>
        </w:rPr>
      </w:pPr>
      <w:r>
        <w:rPr>
          <w:rFonts w:hint="eastAsia" w:ascii="仿宋" w:hAnsi="仿宋" w:eastAsia="仿宋" w:cs="仿宋"/>
          <w:bCs/>
          <w:color w:val="auto"/>
          <w:szCs w:val="24"/>
          <w:highlight w:val="none"/>
        </w:rPr>
        <w:t> 地   址：</w:t>
      </w:r>
      <w:r>
        <w:rPr>
          <w:rFonts w:hint="eastAsia" w:ascii="仿宋" w:hAnsi="仿宋" w:eastAsia="仿宋" w:cs="仿宋"/>
          <w:color w:val="auto"/>
          <w:sz w:val="24"/>
          <w:highlight w:val="none"/>
        </w:rPr>
        <w:t>浙江省市嵊州市雅石路74号</w:t>
      </w:r>
    </w:p>
    <w:p w14:paraId="73ED9243">
      <w:pPr>
        <w:keepNext w:val="0"/>
        <w:keepLines w:val="0"/>
        <w:pageBreakBefore w:val="0"/>
        <w:widowControl/>
        <w:kinsoku/>
        <w:wordWrap/>
        <w:overflowPunct/>
        <w:topLinePunct w:val="0"/>
        <w:autoSpaceDE/>
        <w:autoSpaceDN/>
        <w:bidi w:val="0"/>
        <w:adjustRightInd/>
        <w:snapToGrid/>
        <w:spacing w:line="480" w:lineRule="exact"/>
        <w:ind w:firstLine="345"/>
        <w:jc w:val="left"/>
        <w:textAlignment w:val="auto"/>
        <w:rPr>
          <w:rFonts w:hint="eastAsia" w:ascii="仿宋" w:hAnsi="仿宋" w:eastAsia="仿宋" w:cs="仿宋"/>
          <w:bCs/>
          <w:color w:val="auto"/>
          <w:szCs w:val="24"/>
          <w:highlight w:val="none"/>
          <w:lang w:val="en-US" w:eastAsia="zh-CN"/>
        </w:rPr>
      </w:pPr>
      <w:r>
        <w:rPr>
          <w:rFonts w:hint="eastAsia" w:ascii="仿宋" w:hAnsi="仿宋" w:eastAsia="仿宋" w:cs="仿宋"/>
          <w:bCs/>
          <w:color w:val="auto"/>
          <w:szCs w:val="24"/>
          <w:highlight w:val="none"/>
          <w:lang w:val="en-US" w:eastAsia="zh-CN"/>
        </w:rPr>
        <w:t>项目联系人：袁工</w:t>
      </w:r>
    </w:p>
    <w:p w14:paraId="2848271C">
      <w:pPr>
        <w:keepNext w:val="0"/>
        <w:keepLines w:val="0"/>
        <w:pageBreakBefore w:val="0"/>
        <w:widowControl/>
        <w:kinsoku/>
        <w:wordWrap/>
        <w:overflowPunct/>
        <w:topLinePunct w:val="0"/>
        <w:autoSpaceDE/>
        <w:autoSpaceDN/>
        <w:bidi w:val="0"/>
        <w:adjustRightInd/>
        <w:snapToGrid/>
        <w:spacing w:line="480" w:lineRule="exact"/>
        <w:ind w:firstLine="345"/>
        <w:jc w:val="left"/>
        <w:textAlignment w:val="auto"/>
        <w:rPr>
          <w:rFonts w:hint="eastAsia" w:ascii="仿宋" w:hAnsi="仿宋" w:eastAsia="仿宋" w:cs="仿宋"/>
          <w:bCs/>
          <w:color w:val="auto"/>
          <w:szCs w:val="24"/>
          <w:highlight w:val="none"/>
          <w:lang w:val="en-US" w:eastAsia="zh-CN"/>
        </w:rPr>
      </w:pPr>
      <w:r>
        <w:rPr>
          <w:rFonts w:hint="eastAsia" w:ascii="仿宋" w:hAnsi="仿宋" w:eastAsia="仿宋" w:cs="仿宋"/>
          <w:bCs/>
          <w:color w:val="auto"/>
          <w:szCs w:val="24"/>
          <w:highlight w:val="none"/>
          <w:lang w:val="en-US" w:eastAsia="zh-CN"/>
        </w:rPr>
        <w:t xml:space="preserve">联系电话：18967532366  </w:t>
      </w:r>
    </w:p>
    <w:p w14:paraId="6DEDE14E">
      <w:pPr>
        <w:keepNext w:val="0"/>
        <w:keepLines w:val="0"/>
        <w:pageBreakBefore w:val="0"/>
        <w:widowControl/>
        <w:kinsoku/>
        <w:wordWrap/>
        <w:overflowPunct/>
        <w:topLinePunct w:val="0"/>
        <w:autoSpaceDE/>
        <w:autoSpaceDN/>
        <w:bidi w:val="0"/>
        <w:adjustRightInd/>
        <w:snapToGrid/>
        <w:spacing w:line="480" w:lineRule="exact"/>
        <w:ind w:firstLine="345"/>
        <w:jc w:val="left"/>
        <w:textAlignment w:val="auto"/>
        <w:rPr>
          <w:rFonts w:hint="default" w:ascii="仿宋" w:hAnsi="仿宋" w:eastAsia="仿宋" w:cs="仿宋"/>
          <w:bCs/>
          <w:color w:val="auto"/>
          <w:szCs w:val="24"/>
          <w:highlight w:val="none"/>
          <w:lang w:val="en-US" w:eastAsia="zh-CN"/>
        </w:rPr>
      </w:pPr>
      <w:r>
        <w:rPr>
          <w:rFonts w:hint="eastAsia" w:ascii="仿宋" w:hAnsi="仿宋" w:eastAsia="仿宋" w:cs="仿宋"/>
          <w:bCs/>
          <w:color w:val="auto"/>
          <w:szCs w:val="24"/>
          <w:highlight w:val="none"/>
          <w:lang w:val="en-US" w:eastAsia="zh-CN"/>
        </w:rPr>
        <w:t>质疑联系人：孔工</w:t>
      </w:r>
    </w:p>
    <w:p w14:paraId="10908EC4">
      <w:pPr>
        <w:keepNext w:val="0"/>
        <w:keepLines w:val="0"/>
        <w:pageBreakBefore w:val="0"/>
        <w:widowControl/>
        <w:kinsoku/>
        <w:wordWrap/>
        <w:overflowPunct/>
        <w:topLinePunct w:val="0"/>
        <w:autoSpaceDE/>
        <w:autoSpaceDN/>
        <w:bidi w:val="0"/>
        <w:adjustRightInd/>
        <w:snapToGrid/>
        <w:spacing w:line="480" w:lineRule="exact"/>
        <w:ind w:firstLine="345"/>
        <w:jc w:val="left"/>
        <w:textAlignment w:val="auto"/>
        <w:rPr>
          <w:rFonts w:hint="eastAsia" w:ascii="仿宋" w:hAnsi="仿宋" w:eastAsia="仿宋" w:cs="仿宋"/>
          <w:bCs/>
          <w:color w:val="auto"/>
          <w:szCs w:val="24"/>
          <w:highlight w:val="none"/>
          <w:lang w:val="en-US"/>
        </w:rPr>
      </w:pPr>
      <w:r>
        <w:rPr>
          <w:rFonts w:hint="eastAsia" w:ascii="仿宋" w:hAnsi="仿宋" w:eastAsia="仿宋" w:cs="仿宋"/>
          <w:bCs/>
          <w:color w:val="auto"/>
          <w:szCs w:val="24"/>
          <w:highlight w:val="none"/>
          <w:lang w:val="en-US" w:eastAsia="zh-CN"/>
        </w:rPr>
        <w:t>联系电话：13857538008</w:t>
      </w:r>
    </w:p>
    <w:p w14:paraId="3AE5ACBF">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 xml:space="preserve">   </w:t>
      </w:r>
      <w:r>
        <w:rPr>
          <w:rFonts w:hint="eastAsia" w:ascii="仿宋" w:hAnsi="仿宋" w:eastAsia="仿宋" w:cs="仿宋"/>
          <w:bCs/>
          <w:color w:val="auto"/>
          <w:szCs w:val="24"/>
          <w:highlight w:val="none"/>
          <w:lang w:val="en-US" w:eastAsia="zh-CN"/>
        </w:rPr>
        <w:t xml:space="preserve"> </w:t>
      </w:r>
      <w:r>
        <w:rPr>
          <w:rFonts w:hint="eastAsia" w:ascii="仿宋" w:hAnsi="仿宋" w:eastAsia="仿宋" w:cs="仿宋"/>
          <w:bCs/>
          <w:color w:val="auto"/>
          <w:szCs w:val="24"/>
          <w:highlight w:val="none"/>
        </w:rPr>
        <w:t>2.采购代理机构信息            </w:t>
      </w:r>
    </w:p>
    <w:p w14:paraId="032BCEA0">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    名   称：浙江明业项目管理有限公司       </w:t>
      </w:r>
    </w:p>
    <w:p w14:paraId="3A2C11ED">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    地   址：嵊州市官河南路489号君泰大厦北楼14层       </w:t>
      </w:r>
    </w:p>
    <w:p w14:paraId="3C587715">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 xml:space="preserve">   </w:t>
      </w:r>
      <w:r>
        <w:rPr>
          <w:rFonts w:hint="eastAsia" w:ascii="仿宋" w:hAnsi="仿宋" w:eastAsia="仿宋" w:cs="仿宋"/>
          <w:bCs/>
          <w:color w:val="auto"/>
          <w:szCs w:val="24"/>
          <w:highlight w:val="none"/>
          <w:lang w:val="en-US" w:eastAsia="zh-CN"/>
        </w:rPr>
        <w:t>项目</w:t>
      </w:r>
      <w:r>
        <w:rPr>
          <w:rFonts w:hint="eastAsia" w:ascii="仿宋" w:hAnsi="仿宋" w:eastAsia="仿宋" w:cs="仿宋"/>
          <w:bCs/>
          <w:color w:val="auto"/>
          <w:szCs w:val="24"/>
          <w:highlight w:val="none"/>
        </w:rPr>
        <w:t>联系人</w:t>
      </w:r>
      <w:r>
        <w:rPr>
          <w:rFonts w:hint="eastAsia" w:ascii="仿宋" w:hAnsi="仿宋" w:eastAsia="仿宋" w:cs="仿宋"/>
          <w:bCs/>
          <w:color w:val="auto"/>
          <w:szCs w:val="24"/>
          <w:highlight w:val="none"/>
          <w:lang w:eastAsia="zh-CN"/>
        </w:rPr>
        <w:t>（</w:t>
      </w:r>
      <w:r>
        <w:rPr>
          <w:rFonts w:hint="eastAsia" w:ascii="仿宋" w:hAnsi="仿宋" w:eastAsia="仿宋" w:cs="仿宋"/>
          <w:bCs/>
          <w:color w:val="auto"/>
          <w:szCs w:val="24"/>
          <w:highlight w:val="none"/>
          <w:lang w:val="en-US" w:eastAsia="zh-CN"/>
        </w:rPr>
        <w:t>询问）：</w:t>
      </w:r>
      <w:r>
        <w:rPr>
          <w:rFonts w:hint="eastAsia" w:ascii="仿宋" w:hAnsi="仿宋" w:eastAsia="仿宋" w:cs="仿宋"/>
          <w:bCs/>
          <w:color w:val="auto"/>
          <w:szCs w:val="24"/>
          <w:highlight w:val="none"/>
        </w:rPr>
        <w:t>任  燕   </w:t>
      </w:r>
    </w:p>
    <w:p w14:paraId="1FC93C29">
      <w:pPr>
        <w:keepNext w:val="0"/>
        <w:keepLines w:val="0"/>
        <w:pageBreakBefore w:val="0"/>
        <w:widowControl/>
        <w:kinsoku/>
        <w:wordWrap/>
        <w:overflowPunct/>
        <w:topLinePunct w:val="0"/>
        <w:autoSpaceDE/>
        <w:autoSpaceDN/>
        <w:bidi w:val="0"/>
        <w:adjustRightInd/>
        <w:snapToGrid/>
        <w:spacing w:line="480" w:lineRule="exact"/>
        <w:ind w:firstLine="360"/>
        <w:jc w:val="left"/>
        <w:textAlignment w:val="auto"/>
        <w:rPr>
          <w:rFonts w:hint="eastAsia" w:ascii="仿宋" w:hAnsi="仿宋" w:eastAsia="仿宋" w:cs="仿宋"/>
          <w:b/>
          <w:bCs/>
          <w:color w:val="auto"/>
          <w:kern w:val="0"/>
          <w:sz w:val="36"/>
          <w:highlight w:val="none"/>
        </w:rPr>
      </w:pPr>
      <w:r>
        <w:rPr>
          <w:rFonts w:hint="eastAsia" w:ascii="仿宋" w:hAnsi="仿宋" w:eastAsia="仿宋" w:cs="仿宋"/>
          <w:bCs/>
          <w:color w:val="auto"/>
          <w:szCs w:val="24"/>
          <w:highlight w:val="none"/>
          <w:lang w:val="en-US" w:eastAsia="zh-CN"/>
        </w:rPr>
        <w:t>项目</w:t>
      </w:r>
      <w:r>
        <w:rPr>
          <w:rFonts w:hint="eastAsia" w:ascii="仿宋" w:hAnsi="仿宋" w:eastAsia="仿宋" w:cs="仿宋"/>
          <w:bCs/>
          <w:color w:val="auto"/>
          <w:szCs w:val="24"/>
          <w:highlight w:val="none"/>
        </w:rPr>
        <w:t>联系方式</w:t>
      </w:r>
      <w:r>
        <w:rPr>
          <w:rFonts w:hint="eastAsia" w:ascii="仿宋" w:hAnsi="仿宋" w:eastAsia="仿宋" w:cs="仿宋"/>
          <w:bCs/>
          <w:color w:val="auto"/>
          <w:szCs w:val="24"/>
          <w:highlight w:val="none"/>
          <w:lang w:eastAsia="zh-CN"/>
        </w:rPr>
        <w:t>（</w:t>
      </w:r>
      <w:r>
        <w:rPr>
          <w:rFonts w:hint="eastAsia" w:ascii="仿宋" w:hAnsi="仿宋" w:eastAsia="仿宋" w:cs="仿宋"/>
          <w:bCs/>
          <w:color w:val="auto"/>
          <w:szCs w:val="24"/>
          <w:highlight w:val="none"/>
          <w:lang w:val="en-US" w:eastAsia="zh-CN"/>
        </w:rPr>
        <w:t>询问）</w:t>
      </w:r>
      <w:r>
        <w:rPr>
          <w:rFonts w:hint="eastAsia" w:ascii="仿宋" w:hAnsi="仿宋" w:eastAsia="仿宋" w:cs="仿宋"/>
          <w:bCs/>
          <w:color w:val="auto"/>
          <w:szCs w:val="24"/>
          <w:highlight w:val="none"/>
        </w:rPr>
        <w:t>：0575-83338198   13757539220  </w:t>
      </w:r>
    </w:p>
    <w:p w14:paraId="012AD640">
      <w:pPr>
        <w:keepNext w:val="0"/>
        <w:keepLines w:val="0"/>
        <w:pageBreakBefore w:val="0"/>
        <w:widowControl/>
        <w:kinsoku/>
        <w:wordWrap/>
        <w:overflowPunct/>
        <w:topLinePunct w:val="0"/>
        <w:autoSpaceDE/>
        <w:autoSpaceDN/>
        <w:bidi w:val="0"/>
        <w:adjustRightInd/>
        <w:snapToGrid/>
        <w:spacing w:line="480" w:lineRule="exact"/>
        <w:ind w:firstLine="360"/>
        <w:jc w:val="left"/>
        <w:textAlignment w:val="auto"/>
        <w:rPr>
          <w:rFonts w:hint="default" w:ascii="仿宋" w:hAnsi="仿宋" w:eastAsia="仿宋" w:cs="仿宋"/>
          <w:bCs/>
          <w:color w:val="auto"/>
          <w:szCs w:val="24"/>
          <w:highlight w:val="none"/>
          <w:lang w:val="en-US" w:eastAsia="zh-CN"/>
        </w:rPr>
      </w:pPr>
      <w:r>
        <w:rPr>
          <w:rFonts w:hint="eastAsia" w:ascii="仿宋" w:hAnsi="仿宋" w:eastAsia="仿宋" w:cs="仿宋"/>
          <w:bCs/>
          <w:color w:val="auto"/>
          <w:szCs w:val="24"/>
          <w:highlight w:val="none"/>
          <w:lang w:val="en-US" w:eastAsia="zh-CN"/>
        </w:rPr>
        <w:t>质疑联系人：董玲玲</w:t>
      </w:r>
    </w:p>
    <w:p w14:paraId="55522F0F">
      <w:pPr>
        <w:pStyle w:val="23"/>
        <w:bidi w:val="0"/>
        <w:rPr>
          <w:rFonts w:hint="default"/>
          <w:color w:val="auto"/>
          <w:highlight w:val="none"/>
          <w:lang w:val="en-US" w:eastAsia="zh-CN"/>
        </w:rPr>
      </w:pPr>
      <w:r>
        <w:rPr>
          <w:rFonts w:hint="eastAsia"/>
          <w:color w:val="auto"/>
          <w:highlight w:val="none"/>
          <w:lang w:val="en-US" w:eastAsia="zh-CN"/>
        </w:rPr>
        <w:t>质疑</w:t>
      </w:r>
      <w:r>
        <w:rPr>
          <w:rFonts w:hint="eastAsia"/>
          <w:color w:val="auto"/>
          <w:highlight w:val="none"/>
        </w:rPr>
        <w:t>联系方式</w:t>
      </w:r>
      <w:r>
        <w:rPr>
          <w:rFonts w:hint="eastAsia"/>
          <w:color w:val="auto"/>
          <w:highlight w:val="none"/>
          <w:lang w:eastAsia="zh-CN"/>
        </w:rPr>
        <w:t>：</w:t>
      </w:r>
      <w:bookmarkStart w:id="25" w:name="_Toc513456147"/>
      <w:r>
        <w:rPr>
          <w:rFonts w:hint="eastAsia"/>
          <w:color w:val="auto"/>
          <w:highlight w:val="none"/>
          <w:lang w:val="en-US" w:eastAsia="zh-CN"/>
        </w:rPr>
        <w:t>18957531591</w:t>
      </w:r>
    </w:p>
    <w:p w14:paraId="394BD35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若对项目采购电子交易系统操作有疑问，可登录乐采云（https://www.lecaiyun.com/），点击右侧咨询小采，获取采小蜜智能服务管家帮助，或拨打乐采云服务热线95763获取热线服务帮助。        </w:t>
      </w:r>
    </w:p>
    <w:p w14:paraId="2066A47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21C5D63E">
      <w:pPr>
        <w:pStyle w:val="4"/>
        <w:rPr>
          <w:rFonts w:hint="eastAsia" w:ascii="仿宋" w:hAnsi="仿宋" w:eastAsia="仿宋" w:cs="仿宋"/>
          <w:color w:val="auto"/>
          <w:highlight w:val="none"/>
        </w:rPr>
      </w:pPr>
    </w:p>
    <w:p w14:paraId="583FF40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auto"/>
          <w:kern w:val="0"/>
          <w:sz w:val="36"/>
          <w:highlight w:val="none"/>
        </w:rPr>
      </w:pPr>
    </w:p>
    <w:p w14:paraId="5070B9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auto"/>
          <w:kern w:val="0"/>
          <w:sz w:val="36"/>
          <w:highlight w:val="none"/>
        </w:rPr>
      </w:pPr>
    </w:p>
    <w:p w14:paraId="4563950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auto"/>
          <w:kern w:val="0"/>
          <w:sz w:val="36"/>
          <w:highlight w:val="none"/>
        </w:rPr>
      </w:pPr>
    </w:p>
    <w:p w14:paraId="62169FE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auto"/>
          <w:kern w:val="0"/>
          <w:sz w:val="36"/>
          <w:highlight w:val="none"/>
        </w:rPr>
      </w:pPr>
    </w:p>
    <w:p w14:paraId="4FC43DB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auto"/>
          <w:kern w:val="0"/>
          <w:sz w:val="36"/>
          <w:highlight w:val="none"/>
        </w:rPr>
      </w:pPr>
    </w:p>
    <w:p w14:paraId="5E6A3B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auto"/>
          <w:kern w:val="0"/>
          <w:sz w:val="36"/>
          <w:highlight w:val="none"/>
        </w:rPr>
      </w:pPr>
    </w:p>
    <w:p w14:paraId="3354226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auto"/>
          <w:kern w:val="0"/>
          <w:sz w:val="36"/>
          <w:highlight w:val="none"/>
        </w:rPr>
      </w:pPr>
    </w:p>
    <w:p w14:paraId="768589A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auto"/>
          <w:kern w:val="0"/>
          <w:sz w:val="36"/>
          <w:highlight w:val="none"/>
        </w:rPr>
      </w:pPr>
    </w:p>
    <w:p w14:paraId="0C5943D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auto"/>
          <w:kern w:val="0"/>
          <w:sz w:val="36"/>
          <w:highlight w:val="none"/>
        </w:rPr>
      </w:pPr>
    </w:p>
    <w:p w14:paraId="1C9D919D">
      <w:pPr>
        <w:pStyle w:val="4"/>
        <w:rPr>
          <w:rFonts w:hint="eastAsia"/>
          <w:color w:val="auto"/>
          <w:highlight w:val="none"/>
        </w:rPr>
      </w:pPr>
    </w:p>
    <w:p w14:paraId="217FEC5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auto"/>
          <w:kern w:val="0"/>
          <w:sz w:val="36"/>
          <w:highlight w:val="none"/>
        </w:rPr>
      </w:pPr>
    </w:p>
    <w:p w14:paraId="455DEDA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bCs/>
          <w:color w:val="auto"/>
          <w:kern w:val="0"/>
          <w:sz w:val="36"/>
          <w:highlight w:val="none"/>
        </w:rPr>
      </w:pPr>
    </w:p>
    <w:p w14:paraId="19936AAD">
      <w:pPr>
        <w:pStyle w:val="2"/>
        <w:rPr>
          <w:rFonts w:hint="eastAsia" w:ascii="仿宋" w:hAnsi="仿宋" w:eastAsia="仿宋" w:cs="仿宋"/>
          <w:b/>
          <w:bCs/>
          <w:color w:val="auto"/>
          <w:kern w:val="0"/>
          <w:sz w:val="36"/>
          <w:highlight w:val="none"/>
        </w:rPr>
      </w:pPr>
    </w:p>
    <w:p w14:paraId="448D42F2">
      <w:pPr>
        <w:pStyle w:val="3"/>
        <w:rPr>
          <w:rFonts w:hint="eastAsia" w:ascii="仿宋" w:hAnsi="仿宋" w:eastAsia="仿宋" w:cs="仿宋"/>
          <w:b/>
          <w:bCs/>
          <w:color w:val="auto"/>
          <w:kern w:val="0"/>
          <w:sz w:val="36"/>
          <w:highlight w:val="none"/>
        </w:rPr>
      </w:pPr>
    </w:p>
    <w:p w14:paraId="04E1388F">
      <w:pPr>
        <w:rPr>
          <w:rFonts w:hint="eastAsia"/>
          <w:color w:val="auto"/>
          <w:highlight w:val="none"/>
        </w:rPr>
      </w:pPr>
    </w:p>
    <w:p w14:paraId="5E4BB5E8">
      <w:pPr>
        <w:pStyle w:val="3"/>
        <w:rPr>
          <w:rFonts w:hint="eastAsia" w:ascii="仿宋" w:hAnsi="仿宋" w:eastAsia="仿宋" w:cs="仿宋"/>
          <w:b/>
          <w:bCs/>
          <w:color w:val="auto"/>
          <w:kern w:val="0"/>
          <w:sz w:val="36"/>
          <w:highlight w:val="none"/>
        </w:rPr>
      </w:pPr>
    </w:p>
    <w:p w14:paraId="5829939E">
      <w:pPr>
        <w:rPr>
          <w:rFonts w:hint="eastAsia"/>
          <w:color w:val="auto"/>
          <w:highlight w:val="none"/>
        </w:rPr>
      </w:pPr>
    </w:p>
    <w:p w14:paraId="46EE8C8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auto"/>
          <w:kern w:val="0"/>
          <w:sz w:val="36"/>
          <w:highlight w:val="none"/>
        </w:rPr>
      </w:pPr>
      <w:r>
        <w:rPr>
          <w:rFonts w:hint="eastAsia" w:ascii="仿宋" w:hAnsi="仿宋" w:eastAsia="仿宋" w:cs="仿宋"/>
          <w:b/>
          <w:bCs/>
          <w:color w:val="auto"/>
          <w:kern w:val="0"/>
          <w:sz w:val="36"/>
          <w:highlight w:val="none"/>
        </w:rPr>
        <w:t>第二部分 投标须知</w:t>
      </w:r>
    </w:p>
    <w:p w14:paraId="7313BB5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auto"/>
          <w:kern w:val="0"/>
          <w:sz w:val="36"/>
          <w:highlight w:val="none"/>
        </w:rPr>
      </w:pPr>
      <w:bookmarkStart w:id="26" w:name="_Hlk47616320"/>
      <w:r>
        <w:rPr>
          <w:rFonts w:hint="eastAsia" w:ascii="仿宋" w:hAnsi="仿宋" w:eastAsia="仿宋" w:cs="仿宋"/>
          <w:b/>
          <w:bCs/>
          <w:color w:val="auto"/>
          <w:kern w:val="0"/>
          <w:sz w:val="36"/>
          <w:highlight w:val="none"/>
        </w:rPr>
        <w:t>前附表</w:t>
      </w:r>
    </w:p>
    <w:tbl>
      <w:tblPr>
        <w:tblStyle w:val="34"/>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260"/>
        <w:gridCol w:w="7223"/>
      </w:tblGrid>
      <w:tr w14:paraId="5C65B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6A9C1955">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483" w:type="dxa"/>
            <w:gridSpan w:val="2"/>
            <w:vAlign w:val="center"/>
          </w:tcPr>
          <w:p w14:paraId="537E863F">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r>
      <w:tr w14:paraId="54AA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04704D13">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483" w:type="dxa"/>
            <w:gridSpan w:val="2"/>
            <w:vAlign w:val="center"/>
          </w:tcPr>
          <w:p w14:paraId="761DF50C">
            <w:pPr>
              <w:snapToGrid w:val="0"/>
              <w:spacing w:line="440" w:lineRule="exact"/>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lang w:val="en-US" w:eastAsia="zh-CN"/>
              </w:rPr>
              <w:t>投标人按照项目要求</w:t>
            </w:r>
            <w:r>
              <w:rPr>
                <w:rFonts w:hint="eastAsia" w:ascii="仿宋" w:hAnsi="仿宋" w:eastAsia="仿宋" w:cs="仿宋"/>
                <w:b/>
                <w:color w:val="auto"/>
                <w:sz w:val="24"/>
                <w:szCs w:val="24"/>
                <w:highlight w:val="none"/>
              </w:rPr>
              <w:t>特许资格、资信证明文件（如果有）：</w:t>
            </w:r>
          </w:p>
          <w:p w14:paraId="5C6E80DC">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7EEA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1535A1A7">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8483" w:type="dxa"/>
            <w:gridSpan w:val="2"/>
            <w:vAlign w:val="center"/>
          </w:tcPr>
          <w:p w14:paraId="3E4331C2">
            <w:pPr>
              <w:keepNext w:val="0"/>
              <w:keepLines w:val="0"/>
              <w:pageBreakBefore w:val="0"/>
              <w:widowControl w:val="0"/>
              <w:kinsoku/>
              <w:wordWrap/>
              <w:overflowPunct/>
              <w:topLinePunct w:val="0"/>
              <w:bidi w:val="0"/>
              <w:snapToGrid w:val="0"/>
              <w:spacing w:line="5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资格审查方式：</w:t>
            </w:r>
          </w:p>
          <w:p w14:paraId="1C08CEF0">
            <w:pPr>
              <w:keepNext w:val="0"/>
              <w:keepLines w:val="0"/>
              <w:pageBreakBefore w:val="0"/>
              <w:widowControl w:val="0"/>
              <w:kinsoku/>
              <w:wordWrap/>
              <w:overflowPunct/>
              <w:topLinePunct w:val="0"/>
              <w:bidi w:val="0"/>
              <w:snapToGrid w:val="0"/>
              <w:spacing w:line="5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1.资格后审。</w:t>
            </w:r>
          </w:p>
          <w:p w14:paraId="09376F26">
            <w:pPr>
              <w:keepNext w:val="0"/>
              <w:keepLines w:val="0"/>
              <w:pageBreakBefore w:val="0"/>
              <w:widowControl w:val="0"/>
              <w:kinsoku/>
              <w:wordWrap/>
              <w:overflowPunct/>
              <w:topLinePunct w:val="0"/>
              <w:bidi w:val="0"/>
              <w:snapToGrid w:val="0"/>
              <w:spacing w:line="5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w:t>
            </w:r>
            <w:r>
              <w:rPr>
                <w:rFonts w:hint="eastAsia" w:ascii="仿宋" w:hAnsi="仿宋" w:eastAsia="仿宋" w:cs="仿宋"/>
                <w:b/>
                <w:color w:val="auto"/>
                <w:sz w:val="24"/>
                <w:szCs w:val="24"/>
                <w:highlight w:val="none"/>
                <w:lang w:val="en-US" w:eastAsia="zh-CN"/>
              </w:rPr>
              <w:t>扫描</w:t>
            </w:r>
            <w:r>
              <w:rPr>
                <w:rFonts w:hint="eastAsia" w:ascii="仿宋" w:hAnsi="仿宋" w:eastAsia="仿宋" w:cs="仿宋"/>
                <w:b/>
                <w:color w:val="auto"/>
                <w:sz w:val="24"/>
                <w:szCs w:val="24"/>
                <w:highlight w:val="none"/>
              </w:rPr>
              <w:t>件）。</w:t>
            </w:r>
          </w:p>
        </w:tc>
      </w:tr>
      <w:tr w14:paraId="262E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56C9EF95">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8483" w:type="dxa"/>
            <w:gridSpan w:val="2"/>
            <w:vAlign w:val="center"/>
          </w:tcPr>
          <w:p w14:paraId="15A4E825">
            <w:pPr>
              <w:keepNext w:val="0"/>
              <w:keepLines w:val="0"/>
              <w:pageBreakBefore w:val="0"/>
              <w:widowControl w:val="0"/>
              <w:kinsoku/>
              <w:wordWrap/>
              <w:overflowPunct/>
              <w:topLinePunct w:val="0"/>
              <w:autoSpaceDE w:val="0"/>
              <w:autoSpaceDN w:val="0"/>
              <w:bidi w:val="0"/>
              <w:spacing w:line="500" w:lineRule="exact"/>
              <w:textAlignment w:val="bottom"/>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投标有效期：</w:t>
            </w:r>
            <w:r>
              <w:rPr>
                <w:rFonts w:hint="eastAsia" w:ascii="仿宋" w:hAnsi="仿宋" w:eastAsia="仿宋" w:cs="仿宋"/>
                <w:color w:val="auto"/>
                <w:sz w:val="24"/>
                <w:szCs w:val="24"/>
                <w:highlight w:val="none"/>
              </w:rPr>
              <w:t>投标有效期为从提交投标文件的截止之日起90天。</w:t>
            </w:r>
            <w:r>
              <w:rPr>
                <w:rFonts w:hint="eastAsia" w:ascii="仿宋" w:hAnsi="仿宋" w:eastAsia="仿宋" w:cs="仿宋"/>
                <w:b/>
                <w:color w:val="auto"/>
                <w:sz w:val="24"/>
                <w:szCs w:val="24"/>
                <w:highlight w:val="none"/>
              </w:rPr>
              <w:t>投标人的投标文件中承诺的投标有效期少于招标文件中载明的投标有效期的，投标无效。</w:t>
            </w:r>
          </w:p>
        </w:tc>
      </w:tr>
      <w:tr w14:paraId="785E0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162313E0">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8483" w:type="dxa"/>
            <w:gridSpan w:val="2"/>
            <w:vAlign w:val="center"/>
          </w:tcPr>
          <w:p w14:paraId="401A9437">
            <w:pPr>
              <w:keepNext w:val="0"/>
              <w:keepLines w:val="0"/>
              <w:pageBreakBefore w:val="0"/>
              <w:widowControl w:val="0"/>
              <w:kinsoku/>
              <w:wordWrap/>
              <w:overflowPunct/>
              <w:topLinePunct w:val="0"/>
              <w:bidi w:val="0"/>
              <w:spacing w:line="500" w:lineRule="exac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转包：</w:t>
            </w:r>
            <w:r>
              <w:rPr>
                <w:rFonts w:hint="eastAsia" w:ascii="仿宋" w:hAnsi="仿宋" w:eastAsia="仿宋" w:cs="仿宋"/>
                <w:color w:val="auto"/>
                <w:sz w:val="24"/>
                <w:szCs w:val="24"/>
                <w:highlight w:val="none"/>
              </w:rPr>
              <w:t>本项目不得转包。</w:t>
            </w:r>
          </w:p>
        </w:tc>
      </w:tr>
      <w:tr w14:paraId="627B8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651CE2B0">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483" w:type="dxa"/>
            <w:gridSpan w:val="2"/>
            <w:vAlign w:val="center"/>
          </w:tcPr>
          <w:p w14:paraId="676C257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lang w:val="en-US" w:eastAsia="zh-CN"/>
              </w:rPr>
              <w:t>分包：</w:t>
            </w: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p>
          <w:p w14:paraId="0ED89D7F">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14:paraId="3D580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6306A400">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483" w:type="dxa"/>
            <w:gridSpan w:val="2"/>
            <w:vAlign w:val="center"/>
          </w:tcPr>
          <w:p w14:paraId="660DDFFC">
            <w:pPr>
              <w:keepNext w:val="0"/>
              <w:keepLines w:val="0"/>
              <w:pageBreakBefore w:val="0"/>
              <w:widowControl w:val="0"/>
              <w:kinsoku/>
              <w:wordWrap/>
              <w:overflowPunct/>
              <w:topLinePunct w:val="0"/>
              <w:bidi w:val="0"/>
              <w:spacing w:line="500" w:lineRule="exac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投标文件份数：</w:t>
            </w:r>
            <w:r>
              <w:rPr>
                <w:rFonts w:hint="eastAsia" w:ascii="仿宋" w:hAnsi="仿宋" w:eastAsia="仿宋" w:cs="仿宋"/>
                <w:color w:val="auto"/>
                <w:sz w:val="24"/>
                <w:szCs w:val="24"/>
                <w:highlight w:val="none"/>
              </w:rPr>
              <w:t>本项目实行网上投标，供应商于“</w:t>
            </w:r>
            <w:r>
              <w:rPr>
                <w:rFonts w:hint="eastAsia" w:ascii="仿宋" w:hAnsi="仿宋" w:eastAsia="仿宋" w:cs="仿宋"/>
                <w:color w:val="auto"/>
                <w:sz w:val="24"/>
                <w:szCs w:val="24"/>
                <w:highlight w:val="none"/>
                <w:lang w:val="en-US" w:eastAsia="zh-CN"/>
              </w:rPr>
              <w:t>乐</w:t>
            </w:r>
            <w:r>
              <w:rPr>
                <w:rFonts w:hint="eastAsia" w:ascii="仿宋" w:hAnsi="仿宋" w:eastAsia="仿宋" w:cs="仿宋"/>
                <w:color w:val="auto"/>
                <w:sz w:val="24"/>
                <w:szCs w:val="24"/>
                <w:highlight w:val="none"/>
              </w:rPr>
              <w:t>采云”上提供电子投标文件。</w:t>
            </w:r>
          </w:p>
        </w:tc>
      </w:tr>
      <w:tr w14:paraId="448C7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47141BF9">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8483" w:type="dxa"/>
            <w:gridSpan w:val="2"/>
            <w:vAlign w:val="center"/>
          </w:tcPr>
          <w:p w14:paraId="577F754D">
            <w:pPr>
              <w:autoSpaceDE w:val="0"/>
              <w:autoSpaceDN w:val="0"/>
              <w:spacing w:line="336" w:lineRule="auto"/>
              <w:textAlignment w:val="bottom"/>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p w14:paraId="2059BEFE">
            <w:pPr>
              <w:spacing w:line="336"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不组织。</w:t>
            </w:r>
          </w:p>
          <w:p w14:paraId="245280D4">
            <w:pPr>
              <w:keepNext w:val="0"/>
              <w:keepLines w:val="0"/>
              <w:pageBreakBefore w:val="0"/>
              <w:widowControl w:val="0"/>
              <w:kinsoku/>
              <w:wordWrap/>
              <w:overflowPunct/>
              <w:topLinePunct w:val="0"/>
              <w:autoSpaceDE w:val="0"/>
              <w:autoSpaceDN w:val="0"/>
              <w:bidi w:val="0"/>
              <w:spacing w:line="500" w:lineRule="exact"/>
              <w:textAlignment w:val="bottom"/>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23412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06A3261A">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8483" w:type="dxa"/>
            <w:gridSpan w:val="2"/>
            <w:vAlign w:val="center"/>
          </w:tcPr>
          <w:p w14:paraId="778EE590">
            <w:pPr>
              <w:spacing w:line="336"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p w14:paraId="18EF53A2">
            <w:pPr>
              <w:spacing w:line="336"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不要求提供。</w:t>
            </w:r>
          </w:p>
          <w:p w14:paraId="6526AA12">
            <w:pPr>
              <w:spacing w:line="440" w:lineRule="exac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□B要求提供，</w:t>
            </w:r>
          </w:p>
          <w:p w14:paraId="64AB62E7">
            <w:pPr>
              <w:spacing w:line="440" w:lineRule="exac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snapToGrid w:val="0"/>
                <w:color w:val="auto"/>
                <w:kern w:val="28"/>
                <w:sz w:val="24"/>
                <w:highlight w:val="none"/>
                <w:u w:val="single"/>
              </w:rPr>
              <w:t>：</w:t>
            </w:r>
            <w:r>
              <w:rPr>
                <w:rFonts w:hint="eastAsia" w:ascii="仿宋" w:hAnsi="仿宋" w:eastAsia="仿宋" w:cs="仿宋"/>
                <w:color w:val="auto"/>
                <w:kern w:val="0"/>
                <w:sz w:val="24"/>
                <w:highlight w:val="none"/>
              </w:rPr>
              <w:t>；</w:t>
            </w:r>
          </w:p>
          <w:p w14:paraId="416B4423">
            <w:pPr>
              <w:spacing w:line="440" w:lineRule="exac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snapToGrid w:val="0"/>
                <w:color w:val="auto"/>
                <w:kern w:val="28"/>
                <w:sz w:val="24"/>
                <w:highlight w:val="none"/>
                <w:u w:val="single"/>
              </w:rPr>
              <w:t>：</w:t>
            </w:r>
            <w:r>
              <w:rPr>
                <w:rFonts w:hint="eastAsia" w:ascii="仿宋" w:hAnsi="仿宋" w:eastAsia="仿宋" w:cs="仿宋"/>
                <w:color w:val="auto"/>
                <w:kern w:val="0"/>
                <w:sz w:val="24"/>
                <w:highlight w:val="none"/>
              </w:rPr>
              <w:t>；</w:t>
            </w:r>
          </w:p>
          <w:p w14:paraId="7D933C7E">
            <w:pPr>
              <w:spacing w:line="440" w:lineRule="exac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49AF1569">
            <w:pPr>
              <w:spacing w:line="440" w:lineRule="exact"/>
              <w:textAlignment w:val="center"/>
              <w:rPr>
                <w:rFonts w:hint="eastAsia" w:ascii="仿宋" w:hAnsi="仿宋" w:eastAsia="仿宋" w:cs="仿宋"/>
                <w:color w:val="auto"/>
                <w:kern w:val="0"/>
                <w:sz w:val="24"/>
                <w:highlight w:val="none"/>
              </w:rPr>
            </w:pPr>
            <w:r>
              <w:rPr>
                <w:rFonts w:hint="eastAsia" w:ascii="仿宋" w:hAnsi="仿宋" w:eastAsia="仿宋" w:cs="仿宋"/>
                <w:color w:val="auto"/>
                <w:spacing w:val="-6"/>
                <w:kern w:val="0"/>
                <w:sz w:val="24"/>
                <w:highlight w:val="none"/>
              </w:rPr>
              <w:t>（4）是否需要随样品提交检测报告：□否；□是，检测机构的要求</w:t>
            </w:r>
            <w:r>
              <w:rPr>
                <w:rFonts w:hint="eastAsia" w:ascii="仿宋" w:hAnsi="仿宋" w:eastAsia="仿宋" w:cs="仿宋"/>
                <w:color w:val="auto"/>
                <w:spacing w:val="-6"/>
                <w:sz w:val="24"/>
                <w:highlight w:val="none"/>
              </w:rPr>
              <w:t>：</w:t>
            </w:r>
            <w:r>
              <w:rPr>
                <w:rFonts w:hint="eastAsia" w:ascii="仿宋" w:hAnsi="仿宋" w:eastAsia="仿宋" w:cs="仿宋"/>
                <w:color w:val="auto"/>
                <w:spacing w:val="-6"/>
                <w:kern w:val="0"/>
                <w:sz w:val="24"/>
                <w:highlight w:val="none"/>
              </w:rPr>
              <w:t>；检测内容</w:t>
            </w:r>
            <w:r>
              <w:rPr>
                <w:rFonts w:hint="eastAsia" w:ascii="仿宋" w:hAnsi="仿宋" w:eastAsia="仿宋" w:cs="仿宋"/>
                <w:color w:val="auto"/>
                <w:spacing w:val="-6"/>
                <w:sz w:val="24"/>
                <w:highlight w:val="none"/>
              </w:rPr>
              <w:t>：</w:t>
            </w:r>
            <w:r>
              <w:rPr>
                <w:rFonts w:hint="eastAsia" w:ascii="仿宋" w:hAnsi="仿宋" w:eastAsia="仿宋" w:cs="仿宋"/>
                <w:color w:val="auto"/>
                <w:kern w:val="0"/>
                <w:sz w:val="24"/>
                <w:highlight w:val="none"/>
              </w:rPr>
              <w:t>。</w:t>
            </w:r>
          </w:p>
          <w:p w14:paraId="05EABB44">
            <w:pPr>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rPr>
              <w:t>；地点</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kern w:val="28"/>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7389BADB">
            <w:pPr>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4797E308">
            <w:pPr>
              <w:spacing w:line="336" w:lineRule="auto"/>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0A811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1FB724D4">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8483" w:type="dxa"/>
            <w:gridSpan w:val="2"/>
            <w:vAlign w:val="center"/>
          </w:tcPr>
          <w:p w14:paraId="0DDB2E4C">
            <w:pPr>
              <w:spacing w:beforeLines="0" w:afterLines="0" w:line="44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方案讲解演示：</w:t>
            </w:r>
          </w:p>
          <w:p w14:paraId="044BBC6B">
            <w:pPr>
              <w:spacing w:beforeLines="0" w:afterLines="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A无方案讲解演示。</w:t>
            </w:r>
          </w:p>
          <w:p w14:paraId="0D5038EE">
            <w:pPr>
              <w:spacing w:beforeLines="0" w:afterLines="0" w:line="440" w:lineRule="exac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□B有方案讲解演示：</w:t>
            </w:r>
          </w:p>
          <w:p w14:paraId="578F313C">
            <w:pPr>
              <w:spacing w:beforeLines="0" w:afterLines="0"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（1）在评标时安排每个供应商进行方案讲解演示。每个供应商时间不超过</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分钟（编制时可根据项目情况进行调整），讲解次序以</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val="zh-CN"/>
              </w:rPr>
              <w:t>文件解密时间先后次序为准。讲解演示结束后按要求解答评标委员会提问。</w:t>
            </w:r>
          </w:p>
          <w:p w14:paraId="75D91E84">
            <w:pPr>
              <w:spacing w:beforeLines="0" w:afterLines="0"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（2）方案讲解演示可选择以下其中一种方式：</w:t>
            </w:r>
          </w:p>
          <w:p w14:paraId="29D8035F">
            <w:pPr>
              <w:spacing w:beforeLines="0" w:afterLines="0"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方式一：</w:t>
            </w:r>
            <w:r>
              <w:rPr>
                <w:rFonts w:hint="eastAsia" w:ascii="仿宋" w:hAnsi="仿宋" w:eastAsia="仿宋" w:cs="仿宋"/>
                <w:color w:val="auto"/>
                <w:sz w:val="24"/>
                <w:szCs w:val="24"/>
                <w:highlight w:val="none"/>
                <w:lang w:val="en-US" w:eastAsia="zh-CN"/>
              </w:rPr>
              <w:t>乐</w:t>
            </w:r>
            <w:r>
              <w:rPr>
                <w:rFonts w:hint="eastAsia" w:ascii="仿宋" w:hAnsi="仿宋" w:eastAsia="仿宋" w:cs="仿宋"/>
                <w:color w:val="auto"/>
                <w:sz w:val="24"/>
                <w:szCs w:val="24"/>
                <w:highlight w:val="none"/>
                <w:lang w:val="zh-CN"/>
              </w:rPr>
              <w:t>采云平台在线讲解演示。</w:t>
            </w:r>
            <w:r>
              <w:rPr>
                <w:rFonts w:hint="eastAsia" w:ascii="仿宋" w:hAnsi="仿宋" w:eastAsia="仿宋" w:cs="仿宋"/>
                <w:color w:val="auto"/>
                <w:sz w:val="24"/>
                <w:szCs w:val="24"/>
                <w:highlight w:val="none"/>
                <w:lang w:val="en-US" w:eastAsia="zh-CN"/>
              </w:rPr>
              <w:t>乐</w:t>
            </w:r>
            <w:r>
              <w:rPr>
                <w:rFonts w:hint="eastAsia" w:ascii="仿宋" w:hAnsi="仿宋" w:eastAsia="仿宋" w:cs="仿宋"/>
                <w:color w:val="auto"/>
                <w:sz w:val="24"/>
                <w:szCs w:val="24"/>
                <w:highlight w:val="none"/>
                <w:lang w:val="zh-CN"/>
              </w:rPr>
              <w:t>采云平台在线讲解需供应商根据</w:t>
            </w:r>
            <w:r>
              <w:rPr>
                <w:rFonts w:hint="eastAsia" w:ascii="仿宋" w:hAnsi="仿宋" w:eastAsia="仿宋" w:cs="仿宋"/>
                <w:color w:val="auto"/>
                <w:sz w:val="24"/>
                <w:szCs w:val="24"/>
                <w:highlight w:val="none"/>
                <w:lang w:val="en-US" w:eastAsia="zh-CN"/>
              </w:rPr>
              <w:t>乐</w:t>
            </w:r>
            <w:r>
              <w:rPr>
                <w:rFonts w:hint="eastAsia" w:ascii="仿宋" w:hAnsi="仿宋" w:eastAsia="仿宋" w:cs="仿宋"/>
                <w:color w:val="auto"/>
                <w:sz w:val="24"/>
                <w:szCs w:val="24"/>
                <w:highlight w:val="none"/>
                <w:lang w:val="zh-CN"/>
              </w:rPr>
              <w:t>采云平台操作要求做好准备工作，提前完善软硬件配置环境。</w:t>
            </w:r>
          </w:p>
          <w:p w14:paraId="7743CA42">
            <w:pPr>
              <w:spacing w:beforeLines="0" w:afterLines="0"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方式二：现场讲解演示。现场讲解地点为</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w:t>
            </w:r>
            <w:r>
              <w:rPr>
                <w:rFonts w:hint="eastAsia" w:ascii="仿宋" w:hAnsi="仿宋" w:eastAsia="仿宋" w:cs="仿宋"/>
                <w:color w:val="auto"/>
                <w:kern w:val="0"/>
                <w:sz w:val="24"/>
                <w:szCs w:val="24"/>
                <w:highlight w:val="none"/>
                <w:lang w:val="zh-CN"/>
              </w:rPr>
              <w:t>讲解演示人员不超过</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lang w:val="zh-CN"/>
              </w:rPr>
              <w:t>人（编制时可根据项目情况进行调整）。</w:t>
            </w:r>
            <w:r>
              <w:rPr>
                <w:rFonts w:hint="eastAsia" w:ascii="仿宋" w:hAnsi="仿宋" w:eastAsia="仿宋" w:cs="仿宋"/>
                <w:color w:val="auto"/>
                <w:sz w:val="24"/>
                <w:szCs w:val="24"/>
                <w:highlight w:val="none"/>
                <w:lang w:val="zh-CN"/>
              </w:rPr>
              <w:t>讲解演示所用电脑等设备由供应商自备。现场讲解演示人员进场时提供讲解人员名单（加盖公章或授权代表签名）及身份证明，否则不得讲解演示。</w:t>
            </w:r>
          </w:p>
          <w:p w14:paraId="7F426AD5">
            <w:pPr>
              <w:keepNext w:val="0"/>
              <w:keepLines w:val="0"/>
              <w:pageBreakBefore w:val="0"/>
              <w:widowControl w:val="0"/>
              <w:kinsoku/>
              <w:wordWrap/>
              <w:overflowPunct/>
              <w:topLinePunct w:val="0"/>
              <w:bidi w:val="0"/>
              <w:spacing w:line="5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CN"/>
              </w:rPr>
              <w:t>注：因供应商自身原因导致无法演示或者演示效果不理想的，责任自负。因平台原因导致本项目方案讲解演示环节无法顺利开展，</w:t>
            </w:r>
            <w:r>
              <w:rPr>
                <w:rFonts w:hint="eastAsia" w:ascii="仿宋" w:hAnsi="仿宋" w:eastAsia="仿宋" w:cs="仿宋"/>
                <w:color w:val="auto"/>
                <w:sz w:val="24"/>
                <w:szCs w:val="24"/>
                <w:highlight w:val="none"/>
                <w:lang w:val="en-US" w:eastAsia="zh-CN"/>
              </w:rPr>
              <w:t>参</w:t>
            </w:r>
            <w:r>
              <w:rPr>
                <w:rFonts w:hint="eastAsia" w:ascii="仿宋" w:hAnsi="仿宋" w:eastAsia="仿宋" w:cs="仿宋"/>
                <w:color w:val="auto"/>
                <w:sz w:val="24"/>
                <w:szCs w:val="24"/>
                <w:highlight w:val="none"/>
                <w:lang w:val="zh-CN"/>
              </w:rPr>
              <w:t>照《浙江省政府采购项目电子交易管理暂行办法》相关规定执行。</w:t>
            </w:r>
          </w:p>
        </w:tc>
      </w:tr>
      <w:tr w14:paraId="5529A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0491F736">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260" w:type="dxa"/>
            <w:vAlign w:val="center"/>
          </w:tcPr>
          <w:p w14:paraId="076FD57B">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进口</w:t>
            </w:r>
          </w:p>
          <w:p w14:paraId="6CB6B387">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产品</w:t>
            </w:r>
          </w:p>
        </w:tc>
        <w:tc>
          <w:tcPr>
            <w:tcW w:w="7223" w:type="dxa"/>
            <w:vAlign w:val="center"/>
          </w:tcPr>
          <w:p w14:paraId="59C0EFA6">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本项目不</w:t>
            </w:r>
            <w:r>
              <w:rPr>
                <w:rFonts w:hint="eastAsia" w:ascii="仿宋" w:hAnsi="仿宋" w:eastAsia="仿宋" w:cs="仿宋"/>
                <w:color w:val="auto"/>
                <w:sz w:val="24"/>
                <w:szCs w:val="24"/>
                <w:highlight w:val="none"/>
                <w:lang w:val="en-US" w:eastAsia="zh-CN"/>
              </w:rPr>
              <w:t>允许</w:t>
            </w:r>
            <w:r>
              <w:rPr>
                <w:rFonts w:hint="eastAsia" w:ascii="仿宋" w:hAnsi="仿宋" w:eastAsia="仿宋" w:cs="仿宋"/>
                <w:color w:val="auto"/>
                <w:sz w:val="24"/>
                <w:szCs w:val="24"/>
                <w:highlight w:val="none"/>
              </w:rPr>
              <w:t>采购进口产品，供应商所提供的货物和服务须在我国境内合法生产、销售。</w:t>
            </w:r>
          </w:p>
        </w:tc>
      </w:tr>
      <w:tr w14:paraId="293B4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489C66C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sz w:val="24"/>
                <w:highlight w:val="none"/>
              </w:rPr>
              <w:t>11</w:t>
            </w:r>
          </w:p>
        </w:tc>
        <w:tc>
          <w:tcPr>
            <w:tcW w:w="1260" w:type="dxa"/>
            <w:vAlign w:val="center"/>
          </w:tcPr>
          <w:p w14:paraId="68A8D8EE">
            <w:pPr>
              <w:keepNext w:val="0"/>
              <w:keepLines w:val="0"/>
              <w:pageBreakBefore w:val="0"/>
              <w:widowControl w:val="0"/>
              <w:kinsoku/>
              <w:wordWrap/>
              <w:overflowPunct/>
              <w:topLinePunct w:val="0"/>
              <w:bidi w:val="0"/>
              <w:adjustRightInd w:val="0"/>
              <w:snapToGrid w:val="0"/>
              <w:spacing w:line="500" w:lineRule="exact"/>
              <w:ind w:left="14" w:leftChars="0" w:right="0" w:rightChars="0" w:hanging="14" w:hangingChars="7"/>
              <w:rPr>
                <w:rFonts w:hint="eastAsia" w:ascii="仿宋" w:hAnsi="仿宋" w:eastAsia="仿宋" w:cs="仿宋"/>
                <w:b/>
                <w:color w:val="auto"/>
                <w:spacing w:val="-20"/>
                <w:kern w:val="2"/>
                <w:sz w:val="24"/>
                <w:highlight w:val="none"/>
                <w:lang w:val="en-US" w:eastAsia="zh-CN" w:bidi="ar-SA"/>
              </w:rPr>
            </w:pPr>
            <w:r>
              <w:rPr>
                <w:rFonts w:hint="eastAsia" w:ascii="仿宋" w:hAnsi="仿宋" w:eastAsia="仿宋" w:cs="仿宋"/>
                <w:b/>
                <w:color w:val="auto"/>
                <w:spacing w:val="-20"/>
                <w:sz w:val="24"/>
                <w:highlight w:val="none"/>
              </w:rPr>
              <w:t>项目属性与核心产品</w:t>
            </w:r>
          </w:p>
        </w:tc>
        <w:tc>
          <w:tcPr>
            <w:tcW w:w="7223" w:type="dxa"/>
            <w:vAlign w:val="center"/>
          </w:tcPr>
          <w:p w14:paraId="52F58E0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kern w:val="0"/>
                <w:sz w:val="24"/>
                <w:highlight w:val="none"/>
                <w:u w:val="single"/>
                <w:lang w:val="en-US" w:eastAsia="zh-CN"/>
              </w:rPr>
              <w:t xml:space="preserve">     </w:t>
            </w:r>
          </w:p>
          <w:p w14:paraId="48370835">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仿宋" w:hAnsi="仿宋" w:eastAsia="仿宋" w:cs="仿宋"/>
                <w:color w:val="auto"/>
                <w:kern w:val="2"/>
                <w:sz w:val="24"/>
                <w:highlight w:val="none"/>
                <w:lang w:val="en-US" w:eastAsia="zh-CN" w:bidi="ar-SA"/>
              </w:rPr>
            </w:pPr>
            <w:sdt>
              <w:sdtPr>
                <w:rPr>
                  <w:rFonts w:hint="eastAsia" w:ascii="仿宋" w:hAnsi="仿宋" w:eastAsia="仿宋" w:cs="仿宋"/>
                  <w:color w:val="auto"/>
                  <w:kern w:val="0"/>
                  <w:sz w:val="24"/>
                  <w:szCs w:val="24"/>
                  <w:highlight w:val="none"/>
                </w:rPr>
                <w:id w:val="11"/>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sym w:font="Wingdings" w:char="F0FE"/>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14:paraId="7BB3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shd w:val="clear" w:color="auto" w:fill="auto"/>
            <w:vAlign w:val="center"/>
          </w:tcPr>
          <w:p w14:paraId="46F0D55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260" w:type="dxa"/>
            <w:shd w:val="clear" w:color="auto" w:fill="auto"/>
            <w:vAlign w:val="center"/>
          </w:tcPr>
          <w:p w14:paraId="7DCD5F54">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备份投标文件</w:t>
            </w:r>
          </w:p>
        </w:tc>
        <w:tc>
          <w:tcPr>
            <w:tcW w:w="7223" w:type="dxa"/>
            <w:shd w:val="clear" w:color="auto" w:fill="auto"/>
            <w:vAlign w:val="center"/>
          </w:tcPr>
          <w:p w14:paraId="63F78387">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备份投标文件送达地点：嵊州市官河南路489号君泰大厦北楼14层；备份投标文件签收人员联系电话：13757539220 。采购人、采购机构不强制或变相强制投标人提交备份投标文件。</w:t>
            </w:r>
          </w:p>
        </w:tc>
      </w:tr>
      <w:tr w14:paraId="6F968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Merge w:val="restart"/>
            <w:vAlign w:val="center"/>
          </w:tcPr>
          <w:p w14:paraId="05029FC7">
            <w:pPr>
              <w:keepNext w:val="0"/>
              <w:keepLines w:val="0"/>
              <w:pageBreakBefore w:val="0"/>
              <w:widowControl w:val="0"/>
              <w:kinsoku/>
              <w:wordWrap/>
              <w:overflowPunct/>
              <w:topLinePunct w:val="0"/>
              <w:bidi w:val="0"/>
              <w:adjustRightInd/>
              <w:spacing w:line="5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p>
        </w:tc>
        <w:tc>
          <w:tcPr>
            <w:tcW w:w="1260" w:type="dxa"/>
            <w:vMerge w:val="restart"/>
            <w:vAlign w:val="center"/>
          </w:tcPr>
          <w:p w14:paraId="62F52C2F">
            <w:pPr>
              <w:keepNext w:val="0"/>
              <w:keepLines w:val="0"/>
              <w:pageBreakBefore w:val="0"/>
              <w:widowControl w:val="0"/>
              <w:kinsoku/>
              <w:wordWrap/>
              <w:overflowPunct/>
              <w:topLinePunct w:val="0"/>
              <w:bidi w:val="0"/>
              <w:adjustRightInd/>
              <w:snapToGrid w:val="0"/>
              <w:spacing w:line="5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投标人信用信息事项</w:t>
            </w:r>
          </w:p>
        </w:tc>
        <w:tc>
          <w:tcPr>
            <w:tcW w:w="7223" w:type="dxa"/>
            <w:vAlign w:val="center"/>
          </w:tcPr>
          <w:p w14:paraId="61DF5482">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信用信息查询渠道及截止时间：</w:t>
            </w:r>
            <w:r>
              <w:rPr>
                <w:rFonts w:hint="eastAsia" w:ascii="仿宋" w:hAnsi="仿宋" w:eastAsia="仿宋" w:cs="仿宋"/>
                <w:color w:val="auto"/>
                <w:sz w:val="24"/>
                <w:szCs w:val="24"/>
                <w:highlight w:val="none"/>
              </w:rPr>
              <w:t>采购人或采购代理机构将通过“信用中国”网站(www.creditchina.gov.cn)、中国政府采购网(www.ccgp.gov.cn)渠道查询投标人</w:t>
            </w:r>
            <w:r>
              <w:rPr>
                <w:rFonts w:hint="eastAsia" w:ascii="仿宋" w:hAnsi="仿宋" w:eastAsia="仿宋" w:cs="仿宋"/>
                <w:b/>
                <w:color w:val="auto"/>
                <w:sz w:val="24"/>
                <w:szCs w:val="24"/>
                <w:highlight w:val="none"/>
              </w:rPr>
              <w:t>开标当天</w:t>
            </w:r>
            <w:r>
              <w:rPr>
                <w:rFonts w:hint="eastAsia" w:ascii="仿宋" w:hAnsi="仿宋" w:eastAsia="仿宋" w:cs="仿宋"/>
                <w:color w:val="auto"/>
                <w:sz w:val="24"/>
                <w:szCs w:val="24"/>
                <w:highlight w:val="none"/>
              </w:rPr>
              <w:t>的信用记录。</w:t>
            </w:r>
          </w:p>
        </w:tc>
      </w:tr>
      <w:tr w14:paraId="30842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Merge w:val="continue"/>
            <w:vAlign w:val="center"/>
          </w:tcPr>
          <w:p w14:paraId="6324A6EA">
            <w:pPr>
              <w:keepNext w:val="0"/>
              <w:keepLines w:val="0"/>
              <w:pageBreakBefore w:val="0"/>
              <w:widowControl w:val="0"/>
              <w:kinsoku/>
              <w:wordWrap/>
              <w:overflowPunct/>
              <w:topLinePunct w:val="0"/>
              <w:bidi w:val="0"/>
              <w:adjustRightInd/>
              <w:spacing w:line="500" w:lineRule="exact"/>
              <w:jc w:val="center"/>
              <w:textAlignment w:val="auto"/>
              <w:rPr>
                <w:rFonts w:hint="eastAsia" w:ascii="仿宋" w:hAnsi="仿宋" w:eastAsia="仿宋" w:cs="仿宋"/>
                <w:color w:val="auto"/>
                <w:sz w:val="24"/>
                <w:szCs w:val="24"/>
                <w:highlight w:val="none"/>
              </w:rPr>
            </w:pPr>
          </w:p>
        </w:tc>
        <w:tc>
          <w:tcPr>
            <w:tcW w:w="1260" w:type="dxa"/>
            <w:vMerge w:val="continue"/>
            <w:vAlign w:val="center"/>
          </w:tcPr>
          <w:p w14:paraId="59220D82">
            <w:pPr>
              <w:keepNext w:val="0"/>
              <w:keepLines w:val="0"/>
              <w:pageBreakBefore w:val="0"/>
              <w:widowControl w:val="0"/>
              <w:kinsoku/>
              <w:wordWrap/>
              <w:overflowPunct/>
              <w:topLinePunct w:val="0"/>
              <w:bidi w:val="0"/>
              <w:adjustRightInd/>
              <w:snapToGrid w:val="0"/>
              <w:spacing w:line="500" w:lineRule="exact"/>
              <w:textAlignment w:val="auto"/>
              <w:rPr>
                <w:rFonts w:hint="eastAsia" w:ascii="仿宋" w:hAnsi="仿宋" w:eastAsia="仿宋" w:cs="仿宋"/>
                <w:b/>
                <w:color w:val="auto"/>
                <w:sz w:val="24"/>
                <w:szCs w:val="24"/>
                <w:highlight w:val="none"/>
              </w:rPr>
            </w:pPr>
          </w:p>
        </w:tc>
        <w:tc>
          <w:tcPr>
            <w:tcW w:w="7223" w:type="dxa"/>
            <w:vAlign w:val="center"/>
          </w:tcPr>
          <w:p w14:paraId="595C1BD4">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信用信息查询记录和证据留存的具体方式：</w:t>
            </w:r>
            <w:r>
              <w:rPr>
                <w:rFonts w:hint="eastAsia" w:ascii="仿宋" w:hAnsi="仿宋" w:eastAsia="仿宋" w:cs="仿宋"/>
                <w:color w:val="auto"/>
                <w:sz w:val="24"/>
                <w:szCs w:val="24"/>
                <w:highlight w:val="none"/>
              </w:rPr>
              <w:t>采购人或采购代理机构</w:t>
            </w:r>
            <w:r>
              <w:rPr>
                <w:rFonts w:hint="eastAsia" w:ascii="仿宋" w:hAnsi="仿宋" w:eastAsia="仿宋" w:cs="仿宋"/>
                <w:color w:val="auto"/>
                <w:spacing w:val="-6"/>
                <w:sz w:val="24"/>
                <w:szCs w:val="24"/>
                <w:highlight w:val="none"/>
              </w:rPr>
              <w:t>现场查询投标人的信用记录，查询结果经确认后与采购文件一起存档。</w:t>
            </w:r>
          </w:p>
        </w:tc>
      </w:tr>
      <w:tr w14:paraId="7B6C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Merge w:val="continue"/>
            <w:vAlign w:val="center"/>
          </w:tcPr>
          <w:p w14:paraId="52F0B9DA">
            <w:pPr>
              <w:keepNext w:val="0"/>
              <w:keepLines w:val="0"/>
              <w:pageBreakBefore w:val="0"/>
              <w:widowControl w:val="0"/>
              <w:kinsoku/>
              <w:wordWrap/>
              <w:overflowPunct/>
              <w:topLinePunct w:val="0"/>
              <w:bidi w:val="0"/>
              <w:adjustRightInd/>
              <w:spacing w:line="500" w:lineRule="exact"/>
              <w:jc w:val="center"/>
              <w:textAlignment w:val="auto"/>
              <w:rPr>
                <w:rFonts w:hint="eastAsia" w:ascii="仿宋" w:hAnsi="仿宋" w:eastAsia="仿宋" w:cs="仿宋"/>
                <w:color w:val="auto"/>
                <w:sz w:val="24"/>
                <w:szCs w:val="24"/>
                <w:highlight w:val="none"/>
              </w:rPr>
            </w:pPr>
          </w:p>
        </w:tc>
        <w:tc>
          <w:tcPr>
            <w:tcW w:w="1260" w:type="dxa"/>
            <w:vMerge w:val="continue"/>
            <w:vAlign w:val="center"/>
          </w:tcPr>
          <w:p w14:paraId="6A382C00">
            <w:pPr>
              <w:keepNext w:val="0"/>
              <w:keepLines w:val="0"/>
              <w:pageBreakBefore w:val="0"/>
              <w:widowControl w:val="0"/>
              <w:kinsoku/>
              <w:wordWrap/>
              <w:overflowPunct/>
              <w:topLinePunct w:val="0"/>
              <w:bidi w:val="0"/>
              <w:adjustRightInd/>
              <w:snapToGrid w:val="0"/>
              <w:spacing w:line="500" w:lineRule="exact"/>
              <w:textAlignment w:val="auto"/>
              <w:rPr>
                <w:rFonts w:hint="eastAsia" w:ascii="仿宋" w:hAnsi="仿宋" w:eastAsia="仿宋" w:cs="仿宋"/>
                <w:b/>
                <w:color w:val="auto"/>
                <w:sz w:val="24"/>
                <w:szCs w:val="24"/>
                <w:highlight w:val="none"/>
              </w:rPr>
            </w:pPr>
          </w:p>
        </w:tc>
        <w:tc>
          <w:tcPr>
            <w:tcW w:w="7223" w:type="dxa"/>
            <w:vAlign w:val="center"/>
          </w:tcPr>
          <w:p w14:paraId="6E5F40E4">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信用信息的使用规则：</w:t>
            </w:r>
            <w:r>
              <w:rPr>
                <w:rFonts w:hint="eastAsia" w:ascii="仿宋" w:hAnsi="仿宋" w:eastAsia="仿宋" w:cs="仿宋"/>
                <w:color w:val="auto"/>
                <w:sz w:val="24"/>
                <w:szCs w:val="24"/>
                <w:highlight w:val="none"/>
              </w:rPr>
              <w:t>经查询列入失信被执行人名单、重大税收违法案件当事人名单、政府采购严重违法失信行为记录名单的投标人将被拒绝参与采购活动。</w:t>
            </w:r>
          </w:p>
          <w:p w14:paraId="37BA9B5B">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tc>
      </w:tr>
      <w:tr w14:paraId="11F7C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3F1DFCC4">
            <w:pPr>
              <w:spacing w:line="440" w:lineRule="exact"/>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p>
        </w:tc>
        <w:tc>
          <w:tcPr>
            <w:tcW w:w="8483" w:type="dxa"/>
            <w:gridSpan w:val="2"/>
            <w:vAlign w:val="center"/>
          </w:tcPr>
          <w:p w14:paraId="1A63376C">
            <w:pPr>
              <w:snapToGrid w:val="0"/>
              <w:spacing w:line="44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需要落实的采购政策：包括保护环境、节约能源等。详见招标文件第二部分总则。</w:t>
            </w:r>
          </w:p>
        </w:tc>
      </w:tr>
      <w:tr w14:paraId="72A50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05E11B94">
            <w:pPr>
              <w:spacing w:line="440" w:lineRule="exact"/>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p>
        </w:tc>
        <w:tc>
          <w:tcPr>
            <w:tcW w:w="8483" w:type="dxa"/>
            <w:gridSpan w:val="2"/>
            <w:vAlign w:val="center"/>
          </w:tcPr>
          <w:p w14:paraId="406DC254">
            <w:pPr>
              <w:snapToGrid w:val="0"/>
              <w:spacing w:line="44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更正补充公告请自行登录</w:t>
            </w:r>
            <w:r>
              <w:rPr>
                <w:rFonts w:hint="eastAsia" w:ascii="仿宋" w:hAnsi="仿宋" w:eastAsia="仿宋" w:cs="仿宋"/>
                <w:color w:val="auto"/>
                <w:sz w:val="24"/>
                <w:highlight w:val="none"/>
                <w:lang w:val="en-US" w:eastAsia="zh-CN"/>
              </w:rPr>
              <w:t>乐采云平台</w:t>
            </w:r>
            <w:r>
              <w:rPr>
                <w:rFonts w:hint="eastAsia" w:ascii="仿宋" w:hAnsi="仿宋" w:eastAsia="仿宋" w:cs="仿宋"/>
                <w:color w:val="auto"/>
                <w:sz w:val="24"/>
                <w:highlight w:val="none"/>
              </w:rPr>
              <w:t>查看下载。</w:t>
            </w:r>
          </w:p>
        </w:tc>
      </w:tr>
      <w:tr w14:paraId="63D5E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2FB4416E">
            <w:pPr>
              <w:keepNext w:val="0"/>
              <w:keepLines w:val="0"/>
              <w:pageBreakBefore w:val="0"/>
              <w:widowControl w:val="0"/>
              <w:kinsoku/>
              <w:wordWrap/>
              <w:overflowPunct/>
              <w:topLinePunct w:val="0"/>
              <w:bidi w:val="0"/>
              <w:adjustRightInd/>
              <w:spacing w:line="5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p>
        </w:tc>
        <w:tc>
          <w:tcPr>
            <w:tcW w:w="8483" w:type="dxa"/>
            <w:gridSpan w:val="2"/>
            <w:vAlign w:val="center"/>
          </w:tcPr>
          <w:p w14:paraId="7A8C73C3">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投标与开标注意事项：</w:t>
            </w:r>
          </w:p>
          <w:p w14:paraId="43F0FF79">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1.本项目实行网上投标，采用电子投标文件。若供应商参与投标，自行承担投标一切费用。</w:t>
            </w:r>
          </w:p>
          <w:p w14:paraId="0225A95F">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2.标前准备：各供应商应在开标前应确保成为</w:t>
            </w:r>
            <w:r>
              <w:rPr>
                <w:rFonts w:hint="eastAsia" w:ascii="仿宋" w:hAnsi="仿宋" w:eastAsia="仿宋" w:cs="仿宋"/>
                <w:color w:val="auto"/>
                <w:sz w:val="24"/>
                <w:szCs w:val="24"/>
                <w:highlight w:val="none"/>
                <w:lang w:val="en-US" w:eastAsia="zh-CN"/>
              </w:rPr>
              <w:t>乐</w:t>
            </w:r>
            <w:r>
              <w:rPr>
                <w:rFonts w:hint="eastAsia" w:ascii="仿宋" w:hAnsi="仿宋" w:eastAsia="仿宋" w:cs="仿宋"/>
                <w:color w:val="auto"/>
                <w:sz w:val="24"/>
                <w:szCs w:val="24"/>
                <w:highlight w:val="none"/>
              </w:rPr>
              <w:t>采云平台正式注册入库供应商，并完成CA数字证书办理。因未注册入库、未办理CA数字证书等原因造成无法投标或投标失败等后果由供应商自行承担。</w:t>
            </w:r>
          </w:p>
          <w:p w14:paraId="4F2AB722">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供应商将</w:t>
            </w:r>
            <w:r>
              <w:rPr>
                <w:rFonts w:hint="eastAsia" w:ascii="仿宋" w:hAnsi="仿宋" w:eastAsia="仿宋" w:cs="仿宋"/>
                <w:color w:val="auto"/>
                <w:sz w:val="24"/>
                <w:szCs w:val="24"/>
                <w:highlight w:val="none"/>
                <w:lang w:val="en-US" w:eastAsia="zh-CN"/>
              </w:rPr>
              <w:t>乐</w:t>
            </w:r>
            <w:r>
              <w:rPr>
                <w:rFonts w:hint="eastAsia" w:ascii="仿宋" w:hAnsi="仿宋" w:eastAsia="仿宋" w:cs="仿宋"/>
                <w:color w:val="auto"/>
                <w:sz w:val="24"/>
                <w:szCs w:val="24"/>
                <w:highlight w:val="none"/>
              </w:rPr>
              <w:t>采云电子交易客户端下载、安装完成后，可通过账号密码或CA登录客户端进行投标文件制作。在使用</w:t>
            </w:r>
            <w:r>
              <w:rPr>
                <w:rFonts w:hint="eastAsia" w:ascii="仿宋" w:hAnsi="仿宋" w:eastAsia="仿宋" w:cs="仿宋"/>
                <w:color w:val="auto"/>
                <w:sz w:val="24"/>
                <w:szCs w:val="24"/>
                <w:highlight w:val="none"/>
                <w:lang w:val="en-US" w:eastAsia="zh-CN"/>
              </w:rPr>
              <w:t>乐</w:t>
            </w:r>
            <w:r>
              <w:rPr>
                <w:rFonts w:hint="eastAsia" w:ascii="仿宋" w:hAnsi="仿宋" w:eastAsia="仿宋" w:cs="仿宋"/>
                <w:color w:val="auto"/>
                <w:sz w:val="24"/>
                <w:szCs w:val="24"/>
                <w:highlight w:val="none"/>
              </w:rPr>
              <w:t>采云投标客户端时，建议使用WIN7及以上操作系统。</w:t>
            </w:r>
          </w:p>
          <w:p w14:paraId="6FA2F4E9">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注：供应商先要申领CA，取得CA后需要在</w:t>
            </w:r>
            <w:r>
              <w:rPr>
                <w:rFonts w:hint="eastAsia" w:ascii="仿宋" w:hAnsi="仿宋" w:eastAsia="仿宋" w:cs="仿宋"/>
                <w:color w:val="auto"/>
                <w:sz w:val="24"/>
                <w:szCs w:val="24"/>
                <w:highlight w:val="none"/>
                <w:lang w:val="en-US" w:eastAsia="zh-CN"/>
              </w:rPr>
              <w:t>乐</w:t>
            </w:r>
            <w:r>
              <w:rPr>
                <w:rFonts w:hint="eastAsia" w:ascii="仿宋" w:hAnsi="仿宋" w:eastAsia="仿宋" w:cs="仿宋"/>
                <w:color w:val="auto"/>
                <w:sz w:val="24"/>
                <w:szCs w:val="24"/>
                <w:highlight w:val="none"/>
              </w:rPr>
              <w:t>采云平台进行绑定，CA相关操作可参考《CA申领操作指南》和《CA管理操作指南》。完成CA数字证书办理在资料齐全的情况下预计7个工作日左右，建议供应商获取招标文件后立即办理。</w:t>
            </w:r>
          </w:p>
          <w:p w14:paraId="4F8C146E">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3.投标文件制作、递交、解密：</w:t>
            </w:r>
          </w:p>
          <w:p w14:paraId="061C560A">
            <w:pPr>
              <w:keepNext w:val="0"/>
              <w:keepLines w:val="0"/>
              <w:pageBreakBefore w:val="0"/>
              <w:widowControl w:val="0"/>
              <w:kinsoku/>
              <w:wordWrap/>
              <w:overflowPunct/>
              <w:topLinePunct w:val="0"/>
              <w:bidi w:val="0"/>
              <w:adjustRightInd/>
              <w:snapToGrid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3.1应按照本项目招标文件和</w:t>
            </w:r>
            <w:r>
              <w:rPr>
                <w:rFonts w:hint="eastAsia" w:ascii="仿宋" w:hAnsi="仿宋" w:eastAsia="仿宋" w:cs="仿宋"/>
                <w:color w:val="auto"/>
                <w:sz w:val="24"/>
                <w:szCs w:val="24"/>
                <w:highlight w:val="none"/>
                <w:lang w:val="en-US" w:eastAsia="zh-CN"/>
              </w:rPr>
              <w:t>乐</w:t>
            </w:r>
            <w:r>
              <w:rPr>
                <w:rFonts w:hint="eastAsia" w:ascii="仿宋" w:hAnsi="仿宋" w:eastAsia="仿宋" w:cs="仿宋"/>
                <w:color w:val="auto"/>
                <w:sz w:val="24"/>
                <w:szCs w:val="24"/>
                <w:highlight w:val="none"/>
              </w:rPr>
              <w:t>采云平台的要求编制、加密传输投标文件。供应商在使用系统进行投标的过程中遇到涉及平台使用的任何问题，可致电</w:t>
            </w:r>
            <w:r>
              <w:rPr>
                <w:rFonts w:hint="eastAsia" w:ascii="仿宋" w:hAnsi="仿宋" w:eastAsia="仿宋" w:cs="仿宋"/>
                <w:color w:val="auto"/>
                <w:sz w:val="24"/>
                <w:szCs w:val="24"/>
                <w:highlight w:val="none"/>
                <w:lang w:val="en-US" w:eastAsia="zh-CN"/>
              </w:rPr>
              <w:t>乐</w:t>
            </w:r>
            <w:r>
              <w:rPr>
                <w:rFonts w:hint="eastAsia" w:ascii="仿宋" w:hAnsi="仿宋" w:eastAsia="仿宋" w:cs="仿宋"/>
                <w:color w:val="auto"/>
                <w:sz w:val="24"/>
                <w:szCs w:val="24"/>
                <w:highlight w:val="none"/>
              </w:rPr>
              <w:t>采云平台技术支持热线咨询，联系方式：</w:t>
            </w:r>
            <w:r>
              <w:rPr>
                <w:rFonts w:hint="eastAsia" w:ascii="仿宋" w:hAnsi="仿宋" w:eastAsia="仿宋" w:cs="仿宋"/>
                <w:color w:val="auto"/>
                <w:sz w:val="24"/>
                <w:szCs w:val="24"/>
                <w:highlight w:val="none"/>
                <w:lang w:val="en-US" w:eastAsia="zh-CN"/>
              </w:rPr>
              <w:t>95763</w:t>
            </w:r>
            <w:r>
              <w:rPr>
                <w:rFonts w:hint="eastAsia" w:ascii="仿宋" w:hAnsi="仿宋" w:eastAsia="仿宋" w:cs="仿宋"/>
                <w:color w:val="auto"/>
                <w:sz w:val="24"/>
                <w:szCs w:val="24"/>
                <w:highlight w:val="none"/>
              </w:rPr>
              <w:t>。</w:t>
            </w:r>
          </w:p>
          <w:p w14:paraId="52BC82EC">
            <w:pPr>
              <w:keepNext w:val="0"/>
              <w:keepLines w:val="0"/>
              <w:pageBreakBefore w:val="0"/>
              <w:widowControl w:val="0"/>
              <w:kinsoku/>
              <w:wordWrap/>
              <w:overflowPunct/>
              <w:topLinePunct w:val="0"/>
              <w:bidi w:val="0"/>
              <w:adjustRightInd/>
              <w:snapToGrid w:val="0"/>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3.2投标人通过“</w:t>
            </w:r>
            <w:r>
              <w:rPr>
                <w:rFonts w:hint="eastAsia" w:ascii="仿宋" w:hAnsi="仿宋" w:eastAsia="仿宋" w:cs="仿宋"/>
                <w:color w:val="auto"/>
                <w:sz w:val="24"/>
                <w:szCs w:val="24"/>
                <w:highlight w:val="none"/>
                <w:lang w:val="en-US" w:eastAsia="zh-CN"/>
              </w:rPr>
              <w:t>乐</w:t>
            </w:r>
            <w:r>
              <w:rPr>
                <w:rFonts w:hint="eastAsia" w:ascii="仿宋" w:hAnsi="仿宋" w:eastAsia="仿宋" w:cs="仿宋"/>
                <w:color w:val="auto"/>
                <w:sz w:val="24"/>
                <w:szCs w:val="24"/>
                <w:highlight w:val="none"/>
              </w:rPr>
              <w:t>采云”平台制作电子投标文件，投标文件制作详见“供应商-采购项目电子交易操作指南：</w:t>
            </w:r>
          </w:p>
          <w:p w14:paraId="01B49300">
            <w:pPr>
              <w:keepNext w:val="0"/>
              <w:keepLines w:val="0"/>
              <w:pageBreakBefore w:val="0"/>
              <w:widowControl w:val="0"/>
              <w:kinsoku/>
              <w:wordWrap/>
              <w:overflowPunct/>
              <w:topLinePunct w:val="0"/>
              <w:bidi w:val="0"/>
              <w:adjustRightInd/>
              <w:snapToGrid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3.3开标时间后30分钟内供应商可以登录“</w:t>
            </w:r>
            <w:r>
              <w:rPr>
                <w:rFonts w:hint="eastAsia" w:ascii="仿宋" w:hAnsi="仿宋" w:eastAsia="仿宋" w:cs="仿宋"/>
                <w:color w:val="auto"/>
                <w:sz w:val="24"/>
                <w:szCs w:val="24"/>
                <w:highlight w:val="none"/>
                <w:lang w:val="en-US" w:eastAsia="zh-CN"/>
              </w:rPr>
              <w:t>乐</w:t>
            </w:r>
            <w:r>
              <w:rPr>
                <w:rFonts w:hint="eastAsia" w:ascii="仿宋" w:hAnsi="仿宋" w:eastAsia="仿宋" w:cs="仿宋"/>
                <w:color w:val="auto"/>
                <w:sz w:val="24"/>
                <w:szCs w:val="24"/>
                <w:highlight w:val="none"/>
              </w:rPr>
              <w:t>采云”平台，用“项目采购-开标评标”功能进行解密投标文件。若供应商</w:t>
            </w:r>
            <w:r>
              <w:rPr>
                <w:rFonts w:hint="eastAsia" w:ascii="仿宋" w:hAnsi="仿宋" w:eastAsia="仿宋" w:cs="仿宋"/>
                <w:b/>
                <w:color w:val="auto"/>
                <w:sz w:val="24"/>
                <w:szCs w:val="24"/>
                <w:highlight w:val="none"/>
                <w:u w:val="single"/>
              </w:rPr>
              <w:t>未按时解密的</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u w:val="single"/>
              </w:rPr>
              <w:t>视为投标文件撤回</w:t>
            </w:r>
            <w:r>
              <w:rPr>
                <w:rFonts w:hint="eastAsia" w:ascii="仿宋" w:hAnsi="仿宋" w:eastAsia="仿宋" w:cs="仿宋"/>
                <w:color w:val="auto"/>
                <w:sz w:val="24"/>
                <w:szCs w:val="24"/>
                <w:highlight w:val="none"/>
              </w:rPr>
              <w:t>。</w:t>
            </w:r>
          </w:p>
        </w:tc>
      </w:tr>
      <w:tr w14:paraId="498E9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Merge w:val="restart"/>
            <w:vAlign w:val="center"/>
          </w:tcPr>
          <w:p w14:paraId="0DA8423C">
            <w:pPr>
              <w:keepNext w:val="0"/>
              <w:keepLines w:val="0"/>
              <w:pageBreakBefore w:val="0"/>
              <w:widowControl w:val="0"/>
              <w:kinsoku/>
              <w:wordWrap/>
              <w:overflowPunct/>
              <w:topLinePunct w:val="0"/>
              <w:bidi w:val="0"/>
              <w:adjustRightInd/>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8483" w:type="dxa"/>
            <w:gridSpan w:val="2"/>
            <w:shd w:val="clear" w:color="auto" w:fill="auto"/>
            <w:vAlign w:val="center"/>
          </w:tcPr>
          <w:p w14:paraId="1582D12E">
            <w:pPr>
              <w:keepNext w:val="0"/>
              <w:keepLines w:val="0"/>
              <w:pageBreakBefore w:val="0"/>
              <w:kinsoku/>
              <w:wordWrap/>
              <w:overflowPunct/>
              <w:topLinePunct w:val="0"/>
              <w:bidi w:val="0"/>
              <w:adjustRightInd/>
              <w:snapToGrid/>
              <w:spacing w:line="42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p w14:paraId="0594C1ED">
            <w:pPr>
              <w:keepNext w:val="0"/>
              <w:keepLines w:val="0"/>
              <w:pageBreakBefore w:val="0"/>
              <w:kinsoku/>
              <w:wordWrap/>
              <w:overflowPunct/>
              <w:topLinePunct w:val="0"/>
              <w:bidi w:val="0"/>
              <w:adjustRightInd/>
              <w:snapToGrid/>
              <w:spacing w:line="420" w:lineRule="exact"/>
              <w:textAlignment w:val="center"/>
              <w:rPr>
                <w:rFonts w:hint="eastAsia" w:ascii="仿宋" w:hAnsi="仿宋" w:eastAsia="仿宋" w:cs="仿宋"/>
                <w:color w:val="auto"/>
                <w:kern w:val="2"/>
                <w:sz w:val="24"/>
                <w:highlight w:val="none"/>
                <w:lang w:val="en-US" w:eastAsia="zh-CN" w:bidi="ar-SA"/>
              </w:rPr>
            </w:pPr>
            <w:r>
              <w:rPr>
                <w:rFonts w:hint="eastAsia" w:ascii="仿宋" w:hAnsi="仿宋" w:eastAsia="仿宋" w:cs="仿宋"/>
                <w:snapToGrid w:val="0"/>
                <w:color w:val="auto"/>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highlight w:val="none"/>
              </w:rPr>
              <w:t>。</w:t>
            </w:r>
          </w:p>
        </w:tc>
      </w:tr>
      <w:tr w14:paraId="74B6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Merge w:val="continue"/>
            <w:vAlign w:val="center"/>
          </w:tcPr>
          <w:p w14:paraId="08F2706F">
            <w:pPr>
              <w:keepNext w:val="0"/>
              <w:keepLines w:val="0"/>
              <w:pageBreakBefore w:val="0"/>
              <w:widowControl w:val="0"/>
              <w:kinsoku/>
              <w:wordWrap/>
              <w:overflowPunct/>
              <w:topLinePunct w:val="0"/>
              <w:bidi w:val="0"/>
              <w:adjustRightInd/>
              <w:spacing w:line="400" w:lineRule="exact"/>
              <w:jc w:val="center"/>
              <w:textAlignment w:val="auto"/>
              <w:rPr>
                <w:rFonts w:hint="eastAsia" w:ascii="仿宋" w:hAnsi="仿宋" w:eastAsia="仿宋" w:cs="仿宋"/>
                <w:color w:val="auto"/>
                <w:sz w:val="24"/>
                <w:szCs w:val="24"/>
                <w:highlight w:val="none"/>
                <w:lang w:val="en-US" w:eastAsia="zh-CN"/>
              </w:rPr>
            </w:pPr>
          </w:p>
        </w:tc>
        <w:tc>
          <w:tcPr>
            <w:tcW w:w="8483" w:type="dxa"/>
            <w:gridSpan w:val="2"/>
            <w:shd w:val="clear" w:color="auto" w:fill="auto"/>
            <w:vAlign w:val="center"/>
          </w:tcPr>
          <w:p w14:paraId="001CC61A">
            <w:pPr>
              <w:keepNext w:val="0"/>
              <w:keepLines w:val="0"/>
              <w:pageBreakBefore w:val="0"/>
              <w:kinsoku/>
              <w:wordWrap/>
              <w:overflowPunct/>
              <w:topLinePunct w:val="0"/>
              <w:bidi w:val="0"/>
              <w:adjustRightInd/>
              <w:snapToGrid/>
              <w:spacing w:line="420" w:lineRule="exact"/>
              <w:textAlignment w:val="center"/>
              <w:rPr>
                <w:rFonts w:hint="eastAsia" w:ascii="仿宋" w:hAnsi="仿宋" w:eastAsia="仿宋" w:cs="仿宋"/>
                <w:snapToGrid w:val="0"/>
                <w:color w:val="auto"/>
                <w:kern w:val="28"/>
                <w:sz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w:t>
            </w:r>
            <w:r>
              <w:rPr>
                <w:rFonts w:hint="eastAsia" w:ascii="仿宋" w:hAnsi="仿宋" w:eastAsia="仿宋" w:cs="仿宋"/>
                <w:snapToGrid w:val="0"/>
                <w:color w:val="auto"/>
                <w:kern w:val="28"/>
                <w:sz w:val="24"/>
                <w:highlight w:val="none"/>
              </w:rPr>
              <w:t>联合体投标的，联合体各方均需按招标文件第五部分评标标准要求提供资信证明文件，否则视为不符合相关要求。</w:t>
            </w:r>
          </w:p>
          <w:p w14:paraId="072B67BA">
            <w:pPr>
              <w:keepNext w:val="0"/>
              <w:keepLines w:val="0"/>
              <w:pageBreakBefore w:val="0"/>
              <w:kinsoku/>
              <w:wordWrap/>
              <w:overflowPunct/>
              <w:topLinePunct w:val="0"/>
              <w:bidi w:val="0"/>
              <w:adjustRightInd/>
              <w:snapToGrid/>
              <w:spacing w:line="420" w:lineRule="exact"/>
              <w:textAlignment w:val="center"/>
              <w:rPr>
                <w:rFonts w:hint="eastAsia" w:ascii="仿宋" w:hAnsi="仿宋" w:eastAsia="仿宋" w:cs="仿宋"/>
                <w:b/>
                <w:color w:val="auto"/>
                <w:kern w:val="2"/>
                <w:sz w:val="24"/>
                <w:highlight w:val="none"/>
                <w:lang w:val="en-US" w:eastAsia="zh-CN" w:bidi="ar-SA"/>
              </w:rPr>
            </w:pPr>
            <w:r>
              <w:rPr>
                <w:rFonts w:hint="eastAsia" w:ascii="仿宋" w:hAnsi="仿宋" w:eastAsia="仿宋" w:cs="仿宋"/>
                <w:color w:val="auto"/>
                <w:kern w:val="0"/>
                <w:sz w:val="24"/>
                <w:highlight w:val="none"/>
              </w:rPr>
              <w:t>☐</w:t>
            </w:r>
            <w:r>
              <w:rPr>
                <w:rFonts w:hint="eastAsia" w:ascii="仿宋" w:hAnsi="仿宋" w:eastAsia="仿宋" w:cs="仿宋"/>
                <w:snapToGrid w:val="0"/>
                <w:color w:val="auto"/>
                <w:kern w:val="28"/>
                <w:sz w:val="24"/>
                <w:highlight w:val="none"/>
              </w:rPr>
              <w:t>联合体投标的，联合体中有一方或者联合体成员根据分工按招标文件第五部分评标标准要求提供资信证明文件的，视为符合了相关要求。</w:t>
            </w:r>
          </w:p>
        </w:tc>
      </w:tr>
      <w:tr w14:paraId="38B4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5B008F73">
            <w:pPr>
              <w:keepNext w:val="0"/>
              <w:keepLines w:val="0"/>
              <w:pageBreakBefore w:val="0"/>
              <w:widowControl w:val="0"/>
              <w:kinsoku/>
              <w:wordWrap/>
              <w:overflowPunct/>
              <w:topLinePunct w:val="0"/>
              <w:bidi w:val="0"/>
              <w:adjustRightInd/>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8483" w:type="dxa"/>
            <w:gridSpan w:val="2"/>
            <w:vAlign w:val="center"/>
          </w:tcPr>
          <w:p w14:paraId="48951070">
            <w:pPr>
              <w:widowControl/>
              <w:spacing w:line="440" w:lineRule="exact"/>
              <w:jc w:val="left"/>
              <w:rPr>
                <w:rFonts w:hint="eastAsia" w:ascii="仿宋" w:hAnsi="仿宋" w:eastAsia="仿宋" w:cs="仿宋"/>
                <w:color w:val="auto"/>
                <w:kern w:val="0"/>
                <w:sz w:val="18"/>
                <w:szCs w:val="18"/>
                <w:highlight w:val="none"/>
              </w:rPr>
            </w:pPr>
            <w:r>
              <w:rPr>
                <w:rFonts w:hint="eastAsia" w:ascii="仿宋" w:hAnsi="仿宋" w:eastAsia="仿宋" w:cs="仿宋"/>
                <w:color w:val="auto"/>
                <w:sz w:val="24"/>
                <w:szCs w:val="24"/>
                <w:highlight w:val="none"/>
                <w:lang w:val="en-US" w:eastAsia="zh-CN"/>
              </w:rPr>
              <w:t>1、采购代理服务费：</w:t>
            </w:r>
            <w:r>
              <w:rPr>
                <w:rFonts w:hint="eastAsia" w:ascii="仿宋" w:hAnsi="仿宋" w:eastAsia="仿宋" w:cs="仿宋"/>
                <w:color w:val="auto"/>
                <w:szCs w:val="24"/>
                <w:highlight w:val="none"/>
              </w:rPr>
              <w:t>中标人</w:t>
            </w:r>
            <w:r>
              <w:rPr>
                <w:rFonts w:hint="eastAsia" w:ascii="仿宋" w:hAnsi="仿宋" w:eastAsia="仿宋" w:cs="仿宋"/>
                <w:color w:val="auto"/>
                <w:szCs w:val="24"/>
                <w:highlight w:val="none"/>
                <w:lang w:val="en-US" w:eastAsia="zh-CN"/>
              </w:rPr>
              <w:t>按</w:t>
            </w:r>
            <w:r>
              <w:rPr>
                <w:rFonts w:hint="eastAsia" w:ascii="仿宋" w:hAnsi="仿宋" w:eastAsia="仿宋" w:cs="仿宋"/>
                <w:color w:val="auto"/>
                <w:szCs w:val="24"/>
                <w:highlight w:val="none"/>
              </w:rPr>
              <w:t>如下</w:t>
            </w:r>
            <w:r>
              <w:rPr>
                <w:rFonts w:hint="eastAsia" w:ascii="仿宋" w:hAnsi="仿宋" w:eastAsia="仿宋" w:cs="仿宋"/>
                <w:color w:val="auto"/>
                <w:szCs w:val="24"/>
                <w:highlight w:val="none"/>
                <w:lang w:val="en-US" w:eastAsia="zh-CN"/>
              </w:rPr>
              <w:t>服务</w:t>
            </w:r>
            <w:r>
              <w:rPr>
                <w:rFonts w:hint="eastAsia" w:ascii="仿宋" w:hAnsi="仿宋" w:eastAsia="仿宋" w:cs="仿宋"/>
                <w:color w:val="auto"/>
                <w:szCs w:val="24"/>
                <w:highlight w:val="none"/>
              </w:rPr>
              <w:t>标准</w:t>
            </w:r>
            <w:r>
              <w:rPr>
                <w:rFonts w:hint="eastAsia" w:ascii="仿宋" w:hAnsi="仿宋" w:eastAsia="仿宋" w:cs="仿宋"/>
                <w:color w:val="auto"/>
                <w:szCs w:val="24"/>
                <w:highlight w:val="none"/>
                <w:lang w:val="en-US" w:eastAsia="zh-CN"/>
              </w:rPr>
              <w:t>下浮40%</w:t>
            </w:r>
            <w:r>
              <w:rPr>
                <w:rFonts w:hint="eastAsia" w:ascii="仿宋" w:hAnsi="仿宋" w:eastAsia="仿宋" w:cs="仿宋"/>
                <w:color w:val="auto"/>
                <w:szCs w:val="24"/>
                <w:highlight w:val="none"/>
              </w:rPr>
              <w:t>交纳中标服务费，请在投标报价中自行考虑：</w:t>
            </w:r>
          </w:p>
          <w:tbl>
            <w:tblPr>
              <w:tblStyle w:val="34"/>
              <w:tblW w:w="0" w:type="auto"/>
              <w:jc w:val="center"/>
              <w:tblLayout w:type="fixed"/>
              <w:tblCellMar>
                <w:top w:w="0" w:type="dxa"/>
                <w:left w:w="0" w:type="dxa"/>
                <w:bottom w:w="0" w:type="dxa"/>
                <w:right w:w="0" w:type="dxa"/>
              </w:tblCellMar>
            </w:tblPr>
            <w:tblGrid>
              <w:gridCol w:w="2132"/>
              <w:gridCol w:w="1725"/>
              <w:gridCol w:w="1725"/>
              <w:gridCol w:w="1726"/>
            </w:tblGrid>
            <w:tr w14:paraId="72AA2B9B">
              <w:tblPrEx>
                <w:tblCellMar>
                  <w:top w:w="0" w:type="dxa"/>
                  <w:left w:w="0" w:type="dxa"/>
                  <w:bottom w:w="0" w:type="dxa"/>
                  <w:right w:w="0" w:type="dxa"/>
                </w:tblCellMar>
              </w:tblPrEx>
              <w:trPr>
                <w:jc w:val="center"/>
              </w:trPr>
              <w:tc>
                <w:tcPr>
                  <w:tcW w:w="2132" w:type="dxa"/>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14:paraId="7DFC4878">
                  <w:pPr>
                    <w:widowControl/>
                    <w:spacing w:line="440" w:lineRule="exact"/>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highlight w:val="none"/>
                    </w:rPr>
                    <w:t>中标金额（万元）</w:t>
                  </w:r>
                </w:p>
              </w:tc>
              <w:tc>
                <w:tcPr>
                  <w:tcW w:w="1725" w:type="dxa"/>
                  <w:tcBorders>
                    <w:top w:val="single" w:color="auto" w:sz="8" w:space="0"/>
                    <w:left w:val="outset" w:color="F4F4F4" w:sz="6"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393C7D24">
                  <w:pPr>
                    <w:widowControl/>
                    <w:spacing w:line="4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highlight w:val="none"/>
                    </w:rPr>
                    <w:t>货物招标</w:t>
                  </w:r>
                </w:p>
              </w:tc>
              <w:tc>
                <w:tcPr>
                  <w:tcW w:w="1725" w:type="dxa"/>
                  <w:tcBorders>
                    <w:top w:val="single" w:color="auto" w:sz="8" w:space="0"/>
                    <w:left w:val="outset" w:color="F4F4F4" w:sz="6"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090511C3">
                  <w:pPr>
                    <w:widowControl/>
                    <w:spacing w:line="4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highlight w:val="none"/>
                    </w:rPr>
                    <w:t>服务招标</w:t>
                  </w:r>
                </w:p>
              </w:tc>
              <w:tc>
                <w:tcPr>
                  <w:tcW w:w="1726" w:type="dxa"/>
                  <w:tcBorders>
                    <w:top w:val="single" w:color="auto" w:sz="8" w:space="0"/>
                    <w:left w:val="outset" w:color="F4F4F4" w:sz="6"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60C65117">
                  <w:pPr>
                    <w:widowControl/>
                    <w:spacing w:line="4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highlight w:val="none"/>
                    </w:rPr>
                    <w:t>工程招标</w:t>
                  </w:r>
                </w:p>
              </w:tc>
            </w:tr>
            <w:tr w14:paraId="1A1181D6">
              <w:tblPrEx>
                <w:tblCellMar>
                  <w:top w:w="0" w:type="dxa"/>
                  <w:left w:w="0" w:type="dxa"/>
                  <w:bottom w:w="0" w:type="dxa"/>
                  <w:right w:w="0" w:type="dxa"/>
                </w:tblCellMar>
              </w:tblPrEx>
              <w:trPr>
                <w:jc w:val="center"/>
              </w:trPr>
              <w:tc>
                <w:tcPr>
                  <w:tcW w:w="2132" w:type="dxa"/>
                  <w:tcBorders>
                    <w:top w:val="outset" w:color="F4F4F4" w:sz="6"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14:paraId="3822C1CD">
                  <w:pPr>
                    <w:widowControl/>
                    <w:spacing w:line="440" w:lineRule="exact"/>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highlight w:val="none"/>
                    </w:rPr>
                    <w:t>100 以下</w:t>
                  </w:r>
                </w:p>
              </w:tc>
              <w:tc>
                <w:tcPr>
                  <w:tcW w:w="1725" w:type="dxa"/>
                  <w:tcBorders>
                    <w:top w:val="outset" w:color="F4F4F4" w:sz="6" w:space="0"/>
                    <w:left w:val="outset" w:color="F4F4F4" w:sz="6"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6C1A3ED3">
                  <w:pPr>
                    <w:widowControl/>
                    <w:spacing w:line="4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highlight w:val="none"/>
                    </w:rPr>
                    <w:t>1.5%</w:t>
                  </w:r>
                </w:p>
              </w:tc>
              <w:tc>
                <w:tcPr>
                  <w:tcW w:w="1725" w:type="dxa"/>
                  <w:tcBorders>
                    <w:top w:val="outset" w:color="F4F4F4" w:sz="6" w:space="0"/>
                    <w:left w:val="outset" w:color="F4F4F4" w:sz="6"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7AB07064">
                  <w:pPr>
                    <w:widowControl/>
                    <w:spacing w:line="4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highlight w:val="none"/>
                    </w:rPr>
                    <w:t>1.5%</w:t>
                  </w:r>
                </w:p>
              </w:tc>
              <w:tc>
                <w:tcPr>
                  <w:tcW w:w="1726" w:type="dxa"/>
                  <w:tcBorders>
                    <w:top w:val="outset" w:color="F4F4F4" w:sz="6" w:space="0"/>
                    <w:left w:val="outset" w:color="F4F4F4" w:sz="6"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7E34AD12">
                  <w:pPr>
                    <w:widowControl/>
                    <w:spacing w:line="4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highlight w:val="none"/>
                    </w:rPr>
                    <w:t>1.0%</w:t>
                  </w:r>
                </w:p>
              </w:tc>
            </w:tr>
            <w:tr w14:paraId="635F3940">
              <w:tblPrEx>
                <w:tblCellMar>
                  <w:top w:w="0" w:type="dxa"/>
                  <w:left w:w="0" w:type="dxa"/>
                  <w:bottom w:w="0" w:type="dxa"/>
                  <w:right w:w="0" w:type="dxa"/>
                </w:tblCellMar>
              </w:tblPrEx>
              <w:trPr>
                <w:jc w:val="center"/>
              </w:trPr>
              <w:tc>
                <w:tcPr>
                  <w:tcW w:w="2132" w:type="dxa"/>
                  <w:tcBorders>
                    <w:top w:val="outset" w:color="F4F4F4" w:sz="6"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14:paraId="65C5E82D">
                  <w:pPr>
                    <w:widowControl/>
                    <w:spacing w:line="440" w:lineRule="exact"/>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highlight w:val="none"/>
                    </w:rPr>
                    <w:t>100-500</w:t>
                  </w:r>
                </w:p>
              </w:tc>
              <w:tc>
                <w:tcPr>
                  <w:tcW w:w="1725" w:type="dxa"/>
                  <w:tcBorders>
                    <w:top w:val="outset" w:color="F4F4F4" w:sz="6" w:space="0"/>
                    <w:left w:val="outset" w:color="F4F4F4" w:sz="6"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27903A33">
                  <w:pPr>
                    <w:widowControl/>
                    <w:spacing w:line="4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highlight w:val="none"/>
                    </w:rPr>
                    <w:t>1.1%</w:t>
                  </w:r>
                </w:p>
              </w:tc>
              <w:tc>
                <w:tcPr>
                  <w:tcW w:w="1725" w:type="dxa"/>
                  <w:tcBorders>
                    <w:top w:val="outset" w:color="F4F4F4" w:sz="6" w:space="0"/>
                    <w:left w:val="outset" w:color="F4F4F4" w:sz="6"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2E12DEEB">
                  <w:pPr>
                    <w:widowControl/>
                    <w:spacing w:line="4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highlight w:val="none"/>
                    </w:rPr>
                    <w:t>0.8%</w:t>
                  </w:r>
                </w:p>
              </w:tc>
              <w:tc>
                <w:tcPr>
                  <w:tcW w:w="1726" w:type="dxa"/>
                  <w:tcBorders>
                    <w:top w:val="outset" w:color="F4F4F4" w:sz="6" w:space="0"/>
                    <w:left w:val="outset" w:color="F4F4F4" w:sz="6"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29A173DE">
                  <w:pPr>
                    <w:widowControl/>
                    <w:spacing w:line="4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highlight w:val="none"/>
                    </w:rPr>
                    <w:t>0.7%</w:t>
                  </w:r>
                </w:p>
              </w:tc>
            </w:tr>
            <w:tr w14:paraId="0B4AE63F">
              <w:tblPrEx>
                <w:tblCellMar>
                  <w:top w:w="0" w:type="dxa"/>
                  <w:left w:w="0" w:type="dxa"/>
                  <w:bottom w:w="0" w:type="dxa"/>
                  <w:right w:w="0" w:type="dxa"/>
                </w:tblCellMar>
              </w:tblPrEx>
              <w:trPr>
                <w:jc w:val="center"/>
              </w:trPr>
              <w:tc>
                <w:tcPr>
                  <w:tcW w:w="2132" w:type="dxa"/>
                  <w:tcBorders>
                    <w:top w:val="outset" w:color="F4F4F4" w:sz="6"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14:paraId="3C05A012">
                  <w:pPr>
                    <w:widowControl/>
                    <w:spacing w:line="440" w:lineRule="exact"/>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highlight w:val="none"/>
                    </w:rPr>
                    <w:t>500-1000</w:t>
                  </w:r>
                </w:p>
              </w:tc>
              <w:tc>
                <w:tcPr>
                  <w:tcW w:w="1725" w:type="dxa"/>
                  <w:tcBorders>
                    <w:top w:val="outset" w:color="F4F4F4" w:sz="6" w:space="0"/>
                    <w:left w:val="outset" w:color="F4F4F4" w:sz="6"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1571A6A2">
                  <w:pPr>
                    <w:widowControl/>
                    <w:spacing w:line="4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highlight w:val="none"/>
                    </w:rPr>
                    <w:t>0.8%</w:t>
                  </w:r>
                </w:p>
              </w:tc>
              <w:tc>
                <w:tcPr>
                  <w:tcW w:w="1725" w:type="dxa"/>
                  <w:tcBorders>
                    <w:top w:val="outset" w:color="F4F4F4" w:sz="6" w:space="0"/>
                    <w:left w:val="outset" w:color="F4F4F4" w:sz="6"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3F838B14">
                  <w:pPr>
                    <w:widowControl/>
                    <w:spacing w:line="4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highlight w:val="none"/>
                    </w:rPr>
                    <w:t>0.45%</w:t>
                  </w:r>
                </w:p>
              </w:tc>
              <w:tc>
                <w:tcPr>
                  <w:tcW w:w="1726" w:type="dxa"/>
                  <w:tcBorders>
                    <w:top w:val="outset" w:color="F4F4F4" w:sz="6" w:space="0"/>
                    <w:left w:val="outset" w:color="F4F4F4" w:sz="6"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40A8CEE3">
                  <w:pPr>
                    <w:widowControl/>
                    <w:spacing w:line="4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highlight w:val="none"/>
                    </w:rPr>
                    <w:t>0.55%</w:t>
                  </w:r>
                </w:p>
              </w:tc>
            </w:tr>
          </w:tbl>
          <w:p w14:paraId="29D4D816">
            <w:pPr>
              <w:pStyle w:val="68"/>
              <w:keepNext w:val="0"/>
              <w:keepLines w:val="0"/>
              <w:pageBreakBefore w:val="0"/>
              <w:widowControl w:val="0"/>
              <w:numPr>
                <w:ilvl w:val="0"/>
                <w:numId w:val="0"/>
              </w:numPr>
              <w:kinsoku/>
              <w:wordWrap/>
              <w:overflowPunct/>
              <w:topLinePunct w:val="0"/>
              <w:autoSpaceDE w:val="0"/>
              <w:autoSpaceDN w:val="0"/>
              <w:bidi w:val="0"/>
              <w:adjustRightInd/>
              <w:snapToGrid w:val="0"/>
              <w:spacing w:line="440" w:lineRule="exact"/>
              <w:ind w:leftChars="0"/>
              <w:textAlignment w:val="auto"/>
              <w:rPr>
                <w:rFonts w:hint="default" w:ascii="仿宋" w:hAnsi="仿宋" w:eastAsia="仿宋" w:cs="仿宋"/>
                <w:color w:val="auto"/>
                <w:szCs w:val="24"/>
                <w:highlight w:val="none"/>
                <w:lang w:val="en-US" w:eastAsia="zh-CN"/>
              </w:rPr>
            </w:pPr>
            <w:r>
              <w:rPr>
                <w:rFonts w:hint="eastAsia" w:ascii="仿宋" w:hAnsi="仿宋" w:eastAsia="仿宋" w:cs="仿宋"/>
                <w:color w:val="auto"/>
                <w:kern w:val="0"/>
                <w:sz w:val="24"/>
                <w:highlight w:val="none"/>
                <w:lang w:val="en-US" w:eastAsia="zh-CN"/>
              </w:rPr>
              <w:t>采购</w:t>
            </w:r>
            <w:r>
              <w:rPr>
                <w:rFonts w:hint="eastAsia" w:ascii="仿宋" w:hAnsi="仿宋" w:eastAsia="仿宋" w:cs="仿宋"/>
                <w:color w:val="auto"/>
                <w:kern w:val="0"/>
                <w:sz w:val="24"/>
                <w:highlight w:val="none"/>
              </w:rPr>
              <w:t>代理服务收费按差额定率累进法计算。</w:t>
            </w:r>
          </w:p>
          <w:p w14:paraId="1980671A">
            <w:pPr>
              <w:pStyle w:val="68"/>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2、中标服务费的交纳方式：</w:t>
            </w:r>
          </w:p>
          <w:p w14:paraId="3ACD7AEC">
            <w:pPr>
              <w:pStyle w:val="68"/>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用电汇、现金等付款方式直接交纳中标服务费。</w:t>
            </w:r>
          </w:p>
          <w:p w14:paraId="726828DF">
            <w:pPr>
              <w:pStyle w:val="68"/>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公司名称：浙江明业项目管理有限公司嵊州分公司</w:t>
            </w:r>
          </w:p>
          <w:p w14:paraId="767BB0EE">
            <w:pPr>
              <w:pStyle w:val="68"/>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开户行：中国银行嵊州城东支行</w:t>
            </w:r>
          </w:p>
          <w:p w14:paraId="1D5FE643">
            <w:pPr>
              <w:pStyle w:val="68"/>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Cs w:val="24"/>
                <w:highlight w:val="none"/>
              </w:rPr>
              <w:t>账  号：367 558 339 668</w:t>
            </w:r>
          </w:p>
        </w:tc>
      </w:tr>
      <w:tr w14:paraId="1A0D8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240" w:type="dxa"/>
            <w:gridSpan w:val="3"/>
            <w:vAlign w:val="center"/>
          </w:tcPr>
          <w:p w14:paraId="50E21DB0">
            <w:pPr>
              <w:keepNext w:val="0"/>
              <w:keepLines w:val="0"/>
              <w:pageBreakBefore w:val="0"/>
              <w:widowControl w:val="0"/>
              <w:kinsoku/>
              <w:wordWrap/>
              <w:overflowPunct/>
              <w:topLinePunct w:val="0"/>
              <w:bidi w:val="0"/>
              <w:adjustRightIn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解释：凡涉及本招标文件的解释权属于采购人。</w:t>
            </w:r>
          </w:p>
        </w:tc>
      </w:tr>
      <w:tr w14:paraId="3F26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40" w:type="dxa"/>
            <w:gridSpan w:val="3"/>
            <w:vAlign w:val="center"/>
          </w:tcPr>
          <w:p w14:paraId="5A528936">
            <w:pPr>
              <w:keepNext w:val="0"/>
              <w:keepLines w:val="0"/>
              <w:pageBreakBefore w:val="0"/>
              <w:widowControl w:val="0"/>
              <w:kinsoku/>
              <w:wordWrap/>
              <w:overflowPunct/>
              <w:topLinePunct w:val="0"/>
              <w:bidi w:val="0"/>
              <w:adjustRightIn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注：中标人放弃中标资格或因质疑、投诉被取消中标资格或不能履行合同的，本项目重新组织采购。</w:t>
            </w:r>
          </w:p>
        </w:tc>
      </w:tr>
      <w:bookmarkEnd w:id="26"/>
    </w:tbl>
    <w:p w14:paraId="14B4EA05">
      <w:pPr>
        <w:pageBreakBefore/>
        <w:snapToGrid w:val="0"/>
        <w:spacing w:line="30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一、总则</w:t>
      </w:r>
    </w:p>
    <w:p w14:paraId="01EB85A8">
      <w:pPr>
        <w:keepNext w:val="0"/>
        <w:keepLines w:val="0"/>
        <w:pageBreakBefore w:val="0"/>
        <w:kinsoku/>
        <w:wordWrap/>
        <w:overflowPunct/>
        <w:topLinePunct w:val="0"/>
        <w:autoSpaceDE/>
        <w:autoSpaceDN/>
        <w:bidi w:val="0"/>
        <w:snapToGrid w:val="0"/>
        <w:spacing w:beforeAutospacing="0" w:line="440" w:lineRule="exact"/>
        <w:ind w:left="0" w:leftChars="0" w:firstLine="0" w:firstLineChars="0"/>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1C1A98A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3135C707">
      <w:pPr>
        <w:keepNext w:val="0"/>
        <w:keepLines w:val="0"/>
        <w:pageBreakBefore w:val="0"/>
        <w:kinsoku/>
        <w:wordWrap/>
        <w:overflowPunct/>
        <w:topLinePunct w:val="0"/>
        <w:autoSpaceDE/>
        <w:autoSpaceDN/>
        <w:bidi w:val="0"/>
        <w:adjustRightInd/>
        <w:spacing w:beforeAutospacing="0" w:line="440" w:lineRule="exact"/>
        <w:ind w:left="0" w:leftChars="0" w:firstLine="0" w:firstLineChars="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6F71E1E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3FA9E06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7707941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“投标人”“供应商”系指是指响应招标、参加投标竞争的法人、其他组织或者自然人。</w:t>
      </w:r>
    </w:p>
    <w:p w14:paraId="052D9DA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2.4“监督单位”系指招标公告中载明的本项目的监督管理部门。</w:t>
      </w:r>
    </w:p>
    <w:p w14:paraId="2CEBDA3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 “负责人”系指法人企业的法定负责人，或其他组织为法律、行政法规规定代表单位行使职权的主要负责人，或自然人本人。</w:t>
      </w:r>
    </w:p>
    <w:p w14:paraId="08CF665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3）。</w:t>
      </w:r>
    </w:p>
    <w:p w14:paraId="4755A437">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2.7“电子交易平台”系指本项目采购活动所依托的乐采云平台（https://www.lecaiyun.com/）。</w:t>
      </w:r>
    </w:p>
    <w:p w14:paraId="2DE054B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”系指适用本项目的要求，“☐”系指不适用本项目的要求。</w:t>
      </w:r>
    </w:p>
    <w:p w14:paraId="378FEDAC">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3.采购项目需要落实的采购政策</w:t>
      </w:r>
    </w:p>
    <w:p w14:paraId="339AA597">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监督部门提出申请并获得监督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BEC8A61">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332FC550">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1D5425FD">
      <w:pPr>
        <w:spacing w:line="440" w:lineRule="exact"/>
        <w:rPr>
          <w:rFonts w:hint="eastAsia" w:ascii="仿宋" w:hAnsi="仿宋" w:eastAsia="仿宋" w:cs="仿宋"/>
          <w:b/>
          <w:color w:val="auto"/>
          <w:sz w:val="24"/>
          <w:highlight w:val="none"/>
        </w:rPr>
      </w:pPr>
      <w:r>
        <w:rPr>
          <w:rFonts w:hint="eastAsia" w:ascii="仿宋" w:hAnsi="仿宋" w:eastAsia="仿宋" w:cs="仿宋"/>
          <w:color w:val="auto"/>
          <w:sz w:val="24"/>
          <w:highlight w:val="none"/>
        </w:rPr>
        <w:t>3.2.2</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采购人拟采购的产品属于政府强制采购的节能产品品目清单范围的，投标人未按招标文件要求提供国家确定的认证机构出具的、处于有效期之内的节能产品认证证书，投标无效。</w:t>
      </w:r>
    </w:p>
    <w:p w14:paraId="762CA11B">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3.2.3纳入政府采购管理的修缮、装修类项目采购建材的，采购单位应将绿色建材性能、指标等作为实质性条件纳入采购文件和合同，具体性能指标要求按照相关绿色建材政府采购需求标准执行。</w:t>
      </w:r>
    </w:p>
    <w:p w14:paraId="760B5D42">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3.2.4为助力打好污染防治攻坚战，推广使用绿色包装，采购货物、工程和服务项目中涉及商品包装和快递包装的，供应商提供产品及相关快递服务的具体包装要求要参考《商品包装政府采购需求标准（试行）》、《快递包装政府采购需求标准（试行）》。</w:t>
      </w:r>
    </w:p>
    <w:p w14:paraId="1A2978FC">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4.特别说明：</w:t>
      </w:r>
    </w:p>
    <w:p w14:paraId="4ABBF79E">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4.1供应商投标所使用的资格、信誉、荣誉、业绩与企业认证必须为投标单位所拥有。供应商投标所使用的采购项目实施人员必须为投标单位正式员工。</w:t>
      </w:r>
    </w:p>
    <w:p w14:paraId="678F14D9">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4.2供应商应仔细阅读招标文件的所有内容，按照招标文件的要求提交投标文件，并对所提供的全部资料的真实性承担法律责任。</w:t>
      </w:r>
    </w:p>
    <w:p w14:paraId="319DB68F">
      <w:pPr>
        <w:spacing w:line="440" w:lineRule="exact"/>
        <w:rPr>
          <w:rFonts w:hint="eastAsia" w:ascii="仿宋" w:hAnsi="仿宋" w:eastAsia="仿宋" w:cs="仿宋"/>
          <w:color w:val="auto"/>
          <w:highlight w:val="none"/>
        </w:rPr>
      </w:pPr>
      <w:r>
        <w:rPr>
          <w:rFonts w:hint="eastAsia" w:ascii="仿宋" w:hAnsi="仿宋" w:eastAsia="仿宋" w:cs="仿宋"/>
          <w:color w:val="auto"/>
          <w:sz w:val="24"/>
          <w:highlight w:val="none"/>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355F1DC2">
      <w:pPr>
        <w:keepNext w:val="0"/>
        <w:keepLines w:val="0"/>
        <w:pageBreakBefore w:val="0"/>
        <w:widowControl w:val="0"/>
        <w:kinsoku/>
        <w:wordWrap/>
        <w:overflowPunct/>
        <w:topLinePunct w:val="0"/>
        <w:autoSpaceDE/>
        <w:autoSpaceDN/>
        <w:bidi w:val="0"/>
        <w:adjustRightInd/>
        <w:snapToGrid w:val="0"/>
        <w:spacing w:before="156" w:beforeLines="50" w:after="156" w:afterLines="50" w:line="500" w:lineRule="exact"/>
        <w:jc w:val="center"/>
        <w:textAlignment w:val="auto"/>
        <w:rPr>
          <w:rFonts w:hint="eastAsia" w:ascii="仿宋" w:hAnsi="仿宋" w:eastAsia="仿宋" w:cs="仿宋"/>
          <w:color w:val="auto"/>
          <w:sz w:val="36"/>
          <w:szCs w:val="36"/>
          <w:highlight w:val="none"/>
        </w:rPr>
      </w:pPr>
      <w:r>
        <w:rPr>
          <w:rFonts w:hint="eastAsia" w:ascii="仿宋" w:hAnsi="仿宋" w:eastAsia="仿宋" w:cs="仿宋"/>
          <w:b/>
          <w:color w:val="auto"/>
          <w:sz w:val="36"/>
          <w:szCs w:val="36"/>
          <w:highlight w:val="none"/>
        </w:rPr>
        <w:t>二、招标文件</w:t>
      </w:r>
    </w:p>
    <w:p w14:paraId="363F98DB">
      <w:pPr>
        <w:snapToGrid w:val="0"/>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1．招标方式</w:t>
      </w:r>
    </w:p>
    <w:p w14:paraId="4C6187D4">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本次招标采用</w:t>
      </w:r>
      <w:r>
        <w:rPr>
          <w:rFonts w:hint="eastAsia" w:ascii="仿宋" w:hAnsi="仿宋" w:eastAsia="仿宋" w:cs="仿宋"/>
          <w:b/>
          <w:color w:val="auto"/>
          <w:kern w:val="0"/>
          <w:sz w:val="24"/>
          <w:szCs w:val="24"/>
          <w:highlight w:val="none"/>
        </w:rPr>
        <w:t>公开招标</w:t>
      </w:r>
      <w:r>
        <w:rPr>
          <w:rFonts w:hint="eastAsia" w:ascii="仿宋" w:hAnsi="仿宋" w:eastAsia="仿宋" w:cs="仿宋"/>
          <w:color w:val="auto"/>
          <w:sz w:val="24"/>
          <w:szCs w:val="24"/>
          <w:highlight w:val="none"/>
        </w:rPr>
        <w:t>方式进行。</w:t>
      </w:r>
    </w:p>
    <w:p w14:paraId="2E99DF18">
      <w:pPr>
        <w:snapToGrid w:val="0"/>
        <w:spacing w:line="440" w:lineRule="exact"/>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1.2 如某一标项投标人或实质性响应招标文件的投标人不足三家时，由采购人重新组织招标或按有关规定实施。</w:t>
      </w:r>
    </w:p>
    <w:p w14:paraId="748DDBE5">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 本次招标设定限价，即招标公告中公布的各标项预算金额或最高限价（各标项之间的预算金额不能互相调整）。</w:t>
      </w:r>
    </w:p>
    <w:p w14:paraId="7F331F18">
      <w:pPr>
        <w:pStyle w:val="16"/>
        <w:snapToGrid w:val="0"/>
        <w:spacing w:after="0" w:line="440" w:lineRule="exact"/>
        <w:ind w:left="0" w:leftChars="0" w:firstLine="0"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2.授权委托</w:t>
      </w:r>
    </w:p>
    <w:p w14:paraId="01CB9AB2">
      <w:pPr>
        <w:pStyle w:val="10"/>
        <w:numPr>
          <w:ilvl w:val="0"/>
          <w:numId w:val="0"/>
        </w:numPr>
        <w:spacing w:afterLines="0"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本项目为电子投标项目，投标人的法定代表人或其授权代表或个体工商户不需要参加现场投标和开标。</w:t>
      </w:r>
    </w:p>
    <w:p w14:paraId="3426A4AE">
      <w:pPr>
        <w:snapToGrid w:val="0"/>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 投标费用</w:t>
      </w:r>
    </w:p>
    <w:p w14:paraId="67B05EFE">
      <w:pPr>
        <w:pStyle w:val="10"/>
        <w:numPr>
          <w:ilvl w:val="0"/>
          <w:numId w:val="0"/>
        </w:numPr>
        <w:spacing w:afterLines="0"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投标人应自行承担编制投标文件及参加本次投标所涉及的一切费用。不管投标结果如何，招标人对上述费用不负任何责任。</w:t>
      </w:r>
    </w:p>
    <w:p w14:paraId="1A6EF2CE">
      <w:pPr>
        <w:numPr>
          <w:ilvl w:val="0"/>
          <w:numId w:val="5"/>
        </w:numPr>
        <w:snapToGrid w:val="0"/>
        <w:spacing w:line="44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招标文件的修改</w:t>
      </w:r>
    </w:p>
    <w:p w14:paraId="63863F27">
      <w:pPr>
        <w:numPr>
          <w:ilvl w:val="0"/>
          <w:numId w:val="0"/>
        </w:numPr>
        <w:snapToGrid w:val="0"/>
        <w:spacing w:line="440" w:lineRule="exact"/>
        <w:ind w:firstLine="482"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4.1</w:t>
      </w:r>
      <w:r>
        <w:rPr>
          <w:rFonts w:hint="eastAsia" w:ascii="仿宋" w:hAnsi="仿宋" w:eastAsia="仿宋" w:cs="仿宋"/>
          <w:color w:val="auto"/>
          <w:sz w:val="24"/>
          <w:szCs w:val="24"/>
          <w:highlight w:val="none"/>
          <w:lang w:val="en-US" w:eastAsia="zh-CN"/>
        </w:rPr>
        <w:t>招标文件包括本招标文件及所有的招标答疑记录（澄清、修改）和发出的补充通知。</w:t>
      </w:r>
    </w:p>
    <w:p w14:paraId="4881BBEE">
      <w:pPr>
        <w:numPr>
          <w:ilvl w:val="0"/>
          <w:numId w:val="0"/>
        </w:numPr>
        <w:snapToGrid w:val="0"/>
        <w:spacing w:line="440" w:lineRule="exact"/>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4.2招标文件的澄清  </w:t>
      </w:r>
    </w:p>
    <w:p w14:paraId="6F46D8A3">
      <w:pPr>
        <w:numPr>
          <w:ilvl w:val="0"/>
          <w:numId w:val="0"/>
        </w:numPr>
        <w:snapToGrid w:val="0"/>
        <w:spacing w:line="440" w:lineRule="exact"/>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对招标文件如有疑点要求澄清，可用书面形式（包括并不仅限于纸质、信件和数据电文(包括电报、电传、传真、电子数据交换和电子邮件）等通知招标人，但通知不得迟于开标前7日使招标人收到，招标人将予以答复。如有必要，可将不说明来源的答复发给所有投标人。</w:t>
      </w:r>
    </w:p>
    <w:p w14:paraId="1EC3BD1A">
      <w:pPr>
        <w:pStyle w:val="10"/>
        <w:keepNext w:val="0"/>
        <w:keepLines w:val="0"/>
        <w:pageBreakBefore w:val="0"/>
        <w:widowControl w:val="0"/>
        <w:numPr>
          <w:ilvl w:val="0"/>
          <w:numId w:val="0"/>
        </w:numPr>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4.3招标文件的修改</w:t>
      </w:r>
    </w:p>
    <w:p w14:paraId="7504CF8D">
      <w:pPr>
        <w:pStyle w:val="10"/>
        <w:keepNext w:val="0"/>
        <w:keepLines w:val="0"/>
        <w:pageBreakBefore w:val="0"/>
        <w:widowControl w:val="0"/>
        <w:numPr>
          <w:ilvl w:val="0"/>
          <w:numId w:val="0"/>
        </w:numPr>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4.3.1在投标截止时间前，招标人有权修改招标文件，</w:t>
      </w:r>
      <w:r>
        <w:rPr>
          <w:rFonts w:hint="eastAsia" w:ascii="仿宋" w:hAnsi="仿宋" w:eastAsia="仿宋" w:cs="仿宋"/>
          <w:color w:val="auto"/>
          <w:kern w:val="2"/>
          <w:sz w:val="24"/>
          <w:szCs w:val="24"/>
          <w:highlight w:val="none"/>
          <w:lang w:val="en-US" w:eastAsia="zh-CN" w:bidi="ar-SA"/>
        </w:rPr>
        <w:t>将会在发布招标公告的网站上发布更正公告。澄清或者修改的内容可能影响投标文件编制的，更正公告在提交投标截止时间至少15日前发出；不足15日的，采购人应当顺延提交投标文件的截止时间。</w:t>
      </w:r>
    </w:p>
    <w:p w14:paraId="324B4CDD">
      <w:pPr>
        <w:pStyle w:val="10"/>
        <w:keepNext w:val="0"/>
        <w:keepLines w:val="0"/>
        <w:pageBreakBefore w:val="0"/>
        <w:widowControl w:val="0"/>
        <w:numPr>
          <w:ilvl w:val="0"/>
          <w:numId w:val="0"/>
        </w:numPr>
        <w:kinsoku/>
        <w:wordWrap/>
        <w:overflowPunct/>
        <w:topLinePunct w:val="0"/>
        <w:autoSpaceDE/>
        <w:autoSpaceDN/>
        <w:bidi w:val="0"/>
        <w:adjustRightInd/>
        <w:spacing w:line="480" w:lineRule="exact"/>
        <w:ind w:leftChars="-200" w:firstLine="960" w:firstLineChars="4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4.3.2</w:t>
      </w:r>
      <w:r>
        <w:rPr>
          <w:rFonts w:hint="eastAsia" w:ascii="仿宋" w:hAnsi="仿宋" w:eastAsia="仿宋" w:cs="仿宋"/>
          <w:color w:val="auto"/>
          <w:kern w:val="2"/>
          <w:sz w:val="24"/>
          <w:szCs w:val="24"/>
          <w:highlight w:val="none"/>
          <w:lang w:val="en-US" w:eastAsia="zh-CN" w:bidi="ar-SA"/>
        </w:rPr>
        <w:t>更正公告为招标文件的组成部分，一经在网站发布，视同已通知所有招标文件的收受人，不再采用其它方式传达相关信息, 若因未能及时了解到上述网站上发布的相关信息而导致的一切后果自行承担。</w:t>
      </w:r>
    </w:p>
    <w:p w14:paraId="316DB7AA">
      <w:pPr>
        <w:snapToGrid w:val="0"/>
        <w:spacing w:line="800" w:lineRule="exact"/>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三、投标文件</w:t>
      </w:r>
    </w:p>
    <w:p w14:paraId="6F01AA7C">
      <w:pPr>
        <w:numPr>
          <w:ilvl w:val="0"/>
          <w:numId w:val="6"/>
        </w:numPr>
        <w:snapToGrid w:val="0"/>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投标文件的语言、计量单位、形式及效力</w:t>
      </w:r>
    </w:p>
    <w:p w14:paraId="47C8B3A3">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1.1投标人应仔细阅读招标文件中的所有内容，按照招标文件要求，详细编制投标文件，并保证投标文件的正确性和真实性。</w:t>
      </w:r>
    </w:p>
    <w:p w14:paraId="2FC38926">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投标文件以及投标方与招标方就有关投标事宜的所有来往函电，均应以中文书写（技术术语除外）。</w:t>
      </w:r>
    </w:p>
    <w:p w14:paraId="14BAD671">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 投标计量单位，除招标文件中有特殊要求外，应采用中华人民共和国法定计量单位，货币单位：人民币元。</w:t>
      </w:r>
    </w:p>
    <w:p w14:paraId="28DFDF3B">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1.4不按招标文件的要求提供的投标文件可能导致被拒绝。</w:t>
      </w:r>
    </w:p>
    <w:p w14:paraId="2AA30E20">
      <w:pPr>
        <w:snapToGrid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1.5投标文件的形式和效力</w:t>
      </w:r>
    </w:p>
    <w:p w14:paraId="1C9FC6AB">
      <w:pPr>
        <w:snapToGrid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1.5.1投标文件为电子投标文件，电子投标文件按“</w:t>
      </w:r>
      <w:r>
        <w:rPr>
          <w:rFonts w:hint="eastAsia" w:ascii="仿宋" w:hAnsi="仿宋" w:eastAsia="仿宋" w:cs="仿宋"/>
          <w:b/>
          <w:color w:val="auto"/>
          <w:sz w:val="24"/>
          <w:szCs w:val="24"/>
          <w:highlight w:val="none"/>
          <w:lang w:val="en-US" w:eastAsia="zh-CN"/>
        </w:rPr>
        <w:t>乐</w:t>
      </w:r>
      <w:r>
        <w:rPr>
          <w:rFonts w:hint="eastAsia" w:ascii="仿宋" w:hAnsi="仿宋" w:eastAsia="仿宋" w:cs="仿宋"/>
          <w:b/>
          <w:color w:val="auto"/>
          <w:sz w:val="24"/>
          <w:szCs w:val="24"/>
          <w:highlight w:val="none"/>
        </w:rPr>
        <w:t>采云供应商项目采购-电子招投标操作指南”及本招标文件要求制作、加密传输。</w:t>
      </w:r>
    </w:p>
    <w:p w14:paraId="4339F548">
      <w:pPr>
        <w:snapToGrid w:val="0"/>
        <w:spacing w:line="440" w:lineRule="exact"/>
        <w:ind w:firstLine="482" w:firstLineChars="200"/>
        <w:jc w:val="left"/>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u w:val="single"/>
        </w:rPr>
        <w:t>1.5.2投标文件的效力：</w:t>
      </w:r>
    </w:p>
    <w:p w14:paraId="06CE9AEB">
      <w:pPr>
        <w:snapToGrid w:val="0"/>
        <w:spacing w:line="440" w:lineRule="exact"/>
        <w:ind w:firstLine="472" w:firstLineChars="196"/>
        <w:jc w:val="left"/>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u w:val="single"/>
        </w:rPr>
        <w:t>投标文件未在投标截止时间前完成传输的，视为投标文件撤回；投标文件未按时解密，亦视为投标文件撤回。</w:t>
      </w:r>
    </w:p>
    <w:p w14:paraId="526142F8">
      <w:pPr>
        <w:snapToGrid w:val="0"/>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投标文件的组成</w:t>
      </w:r>
    </w:p>
    <w:p w14:paraId="2C2CCEA2">
      <w:pPr>
        <w:keepNext w:val="0"/>
        <w:keepLines w:val="0"/>
        <w:pageBreakBefore w:val="0"/>
        <w:widowControl w:val="0"/>
        <w:kinsoku/>
        <w:wordWrap/>
        <w:overflowPunct/>
        <w:topLinePunct w:val="0"/>
        <w:autoSpaceDE/>
        <w:autoSpaceDN/>
        <w:bidi w:val="0"/>
        <w:spacing w:line="48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投标文件由</w:t>
      </w:r>
      <w:r>
        <w:rPr>
          <w:rFonts w:hint="eastAsia" w:ascii="仿宋" w:hAnsi="仿宋" w:eastAsia="仿宋" w:cs="仿宋"/>
          <w:b/>
          <w:bCs/>
          <w:color w:val="auto"/>
          <w:sz w:val="24"/>
          <w:szCs w:val="24"/>
          <w:highlight w:val="none"/>
          <w:lang w:eastAsia="zh-CN"/>
        </w:rPr>
        <w:t>“资格文件”、</w:t>
      </w:r>
      <w:r>
        <w:rPr>
          <w:rFonts w:hint="eastAsia" w:ascii="仿宋" w:hAnsi="仿宋" w:eastAsia="仿宋" w:cs="仿宋"/>
          <w:b/>
          <w:bCs/>
          <w:color w:val="auto"/>
          <w:sz w:val="24"/>
          <w:szCs w:val="24"/>
          <w:highlight w:val="none"/>
        </w:rPr>
        <w:t>“商务技术文件资料”、“报价文件资料”</w:t>
      </w:r>
      <w:r>
        <w:rPr>
          <w:rFonts w:hint="eastAsia" w:ascii="仿宋" w:hAnsi="仿宋" w:eastAsia="仿宋" w:cs="仿宋"/>
          <w:b/>
          <w:bCs/>
          <w:color w:val="auto"/>
          <w:sz w:val="24"/>
          <w:szCs w:val="24"/>
          <w:highlight w:val="none"/>
          <w:lang w:eastAsia="zh-CN"/>
        </w:rPr>
        <w:t>三</w:t>
      </w:r>
      <w:r>
        <w:rPr>
          <w:rFonts w:hint="eastAsia" w:ascii="仿宋" w:hAnsi="仿宋" w:eastAsia="仿宋" w:cs="仿宋"/>
          <w:b/>
          <w:bCs/>
          <w:color w:val="auto"/>
          <w:sz w:val="24"/>
          <w:szCs w:val="24"/>
          <w:highlight w:val="none"/>
        </w:rPr>
        <w:t>部分组成，其中电子投标文件中所须加盖公章部分均应采用电子签章。</w:t>
      </w:r>
    </w:p>
    <w:p w14:paraId="31715AB2">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zh-CN"/>
        </w:rPr>
        <w:t>.1资格文件：</w:t>
      </w:r>
    </w:p>
    <w:p w14:paraId="72ED419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2.1.1</w:t>
      </w:r>
      <w:r>
        <w:rPr>
          <w:rFonts w:hint="eastAsia" w:ascii="仿宋" w:hAnsi="仿宋" w:eastAsia="仿宋" w:cs="仿宋"/>
          <w:color w:val="auto"/>
          <w:kern w:val="0"/>
          <w:sz w:val="24"/>
          <w:szCs w:val="24"/>
          <w:highlight w:val="none"/>
          <w:lang w:eastAsia="zh-CN"/>
        </w:rPr>
        <w:t>营业执照扫描件</w:t>
      </w:r>
    </w:p>
    <w:p w14:paraId="1A63B25C">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2.1.2</w:t>
      </w:r>
      <w:r>
        <w:rPr>
          <w:rFonts w:hint="eastAsia" w:ascii="仿宋" w:hAnsi="仿宋" w:eastAsia="仿宋" w:cs="仿宋"/>
          <w:color w:val="auto"/>
          <w:kern w:val="0"/>
          <w:sz w:val="24"/>
          <w:szCs w:val="24"/>
          <w:highlight w:val="none"/>
          <w:lang w:val="zh-CN"/>
        </w:rPr>
        <w:t>符合参加采购活动应当具备的一般条件的承诺函</w:t>
      </w:r>
    </w:p>
    <w:p w14:paraId="5CB6018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0"/>
          <w:sz w:val="24"/>
          <w:szCs w:val="24"/>
          <w:highlight w:val="none"/>
          <w:lang w:val="en-US" w:eastAsia="zh-CN"/>
        </w:rPr>
        <w:t>2.1.3</w:t>
      </w:r>
      <w:r>
        <w:rPr>
          <w:rFonts w:hint="eastAsia" w:ascii="仿宋" w:hAnsi="仿宋" w:eastAsia="仿宋" w:cs="仿宋"/>
          <w:color w:val="auto"/>
          <w:sz w:val="24"/>
          <w:szCs w:val="24"/>
          <w:highlight w:val="none"/>
        </w:rPr>
        <w:t>特定资格要求需提供的证明材料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若有）</w:t>
      </w:r>
    </w:p>
    <w:p w14:paraId="119BE2AF">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color w:val="auto"/>
          <w:highlight w:val="none"/>
          <w:lang w:val="zh-CN"/>
        </w:rPr>
      </w:pPr>
      <w:r>
        <w:rPr>
          <w:rFonts w:hint="eastAsia" w:ascii="仿宋" w:hAnsi="仿宋" w:eastAsia="仿宋" w:cs="仿宋"/>
          <w:b/>
          <w:color w:val="auto"/>
          <w:sz w:val="24"/>
          <w:szCs w:val="24"/>
          <w:highlight w:val="none"/>
          <w:lang w:val="zh-CN"/>
        </w:rPr>
        <w:t>2.</w:t>
      </w:r>
      <w:r>
        <w:rPr>
          <w:rFonts w:hint="eastAsia" w:ascii="仿宋" w:hAnsi="仿宋" w:eastAsia="仿宋" w:cs="仿宋"/>
          <w:b/>
          <w:color w:val="auto"/>
          <w:sz w:val="24"/>
          <w:szCs w:val="24"/>
          <w:highlight w:val="none"/>
        </w:rPr>
        <w:t>2商务技术</w:t>
      </w:r>
      <w:r>
        <w:rPr>
          <w:rFonts w:hint="eastAsia" w:ascii="仿宋" w:hAnsi="仿宋" w:eastAsia="仿宋" w:cs="仿宋"/>
          <w:b/>
          <w:color w:val="auto"/>
          <w:sz w:val="24"/>
          <w:szCs w:val="24"/>
          <w:highlight w:val="none"/>
          <w:lang w:val="zh-CN"/>
        </w:rPr>
        <w:t>文件：</w:t>
      </w:r>
    </w:p>
    <w:p w14:paraId="6C851B9B">
      <w:pPr>
        <w:keepNext w:val="0"/>
        <w:keepLines w:val="0"/>
        <w:pageBreakBefore w:val="0"/>
        <w:widowControl w:val="0"/>
        <w:kinsoku/>
        <w:wordWrap/>
        <w:overflowPunct/>
        <w:topLinePunct w:val="0"/>
        <w:autoSpaceDE/>
        <w:autoSpaceDN/>
        <w:bidi w:val="0"/>
        <w:adjustRightInd w:val="0"/>
        <w:snapToGrid w:val="0"/>
        <w:spacing w:line="46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函；</w:t>
      </w:r>
    </w:p>
    <w:p w14:paraId="58CB0DE3">
      <w:pPr>
        <w:keepNext w:val="0"/>
        <w:keepLines w:val="0"/>
        <w:pageBreakBefore w:val="0"/>
        <w:widowControl w:val="0"/>
        <w:kinsoku/>
        <w:wordWrap/>
        <w:overflowPunct/>
        <w:topLinePunct w:val="0"/>
        <w:bidi w:val="0"/>
        <w:adjustRightInd w:val="0"/>
        <w:snapToGrid w:val="0"/>
        <w:spacing w:line="46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法定代表人身份证明书；</w:t>
      </w:r>
    </w:p>
    <w:p w14:paraId="3D4EB77B">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2.2.3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kern w:val="2"/>
          <w:sz w:val="24"/>
          <w:szCs w:val="24"/>
          <w:highlight w:val="none"/>
          <w:lang w:val="en-US" w:eastAsia="zh-CN" w:bidi="ar-SA"/>
        </w:rPr>
        <w:t>法定代表人授权委托书及授权代表社保证明（若委托）</w:t>
      </w:r>
      <w:r>
        <w:rPr>
          <w:rFonts w:hint="eastAsia" w:ascii="仿宋" w:hAnsi="仿宋" w:eastAsia="仿宋" w:cs="仿宋"/>
          <w:color w:val="auto"/>
          <w:sz w:val="24"/>
          <w:szCs w:val="24"/>
          <w:highlight w:val="none"/>
          <w:lang w:eastAsia="zh-CN"/>
        </w:rPr>
        <w:t>；</w:t>
      </w:r>
    </w:p>
    <w:p w14:paraId="2837D23D">
      <w:pPr>
        <w:pStyle w:val="3"/>
        <w:ind w:left="0" w:leftChars="0" w:firstLine="720" w:firstLineChars="300"/>
        <w:rPr>
          <w:rFonts w:hint="default"/>
          <w:color w:val="auto"/>
          <w:highlight w:val="none"/>
          <w:lang w:val="en-US" w:eastAsia="zh-CN"/>
        </w:rPr>
      </w:pPr>
      <w:r>
        <w:rPr>
          <w:rFonts w:hint="eastAsia" w:ascii="仿宋" w:hAnsi="仿宋" w:eastAsia="仿宋" w:cs="仿宋"/>
          <w:color w:val="auto"/>
          <w:kern w:val="2"/>
          <w:sz w:val="24"/>
          <w:szCs w:val="24"/>
          <w:highlight w:val="none"/>
          <w:lang w:val="en-US" w:eastAsia="zh-CN" w:bidi="ar-SA"/>
        </w:rPr>
        <w:t>2.2.4法定代表人及其授权代表身份证复印件（正反面）；</w:t>
      </w:r>
    </w:p>
    <w:p w14:paraId="6B2F28B1">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2.2.</w:t>
      </w:r>
      <w:r>
        <w:rPr>
          <w:rFonts w:hint="eastAsia" w:ascii="仿宋" w:hAnsi="仿宋" w:eastAsia="仿宋" w:cs="仿宋"/>
          <w:color w:val="auto"/>
          <w:sz w:val="24"/>
          <w:szCs w:val="24"/>
          <w:highlight w:val="none"/>
          <w:lang w:val="en-US" w:eastAsia="zh-CN"/>
        </w:rPr>
        <w:t>5 评分索引表；</w:t>
      </w:r>
    </w:p>
    <w:p w14:paraId="26839DBE">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2.2.6 商务响应表；</w:t>
      </w:r>
    </w:p>
    <w:p w14:paraId="3FE43C74">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2.2.7 采购供应商廉洁自律承诺书；</w:t>
      </w:r>
    </w:p>
    <w:p w14:paraId="58006B5C">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2.2.8 偿付能力</w:t>
      </w:r>
      <w:r>
        <w:rPr>
          <w:rFonts w:hint="eastAsia" w:ascii="仿宋" w:hAnsi="仿宋" w:eastAsia="仿宋" w:cs="仿宋"/>
          <w:color w:val="auto"/>
          <w:kern w:val="2"/>
          <w:sz w:val="24"/>
          <w:szCs w:val="24"/>
          <w:highlight w:val="none"/>
          <w:lang w:val="en-US" w:eastAsia="zh-CN" w:bidi="ar"/>
        </w:rPr>
        <w:t>；</w:t>
      </w:r>
    </w:p>
    <w:p w14:paraId="240C2A5F">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2.2.9 保险消费投诉情况；</w:t>
      </w:r>
    </w:p>
    <w:p w14:paraId="69948EF3">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2.2.10经营评级情况；</w:t>
      </w:r>
    </w:p>
    <w:p w14:paraId="3B8EB776">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2.2.11 服务渠道；</w:t>
      </w:r>
    </w:p>
    <w:p w14:paraId="79D93090">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sz w:val="24"/>
          <w:szCs w:val="24"/>
          <w:highlight w:val="none"/>
          <w:lang w:val="en-US" w:eastAsia="zh-CN"/>
        </w:rPr>
        <w:t xml:space="preserve">2.2.12 </w:t>
      </w:r>
      <w:r>
        <w:rPr>
          <w:rFonts w:hint="eastAsia" w:ascii="仿宋" w:hAnsi="仿宋" w:eastAsia="仿宋" w:cs="仿宋"/>
          <w:color w:val="auto"/>
          <w:kern w:val="2"/>
          <w:sz w:val="24"/>
          <w:szCs w:val="24"/>
          <w:highlight w:val="none"/>
          <w:lang w:val="en-US" w:eastAsia="zh-CN" w:bidi="ar-SA"/>
        </w:rPr>
        <w:t>整体理赔服务方案</w:t>
      </w:r>
    </w:p>
    <w:p w14:paraId="1EE3491E">
      <w:pPr>
        <w:pStyle w:val="42"/>
        <w:keepNext w:val="0"/>
        <w:keepLines w:val="0"/>
        <w:pageBreakBefore w:val="0"/>
        <w:widowControl w:val="0"/>
        <w:kinsoku/>
        <w:wordWrap/>
        <w:overflowPunct/>
        <w:topLinePunct w:val="0"/>
        <w:bidi w:val="0"/>
        <w:adjustRightInd w:val="0"/>
        <w:spacing w:beforeLines="0" w:afterLines="0" w:line="460" w:lineRule="exact"/>
        <w:ind w:firstLine="720" w:firstLineChars="300"/>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 xml:space="preserve">2.2.13 </w:t>
      </w:r>
      <w:r>
        <w:rPr>
          <w:rFonts w:hint="eastAsia" w:ascii="仿宋" w:hAnsi="仿宋" w:eastAsia="仿宋" w:cs="仿宋"/>
          <w:color w:val="auto"/>
          <w:kern w:val="2"/>
          <w:sz w:val="24"/>
          <w:szCs w:val="24"/>
          <w:highlight w:val="none"/>
          <w:lang w:val="en-US" w:eastAsia="zh-CN" w:bidi="ar-SA"/>
        </w:rPr>
        <w:t>服务团队</w:t>
      </w:r>
    </w:p>
    <w:p w14:paraId="36A2D343">
      <w:pPr>
        <w:pStyle w:val="42"/>
        <w:keepNext w:val="0"/>
        <w:keepLines w:val="0"/>
        <w:pageBreakBefore w:val="0"/>
        <w:widowControl w:val="0"/>
        <w:kinsoku/>
        <w:wordWrap/>
        <w:overflowPunct/>
        <w:topLinePunct w:val="0"/>
        <w:bidi w:val="0"/>
        <w:adjustRightInd w:val="0"/>
        <w:spacing w:beforeLines="0" w:afterLines="0" w:line="460" w:lineRule="exact"/>
        <w:ind w:firstLine="720" w:firstLineChars="3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
        </w:rPr>
        <w:t xml:space="preserve">2.2.14 </w:t>
      </w:r>
      <w:r>
        <w:rPr>
          <w:rFonts w:hint="eastAsia" w:ascii="仿宋" w:hAnsi="仿宋" w:eastAsia="仿宋" w:cs="仿宋"/>
          <w:color w:val="auto"/>
          <w:kern w:val="2"/>
          <w:sz w:val="24"/>
          <w:szCs w:val="24"/>
          <w:highlight w:val="none"/>
          <w:lang w:val="en-US" w:eastAsia="zh-CN" w:bidi="ar-SA"/>
        </w:rPr>
        <w:t>设备配置</w:t>
      </w:r>
    </w:p>
    <w:p w14:paraId="50DD71B4">
      <w:pPr>
        <w:pStyle w:val="42"/>
        <w:keepNext w:val="0"/>
        <w:keepLines w:val="0"/>
        <w:pageBreakBefore w:val="0"/>
        <w:widowControl w:val="0"/>
        <w:kinsoku/>
        <w:wordWrap/>
        <w:overflowPunct/>
        <w:topLinePunct w:val="0"/>
        <w:bidi w:val="0"/>
        <w:adjustRightInd w:val="0"/>
        <w:spacing w:beforeLines="0" w:afterLines="0" w:line="460" w:lineRule="exact"/>
        <w:ind w:firstLine="720" w:firstLineChars="3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2.2.15 增值服务</w:t>
      </w:r>
    </w:p>
    <w:p w14:paraId="28F582B1">
      <w:pPr>
        <w:pStyle w:val="42"/>
        <w:keepNext w:val="0"/>
        <w:keepLines w:val="0"/>
        <w:pageBreakBefore w:val="0"/>
        <w:widowControl w:val="0"/>
        <w:kinsoku/>
        <w:wordWrap/>
        <w:overflowPunct/>
        <w:topLinePunct w:val="0"/>
        <w:bidi w:val="0"/>
        <w:adjustRightInd w:val="0"/>
        <w:spacing w:beforeLines="0" w:afterLines="0" w:line="460" w:lineRule="exact"/>
        <w:ind w:firstLine="720" w:firstLineChars="3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2.2.16 突发情况应急预案</w:t>
      </w:r>
    </w:p>
    <w:p w14:paraId="4FF44DB1">
      <w:pPr>
        <w:pStyle w:val="42"/>
        <w:keepNext w:val="0"/>
        <w:keepLines w:val="0"/>
        <w:pageBreakBefore w:val="0"/>
        <w:widowControl w:val="0"/>
        <w:kinsoku/>
        <w:wordWrap/>
        <w:overflowPunct/>
        <w:topLinePunct w:val="0"/>
        <w:bidi w:val="0"/>
        <w:adjustRightInd w:val="0"/>
        <w:spacing w:beforeLines="0" w:afterLines="0" w:line="460" w:lineRule="exact"/>
        <w:ind w:firstLine="720" w:firstLineChars="3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2.2.17 内控方案</w:t>
      </w:r>
    </w:p>
    <w:p w14:paraId="61D076F0">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2.2.18 投标人认为需要说明的其他文件和说明（若有）。</w:t>
      </w:r>
    </w:p>
    <w:p w14:paraId="33DD7CA1">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bCs/>
          <w:i w:val="0"/>
          <w:iCs w:val="0"/>
          <w:color w:val="auto"/>
          <w:kern w:val="2"/>
          <w:sz w:val="24"/>
          <w:szCs w:val="24"/>
          <w:highlight w:val="none"/>
          <w:vertAlign w:val="baseline"/>
          <w:lang w:val="zh-CN" w:eastAsia="zh-CN" w:bidi="ar-SA"/>
        </w:rPr>
        <w:t xml:space="preserve">2.3报价文件： </w:t>
      </w:r>
    </w:p>
    <w:p w14:paraId="070CD110">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2.3.1开标一览表（报价表）；</w:t>
      </w:r>
    </w:p>
    <w:p w14:paraId="1E743E88">
      <w:pPr>
        <w:pStyle w:val="42"/>
        <w:ind w:firstLine="720"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2.3.2 </w:t>
      </w:r>
      <w:r>
        <w:rPr>
          <w:rFonts w:hint="eastAsia" w:ascii="仿宋" w:hAnsi="仿宋" w:eastAsia="仿宋" w:cs="仿宋"/>
          <w:color w:val="auto"/>
          <w:highlight w:val="none"/>
        </w:rPr>
        <w:t>投标人针对报价需要说明的其他文件和说明</w:t>
      </w:r>
      <w:r>
        <w:rPr>
          <w:rFonts w:hint="eastAsia" w:ascii="仿宋" w:hAnsi="仿宋" w:eastAsia="仿宋" w:cs="仿宋"/>
          <w:color w:val="auto"/>
          <w:highlight w:val="none"/>
          <w:lang w:eastAsia="zh-CN"/>
        </w:rPr>
        <w:t>。</w:t>
      </w:r>
    </w:p>
    <w:p w14:paraId="45C1A716">
      <w:pPr>
        <w:keepNext w:val="0"/>
        <w:keepLines w:val="0"/>
        <w:pageBreakBefore w:val="0"/>
        <w:widowControl w:val="0"/>
        <w:kinsoku/>
        <w:wordWrap/>
        <w:overflowPunct/>
        <w:topLinePunct w:val="0"/>
        <w:autoSpaceDE/>
        <w:autoSpaceDN/>
        <w:bidi w:val="0"/>
        <w:adjustRightInd w:val="0"/>
        <w:snapToGrid w:val="0"/>
        <w:spacing w:beforeAutospacing="0" w:line="460" w:lineRule="exact"/>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3. 投标报价</w:t>
      </w:r>
    </w:p>
    <w:p w14:paraId="66F83D57">
      <w:pPr>
        <w:pStyle w:val="18"/>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3.1投标人应按招标文件中《开标一览表》等附表要求填写。</w:t>
      </w:r>
    </w:p>
    <w:p w14:paraId="146C9CC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3.2报价包括本次项目实施的物资、设备、劳务、管理、材料、交通费、保险、利润、税金、政策性收费以及实施本项目所需的其他一切费用，投标人应列入而未列入其中的费用及招标代理服务费均包含在总价之中，均视为已包含在内，风险由投标人承担。</w:t>
      </w:r>
    </w:p>
    <w:p w14:paraId="7889772E">
      <w:pPr>
        <w:pStyle w:val="18"/>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3.3招标文件未列明，而投标人认为必需的费用也需列入报价。</w:t>
      </w:r>
    </w:p>
    <w:p w14:paraId="3BDD227A">
      <w:pPr>
        <w:tabs>
          <w:tab w:val="left" w:pos="525"/>
        </w:tabs>
        <w:spacing w:line="440" w:lineRule="exact"/>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bCs/>
          <w:color w:val="auto"/>
          <w:kern w:val="2"/>
          <w:sz w:val="24"/>
          <w:szCs w:val="24"/>
          <w:highlight w:val="none"/>
          <w:lang w:val="en-US" w:eastAsia="zh-CN" w:bidi="ar-SA"/>
        </w:rPr>
        <w:t>3.4投标报价只允许有一个报价，有选择的报价将不予接受（除指定外）。</w:t>
      </w:r>
    </w:p>
    <w:p w14:paraId="43E1FCB3">
      <w:pPr>
        <w:pStyle w:val="15"/>
        <w:autoSpaceDE/>
        <w:autoSpaceDN/>
        <w:snapToGrid w:val="0"/>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4.</w:t>
      </w:r>
      <w:r>
        <w:rPr>
          <w:rFonts w:hint="eastAsia" w:ascii="仿宋" w:hAnsi="仿宋" w:eastAsia="仿宋" w:cs="仿宋"/>
          <w:b/>
          <w:color w:val="auto"/>
          <w:sz w:val="24"/>
          <w:szCs w:val="24"/>
          <w:highlight w:val="none"/>
        </w:rPr>
        <w:t>投标文件的编制和签署</w:t>
      </w:r>
    </w:p>
    <w:p w14:paraId="528747B9">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88EC83D">
      <w:pPr>
        <w:snapToGrid w:val="0"/>
        <w:spacing w:line="440" w:lineRule="exact"/>
        <w:ind w:firstLine="480" w:firstLineChars="2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.2投标人进行电子投标应安装客户端软件—“乐采云电子交易客户端”，并按照招标文件和电子交易平台的要求编制并加密投标文件。投标人未按规定加密的投标文件，电子交易平台将拒收并提示。</w:t>
      </w:r>
    </w:p>
    <w:p w14:paraId="13D9164A">
      <w:pPr>
        <w:snapToGrid w:val="0"/>
        <w:spacing w:line="440" w:lineRule="exact"/>
        <w:ind w:firstLine="480" w:firstLineChars="2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.3使用“乐采云电子交易客户端”需要提前申领CA数字证书，申领流程请自行前往“乐采云平台-下载专区-电子交易客户端-CA驱动和申领流程”进行查阅。</w:t>
      </w:r>
    </w:p>
    <w:p w14:paraId="5277F71F">
      <w:pPr>
        <w:snapToGrid w:val="0"/>
        <w:spacing w:line="440" w:lineRule="exact"/>
        <w:ind w:firstLine="480" w:firstLineChars="2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4.4</w:t>
      </w:r>
      <w:r>
        <w:rPr>
          <w:rFonts w:hint="eastAsia" w:ascii="仿宋" w:hAnsi="仿宋" w:eastAsia="仿宋" w:cs="仿宋"/>
          <w:color w:val="auto"/>
          <w:sz w:val="24"/>
          <w:szCs w:val="24"/>
          <w:highlight w:val="none"/>
          <w:lang w:val="zh-CN"/>
        </w:rPr>
        <w:t>投标文件按照招标文件第六部分格式要求进行签署、盖章。投标人的投标文件未按照招标文件要求签署、盖章的，其投标无效。</w:t>
      </w:r>
    </w:p>
    <w:p w14:paraId="5CEABEDC">
      <w:pPr>
        <w:snapToGrid w:val="0"/>
        <w:spacing w:line="440" w:lineRule="exact"/>
        <w:ind w:firstLine="480" w:firstLineChars="2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4.5</w:t>
      </w:r>
      <w:r>
        <w:rPr>
          <w:rFonts w:hint="eastAsia" w:ascii="仿宋" w:hAnsi="仿宋" w:eastAsia="仿宋" w:cs="仿宋"/>
          <w:color w:val="auto"/>
          <w:sz w:val="24"/>
          <w:szCs w:val="24"/>
          <w:highlight w:val="none"/>
          <w:lang w:val="zh-CN"/>
        </w:rPr>
        <w:t>为确保网上操作合法、有效和安全，投标人应当在投标截止时间前完成在“乐采云平台”的身份认证，确保在电子投标过程中能够对相关数据电文进行加密和使用电子签名。</w:t>
      </w:r>
    </w:p>
    <w:p w14:paraId="14EE77C4">
      <w:pPr>
        <w:snapToGrid w:val="0"/>
        <w:spacing w:line="440" w:lineRule="exact"/>
        <w:ind w:firstLine="480" w:firstLineChars="2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4.6</w:t>
      </w:r>
      <w:r>
        <w:rPr>
          <w:rFonts w:hint="eastAsia" w:ascii="仿宋" w:hAnsi="仿宋" w:eastAsia="仿宋" w:cs="仿宋"/>
          <w:color w:val="auto"/>
          <w:sz w:val="24"/>
          <w:szCs w:val="24"/>
          <w:highlight w:val="none"/>
          <w:lang w:val="zh-CN"/>
        </w:rPr>
        <w:t>招标文件对投标文件签署、盖章的要求适用于电子签名。</w:t>
      </w:r>
    </w:p>
    <w:p w14:paraId="4960A8A7">
      <w:pPr>
        <w:pStyle w:val="110"/>
        <w:spacing w:before="0" w:line="440" w:lineRule="exact"/>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 投标文件的提交、补充、修改、撤回</w:t>
      </w:r>
    </w:p>
    <w:p w14:paraId="5EF14F81">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1A351CB">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5.2电子交易平台收到投标文件，将妥善保存并即时向供应商发出确认回执通知。在投标截止时间前，除供应商补充、修改或者撤回投标文件外，任何单位和个人不得解密或提取投标文件。</w:t>
      </w:r>
    </w:p>
    <w:p w14:paraId="41F42031">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5.3采购人、采购代理机构可以视情况延长投标文件提交的截止时间。在上述情况下，采购代理机构与投标人以前在投标截止期方面的全部权利、责任和义务，将适用于延长至新的投标截止期。</w:t>
      </w:r>
    </w:p>
    <w:p w14:paraId="7E5374F6">
      <w:pPr>
        <w:spacing w:line="440" w:lineRule="exac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6.投标有效期</w:t>
      </w:r>
    </w:p>
    <w:p w14:paraId="186CB035">
      <w:pPr>
        <w:snapToGrid w:val="0"/>
        <w:spacing w:line="440" w:lineRule="exact"/>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6.1投标有效期为从提交投标文件的截止之日起90天。投标人的投标文件中承诺的投标有效期少于招标文件中载明的投标有效期的，投标无效。</w:t>
      </w:r>
    </w:p>
    <w:p w14:paraId="0AC15D4B">
      <w:pPr>
        <w:snapToGrid w:val="0"/>
        <w:spacing w:line="440" w:lineRule="exact"/>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6.2投标文件合格投递后，自投标截止日期起，在投标有效期内有效。</w:t>
      </w:r>
    </w:p>
    <w:p w14:paraId="5154D419">
      <w:pPr>
        <w:pStyle w:val="110"/>
        <w:spacing w:before="0" w:line="440" w:lineRule="exact"/>
        <w:ind w:firstLine="48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6.3在原定投标有效期满之前，如果出现特殊情况，采购代理机构可以以书面形式通知投标人延长投标有效期。投标人同意延长的，不得要求或被允许修改其投标文件，投标人拒绝延长的，其投标无效。</w:t>
      </w:r>
    </w:p>
    <w:p w14:paraId="2F018627">
      <w:pPr>
        <w:keepNext w:val="0"/>
        <w:keepLines w:val="0"/>
        <w:pageBreakBefore w:val="0"/>
        <w:widowControl w:val="0"/>
        <w:kinsoku/>
        <w:wordWrap/>
        <w:overflowPunct/>
        <w:topLinePunct w:val="0"/>
        <w:autoSpaceDE/>
        <w:autoSpaceDN/>
        <w:bidi w:val="0"/>
        <w:adjustRightInd/>
        <w:spacing w:line="640" w:lineRule="exact"/>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四、开标和评标</w:t>
      </w:r>
    </w:p>
    <w:p w14:paraId="59CEC1AC">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1．电子招投标开标及评审程序</w:t>
      </w:r>
    </w:p>
    <w:p w14:paraId="49C279B2">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1.1投标截止时间后，主持人宣布开标会开始。</w:t>
      </w:r>
    </w:p>
    <w:p w14:paraId="54C3C288">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1.2投标人登录乐采云平台，用“项目采购-开标评标”功能对电子投标文件进行在线解密。在线解密电子投标文件时间为开标时间起30分钟内。</w:t>
      </w:r>
    </w:p>
    <w:p w14:paraId="241478FD">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1.3评标委员会对资格和商务技术响应文件进行评审。</w:t>
      </w:r>
    </w:p>
    <w:p w14:paraId="52BE96EF">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1.4主持人宣布商务技术得分及无效（废）投标情形（如有），公布经商务技术（资信）评审符合招标文件要求的投标人名单及其商务技术得分。</w:t>
      </w:r>
    </w:p>
    <w:p w14:paraId="57148FF9">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1.5启封报价文件资料，主持人宣读投标人名称、投标价格和投标文件的其他内容。未宣读的投标报价和招标文件未允许提供的备选投标方案等实质性内容，评标时不予承认。</w:t>
      </w:r>
    </w:p>
    <w:p w14:paraId="1C993C16">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1.6评标委员会对投标文件报价文件资料进行评审，核准投标报价及计算价格分，汇总商务技术分、价格分，根据得分排序确定中标候选人。</w:t>
      </w:r>
    </w:p>
    <w:p w14:paraId="567ECF49">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1.7主持人公布评标结果。</w:t>
      </w:r>
    </w:p>
    <w:p w14:paraId="471FC322">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特别说明：乐采云公司如对电子化开标及评审程序有调整的，按调整后的程序操作。</w:t>
      </w:r>
    </w:p>
    <w:p w14:paraId="15A7E8F8">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2.采购过程中出现以下情形，导致电子交易平台无法正常运行，或者无法保证电子交易的公平、公正和安全时，采购组织机构可中止电子交易活动：</w:t>
      </w:r>
    </w:p>
    <w:p w14:paraId="0D5126F0">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2.1电子交易平台发生故障而无法登录访问的； </w:t>
      </w:r>
    </w:p>
    <w:p w14:paraId="3B335373">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2.2电子交易平台应用或数据库出现错误，不能进行正常操作的；</w:t>
      </w:r>
    </w:p>
    <w:p w14:paraId="7B5F743A">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2.3电子交易平台发现严重安全漏洞，有潜在泄密危险的；</w:t>
      </w:r>
    </w:p>
    <w:p w14:paraId="4F5406C0">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2.4病毒发作导致不能进行正常操作的； </w:t>
      </w:r>
    </w:p>
    <w:p w14:paraId="3154AA6E">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2.5其他无法保证电子交易的公平、公正和安全的情况。</w:t>
      </w:r>
    </w:p>
    <w:p w14:paraId="4766B0DC">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0483B03C">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3．评标</w:t>
      </w:r>
    </w:p>
    <w:p w14:paraId="70762490">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3.1评标委员会由招标采购单位依法组建，负责评标活动。评标委员会遵循公开、公平、公正、科学合理、竞争择优的原则。</w:t>
      </w:r>
    </w:p>
    <w:p w14:paraId="2B9717B2">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3.2评标委员会由采购人代表和有关方面的专家组成，成员人数为</w:t>
      </w:r>
      <w:r>
        <w:rPr>
          <w:rFonts w:hint="eastAsia" w:ascii="仿宋" w:hAnsi="仿宋" w:eastAsia="仿宋" w:cs="仿宋"/>
          <w:color w:val="auto"/>
          <w:sz w:val="24"/>
          <w:highlight w:val="none"/>
          <w:u w:val="single"/>
        </w:rPr>
        <w:t>五</w:t>
      </w:r>
      <w:r>
        <w:rPr>
          <w:rFonts w:hint="eastAsia" w:ascii="仿宋" w:hAnsi="仿宋" w:eastAsia="仿宋" w:cs="仿宋"/>
          <w:color w:val="auto"/>
          <w:sz w:val="24"/>
          <w:highlight w:val="none"/>
        </w:rPr>
        <w:t>人以上单数。</w:t>
      </w:r>
    </w:p>
    <w:p w14:paraId="3EB7961E">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3.3评标委员会负责对投标人资格的最终审定。</w:t>
      </w:r>
    </w:p>
    <w:p w14:paraId="68E76C27">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3.4评标委员会可以要求投标人对其投标文件中含义不明确的内容作必要的澄清或者说明，但澄清或者说明不得超过投标文件的范围或者改变投标文件的实质性内容。</w:t>
      </w:r>
    </w:p>
    <w:p w14:paraId="6CD7E056">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评审中需要供应商对投标、响应文件作出澄清、说明或者补正的，评标委员会和供应商应当通过乐采云平台交换数据电文。给予供应商提交澄清说明或补正的时间不少于半小时，供应商已经明确表示澄清说明或补正完毕的除外。</w:t>
      </w:r>
    </w:p>
    <w:p w14:paraId="02E383F8">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供应商通过乐采云平台交换的数据电文必须进行电子签章。</w:t>
      </w:r>
    </w:p>
    <w:p w14:paraId="6DA58913">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08FBEBBD">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3.6评标委员会对投标文件的判定，只依据投标文件和招标文件内容本身，不依据任何外来证明。</w:t>
      </w:r>
    </w:p>
    <w:p w14:paraId="7D6544AF">
      <w:pPr>
        <w:snapToGrid w:val="0"/>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3.7评标委员会不向落标方解释落标的原因。</w:t>
      </w:r>
    </w:p>
    <w:p w14:paraId="67D7CF54">
      <w:pPr>
        <w:snapToGrid w:val="0"/>
        <w:spacing w:line="48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4．投标文件的初审鉴定</w:t>
      </w:r>
    </w:p>
    <w:p w14:paraId="4BB884E6">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4.1资格性审查</w:t>
      </w:r>
    </w:p>
    <w:p w14:paraId="4C26FB43">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4.1.1依据法律、法规和招标文件规定，采购人或采购人代表对投标人进行资格审查，以确定投标人是否具备投标资格。</w:t>
      </w:r>
    </w:p>
    <w:p w14:paraId="290A0178">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4.2符合性审查</w:t>
      </w:r>
    </w:p>
    <w:p w14:paraId="68E70DA1">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4E6E57A4">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4.3如果投标文件实质不响应招标文件的各项要求，评标委员会将予以拒绝，并且不允许投标人通过修改或撤销其不符合要求的差异或保留，使之成为具有实质性响应的投标。</w:t>
      </w:r>
    </w:p>
    <w:p w14:paraId="1922C1FC">
      <w:pPr>
        <w:spacing w:line="48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 xml:space="preserve">5. </w:t>
      </w:r>
      <w:r>
        <w:rPr>
          <w:rFonts w:hint="eastAsia" w:ascii="仿宋" w:hAnsi="仿宋" w:eastAsia="仿宋" w:cs="仿宋"/>
          <w:b/>
          <w:color w:val="auto"/>
          <w:sz w:val="24"/>
          <w:szCs w:val="24"/>
          <w:highlight w:val="none"/>
        </w:rPr>
        <w:t>投标文件报价出现前后不一致的，按照下列规定修正：</w:t>
      </w:r>
    </w:p>
    <w:p w14:paraId="403CD6AE">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5.1投标文件中开标一览表（报价表）内容与投标文件中相应内容不一致的，以开标一览表（报价表）为准；</w:t>
      </w:r>
    </w:p>
    <w:p w14:paraId="28305103">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5.2大写金额和小写金额不一致的，以大写金额为准；</w:t>
      </w:r>
    </w:p>
    <w:p w14:paraId="5ADB2BE8">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5.3单价金额小数点或者百分比有明显错位的，以开标一览表的总价为准，并修改单价；</w:t>
      </w:r>
    </w:p>
    <w:p w14:paraId="29796D0A">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5.4总价金额与按单价汇总金额不一致的，以单价金额计算结果为准。</w:t>
      </w:r>
    </w:p>
    <w:p w14:paraId="4A0B98DD">
      <w:pPr>
        <w:spacing w:line="44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同时出现两种以上不一致的，按照前款规定的顺序修正。</w:t>
      </w:r>
      <w:r>
        <w:rPr>
          <w:rFonts w:hint="eastAsia" w:ascii="仿宋" w:hAnsi="仿宋" w:eastAsia="仿宋" w:cs="仿宋"/>
          <w:bCs/>
          <w:color w:val="auto"/>
          <w:sz w:val="24"/>
          <w:szCs w:val="24"/>
          <w:highlight w:val="none"/>
        </w:rPr>
        <w:t>修正后的报价</w:t>
      </w:r>
      <w:r>
        <w:rPr>
          <w:rFonts w:hint="eastAsia" w:ascii="仿宋" w:hAnsi="仿宋" w:eastAsia="仿宋" w:cs="仿宋"/>
          <w:bCs/>
          <w:color w:val="auto"/>
          <w:sz w:val="24"/>
          <w:szCs w:val="24"/>
          <w:highlight w:val="none"/>
          <w:lang w:val="en-US" w:eastAsia="zh-CN"/>
        </w:rPr>
        <w:t>参</w:t>
      </w:r>
      <w:r>
        <w:rPr>
          <w:rFonts w:hint="eastAsia" w:ascii="仿宋" w:hAnsi="仿宋" w:eastAsia="仿宋" w:cs="仿宋"/>
          <w:bCs/>
          <w:color w:val="auto"/>
          <w:sz w:val="24"/>
          <w:szCs w:val="24"/>
          <w:highlight w:val="none"/>
        </w:rPr>
        <w:t>照财政部公布第87号令《政府采购货物和服务招标投标管理办法》</w:t>
      </w:r>
      <w:r>
        <w:rPr>
          <w:rFonts w:hint="eastAsia" w:ascii="仿宋" w:hAnsi="仿宋" w:eastAsia="仿宋" w:cs="仿宋"/>
          <w:color w:val="auto"/>
          <w:sz w:val="24"/>
          <w:szCs w:val="24"/>
          <w:highlight w:val="none"/>
        </w:rPr>
        <w:t>第五十一条第二款的规定经投标人确认后产生约束力，投标人不确认的，其投标无效。</w:t>
      </w:r>
    </w:p>
    <w:p w14:paraId="2B853849">
      <w:pPr>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6.投标文件的评审、比较和否决</w:t>
      </w:r>
    </w:p>
    <w:p w14:paraId="2177F0D9">
      <w:pPr>
        <w:spacing w:line="4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6.1评标委员会将对在实质上响应招标文件要求的投标文件进行评估和比较。</w:t>
      </w:r>
    </w:p>
    <w:p w14:paraId="523A05B9">
      <w:pPr>
        <w:spacing w:line="4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6.2在评审过程中，评标委员会可以书面形式要求投标人就投标文件含义不明确的内容可对其通过</w:t>
      </w:r>
      <w:r>
        <w:rPr>
          <w:rFonts w:hint="eastAsia" w:ascii="仿宋" w:hAnsi="仿宋" w:eastAsia="仿宋" w:cs="仿宋"/>
          <w:color w:val="auto"/>
          <w:sz w:val="24"/>
          <w:szCs w:val="24"/>
          <w:highlight w:val="none"/>
          <w:lang w:val="en-US" w:eastAsia="zh-CN"/>
        </w:rPr>
        <w:t>乐</w:t>
      </w:r>
      <w:r>
        <w:rPr>
          <w:rFonts w:hint="eastAsia" w:ascii="仿宋" w:hAnsi="仿宋" w:eastAsia="仿宋" w:cs="仿宋"/>
          <w:color w:val="auto"/>
          <w:sz w:val="24"/>
          <w:szCs w:val="24"/>
          <w:highlight w:val="none"/>
        </w:rPr>
        <w:t>采云平台进行书面说明并提供相关材料，但不得超过投标文件的范围或者改变投标文件的实质性内容。</w:t>
      </w:r>
    </w:p>
    <w:p w14:paraId="55019AAC">
      <w:pPr>
        <w:spacing w:line="4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6.3在评标过程中，如发现与招标文件要求相偏离的，评标委员会可对其偏离情形进行必要的核实。</w:t>
      </w:r>
    </w:p>
    <w:p w14:paraId="5BC0C2B7">
      <w:pPr>
        <w:spacing w:line="4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6.4在评审过程中，如属于实质性偏离或符合无效响应条件的，应当询问相关投标人，并可对其通过</w:t>
      </w:r>
      <w:r>
        <w:rPr>
          <w:rFonts w:hint="eastAsia" w:ascii="仿宋" w:hAnsi="仿宋" w:eastAsia="仿宋" w:cs="仿宋"/>
          <w:color w:val="auto"/>
          <w:sz w:val="24"/>
          <w:szCs w:val="24"/>
          <w:highlight w:val="none"/>
          <w:lang w:val="en-US" w:eastAsia="zh-CN"/>
        </w:rPr>
        <w:t>乐</w:t>
      </w:r>
      <w:r>
        <w:rPr>
          <w:rFonts w:hint="eastAsia" w:ascii="仿宋" w:hAnsi="仿宋" w:eastAsia="仿宋" w:cs="仿宋"/>
          <w:color w:val="auto"/>
          <w:sz w:val="24"/>
          <w:szCs w:val="24"/>
          <w:highlight w:val="none"/>
        </w:rPr>
        <w:t>采云平台进行线上确认，但不允许对偏离条款进行补充、修正或撤回。</w:t>
      </w:r>
    </w:p>
    <w:p w14:paraId="12A8AE39">
      <w:pPr>
        <w:spacing w:line="4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6.5比较与评价。评标委员会应当按照评标标准，对符合性审查合格的投标文件进行商务和技术评估，综合比较与评价。</w:t>
      </w:r>
    </w:p>
    <w:p w14:paraId="4C68B483">
      <w:pPr>
        <w:spacing w:line="4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6.6汇总（商务技术得分情况）。评标委员会各成员应当独立对每个投标人的商务技术（资信）文件进行评价，并汇总商务技术得分情况。</w:t>
      </w:r>
    </w:p>
    <w:p w14:paraId="13A2C03F">
      <w:pPr>
        <w:spacing w:line="4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6.7 报价审核。对符合采购需求且通过商务技术（资信）评审的投标人的报价的合理性、准确性等进行审查核实。</w:t>
      </w:r>
    </w:p>
    <w:p w14:paraId="1E8E2F91">
      <w:pPr>
        <w:spacing w:line="4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6.7.1评标委员会认为投标人的报价明显低于其他通过符合性审查投标人的报价，有可能影响产品质量或者不能诚信履约的，应当要求其在评标现场合理的时间内通过</w:t>
      </w:r>
      <w:r>
        <w:rPr>
          <w:rFonts w:hint="eastAsia" w:ascii="仿宋" w:hAnsi="仿宋" w:eastAsia="仿宋" w:cs="仿宋"/>
          <w:color w:val="auto"/>
          <w:sz w:val="24"/>
          <w:szCs w:val="24"/>
          <w:highlight w:val="none"/>
          <w:lang w:val="en-US" w:eastAsia="zh-CN"/>
        </w:rPr>
        <w:t>乐</w:t>
      </w:r>
      <w:r>
        <w:rPr>
          <w:rFonts w:hint="eastAsia" w:ascii="仿宋" w:hAnsi="仿宋" w:eastAsia="仿宋" w:cs="仿宋"/>
          <w:color w:val="auto"/>
          <w:sz w:val="24"/>
          <w:szCs w:val="24"/>
          <w:highlight w:val="none"/>
        </w:rPr>
        <w:t>采云平台提供线上说明，必要时提交相关证明材料。</w:t>
      </w:r>
    </w:p>
    <w:p w14:paraId="52E7E921">
      <w:pPr>
        <w:spacing w:line="4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6.7.3如需投标价格修正，</w:t>
      </w:r>
      <w:r>
        <w:rPr>
          <w:rFonts w:hint="eastAsia" w:ascii="仿宋" w:hAnsi="仿宋" w:eastAsia="仿宋" w:cs="仿宋"/>
          <w:color w:val="auto"/>
          <w:sz w:val="24"/>
          <w:szCs w:val="24"/>
          <w:highlight w:val="none"/>
          <w:lang w:val="en-US" w:eastAsia="zh-CN"/>
        </w:rPr>
        <w:t>参照</w:t>
      </w:r>
      <w:r>
        <w:rPr>
          <w:rFonts w:hint="eastAsia" w:ascii="仿宋" w:hAnsi="仿宋" w:eastAsia="仿宋" w:cs="仿宋"/>
          <w:color w:val="auto"/>
          <w:sz w:val="24"/>
          <w:szCs w:val="24"/>
          <w:highlight w:val="none"/>
        </w:rPr>
        <w:t>财政部87号令第五十九条的规定对投标价格进行修正。</w:t>
      </w:r>
    </w:p>
    <w:p w14:paraId="57EC1441">
      <w:pPr>
        <w:spacing w:line="4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6.8评标委员会依据招标文件规定的评标标准和方法，对投标文件进行评审和比较后，向</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提供书面评标报告，并按得分高低排序推荐中标候选供应商。</w:t>
      </w:r>
    </w:p>
    <w:p w14:paraId="7DD47993">
      <w:pPr>
        <w:pStyle w:val="10"/>
        <w:widowControl w:val="0"/>
        <w:numPr>
          <w:ilvl w:val="0"/>
          <w:numId w:val="0"/>
        </w:numPr>
        <w:spacing w:afterLines="0" w:line="440" w:lineRule="exact"/>
        <w:ind w:leftChars="-20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7.投标文件的澄清</w:t>
      </w:r>
    </w:p>
    <w:p w14:paraId="7FE50166">
      <w:pPr>
        <w:pStyle w:val="10"/>
        <w:widowControl w:val="0"/>
        <w:numPr>
          <w:ilvl w:val="0"/>
          <w:numId w:val="0"/>
        </w:numPr>
        <w:spacing w:afterLines="0"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26B24952">
      <w:pPr>
        <w:pStyle w:val="18"/>
        <w:snapToGrid w:val="0"/>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8.无效投标的情形</w:t>
      </w:r>
    </w:p>
    <w:p w14:paraId="72904670">
      <w:pPr>
        <w:tabs>
          <w:tab w:val="left" w:pos="4085"/>
        </w:tabs>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投标文件有下列情形之一的作无效投标处理：</w:t>
      </w:r>
    </w:p>
    <w:p w14:paraId="6933B5B5">
      <w:pPr>
        <w:snapToGrid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8.1未按照招标文件规定要求电子签章、签字或盖章的；</w:t>
      </w:r>
    </w:p>
    <w:p w14:paraId="21BB999C">
      <w:pPr>
        <w:snapToGrid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8.2单位负责人为同一人或者存在直接控股、管理关系的不同供应商参加同一合同项下的采购活动的（均无效）；</w:t>
      </w:r>
    </w:p>
    <w:p w14:paraId="1DC7F65C">
      <w:pPr>
        <w:snapToGrid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8.3为采购项目提供整体设计、规范编制或者项目管理、监理、检测等服务的供应商参加该采购项目的其他采购活动的； </w:t>
      </w:r>
    </w:p>
    <w:p w14:paraId="4EC738CE">
      <w:pPr>
        <w:snapToGrid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8.4投标人不具备招标文件中规定的资格要求的（投标人未提供有效的资格证明文件的，视为投标人不具备招标文件中规定的资格要求）；</w:t>
      </w:r>
    </w:p>
    <w:p w14:paraId="130AAE0A">
      <w:pPr>
        <w:snapToGrid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8.5《法定代表人身份证明书》与提供的身份证复印件信息不符的；《法定代表人授权委托书》与提供的身份证复印件信息不符的；</w:t>
      </w:r>
    </w:p>
    <w:p w14:paraId="172313B7">
      <w:pPr>
        <w:snapToGrid w:val="0"/>
        <w:spacing w:line="44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8.6《法定代表人授权委托书》或《法定代表人身份证明书》填写不全、错误、未电子签章(《法定代表人授权委托书》要求“电子签章”和“签字或盖章”缺一不可）的；</w:t>
      </w:r>
    </w:p>
    <w:p w14:paraId="5137E976">
      <w:pPr>
        <w:snapToGrid w:val="0"/>
        <w:spacing w:line="44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8.7授权代表非投标单位正式职工的（以社保证明为准，如授权代表为离退休返聘人员的，需提供退休证明及单位聘用证明），法定代表人及个体工商户除外；</w:t>
      </w:r>
    </w:p>
    <w:p w14:paraId="2F58526E">
      <w:pPr>
        <w:tabs>
          <w:tab w:val="left" w:pos="3870"/>
          <w:tab w:val="left" w:pos="4085"/>
        </w:tabs>
        <w:snapToGrid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8.8投标文件中的投标函无投标人的电子签章或填写不全的；</w:t>
      </w:r>
    </w:p>
    <w:p w14:paraId="271A12EA">
      <w:pPr>
        <w:tabs>
          <w:tab w:val="left" w:pos="3870"/>
          <w:tab w:val="left" w:pos="4085"/>
        </w:tabs>
        <w:snapToGrid w:val="0"/>
        <w:spacing w:line="44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8.9报</w:t>
      </w:r>
      <w:r>
        <w:rPr>
          <w:rFonts w:hint="eastAsia" w:ascii="仿宋" w:hAnsi="仿宋" w:eastAsia="仿宋" w:cs="仿宋"/>
          <w:b/>
          <w:color w:val="auto"/>
          <w:sz w:val="24"/>
          <w:szCs w:val="24"/>
          <w:highlight w:val="none"/>
        </w:rPr>
        <w:t>价一经涂改，未在涂改处加盖投标单位公章或者未经法定代表人或其授权代表签字或盖章的；</w:t>
      </w:r>
    </w:p>
    <w:p w14:paraId="3723CF00">
      <w:pPr>
        <w:tabs>
          <w:tab w:val="left" w:pos="3870"/>
          <w:tab w:val="left" w:pos="4085"/>
        </w:tabs>
        <w:snapToGrid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8.10</w:t>
      </w:r>
      <w:r>
        <w:rPr>
          <w:rFonts w:hint="eastAsia" w:ascii="仿宋" w:hAnsi="仿宋" w:eastAsia="仿宋" w:cs="仿宋"/>
          <w:b/>
          <w:color w:val="auto"/>
          <w:sz w:val="24"/>
          <w:szCs w:val="24"/>
          <w:highlight w:val="none"/>
        </w:rPr>
        <w:t>未按招标文件规定的格式填写，或对招标服务或技术或产品等要求未详细应答或应答内容不全、有缺失的,经评标委员会认定为无法评审的；</w:t>
      </w:r>
    </w:p>
    <w:p w14:paraId="3C5DCF13">
      <w:pPr>
        <w:pStyle w:val="18"/>
        <w:snapToGrid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8.11出现同一标的物或本次招标产品(服务)内的主要产品(重要组成部分)出现商务技术（资信）文件资料、报价文件资料描述不一致或前后描述不一致，经评标委员会认定后为无法评审的；</w:t>
      </w:r>
    </w:p>
    <w:p w14:paraId="7685E996">
      <w:pPr>
        <w:pStyle w:val="18"/>
        <w:snapToGrid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8.12《技术偏离说明表》不真实填写或弄虚作假的；</w:t>
      </w:r>
    </w:p>
    <w:p w14:paraId="0DE2DF22">
      <w:pPr>
        <w:tabs>
          <w:tab w:val="left" w:pos="3870"/>
          <w:tab w:val="left" w:pos="4085"/>
        </w:tabs>
        <w:snapToGrid w:val="0"/>
        <w:spacing w:line="44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sz w:val="24"/>
          <w:szCs w:val="24"/>
          <w:highlight w:val="none"/>
        </w:rPr>
        <w:t>8.13投</w:t>
      </w:r>
      <w:r>
        <w:rPr>
          <w:rFonts w:hint="eastAsia" w:ascii="仿宋" w:hAnsi="仿宋" w:eastAsia="仿宋" w:cs="仿宋"/>
          <w:b/>
          <w:color w:val="auto"/>
          <w:kern w:val="0"/>
          <w:sz w:val="24"/>
          <w:szCs w:val="24"/>
          <w:highlight w:val="none"/>
        </w:rPr>
        <w:t>标文件含有采购人不能接受的附加条件；</w:t>
      </w:r>
    </w:p>
    <w:p w14:paraId="17373FB6">
      <w:pPr>
        <w:tabs>
          <w:tab w:val="left" w:pos="3870"/>
          <w:tab w:val="left" w:pos="4085"/>
        </w:tabs>
        <w:snapToGrid w:val="0"/>
        <w:spacing w:line="44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8.14评</w:t>
      </w:r>
      <w:r>
        <w:rPr>
          <w:rFonts w:hint="eastAsia" w:ascii="仿宋" w:hAnsi="仿宋" w:eastAsia="仿宋" w:cs="仿宋"/>
          <w:b/>
          <w:color w:val="auto"/>
          <w:sz w:val="24"/>
          <w:szCs w:val="24"/>
          <w:highlight w:val="none"/>
        </w:rPr>
        <w:t>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14:paraId="53774B81">
      <w:pPr>
        <w:tabs>
          <w:tab w:val="left" w:pos="3870"/>
          <w:tab w:val="left" w:pos="4085"/>
        </w:tabs>
        <w:snapToGrid w:val="0"/>
        <w:spacing w:line="440" w:lineRule="exact"/>
        <w:ind w:firstLine="482" w:firstLineChars="200"/>
        <w:jc w:val="left"/>
        <w:rPr>
          <w:rFonts w:hint="default" w:ascii="仿宋" w:hAnsi="仿宋" w:eastAsia="仿宋" w:cs="仿宋"/>
          <w:b/>
          <w:bCs w:val="0"/>
          <w:color w:val="auto"/>
          <w:sz w:val="24"/>
          <w:szCs w:val="24"/>
          <w:highlight w:val="none"/>
          <w:lang w:val="en-US"/>
        </w:rPr>
      </w:pPr>
      <w:r>
        <w:rPr>
          <w:rFonts w:hint="eastAsia" w:ascii="仿宋" w:hAnsi="仿宋" w:eastAsia="仿宋" w:cs="仿宋"/>
          <w:b/>
          <w:color w:val="auto"/>
          <w:sz w:val="24"/>
          <w:szCs w:val="24"/>
          <w:highlight w:val="none"/>
        </w:rPr>
        <w:t>8.15报价超过招标文件中规定的预算金额或最高限价的；</w:t>
      </w:r>
      <w:r>
        <w:rPr>
          <w:rFonts w:hint="eastAsia" w:ascii="仿宋" w:hAnsi="仿宋" w:eastAsia="仿宋" w:cs="仿宋"/>
          <w:b/>
          <w:bCs w:val="0"/>
          <w:color w:val="auto"/>
          <w:sz w:val="24"/>
          <w:szCs w:val="24"/>
          <w:highlight w:val="none"/>
          <w:lang w:val="en-US" w:eastAsia="zh-CN"/>
        </w:rPr>
        <w:t>燃油车辆报价</w:t>
      </w:r>
      <w:r>
        <w:rPr>
          <w:rFonts w:hint="eastAsia" w:ascii="仿宋" w:hAnsi="仿宋" w:eastAsia="仿宋" w:cs="仿宋"/>
          <w:b/>
          <w:bCs w:val="0"/>
          <w:iCs/>
          <w:color w:val="auto"/>
          <w:sz w:val="24"/>
          <w:highlight w:val="none"/>
          <w:lang w:val="en-US" w:eastAsia="zh-CN"/>
        </w:rPr>
        <w:t>低于</w:t>
      </w:r>
      <w:r>
        <w:rPr>
          <w:rFonts w:hint="eastAsia" w:ascii="仿宋" w:hAnsi="仿宋" w:eastAsia="仿宋" w:cs="仿宋"/>
          <w:b/>
          <w:bCs w:val="0"/>
          <w:color w:val="auto"/>
          <w:sz w:val="24"/>
          <w:szCs w:val="24"/>
          <w:highlight w:val="none"/>
          <w:lang w:val="en-US" w:eastAsia="zh-CN"/>
        </w:rPr>
        <w:t>浙江省行业监管最低折扣系数</w:t>
      </w:r>
      <w:r>
        <w:rPr>
          <w:rFonts w:hint="eastAsia" w:ascii="仿宋" w:hAnsi="仿宋" w:eastAsia="仿宋" w:cs="仿宋"/>
          <w:b/>
          <w:bCs w:val="0"/>
          <w:iCs/>
          <w:color w:val="auto"/>
          <w:sz w:val="24"/>
          <w:highlight w:val="none"/>
          <w:lang w:val="en-US" w:eastAsia="zh-CN"/>
        </w:rPr>
        <w:t>的；</w:t>
      </w:r>
    </w:p>
    <w:p w14:paraId="648AE494">
      <w:pPr>
        <w:tabs>
          <w:tab w:val="left" w:pos="3870"/>
          <w:tab w:val="left" w:pos="4085"/>
        </w:tabs>
        <w:snapToGrid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8.16投标文件“商务技术（资信）文件资料”部分中出现《开标一览表》相关内容的；</w:t>
      </w:r>
    </w:p>
    <w:p w14:paraId="014B5B46">
      <w:pPr>
        <w:tabs>
          <w:tab w:val="left" w:pos="3870"/>
          <w:tab w:val="left" w:pos="4085"/>
        </w:tabs>
        <w:snapToGrid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8.17采购人拟采购的产品属于政府强制采购的节能产品品目清单范围的，投标人未按招标文件要求提供国家确定的认证机构出具的、处于有效期之内的节能产品认证证书的；</w:t>
      </w:r>
    </w:p>
    <w:p w14:paraId="4F942822">
      <w:pPr>
        <w:tabs>
          <w:tab w:val="left" w:pos="3870"/>
          <w:tab w:val="left" w:pos="4085"/>
        </w:tabs>
        <w:snapToGrid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8.18《开标一览表》填写不完整或字迹不能辨认或有漏项的，经评标委员会认定属于重大偏差的；</w:t>
      </w:r>
    </w:p>
    <w:p w14:paraId="4E5DE4B8">
      <w:pPr>
        <w:tabs>
          <w:tab w:val="left" w:pos="3870"/>
          <w:tab w:val="left" w:pos="4085"/>
        </w:tabs>
        <w:snapToGrid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8.19投标人对根据修正原则修正后的报价不确认的；</w:t>
      </w:r>
    </w:p>
    <w:p w14:paraId="190EE8BA">
      <w:pPr>
        <w:tabs>
          <w:tab w:val="left" w:pos="3870"/>
          <w:tab w:val="left" w:pos="4085"/>
        </w:tabs>
        <w:snapToGrid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8.20投标人提供虚假材料投标的（包括但不限于以下情节）；</w:t>
      </w:r>
    </w:p>
    <w:p w14:paraId="41CF9272">
      <w:pPr>
        <w:tabs>
          <w:tab w:val="left" w:pos="3870"/>
          <w:tab w:val="left" w:pos="4085"/>
        </w:tabs>
        <w:snapToGrid w:val="0"/>
        <w:spacing w:line="440" w:lineRule="exact"/>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8.20.1使用伪造、变造的许可证件；</w:t>
      </w:r>
    </w:p>
    <w:p w14:paraId="7236E48A">
      <w:pPr>
        <w:tabs>
          <w:tab w:val="left" w:pos="3870"/>
          <w:tab w:val="left" w:pos="4085"/>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8.20.2提供虚假的财务状况或者业绩；</w:t>
      </w:r>
    </w:p>
    <w:p w14:paraId="193D2EE5">
      <w:pPr>
        <w:tabs>
          <w:tab w:val="left" w:pos="3870"/>
          <w:tab w:val="left" w:pos="4085"/>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8.20.3提供虚假的项目负责人或者主要技术人员简历、劳动关系证明；</w:t>
      </w:r>
    </w:p>
    <w:p w14:paraId="5E682840">
      <w:pPr>
        <w:tabs>
          <w:tab w:val="left" w:pos="3870"/>
          <w:tab w:val="left" w:pos="4085"/>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8.20.4提供虚假的信用状况；</w:t>
      </w:r>
    </w:p>
    <w:p w14:paraId="3C608CF5">
      <w:pPr>
        <w:tabs>
          <w:tab w:val="left" w:pos="3870"/>
          <w:tab w:val="left" w:pos="4085"/>
        </w:tabs>
        <w:snapToGrid w:val="0"/>
        <w:spacing w:line="44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8.20.5其他弄虚作假的行为。</w:t>
      </w:r>
    </w:p>
    <w:p w14:paraId="0E972C72">
      <w:pPr>
        <w:tabs>
          <w:tab w:val="left" w:pos="3870"/>
          <w:tab w:val="left" w:pos="4085"/>
        </w:tabs>
        <w:snapToGrid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8.21下列情形之一的，视为投标人串通投标，其投标无效：</w:t>
      </w:r>
    </w:p>
    <w:p w14:paraId="25656677">
      <w:pPr>
        <w:tabs>
          <w:tab w:val="left" w:pos="3870"/>
          <w:tab w:val="left" w:pos="4085"/>
        </w:tabs>
        <w:snapToGrid w:val="0"/>
        <w:spacing w:line="440" w:lineRule="exact"/>
        <w:ind w:firstLine="422" w:firstLineChars="17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8.21.1不同投标人的投标文件由同一单位或者个人编制；</w:t>
      </w:r>
    </w:p>
    <w:p w14:paraId="3317CC92">
      <w:pPr>
        <w:tabs>
          <w:tab w:val="left" w:pos="3870"/>
          <w:tab w:val="left" w:pos="4085"/>
        </w:tabs>
        <w:snapToGrid w:val="0"/>
        <w:spacing w:line="440" w:lineRule="exact"/>
        <w:ind w:firstLine="422" w:firstLineChars="17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8.21.2不同投标人委托同一单位或者个人办理投标事宜；</w:t>
      </w:r>
    </w:p>
    <w:p w14:paraId="04DA8444">
      <w:pPr>
        <w:tabs>
          <w:tab w:val="left" w:pos="3870"/>
          <w:tab w:val="left" w:pos="4085"/>
        </w:tabs>
        <w:snapToGrid w:val="0"/>
        <w:spacing w:line="440" w:lineRule="exact"/>
        <w:ind w:firstLine="422" w:firstLineChars="17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8.21.3不同投标人的投标文件载明的项目管理成员或者联系人员为同一人；</w:t>
      </w:r>
    </w:p>
    <w:p w14:paraId="4A2372DF">
      <w:pPr>
        <w:tabs>
          <w:tab w:val="left" w:pos="3870"/>
          <w:tab w:val="left" w:pos="4085"/>
        </w:tabs>
        <w:snapToGrid w:val="0"/>
        <w:spacing w:line="440" w:lineRule="exact"/>
        <w:ind w:firstLine="422" w:firstLineChars="17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8.21.4不同投标人的投标文件异常一致或者投标报价呈规律性差异；</w:t>
      </w:r>
    </w:p>
    <w:p w14:paraId="09A1E504">
      <w:pPr>
        <w:tabs>
          <w:tab w:val="left" w:pos="3870"/>
          <w:tab w:val="left" w:pos="4085"/>
        </w:tabs>
        <w:snapToGrid w:val="0"/>
        <w:spacing w:line="440" w:lineRule="exact"/>
        <w:ind w:firstLine="422" w:firstLineChars="17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8.21.5不同投标人的投标文件相互混装；</w:t>
      </w:r>
    </w:p>
    <w:p w14:paraId="64D33092">
      <w:pPr>
        <w:tabs>
          <w:tab w:val="left" w:pos="3870"/>
          <w:tab w:val="left" w:pos="4085"/>
        </w:tabs>
        <w:snapToGrid w:val="0"/>
        <w:spacing w:line="440" w:lineRule="exact"/>
        <w:ind w:firstLine="422" w:firstLineChars="17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8.21.6有二份及二份以上投标文件的相互之间有特别相同或相似之处②两家或两家以上投标人提供的投标文件出自同一终端设备的，或在相同Internet主机分配地址（相同IP地址）报名或网上投标的，且经询标澄清投标人无令人信服的理由和可靠证据证明其合理性的，经评标委员会半数以上成员确认有串通投标嫌疑的；</w:t>
      </w:r>
    </w:p>
    <w:p w14:paraId="42374AA1">
      <w:pPr>
        <w:tabs>
          <w:tab w:val="left" w:pos="3870"/>
          <w:tab w:val="left" w:pos="4085"/>
        </w:tabs>
        <w:snapToGrid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8.22有下列情形之一的，属于恶意串通，其投标无效：</w:t>
      </w:r>
    </w:p>
    <w:p w14:paraId="1CB0BB0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8.22.1供应商直接或者间接从采购人或者采购机构处获得其他供应商的相关情况并修改其投标文件或者响应文件；</w:t>
      </w:r>
    </w:p>
    <w:p w14:paraId="1E26823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8.22.2供应商按照采购人或者采购机构的授意撤换、修改投标文件或者响应文件；</w:t>
      </w:r>
    </w:p>
    <w:p w14:paraId="4DC28D2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8.22.3供应商之间协商报价、技术方案等投标文件或者响应文件的实质性内容；</w:t>
      </w:r>
    </w:p>
    <w:p w14:paraId="428EEB1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8.22.4属于同一集团、协会、商会等组织成员的供应商按照该组织要求协同参加采购活动；</w:t>
      </w:r>
    </w:p>
    <w:p w14:paraId="4AA3DB2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8.22.5供应商之间事先约定由某一特定供应商中标、成交；</w:t>
      </w:r>
    </w:p>
    <w:p w14:paraId="322741E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8.22.6供应商之间商定部分供应商放弃参加采购活动或者放弃中标、成交；</w:t>
      </w:r>
    </w:p>
    <w:p w14:paraId="73AF12EE">
      <w:pPr>
        <w:tabs>
          <w:tab w:val="left" w:pos="3870"/>
          <w:tab w:val="left" w:pos="4085"/>
        </w:tabs>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8.22.7供应商与采购人或者采购机构之间、供应商相互之间，为谋求特定供应商中标、成交或者排斥其他供应商的其他串通行为。</w:t>
      </w:r>
    </w:p>
    <w:p w14:paraId="4FBD100D">
      <w:pPr>
        <w:tabs>
          <w:tab w:val="left" w:pos="3870"/>
          <w:tab w:val="left" w:pos="4085"/>
        </w:tabs>
        <w:snapToGrid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8.23评标委员会认定有重大偏差或实质性不响应招标文件要求的；</w:t>
      </w:r>
    </w:p>
    <w:p w14:paraId="71556DF7">
      <w:pPr>
        <w:tabs>
          <w:tab w:val="left" w:pos="3870"/>
          <w:tab w:val="left" w:pos="4085"/>
        </w:tabs>
        <w:snapToGrid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8.24报价文件中出现2个(含)以上的报价或方案的；</w:t>
      </w:r>
    </w:p>
    <w:p w14:paraId="7FE98C66">
      <w:pPr>
        <w:spacing w:line="44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8.25其他违反法律、法规的情形。</w:t>
      </w:r>
    </w:p>
    <w:p w14:paraId="2A5587B1">
      <w:pPr>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9. 评标过程保密</w:t>
      </w:r>
    </w:p>
    <w:p w14:paraId="471CC2F7">
      <w:pPr>
        <w:snapToGri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9.1</w:t>
      </w:r>
      <w:r>
        <w:rPr>
          <w:rFonts w:hint="eastAsia" w:ascii="仿宋" w:hAnsi="仿宋" w:eastAsia="仿宋" w:cs="仿宋"/>
          <w:color w:val="auto"/>
          <w:sz w:val="24"/>
          <w:szCs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2DE24438">
      <w:pPr>
        <w:snapToGri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9.2 在评标期间，投标人企图影响招标人或</w:t>
      </w:r>
      <w:r>
        <w:rPr>
          <w:rFonts w:hint="eastAsia" w:ascii="仿宋" w:hAnsi="仿宋" w:eastAsia="仿宋" w:cs="仿宋"/>
          <w:color w:val="auto"/>
          <w:sz w:val="24"/>
          <w:szCs w:val="24"/>
          <w:highlight w:val="none"/>
        </w:rPr>
        <w:t>评标委员会</w:t>
      </w:r>
      <w:r>
        <w:rPr>
          <w:rFonts w:hint="eastAsia" w:ascii="仿宋" w:hAnsi="仿宋" w:eastAsia="仿宋" w:cs="仿宋"/>
          <w:color w:val="auto"/>
          <w:kern w:val="0"/>
          <w:sz w:val="24"/>
          <w:szCs w:val="24"/>
          <w:highlight w:val="none"/>
        </w:rPr>
        <w:t>的任何活动，都将导致投标被拒绝，并由其承担相应的法律责任。</w:t>
      </w:r>
    </w:p>
    <w:p w14:paraId="54F950CC">
      <w:pPr>
        <w:pStyle w:val="18"/>
        <w:spacing w:line="800" w:lineRule="exact"/>
        <w:ind w:firstLine="726"/>
        <w:jc w:val="center"/>
        <w:rPr>
          <w:rFonts w:hint="eastAsia" w:ascii="仿宋" w:hAnsi="仿宋" w:eastAsia="仿宋" w:cs="仿宋"/>
          <w:b/>
          <w:color w:val="auto"/>
          <w:sz w:val="36"/>
          <w:szCs w:val="36"/>
          <w:highlight w:val="none"/>
        </w:rPr>
      </w:pPr>
      <w:bookmarkStart w:id="27" w:name="_Toc81372776"/>
      <w:bookmarkStart w:id="28" w:name="_Toc81372953"/>
      <w:bookmarkStart w:id="29" w:name="_Toc84325929"/>
      <w:r>
        <w:rPr>
          <w:rFonts w:hint="eastAsia" w:ascii="仿宋" w:hAnsi="仿宋" w:eastAsia="仿宋" w:cs="仿宋"/>
          <w:b/>
          <w:color w:val="auto"/>
          <w:sz w:val="36"/>
          <w:szCs w:val="36"/>
          <w:highlight w:val="none"/>
        </w:rPr>
        <w:t>五、授予合同</w:t>
      </w:r>
    </w:p>
    <w:p w14:paraId="36F11F92">
      <w:pPr>
        <w:pStyle w:val="10"/>
        <w:numPr>
          <w:ilvl w:val="0"/>
          <w:numId w:val="0"/>
        </w:numPr>
        <w:spacing w:afterLines="0" w:line="440" w:lineRule="exact"/>
        <w:ind w:leftChars="-20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1.中标条件</w:t>
      </w:r>
    </w:p>
    <w:p w14:paraId="51CE973F">
      <w:pPr>
        <w:pStyle w:val="10"/>
        <w:numPr>
          <w:ilvl w:val="0"/>
          <w:numId w:val="0"/>
        </w:numPr>
        <w:spacing w:afterLines="0" w:line="440" w:lineRule="exact"/>
        <w:ind w:leftChars="-200"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1.1投标文件基本符合招标文件要求；</w:t>
      </w:r>
    </w:p>
    <w:p w14:paraId="52FC3482">
      <w:pPr>
        <w:pStyle w:val="10"/>
        <w:numPr>
          <w:ilvl w:val="0"/>
          <w:numId w:val="0"/>
        </w:numPr>
        <w:spacing w:afterLines="0" w:line="440" w:lineRule="exact"/>
        <w:ind w:leftChars="-200"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1.2投标人有很好的执行合同的能力；</w:t>
      </w:r>
    </w:p>
    <w:p w14:paraId="08A33A2E">
      <w:pPr>
        <w:pStyle w:val="10"/>
        <w:numPr>
          <w:ilvl w:val="0"/>
          <w:numId w:val="0"/>
        </w:numPr>
        <w:spacing w:afterLines="0" w:line="440" w:lineRule="exact"/>
        <w:ind w:leftChars="-200"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1.3实施方案最合理并对招标人最为有利，最大限度满足招标文件的要求；</w:t>
      </w:r>
    </w:p>
    <w:p w14:paraId="746F3318">
      <w:pPr>
        <w:pStyle w:val="10"/>
        <w:numPr>
          <w:ilvl w:val="0"/>
          <w:numId w:val="0"/>
        </w:numPr>
        <w:spacing w:afterLines="0" w:line="440" w:lineRule="exact"/>
        <w:ind w:leftChars="-200"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1.4投标人能够提供质量技术、商务经济占综合优势的系统及服务。</w:t>
      </w:r>
    </w:p>
    <w:p w14:paraId="07547FD6">
      <w:pPr>
        <w:pStyle w:val="10"/>
        <w:numPr>
          <w:ilvl w:val="0"/>
          <w:numId w:val="0"/>
        </w:numPr>
        <w:spacing w:afterLines="0" w:line="440" w:lineRule="exact"/>
        <w:ind w:leftChars="-200"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1.5招标人将把中标通知书授予最佳投标者，但最低价不是中标的绝对保证。</w:t>
      </w:r>
    </w:p>
    <w:bookmarkEnd w:id="27"/>
    <w:bookmarkEnd w:id="28"/>
    <w:bookmarkEnd w:id="29"/>
    <w:p w14:paraId="28158E74">
      <w:pPr>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2.中标确认</w:t>
      </w:r>
    </w:p>
    <w:p w14:paraId="251E7103">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2.1采购人应当自收到评标报告之日起５个工作日内，在评标报告确定的中标候选人名单中按顺序确定中标人。</w:t>
      </w:r>
    </w:p>
    <w:p w14:paraId="3DAEBCB4">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2.2采购人在收到评标报告5个工作日内未按评标报告推荐的中标候选人顺序确定中标人，视同按评标报告推荐的顺序确定的中标候选人为中标人。</w:t>
      </w:r>
    </w:p>
    <w:p w14:paraId="39AD6197">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2.3采购人应在确认中标人前再次对资格条件和相关证件材料进一步查验核实。</w:t>
      </w:r>
    </w:p>
    <w:p w14:paraId="4CE03C5D">
      <w:pPr>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3．中标通知</w:t>
      </w:r>
    </w:p>
    <w:p w14:paraId="35391A48">
      <w:pPr>
        <w:pStyle w:val="110"/>
        <w:tabs>
          <w:tab w:val="left" w:pos="0"/>
        </w:tabs>
        <w:spacing w:before="0"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w:t>
      </w:r>
      <w:r>
        <w:rPr>
          <w:rFonts w:hint="eastAsia" w:ascii="仿宋" w:hAnsi="仿宋" w:eastAsia="仿宋" w:cs="仿宋"/>
          <w:color w:val="auto"/>
          <w:kern w:val="0"/>
          <w:sz w:val="24"/>
          <w:szCs w:val="24"/>
          <w:highlight w:val="none"/>
        </w:rPr>
        <w:t>采购代理机构</w:t>
      </w:r>
      <w:r>
        <w:rPr>
          <w:rFonts w:hint="eastAsia" w:ascii="仿宋" w:hAnsi="仿宋" w:eastAsia="仿宋" w:cs="仿宋"/>
          <w:color w:val="auto"/>
          <w:sz w:val="24"/>
          <w:szCs w:val="24"/>
          <w:highlight w:val="none"/>
        </w:rPr>
        <w:t>对中标结果在指定媒体</w:t>
      </w:r>
      <w:r>
        <w:rPr>
          <w:rFonts w:hint="eastAsia" w:ascii="仿宋" w:hAnsi="仿宋" w:eastAsia="仿宋" w:cs="仿宋"/>
          <w:color w:val="auto"/>
          <w:kern w:val="0"/>
          <w:sz w:val="24"/>
          <w:szCs w:val="24"/>
          <w:highlight w:val="none"/>
          <w:lang w:val="en-US" w:eastAsia="zh-CN" w:bidi="ar-SA"/>
        </w:rPr>
        <w:t>（乐采云平台</w:t>
      </w:r>
      <w:r>
        <w:rPr>
          <w:rFonts w:hint="eastAsia" w:ascii="仿宋" w:hAnsi="仿宋" w:eastAsia="仿宋" w:cs="仿宋"/>
          <w:color w:val="auto"/>
          <w:kern w:val="0"/>
          <w:sz w:val="24"/>
          <w:szCs w:val="24"/>
          <w:highlight w:val="none"/>
          <w:lang w:val="en-US" w:eastAsia="zh-CN" w:bidi="ar-SA"/>
        </w:rPr>
        <w:fldChar w:fldCharType="begin"/>
      </w:r>
      <w:r>
        <w:rPr>
          <w:rFonts w:hint="eastAsia" w:ascii="仿宋" w:hAnsi="仿宋" w:eastAsia="仿宋" w:cs="仿宋"/>
          <w:color w:val="auto"/>
          <w:kern w:val="0"/>
          <w:sz w:val="24"/>
          <w:szCs w:val="24"/>
          <w:highlight w:val="none"/>
          <w:lang w:val="en-US" w:eastAsia="zh-CN" w:bidi="ar-SA"/>
        </w:rPr>
        <w:instrText xml:space="preserve"> HYPERLINK "http://www.zcygov.cn/获取采购文件，并于2023年" </w:instrText>
      </w:r>
      <w:r>
        <w:rPr>
          <w:rFonts w:hint="eastAsia" w:ascii="仿宋" w:hAnsi="仿宋" w:eastAsia="仿宋" w:cs="仿宋"/>
          <w:color w:val="auto"/>
          <w:kern w:val="0"/>
          <w:sz w:val="24"/>
          <w:szCs w:val="24"/>
          <w:highlight w:val="none"/>
          <w:lang w:val="en-US" w:eastAsia="zh-CN" w:bidi="ar-SA"/>
        </w:rPr>
        <w:fldChar w:fldCharType="separate"/>
      </w:r>
      <w:r>
        <w:rPr>
          <w:rFonts w:hint="eastAsia" w:ascii="仿宋" w:hAnsi="仿宋" w:eastAsia="仿宋" w:cs="仿宋"/>
          <w:color w:val="auto"/>
          <w:kern w:val="0"/>
          <w:sz w:val="24"/>
          <w:szCs w:val="24"/>
          <w:highlight w:val="none"/>
          <w:lang w:val="en-US" w:eastAsia="zh-CN" w:bidi="ar-SA"/>
        </w:rPr>
        <w:t>http://www.zcygov.cn/</w:t>
      </w:r>
      <w:r>
        <w:rPr>
          <w:rFonts w:hint="eastAsia" w:ascii="仿宋" w:hAnsi="仿宋" w:eastAsia="仿宋" w:cs="仿宋"/>
          <w:color w:val="auto"/>
          <w:kern w:val="0"/>
          <w:sz w:val="24"/>
          <w:szCs w:val="24"/>
          <w:highlight w:val="none"/>
          <w:lang w:val="en-US" w:eastAsia="zh-CN" w:bidi="ar-SA"/>
        </w:rPr>
        <w:fldChar w:fldCharType="end"/>
      </w: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szCs w:val="24"/>
          <w:highlight w:val="none"/>
        </w:rPr>
        <w:t>发布中标公告，中标公告期限为1个工作日。</w:t>
      </w:r>
    </w:p>
    <w:p w14:paraId="3A23FCB5">
      <w:pPr>
        <w:tabs>
          <w:tab w:val="left" w:pos="0"/>
        </w:tabs>
        <w:spacing w:line="44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3.2在采购代理机构发出中标通知书前，中标供应商如有违反有关法律法规和本项目要求行为的，则取消该投标人的中标资格</w:t>
      </w:r>
      <w:r>
        <w:rPr>
          <w:rFonts w:hint="eastAsia" w:ascii="仿宋" w:hAnsi="仿宋" w:eastAsia="仿宋" w:cs="仿宋"/>
          <w:color w:val="auto"/>
          <w:kern w:val="0"/>
          <w:sz w:val="24"/>
          <w:szCs w:val="24"/>
          <w:highlight w:val="none"/>
          <w:lang w:val="zh-CN"/>
        </w:rPr>
        <w:t>。</w:t>
      </w:r>
    </w:p>
    <w:p w14:paraId="1B615C04">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3.3采购代理机构对中标结果不作任何说明和解释，也不回答任何提问。</w:t>
      </w:r>
    </w:p>
    <w:p w14:paraId="0EFC331E">
      <w:pPr>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4．履约保证金</w:t>
      </w:r>
    </w:p>
    <w:p w14:paraId="2F2E4B30">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jc w:val="left"/>
        <w:textAlignment w:val="auto"/>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履约保证金递交形式：银行支票、电汇、保函（银行保函）等。</w:t>
      </w:r>
    </w:p>
    <w:p w14:paraId="1272B1A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履约保证金的金额：90000元</w:t>
      </w:r>
      <w:r>
        <w:rPr>
          <w:rFonts w:hint="eastAsia" w:ascii="仿宋" w:hAnsi="仿宋" w:eastAsia="仿宋" w:cs="仿宋"/>
          <w:b w:val="0"/>
          <w:bCs/>
          <w:color w:val="auto"/>
          <w:sz w:val="24"/>
          <w:szCs w:val="24"/>
          <w:highlight w:val="none"/>
          <w:lang w:val="en-US" w:eastAsia="zh-CN"/>
        </w:rPr>
        <w:t>。</w:t>
      </w:r>
    </w:p>
    <w:p w14:paraId="5AB537AC">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履约保证金的递交时间：中标通知书发出之日起10个工作日内。</w:t>
      </w:r>
    </w:p>
    <w:p w14:paraId="3B9FBFF7">
      <w:pPr>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履约保证金的期限：</w:t>
      </w:r>
      <w:r>
        <w:rPr>
          <w:rFonts w:hint="eastAsia" w:ascii="仿宋" w:hAnsi="仿宋" w:eastAsia="仿宋" w:cs="仿宋"/>
          <w:i w:val="0"/>
          <w:iCs w:val="0"/>
          <w:color w:val="auto"/>
          <w:kern w:val="0"/>
          <w:sz w:val="24"/>
          <w:szCs w:val="24"/>
          <w:highlight w:val="none"/>
          <w:u w:val="none"/>
          <w:lang w:val="en-US" w:eastAsia="zh-CN" w:bidi="ar"/>
        </w:rPr>
        <w:t>服务期满后30日内无息退还。</w:t>
      </w:r>
    </w:p>
    <w:p w14:paraId="4AB364C0">
      <w:pPr>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．合同签订及备案</w:t>
      </w:r>
    </w:p>
    <w:p w14:paraId="50E2639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5.1中标人应当在中标通知书发出之日起30天内与采购人签订合同，自采购合同签订之日起3个工作日内，通过电子交易平台进行备案。</w:t>
      </w:r>
    </w:p>
    <w:p w14:paraId="687B2CEB">
      <w:pPr>
        <w:spacing w:line="440" w:lineRule="exact"/>
        <w:ind w:firstLine="480" w:firstLineChars="2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5.2如中标人为联合体的，由联合体成员各方法定代表人或其授权代表与采购人代表签订合同。</w:t>
      </w:r>
    </w:p>
    <w:p w14:paraId="2DDF097E">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6.验收</w:t>
      </w:r>
    </w:p>
    <w:p w14:paraId="17D8F9A6">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0FD25E55">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6.2采购人可以邀请参加本项目的其他投标人或者第三方机构参与验收。参与验收的投标人或者第三方机构的意见作为验收书的参考资料一并存档。</w:t>
      </w:r>
    </w:p>
    <w:p w14:paraId="13BB2A32">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6.3 采购人负责加强对中标人的履约管理，并按照采购合同约定，及时向中标人支付采购资金。对于中标人违反采购合同约定的行为，采购人应当及时处理，依法追究其违约责任。</w:t>
      </w:r>
    </w:p>
    <w:p w14:paraId="48BDE82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6.4</w:t>
      </w:r>
      <w:r>
        <w:rPr>
          <w:rFonts w:hint="eastAsia" w:ascii="仿宋" w:hAnsi="仿宋" w:eastAsia="仿宋" w:cs="仿宋"/>
          <w:color w:val="auto"/>
          <w:sz w:val="24"/>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BB8152B">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6.5</w:t>
      </w:r>
      <w:r>
        <w:rPr>
          <w:rFonts w:hint="eastAsia" w:ascii="仿宋" w:hAnsi="仿宋" w:eastAsia="仿宋" w:cs="仿宋"/>
          <w:color w:val="auto"/>
          <w:sz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管部门。</w:t>
      </w:r>
    </w:p>
    <w:p w14:paraId="04B68F02">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7.售后服务考核</w:t>
      </w:r>
    </w:p>
    <w:p w14:paraId="1C01528A">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将联合采购监管部门不定期对合同的履约情况进行检查，发现未按合同规定进行履约的，有弄虚作假，偷工减料，以次充好等情形，达不到国家、行业有关标准和商务技术（资信）文件规定的，一经查实，由采购监督管理部门给予相应处罚。</w:t>
      </w:r>
    </w:p>
    <w:p w14:paraId="5B08AE71">
      <w:pPr>
        <w:snapToGrid w:val="0"/>
        <w:spacing w:line="800" w:lineRule="exact"/>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六、质疑与投诉</w:t>
      </w:r>
    </w:p>
    <w:p w14:paraId="3C2AD2C4">
      <w:pPr>
        <w:spacing w:line="460" w:lineRule="exact"/>
        <w:ind w:firstLine="420"/>
        <w:rPr>
          <w:rFonts w:hint="eastAsia" w:ascii="仿宋" w:hAnsi="仿宋" w:eastAsia="仿宋" w:cs="仿宋"/>
          <w:color w:val="auto"/>
          <w:szCs w:val="24"/>
          <w:highlight w:val="none"/>
        </w:rPr>
      </w:pPr>
      <w:r>
        <w:rPr>
          <w:rFonts w:hint="eastAsia" w:ascii="仿宋" w:hAnsi="仿宋" w:eastAsia="仿宋" w:cs="仿宋"/>
          <w:color w:val="auto"/>
          <w:szCs w:val="24"/>
          <w:highlight w:val="none"/>
        </w:rPr>
        <w:t>供应商（投标人，下同）可以依法提起质疑和投诉</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质疑函范本、投诉书范本请到浙江政府采购网下载专区下载。</w:t>
      </w:r>
    </w:p>
    <w:p w14:paraId="67FF89BB">
      <w:pPr>
        <w:autoSpaceDE w:val="0"/>
        <w:autoSpaceDN w:val="0"/>
        <w:spacing w:line="360" w:lineRule="auto"/>
        <w:ind w:firstLine="472" w:firstLineChars="196"/>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1.供应商询问</w:t>
      </w:r>
    </w:p>
    <w:p w14:paraId="5143C9D5">
      <w:pPr>
        <w:pStyle w:val="1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供应商对采购活动事项有疑问的，可以向采购机构提出询问，采购机构将对供应商依法提出的询问作出答复，但答复的内容不得涉及商业秘密。</w:t>
      </w:r>
    </w:p>
    <w:p w14:paraId="20D07D9A">
      <w:pPr>
        <w:spacing w:line="440" w:lineRule="exact"/>
        <w:ind w:firstLine="241" w:firstLineChars="10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 供应商质疑</w:t>
      </w:r>
    </w:p>
    <w:p w14:paraId="7834BCD4">
      <w:pPr>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.1质疑提出时效</w:t>
      </w:r>
    </w:p>
    <w:p w14:paraId="62BF4951">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.1.1提出质疑的供应商应当是参与所质疑项目采购活动的供应商。潜在供应商已依法获取其可质疑的采购文件的，可以对该文件提出质疑。</w:t>
      </w:r>
    </w:p>
    <w:p w14:paraId="7527F819">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7860F50">
      <w:pPr>
        <w:widowControl/>
        <w:snapToGrid w:val="0"/>
        <w:spacing w:line="440" w:lineRule="exact"/>
        <w:ind w:firstLine="434" w:firstLineChars="181"/>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.1.2.1对采购文件提出质疑的，质疑期限为供应商获得采购文件之日或者采购文件公告期限届满之日起计算，采购文件在获取截止之日后获得的，应当自采购文件公告期限届满之日起计算。</w:t>
      </w:r>
    </w:p>
    <w:p w14:paraId="4C85BAAA">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.1.2.2对采购过程提出质疑的，质疑期限为各采购程序环节结束之日起计算。</w:t>
      </w:r>
    </w:p>
    <w:p w14:paraId="0AEA6B04">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.1.2.3对采购结果提出质疑的，质疑期限自采购结果公告期限届满之日起计算。</w:t>
      </w:r>
    </w:p>
    <w:p w14:paraId="0F7F7E38">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.1.2.4对同一采购程序环节的质疑，供应商须一次性提出。</w:t>
      </w:r>
    </w:p>
    <w:p w14:paraId="010F116E">
      <w:pPr>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lang w:val="zh-CN"/>
        </w:rPr>
        <w:t>.</w:t>
      </w:r>
      <w:r>
        <w:rPr>
          <w:rFonts w:hint="eastAsia" w:ascii="仿宋" w:hAnsi="仿宋" w:eastAsia="仿宋" w:cs="仿宋"/>
          <w:b/>
          <w:bCs/>
          <w:color w:val="auto"/>
          <w:kern w:val="0"/>
          <w:sz w:val="24"/>
          <w:szCs w:val="24"/>
          <w:highlight w:val="none"/>
        </w:rPr>
        <w:t>2</w:t>
      </w:r>
      <w:r>
        <w:rPr>
          <w:rFonts w:hint="eastAsia" w:ascii="仿宋" w:hAnsi="仿宋" w:eastAsia="仿宋" w:cs="仿宋"/>
          <w:b/>
          <w:bCs/>
          <w:color w:val="auto"/>
          <w:kern w:val="0"/>
          <w:sz w:val="24"/>
          <w:szCs w:val="24"/>
          <w:highlight w:val="none"/>
          <w:lang w:val="zh-CN"/>
        </w:rPr>
        <w:t>质疑函</w:t>
      </w:r>
    </w:p>
    <w:p w14:paraId="0E986161">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.2.1供应商提出质疑应当提交质疑函和必要的证明材料。质疑函应当包括下列内容：</w:t>
      </w:r>
    </w:p>
    <w:p w14:paraId="3E3AB4A4">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供应商的姓名或者名称、地址、邮编、联系人及联系电话；</w:t>
      </w:r>
    </w:p>
    <w:p w14:paraId="27F92A9C">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质疑项目的名称、编号；</w:t>
      </w:r>
    </w:p>
    <w:p w14:paraId="491331A4">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具体、明确的质疑事项和与质疑事项相关的请求；</w:t>
      </w:r>
    </w:p>
    <w:p w14:paraId="11C4CA77">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事实依据；</w:t>
      </w:r>
    </w:p>
    <w:p w14:paraId="69604FC6">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必要的法律依据；</w:t>
      </w:r>
    </w:p>
    <w:p w14:paraId="07A9A8B8">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提出质疑的日期。</w:t>
      </w:r>
    </w:p>
    <w:p w14:paraId="16CF16DA">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73B95375">
      <w:pPr>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质疑函范本及制作说明详见附件。</w:t>
      </w:r>
    </w:p>
    <w:p w14:paraId="0B5A3CBE">
      <w:pPr>
        <w:spacing w:line="440" w:lineRule="exac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.供应商投诉</w:t>
      </w:r>
    </w:p>
    <w:p w14:paraId="67B31369">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.1质疑供应商对采购人或采购代理机构的答复不满意或者采购人、采购代理机构未在规定的时间内作出答复的，可以在答复期满后十五个工作日内向采购监督管理部门提出投诉。</w:t>
      </w:r>
    </w:p>
    <w:p w14:paraId="30C4A53B">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.2供应商投诉的事项不得超出已质疑事项的范围，基于质疑答复内容提出的投诉事项除外。</w:t>
      </w:r>
    </w:p>
    <w:p w14:paraId="6F077AAF">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4.3供应商投诉应当有明确的请求和必要的证明材料。</w:t>
      </w:r>
    </w:p>
    <w:p w14:paraId="48F8790B">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4.4以联合体形式参加采购活动的，其投诉应当由组成联合体的所有供应商共同提出。</w:t>
      </w:r>
    </w:p>
    <w:p w14:paraId="505230EE">
      <w:pPr>
        <w:snapToGrid w:val="0"/>
        <w:spacing w:line="440" w:lineRule="exact"/>
        <w:jc w:val="left"/>
        <w:outlineLvl w:val="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投诉书范本及制作说明详见附件。</w:t>
      </w:r>
    </w:p>
    <w:p w14:paraId="49066E77">
      <w:pPr>
        <w:pStyle w:val="14"/>
        <w:spacing w:line="440" w:lineRule="exact"/>
        <w:ind w:firstLine="480" w:firstLineChars="200"/>
        <w:rPr>
          <w:rFonts w:hint="eastAsia" w:ascii="仿宋" w:hAnsi="仿宋" w:eastAsia="仿宋" w:cs="仿宋"/>
          <w:color w:val="auto"/>
          <w:sz w:val="24"/>
          <w:szCs w:val="24"/>
          <w:highlight w:val="none"/>
        </w:rPr>
        <w:sectPr>
          <w:footerReference r:id="rId5" w:type="default"/>
          <w:pgSz w:w="11906" w:h="16838"/>
          <w:pgMar w:top="1474" w:right="1814" w:bottom="1474" w:left="1814" w:header="851" w:footer="834" w:gutter="0"/>
          <w:pgNumType w:start="1"/>
          <w:cols w:space="720" w:num="1"/>
          <w:docGrid w:linePitch="312" w:charSpace="0"/>
        </w:sectPr>
      </w:pPr>
    </w:p>
    <w:p w14:paraId="14B5D9FB">
      <w:pPr>
        <w:pageBreakBefore/>
        <w:snapToGrid w:val="0"/>
        <w:spacing w:line="800" w:lineRule="exact"/>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36"/>
          <w:highlight w:val="none"/>
        </w:rPr>
        <w:t>第三部分</w:t>
      </w:r>
      <w:r>
        <w:rPr>
          <w:rFonts w:hint="eastAsia" w:ascii="仿宋" w:hAnsi="仿宋" w:eastAsia="仿宋" w:cs="仿宋"/>
          <w:b/>
          <w:bCs/>
          <w:color w:val="auto"/>
          <w:kern w:val="0"/>
          <w:sz w:val="36"/>
          <w:highlight w:val="none"/>
          <w:lang w:val="en-US" w:eastAsia="zh-CN"/>
        </w:rPr>
        <w:t xml:space="preserve"> </w:t>
      </w:r>
      <w:r>
        <w:rPr>
          <w:rFonts w:hint="eastAsia" w:ascii="仿宋" w:hAnsi="仿宋" w:eastAsia="仿宋" w:cs="仿宋"/>
          <w:b/>
          <w:bCs/>
          <w:color w:val="auto"/>
          <w:kern w:val="0"/>
          <w:sz w:val="36"/>
          <w:highlight w:val="none"/>
        </w:rPr>
        <w:t>招标项目范围及要求</w:t>
      </w:r>
      <w:bookmarkEnd w:id="25"/>
      <w:bookmarkStart w:id="30" w:name="_Toc513456151"/>
    </w:p>
    <w:p w14:paraId="6B607F35">
      <w:pPr>
        <w:pStyle w:val="2"/>
        <w:rPr>
          <w:rFonts w:hint="eastAsia" w:ascii="仿宋" w:hAnsi="仿宋" w:eastAsia="仿宋" w:cs="仿宋"/>
          <w:color w:val="auto"/>
          <w:highlight w:val="none"/>
          <w:lang w:eastAsia="zh-CN"/>
        </w:rPr>
      </w:pPr>
    </w:p>
    <w:p w14:paraId="1B3287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保险需求</w:t>
      </w:r>
    </w:p>
    <w:p w14:paraId="7A046B97">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一</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财产综合险</w:t>
      </w:r>
    </w:p>
    <w:p w14:paraId="2CAD941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1、保险</w:t>
      </w:r>
      <w:r>
        <w:rPr>
          <w:rFonts w:hint="eastAsia" w:ascii="仿宋" w:hAnsi="仿宋" w:eastAsia="仿宋" w:cs="仿宋"/>
          <w:color w:val="auto"/>
          <w:sz w:val="24"/>
          <w:szCs w:val="24"/>
          <w:highlight w:val="none"/>
          <w:lang w:val="en-US" w:eastAsia="zh-CN"/>
        </w:rPr>
        <w:t>标的</w:t>
      </w:r>
    </w:p>
    <w:p w14:paraId="3105384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嵊州市水务投资发展集团有限公司及下属子公司所属固定资产类【资产的办公用房、特殊用房、附属用房、设备（剔除车辆）等全部财产】纳入参保范围，根据2024年财务固定资产原值扣除车辆原值，经统计保险总额约4.1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亿元（</w:t>
      </w:r>
      <w:r>
        <w:rPr>
          <w:rFonts w:hint="eastAsia" w:ascii="仿宋" w:hAnsi="仿宋" w:eastAsia="仿宋" w:cs="仿宋"/>
          <w:color w:val="auto"/>
          <w:sz w:val="24"/>
          <w:szCs w:val="24"/>
          <w:highlight w:val="none"/>
          <w:lang w:val="zh-CN"/>
        </w:rPr>
        <w:t>签订合同时保险金额按资产负债表账面原值确定</w:t>
      </w:r>
      <w:r>
        <w:rPr>
          <w:rFonts w:hint="eastAsia" w:ascii="仿宋" w:hAnsi="仿宋" w:eastAsia="仿宋" w:cs="仿宋"/>
          <w:color w:val="auto"/>
          <w:sz w:val="24"/>
          <w:szCs w:val="24"/>
          <w:highlight w:val="none"/>
        </w:rPr>
        <w:t>）。</w:t>
      </w:r>
    </w:p>
    <w:p w14:paraId="41D034F3">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保险责任</w:t>
      </w:r>
    </w:p>
    <w:p w14:paraId="4C879CB8">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（1）财产综合险的出险次数不作限制。</w:t>
      </w:r>
    </w:p>
    <w:p w14:paraId="2D1998AB">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（2）保险责任：按保监会批准的《财产保险综合险条款》执行。在保险期间内，由于下列原因造成保险标的的损失，保险人按照本保险合同的约定负责赔偿：</w:t>
      </w:r>
    </w:p>
    <w:p w14:paraId="742AD643">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①火灾、爆炸；</w:t>
      </w:r>
    </w:p>
    <w:p w14:paraId="1855E441">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②雷击、暴雨、洪水、暴风、龙卷风、冰雹、台风、飓风、暴雪、冰凌、突发性滑坡、崩塌、泥石流、地面突然下陷下沉；</w:t>
      </w:r>
    </w:p>
    <w:p w14:paraId="6CDB5780">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③飞行物体及其他空中运行物体坠落。</w:t>
      </w:r>
    </w:p>
    <w:p w14:paraId="21135436">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④、由1、2、3条原因造成的保险事故发生时，为抢救保险标的或防止灾害蔓延，采取必要的，合理的措施而造成保险标的的损失；</w:t>
      </w:r>
    </w:p>
    <w:p w14:paraId="311EB34D">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⑤被保险人拥有财产所有权的自用的供电、供水、供气设备因保险事故遭受损坏，引起停电、停水、停气以致造成保险标的直接损失的；</w:t>
      </w:r>
    </w:p>
    <w:p w14:paraId="4E06243F">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zh-CN"/>
        </w:rPr>
        <w:t>⑥保险事故发生后，被保险人为防止或减少保险标的的损失所支付的必要的，合理的费用。</w:t>
      </w:r>
    </w:p>
    <w:p w14:paraId="678A836D">
      <w:pPr>
        <w:keepNext w:val="0"/>
        <w:keepLines w:val="0"/>
        <w:pageBreakBefore w:val="0"/>
        <w:numPr>
          <w:ilvl w:val="0"/>
          <w:numId w:val="7"/>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服务要求</w:t>
      </w:r>
    </w:p>
    <w:p w14:paraId="7CAC218D">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eastAsia="仿宋"/>
          <w:color w:val="auto"/>
          <w:sz w:val="24"/>
          <w:highlight w:val="none"/>
        </w:rPr>
      </w:pPr>
      <w:r>
        <w:rPr>
          <w:rFonts w:hint="eastAsia" w:ascii="仿宋" w:eastAsia="仿宋"/>
          <w:color w:val="auto"/>
          <w:sz w:val="24"/>
          <w:highlight w:val="none"/>
          <w:lang w:val="en-US" w:eastAsia="zh-CN"/>
        </w:rPr>
        <w:t>3.1</w:t>
      </w:r>
      <w:r>
        <w:rPr>
          <w:rFonts w:hint="eastAsia" w:ascii="仿宋" w:eastAsia="仿宋"/>
          <w:color w:val="auto"/>
          <w:sz w:val="24"/>
          <w:highlight w:val="none"/>
        </w:rPr>
        <w:t>中标人应执行24小时接报案制度，接到报案后中标人理赔服务人员应在10分钟内联系报案人，并指导相关处理事项。若需现场查勘，理赔服务人员应在</w:t>
      </w:r>
      <w:r>
        <w:rPr>
          <w:rFonts w:hint="eastAsia" w:ascii="仿宋" w:eastAsia="仿宋"/>
          <w:color w:val="auto"/>
          <w:sz w:val="24"/>
          <w:highlight w:val="none"/>
          <w:lang w:val="en-US" w:eastAsia="zh-CN"/>
        </w:rPr>
        <w:t>30分钟</w:t>
      </w:r>
      <w:r>
        <w:rPr>
          <w:rFonts w:hint="eastAsia" w:ascii="仿宋" w:eastAsia="仿宋"/>
          <w:color w:val="auto"/>
          <w:sz w:val="24"/>
          <w:highlight w:val="none"/>
        </w:rPr>
        <w:t>内到达现场，进行保险事故损失查勘及收取相关资料。</w:t>
      </w:r>
    </w:p>
    <w:p w14:paraId="123FEBDB">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eastAsia="仿宋"/>
          <w:color w:val="auto"/>
          <w:sz w:val="24"/>
          <w:highlight w:val="none"/>
        </w:rPr>
      </w:pPr>
      <w:r>
        <w:rPr>
          <w:rFonts w:hint="eastAsia" w:ascii="仿宋" w:eastAsia="仿宋"/>
          <w:color w:val="auto"/>
          <w:sz w:val="24"/>
          <w:highlight w:val="none"/>
          <w:lang w:val="en-US" w:eastAsia="zh-CN"/>
        </w:rPr>
        <w:t>3.2</w:t>
      </w:r>
      <w:r>
        <w:rPr>
          <w:rFonts w:hint="eastAsia" w:ascii="仿宋" w:eastAsia="仿宋"/>
          <w:color w:val="auto"/>
          <w:sz w:val="24"/>
          <w:highlight w:val="none"/>
        </w:rPr>
        <w:t>发生保险事故后，供应商须根据采购人的要求提供全程上门指导、协助服务。</w:t>
      </w:r>
    </w:p>
    <w:p w14:paraId="303FF12A">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eastAsia="仿宋"/>
          <w:color w:val="auto"/>
          <w:sz w:val="24"/>
          <w:highlight w:val="none"/>
        </w:rPr>
      </w:pPr>
      <w:r>
        <w:rPr>
          <w:rFonts w:hint="eastAsia" w:ascii="仿宋" w:eastAsia="仿宋"/>
          <w:color w:val="auto"/>
          <w:sz w:val="24"/>
          <w:highlight w:val="none"/>
          <w:lang w:val="en-US" w:eastAsia="zh-CN"/>
        </w:rPr>
        <w:t>3.3</w:t>
      </w:r>
      <w:r>
        <w:rPr>
          <w:rFonts w:hint="eastAsia" w:ascii="仿宋" w:eastAsia="仿宋"/>
          <w:color w:val="auto"/>
          <w:sz w:val="24"/>
          <w:highlight w:val="none"/>
        </w:rPr>
        <w:t>在特殊危险情况下，采购人为避免事故发生或减少事故损失，所采取的应急施救合理费用由中标人承担。</w:t>
      </w:r>
    </w:p>
    <w:p w14:paraId="4B2E29D6">
      <w:pPr>
        <w:keepNext w:val="0"/>
        <w:keepLines w:val="0"/>
        <w:pageBreakBefore w:val="0"/>
        <w:widowControl/>
        <w:kinsoku/>
        <w:wordWrap/>
        <w:overflowPunct/>
        <w:topLinePunct w:val="0"/>
        <w:autoSpaceDE/>
        <w:autoSpaceDN/>
        <w:bidi w:val="0"/>
        <w:snapToGrid w:val="0"/>
        <w:spacing w:line="460" w:lineRule="exact"/>
        <w:ind w:firstLine="480" w:firstLineChars="200"/>
        <w:textAlignment w:val="auto"/>
        <w:rPr>
          <w:rFonts w:hint="default"/>
          <w:color w:val="auto"/>
          <w:highlight w:val="none"/>
          <w:lang w:val="en-US" w:eastAsia="zh-CN"/>
        </w:rPr>
      </w:pPr>
      <w:r>
        <w:rPr>
          <w:rFonts w:hint="eastAsia" w:ascii="仿宋" w:eastAsia="仿宋"/>
          <w:color w:val="auto"/>
          <w:sz w:val="24"/>
          <w:highlight w:val="none"/>
          <w:lang w:val="en-US" w:eastAsia="zh-CN"/>
        </w:rPr>
        <w:t>3.4</w:t>
      </w:r>
      <w:r>
        <w:rPr>
          <w:rFonts w:hint="eastAsia" w:ascii="仿宋" w:eastAsia="仿宋"/>
          <w:color w:val="auto"/>
          <w:sz w:val="24"/>
          <w:highlight w:val="none"/>
        </w:rPr>
        <w:t>在签订保险合同时，成交供应商不得以任何形式加重采购人的负担或者减轻自己的义务。</w:t>
      </w:r>
    </w:p>
    <w:p w14:paraId="0C572C0E">
      <w:pPr>
        <w:keepNext w:val="0"/>
        <w:keepLines w:val="0"/>
        <w:pageBreakBefore w:val="0"/>
        <w:kinsoku/>
        <w:wordWrap/>
        <w:overflowPunct/>
        <w:topLinePunct w:val="0"/>
        <w:autoSpaceDE/>
        <w:autoSpaceDN/>
        <w:bidi w:val="0"/>
        <w:adjustRightInd/>
        <w:snapToGrid w:val="0"/>
        <w:spacing w:line="46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公众责任险</w:t>
      </w:r>
    </w:p>
    <w:p w14:paraId="4FD796E7">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1、保险</w:t>
      </w:r>
      <w:r>
        <w:rPr>
          <w:rFonts w:hint="eastAsia" w:ascii="仿宋" w:hAnsi="仿宋" w:eastAsia="仿宋" w:cs="仿宋"/>
          <w:color w:val="auto"/>
          <w:sz w:val="24"/>
          <w:szCs w:val="24"/>
          <w:highlight w:val="none"/>
          <w:lang w:val="en-US" w:eastAsia="zh-CN"/>
        </w:rPr>
        <w:t>标的</w:t>
      </w:r>
    </w:p>
    <w:p w14:paraId="457E4631">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保险对象嵊州市水务投资发展集团有限公司及下属子公司职责管辖范围内(</w:t>
      </w:r>
      <w:r>
        <w:rPr>
          <w:rFonts w:hint="eastAsia" w:ascii="仿宋" w:hAnsi="仿宋" w:eastAsia="仿宋" w:cs="仿宋"/>
          <w:b w:val="0"/>
          <w:bCs/>
          <w:color w:val="auto"/>
          <w:sz w:val="24"/>
          <w:szCs w:val="24"/>
          <w:highlight w:val="none"/>
          <w:lang w:val="en-US" w:eastAsia="zh-CN"/>
        </w:rPr>
        <w:t>供排水</w:t>
      </w:r>
      <w:r>
        <w:rPr>
          <w:rFonts w:hint="eastAsia" w:ascii="仿宋" w:hAnsi="仿宋" w:eastAsia="仿宋" w:cs="仿宋"/>
          <w:color w:val="auto"/>
          <w:sz w:val="24"/>
          <w:szCs w:val="24"/>
          <w:highlight w:val="none"/>
        </w:rPr>
        <w:t>管道、停车场、电梯、营业场所等)造成的第三方人身伤亡或财产损失</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具体营业场所如下：</w:t>
      </w:r>
    </w:p>
    <w:tbl>
      <w:tblPr>
        <w:tblStyle w:val="34"/>
        <w:tblW w:w="89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4"/>
        <w:gridCol w:w="3304"/>
        <w:gridCol w:w="1192"/>
        <w:gridCol w:w="3733"/>
      </w:tblGrid>
      <w:tr w14:paraId="5115A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A46E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序号</w:t>
            </w:r>
          </w:p>
        </w:tc>
        <w:tc>
          <w:tcPr>
            <w:tcW w:w="3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F8EA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营业场所名称</w:t>
            </w:r>
          </w:p>
        </w:tc>
        <w:tc>
          <w:tcPr>
            <w:tcW w:w="119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508AE3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面积（m²）</w:t>
            </w:r>
          </w:p>
        </w:tc>
        <w:tc>
          <w:tcPr>
            <w:tcW w:w="3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8822E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地址</w:t>
            </w:r>
          </w:p>
        </w:tc>
      </w:tr>
      <w:tr w14:paraId="571B3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AE8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19A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水务事业部综合科</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294C8A5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C00CC4B">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嵊州大道777号</w:t>
            </w:r>
          </w:p>
        </w:tc>
      </w:tr>
      <w:tr w14:paraId="32ED8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70A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091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水费收费厅</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004DDE0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53CFA76">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雅石路74号-1</w:t>
            </w:r>
          </w:p>
        </w:tc>
      </w:tr>
      <w:tr w14:paraId="205F0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7222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65F1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行政审批中心水务窗口</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58B522E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3728" w:type="dxa"/>
            <w:tcBorders>
              <w:top w:val="single" w:color="auto" w:sz="4" w:space="0"/>
              <w:left w:val="single" w:color="auto" w:sz="4" w:space="0"/>
              <w:bottom w:val="single" w:color="auto" w:sz="4" w:space="0"/>
              <w:right w:val="single" w:color="auto" w:sz="4" w:space="0"/>
            </w:tcBorders>
            <w:shd w:val="clear" w:color="auto" w:fill="auto"/>
            <w:vAlign w:val="center"/>
          </w:tcPr>
          <w:p w14:paraId="5B432925">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官河南路799号嵊州市政务服务中心四楼</w:t>
            </w:r>
          </w:p>
        </w:tc>
      </w:tr>
      <w:tr w14:paraId="42842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645B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B68A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鹿山街道便民服务中心水务窗口</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54B6F96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46B04CE">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长兴路118号</w:t>
            </w:r>
          </w:p>
        </w:tc>
      </w:tr>
      <w:tr w14:paraId="2689F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618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897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开发区（浦口）营业所</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4920B9D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0326FA6">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嵊州市浦口街道万年亭提升泵站三楼</w:t>
            </w:r>
          </w:p>
        </w:tc>
      </w:tr>
      <w:tr w14:paraId="3E8F2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85A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62E8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高铁新城营业所</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2756C46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39EBB7C">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嵊州市领带园一路89号</w:t>
            </w:r>
          </w:p>
        </w:tc>
      </w:tr>
      <w:tr w14:paraId="2E21E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D42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161E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剡城营业所</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06E8E0E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BA76BBC">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嵊州市雅石路74号</w:t>
            </w:r>
          </w:p>
        </w:tc>
      </w:tr>
      <w:tr w14:paraId="5703B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928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7F04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崇仁石璜营业所（仓库）</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108701B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BF5619A">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崇仁镇九十村</w:t>
            </w:r>
          </w:p>
        </w:tc>
      </w:tr>
      <w:tr w14:paraId="11222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4ED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330B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石璜营业所</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5F955EB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430CB26">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石璜镇会稽路幼托中心旁</w:t>
            </w:r>
          </w:p>
        </w:tc>
      </w:tr>
      <w:tr w14:paraId="25259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2807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94AF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黄泽营业所</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3BF8CE7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w:t>
            </w:r>
          </w:p>
        </w:tc>
        <w:tc>
          <w:tcPr>
            <w:tcW w:w="3728" w:type="dxa"/>
            <w:tcBorders>
              <w:top w:val="single" w:color="auto" w:sz="4" w:space="0"/>
              <w:left w:val="single" w:color="auto" w:sz="4" w:space="0"/>
              <w:bottom w:val="single" w:color="auto" w:sz="4" w:space="0"/>
              <w:right w:val="single" w:color="auto" w:sz="4" w:space="0"/>
            </w:tcBorders>
            <w:shd w:val="clear" w:color="auto" w:fill="auto"/>
            <w:vAlign w:val="center"/>
          </w:tcPr>
          <w:p w14:paraId="1CF3D3AF">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华丰路8号黄泽老水厂</w:t>
            </w:r>
          </w:p>
        </w:tc>
      </w:tr>
      <w:tr w14:paraId="1FFB6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D9FF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B48A2">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长乐营业所</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652CA89D">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900</w:t>
            </w:r>
          </w:p>
        </w:tc>
        <w:tc>
          <w:tcPr>
            <w:tcW w:w="3728" w:type="dxa"/>
            <w:tcBorders>
              <w:top w:val="single" w:color="auto" w:sz="4" w:space="0"/>
              <w:left w:val="single" w:color="auto" w:sz="4" w:space="0"/>
              <w:bottom w:val="single" w:color="auto" w:sz="4" w:space="0"/>
              <w:right w:val="single" w:color="auto" w:sz="4" w:space="0"/>
            </w:tcBorders>
            <w:shd w:val="clear" w:color="auto" w:fill="auto"/>
            <w:vAlign w:val="center"/>
          </w:tcPr>
          <w:p w14:paraId="69CF8806">
            <w:pPr>
              <w:keepNext w:val="0"/>
              <w:keepLines w:val="0"/>
              <w:widowControl/>
              <w:suppressLineNumbers w:val="0"/>
              <w:jc w:val="left"/>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长乐镇西街16号</w:t>
            </w:r>
          </w:p>
        </w:tc>
      </w:tr>
    </w:tbl>
    <w:p w14:paraId="2C606B3D">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保险责任</w:t>
      </w:r>
    </w:p>
    <w:p w14:paraId="7208979F">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单张保单累计赔偿限额200万元，每次事故赔偿限额200万元，每次事故财产损失赔偿限额50万元，每人人身伤亡赔偿限额150万元（其中医疗费用赔偿限额5万元）。</w:t>
      </w:r>
      <w:r>
        <w:rPr>
          <w:rFonts w:hint="eastAsia" w:ascii="仿宋" w:hAnsi="仿宋" w:eastAsia="仿宋" w:cs="仿宋"/>
          <w:color w:val="auto"/>
          <w:sz w:val="24"/>
          <w:szCs w:val="24"/>
          <w:highlight w:val="none"/>
          <w:lang w:val="en-US" w:eastAsia="zh-CN"/>
        </w:rPr>
        <w:t>注：每次事故：指不论一次事故或一个事件引起的一系列事故。</w:t>
      </w:r>
    </w:p>
    <w:p w14:paraId="27BBF21F">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lang w:val="zh-CN"/>
        </w:rPr>
        <w:t>发生保险责任事故后，被保险人为缩小或减少对第三者人身伤亡或财产损失的赔偿责任所支付的必要的、合理的费用。</w:t>
      </w:r>
    </w:p>
    <w:p w14:paraId="1FC7FC6D">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2.3 </w:t>
      </w:r>
      <w:r>
        <w:rPr>
          <w:rFonts w:hint="eastAsia" w:ascii="仿宋" w:hAnsi="仿宋" w:eastAsia="仿宋" w:cs="仿宋"/>
          <w:color w:val="auto"/>
          <w:sz w:val="24"/>
          <w:szCs w:val="24"/>
          <w:highlight w:val="none"/>
        </w:rPr>
        <w:t>每次事故免赔额/率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每次事故免赔1000元或损失的10%，两者以高</w:t>
      </w:r>
      <w:r>
        <w:rPr>
          <w:rFonts w:hint="eastAsia" w:ascii="仿宋" w:hAnsi="仿宋" w:eastAsia="仿宋" w:cs="仿宋"/>
          <w:color w:val="auto"/>
          <w:sz w:val="24"/>
          <w:szCs w:val="24"/>
          <w:highlight w:val="none"/>
          <w:lang w:val="en-US" w:eastAsia="zh-CN"/>
        </w:rPr>
        <w:t>者</w:t>
      </w:r>
      <w:r>
        <w:rPr>
          <w:rFonts w:hint="eastAsia" w:ascii="仿宋" w:hAnsi="仿宋" w:eastAsia="仿宋" w:cs="仿宋"/>
          <w:color w:val="auto"/>
          <w:sz w:val="24"/>
          <w:szCs w:val="24"/>
          <w:highlight w:val="none"/>
        </w:rPr>
        <w:t>为准。</w:t>
      </w:r>
    </w:p>
    <w:p w14:paraId="76210F41">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人身医疗费用扣除每次事故绝对免赔额RMB500.00后按90%比例赔付，医疗费用参照当地社保标准，最高不超过每人赔偿限额</w:t>
      </w:r>
      <w:r>
        <w:rPr>
          <w:rFonts w:hint="eastAsia" w:ascii="仿宋" w:hAnsi="仿宋" w:eastAsia="仿宋" w:cs="仿宋"/>
          <w:color w:val="auto"/>
          <w:sz w:val="24"/>
          <w:szCs w:val="24"/>
          <w:highlight w:val="none"/>
          <w:lang w:eastAsia="zh-CN"/>
        </w:rPr>
        <w:t>。</w:t>
      </w:r>
    </w:p>
    <w:p w14:paraId="50705945">
      <w:pPr>
        <w:keepNext w:val="0"/>
        <w:keepLines w:val="0"/>
        <w:pageBreakBefore w:val="0"/>
        <w:numPr>
          <w:ilvl w:val="0"/>
          <w:numId w:val="8"/>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服务要求</w:t>
      </w:r>
    </w:p>
    <w:p w14:paraId="6FEA814C">
      <w:pPr>
        <w:keepNext w:val="0"/>
        <w:keepLines w:val="0"/>
        <w:pageBreakBefore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向采购人提供专员全程上门服务；采购人经电话预约后，中标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应在</w:t>
      </w:r>
      <w:r>
        <w:rPr>
          <w:rFonts w:hint="eastAsia" w:ascii="仿宋" w:hAnsi="仿宋" w:eastAsia="仿宋" w:cs="仿宋"/>
          <w:color w:val="auto"/>
          <w:sz w:val="24"/>
          <w:szCs w:val="24"/>
          <w:highlight w:val="none"/>
          <w:lang w:val="en-US" w:eastAsia="zh-CN"/>
        </w:rPr>
        <w:t>30分钟</w:t>
      </w:r>
      <w:r>
        <w:rPr>
          <w:rFonts w:hint="eastAsia" w:ascii="仿宋" w:hAnsi="仿宋" w:eastAsia="仿宋" w:cs="仿宋"/>
          <w:color w:val="auto"/>
          <w:sz w:val="24"/>
          <w:szCs w:val="24"/>
          <w:highlight w:val="none"/>
        </w:rPr>
        <w:t>内派服务专员上门提供咨询、出单、送单、批改、保单维护等系列承保服务。</w:t>
      </w:r>
    </w:p>
    <w:p w14:paraId="130764B8">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提供的服务成果在服务质量保证期内未达到服务承诺要求，应负责免费提供后续服务。对达不到响应服务要求的，根据实际情况，按以下办法处理：</w:t>
      </w:r>
    </w:p>
    <w:p w14:paraId="668B5C3D">
      <w:pPr>
        <w:keepNext w:val="0"/>
        <w:keepLines w:val="0"/>
        <w:pageBreakBefore w:val="0"/>
        <w:kinsoku/>
        <w:wordWrap/>
        <w:overflowPunct/>
        <w:topLinePunct w:val="0"/>
        <w:autoSpaceDE/>
        <w:autoSpaceDN/>
        <w:bidi w:val="0"/>
        <w:adjustRightInd/>
        <w:snapToGrid w:val="0"/>
        <w:spacing w:line="460" w:lineRule="exact"/>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成立专项服务小组限期解决。</w:t>
      </w:r>
    </w:p>
    <w:p w14:paraId="513B859C">
      <w:pPr>
        <w:keepNext w:val="0"/>
        <w:keepLines w:val="0"/>
        <w:pageBreakBefore w:val="0"/>
        <w:kinsoku/>
        <w:wordWrap/>
        <w:overflowPunct/>
        <w:topLinePunct w:val="0"/>
        <w:autoSpaceDE/>
        <w:autoSpaceDN/>
        <w:bidi w:val="0"/>
        <w:adjustRightInd/>
        <w:snapToGrid w:val="0"/>
        <w:spacing w:line="460" w:lineRule="exact"/>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在采购人驻点直至服务满意。</w:t>
      </w:r>
    </w:p>
    <w:p w14:paraId="74B27B63">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、如在服务过程中发生问题，中标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需在接到采购人通知后在</w:t>
      </w:r>
      <w:r>
        <w:rPr>
          <w:rFonts w:hint="eastAsia" w:ascii="仿宋" w:hAnsi="仿宋" w:eastAsia="仿宋" w:cs="仿宋"/>
          <w:color w:val="auto"/>
          <w:sz w:val="24"/>
          <w:szCs w:val="24"/>
          <w:highlight w:val="none"/>
          <w:lang w:val="en-US" w:eastAsia="zh-CN"/>
        </w:rPr>
        <w:t>30分钟</w:t>
      </w:r>
      <w:r>
        <w:rPr>
          <w:rFonts w:hint="eastAsia" w:ascii="仿宋" w:hAnsi="仿宋" w:eastAsia="仿宋" w:cs="仿宋"/>
          <w:color w:val="auto"/>
          <w:sz w:val="24"/>
          <w:szCs w:val="24"/>
          <w:highlight w:val="none"/>
        </w:rPr>
        <w:t>内到达采购人现场解决问题。</w:t>
      </w:r>
    </w:p>
    <w:p w14:paraId="78E6089D">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4在服务质量保证期内，中标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应自行承担服务过程中产生的一切费用。</w:t>
      </w:r>
    </w:p>
    <w:p w14:paraId="30CA579B">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理赔服务</w:t>
      </w:r>
    </w:p>
    <w:p w14:paraId="3E341407">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需设立专线报案电话和受理投诉监督电话，全年365天*24小时接收投保服务。</w:t>
      </w:r>
    </w:p>
    <w:p w14:paraId="4A00770A">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（2）当中标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到采购人投保报案后，应尽快安排电话回访，并对采购人在治疗过程中的用药及医院的选择给予建议，告知客户理赔所需资料。采购人准备好理赔材料后通知中标供应商，中标供应商应安排服务专员上门收取。</w:t>
      </w:r>
    </w:p>
    <w:p w14:paraId="0758E619">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（3）当中标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接到采购人投保报案后，需在现场查勘后1个工作日内向采购人反馈明确的立案意见，如属于保险责任范围内的事故，出具索赔资料清单及案件立案编号，一次性明确告知需要提交的单证资料。</w:t>
      </w:r>
    </w:p>
    <w:p w14:paraId="19F195F8">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在收到采购人提交的索赔资料后应做好记录和审核工作，若索赔资料不完整，应在2个工作日内一次性通知采购人补充资料，否则视为索赔资料齐全。</w:t>
      </w:r>
    </w:p>
    <w:p w14:paraId="72E43015">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发生保险范围内的一般责任事故时，损失金额在一万元人民币及以下的，采购人提供索赔单证齐全后，中标供应商需在三个工作日内予以赔付；损失金额在一万元人民币以上的，采购人提供索赔单证齐全后，在十个工作日内予以赔付。</w:t>
      </w:r>
    </w:p>
    <w:p w14:paraId="7CA4F71D">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（5）在发生保险范围内的重大责任事故时，事故责任明确且估计损失金额超过五万元人民币的，中标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应采用预付款方式，在采购人提交索赔单证齐全后的三个工作日内先行赔付估计损失费用的50%，并指定专人协助采购人共同处理赔偿及相关协商洽谈。</w:t>
      </w:r>
    </w:p>
    <w:p w14:paraId="34DCAADA">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雇主责任险</w:t>
      </w:r>
    </w:p>
    <w:p w14:paraId="315072A2">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1、保险</w:t>
      </w:r>
      <w:r>
        <w:rPr>
          <w:rFonts w:hint="eastAsia" w:ascii="仿宋" w:hAnsi="仿宋" w:eastAsia="仿宋" w:cs="仿宋"/>
          <w:color w:val="auto"/>
          <w:sz w:val="24"/>
          <w:szCs w:val="24"/>
          <w:highlight w:val="none"/>
          <w:lang w:val="en-US" w:eastAsia="zh-CN"/>
        </w:rPr>
        <w:t>标的</w:t>
      </w:r>
    </w:p>
    <w:p w14:paraId="72925D2A">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嵊州市水务投资发展集团有限公司及下属子公司的雇员</w:t>
      </w:r>
      <w:r>
        <w:rPr>
          <w:rFonts w:hint="eastAsia" w:ascii="仿宋" w:hAnsi="仿宋" w:eastAsia="仿宋" w:cs="仿宋"/>
          <w:color w:val="auto"/>
          <w:sz w:val="24"/>
          <w:szCs w:val="24"/>
          <w:highlight w:val="none"/>
          <w:lang w:val="en-US" w:eastAsia="zh-CN"/>
        </w:rPr>
        <w:t>约350人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具体</w:t>
      </w: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highlight w:val="none"/>
          <w:lang w:val="en-US" w:eastAsia="zh-CN"/>
        </w:rPr>
        <w:t>中标后采购人</w:t>
      </w:r>
      <w:r>
        <w:rPr>
          <w:rFonts w:hint="eastAsia" w:ascii="仿宋" w:hAnsi="仿宋" w:eastAsia="仿宋" w:cs="仿宋"/>
          <w:color w:val="auto"/>
          <w:sz w:val="24"/>
          <w:szCs w:val="24"/>
          <w:highlight w:val="none"/>
        </w:rPr>
        <w:t>提供雇员清单为准。</w:t>
      </w:r>
    </w:p>
    <w:p w14:paraId="527D31B4">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保险责任</w:t>
      </w:r>
    </w:p>
    <w:p w14:paraId="16045646">
      <w:pPr>
        <w:pStyle w:val="122"/>
        <w:keepNext w:val="0"/>
        <w:keepLines w:val="0"/>
        <w:pageBreakBefore w:val="0"/>
        <w:widowControl w:val="0"/>
        <w:kinsoku/>
        <w:wordWrap/>
        <w:overflowPunct/>
        <w:topLinePunct w:val="0"/>
        <w:autoSpaceDE/>
        <w:autoSpaceDN/>
        <w:bidi w:val="0"/>
        <w:adjustRightInd/>
        <w:spacing w:line="460" w:lineRule="exact"/>
        <w:ind w:left="126"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每人每次事故伤亡赔偿责任限额120万元，每人每次事故医疗费用赔偿责任限额12万元，每人每次事故误工费用赔偿责任限额120元/天，附加“扩展伤残等级十级5%”、“扩展24小时”责任。</w:t>
      </w:r>
    </w:p>
    <w:p w14:paraId="4F041276">
      <w:pPr>
        <w:keepNext w:val="0"/>
        <w:keepLines w:val="0"/>
        <w:pageBreakBefore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z w:val="24"/>
          <w:szCs w:val="24"/>
          <w:highlight w:val="none"/>
          <w:lang w:val="en-US" w:eastAsia="zh-CN"/>
        </w:rPr>
        <w:t>3、服务要求</w:t>
      </w:r>
    </w:p>
    <w:p w14:paraId="134B2E04">
      <w:pPr>
        <w:keepNext w:val="0"/>
        <w:keepLines w:val="0"/>
        <w:pageBreakBefore w:val="0"/>
        <w:widowControl w:val="0"/>
        <w:kinsoku/>
        <w:wordWrap/>
        <w:overflowPunct/>
        <w:topLinePunct w:val="0"/>
        <w:autoSpaceDE/>
        <w:autoSpaceDN/>
        <w:bidi w:val="0"/>
        <w:adjustRightInd/>
        <w:snapToGrid/>
        <w:spacing w:line="460" w:lineRule="exact"/>
        <w:ind w:right="110" w:firstLine="47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3.1</w:t>
      </w:r>
      <w:r>
        <w:rPr>
          <w:rFonts w:hint="eastAsia" w:ascii="仿宋" w:hAnsi="仿宋" w:eastAsia="仿宋" w:cs="仿宋"/>
          <w:color w:val="auto"/>
          <w:spacing w:val="-2"/>
          <w:sz w:val="24"/>
          <w:szCs w:val="24"/>
          <w:highlight w:val="none"/>
        </w:rPr>
        <w:t>发生保险事故后，因保险事故造成雇员伤亡所产生的医疗费用，对于其中超过国家基本医疗保</w:t>
      </w:r>
      <w:r>
        <w:rPr>
          <w:rFonts w:hint="eastAsia" w:ascii="仿宋" w:hAnsi="仿宋" w:eastAsia="仿宋" w:cs="仿宋"/>
          <w:color w:val="auto"/>
          <w:spacing w:val="-1"/>
          <w:sz w:val="24"/>
          <w:szCs w:val="24"/>
          <w:highlight w:val="none"/>
        </w:rPr>
        <w:t>险同类医疗费用标准的部分</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1"/>
          <w:sz w:val="24"/>
          <w:szCs w:val="24"/>
          <w:highlight w:val="none"/>
        </w:rPr>
        <w:t>，在相关保险责任限额内予以全额赔付；</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1"/>
          <w:sz w:val="24"/>
          <w:szCs w:val="24"/>
          <w:highlight w:val="none"/>
        </w:rPr>
        <w:t>医疗费用</w:t>
      </w:r>
      <w:r>
        <w:rPr>
          <w:rFonts w:hint="eastAsia" w:ascii="仿宋" w:hAnsi="仿宋" w:eastAsia="仿宋" w:cs="仿宋"/>
          <w:color w:val="auto"/>
          <w:spacing w:val="-2"/>
          <w:sz w:val="24"/>
          <w:szCs w:val="24"/>
          <w:highlight w:val="none"/>
        </w:rPr>
        <w:t>免赔为扣除100元后按100%赔付。</w:t>
      </w:r>
    </w:p>
    <w:p w14:paraId="5EC6A4CB">
      <w:pPr>
        <w:keepNext w:val="0"/>
        <w:keepLines w:val="0"/>
        <w:pageBreakBefore w:val="0"/>
        <w:widowControl w:val="0"/>
        <w:kinsoku/>
        <w:wordWrap/>
        <w:overflowPunct/>
        <w:topLinePunct w:val="0"/>
        <w:autoSpaceDE/>
        <w:autoSpaceDN/>
        <w:bidi w:val="0"/>
        <w:adjustRightInd/>
        <w:snapToGrid/>
        <w:spacing w:line="460" w:lineRule="exact"/>
        <w:ind w:firstLine="47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3.2</w:t>
      </w:r>
      <w:r>
        <w:rPr>
          <w:rFonts w:hint="eastAsia" w:ascii="仿宋" w:hAnsi="仿宋" w:eastAsia="仿宋" w:cs="仿宋"/>
          <w:color w:val="auto"/>
          <w:spacing w:val="-2"/>
          <w:sz w:val="24"/>
          <w:szCs w:val="24"/>
          <w:highlight w:val="none"/>
        </w:rPr>
        <w:t>发生主险条款保险事故导致被保险人雇员出现永久丧失部分工作能力的情况，保险人将按伤残</w:t>
      </w:r>
      <w:r>
        <w:rPr>
          <w:rFonts w:hint="eastAsia" w:ascii="仿宋" w:hAnsi="仿宋" w:eastAsia="仿宋" w:cs="仿宋"/>
          <w:color w:val="auto"/>
          <w:spacing w:val="6"/>
          <w:sz w:val="24"/>
          <w:szCs w:val="24"/>
          <w:highlight w:val="none"/>
        </w:rPr>
        <w:t>鉴定机构出具的伤残程度鉴定书</w:t>
      </w:r>
      <w:r>
        <w:rPr>
          <w:rFonts w:hint="eastAsia" w:ascii="仿宋" w:hAnsi="仿宋" w:eastAsia="仿宋" w:cs="仿宋"/>
          <w:color w:val="auto"/>
          <w:spacing w:val="-27"/>
          <w:sz w:val="24"/>
          <w:szCs w:val="24"/>
          <w:highlight w:val="none"/>
        </w:rPr>
        <w:t xml:space="preserve"> </w:t>
      </w:r>
      <w:r>
        <w:rPr>
          <w:rFonts w:hint="eastAsia" w:ascii="仿宋" w:hAnsi="仿宋" w:eastAsia="仿宋" w:cs="仿宋"/>
          <w:color w:val="auto"/>
          <w:spacing w:val="6"/>
          <w:sz w:val="24"/>
          <w:szCs w:val="24"/>
          <w:highlight w:val="none"/>
        </w:rPr>
        <w:t>，并对照国家发布的《劳动能力鉴定职工</w:t>
      </w:r>
      <w:r>
        <w:rPr>
          <w:rFonts w:hint="eastAsia" w:ascii="仿宋" w:hAnsi="仿宋" w:eastAsia="仿宋" w:cs="仿宋"/>
          <w:color w:val="auto"/>
          <w:spacing w:val="5"/>
          <w:sz w:val="24"/>
          <w:szCs w:val="24"/>
          <w:highlight w:val="none"/>
        </w:rPr>
        <w:t>工伤与职业病致残等级》</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z w:val="24"/>
          <w:szCs w:val="24"/>
          <w:highlight w:val="none"/>
        </w:rPr>
        <w:t>GB</w:t>
      </w:r>
      <w:r>
        <w:rPr>
          <w:rFonts w:hint="eastAsia" w:ascii="仿宋" w:hAnsi="仿宋" w:eastAsia="仿宋" w:cs="仿宋"/>
          <w:color w:val="auto"/>
          <w:spacing w:val="1"/>
          <w:sz w:val="24"/>
          <w:szCs w:val="24"/>
          <w:highlight w:val="none"/>
        </w:rPr>
        <w:t>/T16180-2014</w:t>
      </w:r>
      <w:r>
        <w:rPr>
          <w:rFonts w:hint="eastAsia" w:ascii="仿宋" w:hAnsi="仿宋" w:eastAsia="仿宋" w:cs="仿宋"/>
          <w:color w:val="auto"/>
          <w:spacing w:val="-10"/>
          <w:sz w:val="24"/>
          <w:szCs w:val="24"/>
          <w:highlight w:val="none"/>
        </w:rPr>
        <w:t>）（</w:t>
      </w:r>
      <w:r>
        <w:rPr>
          <w:rFonts w:hint="eastAsia" w:ascii="仿宋" w:hAnsi="仿宋" w:eastAsia="仿宋" w:cs="仿宋"/>
          <w:color w:val="auto"/>
          <w:spacing w:val="1"/>
          <w:sz w:val="24"/>
          <w:szCs w:val="24"/>
          <w:highlight w:val="none"/>
        </w:rPr>
        <w:t>以下称《伤残鉴定标准》）确定伤残等级而支付</w:t>
      </w:r>
      <w:r>
        <w:rPr>
          <w:rFonts w:hint="eastAsia" w:ascii="仿宋" w:hAnsi="仿宋" w:eastAsia="仿宋" w:cs="仿宋"/>
          <w:color w:val="auto"/>
          <w:sz w:val="24"/>
          <w:szCs w:val="24"/>
          <w:highlight w:val="none"/>
        </w:rPr>
        <w:t>相应赔偿金。相应的赔偿限</w:t>
      </w:r>
      <w:r>
        <w:rPr>
          <w:rFonts w:hint="eastAsia" w:ascii="仿宋" w:hAnsi="仿宋" w:eastAsia="仿宋" w:cs="仿宋"/>
          <w:color w:val="auto"/>
          <w:spacing w:val="2"/>
          <w:sz w:val="24"/>
          <w:szCs w:val="24"/>
          <w:highlight w:val="none"/>
        </w:rPr>
        <w:t>额为该伤残等级所对应的下列“伤残等级赔</w:t>
      </w:r>
      <w:r>
        <w:rPr>
          <w:rFonts w:hint="eastAsia" w:ascii="仿宋" w:hAnsi="仿宋" w:eastAsia="仿宋" w:cs="仿宋"/>
          <w:color w:val="auto"/>
          <w:spacing w:val="1"/>
          <w:sz w:val="24"/>
          <w:szCs w:val="24"/>
          <w:highlight w:val="none"/>
        </w:rPr>
        <w:t>偿限额比例表”的比例乘以每人死亡伤残赔偿限额所得金</w:t>
      </w:r>
      <w:r>
        <w:rPr>
          <w:rFonts w:hint="eastAsia" w:ascii="仿宋" w:hAnsi="仿宋" w:eastAsia="仿宋" w:cs="仿宋"/>
          <w:color w:val="auto"/>
          <w:spacing w:val="-4"/>
          <w:sz w:val="24"/>
          <w:szCs w:val="24"/>
          <w:highlight w:val="none"/>
        </w:rPr>
        <w:t>额。具体比例如下：按一级 100%，二级 80%，三级</w:t>
      </w:r>
      <w:r>
        <w:rPr>
          <w:rFonts w:hint="eastAsia" w:ascii="仿宋" w:hAnsi="仿宋" w:eastAsia="仿宋" w:cs="仿宋"/>
          <w:color w:val="auto"/>
          <w:spacing w:val="-4"/>
          <w:sz w:val="24"/>
          <w:szCs w:val="24"/>
          <w:highlight w:val="none"/>
          <w:lang w:val="en-US" w:eastAsia="zh-CN"/>
        </w:rPr>
        <w:t>70</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4"/>
          <w:sz w:val="24"/>
          <w:szCs w:val="24"/>
          <w:highlight w:val="none"/>
        </w:rPr>
        <w:t>，四</w:t>
      </w:r>
      <w:r>
        <w:rPr>
          <w:rFonts w:hint="eastAsia" w:ascii="仿宋" w:hAnsi="仿宋" w:eastAsia="仿宋" w:cs="仿宋"/>
          <w:color w:val="auto"/>
          <w:spacing w:val="-4"/>
          <w:sz w:val="24"/>
          <w:szCs w:val="24"/>
          <w:highlight w:val="none"/>
          <w:lang w:val="en-US" w:eastAsia="zh-CN"/>
        </w:rPr>
        <w:t>级60</w:t>
      </w:r>
      <w:r>
        <w:rPr>
          <w:rFonts w:hint="eastAsia" w:ascii="仿宋" w:hAnsi="仿宋" w:eastAsia="仿宋" w:cs="仿宋"/>
          <w:color w:val="auto"/>
          <w:spacing w:val="-4"/>
          <w:sz w:val="24"/>
          <w:szCs w:val="24"/>
          <w:highlight w:val="none"/>
        </w:rPr>
        <w:t>%，五级</w:t>
      </w:r>
      <w:r>
        <w:rPr>
          <w:rFonts w:hint="eastAsia" w:ascii="仿宋" w:hAnsi="仿宋" w:eastAsia="仿宋" w:cs="仿宋"/>
          <w:color w:val="auto"/>
          <w:spacing w:val="-4"/>
          <w:sz w:val="24"/>
          <w:szCs w:val="24"/>
          <w:highlight w:val="none"/>
          <w:lang w:val="en-US" w:eastAsia="zh-CN"/>
        </w:rPr>
        <w:t>50</w:t>
      </w:r>
      <w:r>
        <w:rPr>
          <w:rFonts w:hint="eastAsia" w:ascii="仿宋" w:hAnsi="仿宋" w:eastAsia="仿宋" w:cs="仿宋"/>
          <w:color w:val="auto"/>
          <w:spacing w:val="-4"/>
          <w:sz w:val="24"/>
          <w:szCs w:val="24"/>
          <w:highlight w:val="none"/>
        </w:rPr>
        <w:t>%，六级</w:t>
      </w:r>
      <w:r>
        <w:rPr>
          <w:rFonts w:hint="eastAsia" w:ascii="仿宋" w:hAnsi="仿宋" w:eastAsia="仿宋" w:cs="仿宋"/>
          <w:color w:val="auto"/>
          <w:spacing w:val="-4"/>
          <w:sz w:val="24"/>
          <w:szCs w:val="24"/>
          <w:highlight w:val="none"/>
          <w:lang w:val="en-US" w:eastAsia="zh-CN"/>
        </w:rPr>
        <w:t>40</w:t>
      </w:r>
      <w:r>
        <w:rPr>
          <w:rFonts w:hint="eastAsia" w:ascii="仿宋" w:hAnsi="仿宋" w:eastAsia="仿宋" w:cs="仿宋"/>
          <w:color w:val="auto"/>
          <w:spacing w:val="-4"/>
          <w:sz w:val="24"/>
          <w:szCs w:val="24"/>
          <w:highlight w:val="none"/>
        </w:rPr>
        <w:t>%，七</w:t>
      </w:r>
      <w:r>
        <w:rPr>
          <w:rFonts w:hint="eastAsia" w:ascii="仿宋" w:hAnsi="仿宋" w:eastAsia="仿宋" w:cs="仿宋"/>
          <w:color w:val="auto"/>
          <w:spacing w:val="-6"/>
          <w:sz w:val="24"/>
          <w:szCs w:val="24"/>
          <w:highlight w:val="none"/>
        </w:rPr>
        <w:t>级</w:t>
      </w:r>
      <w:r>
        <w:rPr>
          <w:rFonts w:hint="eastAsia" w:ascii="仿宋" w:hAnsi="仿宋" w:eastAsia="仿宋" w:cs="仿宋"/>
          <w:color w:val="auto"/>
          <w:spacing w:val="-6"/>
          <w:sz w:val="24"/>
          <w:szCs w:val="24"/>
          <w:highlight w:val="none"/>
          <w:lang w:val="en-US" w:eastAsia="zh-CN"/>
        </w:rPr>
        <w:t>30</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25"/>
          <w:sz w:val="24"/>
          <w:szCs w:val="24"/>
          <w:highlight w:val="none"/>
        </w:rPr>
        <w:t xml:space="preserve"> </w:t>
      </w:r>
      <w:r>
        <w:rPr>
          <w:rFonts w:hint="eastAsia" w:ascii="仿宋" w:hAnsi="仿宋" w:eastAsia="仿宋" w:cs="仿宋"/>
          <w:color w:val="auto"/>
          <w:spacing w:val="-6"/>
          <w:sz w:val="24"/>
          <w:szCs w:val="24"/>
          <w:highlight w:val="none"/>
        </w:rPr>
        <w:t>，八级</w:t>
      </w:r>
      <w:r>
        <w:rPr>
          <w:rFonts w:hint="eastAsia" w:ascii="仿宋" w:hAnsi="仿宋" w:eastAsia="仿宋" w:cs="仿宋"/>
          <w:color w:val="auto"/>
          <w:spacing w:val="-6"/>
          <w:sz w:val="24"/>
          <w:szCs w:val="24"/>
          <w:highlight w:val="none"/>
          <w:lang w:val="en-US" w:eastAsia="zh-CN"/>
        </w:rPr>
        <w:t>20</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6"/>
          <w:sz w:val="24"/>
          <w:szCs w:val="24"/>
          <w:highlight w:val="none"/>
        </w:rPr>
        <w:t>，九级</w:t>
      </w:r>
      <w:r>
        <w:rPr>
          <w:rFonts w:hint="eastAsia" w:ascii="仿宋" w:hAnsi="仿宋" w:eastAsia="仿宋" w:cs="仿宋"/>
          <w:color w:val="auto"/>
          <w:spacing w:val="-6"/>
          <w:sz w:val="24"/>
          <w:szCs w:val="24"/>
          <w:highlight w:val="none"/>
          <w:lang w:val="en-US" w:eastAsia="zh-CN"/>
        </w:rPr>
        <w:t>10</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6"/>
          <w:sz w:val="24"/>
          <w:szCs w:val="24"/>
          <w:highlight w:val="none"/>
        </w:rPr>
        <w:t>，十级</w:t>
      </w:r>
      <w:r>
        <w:rPr>
          <w:rFonts w:hint="eastAsia" w:ascii="仿宋" w:hAnsi="仿宋" w:eastAsia="仿宋" w:cs="仿宋"/>
          <w:color w:val="auto"/>
          <w:spacing w:val="-6"/>
          <w:sz w:val="24"/>
          <w:szCs w:val="24"/>
          <w:highlight w:val="none"/>
          <w:lang w:val="en-US" w:eastAsia="zh-CN"/>
        </w:rPr>
        <w:t>5</w:t>
      </w:r>
      <w:r>
        <w:rPr>
          <w:rFonts w:hint="eastAsia" w:ascii="仿宋" w:hAnsi="仿宋" w:eastAsia="仿宋" w:cs="仿宋"/>
          <w:color w:val="auto"/>
          <w:spacing w:val="-6"/>
          <w:sz w:val="24"/>
          <w:szCs w:val="24"/>
          <w:highlight w:val="none"/>
        </w:rPr>
        <w:t>%赔付。</w:t>
      </w:r>
    </w:p>
    <w:p w14:paraId="79891247">
      <w:pPr>
        <w:keepNext w:val="0"/>
        <w:keepLines w:val="0"/>
        <w:pageBreakBefore w:val="0"/>
        <w:widowControl w:val="0"/>
        <w:kinsoku/>
        <w:wordWrap/>
        <w:overflowPunct/>
        <w:topLinePunct w:val="0"/>
        <w:autoSpaceDE/>
        <w:autoSpaceDN/>
        <w:bidi w:val="0"/>
        <w:adjustRightInd/>
        <w:snapToGrid/>
        <w:spacing w:line="460" w:lineRule="exact"/>
        <w:ind w:firstLine="46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val="en-US" w:eastAsia="zh-CN"/>
        </w:rPr>
        <w:t>3.3</w:t>
      </w:r>
      <w:r>
        <w:rPr>
          <w:rFonts w:hint="eastAsia" w:ascii="仿宋" w:hAnsi="仿宋" w:eastAsia="仿宋" w:cs="仿宋"/>
          <w:color w:val="auto"/>
          <w:spacing w:val="-3"/>
          <w:sz w:val="24"/>
          <w:szCs w:val="24"/>
          <w:highlight w:val="none"/>
        </w:rPr>
        <w:t>材料核定时限</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1"/>
          <w:sz w:val="24"/>
          <w:szCs w:val="24"/>
          <w:highlight w:val="none"/>
        </w:rPr>
        <w:t>保险事故发生后</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1"/>
          <w:sz w:val="24"/>
          <w:szCs w:val="24"/>
          <w:highlight w:val="none"/>
        </w:rPr>
        <w:t>，被保险人依据保险合同约定向保险人提交理赔所需的有关证明和资料。保</w:t>
      </w:r>
      <w:r>
        <w:rPr>
          <w:rFonts w:hint="eastAsia" w:ascii="仿宋" w:hAnsi="仿宋" w:eastAsia="仿宋" w:cs="仿宋"/>
          <w:color w:val="auto"/>
          <w:sz w:val="24"/>
          <w:szCs w:val="24"/>
          <w:highlight w:val="none"/>
        </w:rPr>
        <w:t>险人</w:t>
      </w:r>
      <w:r>
        <w:rPr>
          <w:rFonts w:hint="eastAsia" w:ascii="仿宋" w:hAnsi="仿宋" w:eastAsia="仿宋" w:cs="仿宋"/>
          <w:color w:val="auto"/>
          <w:spacing w:val="1"/>
          <w:sz w:val="24"/>
          <w:szCs w:val="24"/>
          <w:highlight w:val="none"/>
        </w:rPr>
        <w:t>认为有关证明和资料不完整</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pacing w:val="1"/>
          <w:sz w:val="24"/>
          <w:szCs w:val="24"/>
          <w:highlight w:val="none"/>
        </w:rPr>
        <w:t>，应当在收到索赔资料之日起</w:t>
      </w:r>
      <w:r>
        <w:rPr>
          <w:rFonts w:hint="eastAsia" w:ascii="仿宋" w:hAnsi="仿宋" w:eastAsia="仿宋" w:cs="仿宋"/>
          <w:color w:val="auto"/>
          <w:spacing w:val="1"/>
          <w:sz w:val="24"/>
          <w:szCs w:val="24"/>
          <w:highlight w:val="none"/>
          <w:lang w:val="en-US" w:eastAsia="zh-CN"/>
        </w:rPr>
        <w:t>三</w:t>
      </w:r>
      <w:r>
        <w:rPr>
          <w:rFonts w:hint="eastAsia" w:ascii="仿宋" w:hAnsi="仿宋" w:eastAsia="仿宋" w:cs="仿宋"/>
          <w:color w:val="auto"/>
          <w:spacing w:val="1"/>
          <w:sz w:val="24"/>
          <w:szCs w:val="24"/>
          <w:highlight w:val="none"/>
        </w:rPr>
        <w:t>个</w:t>
      </w:r>
      <w:r>
        <w:rPr>
          <w:rFonts w:hint="eastAsia" w:ascii="仿宋" w:hAnsi="仿宋" w:eastAsia="仿宋" w:cs="仿宋"/>
          <w:color w:val="auto"/>
          <w:sz w:val="24"/>
          <w:szCs w:val="24"/>
          <w:highlight w:val="none"/>
        </w:rPr>
        <w:t>工作日内一次性书面通知被保险人补充</w:t>
      </w:r>
      <w:r>
        <w:rPr>
          <w:rFonts w:hint="eastAsia" w:ascii="仿宋" w:hAnsi="仿宋" w:eastAsia="仿宋" w:cs="仿宋"/>
          <w:color w:val="auto"/>
          <w:spacing w:val="1"/>
          <w:sz w:val="24"/>
          <w:szCs w:val="24"/>
          <w:highlight w:val="none"/>
        </w:rPr>
        <w:t>提供。在收到索赔资料</w:t>
      </w:r>
      <w:r>
        <w:rPr>
          <w:rFonts w:hint="eastAsia" w:ascii="仿宋" w:hAnsi="仿宋" w:eastAsia="仿宋" w:cs="仿宋"/>
          <w:color w:val="auto"/>
          <w:spacing w:val="1"/>
          <w:sz w:val="24"/>
          <w:szCs w:val="24"/>
          <w:highlight w:val="none"/>
          <w:lang w:val="en-US" w:eastAsia="zh-CN"/>
        </w:rPr>
        <w:t>三</w:t>
      </w:r>
      <w:r>
        <w:rPr>
          <w:rFonts w:hint="eastAsia" w:ascii="仿宋" w:hAnsi="仿宋" w:eastAsia="仿宋" w:cs="仿宋"/>
          <w:color w:val="auto"/>
          <w:spacing w:val="1"/>
          <w:sz w:val="24"/>
          <w:szCs w:val="24"/>
          <w:highlight w:val="none"/>
        </w:rPr>
        <w:t>个工作日之内保险人未履行一次性的书面</w:t>
      </w:r>
      <w:r>
        <w:rPr>
          <w:rFonts w:hint="eastAsia" w:ascii="仿宋" w:hAnsi="仿宋" w:eastAsia="仿宋" w:cs="仿宋"/>
          <w:color w:val="auto"/>
          <w:sz w:val="24"/>
          <w:szCs w:val="24"/>
          <w:highlight w:val="none"/>
        </w:rPr>
        <w:t>通知义务的</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z w:val="24"/>
          <w:szCs w:val="24"/>
          <w:highlight w:val="none"/>
        </w:rPr>
        <w:t>，则视为保险人认可索</w:t>
      </w:r>
      <w:r>
        <w:rPr>
          <w:rFonts w:hint="eastAsia" w:ascii="仿宋" w:hAnsi="仿宋" w:eastAsia="仿宋" w:cs="仿宋"/>
          <w:color w:val="auto"/>
          <w:spacing w:val="-2"/>
          <w:sz w:val="24"/>
          <w:szCs w:val="24"/>
          <w:highlight w:val="none"/>
        </w:rPr>
        <w:t>赔资料完整</w:t>
      </w:r>
      <w:r>
        <w:rPr>
          <w:rFonts w:hint="eastAsia" w:ascii="仿宋" w:hAnsi="仿宋" w:eastAsia="仿宋" w:cs="仿宋"/>
          <w:color w:val="auto"/>
          <w:spacing w:val="-25"/>
          <w:sz w:val="24"/>
          <w:szCs w:val="24"/>
          <w:highlight w:val="none"/>
        </w:rPr>
        <w:t xml:space="preserve"> </w:t>
      </w:r>
      <w:r>
        <w:rPr>
          <w:rFonts w:hint="eastAsia" w:ascii="仿宋" w:hAnsi="仿宋" w:eastAsia="仿宋" w:cs="仿宋"/>
          <w:color w:val="auto"/>
          <w:spacing w:val="-2"/>
          <w:sz w:val="24"/>
          <w:szCs w:val="24"/>
          <w:highlight w:val="none"/>
        </w:rPr>
        <w:t>，不得再要求被保险人提供补充资料。</w:t>
      </w:r>
    </w:p>
    <w:p w14:paraId="431A4C35">
      <w:pPr>
        <w:keepNext w:val="0"/>
        <w:keepLines w:val="0"/>
        <w:pageBreakBefore w:val="0"/>
        <w:widowControl w:val="0"/>
        <w:kinsoku/>
        <w:wordWrap/>
        <w:overflowPunct/>
        <w:topLinePunct w:val="0"/>
        <w:autoSpaceDE/>
        <w:autoSpaceDN/>
        <w:bidi w:val="0"/>
        <w:adjustRightInd/>
        <w:snapToGrid/>
        <w:spacing w:line="460" w:lineRule="exact"/>
        <w:ind w:firstLine="47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lang w:val="en-US" w:eastAsia="zh-CN"/>
        </w:rPr>
        <w:t>3.4</w:t>
      </w:r>
      <w:r>
        <w:rPr>
          <w:rFonts w:hint="eastAsia" w:ascii="仿宋" w:hAnsi="仿宋" w:eastAsia="仿宋" w:cs="仿宋"/>
          <w:color w:val="auto"/>
          <w:spacing w:val="-1"/>
          <w:sz w:val="24"/>
          <w:szCs w:val="24"/>
          <w:highlight w:val="none"/>
        </w:rPr>
        <w:t>责任核定时限</w:t>
      </w:r>
      <w:r>
        <w:rPr>
          <w:rFonts w:hint="eastAsia" w:ascii="仿宋" w:hAnsi="仿宋" w:eastAsia="仿宋" w:cs="仿宋"/>
          <w:color w:val="auto"/>
          <w:spacing w:val="-1"/>
          <w:sz w:val="24"/>
          <w:szCs w:val="24"/>
          <w:highlight w:val="none"/>
          <w:lang w:eastAsia="zh-CN"/>
        </w:rPr>
        <w:t>：</w:t>
      </w:r>
      <w:r>
        <w:rPr>
          <w:rFonts w:hint="eastAsia" w:ascii="仿宋" w:hAnsi="仿宋" w:eastAsia="仿宋" w:cs="仿宋"/>
          <w:color w:val="auto"/>
          <w:spacing w:val="1"/>
          <w:sz w:val="24"/>
          <w:szCs w:val="24"/>
          <w:highlight w:val="none"/>
        </w:rPr>
        <w:t>保险人收到被保险人或者受益人的赔偿或者给付保险金的请求后</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1"/>
          <w:sz w:val="24"/>
          <w:szCs w:val="24"/>
          <w:highlight w:val="none"/>
        </w:rPr>
        <w:t>，应当及时作出核定；情形</w:t>
      </w:r>
      <w:r>
        <w:rPr>
          <w:rFonts w:hint="eastAsia" w:ascii="仿宋" w:hAnsi="仿宋" w:eastAsia="仿宋" w:cs="仿宋"/>
          <w:color w:val="auto"/>
          <w:sz w:val="24"/>
          <w:szCs w:val="24"/>
          <w:highlight w:val="none"/>
        </w:rPr>
        <w:t>复杂的</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z w:val="24"/>
          <w:szCs w:val="24"/>
          <w:highlight w:val="none"/>
        </w:rPr>
        <w:t>，应当在十五日内作出核定。对不属于保险责任的事故</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z w:val="24"/>
          <w:szCs w:val="24"/>
          <w:highlight w:val="none"/>
        </w:rPr>
        <w:t>，保险人应当在作出核定后五</w:t>
      </w:r>
      <w:r>
        <w:rPr>
          <w:rFonts w:hint="eastAsia" w:ascii="仿宋" w:hAnsi="仿宋" w:eastAsia="仿宋" w:cs="仿宋"/>
          <w:color w:val="auto"/>
          <w:spacing w:val="-1"/>
          <w:sz w:val="24"/>
          <w:szCs w:val="24"/>
          <w:highlight w:val="none"/>
        </w:rPr>
        <w:t>个工作日内书</w:t>
      </w:r>
      <w:r>
        <w:rPr>
          <w:rFonts w:hint="eastAsia" w:ascii="仿宋" w:hAnsi="仿宋" w:eastAsia="仿宋" w:cs="仿宋"/>
          <w:color w:val="auto"/>
          <w:spacing w:val="-2"/>
          <w:sz w:val="24"/>
          <w:szCs w:val="24"/>
          <w:highlight w:val="none"/>
        </w:rPr>
        <w:t>面通知被保险人责任核定的结果，逾期未书面通知的，视同保险人认可本次事故属于保险责任的范围，</w:t>
      </w:r>
      <w:r>
        <w:rPr>
          <w:rFonts w:hint="eastAsia" w:ascii="仿宋" w:hAnsi="仿宋" w:eastAsia="仿宋" w:cs="仿宋"/>
          <w:color w:val="auto"/>
          <w:sz w:val="24"/>
          <w:szCs w:val="24"/>
          <w:highlight w:val="none"/>
        </w:rPr>
        <w:t>保险人不得再以上述事故不属于保险责任范围为由进行拒赔、拖赔、惜赔或少</w:t>
      </w:r>
      <w:r>
        <w:rPr>
          <w:rFonts w:hint="eastAsia" w:ascii="仿宋" w:hAnsi="仿宋" w:eastAsia="仿宋" w:cs="仿宋"/>
          <w:color w:val="auto"/>
          <w:spacing w:val="-1"/>
          <w:sz w:val="24"/>
          <w:szCs w:val="24"/>
          <w:highlight w:val="none"/>
        </w:rPr>
        <w:t>赔。</w:t>
      </w:r>
    </w:p>
    <w:p w14:paraId="35BBAA0F">
      <w:pPr>
        <w:keepNext w:val="0"/>
        <w:keepLines w:val="0"/>
        <w:pageBreakBefore w:val="0"/>
        <w:widowControl w:val="0"/>
        <w:kinsoku/>
        <w:wordWrap/>
        <w:overflowPunct/>
        <w:topLinePunct w:val="0"/>
        <w:autoSpaceDE/>
        <w:autoSpaceDN/>
        <w:bidi w:val="0"/>
        <w:adjustRightInd/>
        <w:snapToGrid/>
        <w:spacing w:line="460" w:lineRule="exact"/>
        <w:ind w:firstLine="464"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lang w:val="en-US" w:eastAsia="zh-CN"/>
        </w:rPr>
        <w:t>3.5</w:t>
      </w:r>
      <w:r>
        <w:rPr>
          <w:rFonts w:hint="eastAsia" w:ascii="仿宋" w:hAnsi="仿宋" w:eastAsia="仿宋" w:cs="仿宋"/>
          <w:color w:val="auto"/>
          <w:spacing w:val="-4"/>
          <w:sz w:val="24"/>
          <w:szCs w:val="24"/>
          <w:highlight w:val="none"/>
        </w:rPr>
        <w:t>理赔时限</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1"/>
          <w:sz w:val="24"/>
          <w:szCs w:val="24"/>
          <w:highlight w:val="none"/>
        </w:rPr>
        <w:t>保险人在与被保险人达成赔偿协议后</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1"/>
          <w:sz w:val="24"/>
          <w:szCs w:val="24"/>
          <w:highlight w:val="none"/>
        </w:rPr>
        <w:t>，在以下时限内履行赔偿保险金的义务（本协议</w:t>
      </w:r>
      <w:r>
        <w:rPr>
          <w:rFonts w:hint="eastAsia" w:ascii="仿宋" w:hAnsi="仿宋" w:eastAsia="仿宋" w:cs="仿宋"/>
          <w:color w:val="auto"/>
          <w:sz w:val="24"/>
          <w:szCs w:val="24"/>
          <w:highlight w:val="none"/>
        </w:rPr>
        <w:t xml:space="preserve">另有约定的 </w:t>
      </w:r>
      <w:r>
        <w:rPr>
          <w:rFonts w:hint="eastAsia" w:ascii="仿宋" w:hAnsi="仿宋" w:eastAsia="仿宋" w:cs="仿宋"/>
          <w:color w:val="auto"/>
          <w:spacing w:val="-1"/>
          <w:w w:val="97"/>
          <w:sz w:val="24"/>
          <w:szCs w:val="24"/>
          <w:highlight w:val="none"/>
        </w:rPr>
        <w:t>除外</w:t>
      </w:r>
      <w:r>
        <w:rPr>
          <w:rFonts w:hint="eastAsia" w:ascii="仿宋" w:hAnsi="仿宋" w:eastAsia="仿宋" w:cs="仿宋"/>
          <w:color w:val="auto"/>
          <w:spacing w:val="-1"/>
          <w:sz w:val="24"/>
          <w:szCs w:val="24"/>
          <w:highlight w:val="none"/>
        </w:rPr>
        <w:t>）：</w:t>
      </w:r>
    </w:p>
    <w:p w14:paraId="65FC1569">
      <w:pPr>
        <w:keepNext w:val="0"/>
        <w:keepLines w:val="0"/>
        <w:pageBreakBefore w:val="0"/>
        <w:widowControl w:val="0"/>
        <w:kinsoku/>
        <w:wordWrap/>
        <w:overflowPunct/>
        <w:topLinePunct w:val="0"/>
        <w:autoSpaceDE/>
        <w:autoSpaceDN/>
        <w:bidi w:val="0"/>
        <w:adjustRightInd/>
        <w:snapToGrid/>
        <w:spacing w:line="460" w:lineRule="exact"/>
        <w:ind w:left="448"/>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(1)赔款金额2000 元以下的（含</w:t>
      </w:r>
      <w:r>
        <w:rPr>
          <w:rFonts w:hint="eastAsia" w:ascii="仿宋" w:hAnsi="仿宋" w:eastAsia="仿宋" w:cs="仿宋"/>
          <w:color w:val="auto"/>
          <w:spacing w:val="-8"/>
          <w:sz w:val="24"/>
          <w:szCs w:val="24"/>
          <w:highlight w:val="none"/>
        </w:rPr>
        <w:t>）</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8"/>
          <w:sz w:val="24"/>
          <w:szCs w:val="24"/>
          <w:highlight w:val="none"/>
        </w:rPr>
        <w:t>，</w:t>
      </w:r>
      <w:r>
        <w:rPr>
          <w:rFonts w:hint="eastAsia" w:ascii="仿宋" w:hAnsi="仿宋" w:eastAsia="仿宋" w:cs="仿宋"/>
          <w:color w:val="auto"/>
          <w:spacing w:val="-2"/>
          <w:sz w:val="24"/>
          <w:szCs w:val="24"/>
          <w:highlight w:val="none"/>
        </w:rPr>
        <w:t>索赔资料齐全的当天支付；</w:t>
      </w:r>
    </w:p>
    <w:p w14:paraId="78F000E9">
      <w:pPr>
        <w:keepNext w:val="0"/>
        <w:keepLines w:val="0"/>
        <w:pageBreakBefore w:val="0"/>
        <w:widowControl w:val="0"/>
        <w:kinsoku/>
        <w:wordWrap/>
        <w:overflowPunct/>
        <w:topLinePunct w:val="0"/>
        <w:autoSpaceDE/>
        <w:autoSpaceDN/>
        <w:bidi w:val="0"/>
        <w:adjustRightInd/>
        <w:snapToGrid/>
        <w:spacing w:line="460" w:lineRule="exact"/>
        <w:ind w:left="448"/>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(2)赔款金额 2000-20000元以下的（含</w:t>
      </w:r>
      <w:r>
        <w:rPr>
          <w:rFonts w:hint="eastAsia" w:ascii="仿宋" w:hAnsi="仿宋" w:eastAsia="仿宋" w:cs="仿宋"/>
          <w:color w:val="auto"/>
          <w:spacing w:val="-13"/>
          <w:sz w:val="24"/>
          <w:szCs w:val="24"/>
          <w:highlight w:val="none"/>
        </w:rPr>
        <w:t>）</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13"/>
          <w:sz w:val="24"/>
          <w:szCs w:val="24"/>
          <w:highlight w:val="none"/>
        </w:rPr>
        <w:t>，</w:t>
      </w:r>
      <w:r>
        <w:rPr>
          <w:rFonts w:hint="eastAsia" w:ascii="仿宋" w:hAnsi="仿宋" w:eastAsia="仿宋" w:cs="仿宋"/>
          <w:color w:val="auto"/>
          <w:spacing w:val="-1"/>
          <w:sz w:val="24"/>
          <w:szCs w:val="24"/>
          <w:highlight w:val="none"/>
        </w:rPr>
        <w:t>索赔资料齐全的在一个工作日内支付；</w:t>
      </w:r>
    </w:p>
    <w:p w14:paraId="19768765">
      <w:pPr>
        <w:keepNext w:val="0"/>
        <w:keepLines w:val="0"/>
        <w:pageBreakBefore w:val="0"/>
        <w:widowControl w:val="0"/>
        <w:kinsoku/>
        <w:wordWrap/>
        <w:overflowPunct/>
        <w:topLinePunct w:val="0"/>
        <w:autoSpaceDE/>
        <w:autoSpaceDN/>
        <w:bidi w:val="0"/>
        <w:adjustRightInd/>
        <w:snapToGrid/>
        <w:spacing w:line="460" w:lineRule="exact"/>
        <w:ind w:left="448"/>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(3)赔款金额20000-100000元以下的（含） ，索赔资料齐全的在两个工作日内支付；</w:t>
      </w:r>
    </w:p>
    <w:p w14:paraId="614F1B77">
      <w:pPr>
        <w:keepNext w:val="0"/>
        <w:keepLines w:val="0"/>
        <w:pageBreakBefore w:val="0"/>
        <w:widowControl w:val="0"/>
        <w:kinsoku/>
        <w:wordWrap/>
        <w:overflowPunct/>
        <w:topLinePunct w:val="0"/>
        <w:autoSpaceDE/>
        <w:autoSpaceDN/>
        <w:bidi w:val="0"/>
        <w:adjustRightInd/>
        <w:snapToGrid/>
        <w:spacing w:line="460" w:lineRule="exact"/>
        <w:ind w:left="448"/>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(4)赔款金额100000元以上的</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2"/>
          <w:sz w:val="24"/>
          <w:szCs w:val="24"/>
          <w:highlight w:val="none"/>
        </w:rPr>
        <w:t>，索赔资料齐全的在三个工作日内支付。</w:t>
      </w:r>
    </w:p>
    <w:p w14:paraId="24FEAD62">
      <w:pPr>
        <w:keepNext w:val="0"/>
        <w:keepLines w:val="0"/>
        <w:pageBreakBefore w:val="0"/>
        <w:widowControl w:val="0"/>
        <w:kinsoku/>
        <w:wordWrap/>
        <w:overflowPunct/>
        <w:topLinePunct w:val="0"/>
        <w:autoSpaceDE/>
        <w:autoSpaceDN/>
        <w:bidi w:val="0"/>
        <w:adjustRightInd/>
        <w:snapToGrid/>
        <w:spacing w:line="460" w:lineRule="exact"/>
        <w:ind w:left="13" w:right="64" w:firstLine="420"/>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z w:val="24"/>
          <w:szCs w:val="24"/>
          <w:highlight w:val="none"/>
        </w:rPr>
        <w:t>保险人未能在上述时限内支付赔款的</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z w:val="24"/>
          <w:szCs w:val="24"/>
          <w:highlight w:val="none"/>
        </w:rPr>
        <w:t>，每延迟一天，</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z w:val="24"/>
          <w:szCs w:val="24"/>
          <w:highlight w:val="none"/>
        </w:rPr>
        <w:t>同意按照总赔款金额千分之一的比例向被保</w:t>
      </w:r>
      <w:r>
        <w:rPr>
          <w:rFonts w:hint="eastAsia" w:ascii="仿宋" w:hAnsi="仿宋" w:eastAsia="仿宋" w:cs="仿宋"/>
          <w:color w:val="auto"/>
          <w:spacing w:val="-5"/>
          <w:sz w:val="24"/>
          <w:szCs w:val="24"/>
          <w:highlight w:val="none"/>
        </w:rPr>
        <w:t>险人支付滞纳金</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5"/>
          <w:sz w:val="24"/>
          <w:szCs w:val="24"/>
          <w:highlight w:val="none"/>
        </w:rPr>
        <w:t>，以此类推</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5"/>
          <w:sz w:val="24"/>
          <w:szCs w:val="24"/>
          <w:highlight w:val="none"/>
        </w:rPr>
        <w:t>，上不封顶。</w:t>
      </w:r>
    </w:p>
    <w:p w14:paraId="6F2F3B7C">
      <w:pPr>
        <w:keepNext w:val="0"/>
        <w:keepLines w:val="0"/>
        <w:pageBreakBefore w:val="0"/>
        <w:widowControl w:val="0"/>
        <w:kinsoku/>
        <w:wordWrap/>
        <w:overflowPunct/>
        <w:topLinePunct w:val="0"/>
        <w:autoSpaceDE/>
        <w:autoSpaceDN/>
        <w:bidi w:val="0"/>
        <w:adjustRightInd/>
        <w:snapToGrid/>
        <w:spacing w:line="460" w:lineRule="exact"/>
        <w:ind w:left="13" w:right="64"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 xml:space="preserve">3.6 </w:t>
      </w:r>
      <w:r>
        <w:rPr>
          <w:rFonts w:hint="eastAsia" w:ascii="仿宋" w:hAnsi="仿宋" w:eastAsia="仿宋" w:cs="仿宋"/>
          <w:color w:val="auto"/>
          <w:spacing w:val="-2"/>
          <w:sz w:val="24"/>
          <w:szCs w:val="24"/>
          <w:highlight w:val="none"/>
        </w:rPr>
        <w:t>保险协议生效后，如被保险人提出书面加保或退保申请</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2"/>
          <w:sz w:val="24"/>
          <w:szCs w:val="24"/>
          <w:highlight w:val="none"/>
        </w:rPr>
        <w:t>，保险人按照日费率予以加保或退保。</w:t>
      </w:r>
    </w:p>
    <w:p w14:paraId="77A4EC80">
      <w:pPr>
        <w:keepNext w:val="0"/>
        <w:keepLines w:val="0"/>
        <w:pageBreakBefore w:val="0"/>
        <w:widowControl w:val="0"/>
        <w:kinsoku/>
        <w:wordWrap/>
        <w:overflowPunct/>
        <w:topLinePunct w:val="0"/>
        <w:autoSpaceDE/>
        <w:autoSpaceDN/>
        <w:bidi w:val="0"/>
        <w:adjustRightInd/>
        <w:snapToGrid/>
        <w:spacing w:line="460" w:lineRule="exact"/>
        <w:ind w:firstLine="47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lang w:val="en-US" w:eastAsia="zh-CN"/>
        </w:rPr>
        <w:t>3.7</w:t>
      </w:r>
      <w:r>
        <w:rPr>
          <w:rFonts w:hint="eastAsia" w:ascii="仿宋" w:hAnsi="仿宋" w:eastAsia="仿宋" w:cs="仿宋"/>
          <w:color w:val="auto"/>
          <w:spacing w:val="-1"/>
          <w:sz w:val="24"/>
          <w:szCs w:val="24"/>
          <w:highlight w:val="none"/>
        </w:rPr>
        <w:t>对于24小时意外扩展条款作如下特约：发生保险事故造成伤残后</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1"/>
          <w:sz w:val="24"/>
          <w:szCs w:val="24"/>
          <w:highlight w:val="none"/>
        </w:rPr>
        <w:t>，被保险人</w:t>
      </w:r>
      <w:r>
        <w:rPr>
          <w:rFonts w:hint="eastAsia" w:ascii="仿宋" w:hAnsi="仿宋" w:eastAsia="仿宋" w:cs="仿宋"/>
          <w:color w:val="auto"/>
          <w:spacing w:val="-2"/>
          <w:sz w:val="24"/>
          <w:szCs w:val="24"/>
          <w:highlight w:val="none"/>
        </w:rPr>
        <w:t>以《人身保险伤残评定标准》（中保协发{2013}88号）作为伤残评定依据评定伤残等级。对于死亡、永久丧失全部</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或者部分工作能力的</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1"/>
          <w:sz w:val="24"/>
          <w:szCs w:val="24"/>
          <w:highlight w:val="none"/>
        </w:rPr>
        <w:t>，保险人按照所附伤残赔偿比例规定的百</w:t>
      </w:r>
      <w:r>
        <w:rPr>
          <w:rFonts w:hint="eastAsia" w:ascii="仿宋" w:hAnsi="仿宋" w:eastAsia="仿宋" w:cs="仿宋"/>
          <w:color w:val="auto"/>
          <w:sz w:val="24"/>
          <w:szCs w:val="24"/>
          <w:highlight w:val="none"/>
        </w:rPr>
        <w:t xml:space="preserve">分比乘以被保险人的死亡、伤残赔偿限 </w:t>
      </w:r>
      <w:r>
        <w:rPr>
          <w:rFonts w:hint="eastAsia" w:ascii="仿宋" w:hAnsi="仿宋" w:eastAsia="仿宋" w:cs="仿宋"/>
          <w:color w:val="auto"/>
          <w:spacing w:val="-5"/>
          <w:sz w:val="24"/>
          <w:szCs w:val="24"/>
          <w:highlight w:val="none"/>
        </w:rPr>
        <w:t>额确定赔付金额</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5"/>
          <w:sz w:val="24"/>
          <w:szCs w:val="24"/>
          <w:highlight w:val="none"/>
        </w:rPr>
        <w:t>，具体比例如下：</w:t>
      </w:r>
      <w:r>
        <w:rPr>
          <w:rFonts w:hint="eastAsia" w:ascii="仿宋" w:hAnsi="仿宋" w:eastAsia="仿宋" w:cs="仿宋"/>
          <w:color w:val="auto"/>
          <w:spacing w:val="-4"/>
          <w:sz w:val="24"/>
          <w:szCs w:val="24"/>
          <w:highlight w:val="none"/>
        </w:rPr>
        <w:t>按一级 100%，二级 80%，三级</w:t>
      </w:r>
      <w:r>
        <w:rPr>
          <w:rFonts w:hint="eastAsia" w:ascii="仿宋" w:hAnsi="仿宋" w:eastAsia="仿宋" w:cs="仿宋"/>
          <w:color w:val="auto"/>
          <w:spacing w:val="-4"/>
          <w:sz w:val="24"/>
          <w:szCs w:val="24"/>
          <w:highlight w:val="none"/>
          <w:lang w:val="en-US" w:eastAsia="zh-CN"/>
        </w:rPr>
        <w:t>70</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4"/>
          <w:sz w:val="24"/>
          <w:szCs w:val="24"/>
          <w:highlight w:val="none"/>
        </w:rPr>
        <w:t>，四</w:t>
      </w:r>
      <w:r>
        <w:rPr>
          <w:rFonts w:hint="eastAsia" w:ascii="仿宋" w:hAnsi="仿宋" w:eastAsia="仿宋" w:cs="仿宋"/>
          <w:color w:val="auto"/>
          <w:spacing w:val="-4"/>
          <w:sz w:val="24"/>
          <w:szCs w:val="24"/>
          <w:highlight w:val="none"/>
          <w:lang w:val="en-US" w:eastAsia="zh-CN"/>
        </w:rPr>
        <w:t>级60</w:t>
      </w:r>
      <w:r>
        <w:rPr>
          <w:rFonts w:hint="eastAsia" w:ascii="仿宋" w:hAnsi="仿宋" w:eastAsia="仿宋" w:cs="仿宋"/>
          <w:color w:val="auto"/>
          <w:spacing w:val="-4"/>
          <w:sz w:val="24"/>
          <w:szCs w:val="24"/>
          <w:highlight w:val="none"/>
        </w:rPr>
        <w:t>%，五级</w:t>
      </w:r>
      <w:r>
        <w:rPr>
          <w:rFonts w:hint="eastAsia" w:ascii="仿宋" w:hAnsi="仿宋" w:eastAsia="仿宋" w:cs="仿宋"/>
          <w:color w:val="auto"/>
          <w:spacing w:val="-4"/>
          <w:sz w:val="24"/>
          <w:szCs w:val="24"/>
          <w:highlight w:val="none"/>
          <w:lang w:val="en-US" w:eastAsia="zh-CN"/>
        </w:rPr>
        <w:t>50</w:t>
      </w:r>
      <w:r>
        <w:rPr>
          <w:rFonts w:hint="eastAsia" w:ascii="仿宋" w:hAnsi="仿宋" w:eastAsia="仿宋" w:cs="仿宋"/>
          <w:color w:val="auto"/>
          <w:spacing w:val="-4"/>
          <w:sz w:val="24"/>
          <w:szCs w:val="24"/>
          <w:highlight w:val="none"/>
        </w:rPr>
        <w:t>%，六级</w:t>
      </w:r>
      <w:r>
        <w:rPr>
          <w:rFonts w:hint="eastAsia" w:ascii="仿宋" w:hAnsi="仿宋" w:eastAsia="仿宋" w:cs="仿宋"/>
          <w:color w:val="auto"/>
          <w:spacing w:val="-4"/>
          <w:sz w:val="24"/>
          <w:szCs w:val="24"/>
          <w:highlight w:val="none"/>
          <w:lang w:val="en-US" w:eastAsia="zh-CN"/>
        </w:rPr>
        <w:t>40</w:t>
      </w:r>
      <w:r>
        <w:rPr>
          <w:rFonts w:hint="eastAsia" w:ascii="仿宋" w:hAnsi="仿宋" w:eastAsia="仿宋" w:cs="仿宋"/>
          <w:color w:val="auto"/>
          <w:spacing w:val="-4"/>
          <w:sz w:val="24"/>
          <w:szCs w:val="24"/>
          <w:highlight w:val="none"/>
        </w:rPr>
        <w:t>%，七</w:t>
      </w:r>
      <w:r>
        <w:rPr>
          <w:rFonts w:hint="eastAsia" w:ascii="仿宋" w:hAnsi="仿宋" w:eastAsia="仿宋" w:cs="仿宋"/>
          <w:color w:val="auto"/>
          <w:spacing w:val="-6"/>
          <w:sz w:val="24"/>
          <w:szCs w:val="24"/>
          <w:highlight w:val="none"/>
        </w:rPr>
        <w:t>级</w:t>
      </w:r>
      <w:r>
        <w:rPr>
          <w:rFonts w:hint="eastAsia" w:ascii="仿宋" w:hAnsi="仿宋" w:eastAsia="仿宋" w:cs="仿宋"/>
          <w:color w:val="auto"/>
          <w:spacing w:val="-6"/>
          <w:sz w:val="24"/>
          <w:szCs w:val="24"/>
          <w:highlight w:val="none"/>
          <w:lang w:val="en-US" w:eastAsia="zh-CN"/>
        </w:rPr>
        <w:t>30</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25"/>
          <w:sz w:val="24"/>
          <w:szCs w:val="24"/>
          <w:highlight w:val="none"/>
        </w:rPr>
        <w:t xml:space="preserve"> </w:t>
      </w:r>
      <w:r>
        <w:rPr>
          <w:rFonts w:hint="eastAsia" w:ascii="仿宋" w:hAnsi="仿宋" w:eastAsia="仿宋" w:cs="仿宋"/>
          <w:color w:val="auto"/>
          <w:spacing w:val="-6"/>
          <w:sz w:val="24"/>
          <w:szCs w:val="24"/>
          <w:highlight w:val="none"/>
        </w:rPr>
        <w:t>，八级</w:t>
      </w:r>
      <w:r>
        <w:rPr>
          <w:rFonts w:hint="eastAsia" w:ascii="仿宋" w:hAnsi="仿宋" w:eastAsia="仿宋" w:cs="仿宋"/>
          <w:color w:val="auto"/>
          <w:spacing w:val="-6"/>
          <w:sz w:val="24"/>
          <w:szCs w:val="24"/>
          <w:highlight w:val="none"/>
          <w:lang w:val="en-US" w:eastAsia="zh-CN"/>
        </w:rPr>
        <w:t>20</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6"/>
          <w:sz w:val="24"/>
          <w:szCs w:val="24"/>
          <w:highlight w:val="none"/>
        </w:rPr>
        <w:t>，九级</w:t>
      </w:r>
      <w:r>
        <w:rPr>
          <w:rFonts w:hint="eastAsia" w:ascii="仿宋" w:hAnsi="仿宋" w:eastAsia="仿宋" w:cs="仿宋"/>
          <w:color w:val="auto"/>
          <w:spacing w:val="-6"/>
          <w:sz w:val="24"/>
          <w:szCs w:val="24"/>
          <w:highlight w:val="none"/>
          <w:lang w:val="en-US" w:eastAsia="zh-CN"/>
        </w:rPr>
        <w:t>10</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6"/>
          <w:sz w:val="24"/>
          <w:szCs w:val="24"/>
          <w:highlight w:val="none"/>
        </w:rPr>
        <w:t>，十级</w:t>
      </w:r>
      <w:r>
        <w:rPr>
          <w:rFonts w:hint="eastAsia" w:ascii="仿宋" w:hAnsi="仿宋" w:eastAsia="仿宋" w:cs="仿宋"/>
          <w:color w:val="auto"/>
          <w:spacing w:val="-6"/>
          <w:sz w:val="24"/>
          <w:szCs w:val="24"/>
          <w:highlight w:val="none"/>
          <w:lang w:val="en-US" w:eastAsia="zh-CN"/>
        </w:rPr>
        <w:t>5</w:t>
      </w:r>
      <w:r>
        <w:rPr>
          <w:rFonts w:hint="eastAsia" w:ascii="仿宋" w:hAnsi="仿宋" w:eastAsia="仿宋" w:cs="仿宋"/>
          <w:color w:val="auto"/>
          <w:spacing w:val="-6"/>
          <w:sz w:val="24"/>
          <w:szCs w:val="24"/>
          <w:highlight w:val="none"/>
        </w:rPr>
        <w:t>%赔付。</w:t>
      </w:r>
    </w:p>
    <w:p w14:paraId="38AB9F18">
      <w:pPr>
        <w:keepNext w:val="0"/>
        <w:keepLines w:val="0"/>
        <w:pageBreakBefore w:val="0"/>
        <w:widowControl w:val="0"/>
        <w:kinsoku/>
        <w:wordWrap/>
        <w:overflowPunct/>
        <w:topLinePunct w:val="0"/>
        <w:autoSpaceDE/>
        <w:autoSpaceDN/>
        <w:bidi w:val="0"/>
        <w:adjustRightInd/>
        <w:snapToGrid/>
        <w:spacing w:line="460" w:lineRule="exact"/>
        <w:ind w:left="2" w:right="66" w:firstLine="441"/>
        <w:textAlignment w:val="auto"/>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lang w:val="en-US" w:eastAsia="zh-CN"/>
        </w:rPr>
        <w:t xml:space="preserve">3.8 </w:t>
      </w:r>
      <w:r>
        <w:rPr>
          <w:rFonts w:hint="eastAsia" w:ascii="仿宋" w:hAnsi="仿宋" w:eastAsia="仿宋" w:cs="仿宋"/>
          <w:color w:val="auto"/>
          <w:spacing w:val="-1"/>
          <w:sz w:val="24"/>
          <w:szCs w:val="24"/>
          <w:highlight w:val="none"/>
        </w:rPr>
        <w:t>发生保险事故后，若责任明确但无法迅速确定损失金额的情况下，采购人有权要求中标人支付预付赔款，中标人应根据采购人提出的书面申请在五个工作日内对已确定的损失部分或者抢救费用进行预先赔付。</w:t>
      </w:r>
    </w:p>
    <w:p w14:paraId="0CCFCAD2">
      <w:pPr>
        <w:keepNext w:val="0"/>
        <w:keepLines w:val="0"/>
        <w:pageBreakBefore w:val="0"/>
        <w:widowControl w:val="0"/>
        <w:kinsoku/>
        <w:wordWrap/>
        <w:overflowPunct/>
        <w:topLinePunct w:val="0"/>
        <w:autoSpaceDE/>
        <w:autoSpaceDN/>
        <w:bidi w:val="0"/>
        <w:adjustRightInd/>
        <w:snapToGrid/>
        <w:spacing w:line="460" w:lineRule="exact"/>
        <w:ind w:firstLine="472" w:firstLineChars="200"/>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3.9</w:t>
      </w:r>
      <w:r>
        <w:rPr>
          <w:rFonts w:hint="eastAsia" w:ascii="仿宋" w:hAnsi="仿宋" w:eastAsia="仿宋" w:cs="仿宋"/>
          <w:color w:val="auto"/>
          <w:spacing w:val="-2"/>
          <w:sz w:val="24"/>
          <w:szCs w:val="24"/>
          <w:highlight w:val="none"/>
        </w:rPr>
        <w:t>中标人须为本项目提供简单、方便的理赔程序，优先处理本项目的承保、理赔等事项。成立专门服务团队（应有具体成员名单</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2"/>
          <w:sz w:val="24"/>
          <w:szCs w:val="24"/>
          <w:highlight w:val="none"/>
        </w:rPr>
        <w:t>，包括姓名、职务、职责、联系方式等</w:t>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2"/>
          <w:sz w:val="24"/>
          <w:szCs w:val="24"/>
          <w:highlight w:val="none"/>
        </w:rPr>
        <w:t>为被保险人提供全年365</w:t>
      </w:r>
      <w:r>
        <w:rPr>
          <w:rFonts w:hint="eastAsia" w:ascii="仿宋" w:hAnsi="仿宋" w:eastAsia="仿宋" w:cs="仿宋"/>
          <w:color w:val="auto"/>
          <w:spacing w:val="-1"/>
          <w:sz w:val="24"/>
          <w:szCs w:val="24"/>
          <w:highlight w:val="none"/>
        </w:rPr>
        <w:t>天、全天24小时的投保、理赔和咨询等服务</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1"/>
          <w:sz w:val="24"/>
          <w:szCs w:val="24"/>
          <w:highlight w:val="none"/>
        </w:rPr>
        <w:t>，确保被保险人能够获得最</w:t>
      </w:r>
      <w:r>
        <w:rPr>
          <w:rFonts w:hint="eastAsia" w:ascii="仿宋" w:hAnsi="仿宋" w:eastAsia="仿宋" w:cs="仿宋"/>
          <w:color w:val="auto"/>
          <w:spacing w:val="-2"/>
          <w:sz w:val="24"/>
          <w:szCs w:val="24"/>
          <w:highlight w:val="none"/>
        </w:rPr>
        <w:t>快、最优质的保险服务。</w:t>
      </w:r>
    </w:p>
    <w:p w14:paraId="483BD52E">
      <w:pPr>
        <w:keepNext w:val="0"/>
        <w:keepLines w:val="0"/>
        <w:pageBreakBefore w:val="0"/>
        <w:widowControl w:val="0"/>
        <w:kinsoku/>
        <w:wordWrap/>
        <w:overflowPunct/>
        <w:topLinePunct w:val="0"/>
        <w:autoSpaceDE/>
        <w:autoSpaceDN/>
        <w:bidi w:val="0"/>
        <w:adjustRightInd/>
        <w:snapToGrid/>
        <w:spacing w:line="460" w:lineRule="exact"/>
        <w:ind w:left="20" w:right="66" w:firstLine="424"/>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pacing w:val="-1"/>
          <w:sz w:val="24"/>
          <w:szCs w:val="24"/>
          <w:highlight w:val="none"/>
          <w:lang w:val="en-US" w:eastAsia="zh-CN"/>
        </w:rPr>
        <w:t xml:space="preserve">3.10 </w:t>
      </w:r>
      <w:r>
        <w:rPr>
          <w:rFonts w:hint="eastAsia" w:ascii="仿宋" w:hAnsi="仿宋" w:eastAsia="仿宋" w:cs="仿宋"/>
          <w:color w:val="auto"/>
          <w:spacing w:val="-1"/>
          <w:sz w:val="24"/>
          <w:szCs w:val="24"/>
          <w:highlight w:val="none"/>
        </w:rPr>
        <w:t>设有24小时热线客户咨询服务、投诉举报电话，有专人接听、记录、受理。对被保险</w:t>
      </w:r>
      <w:r>
        <w:rPr>
          <w:rFonts w:hint="eastAsia" w:ascii="仿宋" w:hAnsi="仿宋" w:eastAsia="仿宋" w:cs="仿宋"/>
          <w:color w:val="auto"/>
          <w:spacing w:val="-2"/>
          <w:sz w:val="24"/>
          <w:szCs w:val="24"/>
          <w:highlight w:val="none"/>
        </w:rPr>
        <w:t>人提供出险索赔程序、保险知识等方面的咨询服务，并有切实可行的服务保障措施。</w:t>
      </w:r>
    </w:p>
    <w:p w14:paraId="6AA1B209">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工程一切险/建筑施工人员意外险</w:t>
      </w:r>
    </w:p>
    <w:p w14:paraId="639E22D1">
      <w:pPr>
        <w:snapToGrid w:val="0"/>
        <w:spacing w:line="360" w:lineRule="auto"/>
        <w:ind w:firstLine="482"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A、</w:t>
      </w:r>
      <w:r>
        <w:rPr>
          <w:rFonts w:hint="eastAsia" w:ascii="仿宋" w:hAnsi="仿宋" w:eastAsia="仿宋" w:cs="仿宋"/>
          <w:b/>
          <w:bCs/>
          <w:color w:val="auto"/>
          <w:sz w:val="24"/>
          <w:szCs w:val="24"/>
          <w:highlight w:val="none"/>
        </w:rPr>
        <w:t>工程一切险</w:t>
      </w:r>
    </w:p>
    <w:p w14:paraId="28744249">
      <w:pPr>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1、保险标的：</w:t>
      </w:r>
    </w:p>
    <w:p w14:paraId="7F388C2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全年工程量：202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年度</w:t>
      </w:r>
      <w:r>
        <w:rPr>
          <w:rFonts w:hint="eastAsia" w:ascii="仿宋" w:hAnsi="仿宋" w:eastAsia="仿宋" w:cs="仿宋"/>
          <w:color w:val="auto"/>
          <w:sz w:val="24"/>
          <w:szCs w:val="24"/>
          <w:highlight w:val="none"/>
          <w:lang w:val="en-US" w:eastAsia="zh-CN"/>
        </w:rPr>
        <w:t>由集团下属公司嵊州市水联管道承装有限公司实施的工程量约4.6</w:t>
      </w:r>
      <w:r>
        <w:rPr>
          <w:rFonts w:hint="eastAsia" w:ascii="仿宋" w:hAnsi="仿宋" w:eastAsia="仿宋" w:cs="仿宋"/>
          <w:color w:val="auto"/>
          <w:sz w:val="24"/>
          <w:szCs w:val="24"/>
          <w:highlight w:val="none"/>
        </w:rPr>
        <w:t>亿元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嵊州市（全区域）</w:t>
      </w:r>
      <w:r>
        <w:rPr>
          <w:rFonts w:hint="eastAsia" w:ascii="仿宋" w:hAnsi="仿宋" w:eastAsia="仿宋" w:cs="仿宋"/>
          <w:color w:val="auto"/>
          <w:sz w:val="24"/>
          <w:szCs w:val="24"/>
          <w:highlight w:val="none"/>
          <w:lang w:val="en-US" w:eastAsia="zh-CN"/>
        </w:rPr>
        <w:t>的给排水管道、设施及道路工程（含应急抢修、维修工程）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具体以实际发生的工程量为准。</w:t>
      </w:r>
    </w:p>
    <w:p w14:paraId="02B81356">
      <w:pPr>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2、保险责任</w:t>
      </w:r>
    </w:p>
    <w:p w14:paraId="0CB2B06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.1保险金额</w:t>
      </w:r>
    </w:p>
    <w:p w14:paraId="56B7493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（1）物质损失部分：每单保额不低于3000万元，临近保险合同有效期可根据实际情况调整。</w:t>
      </w:r>
    </w:p>
    <w:p w14:paraId="083E216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（2）第三者部分：每单累计1000万（财产500万，人伤500万），每次300万（财产50万，人伤250万），每人每次120万。</w:t>
      </w:r>
    </w:p>
    <w:p w14:paraId="584B341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.2免赔设置</w:t>
      </w:r>
    </w:p>
    <w:p w14:paraId="57078B7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（1）物质损失部分</w:t>
      </w:r>
    </w:p>
    <w:p w14:paraId="6525BCD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①地震、海啸、洪水、暴风、暴雨、台风：每次事故绝对免赔为5万元或者损失金额的10％，两者以高者为准；</w:t>
      </w:r>
    </w:p>
    <w:p w14:paraId="1118F4A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②一般事故免赔：每次事故绝对免赔为1万元或者损失金额的10％，两者以高者为准；</w:t>
      </w:r>
    </w:p>
    <w:p w14:paraId="0F9A67A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③其他自然灾害：每次事故绝对免赔为1万元或者损失金额的10％，两者以高者为准。</w:t>
      </w:r>
    </w:p>
    <w:p w14:paraId="46BBD15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第三者部分</w:t>
      </w:r>
    </w:p>
    <w:p w14:paraId="72145FA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①财产损失：每次事故绝对免赔额1000元或者损失金额的5％，两者以高者为准；</w:t>
      </w:r>
    </w:p>
    <w:p w14:paraId="0DB6DF4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②人身伤亡：无免赔</w:t>
      </w:r>
    </w:p>
    <w:p w14:paraId="1D4CDD51">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B、</w:t>
      </w:r>
      <w:r>
        <w:rPr>
          <w:rFonts w:hint="eastAsia" w:ascii="仿宋" w:hAnsi="仿宋" w:eastAsia="仿宋" w:cs="仿宋"/>
          <w:b/>
          <w:bCs/>
          <w:color w:val="auto"/>
          <w:highlight w:val="none"/>
          <w:lang w:val="en-US" w:eastAsia="zh-CN"/>
        </w:rPr>
        <w:t>建筑施工人员意外险</w:t>
      </w:r>
    </w:p>
    <w:p w14:paraId="0A3FA42F">
      <w:pPr>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1、保险标的：</w:t>
      </w:r>
    </w:p>
    <w:p w14:paraId="43706D4D">
      <w:pPr>
        <w:snapToGrid w:val="0"/>
        <w:spacing w:line="360" w:lineRule="auto"/>
        <w:ind w:firstLine="480" w:firstLineChars="200"/>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年度</w:t>
      </w:r>
      <w:r>
        <w:rPr>
          <w:rFonts w:hint="eastAsia" w:ascii="仿宋" w:hAnsi="仿宋" w:eastAsia="仿宋" w:cs="仿宋"/>
          <w:color w:val="auto"/>
          <w:sz w:val="24"/>
          <w:szCs w:val="24"/>
          <w:highlight w:val="none"/>
          <w:lang w:val="en-US" w:eastAsia="zh-CN"/>
        </w:rPr>
        <w:t>由集团下属公司嵊州市水联管道承装有限公司实施的工程量约4.6</w:t>
      </w:r>
      <w:r>
        <w:rPr>
          <w:rFonts w:hint="eastAsia" w:ascii="仿宋" w:hAnsi="仿宋" w:eastAsia="仿宋" w:cs="仿宋"/>
          <w:color w:val="auto"/>
          <w:sz w:val="24"/>
          <w:szCs w:val="24"/>
          <w:highlight w:val="none"/>
        </w:rPr>
        <w:t>亿元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嵊州市（全区域）</w:t>
      </w:r>
      <w:r>
        <w:rPr>
          <w:rFonts w:hint="eastAsia" w:ascii="仿宋" w:hAnsi="仿宋" w:eastAsia="仿宋" w:cs="仿宋"/>
          <w:color w:val="auto"/>
          <w:sz w:val="24"/>
          <w:szCs w:val="24"/>
          <w:highlight w:val="none"/>
          <w:lang w:val="en-US" w:eastAsia="zh-CN"/>
        </w:rPr>
        <w:t>的给排水管道、设施及道路工程（含应急抢修、维修工程）、猝死、中暑中的作业人员，具体以实际发生的数量为准。</w:t>
      </w:r>
    </w:p>
    <w:p w14:paraId="3D23ED67">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2、保险责任</w:t>
      </w:r>
    </w:p>
    <w:p w14:paraId="645AB1F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2.1保险金额及免赔设置</w:t>
      </w:r>
    </w:p>
    <w:p w14:paraId="14A68E1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（1）每人死亡伤残：120万</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szCs w:val="24"/>
          <w:highlight w:val="none"/>
        </w:rPr>
        <w:t>；</w:t>
      </w:r>
    </w:p>
    <w:p w14:paraId="10785379">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（2）每人意外医疗：5万</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szCs w:val="24"/>
          <w:highlight w:val="none"/>
        </w:rPr>
        <w:t>（扣除200元免赔后85％赔付）；</w:t>
      </w:r>
    </w:p>
    <w:p w14:paraId="3370D3E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（3）每人住院补贴：</w:t>
      </w:r>
      <w:r>
        <w:rPr>
          <w:rFonts w:hint="eastAsia" w:ascii="仿宋" w:hAnsi="仿宋" w:eastAsia="仿宋" w:cs="仿宋"/>
          <w:color w:val="auto"/>
          <w:sz w:val="24"/>
          <w:szCs w:val="24"/>
          <w:highlight w:val="none"/>
          <w:lang w:val="en-US" w:eastAsia="zh-CN"/>
        </w:rPr>
        <w:t>3.6</w:t>
      </w:r>
      <w:r>
        <w:rPr>
          <w:rFonts w:hint="eastAsia" w:ascii="仿宋" w:hAnsi="仿宋" w:eastAsia="仿宋" w:cs="仿宋"/>
          <w:color w:val="auto"/>
          <w:sz w:val="24"/>
          <w:szCs w:val="24"/>
          <w:highlight w:val="none"/>
        </w:rPr>
        <w:t>万</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200</w:t>
      </w:r>
      <w:r>
        <w:rPr>
          <w:rFonts w:hint="eastAsia" w:ascii="仿宋" w:hAnsi="仿宋" w:eastAsia="仿宋" w:cs="仿宋"/>
          <w:color w:val="auto"/>
          <w:sz w:val="24"/>
          <w:szCs w:val="24"/>
          <w:highlight w:val="none"/>
        </w:rPr>
        <w:t>元／天，免赔3天）。</w:t>
      </w:r>
    </w:p>
    <w:p w14:paraId="54829FE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2.2附加说明</w:t>
      </w:r>
    </w:p>
    <w:p w14:paraId="56F6EF34">
      <w:pPr>
        <w:snapToGrid w:val="0"/>
        <w:spacing w:line="360" w:lineRule="auto"/>
        <w:ind w:firstLine="480" w:firstLineChars="200"/>
        <w:rPr>
          <w:rFonts w:hint="eastAsia" w:ascii="仿宋" w:hAnsi="仿宋" w:eastAsia="仿宋" w:cs="仿宋"/>
          <w:strike/>
          <w:dstrike w:val="0"/>
          <w:color w:val="auto"/>
          <w:sz w:val="24"/>
          <w:szCs w:val="24"/>
          <w:highlight w:val="none"/>
        </w:rPr>
      </w:pPr>
      <w:r>
        <w:rPr>
          <w:rFonts w:hint="eastAsia" w:ascii="仿宋" w:hAnsi="仿宋" w:eastAsia="仿宋" w:cs="仿宋"/>
          <w:color w:val="auto"/>
          <w:sz w:val="24"/>
          <w:szCs w:val="24"/>
          <w:highlight w:val="none"/>
        </w:rPr>
        <w:t>（1）伤残按10％比例逐级赔付；</w:t>
      </w:r>
    </w:p>
    <w:p w14:paraId="2A3FD639">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）意外医疗适用所有医保定点医院；</w:t>
      </w:r>
    </w:p>
    <w:p w14:paraId="742E7981">
      <w:pPr>
        <w:snapToGrid w:val="0"/>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）参保人员年龄为16-70周岁。</w:t>
      </w:r>
    </w:p>
    <w:p w14:paraId="0776CAE3">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C、服务要求</w:t>
      </w:r>
    </w:p>
    <w:p w14:paraId="6292553C">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 w:eastAsia="仿宋"/>
          <w:color w:val="auto"/>
          <w:sz w:val="24"/>
          <w:highlight w:val="none"/>
        </w:rPr>
      </w:pPr>
      <w:r>
        <w:rPr>
          <w:rFonts w:hint="eastAsia" w:ascii="仿宋" w:eastAsia="仿宋"/>
          <w:color w:val="auto"/>
          <w:sz w:val="24"/>
          <w:highlight w:val="none"/>
          <w:lang w:val="en-US" w:eastAsia="zh-CN"/>
        </w:rPr>
        <w:t>1、</w:t>
      </w:r>
      <w:r>
        <w:rPr>
          <w:rFonts w:hint="eastAsia" w:ascii="仿宋" w:eastAsia="仿宋"/>
          <w:color w:val="auto"/>
          <w:sz w:val="24"/>
          <w:highlight w:val="none"/>
        </w:rPr>
        <w:t>中标人应执行24小时接报案制度，接到报案后中标人理赔服务人员应在10分钟内联系报案人，并指导相关处理事项。若需现场查勘，理赔服务人员应在</w:t>
      </w:r>
      <w:r>
        <w:rPr>
          <w:rFonts w:hint="eastAsia" w:ascii="仿宋" w:eastAsia="仿宋"/>
          <w:color w:val="auto"/>
          <w:sz w:val="24"/>
          <w:highlight w:val="none"/>
          <w:lang w:val="en-US" w:eastAsia="zh-CN"/>
        </w:rPr>
        <w:t>30分钟</w:t>
      </w:r>
      <w:r>
        <w:rPr>
          <w:rFonts w:hint="eastAsia" w:ascii="仿宋" w:eastAsia="仿宋"/>
          <w:color w:val="auto"/>
          <w:sz w:val="24"/>
          <w:highlight w:val="none"/>
        </w:rPr>
        <w:t>内到达现场，进行保险事故损失查勘及收取相关资料。</w:t>
      </w:r>
    </w:p>
    <w:p w14:paraId="3E2EF362">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 w:eastAsia="仿宋"/>
          <w:color w:val="auto"/>
          <w:sz w:val="24"/>
          <w:highlight w:val="none"/>
        </w:rPr>
      </w:pPr>
      <w:r>
        <w:rPr>
          <w:rFonts w:hint="eastAsia" w:ascii="仿宋" w:eastAsia="仿宋"/>
          <w:color w:val="auto"/>
          <w:sz w:val="24"/>
          <w:highlight w:val="none"/>
          <w:lang w:val="en-US" w:eastAsia="zh-CN"/>
        </w:rPr>
        <w:t>2、</w:t>
      </w:r>
      <w:r>
        <w:rPr>
          <w:rFonts w:hint="eastAsia" w:ascii="仿宋" w:eastAsia="仿宋"/>
          <w:color w:val="auto"/>
          <w:sz w:val="24"/>
          <w:highlight w:val="none"/>
        </w:rPr>
        <w:t>发生保险事故后，供应商须根据采购人的要求提供全程上门指导、协助服务。</w:t>
      </w:r>
    </w:p>
    <w:p w14:paraId="12EEED21">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 w:eastAsia="仿宋"/>
          <w:color w:val="auto"/>
          <w:sz w:val="24"/>
          <w:highlight w:val="none"/>
        </w:rPr>
      </w:pPr>
      <w:r>
        <w:rPr>
          <w:rFonts w:hint="eastAsia" w:ascii="仿宋" w:eastAsia="仿宋"/>
          <w:color w:val="auto"/>
          <w:sz w:val="24"/>
          <w:highlight w:val="none"/>
          <w:lang w:val="en-US" w:eastAsia="zh-CN"/>
        </w:rPr>
        <w:t>3、</w:t>
      </w:r>
      <w:r>
        <w:rPr>
          <w:rFonts w:hint="eastAsia" w:ascii="仿宋" w:eastAsia="仿宋"/>
          <w:color w:val="auto"/>
          <w:sz w:val="24"/>
          <w:highlight w:val="none"/>
        </w:rPr>
        <w:t>在特殊危险情况下，采购人为避免事故发生或减少事故损失，所采取的应急施救合理费用由中标人承担。</w:t>
      </w:r>
    </w:p>
    <w:p w14:paraId="552AA2E3">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default" w:ascii="仿宋" w:hAnsi="仿宋" w:eastAsia="仿宋" w:cs="仿宋"/>
          <w:b/>
          <w:bCs/>
          <w:color w:val="auto"/>
          <w:sz w:val="24"/>
          <w:szCs w:val="24"/>
          <w:highlight w:val="none"/>
          <w:lang w:val="en-US" w:eastAsia="zh-CN"/>
        </w:rPr>
      </w:pPr>
      <w:r>
        <w:rPr>
          <w:rFonts w:hint="eastAsia" w:ascii="仿宋" w:eastAsia="仿宋"/>
          <w:color w:val="auto"/>
          <w:sz w:val="24"/>
          <w:highlight w:val="none"/>
          <w:lang w:val="en-US" w:eastAsia="zh-CN"/>
        </w:rPr>
        <w:t>4、</w:t>
      </w:r>
      <w:r>
        <w:rPr>
          <w:rFonts w:hint="eastAsia" w:ascii="仿宋" w:eastAsia="仿宋"/>
          <w:color w:val="auto"/>
          <w:sz w:val="24"/>
          <w:highlight w:val="none"/>
        </w:rPr>
        <w:t>在签订保险合同时，成交供应商不得以任何形式加重采购人的负担或者减轻自己的义务。</w:t>
      </w:r>
    </w:p>
    <w:p w14:paraId="093379ED">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车辆保险</w:t>
      </w:r>
    </w:p>
    <w:p w14:paraId="407C5F44">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1、保险标的：</w:t>
      </w:r>
    </w:p>
    <w:tbl>
      <w:tblPr>
        <w:tblStyle w:val="34"/>
        <w:tblW w:w="824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2"/>
        <w:gridCol w:w="1718"/>
        <w:gridCol w:w="2730"/>
        <w:gridCol w:w="2920"/>
      </w:tblGrid>
      <w:tr w14:paraId="755D5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25EE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FA2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车辆牌照</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0AC2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车辆类型</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0933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现权属单位</w:t>
            </w:r>
          </w:p>
        </w:tc>
      </w:tr>
      <w:tr w14:paraId="37C9F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38AD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F77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浙D1N0R0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C25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小型普通客车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C17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水务集团</w:t>
            </w:r>
          </w:p>
        </w:tc>
      </w:tr>
      <w:tr w14:paraId="60BE8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4772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4F1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浙D8P76J</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AD7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小型普通客车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80CB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水投集团</w:t>
            </w:r>
          </w:p>
        </w:tc>
      </w:tr>
      <w:tr w14:paraId="35687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D2DF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46D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浙D5X69T</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273E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31F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水投集团（水务事业部）</w:t>
            </w:r>
          </w:p>
        </w:tc>
      </w:tr>
      <w:tr w14:paraId="54BC1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3E8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CF7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浙D9P35A</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B73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轻型箱式货车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E56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水投集团（水务事业部）</w:t>
            </w:r>
          </w:p>
        </w:tc>
      </w:tr>
      <w:tr w14:paraId="56349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925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6FA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浙D8F9B1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C5B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轻型普通货车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B6EC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水务集团（工程部）</w:t>
            </w:r>
          </w:p>
        </w:tc>
      </w:tr>
      <w:tr w14:paraId="25E69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CEE9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55B8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浙D5F8X1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204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轻型普通货车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3BC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水务集团（工程部）</w:t>
            </w:r>
          </w:p>
        </w:tc>
      </w:tr>
      <w:tr w14:paraId="401D7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EFEE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490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浙D8B2H7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9D24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轻型普通货车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D637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水务集团（工程部）</w:t>
            </w:r>
          </w:p>
        </w:tc>
      </w:tr>
      <w:tr w14:paraId="2E3D1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C0E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D47B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浙D2N61A</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1497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7950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城市水务.高铁</w:t>
            </w:r>
          </w:p>
        </w:tc>
      </w:tr>
      <w:tr w14:paraId="462B5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C26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48CE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浙D2Z02V</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4B4C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9B43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剡溪污水</w:t>
            </w:r>
          </w:p>
        </w:tc>
      </w:tr>
      <w:tr w14:paraId="47A76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A561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0B8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浙D0N13G</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111D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2DB1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城市水务.剡城</w:t>
            </w:r>
          </w:p>
        </w:tc>
      </w:tr>
      <w:tr w14:paraId="3268A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DF8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ACC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浙D1H25T</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34C0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698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城市水务.剡城</w:t>
            </w:r>
          </w:p>
        </w:tc>
      </w:tr>
      <w:tr w14:paraId="6F256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77A3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5E9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浙D1K16C</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C07A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6E30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城市水务.浦口</w:t>
            </w:r>
          </w:p>
        </w:tc>
      </w:tr>
      <w:tr w14:paraId="0A4FD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1D4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0845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浙D2P23Q</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DC5A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6276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城市水务.浦口</w:t>
            </w:r>
          </w:p>
        </w:tc>
      </w:tr>
      <w:tr w14:paraId="4DA14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93DB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6AA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浙D1M38G</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76DF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581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城市水务</w:t>
            </w:r>
          </w:p>
        </w:tc>
      </w:tr>
      <w:tr w14:paraId="3906C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EE55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4E4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浙DJ330Z</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30E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轻型栏板货车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C942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w:t>
            </w:r>
          </w:p>
        </w:tc>
      </w:tr>
      <w:tr w14:paraId="168A3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B749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D02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浙D668E3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0F9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C63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w:t>
            </w:r>
          </w:p>
        </w:tc>
      </w:tr>
      <w:tr w14:paraId="2FDFF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0C1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583F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浙D6G5Y6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57E4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轻型普通货车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A32C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剡溪水务.甘霖</w:t>
            </w:r>
          </w:p>
        </w:tc>
      </w:tr>
      <w:tr w14:paraId="1C17A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82E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7931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浙D7F9F9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EC6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轻型普通货车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57E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剡溪水务.甘霖</w:t>
            </w:r>
          </w:p>
        </w:tc>
      </w:tr>
      <w:tr w14:paraId="1F9E9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4068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8FD9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浙D9D9A6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840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轻型普通货车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5C52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剡溪水务.崇仁</w:t>
            </w:r>
          </w:p>
        </w:tc>
      </w:tr>
      <w:tr w14:paraId="0E503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065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3C64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浙D311F1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B00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8E2D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剡溪水务.崇仁</w:t>
            </w:r>
          </w:p>
        </w:tc>
      </w:tr>
      <w:tr w14:paraId="3CE68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0BFD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A2A6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浙D6G6P9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C123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轻型普通货车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432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剡溪水务.黄泽</w:t>
            </w:r>
          </w:p>
        </w:tc>
      </w:tr>
      <w:tr w14:paraId="1E057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DB8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3A6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浙D6F3D0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69DC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轻型栏板货车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1FD5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剡溪水务.黄泽</w:t>
            </w:r>
          </w:p>
        </w:tc>
      </w:tr>
      <w:tr w14:paraId="1A4CF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8F9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A16D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浙D088F1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F895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67E3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剡溪水务.三界</w:t>
            </w:r>
          </w:p>
        </w:tc>
      </w:tr>
      <w:tr w14:paraId="44EA1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CD2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B7D5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浙D002G3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6FAA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D11F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剡溪水务.三界</w:t>
            </w:r>
          </w:p>
        </w:tc>
      </w:tr>
      <w:tr w14:paraId="281A4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B0D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F743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浙D233G6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490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6A69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剡溪水务.长乐</w:t>
            </w:r>
          </w:p>
        </w:tc>
      </w:tr>
      <w:tr w14:paraId="364FF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B70B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323D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浙D878P1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F8E3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轻型普通货车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56C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剡溪水务.长乐</w:t>
            </w:r>
          </w:p>
        </w:tc>
      </w:tr>
      <w:tr w14:paraId="23E0B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4E7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C67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浙D9E3J5</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C34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轻型普通货车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52E2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城乡制水</w:t>
            </w:r>
          </w:p>
        </w:tc>
      </w:tr>
      <w:tr w14:paraId="368A5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391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824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浙D0E53M</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750A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小型普通客车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7C4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城乡制水</w:t>
            </w:r>
          </w:p>
        </w:tc>
      </w:tr>
      <w:tr w14:paraId="23EFA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1086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6AF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浙D0Q69R</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A124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轻型箱式货车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CE4C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城乡制水</w:t>
            </w:r>
          </w:p>
        </w:tc>
      </w:tr>
      <w:tr w14:paraId="0EB3A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5CFB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81CF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浙D5K31L</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598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0C1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城乡制水（第三水厂）</w:t>
            </w:r>
          </w:p>
        </w:tc>
      </w:tr>
      <w:tr w14:paraId="19E8B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BD9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4E52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浙DH1X89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87A3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小型普通客车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5BC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承装</w:t>
            </w:r>
          </w:p>
        </w:tc>
      </w:tr>
      <w:tr w14:paraId="3DF53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9AC5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2F1D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浙DH1X65</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DD7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小型普通客车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4131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承装</w:t>
            </w:r>
          </w:p>
        </w:tc>
      </w:tr>
      <w:tr w14:paraId="674B0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243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E3F5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浙D5P7K9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9DF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35DD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水贸</w:t>
            </w:r>
          </w:p>
        </w:tc>
      </w:tr>
      <w:tr w14:paraId="2016A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1887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D637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浙D0E06K</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3F2C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AC35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水联污泥</w:t>
            </w:r>
          </w:p>
        </w:tc>
      </w:tr>
      <w:tr w14:paraId="30221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81F3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947F2">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浙D9Q86X</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67806">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轻型非载货专项作业车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AC8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城市水务</w:t>
            </w:r>
          </w:p>
        </w:tc>
      </w:tr>
      <w:tr w14:paraId="462E1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EDFF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054D9">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浙D0N30Q</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1279">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轻型非载货专项作业车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D94C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城市水务</w:t>
            </w:r>
          </w:p>
        </w:tc>
      </w:tr>
      <w:tr w14:paraId="1C624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1C2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16FE">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浙D1Z5U1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8B1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3C5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城市水务</w:t>
            </w:r>
          </w:p>
        </w:tc>
      </w:tr>
    </w:tbl>
    <w:p w14:paraId="32913181">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2、保险责任：</w:t>
      </w:r>
      <w:r>
        <w:rPr>
          <w:rFonts w:hint="eastAsia" w:ascii="仿宋" w:hAnsi="仿宋" w:eastAsia="仿宋" w:cs="仿宋"/>
          <w:color w:val="auto"/>
          <w:sz w:val="24"/>
          <w:szCs w:val="24"/>
          <w:highlight w:val="none"/>
        </w:rPr>
        <w:t>交</w:t>
      </w:r>
      <w:r>
        <w:rPr>
          <w:rFonts w:hint="eastAsia" w:ascii="仿宋" w:hAnsi="仿宋" w:eastAsia="仿宋" w:cs="仿宋"/>
          <w:color w:val="auto"/>
          <w:sz w:val="24"/>
          <w:szCs w:val="24"/>
          <w:highlight w:val="none"/>
          <w:lang w:val="en-US" w:eastAsia="zh-CN"/>
        </w:rPr>
        <w:t>通事故责任强制</w:t>
      </w:r>
      <w:r>
        <w:rPr>
          <w:rFonts w:hint="eastAsia" w:ascii="仿宋" w:hAnsi="仿宋" w:eastAsia="仿宋" w:cs="仿宋"/>
          <w:color w:val="auto"/>
          <w:sz w:val="24"/>
          <w:szCs w:val="24"/>
          <w:highlight w:val="none"/>
        </w:rPr>
        <w:t>险、商业险（车损险、第三者</w:t>
      </w:r>
      <w:r>
        <w:rPr>
          <w:rFonts w:hint="eastAsia" w:ascii="仿宋" w:hAnsi="仿宋" w:eastAsia="仿宋" w:cs="仿宋"/>
          <w:color w:val="auto"/>
          <w:sz w:val="24"/>
          <w:szCs w:val="24"/>
          <w:highlight w:val="none"/>
          <w:lang w:val="en-US" w:eastAsia="zh-CN"/>
        </w:rPr>
        <w:t>责任险</w:t>
      </w:r>
      <w:r>
        <w:rPr>
          <w:rFonts w:hint="eastAsia" w:ascii="仿宋" w:hAnsi="仿宋" w:eastAsia="仿宋" w:cs="仿宋"/>
          <w:color w:val="auto"/>
          <w:sz w:val="24"/>
          <w:szCs w:val="24"/>
          <w:highlight w:val="none"/>
        </w:rPr>
        <w:t>保额300万，车上人员</w:t>
      </w:r>
      <w:r>
        <w:rPr>
          <w:rFonts w:hint="eastAsia" w:ascii="仿宋" w:hAnsi="仿宋" w:eastAsia="仿宋" w:cs="仿宋"/>
          <w:color w:val="auto"/>
          <w:sz w:val="24"/>
          <w:szCs w:val="24"/>
          <w:highlight w:val="none"/>
          <w:lang w:val="en-US" w:eastAsia="zh-CN"/>
        </w:rPr>
        <w:t>座位险</w:t>
      </w:r>
      <w:r>
        <w:rPr>
          <w:rFonts w:hint="eastAsia" w:ascii="仿宋" w:hAnsi="仿宋" w:eastAsia="仿宋" w:cs="仿宋"/>
          <w:color w:val="auto"/>
          <w:sz w:val="24"/>
          <w:szCs w:val="24"/>
          <w:highlight w:val="none"/>
        </w:rPr>
        <w:t>5万/人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车上人员意外险80万/人</w:t>
      </w:r>
      <w:r>
        <w:rPr>
          <w:rFonts w:hint="eastAsia" w:ascii="仿宋" w:hAnsi="仿宋" w:eastAsia="仿宋" w:cs="仿宋"/>
          <w:color w:val="auto"/>
          <w:sz w:val="24"/>
          <w:szCs w:val="24"/>
          <w:highlight w:val="none"/>
        </w:rPr>
        <w:t>）</w:t>
      </w:r>
    </w:p>
    <w:p w14:paraId="18DCD9FE">
      <w:pPr>
        <w:numPr>
          <w:ilvl w:val="0"/>
          <w:numId w:val="0"/>
        </w:numPr>
        <w:spacing w:line="360" w:lineRule="auto"/>
        <w:ind w:left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3、服务要求：</w:t>
      </w:r>
    </w:p>
    <w:p w14:paraId="613D4400">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3.1投标人应设有24小时全天报案服务电话，并设专人受理报案、接待、理赔。</w:t>
      </w:r>
    </w:p>
    <w:p w14:paraId="3B1129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3.2中标人在接到投保人的出险报案后,市区范围内的理赔人员应于30分钟内,市郊1小时内赶到现场。超过该时限,视为保险公司已到达现场,事故车可自行移位,以被保险人留存的现场资料及处理事故的相关材料为依据进行全额赔付。投保车辆出险后,中标人须根据投保人的要求提供全程上门服务:包括到全国各地帮助理赔及参与交警及法院调解处理相关费用由中标方负责。</w:t>
      </w:r>
    </w:p>
    <w:p w14:paraId="4146C4DE">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3.3.发生交通事故，采购人如有需预付赔款、医药费等，中标方必须及时预付。</w:t>
      </w:r>
    </w:p>
    <w:p w14:paraId="4A9B66C0">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3.4.赔款时限：20000元以下1个工作日内；20000-100000元3个工作日内；100000元以上10个工作日内。</w:t>
      </w:r>
    </w:p>
    <w:p w14:paraId="32DEA624">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3.5.对发生保险事故的车辆，在嵊州市范围实行免费拖车施救。</w:t>
      </w:r>
    </w:p>
    <w:p w14:paraId="755BBF84">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3.6.投标人不得限制采购人要求的出险次数。对承保车辆不得加扣多次事故免赔率。</w:t>
      </w:r>
    </w:p>
    <w:p w14:paraId="4600164A">
      <w:pPr>
        <w:spacing w:line="360" w:lineRule="auto"/>
        <w:ind w:firstLine="480"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3.7后续治疗费用的赔偿：在伤者没有痊愈的状况下进行结案时，按照总医疗费的一定比例向伤者支付后续治疗费用，该比例不得低于已发生医疗费用的30%。</w:t>
      </w:r>
    </w:p>
    <w:p w14:paraId="62F3DDA0">
      <w:pPr>
        <w:keepNext w:val="0"/>
        <w:keepLines w:val="0"/>
        <w:pageBreakBefore w:val="0"/>
        <w:kinsoku/>
        <w:wordWrap/>
        <w:overflowPunct/>
        <w:topLinePunct w:val="0"/>
        <w:bidi w:val="0"/>
        <w:adjustRightInd w:val="0"/>
        <w:spacing w:line="440" w:lineRule="exact"/>
        <w:ind w:firstLine="482" w:firstLineChars="200"/>
        <w:jc w:val="both"/>
        <w:textAlignment w:val="auto"/>
        <w:rPr>
          <w:rFonts w:hint="eastAsia"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b/>
          <w:bCs/>
          <w:i w:val="0"/>
          <w:iCs w:val="0"/>
          <w:color w:val="auto"/>
          <w:kern w:val="2"/>
          <w:sz w:val="24"/>
          <w:szCs w:val="20"/>
          <w:highlight w:val="none"/>
          <w:vertAlign w:val="baseline"/>
          <w:lang w:val="en-US" w:eastAsia="zh-CN" w:bidi="ar-SA"/>
        </w:rPr>
        <w:t>七、商务响应表</w:t>
      </w:r>
    </w:p>
    <w:tbl>
      <w:tblPr>
        <w:tblStyle w:val="34"/>
        <w:tblW w:w="93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08"/>
        <w:gridCol w:w="7771"/>
      </w:tblGrid>
      <w:tr w14:paraId="53A51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1608" w:type="dxa"/>
            <w:tcBorders>
              <w:top w:val="single" w:color="auto" w:sz="4" w:space="0"/>
              <w:left w:val="single" w:color="auto" w:sz="4" w:space="0"/>
              <w:bottom w:val="single" w:color="auto" w:sz="4" w:space="0"/>
              <w:right w:val="single" w:color="auto" w:sz="4" w:space="0"/>
            </w:tcBorders>
            <w:noWrap w:val="0"/>
            <w:vAlign w:val="center"/>
          </w:tcPr>
          <w:p w14:paraId="5F6E3E70">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b w:val="0"/>
                <w:bCs w:val="0"/>
                <w:i w:val="0"/>
                <w:iCs w:val="0"/>
                <w:color w:val="auto"/>
                <w:kern w:val="2"/>
                <w:sz w:val="24"/>
                <w:szCs w:val="20"/>
                <w:highlight w:val="none"/>
                <w:vertAlign w:val="baseline"/>
                <w:lang w:val="en-US" w:eastAsia="zh-CN" w:bidi="ar-SA"/>
              </w:rPr>
            </w:pPr>
            <w:bookmarkStart w:id="31" w:name="OLE_LINK16" w:colFirst="0" w:colLast="0"/>
            <w:r>
              <w:rPr>
                <w:rFonts w:hint="eastAsia" w:ascii="仿宋" w:hAnsi="仿宋" w:eastAsia="仿宋" w:cs="仿宋"/>
                <w:b w:val="0"/>
                <w:bCs w:val="0"/>
                <w:i w:val="0"/>
                <w:iCs w:val="0"/>
                <w:color w:val="auto"/>
                <w:kern w:val="2"/>
                <w:sz w:val="24"/>
                <w:szCs w:val="20"/>
                <w:highlight w:val="none"/>
                <w:vertAlign w:val="baseline"/>
                <w:lang w:val="en-US" w:eastAsia="zh-CN" w:bidi="ar-SA"/>
              </w:rPr>
              <w:t>服务期限</w:t>
            </w:r>
          </w:p>
        </w:tc>
        <w:tc>
          <w:tcPr>
            <w:tcW w:w="7771" w:type="dxa"/>
            <w:tcBorders>
              <w:top w:val="single" w:color="auto" w:sz="4" w:space="0"/>
              <w:left w:val="single" w:color="auto" w:sz="4" w:space="0"/>
              <w:bottom w:val="single" w:color="auto" w:sz="4" w:space="0"/>
              <w:right w:val="single" w:color="auto" w:sz="4" w:space="0"/>
            </w:tcBorders>
            <w:noWrap w:val="0"/>
            <w:vAlign w:val="center"/>
          </w:tcPr>
          <w:p w14:paraId="6BE1AFCC">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b w:val="0"/>
                <w:bCs w:val="0"/>
                <w:i w:val="0"/>
                <w:iCs w:val="0"/>
                <w:color w:val="auto"/>
                <w:kern w:val="2"/>
                <w:sz w:val="24"/>
                <w:szCs w:val="20"/>
                <w:highlight w:val="none"/>
                <w:vertAlign w:val="baseline"/>
                <w:lang w:val="en-US" w:eastAsia="zh-CN" w:bidi="ar-SA"/>
              </w:rPr>
              <w:t>服务期限2年（双方签订合同之日起算）。投标人中标后，须按中标价签订保险服务合同，具体单个保险合同与财产所属单位签订，并签发保单。</w:t>
            </w:r>
          </w:p>
        </w:tc>
      </w:tr>
      <w:tr w14:paraId="57199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08" w:type="dxa"/>
            <w:tcBorders>
              <w:top w:val="single" w:color="auto" w:sz="4" w:space="0"/>
              <w:left w:val="single" w:color="auto" w:sz="4" w:space="0"/>
              <w:bottom w:val="single" w:color="auto" w:sz="4" w:space="0"/>
              <w:right w:val="single" w:color="auto" w:sz="4" w:space="0"/>
            </w:tcBorders>
            <w:noWrap w:val="0"/>
            <w:vAlign w:val="center"/>
          </w:tcPr>
          <w:p w14:paraId="1C60CB41">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b w:val="0"/>
                <w:bCs w:val="0"/>
                <w:i w:val="0"/>
                <w:iCs w:val="0"/>
                <w:color w:val="auto"/>
                <w:kern w:val="2"/>
                <w:sz w:val="24"/>
                <w:szCs w:val="20"/>
                <w:highlight w:val="none"/>
                <w:vertAlign w:val="baseline"/>
                <w:lang w:val="en-US" w:eastAsia="zh-CN" w:bidi="ar-SA"/>
              </w:rPr>
              <w:t>服务时间</w:t>
            </w:r>
          </w:p>
        </w:tc>
        <w:tc>
          <w:tcPr>
            <w:tcW w:w="7771" w:type="dxa"/>
            <w:tcBorders>
              <w:top w:val="single" w:color="auto" w:sz="4" w:space="0"/>
              <w:left w:val="single" w:color="auto" w:sz="4" w:space="0"/>
              <w:bottom w:val="single" w:color="auto" w:sz="4" w:space="0"/>
              <w:right w:val="single" w:color="auto" w:sz="4" w:space="0"/>
            </w:tcBorders>
            <w:noWrap w:val="0"/>
            <w:vAlign w:val="center"/>
          </w:tcPr>
          <w:p w14:paraId="71B00C86">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b w:val="0"/>
                <w:bCs w:val="0"/>
                <w:i w:val="0"/>
                <w:iCs w:val="0"/>
                <w:color w:val="auto"/>
                <w:kern w:val="2"/>
                <w:sz w:val="24"/>
                <w:szCs w:val="20"/>
                <w:highlight w:val="none"/>
                <w:vertAlign w:val="baseline"/>
                <w:lang w:val="en-US" w:eastAsia="zh-CN" w:bidi="ar-SA"/>
              </w:rPr>
              <w:t>保费到账后24小时内提供保单。</w:t>
            </w:r>
          </w:p>
        </w:tc>
      </w:tr>
      <w:tr w14:paraId="3F183D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08" w:type="dxa"/>
            <w:tcBorders>
              <w:top w:val="single" w:color="auto" w:sz="4" w:space="0"/>
              <w:left w:val="single" w:color="auto" w:sz="4" w:space="0"/>
              <w:bottom w:val="single" w:color="auto" w:sz="4" w:space="0"/>
              <w:right w:val="single" w:color="auto" w:sz="4" w:space="0"/>
            </w:tcBorders>
            <w:noWrap w:val="0"/>
            <w:vAlign w:val="center"/>
          </w:tcPr>
          <w:p w14:paraId="1DED5AFF">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b w:val="0"/>
                <w:bCs w:val="0"/>
                <w:i w:val="0"/>
                <w:iCs w:val="0"/>
                <w:color w:val="auto"/>
                <w:kern w:val="2"/>
                <w:sz w:val="24"/>
                <w:szCs w:val="20"/>
                <w:highlight w:val="none"/>
                <w:vertAlign w:val="baseline"/>
                <w:lang w:val="en-US" w:eastAsia="zh-CN" w:bidi="ar-SA"/>
              </w:rPr>
              <w:t>结算方式</w:t>
            </w:r>
          </w:p>
        </w:tc>
        <w:tc>
          <w:tcPr>
            <w:tcW w:w="7771" w:type="dxa"/>
            <w:tcBorders>
              <w:top w:val="single" w:color="auto" w:sz="4" w:space="0"/>
              <w:left w:val="single" w:color="auto" w:sz="4" w:space="0"/>
              <w:bottom w:val="single" w:color="auto" w:sz="4" w:space="0"/>
              <w:right w:val="single" w:color="auto" w:sz="4" w:space="0"/>
            </w:tcBorders>
            <w:noWrap w:val="0"/>
            <w:vAlign w:val="center"/>
          </w:tcPr>
          <w:p w14:paraId="64AC8C59">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240" w:firstLineChars="100"/>
              <w:textAlignment w:val="auto"/>
              <w:rPr>
                <w:rFonts w:hint="eastAsia"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color w:val="auto"/>
                <w:sz w:val="24"/>
                <w:szCs w:val="24"/>
                <w:highlight w:val="none"/>
                <w:lang w:val="en-US" w:eastAsia="zh-CN"/>
              </w:rPr>
              <w:t>合同期内财产综合险、</w:t>
            </w:r>
            <w:r>
              <w:rPr>
                <w:rFonts w:hint="eastAsia" w:ascii="仿宋" w:hAnsi="仿宋" w:eastAsia="仿宋" w:cs="仿宋"/>
                <w:color w:val="auto"/>
                <w:highlight w:val="none"/>
                <w:lang w:val="en-US" w:eastAsia="zh-CN"/>
              </w:rPr>
              <w:t>公众责任险中的营业场所、工程一切险/建筑施工人员意外险的</w:t>
            </w:r>
            <w:r>
              <w:rPr>
                <w:rFonts w:hint="eastAsia" w:ascii="仿宋" w:hAnsi="仿宋" w:eastAsia="仿宋" w:cs="仿宋"/>
                <w:b w:val="0"/>
                <w:bCs w:val="0"/>
                <w:i w:val="0"/>
                <w:iCs w:val="0"/>
                <w:color w:val="auto"/>
                <w:kern w:val="2"/>
                <w:sz w:val="24"/>
                <w:szCs w:val="20"/>
                <w:highlight w:val="none"/>
                <w:vertAlign w:val="baseline"/>
                <w:lang w:val="en-US" w:eastAsia="zh-CN" w:bidi="ar-SA"/>
              </w:rPr>
              <w:t>费率按中标费率，数量按实结算；</w:t>
            </w:r>
            <w:r>
              <w:rPr>
                <w:rFonts w:hint="eastAsia" w:ascii="仿宋" w:hAnsi="仿宋" w:eastAsia="仿宋" w:cs="仿宋"/>
                <w:color w:val="auto"/>
                <w:highlight w:val="none"/>
                <w:lang w:val="en-US" w:eastAsia="zh-CN"/>
              </w:rPr>
              <w:t>公众责任险中的管道如有增减，总价不作调整；雇主责任险</w:t>
            </w:r>
            <w:r>
              <w:rPr>
                <w:rFonts w:hint="eastAsia" w:ascii="仿宋" w:hAnsi="仿宋" w:eastAsia="仿宋" w:cs="仿宋"/>
                <w:b w:val="0"/>
                <w:bCs w:val="0"/>
                <w:i w:val="0"/>
                <w:iCs w:val="0"/>
                <w:color w:val="auto"/>
                <w:kern w:val="2"/>
                <w:sz w:val="24"/>
                <w:szCs w:val="20"/>
                <w:highlight w:val="none"/>
                <w:vertAlign w:val="baseline"/>
                <w:lang w:val="en-US" w:eastAsia="zh-CN" w:bidi="ar-SA"/>
              </w:rPr>
              <w:t>单价按中标价，人数按实结算</w:t>
            </w:r>
            <w:r>
              <w:rPr>
                <w:rFonts w:hint="eastAsia" w:ascii="仿宋" w:hAnsi="仿宋" w:eastAsia="仿宋" w:cs="仿宋"/>
                <w:b w:val="0"/>
                <w:bCs w:val="0"/>
                <w:i w:val="0"/>
                <w:iCs w:val="0"/>
                <w:color w:val="auto"/>
                <w:kern w:val="2"/>
                <w:sz w:val="24"/>
                <w:szCs w:val="20"/>
                <w:highlight w:val="none"/>
                <w:vertAlign w:val="baseline"/>
                <w:lang w:val="zh-CN" w:eastAsia="zh-CN" w:bidi="ar-SA"/>
              </w:rPr>
              <w:t>；</w:t>
            </w:r>
            <w:r>
              <w:rPr>
                <w:rFonts w:hint="eastAsia" w:ascii="仿宋" w:hAnsi="仿宋" w:eastAsia="仿宋" w:cs="仿宋"/>
                <w:color w:val="auto"/>
                <w:sz w:val="24"/>
                <w:szCs w:val="24"/>
                <w:highlight w:val="none"/>
                <w:lang w:val="en-US" w:eastAsia="zh-CN"/>
              </w:rPr>
              <w:t>燃油车辆按中标燃油车辆承保自主折扣系数，如有电动车按浙江省行业监管最低折扣系数执行，数量按实调整。</w:t>
            </w:r>
            <w:r>
              <w:rPr>
                <w:rFonts w:hint="eastAsia" w:ascii="仿宋" w:hAnsi="仿宋" w:eastAsia="仿宋" w:cs="仿宋"/>
                <w:b w:val="0"/>
                <w:bCs w:val="0"/>
                <w:i w:val="0"/>
                <w:iCs w:val="0"/>
                <w:color w:val="auto"/>
                <w:kern w:val="2"/>
                <w:sz w:val="24"/>
                <w:szCs w:val="20"/>
                <w:highlight w:val="none"/>
                <w:vertAlign w:val="baseline"/>
                <w:lang w:val="en-US" w:eastAsia="zh-CN" w:bidi="ar-SA"/>
              </w:rPr>
              <w:t>投标人在投标报价时应考虑一定的风险系数。</w:t>
            </w:r>
          </w:p>
        </w:tc>
      </w:tr>
      <w:tr w14:paraId="79694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08" w:type="dxa"/>
            <w:tcBorders>
              <w:top w:val="single" w:color="auto" w:sz="4" w:space="0"/>
              <w:left w:val="single" w:color="auto" w:sz="4" w:space="0"/>
              <w:bottom w:val="single" w:color="auto" w:sz="4" w:space="0"/>
              <w:right w:val="single" w:color="auto" w:sz="4" w:space="0"/>
            </w:tcBorders>
            <w:noWrap w:val="0"/>
            <w:vAlign w:val="center"/>
          </w:tcPr>
          <w:p w14:paraId="1780FD4A">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b w:val="0"/>
                <w:bCs w:val="0"/>
                <w:i w:val="0"/>
                <w:iCs w:val="0"/>
                <w:color w:val="auto"/>
                <w:kern w:val="2"/>
                <w:sz w:val="24"/>
                <w:szCs w:val="20"/>
                <w:highlight w:val="none"/>
                <w:vertAlign w:val="baseline"/>
                <w:lang w:val="en-US" w:eastAsia="zh-CN" w:bidi="ar-SA"/>
              </w:rPr>
              <w:t>付款条件</w:t>
            </w:r>
          </w:p>
        </w:tc>
        <w:tc>
          <w:tcPr>
            <w:tcW w:w="7771" w:type="dxa"/>
            <w:tcBorders>
              <w:top w:val="single" w:color="auto" w:sz="4" w:space="0"/>
              <w:left w:val="single" w:color="auto" w:sz="4" w:space="0"/>
              <w:bottom w:val="single" w:color="auto" w:sz="4" w:space="0"/>
              <w:right w:val="single" w:color="auto" w:sz="4" w:space="0"/>
            </w:tcBorders>
            <w:noWrap w:val="0"/>
            <w:vAlign w:val="center"/>
          </w:tcPr>
          <w:p w14:paraId="514B067D">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b w:val="0"/>
                <w:bCs w:val="0"/>
                <w:i w:val="0"/>
                <w:iCs w:val="0"/>
                <w:color w:val="auto"/>
                <w:kern w:val="2"/>
                <w:sz w:val="24"/>
                <w:szCs w:val="20"/>
                <w:highlight w:val="none"/>
                <w:vertAlign w:val="baseline"/>
                <w:lang w:val="en-US" w:eastAsia="zh-CN" w:bidi="ar-SA"/>
              </w:rPr>
              <w:t>服务期内，保险分批次投保（具体单个保险合同与财产所属单位签订），中标人在收到财产所属单位提供需投保的固定资产及车辆、雇员名单等清单后，当天出具保单、发票（符合采购人相关财务制度），保单生效后，投保单位应及时付清该批次保费。</w:t>
            </w:r>
          </w:p>
        </w:tc>
      </w:tr>
      <w:tr w14:paraId="7812B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08" w:type="dxa"/>
            <w:tcBorders>
              <w:top w:val="single" w:color="auto" w:sz="4" w:space="0"/>
              <w:left w:val="single" w:color="auto" w:sz="4" w:space="0"/>
              <w:bottom w:val="single" w:color="auto" w:sz="4" w:space="0"/>
              <w:right w:val="single" w:color="auto" w:sz="4" w:space="0"/>
            </w:tcBorders>
            <w:noWrap w:val="0"/>
            <w:vAlign w:val="center"/>
          </w:tcPr>
          <w:p w14:paraId="65A1C25D">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履约保证金</w:t>
            </w:r>
          </w:p>
        </w:tc>
        <w:tc>
          <w:tcPr>
            <w:tcW w:w="7771" w:type="dxa"/>
            <w:tcBorders>
              <w:top w:val="single" w:color="auto" w:sz="4" w:space="0"/>
              <w:left w:val="single" w:color="auto" w:sz="4" w:space="0"/>
              <w:bottom w:val="single" w:color="auto" w:sz="4" w:space="0"/>
              <w:right w:val="single" w:color="auto" w:sz="4" w:space="0"/>
            </w:tcBorders>
            <w:noWrap w:val="0"/>
            <w:vAlign w:val="center"/>
          </w:tcPr>
          <w:p w14:paraId="2FE73266">
            <w:pPr>
              <w:keepNext w:val="0"/>
              <w:keepLines w:val="0"/>
              <w:pageBreakBefore w:val="0"/>
              <w:widowControl w:val="0"/>
              <w:tabs>
                <w:tab w:val="left" w:pos="900"/>
              </w:tabs>
              <w:kinsoku/>
              <w:wordWrap/>
              <w:overflowPunct/>
              <w:topLinePunct w:val="0"/>
              <w:bidi w:val="0"/>
              <w:spacing w:line="360" w:lineRule="auto"/>
              <w:ind w:left="0" w:firstLine="480" w:firstLineChars="200"/>
              <w:textAlignment w:val="auto"/>
              <w:rPr>
                <w:rFonts w:hint="eastAsia"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履约保证金90000元，中标通知书发出后10个工作日内向采购人递交履约保证金（</w:t>
            </w:r>
            <w:r>
              <w:rPr>
                <w:rFonts w:hint="eastAsia" w:ascii="仿宋" w:hAnsi="仿宋" w:eastAsia="仿宋" w:cs="仿宋"/>
                <w:b w:val="0"/>
                <w:bCs w:val="0"/>
                <w:color w:val="auto"/>
                <w:sz w:val="24"/>
                <w:szCs w:val="24"/>
                <w:highlight w:val="none"/>
                <w:lang w:val="en-US" w:eastAsia="zh-CN"/>
              </w:rPr>
              <w:t>银行支票、电汇、保函（银行保函）等</w:t>
            </w:r>
            <w:r>
              <w:rPr>
                <w:rFonts w:hint="eastAsia" w:ascii="仿宋" w:hAnsi="仿宋" w:eastAsia="仿宋" w:cs="仿宋"/>
                <w:i w:val="0"/>
                <w:iCs w:val="0"/>
                <w:color w:val="auto"/>
                <w:kern w:val="0"/>
                <w:sz w:val="24"/>
                <w:szCs w:val="24"/>
                <w:highlight w:val="none"/>
                <w:u w:val="none"/>
                <w:lang w:val="en-US" w:eastAsia="zh-CN" w:bidi="ar"/>
              </w:rPr>
              <w:t>），履约保证金待服务期满后30日内无息退还。</w:t>
            </w:r>
          </w:p>
        </w:tc>
      </w:tr>
      <w:bookmarkEnd w:id="31"/>
    </w:tbl>
    <w:p w14:paraId="464E63DF">
      <w:pPr>
        <w:pStyle w:val="4"/>
        <w:numPr>
          <w:ilvl w:val="0"/>
          <w:numId w:val="0"/>
        </w:numPr>
        <w:ind w:leftChars="0"/>
        <w:jc w:val="both"/>
        <w:rPr>
          <w:rFonts w:hint="eastAsia" w:ascii="仿宋" w:hAnsi="仿宋" w:eastAsia="仿宋" w:cs="仿宋"/>
          <w:color w:val="auto"/>
          <w:sz w:val="36"/>
          <w:szCs w:val="36"/>
          <w:highlight w:val="none"/>
          <w:lang w:val="en-US" w:eastAsia="zh-CN"/>
        </w:rPr>
      </w:pPr>
    </w:p>
    <w:p w14:paraId="315FBB73">
      <w:pPr>
        <w:rPr>
          <w:rFonts w:hint="eastAsia" w:ascii="仿宋" w:hAnsi="仿宋" w:eastAsia="仿宋" w:cs="仿宋"/>
          <w:color w:val="auto"/>
          <w:sz w:val="36"/>
          <w:szCs w:val="36"/>
          <w:highlight w:val="none"/>
          <w:lang w:val="en-US" w:eastAsia="zh-CN"/>
        </w:rPr>
      </w:pPr>
    </w:p>
    <w:p w14:paraId="41D8B733">
      <w:pPr>
        <w:pStyle w:val="2"/>
        <w:rPr>
          <w:rFonts w:hint="eastAsia" w:ascii="仿宋" w:hAnsi="仿宋" w:eastAsia="仿宋" w:cs="仿宋"/>
          <w:color w:val="auto"/>
          <w:sz w:val="36"/>
          <w:szCs w:val="36"/>
          <w:highlight w:val="none"/>
          <w:lang w:val="en-US" w:eastAsia="zh-CN"/>
        </w:rPr>
      </w:pPr>
    </w:p>
    <w:p w14:paraId="589E8E1B">
      <w:pPr>
        <w:pStyle w:val="3"/>
        <w:rPr>
          <w:rFonts w:hint="eastAsia" w:ascii="仿宋" w:hAnsi="仿宋" w:eastAsia="仿宋" w:cs="仿宋"/>
          <w:color w:val="auto"/>
          <w:sz w:val="36"/>
          <w:szCs w:val="36"/>
          <w:highlight w:val="none"/>
          <w:lang w:val="en-US" w:eastAsia="zh-CN"/>
        </w:rPr>
      </w:pPr>
    </w:p>
    <w:p w14:paraId="22328CCA">
      <w:pPr>
        <w:rPr>
          <w:rFonts w:hint="eastAsia" w:ascii="仿宋" w:hAnsi="仿宋" w:eastAsia="仿宋" w:cs="仿宋"/>
          <w:color w:val="auto"/>
          <w:sz w:val="36"/>
          <w:szCs w:val="36"/>
          <w:highlight w:val="none"/>
          <w:lang w:val="en-US" w:eastAsia="zh-CN"/>
        </w:rPr>
      </w:pPr>
    </w:p>
    <w:p w14:paraId="4FB55C0F">
      <w:pPr>
        <w:pStyle w:val="2"/>
        <w:rPr>
          <w:rFonts w:hint="eastAsia" w:ascii="仿宋" w:hAnsi="仿宋" w:eastAsia="仿宋" w:cs="仿宋"/>
          <w:color w:val="auto"/>
          <w:sz w:val="36"/>
          <w:szCs w:val="36"/>
          <w:highlight w:val="none"/>
          <w:lang w:val="en-US" w:eastAsia="zh-CN"/>
        </w:rPr>
      </w:pPr>
    </w:p>
    <w:p w14:paraId="72C313F9">
      <w:pPr>
        <w:spacing w:line="360" w:lineRule="auto"/>
        <w:jc w:val="both"/>
        <w:outlineLvl w:val="0"/>
        <w:rPr>
          <w:rFonts w:hint="eastAsia" w:ascii="仿宋" w:hAnsi="仿宋" w:eastAsia="仿宋" w:cs="仿宋"/>
          <w:b/>
          <w:color w:val="auto"/>
          <w:sz w:val="36"/>
          <w:szCs w:val="36"/>
          <w:highlight w:val="none"/>
        </w:rPr>
      </w:pPr>
    </w:p>
    <w:p w14:paraId="46F16A7A">
      <w:pPr>
        <w:spacing w:line="360" w:lineRule="auto"/>
        <w:jc w:val="center"/>
        <w:outlineLvl w:val="0"/>
        <w:rPr>
          <w:rFonts w:hint="eastAsia" w:ascii="仿宋" w:hAnsi="仿宋" w:eastAsia="仿宋" w:cs="仿宋"/>
          <w:color w:val="auto"/>
          <w:sz w:val="24"/>
          <w:highlight w:val="none"/>
          <w:u w:val="single"/>
        </w:rPr>
      </w:pPr>
      <w:r>
        <w:rPr>
          <w:rFonts w:hint="eastAsia" w:ascii="仿宋" w:hAnsi="仿宋" w:eastAsia="仿宋" w:cs="仿宋"/>
          <w:b/>
          <w:color w:val="auto"/>
          <w:sz w:val="36"/>
          <w:szCs w:val="36"/>
          <w:highlight w:val="none"/>
        </w:rPr>
        <w:t>第四部分 拟签订的合同文本</w:t>
      </w:r>
    </w:p>
    <w:p w14:paraId="0297307C">
      <w:pPr>
        <w:spacing w:line="480" w:lineRule="auto"/>
        <w:jc w:val="center"/>
        <w:rPr>
          <w:rFonts w:hint="eastAsia" w:ascii="仿宋" w:hAnsi="仿宋" w:eastAsia="仿宋" w:cs="仿宋"/>
          <w:b/>
          <w:color w:val="auto"/>
          <w:sz w:val="28"/>
          <w:szCs w:val="28"/>
          <w:highlight w:val="none"/>
        </w:rPr>
      </w:pPr>
    </w:p>
    <w:p w14:paraId="70229916">
      <w:pPr>
        <w:spacing w:line="480" w:lineRule="auto"/>
        <w:jc w:val="center"/>
        <w:rPr>
          <w:rFonts w:hint="eastAsia" w:ascii="仿宋" w:hAnsi="仿宋" w:eastAsia="仿宋" w:cs="仿宋"/>
          <w:b/>
          <w:color w:val="auto"/>
          <w:sz w:val="24"/>
          <w:highlight w:val="none"/>
        </w:rPr>
      </w:pPr>
    </w:p>
    <w:p w14:paraId="686A57FA">
      <w:pPr>
        <w:spacing w:line="480" w:lineRule="auto"/>
        <w:jc w:val="center"/>
        <w:rPr>
          <w:rFonts w:hint="eastAsia" w:ascii="仿宋" w:hAnsi="仿宋" w:eastAsia="仿宋" w:cs="仿宋"/>
          <w:b/>
          <w:color w:val="auto"/>
          <w:sz w:val="24"/>
          <w:highlight w:val="none"/>
        </w:rPr>
      </w:pPr>
    </w:p>
    <w:p w14:paraId="0D31D6CE">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采购合同参考范本</w:t>
      </w:r>
    </w:p>
    <w:p w14:paraId="298ECE86">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69C09A08">
      <w:pPr>
        <w:spacing w:before="120" w:line="22" w:lineRule="atLeast"/>
        <w:rPr>
          <w:rFonts w:hint="eastAsia" w:ascii="仿宋" w:hAnsi="仿宋" w:eastAsia="仿宋" w:cs="仿宋"/>
          <w:color w:val="auto"/>
          <w:sz w:val="24"/>
          <w:highlight w:val="none"/>
        </w:rPr>
      </w:pPr>
    </w:p>
    <w:p w14:paraId="0EAAEBA1">
      <w:pPr>
        <w:pStyle w:val="5"/>
        <w:tabs>
          <w:tab w:val="left" w:pos="432"/>
        </w:tabs>
        <w:rPr>
          <w:rFonts w:hint="eastAsia" w:ascii="仿宋" w:hAnsi="仿宋" w:eastAsia="仿宋" w:cs="仿宋"/>
          <w:color w:val="auto"/>
          <w:highlight w:val="none"/>
        </w:rPr>
      </w:pPr>
    </w:p>
    <w:p w14:paraId="4B22F8E0">
      <w:pPr>
        <w:spacing w:before="120" w:line="22" w:lineRule="atLeast"/>
        <w:ind w:left="96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14:paraId="380F3115">
      <w:pPr>
        <w:pStyle w:val="115"/>
        <w:spacing w:before="120" w:line="22" w:lineRule="atLeast"/>
        <w:rPr>
          <w:rFonts w:hint="eastAsia" w:ascii="仿宋" w:hAnsi="仿宋" w:eastAsia="仿宋" w:cs="仿宋"/>
          <w:color w:val="auto"/>
          <w:szCs w:val="24"/>
          <w:highlight w:val="none"/>
        </w:rPr>
      </w:pPr>
    </w:p>
    <w:p w14:paraId="2060A557">
      <w:pPr>
        <w:pStyle w:val="115"/>
        <w:spacing w:before="120" w:line="22" w:lineRule="atLeast"/>
        <w:rPr>
          <w:rFonts w:hint="eastAsia" w:ascii="仿宋" w:hAnsi="仿宋" w:eastAsia="仿宋" w:cs="仿宋"/>
          <w:color w:val="auto"/>
          <w:szCs w:val="24"/>
          <w:highlight w:val="none"/>
        </w:rPr>
      </w:pPr>
    </w:p>
    <w:p w14:paraId="7561EC1D">
      <w:pPr>
        <w:rPr>
          <w:rFonts w:hint="eastAsia" w:ascii="仿宋" w:hAnsi="仿宋" w:eastAsia="仿宋" w:cs="仿宋"/>
          <w:color w:val="auto"/>
          <w:sz w:val="24"/>
          <w:highlight w:val="none"/>
        </w:rPr>
      </w:pPr>
    </w:p>
    <w:p w14:paraId="529DAB7B">
      <w:pPr>
        <w:spacing w:before="120" w:line="22" w:lineRule="atLeast"/>
        <w:ind w:left="96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p>
    <w:p w14:paraId="73941A05">
      <w:pPr>
        <w:spacing w:before="120" w:line="22" w:lineRule="atLeast"/>
        <w:rPr>
          <w:rFonts w:hint="eastAsia" w:ascii="仿宋" w:hAnsi="仿宋" w:eastAsia="仿宋" w:cs="仿宋"/>
          <w:color w:val="auto"/>
          <w:sz w:val="24"/>
          <w:highlight w:val="none"/>
        </w:rPr>
      </w:pPr>
    </w:p>
    <w:p w14:paraId="212C2341">
      <w:pPr>
        <w:spacing w:before="120" w:line="22" w:lineRule="atLeast"/>
        <w:ind w:left="96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p>
    <w:p w14:paraId="65D8326A">
      <w:pPr>
        <w:spacing w:before="120" w:line="22" w:lineRule="atLeast"/>
        <w:rPr>
          <w:rFonts w:hint="eastAsia" w:ascii="仿宋" w:hAnsi="仿宋" w:eastAsia="仿宋" w:cs="仿宋"/>
          <w:color w:val="auto"/>
          <w:sz w:val="24"/>
          <w:highlight w:val="none"/>
        </w:rPr>
      </w:pPr>
    </w:p>
    <w:p w14:paraId="305CD987">
      <w:pPr>
        <w:spacing w:before="120" w:line="22" w:lineRule="atLeast"/>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p>
    <w:p w14:paraId="5BB6AD4B">
      <w:pPr>
        <w:spacing w:before="120" w:line="22" w:lineRule="atLeast"/>
        <w:rPr>
          <w:rFonts w:hint="eastAsia" w:ascii="仿宋" w:hAnsi="仿宋" w:eastAsia="仿宋" w:cs="仿宋"/>
          <w:color w:val="auto"/>
          <w:sz w:val="24"/>
          <w:highlight w:val="none"/>
        </w:rPr>
      </w:pPr>
    </w:p>
    <w:p w14:paraId="1FAE05E4">
      <w:pPr>
        <w:spacing w:before="120" w:line="22" w:lineRule="atLeast"/>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p>
    <w:p w14:paraId="1511497D">
      <w:pPr>
        <w:rPr>
          <w:rFonts w:hint="eastAsia" w:ascii="仿宋" w:hAnsi="仿宋" w:eastAsia="仿宋" w:cs="仿宋"/>
          <w:color w:val="auto"/>
          <w:kern w:val="0"/>
          <w:sz w:val="24"/>
          <w:highlight w:val="none"/>
        </w:rPr>
      </w:pPr>
    </w:p>
    <w:p w14:paraId="477EC664">
      <w:pPr>
        <w:spacing w:line="440" w:lineRule="exact"/>
        <w:rPr>
          <w:rFonts w:hint="eastAsia" w:ascii="仿宋" w:hAnsi="仿宋" w:eastAsia="仿宋" w:cs="仿宋"/>
          <w:color w:val="auto"/>
          <w:sz w:val="24"/>
          <w:highlight w:val="none"/>
          <w:lang w:val="zh-CN"/>
        </w:rPr>
      </w:pPr>
    </w:p>
    <w:p w14:paraId="7A858D0F">
      <w:pPr>
        <w:spacing w:line="440" w:lineRule="exact"/>
        <w:rPr>
          <w:rFonts w:hint="eastAsia" w:ascii="仿宋" w:hAnsi="仿宋" w:eastAsia="仿宋" w:cs="仿宋"/>
          <w:color w:val="auto"/>
          <w:sz w:val="24"/>
          <w:highlight w:val="none"/>
          <w:lang w:val="zh-CN"/>
        </w:rPr>
      </w:pPr>
    </w:p>
    <w:p w14:paraId="2995AFBE">
      <w:pPr>
        <w:spacing w:line="440" w:lineRule="exact"/>
        <w:rPr>
          <w:rFonts w:hint="eastAsia" w:ascii="仿宋" w:hAnsi="仿宋" w:eastAsia="仿宋" w:cs="仿宋"/>
          <w:color w:val="auto"/>
          <w:sz w:val="24"/>
          <w:highlight w:val="none"/>
          <w:lang w:val="zh-CN"/>
        </w:rPr>
      </w:pPr>
    </w:p>
    <w:p w14:paraId="4E9879AC">
      <w:pPr>
        <w:pStyle w:val="2"/>
        <w:rPr>
          <w:rFonts w:hint="eastAsia" w:ascii="仿宋" w:hAnsi="仿宋" w:eastAsia="仿宋" w:cs="仿宋"/>
          <w:color w:val="auto"/>
          <w:sz w:val="24"/>
          <w:highlight w:val="none"/>
          <w:lang w:val="zh-CN"/>
        </w:rPr>
      </w:pPr>
    </w:p>
    <w:p w14:paraId="7BC452CA">
      <w:pPr>
        <w:pStyle w:val="3"/>
        <w:rPr>
          <w:rFonts w:hint="eastAsia" w:ascii="仿宋" w:hAnsi="仿宋" w:eastAsia="仿宋" w:cs="仿宋"/>
          <w:color w:val="auto"/>
          <w:sz w:val="24"/>
          <w:highlight w:val="none"/>
          <w:lang w:val="zh-CN"/>
        </w:rPr>
      </w:pPr>
    </w:p>
    <w:p w14:paraId="3A44AC81">
      <w:pPr>
        <w:rPr>
          <w:rFonts w:hint="eastAsia" w:ascii="仿宋" w:hAnsi="仿宋" w:eastAsia="仿宋" w:cs="仿宋"/>
          <w:color w:val="auto"/>
          <w:sz w:val="24"/>
          <w:highlight w:val="none"/>
          <w:lang w:val="zh-CN"/>
        </w:rPr>
      </w:pPr>
    </w:p>
    <w:p w14:paraId="20114E76">
      <w:pPr>
        <w:pStyle w:val="2"/>
        <w:rPr>
          <w:rFonts w:hint="eastAsia" w:ascii="仿宋" w:hAnsi="仿宋" w:eastAsia="仿宋" w:cs="仿宋"/>
          <w:color w:val="auto"/>
          <w:sz w:val="24"/>
          <w:highlight w:val="none"/>
          <w:lang w:val="zh-CN"/>
        </w:rPr>
      </w:pPr>
    </w:p>
    <w:p w14:paraId="2F0C27B2">
      <w:pPr>
        <w:pStyle w:val="3"/>
        <w:rPr>
          <w:rFonts w:hint="eastAsia" w:ascii="仿宋" w:hAnsi="仿宋" w:eastAsia="仿宋" w:cs="仿宋"/>
          <w:color w:val="auto"/>
          <w:highlight w:val="none"/>
          <w:lang w:val="zh-CN"/>
        </w:rPr>
      </w:pPr>
    </w:p>
    <w:p w14:paraId="3B998560">
      <w:pPr>
        <w:pStyle w:val="3"/>
        <w:rPr>
          <w:rFonts w:hint="eastAsia" w:ascii="仿宋" w:hAnsi="仿宋" w:eastAsia="仿宋" w:cs="仿宋"/>
          <w:color w:val="auto"/>
          <w:sz w:val="24"/>
          <w:highlight w:val="none"/>
          <w:lang w:val="zh-CN"/>
        </w:rPr>
      </w:pPr>
    </w:p>
    <w:p w14:paraId="4E15426E">
      <w:pPr>
        <w:rPr>
          <w:rFonts w:hint="eastAsia" w:ascii="仿宋" w:hAnsi="仿宋" w:eastAsia="仿宋" w:cs="仿宋"/>
          <w:color w:val="auto"/>
          <w:sz w:val="24"/>
          <w:highlight w:val="none"/>
          <w:lang w:val="zh-CN"/>
        </w:rPr>
      </w:pPr>
    </w:p>
    <w:p w14:paraId="732AE48A">
      <w:pPr>
        <w:rPr>
          <w:rFonts w:hint="eastAsia" w:ascii="仿宋" w:hAnsi="仿宋" w:eastAsia="仿宋" w:cs="仿宋"/>
          <w:color w:val="auto"/>
          <w:sz w:val="24"/>
          <w:highlight w:val="none"/>
          <w:lang w:val="zh-CN"/>
        </w:rPr>
      </w:pPr>
    </w:p>
    <w:p w14:paraId="6331764C">
      <w:pPr>
        <w:rPr>
          <w:rFonts w:hint="eastAsia" w:ascii="仿宋" w:hAnsi="仿宋" w:eastAsia="仿宋" w:cs="仿宋"/>
          <w:color w:val="auto"/>
          <w:sz w:val="24"/>
          <w:highlight w:val="none"/>
          <w:lang w:val="zh-CN"/>
        </w:rPr>
      </w:pPr>
    </w:p>
    <w:p w14:paraId="79115FFC">
      <w:pPr>
        <w:pageBreakBefore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甲  方（使用方）：</w:t>
      </w:r>
    </w:p>
    <w:p w14:paraId="30745B33">
      <w:pPr>
        <w:pageBreakBefore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乙  方（供应商）：</w:t>
      </w:r>
    </w:p>
    <w:p w14:paraId="5F4D9E12">
      <w:pPr>
        <w:pStyle w:val="18"/>
        <w:pageBreakBefore w:val="0"/>
        <w:numPr>
          <w:ilvl w:val="0"/>
          <w:numId w:val="0"/>
        </w:numPr>
        <w:tabs>
          <w:tab w:val="left" w:pos="180"/>
        </w:tabs>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Cs/>
          <w:color w:val="auto"/>
          <w:sz w:val="24"/>
          <w:szCs w:val="24"/>
          <w:highlight w:val="none"/>
        </w:rPr>
        <w:t>甲、</w:t>
      </w:r>
      <w:r>
        <w:rPr>
          <w:rFonts w:hint="eastAsia" w:ascii="仿宋" w:hAnsi="仿宋" w:eastAsia="仿宋" w:cs="仿宋"/>
          <w:color w:val="auto"/>
          <w:kern w:val="2"/>
          <w:sz w:val="24"/>
          <w:szCs w:val="24"/>
          <w:highlight w:val="none"/>
          <w:lang w:val="en-US" w:eastAsia="zh-CN" w:bidi="ar-SA"/>
        </w:rPr>
        <w:t>乙双方根据</w:t>
      </w:r>
      <w:r>
        <w:rPr>
          <w:rFonts w:hint="eastAsia" w:ascii="仿宋" w:hAnsi="仿宋" w:eastAsia="仿宋" w:cs="仿宋"/>
          <w:color w:val="auto"/>
          <w:kern w:val="2"/>
          <w:sz w:val="24"/>
          <w:szCs w:val="24"/>
          <w:highlight w:val="none"/>
          <w:lang w:val="zh-CN" w:eastAsia="zh-CN" w:bidi="ar-SA"/>
        </w:rPr>
        <w:t xml:space="preserve">嵊州市水务投资发展集团有限公司及下属子公司保险服务项目 </w:t>
      </w:r>
      <w:r>
        <w:rPr>
          <w:rFonts w:hint="eastAsia" w:ascii="仿宋" w:hAnsi="仿宋" w:eastAsia="仿宋" w:cs="仿宋"/>
          <w:color w:val="auto"/>
          <w:kern w:val="2"/>
          <w:sz w:val="24"/>
          <w:szCs w:val="24"/>
          <w:highlight w:val="none"/>
          <w:lang w:val="en-US" w:eastAsia="zh-CN" w:bidi="ar-SA"/>
        </w:rPr>
        <w:t>（项目编号：  ）公开招标的</w:t>
      </w:r>
      <w:r>
        <w:rPr>
          <w:rFonts w:hint="eastAsia" w:ascii="仿宋" w:hAnsi="仿宋" w:eastAsia="仿宋" w:cs="仿宋"/>
          <w:b w:val="0"/>
          <w:bCs/>
          <w:color w:val="auto"/>
          <w:kern w:val="2"/>
          <w:sz w:val="24"/>
          <w:szCs w:val="24"/>
          <w:highlight w:val="none"/>
          <w:lang w:val="en-US" w:eastAsia="zh-CN" w:bidi="ar-SA"/>
        </w:rPr>
        <w:t>结果，签署本合同。</w:t>
      </w:r>
    </w:p>
    <w:p w14:paraId="7A31392D">
      <w:pPr>
        <w:keepNext w:val="0"/>
        <w:keepLines w:val="0"/>
        <w:pageBreakBefore w:val="0"/>
        <w:widowControl w:val="0"/>
        <w:kinsoku/>
        <w:wordWrap/>
        <w:overflowPunct/>
        <w:topLinePunct w:val="0"/>
        <w:autoSpaceDE/>
        <w:autoSpaceDN/>
        <w:bidi w:val="0"/>
        <w:adjustRightInd/>
        <w:snapToGrid w:val="0"/>
        <w:spacing w:line="480" w:lineRule="exact"/>
        <w:ind w:left="0" w:firstLine="482" w:firstLineChars="200"/>
        <w:textAlignment w:val="auto"/>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kern w:val="2"/>
          <w:sz w:val="24"/>
          <w:szCs w:val="24"/>
          <w:highlight w:val="none"/>
          <w:lang w:val="zh-CN" w:eastAsia="zh-CN" w:bidi="ar-SA"/>
        </w:rPr>
        <w:t>第一条</w:t>
      </w:r>
      <w:r>
        <w:rPr>
          <w:rFonts w:hint="eastAsia" w:ascii="仿宋" w:hAnsi="仿宋" w:eastAsia="仿宋" w:cs="仿宋"/>
          <w:b/>
          <w:bCs/>
          <w:color w:val="auto"/>
          <w:kern w:val="2"/>
          <w:sz w:val="24"/>
          <w:szCs w:val="24"/>
          <w:highlight w:val="none"/>
          <w:lang w:val="en-US" w:eastAsia="zh-CN" w:bidi="ar-SA"/>
        </w:rPr>
        <w:t xml:space="preserve"> </w:t>
      </w:r>
      <w:r>
        <w:rPr>
          <w:rFonts w:hint="eastAsia" w:ascii="仿宋" w:hAnsi="仿宋" w:eastAsia="仿宋" w:cs="仿宋"/>
          <w:b/>
          <w:bCs/>
          <w:color w:val="auto"/>
          <w:kern w:val="2"/>
          <w:sz w:val="24"/>
          <w:szCs w:val="24"/>
          <w:highlight w:val="none"/>
          <w:lang w:val="zh-CN" w:eastAsia="zh-CN" w:bidi="ar-SA"/>
        </w:rPr>
        <w:t>合同文件</w:t>
      </w:r>
    </w:p>
    <w:p w14:paraId="794CC4A6">
      <w:pPr>
        <w:keepNext w:val="0"/>
        <w:keepLines w:val="0"/>
        <w:pageBreakBefore w:val="0"/>
        <w:widowControl w:val="0"/>
        <w:kinsoku/>
        <w:wordWrap/>
        <w:overflowPunct/>
        <w:topLinePunct w:val="0"/>
        <w:autoSpaceDE/>
        <w:autoSpaceDN/>
        <w:bidi w:val="0"/>
        <w:adjustRightInd/>
        <w:snapToGrid w:val="0"/>
        <w:spacing w:line="480" w:lineRule="exact"/>
        <w:ind w:left="0" w:firstLine="480" w:firstLineChars="20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下列文件构成本合同的组成部分，应该认为是一个整体，彼此相互解释，相互补充。组成合同的多个文件的优先支配地位的次序如下：</w:t>
      </w:r>
    </w:p>
    <w:p w14:paraId="697E29D1">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200" w:firstLine="0" w:firstLineChars="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kern w:val="2"/>
          <w:sz w:val="24"/>
          <w:szCs w:val="24"/>
          <w:highlight w:val="none"/>
          <w:lang w:val="zh-CN" w:eastAsia="zh-CN" w:bidi="ar-SA"/>
        </w:rPr>
        <w:t>合同书</w:t>
      </w:r>
    </w:p>
    <w:p w14:paraId="67B09420">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200" w:firstLine="0" w:firstLineChars="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kern w:val="2"/>
          <w:sz w:val="24"/>
          <w:szCs w:val="24"/>
          <w:highlight w:val="none"/>
          <w:lang w:val="zh-CN" w:eastAsia="zh-CN" w:bidi="ar-SA"/>
        </w:rPr>
        <w:t>中标通知书</w:t>
      </w:r>
    </w:p>
    <w:p w14:paraId="192D7DFB">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200" w:firstLine="0" w:firstLineChars="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szCs w:val="24"/>
          <w:highlight w:val="none"/>
          <w:lang w:val="zh-CN" w:eastAsia="zh-CN" w:bidi="ar-SA"/>
        </w:rPr>
        <w:t>中标人</w:t>
      </w:r>
      <w:r>
        <w:rPr>
          <w:rFonts w:hint="eastAsia" w:ascii="仿宋" w:hAnsi="仿宋" w:eastAsia="仿宋" w:cs="仿宋"/>
          <w:color w:val="auto"/>
          <w:kern w:val="2"/>
          <w:sz w:val="24"/>
          <w:szCs w:val="24"/>
          <w:highlight w:val="none"/>
          <w:lang w:val="en-US" w:eastAsia="zh-CN" w:bidi="ar-SA"/>
        </w:rPr>
        <w:t>响应</w:t>
      </w:r>
      <w:r>
        <w:rPr>
          <w:rFonts w:hint="eastAsia" w:ascii="仿宋" w:hAnsi="仿宋" w:eastAsia="仿宋" w:cs="仿宋"/>
          <w:color w:val="auto"/>
          <w:kern w:val="2"/>
          <w:sz w:val="24"/>
          <w:szCs w:val="24"/>
          <w:highlight w:val="none"/>
          <w:lang w:val="zh-CN" w:eastAsia="zh-CN" w:bidi="ar-SA"/>
        </w:rPr>
        <w:t>文件(含澄清或询标内容)</w:t>
      </w:r>
    </w:p>
    <w:p w14:paraId="224E5807">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200" w:firstLine="0" w:firstLineChars="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4.招标</w:t>
      </w:r>
      <w:r>
        <w:rPr>
          <w:rFonts w:hint="eastAsia" w:ascii="仿宋" w:hAnsi="仿宋" w:eastAsia="仿宋" w:cs="仿宋"/>
          <w:color w:val="auto"/>
          <w:kern w:val="2"/>
          <w:sz w:val="24"/>
          <w:szCs w:val="24"/>
          <w:highlight w:val="none"/>
          <w:lang w:val="zh-CN" w:eastAsia="zh-CN" w:bidi="ar-SA"/>
        </w:rPr>
        <w:t>文件 (含澄清修改文件)</w:t>
      </w:r>
    </w:p>
    <w:p w14:paraId="0AF57963">
      <w:pPr>
        <w:pStyle w:val="18"/>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第二条</w:t>
      </w:r>
      <w:r>
        <w:rPr>
          <w:rFonts w:hint="eastAsia" w:ascii="仿宋" w:hAnsi="仿宋" w:eastAsia="仿宋" w:cs="仿宋"/>
          <w:b/>
          <w:bCs/>
          <w:color w:val="auto"/>
          <w:sz w:val="24"/>
          <w:szCs w:val="24"/>
          <w:highlight w:val="none"/>
          <w:lang w:val="en-US" w:eastAsia="zh-CN"/>
        </w:rPr>
        <w:t xml:space="preserve"> 承保范围及服务要求</w:t>
      </w:r>
    </w:p>
    <w:p w14:paraId="76F6CFE8">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一</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财产综合险</w:t>
      </w:r>
    </w:p>
    <w:p w14:paraId="0399BEE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1、保险</w:t>
      </w:r>
      <w:r>
        <w:rPr>
          <w:rFonts w:hint="eastAsia" w:ascii="仿宋" w:hAnsi="仿宋" w:eastAsia="仿宋" w:cs="仿宋"/>
          <w:color w:val="auto"/>
          <w:sz w:val="24"/>
          <w:szCs w:val="24"/>
          <w:highlight w:val="none"/>
          <w:lang w:val="en-US" w:eastAsia="zh-CN"/>
        </w:rPr>
        <w:t>标的</w:t>
      </w:r>
    </w:p>
    <w:p w14:paraId="06ACEA1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嵊州市水务投资发展集团有限公司及下属子公司所属固定资产类【资产的办公用房、特殊用房、附属用房、设备（剔除车辆）等全部财产】纳入参保范围，根据2024年财务固定资产原值扣除车辆原值，经统计保险总额约4.1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亿元（</w:t>
      </w:r>
      <w:r>
        <w:rPr>
          <w:rFonts w:hint="eastAsia" w:ascii="仿宋" w:hAnsi="仿宋" w:eastAsia="仿宋" w:cs="仿宋"/>
          <w:color w:val="auto"/>
          <w:sz w:val="24"/>
          <w:szCs w:val="24"/>
          <w:highlight w:val="none"/>
          <w:lang w:val="zh-CN"/>
        </w:rPr>
        <w:t>签订合同时保险金额按资产负债表账面原值确定</w:t>
      </w:r>
      <w:r>
        <w:rPr>
          <w:rFonts w:hint="eastAsia" w:ascii="仿宋" w:hAnsi="仿宋" w:eastAsia="仿宋" w:cs="仿宋"/>
          <w:color w:val="auto"/>
          <w:sz w:val="24"/>
          <w:szCs w:val="24"/>
          <w:highlight w:val="none"/>
        </w:rPr>
        <w:t>）。</w:t>
      </w:r>
    </w:p>
    <w:p w14:paraId="32EED21D">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保险责任</w:t>
      </w:r>
    </w:p>
    <w:p w14:paraId="249BC56F">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（1）财产综合险的出险次数不作限制。</w:t>
      </w:r>
    </w:p>
    <w:p w14:paraId="5EE3EF63">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（2）保险责任：按保监会批准的《财产保险综合险条款》执行。在保险期间内，由于下列原因造成保险标的的损失，保险人按照本保险合同的约定负责赔偿：</w:t>
      </w:r>
    </w:p>
    <w:p w14:paraId="76F1CC1A">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①火灾、爆炸；</w:t>
      </w:r>
    </w:p>
    <w:p w14:paraId="1DE21BE8">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②雷击、暴雨、洪水、暴风、龙卷风、冰雹、台风、飓风、暴雪、冰凌、突发性滑坡、崩塌、泥石流、地面突然下陷下沉；</w:t>
      </w:r>
    </w:p>
    <w:p w14:paraId="57C0A332">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③飞行物体及其他空中运行物体坠落。</w:t>
      </w:r>
    </w:p>
    <w:p w14:paraId="1329DBBB">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④、由1、2、3条原因造成的保险事故发生时，为抢救保险标的或防止灾害蔓延，采取必要的，合理的措施而造成保险标的的损失；</w:t>
      </w:r>
    </w:p>
    <w:p w14:paraId="1198DBC4">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⑤被保险人拥有财产所有权的自用的供电、供水、供气设备因保险事故遭受损坏，引起停电、停水、停气以致造成保险标的直接损失的；</w:t>
      </w:r>
    </w:p>
    <w:p w14:paraId="1D46564A">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zh-CN"/>
        </w:rPr>
        <w:t>⑥保险事故发生后，被保险人为防止或减少保险标的的损失所支付的必要的，合理的费用。</w:t>
      </w:r>
    </w:p>
    <w:p w14:paraId="4D571B5B">
      <w:pPr>
        <w:keepNext w:val="0"/>
        <w:keepLines w:val="0"/>
        <w:pageBreakBefore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3、服务要求</w:t>
      </w:r>
    </w:p>
    <w:p w14:paraId="50751911">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eastAsia="仿宋"/>
          <w:color w:val="auto"/>
          <w:sz w:val="24"/>
          <w:highlight w:val="none"/>
        </w:rPr>
      </w:pPr>
      <w:r>
        <w:rPr>
          <w:rFonts w:hint="eastAsia" w:ascii="仿宋" w:eastAsia="仿宋"/>
          <w:color w:val="auto"/>
          <w:sz w:val="24"/>
          <w:highlight w:val="none"/>
          <w:lang w:val="en-US" w:eastAsia="zh-CN"/>
        </w:rPr>
        <w:t>3.1</w:t>
      </w:r>
      <w:r>
        <w:rPr>
          <w:rFonts w:hint="eastAsia" w:ascii="仿宋" w:eastAsia="仿宋"/>
          <w:color w:val="auto"/>
          <w:sz w:val="24"/>
          <w:highlight w:val="none"/>
        </w:rPr>
        <w:t>中标人应执行24小时接报案制度，接到报案后中标人理赔服务人员应在10分钟内联系报案人，并指导相关处理事项。若需现场查勘，理赔服务人员应在</w:t>
      </w:r>
      <w:r>
        <w:rPr>
          <w:rFonts w:hint="eastAsia" w:ascii="仿宋" w:eastAsia="仿宋"/>
          <w:color w:val="auto"/>
          <w:sz w:val="24"/>
          <w:highlight w:val="none"/>
          <w:lang w:val="en-US" w:eastAsia="zh-CN"/>
        </w:rPr>
        <w:t>30分钟</w:t>
      </w:r>
      <w:r>
        <w:rPr>
          <w:rFonts w:hint="eastAsia" w:ascii="仿宋" w:eastAsia="仿宋"/>
          <w:color w:val="auto"/>
          <w:sz w:val="24"/>
          <w:highlight w:val="none"/>
        </w:rPr>
        <w:t>内到达现场，进行保险事故损失查勘及收取相关资料。</w:t>
      </w:r>
    </w:p>
    <w:p w14:paraId="1F4D2804">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eastAsia="仿宋"/>
          <w:color w:val="auto"/>
          <w:sz w:val="24"/>
          <w:highlight w:val="none"/>
        </w:rPr>
      </w:pPr>
      <w:r>
        <w:rPr>
          <w:rFonts w:hint="eastAsia" w:ascii="仿宋" w:eastAsia="仿宋"/>
          <w:color w:val="auto"/>
          <w:sz w:val="24"/>
          <w:highlight w:val="none"/>
          <w:lang w:val="en-US" w:eastAsia="zh-CN"/>
        </w:rPr>
        <w:t>3.2</w:t>
      </w:r>
      <w:r>
        <w:rPr>
          <w:rFonts w:hint="eastAsia" w:ascii="仿宋" w:eastAsia="仿宋"/>
          <w:color w:val="auto"/>
          <w:sz w:val="24"/>
          <w:highlight w:val="none"/>
        </w:rPr>
        <w:t>发生保险事故后，供应商须根据采购人的要求提供全程上门指导、协助服务。</w:t>
      </w:r>
    </w:p>
    <w:p w14:paraId="55A82899">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eastAsia="仿宋"/>
          <w:color w:val="auto"/>
          <w:sz w:val="24"/>
          <w:highlight w:val="none"/>
        </w:rPr>
      </w:pPr>
      <w:r>
        <w:rPr>
          <w:rFonts w:hint="eastAsia" w:ascii="仿宋" w:eastAsia="仿宋"/>
          <w:color w:val="auto"/>
          <w:sz w:val="24"/>
          <w:highlight w:val="none"/>
          <w:lang w:val="en-US" w:eastAsia="zh-CN"/>
        </w:rPr>
        <w:t>3.3</w:t>
      </w:r>
      <w:r>
        <w:rPr>
          <w:rFonts w:hint="eastAsia" w:ascii="仿宋" w:eastAsia="仿宋"/>
          <w:color w:val="auto"/>
          <w:sz w:val="24"/>
          <w:highlight w:val="none"/>
        </w:rPr>
        <w:t>在特殊危险情况下，采购人为避免事故发生或减少事故损失，所采取的应急施救合理费用由中标人承担。</w:t>
      </w:r>
    </w:p>
    <w:p w14:paraId="0C46ED23">
      <w:pPr>
        <w:keepNext w:val="0"/>
        <w:keepLines w:val="0"/>
        <w:pageBreakBefore w:val="0"/>
        <w:widowControl/>
        <w:kinsoku/>
        <w:wordWrap/>
        <w:overflowPunct/>
        <w:topLinePunct w:val="0"/>
        <w:autoSpaceDE/>
        <w:autoSpaceDN/>
        <w:bidi w:val="0"/>
        <w:snapToGrid w:val="0"/>
        <w:spacing w:line="460" w:lineRule="exact"/>
        <w:ind w:firstLine="480" w:firstLineChars="200"/>
        <w:textAlignment w:val="auto"/>
        <w:rPr>
          <w:rFonts w:hint="default"/>
          <w:color w:val="auto"/>
          <w:highlight w:val="none"/>
          <w:lang w:val="en-US" w:eastAsia="zh-CN"/>
        </w:rPr>
      </w:pPr>
      <w:r>
        <w:rPr>
          <w:rFonts w:hint="eastAsia" w:ascii="仿宋" w:eastAsia="仿宋"/>
          <w:color w:val="auto"/>
          <w:sz w:val="24"/>
          <w:highlight w:val="none"/>
          <w:lang w:val="en-US" w:eastAsia="zh-CN"/>
        </w:rPr>
        <w:t>3.4</w:t>
      </w:r>
      <w:r>
        <w:rPr>
          <w:rFonts w:hint="eastAsia" w:ascii="仿宋" w:eastAsia="仿宋"/>
          <w:color w:val="auto"/>
          <w:sz w:val="24"/>
          <w:highlight w:val="none"/>
        </w:rPr>
        <w:t>在签订保险合同时，成交供应商不得以任何形式加重采购人的负担或者减轻自己的义务。</w:t>
      </w:r>
    </w:p>
    <w:p w14:paraId="378FF712">
      <w:pPr>
        <w:keepNext w:val="0"/>
        <w:keepLines w:val="0"/>
        <w:pageBreakBefore w:val="0"/>
        <w:kinsoku/>
        <w:wordWrap/>
        <w:overflowPunct/>
        <w:topLinePunct w:val="0"/>
        <w:autoSpaceDE/>
        <w:autoSpaceDN/>
        <w:bidi w:val="0"/>
        <w:adjustRightInd/>
        <w:snapToGrid w:val="0"/>
        <w:spacing w:line="46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公众责任险</w:t>
      </w:r>
    </w:p>
    <w:p w14:paraId="68DD3A0B">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1、保险</w:t>
      </w:r>
      <w:r>
        <w:rPr>
          <w:rFonts w:hint="eastAsia" w:ascii="仿宋" w:hAnsi="仿宋" w:eastAsia="仿宋" w:cs="仿宋"/>
          <w:color w:val="auto"/>
          <w:sz w:val="24"/>
          <w:szCs w:val="24"/>
          <w:highlight w:val="none"/>
          <w:lang w:val="en-US" w:eastAsia="zh-CN"/>
        </w:rPr>
        <w:t>标的</w:t>
      </w:r>
    </w:p>
    <w:p w14:paraId="24E34D66">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保险对象嵊州市水务投资发展集团有限公司及下属子公司职责管辖范围内(</w:t>
      </w:r>
      <w:r>
        <w:rPr>
          <w:rFonts w:hint="eastAsia" w:ascii="仿宋" w:hAnsi="仿宋" w:eastAsia="仿宋" w:cs="仿宋"/>
          <w:b w:val="0"/>
          <w:bCs/>
          <w:color w:val="auto"/>
          <w:sz w:val="24"/>
          <w:szCs w:val="24"/>
          <w:highlight w:val="none"/>
          <w:lang w:val="en-US" w:eastAsia="zh-CN"/>
        </w:rPr>
        <w:t>供排水</w:t>
      </w:r>
      <w:r>
        <w:rPr>
          <w:rFonts w:hint="eastAsia" w:ascii="仿宋" w:hAnsi="仿宋" w:eastAsia="仿宋" w:cs="仿宋"/>
          <w:color w:val="auto"/>
          <w:sz w:val="24"/>
          <w:szCs w:val="24"/>
          <w:highlight w:val="none"/>
        </w:rPr>
        <w:t>管道、停车场、电梯、营业场所等)造成的第三方人身伤亡或财产损失</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具体营业场所如下：</w:t>
      </w:r>
    </w:p>
    <w:tbl>
      <w:tblPr>
        <w:tblStyle w:val="34"/>
        <w:tblW w:w="89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4"/>
        <w:gridCol w:w="3304"/>
        <w:gridCol w:w="1192"/>
        <w:gridCol w:w="3733"/>
      </w:tblGrid>
      <w:tr w14:paraId="7123E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A2D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序号</w:t>
            </w:r>
          </w:p>
        </w:tc>
        <w:tc>
          <w:tcPr>
            <w:tcW w:w="3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1B9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营业场所名称</w:t>
            </w:r>
          </w:p>
        </w:tc>
        <w:tc>
          <w:tcPr>
            <w:tcW w:w="119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4DF5E3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面积（m²）</w:t>
            </w:r>
          </w:p>
        </w:tc>
        <w:tc>
          <w:tcPr>
            <w:tcW w:w="3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9CF8B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地址</w:t>
            </w:r>
          </w:p>
        </w:tc>
      </w:tr>
      <w:tr w14:paraId="48A79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0887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B39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水务事业部综合科</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20F220F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C0B87FF">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嵊州大道777号</w:t>
            </w:r>
          </w:p>
        </w:tc>
      </w:tr>
      <w:tr w14:paraId="53568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7CED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9ACC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水费收费厅</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37A31D4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F5BB3EC">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雅石路74号-1</w:t>
            </w:r>
          </w:p>
        </w:tc>
      </w:tr>
      <w:tr w14:paraId="1FD66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CAF5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759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行政审批中心水务窗口</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7DD78B2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3728" w:type="dxa"/>
            <w:tcBorders>
              <w:top w:val="single" w:color="auto" w:sz="4" w:space="0"/>
              <w:left w:val="single" w:color="auto" w:sz="4" w:space="0"/>
              <w:bottom w:val="single" w:color="auto" w:sz="4" w:space="0"/>
              <w:right w:val="single" w:color="auto" w:sz="4" w:space="0"/>
            </w:tcBorders>
            <w:shd w:val="clear" w:color="auto" w:fill="auto"/>
            <w:vAlign w:val="center"/>
          </w:tcPr>
          <w:p w14:paraId="54E91CB3">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官河南路799号嵊州市政务服务中心四楼</w:t>
            </w:r>
          </w:p>
        </w:tc>
      </w:tr>
      <w:tr w14:paraId="3AD55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7E88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3290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鹿山街道便民服务中心水务窗口</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0684379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9793E91">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长兴路118号</w:t>
            </w:r>
          </w:p>
        </w:tc>
      </w:tr>
      <w:tr w14:paraId="3621B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9E23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219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开发区（浦口）营业所</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1550F7A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8859EF1">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嵊州市浦口街道万年亭提升泵站三楼</w:t>
            </w:r>
          </w:p>
        </w:tc>
      </w:tr>
      <w:tr w14:paraId="34F16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98F1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C90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高铁新城营业所</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59C3641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BA1F7EA">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嵊州市领带园一路89号</w:t>
            </w:r>
          </w:p>
        </w:tc>
      </w:tr>
      <w:tr w14:paraId="7AF24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476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85D1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剡城营业所</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377C646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C1C7ED9">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嵊州市雅石路74号</w:t>
            </w:r>
          </w:p>
        </w:tc>
      </w:tr>
      <w:tr w14:paraId="523B8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2041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516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崇仁石璜营业所（仓库）</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690ADE8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1FD5F07">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崇仁镇九十村</w:t>
            </w:r>
          </w:p>
        </w:tc>
      </w:tr>
      <w:tr w14:paraId="2AFB9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12D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0F4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石璜营业所</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7B7C594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1D83FE7">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石璜镇会稽路幼托中心旁</w:t>
            </w:r>
          </w:p>
        </w:tc>
      </w:tr>
      <w:tr w14:paraId="23266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DBC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B6AE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黄泽营业所</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5464491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w:t>
            </w:r>
          </w:p>
        </w:tc>
        <w:tc>
          <w:tcPr>
            <w:tcW w:w="3728" w:type="dxa"/>
            <w:tcBorders>
              <w:top w:val="single" w:color="auto" w:sz="4" w:space="0"/>
              <w:left w:val="single" w:color="auto" w:sz="4" w:space="0"/>
              <w:bottom w:val="single" w:color="auto" w:sz="4" w:space="0"/>
              <w:right w:val="single" w:color="auto" w:sz="4" w:space="0"/>
            </w:tcBorders>
            <w:shd w:val="clear" w:color="auto" w:fill="auto"/>
            <w:vAlign w:val="center"/>
          </w:tcPr>
          <w:p w14:paraId="03693C16">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华丰路8号黄泽老水厂</w:t>
            </w:r>
          </w:p>
        </w:tc>
      </w:tr>
      <w:tr w14:paraId="01F27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A215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5C333">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长乐营业所</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5719622C">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900</w:t>
            </w:r>
          </w:p>
        </w:tc>
        <w:tc>
          <w:tcPr>
            <w:tcW w:w="3728" w:type="dxa"/>
            <w:tcBorders>
              <w:top w:val="single" w:color="auto" w:sz="4" w:space="0"/>
              <w:left w:val="single" w:color="auto" w:sz="4" w:space="0"/>
              <w:bottom w:val="single" w:color="auto" w:sz="4" w:space="0"/>
              <w:right w:val="single" w:color="auto" w:sz="4" w:space="0"/>
            </w:tcBorders>
            <w:shd w:val="clear" w:color="auto" w:fill="auto"/>
            <w:vAlign w:val="center"/>
          </w:tcPr>
          <w:p w14:paraId="2A114D5C">
            <w:pPr>
              <w:keepNext w:val="0"/>
              <w:keepLines w:val="0"/>
              <w:widowControl/>
              <w:suppressLineNumbers w:val="0"/>
              <w:jc w:val="left"/>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长乐镇西街16号</w:t>
            </w:r>
          </w:p>
        </w:tc>
      </w:tr>
    </w:tbl>
    <w:p w14:paraId="49585064">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保险责任</w:t>
      </w:r>
    </w:p>
    <w:p w14:paraId="645C60E9">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单张保单累计赔偿限额200万元，每次事故赔偿限额200万元，每次事故财产损失赔偿限额50万元，每人人身伤亡赔偿限额150万元（其中医疗费用赔偿限额5万元）。</w:t>
      </w:r>
      <w:r>
        <w:rPr>
          <w:rFonts w:hint="eastAsia" w:ascii="仿宋" w:hAnsi="仿宋" w:eastAsia="仿宋" w:cs="仿宋"/>
          <w:color w:val="auto"/>
          <w:sz w:val="24"/>
          <w:szCs w:val="24"/>
          <w:highlight w:val="none"/>
          <w:lang w:val="en-US" w:eastAsia="zh-CN"/>
        </w:rPr>
        <w:t>注：每次事故：指不论一次事故或一个事件引起的一系列事故。</w:t>
      </w:r>
    </w:p>
    <w:p w14:paraId="5E63E875">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lang w:val="zh-CN"/>
        </w:rPr>
        <w:t>发生保险责任事故后，被保险人为缩小或减少对第三者人身伤亡或财产损失的赔偿责任所支付的必要的、合理的费用。</w:t>
      </w:r>
    </w:p>
    <w:p w14:paraId="03921384">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2.3 </w:t>
      </w:r>
      <w:r>
        <w:rPr>
          <w:rFonts w:hint="eastAsia" w:ascii="仿宋" w:hAnsi="仿宋" w:eastAsia="仿宋" w:cs="仿宋"/>
          <w:color w:val="auto"/>
          <w:sz w:val="24"/>
          <w:szCs w:val="24"/>
          <w:highlight w:val="none"/>
        </w:rPr>
        <w:t>每次事故免赔额/率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每次事故免赔1000元或损失的10%，两者以高</w:t>
      </w:r>
      <w:r>
        <w:rPr>
          <w:rFonts w:hint="eastAsia" w:ascii="仿宋" w:hAnsi="仿宋" w:eastAsia="仿宋" w:cs="仿宋"/>
          <w:color w:val="auto"/>
          <w:sz w:val="24"/>
          <w:szCs w:val="24"/>
          <w:highlight w:val="none"/>
          <w:lang w:val="en-US" w:eastAsia="zh-CN"/>
        </w:rPr>
        <w:t>者</w:t>
      </w:r>
      <w:r>
        <w:rPr>
          <w:rFonts w:hint="eastAsia" w:ascii="仿宋" w:hAnsi="仿宋" w:eastAsia="仿宋" w:cs="仿宋"/>
          <w:color w:val="auto"/>
          <w:sz w:val="24"/>
          <w:szCs w:val="24"/>
          <w:highlight w:val="none"/>
        </w:rPr>
        <w:t>为准。</w:t>
      </w:r>
    </w:p>
    <w:p w14:paraId="722F4BA1">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人身医疗费用扣除每次事故绝对免赔额RMB500.00后按90%比例赔付，医疗费用参照当地社保标准，最高不超过每人赔偿限额</w:t>
      </w:r>
      <w:r>
        <w:rPr>
          <w:rFonts w:hint="eastAsia" w:ascii="仿宋" w:hAnsi="仿宋" w:eastAsia="仿宋" w:cs="仿宋"/>
          <w:color w:val="auto"/>
          <w:sz w:val="24"/>
          <w:szCs w:val="24"/>
          <w:highlight w:val="none"/>
          <w:lang w:eastAsia="zh-CN"/>
        </w:rPr>
        <w:t>。</w:t>
      </w:r>
    </w:p>
    <w:p w14:paraId="075FF704">
      <w:pPr>
        <w:keepNext w:val="0"/>
        <w:keepLines w:val="0"/>
        <w:pageBreakBefore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3、服务要求</w:t>
      </w:r>
    </w:p>
    <w:p w14:paraId="73F6E425">
      <w:pPr>
        <w:keepNext w:val="0"/>
        <w:keepLines w:val="0"/>
        <w:pageBreakBefore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向采购人提供专员全程上门服务；采购人经电话预约后，中标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应在</w:t>
      </w:r>
      <w:r>
        <w:rPr>
          <w:rFonts w:hint="eastAsia" w:ascii="仿宋" w:hAnsi="仿宋" w:eastAsia="仿宋" w:cs="仿宋"/>
          <w:color w:val="auto"/>
          <w:sz w:val="24"/>
          <w:szCs w:val="24"/>
          <w:highlight w:val="none"/>
          <w:lang w:val="en-US" w:eastAsia="zh-CN"/>
        </w:rPr>
        <w:t>30分钟</w:t>
      </w:r>
      <w:r>
        <w:rPr>
          <w:rFonts w:hint="eastAsia" w:ascii="仿宋" w:hAnsi="仿宋" w:eastAsia="仿宋" w:cs="仿宋"/>
          <w:color w:val="auto"/>
          <w:sz w:val="24"/>
          <w:szCs w:val="24"/>
          <w:highlight w:val="none"/>
        </w:rPr>
        <w:t>内派服务专员上门提供咨询、出单、送单、批改、保单维护等系列承保服务。</w:t>
      </w:r>
    </w:p>
    <w:p w14:paraId="1E5F978E">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提供的服务成果在服务质量保证期内未达到服务承诺要求，应负责免费提供后续服务。对达不到响应服务要求的，根据实际情况，按以下办法处理：</w:t>
      </w:r>
    </w:p>
    <w:p w14:paraId="66D63AD6">
      <w:pPr>
        <w:keepNext w:val="0"/>
        <w:keepLines w:val="0"/>
        <w:pageBreakBefore w:val="0"/>
        <w:kinsoku/>
        <w:wordWrap/>
        <w:overflowPunct/>
        <w:topLinePunct w:val="0"/>
        <w:autoSpaceDE/>
        <w:autoSpaceDN/>
        <w:bidi w:val="0"/>
        <w:adjustRightInd/>
        <w:snapToGrid w:val="0"/>
        <w:spacing w:line="460" w:lineRule="exact"/>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成立专项服务小组限期解决。</w:t>
      </w:r>
    </w:p>
    <w:p w14:paraId="1C3BAA68">
      <w:pPr>
        <w:keepNext w:val="0"/>
        <w:keepLines w:val="0"/>
        <w:pageBreakBefore w:val="0"/>
        <w:kinsoku/>
        <w:wordWrap/>
        <w:overflowPunct/>
        <w:topLinePunct w:val="0"/>
        <w:autoSpaceDE/>
        <w:autoSpaceDN/>
        <w:bidi w:val="0"/>
        <w:adjustRightInd/>
        <w:snapToGrid w:val="0"/>
        <w:spacing w:line="460" w:lineRule="exact"/>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在采购人驻点直至服务满意。</w:t>
      </w:r>
    </w:p>
    <w:p w14:paraId="35CC5DDC">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、如在服务过程中发生问题，中标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需在接到采购人通知后在</w:t>
      </w:r>
      <w:r>
        <w:rPr>
          <w:rFonts w:hint="eastAsia" w:ascii="仿宋" w:hAnsi="仿宋" w:eastAsia="仿宋" w:cs="仿宋"/>
          <w:color w:val="auto"/>
          <w:sz w:val="24"/>
          <w:szCs w:val="24"/>
          <w:highlight w:val="none"/>
          <w:lang w:val="en-US" w:eastAsia="zh-CN"/>
        </w:rPr>
        <w:t>30分钟</w:t>
      </w:r>
      <w:r>
        <w:rPr>
          <w:rFonts w:hint="eastAsia" w:ascii="仿宋" w:hAnsi="仿宋" w:eastAsia="仿宋" w:cs="仿宋"/>
          <w:color w:val="auto"/>
          <w:sz w:val="24"/>
          <w:szCs w:val="24"/>
          <w:highlight w:val="none"/>
        </w:rPr>
        <w:t>内到达采购人现场解决问题。</w:t>
      </w:r>
    </w:p>
    <w:p w14:paraId="024A8D9D">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4在服务质量保证期内，中标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应自行承担服务过程中产生的一切费用。</w:t>
      </w:r>
    </w:p>
    <w:p w14:paraId="02BD3FE0">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理赔服务</w:t>
      </w:r>
    </w:p>
    <w:p w14:paraId="40082AB8">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需设立专线报案电话和受理投诉监督电话，全年365天*24小时接收投保服务。</w:t>
      </w:r>
    </w:p>
    <w:p w14:paraId="742AF038">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（2）当中标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到采购人投保报案后，应尽快安排电话回访，并对采购人在治疗过程中的用药及医院的选择给予建议，告知客户理赔所需资料。采购人准备好理赔材料后通知中标供应商，中标供应商应安排服务专员上门收取。</w:t>
      </w:r>
    </w:p>
    <w:p w14:paraId="4FB25EF1">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（3）当中标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接到采购人投保报案后，需在现场查勘后1个工作日内向采购人反馈明确的立案意见，如属于保险责任范围内的事故，出具索赔资料清单及案件立案编号，一次性明确告知需要提交的单证资料。</w:t>
      </w:r>
    </w:p>
    <w:p w14:paraId="0EC7EA61">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在收到采购人提交的索赔资料后应做好记录和审核工作，若索赔资料不完整，应在2个工作日内一次性通知采购人补充资料，否则视为索赔资料齐全。</w:t>
      </w:r>
    </w:p>
    <w:p w14:paraId="67254A2F">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发生保险范围内的一般责任事故时，损失金额在一万元人民币及以下的，采购人提供索赔单证齐全后，中标供应商需在三个工作日内予以赔付；损失金额在一万元人民币以上的，采购人提供索赔单证齐全后，在十个工作日内予以赔付。</w:t>
      </w:r>
    </w:p>
    <w:p w14:paraId="10E78861">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（5）在发生保险范围内的重大责任事故时，事故责任明确且估计损失金额超过五万元人民币的，中标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应采用预付款方式，在采购人提交索赔单证齐全后的三个工作日内先行赔付估计损失费用的50%，并指定专人协助采购人共同处理赔偿及相关协商洽谈。</w:t>
      </w:r>
    </w:p>
    <w:p w14:paraId="684C860F">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雇主责任险</w:t>
      </w:r>
    </w:p>
    <w:p w14:paraId="05763705">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1、保险</w:t>
      </w:r>
      <w:r>
        <w:rPr>
          <w:rFonts w:hint="eastAsia" w:ascii="仿宋" w:hAnsi="仿宋" w:eastAsia="仿宋" w:cs="仿宋"/>
          <w:color w:val="auto"/>
          <w:sz w:val="24"/>
          <w:szCs w:val="24"/>
          <w:highlight w:val="none"/>
          <w:lang w:val="en-US" w:eastAsia="zh-CN"/>
        </w:rPr>
        <w:t>标的</w:t>
      </w:r>
    </w:p>
    <w:p w14:paraId="0529590F">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嵊州市水务投资发展集团有限公司及下属子公司的雇员</w:t>
      </w:r>
      <w:r>
        <w:rPr>
          <w:rFonts w:hint="eastAsia" w:ascii="仿宋" w:hAnsi="仿宋" w:eastAsia="仿宋" w:cs="仿宋"/>
          <w:color w:val="auto"/>
          <w:sz w:val="24"/>
          <w:szCs w:val="24"/>
          <w:highlight w:val="none"/>
          <w:lang w:val="en-US" w:eastAsia="zh-CN"/>
        </w:rPr>
        <w:t>约350人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具体</w:t>
      </w: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highlight w:val="none"/>
          <w:lang w:val="en-US" w:eastAsia="zh-CN"/>
        </w:rPr>
        <w:t>中标后采购人</w:t>
      </w:r>
      <w:r>
        <w:rPr>
          <w:rFonts w:hint="eastAsia" w:ascii="仿宋" w:hAnsi="仿宋" w:eastAsia="仿宋" w:cs="仿宋"/>
          <w:color w:val="auto"/>
          <w:sz w:val="24"/>
          <w:szCs w:val="24"/>
          <w:highlight w:val="none"/>
        </w:rPr>
        <w:t>提供雇员清单为准。</w:t>
      </w:r>
    </w:p>
    <w:p w14:paraId="01C8C3AE">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保险责任</w:t>
      </w:r>
    </w:p>
    <w:p w14:paraId="38BED4B9">
      <w:pPr>
        <w:pStyle w:val="122"/>
        <w:keepNext w:val="0"/>
        <w:keepLines w:val="0"/>
        <w:pageBreakBefore w:val="0"/>
        <w:widowControl w:val="0"/>
        <w:kinsoku/>
        <w:wordWrap/>
        <w:overflowPunct/>
        <w:topLinePunct w:val="0"/>
        <w:autoSpaceDE/>
        <w:autoSpaceDN/>
        <w:bidi w:val="0"/>
        <w:adjustRightInd/>
        <w:spacing w:line="460" w:lineRule="exact"/>
        <w:ind w:left="126"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每人每次事故伤亡赔偿责任限额120万元，每人每次事故医疗费用赔偿责任限额12万元，每人每次事故误工费用赔偿责任限额120元/天，附加“扩展伤残等级十级5%”、“扩展24小时”责任。</w:t>
      </w:r>
    </w:p>
    <w:p w14:paraId="2D23CE59">
      <w:pPr>
        <w:keepNext w:val="0"/>
        <w:keepLines w:val="0"/>
        <w:pageBreakBefore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z w:val="24"/>
          <w:szCs w:val="24"/>
          <w:highlight w:val="none"/>
          <w:lang w:val="en-US" w:eastAsia="zh-CN"/>
        </w:rPr>
        <w:t>3、服务要求</w:t>
      </w:r>
    </w:p>
    <w:p w14:paraId="2242B006">
      <w:pPr>
        <w:keepNext w:val="0"/>
        <w:keepLines w:val="0"/>
        <w:pageBreakBefore w:val="0"/>
        <w:widowControl w:val="0"/>
        <w:kinsoku/>
        <w:wordWrap/>
        <w:overflowPunct/>
        <w:topLinePunct w:val="0"/>
        <w:autoSpaceDE/>
        <w:autoSpaceDN/>
        <w:bidi w:val="0"/>
        <w:adjustRightInd/>
        <w:snapToGrid/>
        <w:spacing w:line="460" w:lineRule="exact"/>
        <w:ind w:right="110" w:firstLine="47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3.1</w:t>
      </w:r>
      <w:r>
        <w:rPr>
          <w:rFonts w:hint="eastAsia" w:ascii="仿宋" w:hAnsi="仿宋" w:eastAsia="仿宋" w:cs="仿宋"/>
          <w:color w:val="auto"/>
          <w:spacing w:val="-2"/>
          <w:sz w:val="24"/>
          <w:szCs w:val="24"/>
          <w:highlight w:val="none"/>
        </w:rPr>
        <w:t>发生保险事故后，因保险事故造成雇员伤亡所产生的医疗费用，对于其中超过国家基本医疗保</w:t>
      </w:r>
      <w:r>
        <w:rPr>
          <w:rFonts w:hint="eastAsia" w:ascii="仿宋" w:hAnsi="仿宋" w:eastAsia="仿宋" w:cs="仿宋"/>
          <w:color w:val="auto"/>
          <w:spacing w:val="-1"/>
          <w:sz w:val="24"/>
          <w:szCs w:val="24"/>
          <w:highlight w:val="none"/>
        </w:rPr>
        <w:t>险同类医疗费用标准的部分</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1"/>
          <w:sz w:val="24"/>
          <w:szCs w:val="24"/>
          <w:highlight w:val="none"/>
        </w:rPr>
        <w:t>，在相关保险责任限额内予以全额赔付；</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1"/>
          <w:sz w:val="24"/>
          <w:szCs w:val="24"/>
          <w:highlight w:val="none"/>
        </w:rPr>
        <w:t>医疗费用</w:t>
      </w:r>
      <w:r>
        <w:rPr>
          <w:rFonts w:hint="eastAsia" w:ascii="仿宋" w:hAnsi="仿宋" w:eastAsia="仿宋" w:cs="仿宋"/>
          <w:color w:val="auto"/>
          <w:spacing w:val="-2"/>
          <w:sz w:val="24"/>
          <w:szCs w:val="24"/>
          <w:highlight w:val="none"/>
        </w:rPr>
        <w:t>免赔为扣除100元后按100%赔付。</w:t>
      </w:r>
    </w:p>
    <w:p w14:paraId="0204E270">
      <w:pPr>
        <w:keepNext w:val="0"/>
        <w:keepLines w:val="0"/>
        <w:pageBreakBefore w:val="0"/>
        <w:widowControl w:val="0"/>
        <w:kinsoku/>
        <w:wordWrap/>
        <w:overflowPunct/>
        <w:topLinePunct w:val="0"/>
        <w:autoSpaceDE/>
        <w:autoSpaceDN/>
        <w:bidi w:val="0"/>
        <w:adjustRightInd/>
        <w:snapToGrid/>
        <w:spacing w:line="460" w:lineRule="exact"/>
        <w:ind w:firstLine="47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3.2</w:t>
      </w:r>
      <w:r>
        <w:rPr>
          <w:rFonts w:hint="eastAsia" w:ascii="仿宋" w:hAnsi="仿宋" w:eastAsia="仿宋" w:cs="仿宋"/>
          <w:color w:val="auto"/>
          <w:spacing w:val="-2"/>
          <w:sz w:val="24"/>
          <w:szCs w:val="24"/>
          <w:highlight w:val="none"/>
        </w:rPr>
        <w:t>发生主险条款保险事故导致被保险人雇员出现永久丧失部分工作能力的情况，保险人将按伤残</w:t>
      </w:r>
      <w:r>
        <w:rPr>
          <w:rFonts w:hint="eastAsia" w:ascii="仿宋" w:hAnsi="仿宋" w:eastAsia="仿宋" w:cs="仿宋"/>
          <w:color w:val="auto"/>
          <w:spacing w:val="6"/>
          <w:sz w:val="24"/>
          <w:szCs w:val="24"/>
          <w:highlight w:val="none"/>
        </w:rPr>
        <w:t>鉴定机构出具的伤残程度鉴定书</w:t>
      </w:r>
      <w:r>
        <w:rPr>
          <w:rFonts w:hint="eastAsia" w:ascii="仿宋" w:hAnsi="仿宋" w:eastAsia="仿宋" w:cs="仿宋"/>
          <w:color w:val="auto"/>
          <w:spacing w:val="-27"/>
          <w:sz w:val="24"/>
          <w:szCs w:val="24"/>
          <w:highlight w:val="none"/>
        </w:rPr>
        <w:t xml:space="preserve"> </w:t>
      </w:r>
      <w:r>
        <w:rPr>
          <w:rFonts w:hint="eastAsia" w:ascii="仿宋" w:hAnsi="仿宋" w:eastAsia="仿宋" w:cs="仿宋"/>
          <w:color w:val="auto"/>
          <w:spacing w:val="6"/>
          <w:sz w:val="24"/>
          <w:szCs w:val="24"/>
          <w:highlight w:val="none"/>
        </w:rPr>
        <w:t>，并对照国家发布的《劳动能力鉴定职工</w:t>
      </w:r>
      <w:r>
        <w:rPr>
          <w:rFonts w:hint="eastAsia" w:ascii="仿宋" w:hAnsi="仿宋" w:eastAsia="仿宋" w:cs="仿宋"/>
          <w:color w:val="auto"/>
          <w:spacing w:val="5"/>
          <w:sz w:val="24"/>
          <w:szCs w:val="24"/>
          <w:highlight w:val="none"/>
        </w:rPr>
        <w:t>工伤与职业病致残等级》</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z w:val="24"/>
          <w:szCs w:val="24"/>
          <w:highlight w:val="none"/>
        </w:rPr>
        <w:t>GB</w:t>
      </w:r>
      <w:r>
        <w:rPr>
          <w:rFonts w:hint="eastAsia" w:ascii="仿宋" w:hAnsi="仿宋" w:eastAsia="仿宋" w:cs="仿宋"/>
          <w:color w:val="auto"/>
          <w:spacing w:val="1"/>
          <w:sz w:val="24"/>
          <w:szCs w:val="24"/>
          <w:highlight w:val="none"/>
        </w:rPr>
        <w:t>/T16180-2014</w:t>
      </w:r>
      <w:r>
        <w:rPr>
          <w:rFonts w:hint="eastAsia" w:ascii="仿宋" w:hAnsi="仿宋" w:eastAsia="仿宋" w:cs="仿宋"/>
          <w:color w:val="auto"/>
          <w:spacing w:val="-10"/>
          <w:sz w:val="24"/>
          <w:szCs w:val="24"/>
          <w:highlight w:val="none"/>
        </w:rPr>
        <w:t>）（</w:t>
      </w:r>
      <w:r>
        <w:rPr>
          <w:rFonts w:hint="eastAsia" w:ascii="仿宋" w:hAnsi="仿宋" w:eastAsia="仿宋" w:cs="仿宋"/>
          <w:color w:val="auto"/>
          <w:spacing w:val="1"/>
          <w:sz w:val="24"/>
          <w:szCs w:val="24"/>
          <w:highlight w:val="none"/>
        </w:rPr>
        <w:t>以下称《伤残鉴定标准》）确定伤残等级而支付</w:t>
      </w:r>
      <w:r>
        <w:rPr>
          <w:rFonts w:hint="eastAsia" w:ascii="仿宋" w:hAnsi="仿宋" w:eastAsia="仿宋" w:cs="仿宋"/>
          <w:color w:val="auto"/>
          <w:sz w:val="24"/>
          <w:szCs w:val="24"/>
          <w:highlight w:val="none"/>
        </w:rPr>
        <w:t>相应赔偿金。相应的赔偿限</w:t>
      </w:r>
      <w:r>
        <w:rPr>
          <w:rFonts w:hint="eastAsia" w:ascii="仿宋" w:hAnsi="仿宋" w:eastAsia="仿宋" w:cs="仿宋"/>
          <w:color w:val="auto"/>
          <w:spacing w:val="2"/>
          <w:sz w:val="24"/>
          <w:szCs w:val="24"/>
          <w:highlight w:val="none"/>
        </w:rPr>
        <w:t>额为该伤残等级所对应的下列“伤残等级赔</w:t>
      </w:r>
      <w:r>
        <w:rPr>
          <w:rFonts w:hint="eastAsia" w:ascii="仿宋" w:hAnsi="仿宋" w:eastAsia="仿宋" w:cs="仿宋"/>
          <w:color w:val="auto"/>
          <w:spacing w:val="1"/>
          <w:sz w:val="24"/>
          <w:szCs w:val="24"/>
          <w:highlight w:val="none"/>
        </w:rPr>
        <w:t>偿限额比例表”的比例乘以每人死亡伤残赔偿限额所得金</w:t>
      </w:r>
      <w:r>
        <w:rPr>
          <w:rFonts w:hint="eastAsia" w:ascii="仿宋" w:hAnsi="仿宋" w:eastAsia="仿宋" w:cs="仿宋"/>
          <w:color w:val="auto"/>
          <w:spacing w:val="-4"/>
          <w:sz w:val="24"/>
          <w:szCs w:val="24"/>
          <w:highlight w:val="none"/>
        </w:rPr>
        <w:t>额。具体比例如下：按一级 100%，二级 80%，三级</w:t>
      </w:r>
      <w:r>
        <w:rPr>
          <w:rFonts w:hint="eastAsia" w:ascii="仿宋" w:hAnsi="仿宋" w:eastAsia="仿宋" w:cs="仿宋"/>
          <w:color w:val="auto"/>
          <w:spacing w:val="-4"/>
          <w:sz w:val="24"/>
          <w:szCs w:val="24"/>
          <w:highlight w:val="none"/>
          <w:lang w:val="en-US" w:eastAsia="zh-CN"/>
        </w:rPr>
        <w:t>70</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4"/>
          <w:sz w:val="24"/>
          <w:szCs w:val="24"/>
          <w:highlight w:val="none"/>
        </w:rPr>
        <w:t>，四</w:t>
      </w:r>
      <w:r>
        <w:rPr>
          <w:rFonts w:hint="eastAsia" w:ascii="仿宋" w:hAnsi="仿宋" w:eastAsia="仿宋" w:cs="仿宋"/>
          <w:color w:val="auto"/>
          <w:spacing w:val="-4"/>
          <w:sz w:val="24"/>
          <w:szCs w:val="24"/>
          <w:highlight w:val="none"/>
          <w:lang w:val="en-US" w:eastAsia="zh-CN"/>
        </w:rPr>
        <w:t>级60</w:t>
      </w:r>
      <w:r>
        <w:rPr>
          <w:rFonts w:hint="eastAsia" w:ascii="仿宋" w:hAnsi="仿宋" w:eastAsia="仿宋" w:cs="仿宋"/>
          <w:color w:val="auto"/>
          <w:spacing w:val="-4"/>
          <w:sz w:val="24"/>
          <w:szCs w:val="24"/>
          <w:highlight w:val="none"/>
        </w:rPr>
        <w:t>%，五级</w:t>
      </w:r>
      <w:r>
        <w:rPr>
          <w:rFonts w:hint="eastAsia" w:ascii="仿宋" w:hAnsi="仿宋" w:eastAsia="仿宋" w:cs="仿宋"/>
          <w:color w:val="auto"/>
          <w:spacing w:val="-4"/>
          <w:sz w:val="24"/>
          <w:szCs w:val="24"/>
          <w:highlight w:val="none"/>
          <w:lang w:val="en-US" w:eastAsia="zh-CN"/>
        </w:rPr>
        <w:t>50</w:t>
      </w:r>
      <w:r>
        <w:rPr>
          <w:rFonts w:hint="eastAsia" w:ascii="仿宋" w:hAnsi="仿宋" w:eastAsia="仿宋" w:cs="仿宋"/>
          <w:color w:val="auto"/>
          <w:spacing w:val="-4"/>
          <w:sz w:val="24"/>
          <w:szCs w:val="24"/>
          <w:highlight w:val="none"/>
        </w:rPr>
        <w:t>%，六级</w:t>
      </w:r>
      <w:r>
        <w:rPr>
          <w:rFonts w:hint="eastAsia" w:ascii="仿宋" w:hAnsi="仿宋" w:eastAsia="仿宋" w:cs="仿宋"/>
          <w:color w:val="auto"/>
          <w:spacing w:val="-4"/>
          <w:sz w:val="24"/>
          <w:szCs w:val="24"/>
          <w:highlight w:val="none"/>
          <w:lang w:val="en-US" w:eastAsia="zh-CN"/>
        </w:rPr>
        <w:t>40</w:t>
      </w:r>
      <w:r>
        <w:rPr>
          <w:rFonts w:hint="eastAsia" w:ascii="仿宋" w:hAnsi="仿宋" w:eastAsia="仿宋" w:cs="仿宋"/>
          <w:color w:val="auto"/>
          <w:spacing w:val="-4"/>
          <w:sz w:val="24"/>
          <w:szCs w:val="24"/>
          <w:highlight w:val="none"/>
        </w:rPr>
        <w:t>%，七</w:t>
      </w:r>
      <w:r>
        <w:rPr>
          <w:rFonts w:hint="eastAsia" w:ascii="仿宋" w:hAnsi="仿宋" w:eastAsia="仿宋" w:cs="仿宋"/>
          <w:color w:val="auto"/>
          <w:spacing w:val="-6"/>
          <w:sz w:val="24"/>
          <w:szCs w:val="24"/>
          <w:highlight w:val="none"/>
        </w:rPr>
        <w:t>级</w:t>
      </w:r>
      <w:r>
        <w:rPr>
          <w:rFonts w:hint="eastAsia" w:ascii="仿宋" w:hAnsi="仿宋" w:eastAsia="仿宋" w:cs="仿宋"/>
          <w:color w:val="auto"/>
          <w:spacing w:val="-6"/>
          <w:sz w:val="24"/>
          <w:szCs w:val="24"/>
          <w:highlight w:val="none"/>
          <w:lang w:val="en-US" w:eastAsia="zh-CN"/>
        </w:rPr>
        <w:t>30</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25"/>
          <w:sz w:val="24"/>
          <w:szCs w:val="24"/>
          <w:highlight w:val="none"/>
        </w:rPr>
        <w:t xml:space="preserve"> </w:t>
      </w:r>
      <w:r>
        <w:rPr>
          <w:rFonts w:hint="eastAsia" w:ascii="仿宋" w:hAnsi="仿宋" w:eastAsia="仿宋" w:cs="仿宋"/>
          <w:color w:val="auto"/>
          <w:spacing w:val="-6"/>
          <w:sz w:val="24"/>
          <w:szCs w:val="24"/>
          <w:highlight w:val="none"/>
        </w:rPr>
        <w:t>，八级</w:t>
      </w:r>
      <w:r>
        <w:rPr>
          <w:rFonts w:hint="eastAsia" w:ascii="仿宋" w:hAnsi="仿宋" w:eastAsia="仿宋" w:cs="仿宋"/>
          <w:color w:val="auto"/>
          <w:spacing w:val="-6"/>
          <w:sz w:val="24"/>
          <w:szCs w:val="24"/>
          <w:highlight w:val="none"/>
          <w:lang w:val="en-US" w:eastAsia="zh-CN"/>
        </w:rPr>
        <w:t>20</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6"/>
          <w:sz w:val="24"/>
          <w:szCs w:val="24"/>
          <w:highlight w:val="none"/>
        </w:rPr>
        <w:t>，九级</w:t>
      </w:r>
      <w:r>
        <w:rPr>
          <w:rFonts w:hint="eastAsia" w:ascii="仿宋" w:hAnsi="仿宋" w:eastAsia="仿宋" w:cs="仿宋"/>
          <w:color w:val="auto"/>
          <w:spacing w:val="-6"/>
          <w:sz w:val="24"/>
          <w:szCs w:val="24"/>
          <w:highlight w:val="none"/>
          <w:lang w:val="en-US" w:eastAsia="zh-CN"/>
        </w:rPr>
        <w:t>10</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6"/>
          <w:sz w:val="24"/>
          <w:szCs w:val="24"/>
          <w:highlight w:val="none"/>
        </w:rPr>
        <w:t>，十级</w:t>
      </w:r>
      <w:r>
        <w:rPr>
          <w:rFonts w:hint="eastAsia" w:ascii="仿宋" w:hAnsi="仿宋" w:eastAsia="仿宋" w:cs="仿宋"/>
          <w:color w:val="auto"/>
          <w:spacing w:val="-6"/>
          <w:sz w:val="24"/>
          <w:szCs w:val="24"/>
          <w:highlight w:val="none"/>
          <w:lang w:val="en-US" w:eastAsia="zh-CN"/>
        </w:rPr>
        <w:t>5</w:t>
      </w:r>
      <w:r>
        <w:rPr>
          <w:rFonts w:hint="eastAsia" w:ascii="仿宋" w:hAnsi="仿宋" w:eastAsia="仿宋" w:cs="仿宋"/>
          <w:color w:val="auto"/>
          <w:spacing w:val="-6"/>
          <w:sz w:val="24"/>
          <w:szCs w:val="24"/>
          <w:highlight w:val="none"/>
        </w:rPr>
        <w:t>%赔付。</w:t>
      </w:r>
    </w:p>
    <w:p w14:paraId="6D6D92B1">
      <w:pPr>
        <w:keepNext w:val="0"/>
        <w:keepLines w:val="0"/>
        <w:pageBreakBefore w:val="0"/>
        <w:widowControl w:val="0"/>
        <w:kinsoku/>
        <w:wordWrap/>
        <w:overflowPunct/>
        <w:topLinePunct w:val="0"/>
        <w:autoSpaceDE/>
        <w:autoSpaceDN/>
        <w:bidi w:val="0"/>
        <w:adjustRightInd/>
        <w:snapToGrid/>
        <w:spacing w:line="460" w:lineRule="exact"/>
        <w:ind w:firstLine="46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val="en-US" w:eastAsia="zh-CN"/>
        </w:rPr>
        <w:t>3.3</w:t>
      </w:r>
      <w:r>
        <w:rPr>
          <w:rFonts w:hint="eastAsia" w:ascii="仿宋" w:hAnsi="仿宋" w:eastAsia="仿宋" w:cs="仿宋"/>
          <w:color w:val="auto"/>
          <w:spacing w:val="-3"/>
          <w:sz w:val="24"/>
          <w:szCs w:val="24"/>
          <w:highlight w:val="none"/>
        </w:rPr>
        <w:t>材料核定时限</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1"/>
          <w:sz w:val="24"/>
          <w:szCs w:val="24"/>
          <w:highlight w:val="none"/>
        </w:rPr>
        <w:t>保险事故发生后</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1"/>
          <w:sz w:val="24"/>
          <w:szCs w:val="24"/>
          <w:highlight w:val="none"/>
        </w:rPr>
        <w:t>，被保险人依据保险合同约定向保险人提交理赔所需的有关证明和资料。保</w:t>
      </w:r>
      <w:r>
        <w:rPr>
          <w:rFonts w:hint="eastAsia" w:ascii="仿宋" w:hAnsi="仿宋" w:eastAsia="仿宋" w:cs="仿宋"/>
          <w:color w:val="auto"/>
          <w:sz w:val="24"/>
          <w:szCs w:val="24"/>
          <w:highlight w:val="none"/>
        </w:rPr>
        <w:t>险人</w:t>
      </w:r>
      <w:r>
        <w:rPr>
          <w:rFonts w:hint="eastAsia" w:ascii="仿宋" w:hAnsi="仿宋" w:eastAsia="仿宋" w:cs="仿宋"/>
          <w:color w:val="auto"/>
          <w:spacing w:val="1"/>
          <w:sz w:val="24"/>
          <w:szCs w:val="24"/>
          <w:highlight w:val="none"/>
        </w:rPr>
        <w:t>认为有关证明和资料不完整</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pacing w:val="1"/>
          <w:sz w:val="24"/>
          <w:szCs w:val="24"/>
          <w:highlight w:val="none"/>
        </w:rPr>
        <w:t>，应当在收到索赔资料之日起</w:t>
      </w:r>
      <w:r>
        <w:rPr>
          <w:rFonts w:hint="eastAsia" w:ascii="仿宋" w:hAnsi="仿宋" w:eastAsia="仿宋" w:cs="仿宋"/>
          <w:color w:val="auto"/>
          <w:spacing w:val="1"/>
          <w:sz w:val="24"/>
          <w:szCs w:val="24"/>
          <w:highlight w:val="none"/>
          <w:lang w:val="en-US" w:eastAsia="zh-CN"/>
        </w:rPr>
        <w:t>三</w:t>
      </w:r>
      <w:r>
        <w:rPr>
          <w:rFonts w:hint="eastAsia" w:ascii="仿宋" w:hAnsi="仿宋" w:eastAsia="仿宋" w:cs="仿宋"/>
          <w:color w:val="auto"/>
          <w:spacing w:val="1"/>
          <w:sz w:val="24"/>
          <w:szCs w:val="24"/>
          <w:highlight w:val="none"/>
        </w:rPr>
        <w:t>个</w:t>
      </w:r>
      <w:r>
        <w:rPr>
          <w:rFonts w:hint="eastAsia" w:ascii="仿宋" w:hAnsi="仿宋" w:eastAsia="仿宋" w:cs="仿宋"/>
          <w:color w:val="auto"/>
          <w:sz w:val="24"/>
          <w:szCs w:val="24"/>
          <w:highlight w:val="none"/>
        </w:rPr>
        <w:t>工作日内一次性书面通知被保险人补充</w:t>
      </w:r>
      <w:r>
        <w:rPr>
          <w:rFonts w:hint="eastAsia" w:ascii="仿宋" w:hAnsi="仿宋" w:eastAsia="仿宋" w:cs="仿宋"/>
          <w:color w:val="auto"/>
          <w:spacing w:val="1"/>
          <w:sz w:val="24"/>
          <w:szCs w:val="24"/>
          <w:highlight w:val="none"/>
        </w:rPr>
        <w:t>提供。在收到索赔资料</w:t>
      </w:r>
      <w:r>
        <w:rPr>
          <w:rFonts w:hint="eastAsia" w:ascii="仿宋" w:hAnsi="仿宋" w:eastAsia="仿宋" w:cs="仿宋"/>
          <w:color w:val="auto"/>
          <w:spacing w:val="1"/>
          <w:sz w:val="24"/>
          <w:szCs w:val="24"/>
          <w:highlight w:val="none"/>
          <w:lang w:val="en-US" w:eastAsia="zh-CN"/>
        </w:rPr>
        <w:t>三</w:t>
      </w:r>
      <w:r>
        <w:rPr>
          <w:rFonts w:hint="eastAsia" w:ascii="仿宋" w:hAnsi="仿宋" w:eastAsia="仿宋" w:cs="仿宋"/>
          <w:color w:val="auto"/>
          <w:spacing w:val="1"/>
          <w:sz w:val="24"/>
          <w:szCs w:val="24"/>
          <w:highlight w:val="none"/>
        </w:rPr>
        <w:t>个工作日之内保险人未履行一次性的书面</w:t>
      </w:r>
      <w:r>
        <w:rPr>
          <w:rFonts w:hint="eastAsia" w:ascii="仿宋" w:hAnsi="仿宋" w:eastAsia="仿宋" w:cs="仿宋"/>
          <w:color w:val="auto"/>
          <w:sz w:val="24"/>
          <w:szCs w:val="24"/>
          <w:highlight w:val="none"/>
        </w:rPr>
        <w:t>通知义务的</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z w:val="24"/>
          <w:szCs w:val="24"/>
          <w:highlight w:val="none"/>
        </w:rPr>
        <w:t>，则视为保险人认可索</w:t>
      </w:r>
      <w:r>
        <w:rPr>
          <w:rFonts w:hint="eastAsia" w:ascii="仿宋" w:hAnsi="仿宋" w:eastAsia="仿宋" w:cs="仿宋"/>
          <w:color w:val="auto"/>
          <w:spacing w:val="-2"/>
          <w:sz w:val="24"/>
          <w:szCs w:val="24"/>
          <w:highlight w:val="none"/>
        </w:rPr>
        <w:t>赔资料完整</w:t>
      </w:r>
      <w:r>
        <w:rPr>
          <w:rFonts w:hint="eastAsia" w:ascii="仿宋" w:hAnsi="仿宋" w:eastAsia="仿宋" w:cs="仿宋"/>
          <w:color w:val="auto"/>
          <w:spacing w:val="-25"/>
          <w:sz w:val="24"/>
          <w:szCs w:val="24"/>
          <w:highlight w:val="none"/>
        </w:rPr>
        <w:t xml:space="preserve"> </w:t>
      </w:r>
      <w:r>
        <w:rPr>
          <w:rFonts w:hint="eastAsia" w:ascii="仿宋" w:hAnsi="仿宋" w:eastAsia="仿宋" w:cs="仿宋"/>
          <w:color w:val="auto"/>
          <w:spacing w:val="-2"/>
          <w:sz w:val="24"/>
          <w:szCs w:val="24"/>
          <w:highlight w:val="none"/>
        </w:rPr>
        <w:t>，不得再要求被保险人提供补充资料。</w:t>
      </w:r>
    </w:p>
    <w:p w14:paraId="6A8BB064">
      <w:pPr>
        <w:keepNext w:val="0"/>
        <w:keepLines w:val="0"/>
        <w:pageBreakBefore w:val="0"/>
        <w:widowControl w:val="0"/>
        <w:kinsoku/>
        <w:wordWrap/>
        <w:overflowPunct/>
        <w:topLinePunct w:val="0"/>
        <w:autoSpaceDE/>
        <w:autoSpaceDN/>
        <w:bidi w:val="0"/>
        <w:adjustRightInd/>
        <w:snapToGrid/>
        <w:spacing w:line="460" w:lineRule="exact"/>
        <w:ind w:firstLine="47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lang w:val="en-US" w:eastAsia="zh-CN"/>
        </w:rPr>
        <w:t>3.4</w:t>
      </w:r>
      <w:r>
        <w:rPr>
          <w:rFonts w:hint="eastAsia" w:ascii="仿宋" w:hAnsi="仿宋" w:eastAsia="仿宋" w:cs="仿宋"/>
          <w:color w:val="auto"/>
          <w:spacing w:val="-1"/>
          <w:sz w:val="24"/>
          <w:szCs w:val="24"/>
          <w:highlight w:val="none"/>
        </w:rPr>
        <w:t>责任核定时限</w:t>
      </w:r>
      <w:r>
        <w:rPr>
          <w:rFonts w:hint="eastAsia" w:ascii="仿宋" w:hAnsi="仿宋" w:eastAsia="仿宋" w:cs="仿宋"/>
          <w:color w:val="auto"/>
          <w:spacing w:val="-1"/>
          <w:sz w:val="24"/>
          <w:szCs w:val="24"/>
          <w:highlight w:val="none"/>
          <w:lang w:eastAsia="zh-CN"/>
        </w:rPr>
        <w:t>：</w:t>
      </w:r>
      <w:r>
        <w:rPr>
          <w:rFonts w:hint="eastAsia" w:ascii="仿宋" w:hAnsi="仿宋" w:eastAsia="仿宋" w:cs="仿宋"/>
          <w:color w:val="auto"/>
          <w:spacing w:val="1"/>
          <w:sz w:val="24"/>
          <w:szCs w:val="24"/>
          <w:highlight w:val="none"/>
        </w:rPr>
        <w:t>保险人收到被保险人或者受益人的赔偿或者给付保险金的请求后</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1"/>
          <w:sz w:val="24"/>
          <w:szCs w:val="24"/>
          <w:highlight w:val="none"/>
        </w:rPr>
        <w:t>，应当及时作出核定；情形</w:t>
      </w:r>
      <w:r>
        <w:rPr>
          <w:rFonts w:hint="eastAsia" w:ascii="仿宋" w:hAnsi="仿宋" w:eastAsia="仿宋" w:cs="仿宋"/>
          <w:color w:val="auto"/>
          <w:sz w:val="24"/>
          <w:szCs w:val="24"/>
          <w:highlight w:val="none"/>
        </w:rPr>
        <w:t>复杂的</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z w:val="24"/>
          <w:szCs w:val="24"/>
          <w:highlight w:val="none"/>
        </w:rPr>
        <w:t>，应当在十五日内作出核定。对不属于保险责任的事故</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z w:val="24"/>
          <w:szCs w:val="24"/>
          <w:highlight w:val="none"/>
        </w:rPr>
        <w:t>，保险人应当在作出核定后五</w:t>
      </w:r>
      <w:r>
        <w:rPr>
          <w:rFonts w:hint="eastAsia" w:ascii="仿宋" w:hAnsi="仿宋" w:eastAsia="仿宋" w:cs="仿宋"/>
          <w:color w:val="auto"/>
          <w:spacing w:val="-1"/>
          <w:sz w:val="24"/>
          <w:szCs w:val="24"/>
          <w:highlight w:val="none"/>
        </w:rPr>
        <w:t>个工作日内书</w:t>
      </w:r>
      <w:r>
        <w:rPr>
          <w:rFonts w:hint="eastAsia" w:ascii="仿宋" w:hAnsi="仿宋" w:eastAsia="仿宋" w:cs="仿宋"/>
          <w:color w:val="auto"/>
          <w:spacing w:val="-2"/>
          <w:sz w:val="24"/>
          <w:szCs w:val="24"/>
          <w:highlight w:val="none"/>
        </w:rPr>
        <w:t>面通知被保险人责任核定的结果，逾期未书面通知的，视同保险人认可本次事故属于保险责任的范围，</w:t>
      </w:r>
      <w:r>
        <w:rPr>
          <w:rFonts w:hint="eastAsia" w:ascii="仿宋" w:hAnsi="仿宋" w:eastAsia="仿宋" w:cs="仿宋"/>
          <w:color w:val="auto"/>
          <w:sz w:val="24"/>
          <w:szCs w:val="24"/>
          <w:highlight w:val="none"/>
        </w:rPr>
        <w:t>保险人不得再以上述事故不属于保险责任范围为由进行拒赔、拖赔、惜赔或少</w:t>
      </w:r>
      <w:r>
        <w:rPr>
          <w:rFonts w:hint="eastAsia" w:ascii="仿宋" w:hAnsi="仿宋" w:eastAsia="仿宋" w:cs="仿宋"/>
          <w:color w:val="auto"/>
          <w:spacing w:val="-1"/>
          <w:sz w:val="24"/>
          <w:szCs w:val="24"/>
          <w:highlight w:val="none"/>
        </w:rPr>
        <w:t>赔。</w:t>
      </w:r>
    </w:p>
    <w:p w14:paraId="1A6EF6F0">
      <w:pPr>
        <w:keepNext w:val="0"/>
        <w:keepLines w:val="0"/>
        <w:pageBreakBefore w:val="0"/>
        <w:widowControl w:val="0"/>
        <w:kinsoku/>
        <w:wordWrap/>
        <w:overflowPunct/>
        <w:topLinePunct w:val="0"/>
        <w:autoSpaceDE/>
        <w:autoSpaceDN/>
        <w:bidi w:val="0"/>
        <w:adjustRightInd/>
        <w:snapToGrid/>
        <w:spacing w:line="460" w:lineRule="exact"/>
        <w:ind w:firstLine="464"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lang w:val="en-US" w:eastAsia="zh-CN"/>
        </w:rPr>
        <w:t>3.5</w:t>
      </w:r>
      <w:r>
        <w:rPr>
          <w:rFonts w:hint="eastAsia" w:ascii="仿宋" w:hAnsi="仿宋" w:eastAsia="仿宋" w:cs="仿宋"/>
          <w:color w:val="auto"/>
          <w:spacing w:val="-4"/>
          <w:sz w:val="24"/>
          <w:szCs w:val="24"/>
          <w:highlight w:val="none"/>
        </w:rPr>
        <w:t>理赔时限</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1"/>
          <w:sz w:val="24"/>
          <w:szCs w:val="24"/>
          <w:highlight w:val="none"/>
        </w:rPr>
        <w:t>保险人在与被保险人达成赔偿协议后</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1"/>
          <w:sz w:val="24"/>
          <w:szCs w:val="24"/>
          <w:highlight w:val="none"/>
        </w:rPr>
        <w:t>，在以下时限内履行赔偿保险金的义务（本协议</w:t>
      </w:r>
      <w:r>
        <w:rPr>
          <w:rFonts w:hint="eastAsia" w:ascii="仿宋" w:hAnsi="仿宋" w:eastAsia="仿宋" w:cs="仿宋"/>
          <w:color w:val="auto"/>
          <w:sz w:val="24"/>
          <w:szCs w:val="24"/>
          <w:highlight w:val="none"/>
        </w:rPr>
        <w:t xml:space="preserve">另有约定的 </w:t>
      </w:r>
      <w:r>
        <w:rPr>
          <w:rFonts w:hint="eastAsia" w:ascii="仿宋" w:hAnsi="仿宋" w:eastAsia="仿宋" w:cs="仿宋"/>
          <w:color w:val="auto"/>
          <w:spacing w:val="-1"/>
          <w:w w:val="97"/>
          <w:sz w:val="24"/>
          <w:szCs w:val="24"/>
          <w:highlight w:val="none"/>
        </w:rPr>
        <w:t>除外</w:t>
      </w:r>
      <w:r>
        <w:rPr>
          <w:rFonts w:hint="eastAsia" w:ascii="仿宋" w:hAnsi="仿宋" w:eastAsia="仿宋" w:cs="仿宋"/>
          <w:color w:val="auto"/>
          <w:spacing w:val="-1"/>
          <w:sz w:val="24"/>
          <w:szCs w:val="24"/>
          <w:highlight w:val="none"/>
        </w:rPr>
        <w:t>）：</w:t>
      </w:r>
    </w:p>
    <w:p w14:paraId="2EA2916A">
      <w:pPr>
        <w:keepNext w:val="0"/>
        <w:keepLines w:val="0"/>
        <w:pageBreakBefore w:val="0"/>
        <w:widowControl w:val="0"/>
        <w:kinsoku/>
        <w:wordWrap/>
        <w:overflowPunct/>
        <w:topLinePunct w:val="0"/>
        <w:autoSpaceDE/>
        <w:autoSpaceDN/>
        <w:bidi w:val="0"/>
        <w:adjustRightInd/>
        <w:snapToGrid/>
        <w:spacing w:line="460" w:lineRule="exact"/>
        <w:ind w:left="448"/>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(1)赔款金额2000 元以下的（含</w:t>
      </w:r>
      <w:r>
        <w:rPr>
          <w:rFonts w:hint="eastAsia" w:ascii="仿宋" w:hAnsi="仿宋" w:eastAsia="仿宋" w:cs="仿宋"/>
          <w:color w:val="auto"/>
          <w:spacing w:val="-8"/>
          <w:sz w:val="24"/>
          <w:szCs w:val="24"/>
          <w:highlight w:val="none"/>
        </w:rPr>
        <w:t>）</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8"/>
          <w:sz w:val="24"/>
          <w:szCs w:val="24"/>
          <w:highlight w:val="none"/>
        </w:rPr>
        <w:t>，</w:t>
      </w:r>
      <w:r>
        <w:rPr>
          <w:rFonts w:hint="eastAsia" w:ascii="仿宋" w:hAnsi="仿宋" w:eastAsia="仿宋" w:cs="仿宋"/>
          <w:color w:val="auto"/>
          <w:spacing w:val="-2"/>
          <w:sz w:val="24"/>
          <w:szCs w:val="24"/>
          <w:highlight w:val="none"/>
        </w:rPr>
        <w:t>索赔资料齐全的当天支付；</w:t>
      </w:r>
    </w:p>
    <w:p w14:paraId="56F99D20">
      <w:pPr>
        <w:keepNext w:val="0"/>
        <w:keepLines w:val="0"/>
        <w:pageBreakBefore w:val="0"/>
        <w:widowControl w:val="0"/>
        <w:kinsoku/>
        <w:wordWrap/>
        <w:overflowPunct/>
        <w:topLinePunct w:val="0"/>
        <w:autoSpaceDE/>
        <w:autoSpaceDN/>
        <w:bidi w:val="0"/>
        <w:adjustRightInd/>
        <w:snapToGrid/>
        <w:spacing w:line="460" w:lineRule="exact"/>
        <w:ind w:left="448"/>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(2)赔款金额 2000-20000元以下的（含</w:t>
      </w:r>
      <w:r>
        <w:rPr>
          <w:rFonts w:hint="eastAsia" w:ascii="仿宋" w:hAnsi="仿宋" w:eastAsia="仿宋" w:cs="仿宋"/>
          <w:color w:val="auto"/>
          <w:spacing w:val="-13"/>
          <w:sz w:val="24"/>
          <w:szCs w:val="24"/>
          <w:highlight w:val="none"/>
        </w:rPr>
        <w:t>）</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13"/>
          <w:sz w:val="24"/>
          <w:szCs w:val="24"/>
          <w:highlight w:val="none"/>
        </w:rPr>
        <w:t>，</w:t>
      </w:r>
      <w:r>
        <w:rPr>
          <w:rFonts w:hint="eastAsia" w:ascii="仿宋" w:hAnsi="仿宋" w:eastAsia="仿宋" w:cs="仿宋"/>
          <w:color w:val="auto"/>
          <w:spacing w:val="-1"/>
          <w:sz w:val="24"/>
          <w:szCs w:val="24"/>
          <w:highlight w:val="none"/>
        </w:rPr>
        <w:t>索赔资料齐全的在一个工作日内支付；</w:t>
      </w:r>
    </w:p>
    <w:p w14:paraId="0A145F24">
      <w:pPr>
        <w:keepNext w:val="0"/>
        <w:keepLines w:val="0"/>
        <w:pageBreakBefore w:val="0"/>
        <w:widowControl w:val="0"/>
        <w:kinsoku/>
        <w:wordWrap/>
        <w:overflowPunct/>
        <w:topLinePunct w:val="0"/>
        <w:autoSpaceDE/>
        <w:autoSpaceDN/>
        <w:bidi w:val="0"/>
        <w:adjustRightInd/>
        <w:snapToGrid/>
        <w:spacing w:line="460" w:lineRule="exact"/>
        <w:ind w:left="448"/>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(3)赔款金额20000-100000元以下的（含） ，索赔资料齐全的在两个工作日内支付；</w:t>
      </w:r>
    </w:p>
    <w:p w14:paraId="38F4A41A">
      <w:pPr>
        <w:keepNext w:val="0"/>
        <w:keepLines w:val="0"/>
        <w:pageBreakBefore w:val="0"/>
        <w:widowControl w:val="0"/>
        <w:kinsoku/>
        <w:wordWrap/>
        <w:overflowPunct/>
        <w:topLinePunct w:val="0"/>
        <w:autoSpaceDE/>
        <w:autoSpaceDN/>
        <w:bidi w:val="0"/>
        <w:adjustRightInd/>
        <w:snapToGrid/>
        <w:spacing w:line="460" w:lineRule="exact"/>
        <w:ind w:left="448"/>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(4)赔款金额100000元以上的</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2"/>
          <w:sz w:val="24"/>
          <w:szCs w:val="24"/>
          <w:highlight w:val="none"/>
        </w:rPr>
        <w:t>，索赔资料齐全的在三个工作日内支付。</w:t>
      </w:r>
    </w:p>
    <w:p w14:paraId="01689E45">
      <w:pPr>
        <w:keepNext w:val="0"/>
        <w:keepLines w:val="0"/>
        <w:pageBreakBefore w:val="0"/>
        <w:widowControl w:val="0"/>
        <w:kinsoku/>
        <w:wordWrap/>
        <w:overflowPunct/>
        <w:topLinePunct w:val="0"/>
        <w:autoSpaceDE/>
        <w:autoSpaceDN/>
        <w:bidi w:val="0"/>
        <w:adjustRightInd/>
        <w:snapToGrid/>
        <w:spacing w:line="460" w:lineRule="exact"/>
        <w:ind w:left="13" w:right="64" w:firstLine="420"/>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z w:val="24"/>
          <w:szCs w:val="24"/>
          <w:highlight w:val="none"/>
        </w:rPr>
        <w:t>保险人未能在上述时限内支付赔款的</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z w:val="24"/>
          <w:szCs w:val="24"/>
          <w:highlight w:val="none"/>
        </w:rPr>
        <w:t>，每延迟一天，</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z w:val="24"/>
          <w:szCs w:val="24"/>
          <w:highlight w:val="none"/>
        </w:rPr>
        <w:t>同意按照总赔款金额千分之一的比例向被保</w:t>
      </w:r>
      <w:r>
        <w:rPr>
          <w:rFonts w:hint="eastAsia" w:ascii="仿宋" w:hAnsi="仿宋" w:eastAsia="仿宋" w:cs="仿宋"/>
          <w:color w:val="auto"/>
          <w:spacing w:val="-5"/>
          <w:sz w:val="24"/>
          <w:szCs w:val="24"/>
          <w:highlight w:val="none"/>
        </w:rPr>
        <w:t>险人支付滞纳金</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5"/>
          <w:sz w:val="24"/>
          <w:szCs w:val="24"/>
          <w:highlight w:val="none"/>
        </w:rPr>
        <w:t>，以此类推</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5"/>
          <w:sz w:val="24"/>
          <w:szCs w:val="24"/>
          <w:highlight w:val="none"/>
        </w:rPr>
        <w:t>，上不封顶。</w:t>
      </w:r>
    </w:p>
    <w:p w14:paraId="772DD5F6">
      <w:pPr>
        <w:keepNext w:val="0"/>
        <w:keepLines w:val="0"/>
        <w:pageBreakBefore w:val="0"/>
        <w:widowControl w:val="0"/>
        <w:kinsoku/>
        <w:wordWrap/>
        <w:overflowPunct/>
        <w:topLinePunct w:val="0"/>
        <w:autoSpaceDE/>
        <w:autoSpaceDN/>
        <w:bidi w:val="0"/>
        <w:adjustRightInd/>
        <w:snapToGrid/>
        <w:spacing w:line="460" w:lineRule="exact"/>
        <w:ind w:left="13" w:right="64"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 xml:space="preserve">3.6 </w:t>
      </w:r>
      <w:r>
        <w:rPr>
          <w:rFonts w:hint="eastAsia" w:ascii="仿宋" w:hAnsi="仿宋" w:eastAsia="仿宋" w:cs="仿宋"/>
          <w:color w:val="auto"/>
          <w:spacing w:val="-2"/>
          <w:sz w:val="24"/>
          <w:szCs w:val="24"/>
          <w:highlight w:val="none"/>
        </w:rPr>
        <w:t>保险协议生效后，如被保险人提出书面加保或退保申请</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2"/>
          <w:sz w:val="24"/>
          <w:szCs w:val="24"/>
          <w:highlight w:val="none"/>
        </w:rPr>
        <w:t>，保险人按照日费率予以加保或退保。</w:t>
      </w:r>
    </w:p>
    <w:p w14:paraId="4B443D6F">
      <w:pPr>
        <w:keepNext w:val="0"/>
        <w:keepLines w:val="0"/>
        <w:pageBreakBefore w:val="0"/>
        <w:widowControl w:val="0"/>
        <w:kinsoku/>
        <w:wordWrap/>
        <w:overflowPunct/>
        <w:topLinePunct w:val="0"/>
        <w:autoSpaceDE/>
        <w:autoSpaceDN/>
        <w:bidi w:val="0"/>
        <w:adjustRightInd/>
        <w:snapToGrid/>
        <w:spacing w:line="460" w:lineRule="exact"/>
        <w:ind w:firstLine="47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lang w:val="en-US" w:eastAsia="zh-CN"/>
        </w:rPr>
        <w:t>3.7</w:t>
      </w:r>
      <w:r>
        <w:rPr>
          <w:rFonts w:hint="eastAsia" w:ascii="仿宋" w:hAnsi="仿宋" w:eastAsia="仿宋" w:cs="仿宋"/>
          <w:color w:val="auto"/>
          <w:spacing w:val="-1"/>
          <w:sz w:val="24"/>
          <w:szCs w:val="24"/>
          <w:highlight w:val="none"/>
        </w:rPr>
        <w:t>对于24小时意外扩展条款作如下特约：发生保险事故造成伤残后</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1"/>
          <w:sz w:val="24"/>
          <w:szCs w:val="24"/>
          <w:highlight w:val="none"/>
        </w:rPr>
        <w:t>，被保险人</w:t>
      </w:r>
      <w:r>
        <w:rPr>
          <w:rFonts w:hint="eastAsia" w:ascii="仿宋" w:hAnsi="仿宋" w:eastAsia="仿宋" w:cs="仿宋"/>
          <w:color w:val="auto"/>
          <w:spacing w:val="-2"/>
          <w:sz w:val="24"/>
          <w:szCs w:val="24"/>
          <w:highlight w:val="none"/>
        </w:rPr>
        <w:t>以《人身保险伤残评定标准》（中保协发{2013}88号）作为伤残评定依据评定伤残等级。对于死亡、永久丧失全部</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或者部分工作能力的</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1"/>
          <w:sz w:val="24"/>
          <w:szCs w:val="24"/>
          <w:highlight w:val="none"/>
        </w:rPr>
        <w:t>，保险人按照所附伤残赔偿比例规定的百</w:t>
      </w:r>
      <w:r>
        <w:rPr>
          <w:rFonts w:hint="eastAsia" w:ascii="仿宋" w:hAnsi="仿宋" w:eastAsia="仿宋" w:cs="仿宋"/>
          <w:color w:val="auto"/>
          <w:sz w:val="24"/>
          <w:szCs w:val="24"/>
          <w:highlight w:val="none"/>
        </w:rPr>
        <w:t xml:space="preserve">分比乘以被保险人的死亡、伤残赔偿限 </w:t>
      </w:r>
      <w:r>
        <w:rPr>
          <w:rFonts w:hint="eastAsia" w:ascii="仿宋" w:hAnsi="仿宋" w:eastAsia="仿宋" w:cs="仿宋"/>
          <w:color w:val="auto"/>
          <w:spacing w:val="-5"/>
          <w:sz w:val="24"/>
          <w:szCs w:val="24"/>
          <w:highlight w:val="none"/>
        </w:rPr>
        <w:t>额确定赔付金额</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5"/>
          <w:sz w:val="24"/>
          <w:szCs w:val="24"/>
          <w:highlight w:val="none"/>
        </w:rPr>
        <w:t>，具体比例如下：</w:t>
      </w:r>
      <w:r>
        <w:rPr>
          <w:rFonts w:hint="eastAsia" w:ascii="仿宋" w:hAnsi="仿宋" w:eastAsia="仿宋" w:cs="仿宋"/>
          <w:color w:val="auto"/>
          <w:spacing w:val="-4"/>
          <w:sz w:val="24"/>
          <w:szCs w:val="24"/>
          <w:highlight w:val="none"/>
        </w:rPr>
        <w:t>按一级 100%，二级 80%，三级</w:t>
      </w:r>
      <w:r>
        <w:rPr>
          <w:rFonts w:hint="eastAsia" w:ascii="仿宋" w:hAnsi="仿宋" w:eastAsia="仿宋" w:cs="仿宋"/>
          <w:color w:val="auto"/>
          <w:spacing w:val="-4"/>
          <w:sz w:val="24"/>
          <w:szCs w:val="24"/>
          <w:highlight w:val="none"/>
          <w:lang w:val="en-US" w:eastAsia="zh-CN"/>
        </w:rPr>
        <w:t>70</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4"/>
          <w:sz w:val="24"/>
          <w:szCs w:val="24"/>
          <w:highlight w:val="none"/>
        </w:rPr>
        <w:t>，四</w:t>
      </w:r>
      <w:r>
        <w:rPr>
          <w:rFonts w:hint="eastAsia" w:ascii="仿宋" w:hAnsi="仿宋" w:eastAsia="仿宋" w:cs="仿宋"/>
          <w:color w:val="auto"/>
          <w:spacing w:val="-4"/>
          <w:sz w:val="24"/>
          <w:szCs w:val="24"/>
          <w:highlight w:val="none"/>
          <w:lang w:val="en-US" w:eastAsia="zh-CN"/>
        </w:rPr>
        <w:t>级60</w:t>
      </w:r>
      <w:r>
        <w:rPr>
          <w:rFonts w:hint="eastAsia" w:ascii="仿宋" w:hAnsi="仿宋" w:eastAsia="仿宋" w:cs="仿宋"/>
          <w:color w:val="auto"/>
          <w:spacing w:val="-4"/>
          <w:sz w:val="24"/>
          <w:szCs w:val="24"/>
          <w:highlight w:val="none"/>
        </w:rPr>
        <w:t>%，五级</w:t>
      </w:r>
      <w:r>
        <w:rPr>
          <w:rFonts w:hint="eastAsia" w:ascii="仿宋" w:hAnsi="仿宋" w:eastAsia="仿宋" w:cs="仿宋"/>
          <w:color w:val="auto"/>
          <w:spacing w:val="-4"/>
          <w:sz w:val="24"/>
          <w:szCs w:val="24"/>
          <w:highlight w:val="none"/>
          <w:lang w:val="en-US" w:eastAsia="zh-CN"/>
        </w:rPr>
        <w:t>50</w:t>
      </w:r>
      <w:r>
        <w:rPr>
          <w:rFonts w:hint="eastAsia" w:ascii="仿宋" w:hAnsi="仿宋" w:eastAsia="仿宋" w:cs="仿宋"/>
          <w:color w:val="auto"/>
          <w:spacing w:val="-4"/>
          <w:sz w:val="24"/>
          <w:szCs w:val="24"/>
          <w:highlight w:val="none"/>
        </w:rPr>
        <w:t>%，六级</w:t>
      </w:r>
      <w:r>
        <w:rPr>
          <w:rFonts w:hint="eastAsia" w:ascii="仿宋" w:hAnsi="仿宋" w:eastAsia="仿宋" w:cs="仿宋"/>
          <w:color w:val="auto"/>
          <w:spacing w:val="-4"/>
          <w:sz w:val="24"/>
          <w:szCs w:val="24"/>
          <w:highlight w:val="none"/>
          <w:lang w:val="en-US" w:eastAsia="zh-CN"/>
        </w:rPr>
        <w:t>40</w:t>
      </w:r>
      <w:r>
        <w:rPr>
          <w:rFonts w:hint="eastAsia" w:ascii="仿宋" w:hAnsi="仿宋" w:eastAsia="仿宋" w:cs="仿宋"/>
          <w:color w:val="auto"/>
          <w:spacing w:val="-4"/>
          <w:sz w:val="24"/>
          <w:szCs w:val="24"/>
          <w:highlight w:val="none"/>
        </w:rPr>
        <w:t>%，七</w:t>
      </w:r>
      <w:r>
        <w:rPr>
          <w:rFonts w:hint="eastAsia" w:ascii="仿宋" w:hAnsi="仿宋" w:eastAsia="仿宋" w:cs="仿宋"/>
          <w:color w:val="auto"/>
          <w:spacing w:val="-6"/>
          <w:sz w:val="24"/>
          <w:szCs w:val="24"/>
          <w:highlight w:val="none"/>
        </w:rPr>
        <w:t>级</w:t>
      </w:r>
      <w:r>
        <w:rPr>
          <w:rFonts w:hint="eastAsia" w:ascii="仿宋" w:hAnsi="仿宋" w:eastAsia="仿宋" w:cs="仿宋"/>
          <w:color w:val="auto"/>
          <w:spacing w:val="-6"/>
          <w:sz w:val="24"/>
          <w:szCs w:val="24"/>
          <w:highlight w:val="none"/>
          <w:lang w:val="en-US" w:eastAsia="zh-CN"/>
        </w:rPr>
        <w:t>30</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25"/>
          <w:sz w:val="24"/>
          <w:szCs w:val="24"/>
          <w:highlight w:val="none"/>
        </w:rPr>
        <w:t xml:space="preserve"> </w:t>
      </w:r>
      <w:r>
        <w:rPr>
          <w:rFonts w:hint="eastAsia" w:ascii="仿宋" w:hAnsi="仿宋" w:eastAsia="仿宋" w:cs="仿宋"/>
          <w:color w:val="auto"/>
          <w:spacing w:val="-6"/>
          <w:sz w:val="24"/>
          <w:szCs w:val="24"/>
          <w:highlight w:val="none"/>
        </w:rPr>
        <w:t>，八级</w:t>
      </w:r>
      <w:r>
        <w:rPr>
          <w:rFonts w:hint="eastAsia" w:ascii="仿宋" w:hAnsi="仿宋" w:eastAsia="仿宋" w:cs="仿宋"/>
          <w:color w:val="auto"/>
          <w:spacing w:val="-6"/>
          <w:sz w:val="24"/>
          <w:szCs w:val="24"/>
          <w:highlight w:val="none"/>
          <w:lang w:val="en-US" w:eastAsia="zh-CN"/>
        </w:rPr>
        <w:t>20</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6"/>
          <w:sz w:val="24"/>
          <w:szCs w:val="24"/>
          <w:highlight w:val="none"/>
        </w:rPr>
        <w:t>，九级</w:t>
      </w:r>
      <w:r>
        <w:rPr>
          <w:rFonts w:hint="eastAsia" w:ascii="仿宋" w:hAnsi="仿宋" w:eastAsia="仿宋" w:cs="仿宋"/>
          <w:color w:val="auto"/>
          <w:spacing w:val="-6"/>
          <w:sz w:val="24"/>
          <w:szCs w:val="24"/>
          <w:highlight w:val="none"/>
          <w:lang w:val="en-US" w:eastAsia="zh-CN"/>
        </w:rPr>
        <w:t>10</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6"/>
          <w:sz w:val="24"/>
          <w:szCs w:val="24"/>
          <w:highlight w:val="none"/>
        </w:rPr>
        <w:t>，十级</w:t>
      </w:r>
      <w:r>
        <w:rPr>
          <w:rFonts w:hint="eastAsia" w:ascii="仿宋" w:hAnsi="仿宋" w:eastAsia="仿宋" w:cs="仿宋"/>
          <w:color w:val="auto"/>
          <w:spacing w:val="-6"/>
          <w:sz w:val="24"/>
          <w:szCs w:val="24"/>
          <w:highlight w:val="none"/>
          <w:lang w:val="en-US" w:eastAsia="zh-CN"/>
        </w:rPr>
        <w:t>5</w:t>
      </w:r>
      <w:r>
        <w:rPr>
          <w:rFonts w:hint="eastAsia" w:ascii="仿宋" w:hAnsi="仿宋" w:eastAsia="仿宋" w:cs="仿宋"/>
          <w:color w:val="auto"/>
          <w:spacing w:val="-6"/>
          <w:sz w:val="24"/>
          <w:szCs w:val="24"/>
          <w:highlight w:val="none"/>
        </w:rPr>
        <w:t>%赔付。</w:t>
      </w:r>
    </w:p>
    <w:p w14:paraId="13D6AF55">
      <w:pPr>
        <w:keepNext w:val="0"/>
        <w:keepLines w:val="0"/>
        <w:pageBreakBefore w:val="0"/>
        <w:widowControl w:val="0"/>
        <w:kinsoku/>
        <w:wordWrap/>
        <w:overflowPunct/>
        <w:topLinePunct w:val="0"/>
        <w:autoSpaceDE/>
        <w:autoSpaceDN/>
        <w:bidi w:val="0"/>
        <w:adjustRightInd/>
        <w:snapToGrid/>
        <w:spacing w:line="460" w:lineRule="exact"/>
        <w:ind w:left="2" w:right="66" w:firstLine="441"/>
        <w:textAlignment w:val="auto"/>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lang w:val="en-US" w:eastAsia="zh-CN"/>
        </w:rPr>
        <w:t xml:space="preserve">3.8 </w:t>
      </w:r>
      <w:r>
        <w:rPr>
          <w:rFonts w:hint="eastAsia" w:ascii="仿宋" w:hAnsi="仿宋" w:eastAsia="仿宋" w:cs="仿宋"/>
          <w:color w:val="auto"/>
          <w:spacing w:val="-1"/>
          <w:sz w:val="24"/>
          <w:szCs w:val="24"/>
          <w:highlight w:val="none"/>
        </w:rPr>
        <w:t>发生保险事故后，若责任明确但无法迅速确定损失金额的情况下，采购人有权要求中标人支付预付赔款，中标人应根据采购人提出的书面申请在五个工作日内对已确定的损失部分或者抢救费用进行预先赔付。</w:t>
      </w:r>
    </w:p>
    <w:p w14:paraId="0AF42E87">
      <w:pPr>
        <w:keepNext w:val="0"/>
        <w:keepLines w:val="0"/>
        <w:pageBreakBefore w:val="0"/>
        <w:widowControl w:val="0"/>
        <w:kinsoku/>
        <w:wordWrap/>
        <w:overflowPunct/>
        <w:topLinePunct w:val="0"/>
        <w:autoSpaceDE/>
        <w:autoSpaceDN/>
        <w:bidi w:val="0"/>
        <w:adjustRightInd/>
        <w:snapToGrid/>
        <w:spacing w:line="460" w:lineRule="exact"/>
        <w:ind w:firstLine="472" w:firstLineChars="200"/>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3.9</w:t>
      </w:r>
      <w:r>
        <w:rPr>
          <w:rFonts w:hint="eastAsia" w:ascii="仿宋" w:hAnsi="仿宋" w:eastAsia="仿宋" w:cs="仿宋"/>
          <w:color w:val="auto"/>
          <w:spacing w:val="-2"/>
          <w:sz w:val="24"/>
          <w:szCs w:val="24"/>
          <w:highlight w:val="none"/>
        </w:rPr>
        <w:t>中标人须为本项目提供简单、方便的理赔程序，优先处理本项目的承保、理赔等事项。成立专门服务团队（应有具体成员名单</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2"/>
          <w:sz w:val="24"/>
          <w:szCs w:val="24"/>
          <w:highlight w:val="none"/>
        </w:rPr>
        <w:t>，包括姓名、职务、职责、联系方式等</w:t>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2"/>
          <w:sz w:val="24"/>
          <w:szCs w:val="24"/>
          <w:highlight w:val="none"/>
        </w:rPr>
        <w:t>为被保险人提供全年365</w:t>
      </w:r>
      <w:r>
        <w:rPr>
          <w:rFonts w:hint="eastAsia" w:ascii="仿宋" w:hAnsi="仿宋" w:eastAsia="仿宋" w:cs="仿宋"/>
          <w:color w:val="auto"/>
          <w:spacing w:val="-1"/>
          <w:sz w:val="24"/>
          <w:szCs w:val="24"/>
          <w:highlight w:val="none"/>
        </w:rPr>
        <w:t>天、全天24小时的投保、理赔和咨询等服务</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1"/>
          <w:sz w:val="24"/>
          <w:szCs w:val="24"/>
          <w:highlight w:val="none"/>
        </w:rPr>
        <w:t>，确保被保险人能够获得最</w:t>
      </w:r>
      <w:r>
        <w:rPr>
          <w:rFonts w:hint="eastAsia" w:ascii="仿宋" w:hAnsi="仿宋" w:eastAsia="仿宋" w:cs="仿宋"/>
          <w:color w:val="auto"/>
          <w:spacing w:val="-2"/>
          <w:sz w:val="24"/>
          <w:szCs w:val="24"/>
          <w:highlight w:val="none"/>
        </w:rPr>
        <w:t>快、最优质的保险服务。</w:t>
      </w:r>
    </w:p>
    <w:p w14:paraId="5497AC61">
      <w:pPr>
        <w:keepNext w:val="0"/>
        <w:keepLines w:val="0"/>
        <w:pageBreakBefore w:val="0"/>
        <w:widowControl w:val="0"/>
        <w:kinsoku/>
        <w:wordWrap/>
        <w:overflowPunct/>
        <w:topLinePunct w:val="0"/>
        <w:autoSpaceDE/>
        <w:autoSpaceDN/>
        <w:bidi w:val="0"/>
        <w:adjustRightInd/>
        <w:snapToGrid/>
        <w:spacing w:line="460" w:lineRule="exact"/>
        <w:ind w:left="20" w:right="66" w:firstLine="424"/>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pacing w:val="-1"/>
          <w:sz w:val="24"/>
          <w:szCs w:val="24"/>
          <w:highlight w:val="none"/>
          <w:lang w:val="en-US" w:eastAsia="zh-CN"/>
        </w:rPr>
        <w:t xml:space="preserve">3.10 </w:t>
      </w:r>
      <w:r>
        <w:rPr>
          <w:rFonts w:hint="eastAsia" w:ascii="仿宋" w:hAnsi="仿宋" w:eastAsia="仿宋" w:cs="仿宋"/>
          <w:color w:val="auto"/>
          <w:spacing w:val="-1"/>
          <w:sz w:val="24"/>
          <w:szCs w:val="24"/>
          <w:highlight w:val="none"/>
        </w:rPr>
        <w:t>设有24小时热线客户咨询服务、投诉举报电话，有专人接听、记录、受理。对被保险</w:t>
      </w:r>
      <w:r>
        <w:rPr>
          <w:rFonts w:hint="eastAsia" w:ascii="仿宋" w:hAnsi="仿宋" w:eastAsia="仿宋" w:cs="仿宋"/>
          <w:color w:val="auto"/>
          <w:spacing w:val="-2"/>
          <w:sz w:val="24"/>
          <w:szCs w:val="24"/>
          <w:highlight w:val="none"/>
        </w:rPr>
        <w:t>人提供出险索赔程序、保险知识等方面的咨询服务，并有切实可行的服务保障措施。</w:t>
      </w:r>
    </w:p>
    <w:p w14:paraId="6CB7EFAE">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工程一切险/建筑施工人员意外险</w:t>
      </w:r>
    </w:p>
    <w:p w14:paraId="624531E1">
      <w:pPr>
        <w:snapToGrid w:val="0"/>
        <w:spacing w:line="360" w:lineRule="auto"/>
        <w:ind w:firstLine="482"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A、</w:t>
      </w:r>
      <w:r>
        <w:rPr>
          <w:rFonts w:hint="eastAsia" w:ascii="仿宋" w:hAnsi="仿宋" w:eastAsia="仿宋" w:cs="仿宋"/>
          <w:b/>
          <w:bCs/>
          <w:color w:val="auto"/>
          <w:sz w:val="24"/>
          <w:szCs w:val="24"/>
          <w:highlight w:val="none"/>
        </w:rPr>
        <w:t>工程一切险</w:t>
      </w:r>
    </w:p>
    <w:p w14:paraId="246AAB1F">
      <w:pPr>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1、保险标的：</w:t>
      </w:r>
    </w:p>
    <w:p w14:paraId="25E6FD32">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全年工程量：202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年度</w:t>
      </w:r>
      <w:r>
        <w:rPr>
          <w:rFonts w:hint="eastAsia" w:ascii="仿宋" w:hAnsi="仿宋" w:eastAsia="仿宋" w:cs="仿宋"/>
          <w:color w:val="auto"/>
          <w:sz w:val="24"/>
          <w:szCs w:val="24"/>
          <w:highlight w:val="none"/>
          <w:lang w:val="en-US" w:eastAsia="zh-CN"/>
        </w:rPr>
        <w:t>由集团下属公司嵊州市水联管道承装有限公司实施的工程量约4.6</w:t>
      </w:r>
      <w:r>
        <w:rPr>
          <w:rFonts w:hint="eastAsia" w:ascii="仿宋" w:hAnsi="仿宋" w:eastAsia="仿宋" w:cs="仿宋"/>
          <w:color w:val="auto"/>
          <w:sz w:val="24"/>
          <w:szCs w:val="24"/>
          <w:highlight w:val="none"/>
        </w:rPr>
        <w:t>亿元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嵊州市（全区域）</w:t>
      </w:r>
      <w:r>
        <w:rPr>
          <w:rFonts w:hint="eastAsia" w:ascii="仿宋" w:hAnsi="仿宋" w:eastAsia="仿宋" w:cs="仿宋"/>
          <w:color w:val="auto"/>
          <w:sz w:val="24"/>
          <w:szCs w:val="24"/>
          <w:highlight w:val="none"/>
          <w:lang w:val="en-US" w:eastAsia="zh-CN"/>
        </w:rPr>
        <w:t>的给排水管道、设施及道路工程（含应急抢修、维修工程）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具体以实际发生的工程量为准。</w:t>
      </w:r>
    </w:p>
    <w:p w14:paraId="71D16D4D">
      <w:pPr>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2、保险责任</w:t>
      </w:r>
    </w:p>
    <w:p w14:paraId="6B3E1D7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.1保险金额</w:t>
      </w:r>
    </w:p>
    <w:p w14:paraId="7D243E17">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（1）物质损失部分：每单保额不低于3000万元，临近保险合同有效期可根据实际情况调整。</w:t>
      </w:r>
    </w:p>
    <w:p w14:paraId="579AFE0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（2）第三者部分：每单累计1000万（财产500万，人伤500万），每次300万（财产50万，人伤250万），每人每次120万。</w:t>
      </w:r>
    </w:p>
    <w:p w14:paraId="4276250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.2免赔设置</w:t>
      </w:r>
    </w:p>
    <w:p w14:paraId="52D9EEF2">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（1）物质损失部分</w:t>
      </w:r>
    </w:p>
    <w:p w14:paraId="1BD78C0B">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①地震、海啸、洪水、暴风、暴雨、台风：每次事故绝对免赔为5万元或者损失金额的10％，两者以高者为准；</w:t>
      </w:r>
    </w:p>
    <w:p w14:paraId="5B19B532">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②一般事故免赔：每次事故绝对免赔为1万元或者损失金额的10％，两者以高者为准；</w:t>
      </w:r>
    </w:p>
    <w:p w14:paraId="55B7E24B">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③其他自然灾害：每次事故绝对免赔为1万元或者损失金额的10％，两者以高者为准。</w:t>
      </w:r>
    </w:p>
    <w:p w14:paraId="20B168E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第三者部分</w:t>
      </w:r>
    </w:p>
    <w:p w14:paraId="60716947">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①财产损失：每次事故绝对免赔额1000元或者损失金额的5％，两者以高者为准；</w:t>
      </w:r>
    </w:p>
    <w:p w14:paraId="5D7D117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②人身伤亡：无免赔</w:t>
      </w:r>
    </w:p>
    <w:p w14:paraId="6DE6CD73">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B、</w:t>
      </w:r>
      <w:r>
        <w:rPr>
          <w:rFonts w:hint="eastAsia" w:ascii="仿宋" w:hAnsi="仿宋" w:eastAsia="仿宋" w:cs="仿宋"/>
          <w:b/>
          <w:bCs/>
          <w:color w:val="auto"/>
          <w:highlight w:val="none"/>
          <w:lang w:val="en-US" w:eastAsia="zh-CN"/>
        </w:rPr>
        <w:t>建筑施工人员意外险</w:t>
      </w:r>
    </w:p>
    <w:p w14:paraId="14727AA2">
      <w:pPr>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1、保险标的：</w:t>
      </w:r>
    </w:p>
    <w:p w14:paraId="130BCB87">
      <w:pPr>
        <w:snapToGrid w:val="0"/>
        <w:spacing w:line="360" w:lineRule="auto"/>
        <w:ind w:firstLine="480" w:firstLineChars="200"/>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年度</w:t>
      </w:r>
      <w:r>
        <w:rPr>
          <w:rFonts w:hint="eastAsia" w:ascii="仿宋" w:hAnsi="仿宋" w:eastAsia="仿宋" w:cs="仿宋"/>
          <w:color w:val="auto"/>
          <w:sz w:val="24"/>
          <w:szCs w:val="24"/>
          <w:highlight w:val="none"/>
          <w:lang w:val="en-US" w:eastAsia="zh-CN"/>
        </w:rPr>
        <w:t>由集团下属公司嵊州市水联管道承装有限公司实施的工程量约4.6</w:t>
      </w:r>
      <w:r>
        <w:rPr>
          <w:rFonts w:hint="eastAsia" w:ascii="仿宋" w:hAnsi="仿宋" w:eastAsia="仿宋" w:cs="仿宋"/>
          <w:color w:val="auto"/>
          <w:sz w:val="24"/>
          <w:szCs w:val="24"/>
          <w:highlight w:val="none"/>
        </w:rPr>
        <w:t>亿元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嵊州市（全区域）</w:t>
      </w:r>
      <w:r>
        <w:rPr>
          <w:rFonts w:hint="eastAsia" w:ascii="仿宋" w:hAnsi="仿宋" w:eastAsia="仿宋" w:cs="仿宋"/>
          <w:color w:val="auto"/>
          <w:sz w:val="24"/>
          <w:szCs w:val="24"/>
          <w:highlight w:val="none"/>
          <w:lang w:val="en-US" w:eastAsia="zh-CN"/>
        </w:rPr>
        <w:t>的给排水管道、设施及道路工程（含应急抢修、维修工程）、猝死、中暑中的作业人员，具体以实际发生的数量为准。</w:t>
      </w:r>
    </w:p>
    <w:p w14:paraId="2803684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2、保险责任</w:t>
      </w:r>
    </w:p>
    <w:p w14:paraId="6D93ED6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2.1保险金额及免赔设置</w:t>
      </w:r>
    </w:p>
    <w:p w14:paraId="6BF614D7">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（1）每人死亡伤残：120万</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szCs w:val="24"/>
          <w:highlight w:val="none"/>
        </w:rPr>
        <w:t>；</w:t>
      </w:r>
    </w:p>
    <w:p w14:paraId="7865485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（2）每人意外医疗：5万</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szCs w:val="24"/>
          <w:highlight w:val="none"/>
        </w:rPr>
        <w:t>（扣除200元免赔后85％赔付）；</w:t>
      </w:r>
    </w:p>
    <w:p w14:paraId="63A6937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（3）每人住院补贴：</w:t>
      </w:r>
      <w:r>
        <w:rPr>
          <w:rFonts w:hint="eastAsia" w:ascii="仿宋" w:hAnsi="仿宋" w:eastAsia="仿宋" w:cs="仿宋"/>
          <w:color w:val="auto"/>
          <w:sz w:val="24"/>
          <w:szCs w:val="24"/>
          <w:highlight w:val="none"/>
          <w:lang w:val="en-US" w:eastAsia="zh-CN"/>
        </w:rPr>
        <w:t>3.6</w:t>
      </w:r>
      <w:r>
        <w:rPr>
          <w:rFonts w:hint="eastAsia" w:ascii="仿宋" w:hAnsi="仿宋" w:eastAsia="仿宋" w:cs="仿宋"/>
          <w:color w:val="auto"/>
          <w:sz w:val="24"/>
          <w:szCs w:val="24"/>
          <w:highlight w:val="none"/>
        </w:rPr>
        <w:t>万</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200</w:t>
      </w:r>
      <w:r>
        <w:rPr>
          <w:rFonts w:hint="eastAsia" w:ascii="仿宋" w:hAnsi="仿宋" w:eastAsia="仿宋" w:cs="仿宋"/>
          <w:color w:val="auto"/>
          <w:sz w:val="24"/>
          <w:szCs w:val="24"/>
          <w:highlight w:val="none"/>
        </w:rPr>
        <w:t>元／天，免赔3天）。</w:t>
      </w:r>
    </w:p>
    <w:p w14:paraId="29A4C74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2.2附加说明</w:t>
      </w:r>
    </w:p>
    <w:p w14:paraId="1F5B77B2">
      <w:pPr>
        <w:snapToGrid w:val="0"/>
        <w:spacing w:line="360" w:lineRule="auto"/>
        <w:ind w:firstLine="480" w:firstLineChars="200"/>
        <w:rPr>
          <w:rFonts w:hint="eastAsia" w:ascii="仿宋" w:hAnsi="仿宋" w:eastAsia="仿宋" w:cs="仿宋"/>
          <w:strike/>
          <w:dstrike w:val="0"/>
          <w:color w:val="auto"/>
          <w:sz w:val="24"/>
          <w:szCs w:val="24"/>
          <w:highlight w:val="none"/>
        </w:rPr>
      </w:pPr>
      <w:r>
        <w:rPr>
          <w:rFonts w:hint="eastAsia" w:ascii="仿宋" w:hAnsi="仿宋" w:eastAsia="仿宋" w:cs="仿宋"/>
          <w:color w:val="auto"/>
          <w:sz w:val="24"/>
          <w:szCs w:val="24"/>
          <w:highlight w:val="none"/>
        </w:rPr>
        <w:t>（1）伤残按10％比例逐级赔付；</w:t>
      </w:r>
    </w:p>
    <w:p w14:paraId="16BE255A">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）意外医疗适用所有医保定点医院；</w:t>
      </w:r>
    </w:p>
    <w:p w14:paraId="4BC226F7">
      <w:pPr>
        <w:snapToGrid w:val="0"/>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）参保人员年龄为16-70周岁。</w:t>
      </w:r>
    </w:p>
    <w:p w14:paraId="6E269AF6">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C、服务要求</w:t>
      </w:r>
    </w:p>
    <w:p w14:paraId="3EF4AF3F">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 w:eastAsia="仿宋"/>
          <w:color w:val="auto"/>
          <w:sz w:val="24"/>
          <w:highlight w:val="none"/>
        </w:rPr>
      </w:pPr>
      <w:r>
        <w:rPr>
          <w:rFonts w:hint="eastAsia" w:ascii="仿宋" w:eastAsia="仿宋"/>
          <w:color w:val="auto"/>
          <w:sz w:val="24"/>
          <w:highlight w:val="none"/>
          <w:lang w:val="en-US" w:eastAsia="zh-CN"/>
        </w:rPr>
        <w:t>1、</w:t>
      </w:r>
      <w:r>
        <w:rPr>
          <w:rFonts w:hint="eastAsia" w:ascii="仿宋" w:eastAsia="仿宋"/>
          <w:color w:val="auto"/>
          <w:sz w:val="24"/>
          <w:highlight w:val="none"/>
        </w:rPr>
        <w:t>中标人应执行24小时接报案制度，接到报案后中标人理赔服务人员应在10分钟内联系报案人，并指导相关处理事项。若需现场查勘，理赔服务人员应在</w:t>
      </w:r>
      <w:r>
        <w:rPr>
          <w:rFonts w:hint="eastAsia" w:ascii="仿宋" w:eastAsia="仿宋"/>
          <w:color w:val="auto"/>
          <w:sz w:val="24"/>
          <w:highlight w:val="none"/>
          <w:lang w:val="en-US" w:eastAsia="zh-CN"/>
        </w:rPr>
        <w:t>30分钟</w:t>
      </w:r>
      <w:r>
        <w:rPr>
          <w:rFonts w:hint="eastAsia" w:ascii="仿宋" w:eastAsia="仿宋"/>
          <w:color w:val="auto"/>
          <w:sz w:val="24"/>
          <w:highlight w:val="none"/>
        </w:rPr>
        <w:t>内到达现场，进行保险事故损失查勘及收取相关资料。</w:t>
      </w:r>
    </w:p>
    <w:p w14:paraId="49B4DF0D">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 w:eastAsia="仿宋"/>
          <w:color w:val="auto"/>
          <w:sz w:val="24"/>
          <w:highlight w:val="none"/>
        </w:rPr>
      </w:pPr>
      <w:r>
        <w:rPr>
          <w:rFonts w:hint="eastAsia" w:ascii="仿宋" w:eastAsia="仿宋"/>
          <w:color w:val="auto"/>
          <w:sz w:val="24"/>
          <w:highlight w:val="none"/>
          <w:lang w:val="en-US" w:eastAsia="zh-CN"/>
        </w:rPr>
        <w:t>2、</w:t>
      </w:r>
      <w:r>
        <w:rPr>
          <w:rFonts w:hint="eastAsia" w:ascii="仿宋" w:eastAsia="仿宋"/>
          <w:color w:val="auto"/>
          <w:sz w:val="24"/>
          <w:highlight w:val="none"/>
        </w:rPr>
        <w:t>发生保险事故后，供应商须根据采购人的要求提供全程上门指导、协助服务。</w:t>
      </w:r>
    </w:p>
    <w:p w14:paraId="2C2B9067">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 w:eastAsia="仿宋"/>
          <w:color w:val="auto"/>
          <w:sz w:val="24"/>
          <w:highlight w:val="none"/>
        </w:rPr>
      </w:pPr>
      <w:r>
        <w:rPr>
          <w:rFonts w:hint="eastAsia" w:ascii="仿宋" w:eastAsia="仿宋"/>
          <w:color w:val="auto"/>
          <w:sz w:val="24"/>
          <w:highlight w:val="none"/>
          <w:lang w:val="en-US" w:eastAsia="zh-CN"/>
        </w:rPr>
        <w:t>3、</w:t>
      </w:r>
      <w:r>
        <w:rPr>
          <w:rFonts w:hint="eastAsia" w:ascii="仿宋" w:eastAsia="仿宋"/>
          <w:color w:val="auto"/>
          <w:sz w:val="24"/>
          <w:highlight w:val="none"/>
        </w:rPr>
        <w:t>在特殊危险情况下，采购人为避免事故发生或减少事故损失，所采取的应急施救合理费用由中标人承担。</w:t>
      </w:r>
    </w:p>
    <w:p w14:paraId="302BAB2B">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default" w:ascii="仿宋" w:hAnsi="仿宋" w:eastAsia="仿宋" w:cs="仿宋"/>
          <w:b/>
          <w:bCs/>
          <w:color w:val="auto"/>
          <w:sz w:val="24"/>
          <w:szCs w:val="24"/>
          <w:highlight w:val="none"/>
          <w:lang w:val="en-US" w:eastAsia="zh-CN"/>
        </w:rPr>
      </w:pPr>
      <w:r>
        <w:rPr>
          <w:rFonts w:hint="eastAsia" w:ascii="仿宋" w:eastAsia="仿宋"/>
          <w:color w:val="auto"/>
          <w:sz w:val="24"/>
          <w:highlight w:val="none"/>
          <w:lang w:val="en-US" w:eastAsia="zh-CN"/>
        </w:rPr>
        <w:t>4、</w:t>
      </w:r>
      <w:r>
        <w:rPr>
          <w:rFonts w:hint="eastAsia" w:ascii="仿宋" w:eastAsia="仿宋"/>
          <w:color w:val="auto"/>
          <w:sz w:val="24"/>
          <w:highlight w:val="none"/>
        </w:rPr>
        <w:t>在签订保险合同时，成交供应商不得以任何形式加重采购人的负担或者减轻自己的义务。</w:t>
      </w:r>
    </w:p>
    <w:p w14:paraId="7023ECB6">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车辆保险</w:t>
      </w:r>
    </w:p>
    <w:p w14:paraId="3AFBFFD4">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1、保险标的：</w:t>
      </w:r>
    </w:p>
    <w:tbl>
      <w:tblPr>
        <w:tblStyle w:val="34"/>
        <w:tblW w:w="824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2"/>
        <w:gridCol w:w="1718"/>
        <w:gridCol w:w="2730"/>
        <w:gridCol w:w="2920"/>
      </w:tblGrid>
      <w:tr w14:paraId="488FD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5016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D514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车辆牌照</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1DA2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车辆类型</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9E7D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现权属单位</w:t>
            </w:r>
          </w:p>
        </w:tc>
      </w:tr>
      <w:tr w14:paraId="17ADE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2C54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98A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浙D1N0R0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9924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小型普通客车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8509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水务集团</w:t>
            </w:r>
          </w:p>
        </w:tc>
      </w:tr>
      <w:tr w14:paraId="3E678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25C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F29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浙D8P76J</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040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小型普通客车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3B2A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水投集团</w:t>
            </w:r>
          </w:p>
        </w:tc>
      </w:tr>
      <w:tr w14:paraId="75EA9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803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C91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浙D5X69T</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C7D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9B7C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水投集团（水务事业部）</w:t>
            </w:r>
          </w:p>
        </w:tc>
      </w:tr>
      <w:tr w14:paraId="00112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C90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044D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浙D9P35A</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43D1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轻型箱式货车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2354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水投集团（水务事业部）</w:t>
            </w:r>
          </w:p>
        </w:tc>
      </w:tr>
      <w:tr w14:paraId="73FBC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A244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F1EE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浙D8F9B1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CF4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轻型普通货车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DEF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水务集团（工程部）</w:t>
            </w:r>
          </w:p>
        </w:tc>
      </w:tr>
      <w:tr w14:paraId="6A700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4FC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B889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浙D5F8X1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988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轻型普通货车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A22E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水务集团（工程部）</w:t>
            </w:r>
          </w:p>
        </w:tc>
      </w:tr>
      <w:tr w14:paraId="0340D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140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2A7E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浙D8B2H7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0A8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轻型普通货车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645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水务集团（工程部）</w:t>
            </w:r>
          </w:p>
        </w:tc>
      </w:tr>
      <w:tr w14:paraId="72C89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29BE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322C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浙D2N61A</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A79E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A146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城市水务.高铁</w:t>
            </w:r>
          </w:p>
        </w:tc>
      </w:tr>
      <w:tr w14:paraId="6964F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5CE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C38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浙D2Z02V</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1E2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266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剡溪污水</w:t>
            </w:r>
          </w:p>
        </w:tc>
      </w:tr>
      <w:tr w14:paraId="5FBDB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24EB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684E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浙D0N13G</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7FE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1F9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城市水务.剡城</w:t>
            </w:r>
          </w:p>
        </w:tc>
      </w:tr>
      <w:tr w14:paraId="571B2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35E8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22DC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浙D1H25T</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F98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2F62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城市水务.剡城</w:t>
            </w:r>
          </w:p>
        </w:tc>
      </w:tr>
      <w:tr w14:paraId="48E7C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1203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FED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浙D1K16C</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2A71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09B4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城市水务.浦口</w:t>
            </w:r>
          </w:p>
        </w:tc>
      </w:tr>
      <w:tr w14:paraId="5B868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138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7332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浙D2P23Q</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CC7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1241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城市水务.浦口</w:t>
            </w:r>
          </w:p>
        </w:tc>
      </w:tr>
      <w:tr w14:paraId="775E9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5BC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21E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浙D1M38G</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0724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8E0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城市水务</w:t>
            </w:r>
          </w:p>
        </w:tc>
      </w:tr>
      <w:tr w14:paraId="5B4A1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D337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9AB1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浙DJ330Z</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DCD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轻型栏板货车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3DD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w:t>
            </w:r>
          </w:p>
        </w:tc>
      </w:tr>
      <w:tr w14:paraId="255ED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4776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3304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浙D668E3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9960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9F7A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w:t>
            </w:r>
          </w:p>
        </w:tc>
      </w:tr>
      <w:tr w14:paraId="337CA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2DA6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E411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浙D6G5Y6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C37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轻型普通货车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C9FF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剡溪水务.甘霖</w:t>
            </w:r>
          </w:p>
        </w:tc>
      </w:tr>
      <w:tr w14:paraId="1C99D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FDB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354C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浙D7F9F9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49E8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轻型普通货车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8C11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剡溪水务.甘霖</w:t>
            </w:r>
          </w:p>
        </w:tc>
      </w:tr>
      <w:tr w14:paraId="0C49F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226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A754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浙D9D9A6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0BCB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轻型普通货车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B681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剡溪水务.崇仁</w:t>
            </w:r>
          </w:p>
        </w:tc>
      </w:tr>
      <w:tr w14:paraId="7BE9B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AA05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F5DF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浙D311F1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00B6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152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剡溪水务.崇仁</w:t>
            </w:r>
          </w:p>
        </w:tc>
      </w:tr>
      <w:tr w14:paraId="499B3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FE0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029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浙D6G6P9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286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轻型普通货车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387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剡溪水务.黄泽</w:t>
            </w:r>
          </w:p>
        </w:tc>
      </w:tr>
      <w:tr w14:paraId="38D48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5E7C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7C12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浙D6F3D0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1F8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轻型栏板货车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9A7A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剡溪水务.黄泽</w:t>
            </w:r>
          </w:p>
        </w:tc>
      </w:tr>
      <w:tr w14:paraId="537EC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2B21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54A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浙D088F1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1BE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4929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剡溪水务.三界</w:t>
            </w:r>
          </w:p>
        </w:tc>
      </w:tr>
      <w:tr w14:paraId="35412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9A5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9D71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浙D002G3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AE99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FA6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剡溪水务.三界</w:t>
            </w:r>
          </w:p>
        </w:tc>
      </w:tr>
      <w:tr w14:paraId="1A5D7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8088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E348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浙D233G6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2BAC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D6A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剡溪水务.长乐</w:t>
            </w:r>
          </w:p>
        </w:tc>
      </w:tr>
      <w:tr w14:paraId="7FCF8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3B0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861D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浙D878P1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064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轻型普通货车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59F6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剡溪水务.长乐</w:t>
            </w:r>
          </w:p>
        </w:tc>
      </w:tr>
      <w:tr w14:paraId="66592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19A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764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浙D9E3J5</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11C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轻型普通货车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112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城乡制水</w:t>
            </w:r>
          </w:p>
        </w:tc>
      </w:tr>
      <w:tr w14:paraId="6CB9C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4C73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75DD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浙D0E53M</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2E6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小型普通客车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1AF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城乡制水</w:t>
            </w:r>
          </w:p>
        </w:tc>
      </w:tr>
      <w:tr w14:paraId="2B0B7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CE2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4B2A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浙D0Q69R</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138C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轻型箱式货车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AFAF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城乡制水</w:t>
            </w:r>
          </w:p>
        </w:tc>
      </w:tr>
      <w:tr w14:paraId="6B363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9D9C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276F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浙D5K31L</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FD0B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BCC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城乡制水（第三水厂）</w:t>
            </w:r>
          </w:p>
        </w:tc>
      </w:tr>
      <w:tr w14:paraId="49DDE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8C3C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DED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浙DH1X89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64EA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小型普通客车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D898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承装</w:t>
            </w:r>
          </w:p>
        </w:tc>
      </w:tr>
      <w:tr w14:paraId="78CBA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C668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9A00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浙DH1X65</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922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小型普通客车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5C8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承装</w:t>
            </w:r>
          </w:p>
        </w:tc>
      </w:tr>
      <w:tr w14:paraId="61895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745D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8C6A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浙D5P7K9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AD20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0377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水贸</w:t>
            </w:r>
          </w:p>
        </w:tc>
      </w:tr>
      <w:tr w14:paraId="64BDB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EFF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560C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浙D0E06K</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2D0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F43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水联污泥</w:t>
            </w:r>
          </w:p>
        </w:tc>
      </w:tr>
      <w:tr w14:paraId="0E4C6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CA0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C9EE">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浙D9Q86X</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6D6C">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轻型非载货专项作业车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1E6B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城市水务</w:t>
            </w:r>
          </w:p>
        </w:tc>
      </w:tr>
      <w:tr w14:paraId="5E36E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4B04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499C5">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浙D0N30Q</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B6EC">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轻型非载货专项作业车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72C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城市水务</w:t>
            </w:r>
          </w:p>
        </w:tc>
      </w:tr>
      <w:tr w14:paraId="204E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087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DD0DA">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浙D1Z5U1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E572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BF2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城市水务</w:t>
            </w:r>
          </w:p>
        </w:tc>
      </w:tr>
    </w:tbl>
    <w:p w14:paraId="58313F0A">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2、保险责任：</w:t>
      </w:r>
      <w:r>
        <w:rPr>
          <w:rFonts w:hint="eastAsia" w:ascii="仿宋" w:hAnsi="仿宋" w:eastAsia="仿宋" w:cs="仿宋"/>
          <w:color w:val="auto"/>
          <w:sz w:val="24"/>
          <w:szCs w:val="24"/>
          <w:highlight w:val="none"/>
        </w:rPr>
        <w:t>交</w:t>
      </w:r>
      <w:r>
        <w:rPr>
          <w:rFonts w:hint="eastAsia" w:ascii="仿宋" w:hAnsi="仿宋" w:eastAsia="仿宋" w:cs="仿宋"/>
          <w:color w:val="auto"/>
          <w:sz w:val="24"/>
          <w:szCs w:val="24"/>
          <w:highlight w:val="none"/>
          <w:lang w:val="en-US" w:eastAsia="zh-CN"/>
        </w:rPr>
        <w:t>通事故责任强制</w:t>
      </w:r>
      <w:r>
        <w:rPr>
          <w:rFonts w:hint="eastAsia" w:ascii="仿宋" w:hAnsi="仿宋" w:eastAsia="仿宋" w:cs="仿宋"/>
          <w:color w:val="auto"/>
          <w:sz w:val="24"/>
          <w:szCs w:val="24"/>
          <w:highlight w:val="none"/>
        </w:rPr>
        <w:t>险、商业险（车损险、第三者</w:t>
      </w:r>
      <w:r>
        <w:rPr>
          <w:rFonts w:hint="eastAsia" w:ascii="仿宋" w:hAnsi="仿宋" w:eastAsia="仿宋" w:cs="仿宋"/>
          <w:color w:val="auto"/>
          <w:sz w:val="24"/>
          <w:szCs w:val="24"/>
          <w:highlight w:val="none"/>
          <w:lang w:val="en-US" w:eastAsia="zh-CN"/>
        </w:rPr>
        <w:t>责任险</w:t>
      </w:r>
      <w:r>
        <w:rPr>
          <w:rFonts w:hint="eastAsia" w:ascii="仿宋" w:hAnsi="仿宋" w:eastAsia="仿宋" w:cs="仿宋"/>
          <w:color w:val="auto"/>
          <w:sz w:val="24"/>
          <w:szCs w:val="24"/>
          <w:highlight w:val="none"/>
        </w:rPr>
        <w:t>保额300万，车上人员</w:t>
      </w:r>
      <w:r>
        <w:rPr>
          <w:rFonts w:hint="eastAsia" w:ascii="仿宋" w:hAnsi="仿宋" w:eastAsia="仿宋" w:cs="仿宋"/>
          <w:color w:val="auto"/>
          <w:sz w:val="24"/>
          <w:szCs w:val="24"/>
          <w:highlight w:val="none"/>
          <w:lang w:val="en-US" w:eastAsia="zh-CN"/>
        </w:rPr>
        <w:t>座位险</w:t>
      </w:r>
      <w:r>
        <w:rPr>
          <w:rFonts w:hint="eastAsia" w:ascii="仿宋" w:hAnsi="仿宋" w:eastAsia="仿宋" w:cs="仿宋"/>
          <w:color w:val="auto"/>
          <w:sz w:val="24"/>
          <w:szCs w:val="24"/>
          <w:highlight w:val="none"/>
        </w:rPr>
        <w:t>5万/人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车上人员意外险80万/人</w:t>
      </w:r>
      <w:r>
        <w:rPr>
          <w:rFonts w:hint="eastAsia" w:ascii="仿宋" w:hAnsi="仿宋" w:eastAsia="仿宋" w:cs="仿宋"/>
          <w:color w:val="auto"/>
          <w:sz w:val="24"/>
          <w:szCs w:val="24"/>
          <w:highlight w:val="none"/>
        </w:rPr>
        <w:t>）</w:t>
      </w:r>
    </w:p>
    <w:p w14:paraId="24C8AD50">
      <w:pPr>
        <w:numPr>
          <w:ilvl w:val="0"/>
          <w:numId w:val="0"/>
        </w:numPr>
        <w:spacing w:line="360" w:lineRule="auto"/>
        <w:ind w:left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3、服务要求：</w:t>
      </w:r>
    </w:p>
    <w:p w14:paraId="3F7C52BB">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3.1投标人应设有24小时全天报案服务电话，并设专人受理报案、接待、理赔。</w:t>
      </w:r>
    </w:p>
    <w:p w14:paraId="3F1A85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3.2中标人在接到投保人的出险报案后,市区范围内的理赔人员应于30分钟内,市郊1小时内赶到现场。超过该时限,视为保险公司已到达现场,事故车可自行移位,以被保险人留存的现场资料及处理事故的相关材料为依据进行全额赔付。投保车辆出险后,中标人须根据投保人的要求提供全程上门服务:包括到全国各地帮助理赔及参与交警及法院调解处理相关费用由中标方负责。</w:t>
      </w:r>
    </w:p>
    <w:p w14:paraId="35F869B0">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3.3.发生交通事故，采购人如有需预付赔款、医药费等，中标方必须及时预付。</w:t>
      </w:r>
    </w:p>
    <w:p w14:paraId="784C9D68">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3.4.赔款时限：20000元以下1个工作日内；20000-100000元3个工作日内；100000元以上10个工作日内。</w:t>
      </w:r>
    </w:p>
    <w:p w14:paraId="3523B4BB">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3.5.对发生保险事故的车辆，在嵊州市范围实行免费拖车施救。</w:t>
      </w:r>
    </w:p>
    <w:p w14:paraId="6E4C329D">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3.6.投标人不得限制采购人要求的出险次数。对承保车辆不得加扣多次事故免赔率。</w:t>
      </w:r>
    </w:p>
    <w:p w14:paraId="1E1FF143">
      <w:pPr>
        <w:spacing w:line="360" w:lineRule="auto"/>
        <w:ind w:firstLine="480"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3.7后续治疗费用的赔偿：在伤者没有痊愈的状况下进行结案时，按照总医疗费的一定比例向伤者支付后续治疗费用，该比例不得低于已发生医疗费用的30%。</w:t>
      </w:r>
    </w:p>
    <w:p w14:paraId="1E884562">
      <w:pPr>
        <w:pStyle w:val="18"/>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第三条</w:t>
      </w:r>
      <w:r>
        <w:rPr>
          <w:rFonts w:hint="eastAsia" w:ascii="仿宋" w:hAnsi="仿宋" w:eastAsia="仿宋" w:cs="仿宋"/>
          <w:b/>
          <w:bCs/>
          <w:color w:val="auto"/>
          <w:sz w:val="24"/>
          <w:szCs w:val="24"/>
          <w:highlight w:val="none"/>
          <w:lang w:val="en-US" w:eastAsia="zh-CN"/>
        </w:rPr>
        <w:t xml:space="preserve"> 服务期限</w:t>
      </w:r>
    </w:p>
    <w:p w14:paraId="48D458CF">
      <w:pPr>
        <w:pStyle w:val="18"/>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b w:val="0"/>
          <w:bCs w:val="0"/>
          <w:i w:val="0"/>
          <w:iCs w:val="0"/>
          <w:color w:val="auto"/>
          <w:kern w:val="2"/>
          <w:sz w:val="24"/>
          <w:szCs w:val="20"/>
          <w:highlight w:val="none"/>
          <w:vertAlign w:val="baseline"/>
          <w:lang w:val="en-US" w:eastAsia="zh-CN" w:bidi="ar-SA"/>
        </w:rPr>
        <w:t>服务期限2年（双方签订合同之日起算），具体单个保险合同与财产所属单位签订，并签发保单。</w:t>
      </w:r>
    </w:p>
    <w:p w14:paraId="3ECA35ED">
      <w:pPr>
        <w:pStyle w:val="18"/>
        <w:keepNext w:val="0"/>
        <w:keepLines w:val="0"/>
        <w:pageBreakBefore w:val="0"/>
        <w:widowControl w:val="0"/>
        <w:numPr>
          <w:ilvl w:val="0"/>
          <w:numId w:val="9"/>
        </w:numPr>
        <w:kinsoku/>
        <w:wordWrap/>
        <w:overflowPunct/>
        <w:topLinePunct w:val="0"/>
        <w:autoSpaceDE/>
        <w:autoSpaceDN/>
        <w:bidi w:val="0"/>
        <w:adjustRightInd/>
        <w:snapToGrid w:val="0"/>
        <w:spacing w:line="46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付款方式</w:t>
      </w:r>
      <w:r>
        <w:rPr>
          <w:rFonts w:hint="eastAsia" w:ascii="仿宋" w:hAnsi="仿宋" w:eastAsia="仿宋" w:cs="仿宋"/>
          <w:b/>
          <w:bCs/>
          <w:color w:val="auto"/>
          <w:sz w:val="24"/>
          <w:szCs w:val="24"/>
          <w:highlight w:val="none"/>
          <w:lang w:val="en-US" w:eastAsia="zh-CN"/>
        </w:rPr>
        <w:t>及结算方式</w:t>
      </w:r>
    </w:p>
    <w:p w14:paraId="3147F2CA">
      <w:pPr>
        <w:pStyle w:val="18"/>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b w:val="0"/>
          <w:bCs w:val="0"/>
          <w:i w:val="0"/>
          <w:iCs w:val="0"/>
          <w:color w:val="auto"/>
          <w:kern w:val="2"/>
          <w:sz w:val="24"/>
          <w:szCs w:val="20"/>
          <w:highlight w:val="none"/>
          <w:vertAlign w:val="baseline"/>
          <w:lang w:val="en-US" w:eastAsia="zh-CN" w:bidi="ar-SA"/>
        </w:rPr>
        <w:t>服务期内，保险分批次投保（具体单个保险合同与财产所属单位签订），乙方在收到财产所属单位提供需投保的固定资产及车辆、雇员名单等清单后，当天出具保单、发票，保单生效后，甲方应及时付清该批次保费。</w:t>
      </w:r>
    </w:p>
    <w:p w14:paraId="7B3BAE12">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合同期内财产综合险、</w:t>
      </w:r>
      <w:r>
        <w:rPr>
          <w:rFonts w:hint="eastAsia" w:ascii="仿宋" w:hAnsi="仿宋" w:eastAsia="仿宋" w:cs="仿宋"/>
          <w:color w:val="auto"/>
          <w:highlight w:val="none"/>
          <w:lang w:val="en-US" w:eastAsia="zh-CN"/>
        </w:rPr>
        <w:t>公</w:t>
      </w:r>
      <w:r>
        <w:rPr>
          <w:rFonts w:hint="eastAsia" w:ascii="仿宋" w:hAnsi="仿宋" w:eastAsia="仿宋" w:cs="仿宋"/>
          <w:color w:val="auto"/>
          <w:sz w:val="24"/>
          <w:szCs w:val="24"/>
          <w:highlight w:val="none"/>
          <w:lang w:val="en-US" w:eastAsia="zh-CN"/>
        </w:rPr>
        <w:t>众责任险中的营业场所、工程一切险/建筑施工人员意外险的费率按中标费率，数量按实结算；公众责任险中的管道如有增减，总价不作调整；雇主责任险单价按中标价，人数按实结算</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燃油车辆按中标燃油车辆承保自主折扣系数，如有电动车按浙江省行业监管最低折扣系数执行，数量按实调整。</w:t>
      </w:r>
    </w:p>
    <w:p w14:paraId="451280C7">
      <w:pPr>
        <w:pStyle w:val="18"/>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第五条</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履约保证金</w:t>
      </w:r>
    </w:p>
    <w:p w14:paraId="31F7D846">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履约保证金90000元，中标通知书发出后10个工作日内向采购人递交履约保证金（银行支票、电汇、保函（银行保函）等），履约保证金待服务期满后30日内无息退还。                                        </w:t>
      </w:r>
    </w:p>
    <w:p w14:paraId="4A394084">
      <w:pPr>
        <w:pStyle w:val="18"/>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w:t>
      </w: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条</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税费</w:t>
      </w:r>
    </w:p>
    <w:p w14:paraId="20E39F1B">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本合同执行中相关的一切税费均由乙方负担。</w:t>
      </w:r>
    </w:p>
    <w:p w14:paraId="04CB2E47">
      <w:pPr>
        <w:pStyle w:val="18"/>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w:t>
      </w: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rPr>
        <w:t>条  违约责任</w:t>
      </w:r>
    </w:p>
    <w:p w14:paraId="785C7810">
      <w:pPr>
        <w:keepNext w:val="0"/>
        <w:keepLines w:val="0"/>
        <w:pageBreakBefore w:val="0"/>
        <w:widowControl w:val="0"/>
        <w:kinsoku/>
        <w:wordWrap/>
        <w:overflowPunct/>
        <w:topLinePunct w:val="0"/>
        <w:autoSpaceDE/>
        <w:autoSpaceDN/>
        <w:bidi w:val="0"/>
        <w:adjustRightInd/>
        <w:spacing w:line="44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rPr>
        <w:t>乙方有违约情形的，甲方有权从履约保证金中取得补偿。补偿额为因乙方未履约相关合条款而造成的相关经济损失。</w:t>
      </w:r>
    </w:p>
    <w:p w14:paraId="042DEF01">
      <w:pPr>
        <w:keepNext w:val="0"/>
        <w:keepLines w:val="0"/>
        <w:pageBreakBefore w:val="0"/>
        <w:widowControl w:val="0"/>
        <w:kinsoku/>
        <w:wordWrap/>
        <w:overflowPunct/>
        <w:topLinePunct w:val="0"/>
        <w:autoSpaceDE/>
        <w:autoSpaceDN/>
        <w:bidi w:val="0"/>
        <w:adjustRightInd/>
        <w:spacing w:line="44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乙方有违约情形的，且情节严重，造成公司经济损失额5万以上的，甲方有权终止合同。</w:t>
      </w:r>
    </w:p>
    <w:p w14:paraId="77A3DF0B">
      <w:pPr>
        <w:keepNext w:val="0"/>
        <w:keepLines w:val="0"/>
        <w:pageBreakBefore w:val="0"/>
        <w:widowControl w:val="0"/>
        <w:kinsoku/>
        <w:wordWrap/>
        <w:overflowPunct/>
        <w:topLinePunct w:val="0"/>
        <w:autoSpaceDE/>
        <w:autoSpaceDN/>
        <w:bidi w:val="0"/>
        <w:adjustRightInd/>
        <w:spacing w:line="44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在保险有效期内，乙方有服务不到位情形被甲方下属公司及工作人员投诉的，甲方进行调查核实，向乙方进行通报。经甲方三次通报仍无效的，甲方有权终止合同。</w:t>
      </w:r>
    </w:p>
    <w:p w14:paraId="29241822">
      <w:pPr>
        <w:keepNext w:val="0"/>
        <w:keepLines w:val="0"/>
        <w:pageBreakBefore w:val="0"/>
        <w:widowControl w:val="0"/>
        <w:kinsoku/>
        <w:wordWrap/>
        <w:overflowPunct/>
        <w:topLinePunct w:val="0"/>
        <w:autoSpaceDE/>
        <w:autoSpaceDN/>
        <w:bidi w:val="0"/>
        <w:adjustRightInd/>
        <w:spacing w:line="440" w:lineRule="exact"/>
        <w:ind w:left="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发生上述</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3两种情形的，三年内乙方不得参与甲方保险</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招投标。甲方选择终止合同的，乙方必须将剩余部分保险费在合同解除后五日内退还甲方。</w:t>
      </w:r>
    </w:p>
    <w:p w14:paraId="08D06632">
      <w:pPr>
        <w:keepNext w:val="0"/>
        <w:keepLines w:val="0"/>
        <w:pageBreakBefore w:val="0"/>
        <w:widowControl w:val="0"/>
        <w:kinsoku/>
        <w:wordWrap/>
        <w:overflowPunct/>
        <w:topLinePunct w:val="0"/>
        <w:autoSpaceDE/>
        <w:autoSpaceDN/>
        <w:bidi w:val="0"/>
        <w:adjustRightInd/>
        <w:spacing w:line="44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如乙方未能按合同要求提供服务给甲方造成恶劣影响和损失时，甲方有权终止</w:t>
      </w:r>
      <w:r>
        <w:rPr>
          <w:rFonts w:hint="eastAsia" w:ascii="仿宋" w:hAnsi="仿宋" w:eastAsia="仿宋" w:cs="仿宋"/>
          <w:color w:val="auto"/>
          <w:sz w:val="24"/>
          <w:szCs w:val="24"/>
          <w:highlight w:val="none"/>
          <w:lang w:val="en-US" w:eastAsia="zh-CN"/>
        </w:rPr>
        <w:t>合同</w:t>
      </w:r>
      <w:r>
        <w:rPr>
          <w:rFonts w:hint="eastAsia" w:ascii="仿宋" w:hAnsi="仿宋" w:eastAsia="仿宋" w:cs="仿宋"/>
          <w:color w:val="auto"/>
          <w:sz w:val="24"/>
          <w:szCs w:val="24"/>
          <w:highlight w:val="none"/>
          <w:lang w:eastAsia="zh-CN"/>
        </w:rPr>
        <w:t>，扣除全部履约保证金，并还可要求乙方赔偿由此造成的一切损失。</w:t>
      </w:r>
    </w:p>
    <w:p w14:paraId="4D9B0182">
      <w:pPr>
        <w:pStyle w:val="18"/>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w:t>
      </w: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rPr>
        <w:t>条</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不可抗力事件处理</w:t>
      </w:r>
    </w:p>
    <w:p w14:paraId="2E93B4C5">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1、在合同有效期内，任何一方因不可抗力事件导致不能履行合同，不视为违约，且合同履行期可延长，其延长期与不可抗力影响期相同。</w:t>
      </w:r>
    </w:p>
    <w:p w14:paraId="61EBD52D">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2、不可抗力事件发生后，应立即通知对方，并寄送有关权威机构出具的证明。</w:t>
      </w:r>
    </w:p>
    <w:p w14:paraId="34978CFB">
      <w:pPr>
        <w:pStyle w:val="18"/>
        <w:keepNext w:val="0"/>
        <w:keepLines w:val="0"/>
        <w:pageBreakBefore w:val="0"/>
        <w:widowControl w:val="0"/>
        <w:kinsoku/>
        <w:wordWrap/>
        <w:overflowPunct/>
        <w:topLinePunct w:val="0"/>
        <w:autoSpaceDE/>
        <w:autoSpaceDN/>
        <w:bidi w:val="0"/>
        <w:adjustRightInd/>
        <w:snapToGrid w:val="0"/>
        <w:spacing w:line="440" w:lineRule="exact"/>
        <w:ind w:firstLine="456" w:firstLineChars="20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3、不可抗力事件延续120天以上，双方应通过友好协商，确定是否继续履行合同。</w:t>
      </w:r>
    </w:p>
    <w:p w14:paraId="3BADFF2F">
      <w:pPr>
        <w:pStyle w:val="18"/>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w:t>
      </w:r>
      <w:r>
        <w:rPr>
          <w:rFonts w:hint="eastAsia" w:ascii="仿宋" w:hAnsi="仿宋" w:eastAsia="仿宋" w:cs="仿宋"/>
          <w:b/>
          <w:bCs/>
          <w:color w:val="auto"/>
          <w:sz w:val="24"/>
          <w:szCs w:val="24"/>
          <w:highlight w:val="none"/>
          <w:lang w:val="en-US" w:eastAsia="zh-CN"/>
        </w:rPr>
        <w:t xml:space="preserve">九条 </w:t>
      </w:r>
      <w:r>
        <w:rPr>
          <w:rFonts w:hint="eastAsia" w:ascii="仿宋" w:hAnsi="仿宋" w:eastAsia="仿宋" w:cs="仿宋"/>
          <w:b/>
          <w:bCs/>
          <w:color w:val="auto"/>
          <w:sz w:val="24"/>
          <w:szCs w:val="24"/>
          <w:highlight w:val="none"/>
        </w:rPr>
        <w:t>争议的解决</w:t>
      </w:r>
    </w:p>
    <w:p w14:paraId="63CC0B6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firstLine="480" w:firstLineChars="200"/>
        <w:jc w:val="both"/>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本合同履行过程中发生的任何争议，双方当事人均可通过和解或者调解解决；不愿和解、调解或者和解、调解不成的，可以选择以下条款规定的方式解决：</w:t>
      </w:r>
    </w:p>
    <w:p w14:paraId="2388103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firstLine="456" w:firstLineChars="200"/>
        <w:jc w:val="both"/>
        <w:textAlignment w:val="auto"/>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1. 将争议提交</w:t>
      </w:r>
      <w:r>
        <w:rPr>
          <w:rFonts w:hint="eastAsia" w:ascii="仿宋" w:hAnsi="仿宋" w:eastAsia="仿宋" w:cs="仿宋"/>
          <w:color w:val="auto"/>
          <w:spacing w:val="-6"/>
          <w:kern w:val="2"/>
          <w:sz w:val="24"/>
          <w:szCs w:val="24"/>
          <w:highlight w:val="none"/>
          <w:u w:val="single"/>
          <w:lang w:val="en-US" w:eastAsia="zh-CN" w:bidi="ar"/>
        </w:rPr>
        <w:t xml:space="preserve"> 项目所在地 </w:t>
      </w:r>
      <w:r>
        <w:rPr>
          <w:rFonts w:hint="eastAsia" w:ascii="仿宋" w:hAnsi="仿宋" w:eastAsia="仿宋" w:cs="仿宋"/>
          <w:color w:val="auto"/>
          <w:spacing w:val="-6"/>
          <w:kern w:val="2"/>
          <w:sz w:val="24"/>
          <w:szCs w:val="24"/>
          <w:highlight w:val="none"/>
          <w:lang w:val="en-US" w:eastAsia="zh-CN" w:bidi="ar"/>
        </w:rPr>
        <w:t>仲裁委员会依申请仲裁时其现行有效的仲裁规则裁决；</w:t>
      </w:r>
    </w:p>
    <w:p w14:paraId="2F80A37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firstLine="480" w:firstLineChars="200"/>
        <w:jc w:val="both"/>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 向</w:t>
      </w:r>
      <w:r>
        <w:rPr>
          <w:rFonts w:hint="eastAsia" w:ascii="仿宋" w:hAnsi="仿宋" w:eastAsia="仿宋" w:cs="仿宋"/>
          <w:color w:val="auto"/>
          <w:kern w:val="2"/>
          <w:sz w:val="24"/>
          <w:szCs w:val="24"/>
          <w:highlight w:val="none"/>
          <w:u w:val="single"/>
          <w:lang w:val="en-US" w:eastAsia="zh-CN" w:bidi="ar"/>
        </w:rPr>
        <w:t xml:space="preserve"> 项目所在地 </w:t>
      </w:r>
      <w:r>
        <w:rPr>
          <w:rFonts w:hint="eastAsia" w:ascii="仿宋" w:hAnsi="仿宋" w:eastAsia="仿宋" w:cs="仿宋"/>
          <w:color w:val="auto"/>
          <w:kern w:val="2"/>
          <w:sz w:val="24"/>
          <w:szCs w:val="24"/>
          <w:highlight w:val="none"/>
          <w:lang w:val="en-US" w:eastAsia="zh-CN" w:bidi="ar"/>
        </w:rPr>
        <w:t>人民法院起诉。</w:t>
      </w:r>
    </w:p>
    <w:p w14:paraId="288D22B9">
      <w:pPr>
        <w:pStyle w:val="18"/>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第十条</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合同生效</w:t>
      </w:r>
    </w:p>
    <w:p w14:paraId="32985EA5">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1、合同经甲方、乙方法定代表人或授权代表签字并加盖单位公章后生效。</w:t>
      </w:r>
    </w:p>
    <w:p w14:paraId="211FF12C">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2、本合同未尽事宜，遵照《中华人民共和国民法典》有关条文执行。</w:t>
      </w:r>
    </w:p>
    <w:p w14:paraId="28B14403">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 本合同一式五份，甲方、乙方各执二份、采购代理机构执一份。          </w:t>
      </w:r>
    </w:p>
    <w:p w14:paraId="2C4E49B6">
      <w:pPr>
        <w:pStyle w:val="18"/>
        <w:pageBreakBefore w:val="0"/>
        <w:kinsoku/>
        <w:wordWrap/>
        <w:overflowPunct/>
        <w:topLinePunct w:val="0"/>
        <w:autoSpaceDE/>
        <w:autoSpaceDN/>
        <w:bidi w:val="0"/>
        <w:adjustRightInd/>
        <w:snapToGrid w:val="0"/>
        <w:spacing w:line="48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甲方（盖章）：                      乙方（盖章）：</w:t>
      </w:r>
    </w:p>
    <w:p w14:paraId="45E00CD9">
      <w:pPr>
        <w:pStyle w:val="18"/>
        <w:pageBreakBefore w:val="0"/>
        <w:kinsoku/>
        <w:wordWrap/>
        <w:overflowPunct/>
        <w:topLinePunct w:val="0"/>
        <w:autoSpaceDE/>
        <w:autoSpaceDN/>
        <w:bidi w:val="0"/>
        <w:adjustRightInd/>
        <w:snapToGrid w:val="0"/>
        <w:spacing w:line="480" w:lineRule="exact"/>
        <w:ind w:leftChars="-1" w:hanging="2"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法定代表人或受委托人                 法定代表人或受委托人</w:t>
      </w:r>
    </w:p>
    <w:p w14:paraId="3DAF8D02">
      <w:pPr>
        <w:pStyle w:val="18"/>
        <w:pageBreakBefore w:val="0"/>
        <w:kinsoku/>
        <w:wordWrap/>
        <w:overflowPunct/>
        <w:topLinePunct w:val="0"/>
        <w:autoSpaceDE/>
        <w:autoSpaceDN/>
        <w:bidi w:val="0"/>
        <w:adjustRightInd/>
        <w:snapToGrid w:val="0"/>
        <w:spacing w:line="480" w:lineRule="exact"/>
        <w:ind w:left="-24" w:leftChars="-85" w:hanging="180" w:hangingChars="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                             （签字）</w:t>
      </w:r>
    </w:p>
    <w:p w14:paraId="569755F5">
      <w:pPr>
        <w:pStyle w:val="18"/>
        <w:pageBreakBefore w:val="0"/>
        <w:kinsoku/>
        <w:wordWrap/>
        <w:overflowPunct/>
        <w:topLinePunct w:val="0"/>
        <w:autoSpaceDE/>
        <w:autoSpaceDN/>
        <w:bidi w:val="0"/>
        <w:adjustRightInd/>
        <w:snapToGrid w:val="0"/>
        <w:spacing w:line="480" w:lineRule="exact"/>
        <w:ind w:leftChars="-1" w:hanging="2"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地址： </w:t>
      </w:r>
    </w:p>
    <w:p w14:paraId="72FAFB21">
      <w:pPr>
        <w:pStyle w:val="18"/>
        <w:pageBreakBefore w:val="0"/>
        <w:kinsoku/>
        <w:wordWrap/>
        <w:overflowPunct/>
        <w:topLinePunct w:val="0"/>
        <w:autoSpaceDE/>
        <w:autoSpaceDN/>
        <w:bidi w:val="0"/>
        <w:adjustRightInd/>
        <w:snapToGrid w:val="0"/>
        <w:spacing w:line="480" w:lineRule="exact"/>
        <w:ind w:leftChars="-1" w:hanging="2"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                               邮编：</w:t>
      </w:r>
    </w:p>
    <w:p w14:paraId="1FE266CF">
      <w:pPr>
        <w:pStyle w:val="18"/>
        <w:pageBreakBefore w:val="0"/>
        <w:kinsoku/>
        <w:wordWrap/>
        <w:overflowPunct/>
        <w:topLinePunct w:val="0"/>
        <w:autoSpaceDE/>
        <w:autoSpaceDN/>
        <w:bidi w:val="0"/>
        <w:adjustRightInd/>
        <w:snapToGrid w:val="0"/>
        <w:spacing w:line="480" w:lineRule="exact"/>
        <w:ind w:leftChars="-1" w:hanging="2"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电话：</w:t>
      </w:r>
    </w:p>
    <w:p w14:paraId="19A78244">
      <w:pPr>
        <w:pStyle w:val="18"/>
        <w:pageBreakBefore w:val="0"/>
        <w:kinsoku/>
        <w:wordWrap/>
        <w:overflowPunct/>
        <w:topLinePunct w:val="0"/>
        <w:autoSpaceDE/>
        <w:autoSpaceDN/>
        <w:bidi w:val="0"/>
        <w:adjustRightInd/>
        <w:snapToGrid w:val="0"/>
        <w:spacing w:line="480" w:lineRule="exact"/>
        <w:ind w:leftChars="-1" w:hanging="2"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                               传真：</w:t>
      </w:r>
    </w:p>
    <w:p w14:paraId="3603BB3C">
      <w:pPr>
        <w:pStyle w:val="18"/>
        <w:pageBreakBefore w:val="0"/>
        <w:kinsoku/>
        <w:wordWrap/>
        <w:overflowPunct/>
        <w:topLinePunct w:val="0"/>
        <w:autoSpaceDE/>
        <w:autoSpaceDN/>
        <w:bidi w:val="0"/>
        <w:adjustRightInd/>
        <w:snapToGrid w:val="0"/>
        <w:spacing w:line="480" w:lineRule="exact"/>
        <w:ind w:leftChars="-1" w:hanging="2"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开户银行：</w:t>
      </w:r>
    </w:p>
    <w:p w14:paraId="60AD856D">
      <w:pPr>
        <w:pageBreakBefore w:val="0"/>
        <w:widowControl/>
        <w:kinsoku/>
        <w:wordWrap/>
        <w:overflowPunct/>
        <w:topLinePunct w:val="0"/>
        <w:autoSpaceDE/>
        <w:autoSpaceDN/>
        <w:bidi w:val="0"/>
        <w:adjustRightInd/>
        <w:snapToGrid w:val="0"/>
        <w:spacing w:line="480" w:lineRule="exac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帐号：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帐号：</w:t>
      </w:r>
    </w:p>
    <w:p w14:paraId="5DB5DA20">
      <w:pPr>
        <w:keepNext w:val="0"/>
        <w:keepLines w:val="0"/>
        <w:widowControl w:val="0"/>
        <w:suppressLineNumbers w:val="0"/>
        <w:adjustRightInd w:val="0"/>
        <w:spacing w:before="0" w:beforeAutospacing="0" w:after="0" w:afterAutospacing="0"/>
        <w:ind w:left="0" w:right="0"/>
        <w:jc w:val="both"/>
        <w:rPr>
          <w:rFonts w:hint="eastAsia" w:ascii="仿宋" w:hAnsi="仿宋" w:eastAsia="仿宋" w:cs="仿宋"/>
          <w:b/>
          <w:bCs/>
          <w:color w:val="auto"/>
          <w:sz w:val="24"/>
          <w:highlight w:val="none"/>
        </w:rPr>
      </w:pPr>
    </w:p>
    <w:p w14:paraId="1589F1D7">
      <w:pPr>
        <w:pStyle w:val="2"/>
        <w:rPr>
          <w:rFonts w:hint="eastAsia" w:ascii="仿宋" w:hAnsi="仿宋" w:eastAsia="仿宋" w:cs="仿宋"/>
          <w:color w:val="auto"/>
          <w:highlight w:val="none"/>
        </w:rPr>
      </w:pPr>
    </w:p>
    <w:p w14:paraId="4C18F4E2">
      <w:pPr>
        <w:keepNext w:val="0"/>
        <w:keepLines w:val="0"/>
        <w:widowControl w:val="0"/>
        <w:suppressLineNumbers w:val="0"/>
        <w:adjustRightInd w:val="0"/>
        <w:spacing w:before="0" w:beforeAutospacing="0" w:after="0" w:afterAutospacing="0"/>
        <w:ind w:left="0" w:right="0"/>
        <w:jc w:val="both"/>
        <w:rPr>
          <w:rFonts w:hint="eastAsia" w:ascii="仿宋" w:hAnsi="仿宋" w:eastAsia="仿宋" w:cs="仿宋"/>
          <w:color w:val="auto"/>
          <w:sz w:val="36"/>
          <w:szCs w:val="36"/>
          <w:highlight w:val="none"/>
          <w:lang w:val="en-US" w:eastAsia="zh-CN"/>
        </w:rPr>
      </w:pPr>
      <w:r>
        <w:rPr>
          <w:rFonts w:hint="eastAsia" w:ascii="仿宋" w:hAnsi="仿宋" w:eastAsia="仿宋" w:cs="仿宋"/>
          <w:b/>
          <w:bCs/>
          <w:color w:val="auto"/>
          <w:sz w:val="24"/>
          <w:highlight w:val="none"/>
        </w:rPr>
        <w:t>注：具体以双方签定的正式合同为准，合同内容不得违背本招标文件实质性要求。</w:t>
      </w:r>
    </w:p>
    <w:p w14:paraId="122B7935">
      <w:pPr>
        <w:pStyle w:val="4"/>
        <w:numPr>
          <w:ilvl w:val="0"/>
          <w:numId w:val="0"/>
        </w:numPr>
        <w:ind w:leftChars="0"/>
        <w:jc w:val="center"/>
        <w:rPr>
          <w:rFonts w:hint="eastAsia" w:ascii="仿宋" w:hAnsi="仿宋" w:eastAsia="仿宋" w:cs="仿宋"/>
          <w:color w:val="auto"/>
          <w:highlight w:val="none"/>
        </w:rPr>
      </w:pPr>
      <w:r>
        <w:rPr>
          <w:rFonts w:hint="eastAsia" w:ascii="仿宋" w:hAnsi="仿宋" w:eastAsia="仿宋" w:cs="仿宋"/>
          <w:color w:val="auto"/>
          <w:sz w:val="36"/>
          <w:szCs w:val="36"/>
          <w:highlight w:val="none"/>
          <w:lang w:val="en-US" w:eastAsia="zh-CN"/>
        </w:rPr>
        <w:t xml:space="preserve">第五部分 </w:t>
      </w:r>
      <w:r>
        <w:rPr>
          <w:rFonts w:hint="eastAsia" w:ascii="仿宋" w:hAnsi="仿宋" w:eastAsia="仿宋" w:cs="仿宋"/>
          <w:color w:val="auto"/>
          <w:sz w:val="36"/>
          <w:szCs w:val="36"/>
          <w:highlight w:val="none"/>
        </w:rPr>
        <w:t>评标办法</w:t>
      </w:r>
    </w:p>
    <w:p w14:paraId="0D735947">
      <w:pPr>
        <w:spacing w:line="440" w:lineRule="exact"/>
        <w:jc w:val="left"/>
        <w:rPr>
          <w:rFonts w:hint="eastAsia" w:ascii="仿宋" w:hAnsi="仿宋" w:eastAsia="仿宋" w:cs="仿宋"/>
          <w:b w:val="0"/>
          <w:i w:val="0"/>
          <w:iCs w:val="0"/>
          <w:color w:val="auto"/>
          <w:kern w:val="0"/>
          <w:sz w:val="24"/>
          <w:szCs w:val="24"/>
          <w:highlight w:val="none"/>
          <w:u w:val="none"/>
          <w:lang w:val="zh-CN" w:eastAsia="zh-CN" w:bidi="ar"/>
        </w:rPr>
      </w:pPr>
      <w:r>
        <w:rPr>
          <w:rFonts w:hint="eastAsia" w:ascii="仿宋" w:hAnsi="仿宋" w:eastAsia="仿宋" w:cs="仿宋"/>
          <w:b w:val="0"/>
          <w:i w:val="0"/>
          <w:iCs w:val="0"/>
          <w:color w:val="auto"/>
          <w:kern w:val="0"/>
          <w:sz w:val="24"/>
          <w:szCs w:val="24"/>
          <w:highlight w:val="none"/>
          <w:u w:val="none"/>
          <w:lang w:val="zh-CN" w:eastAsia="zh-CN" w:bidi="ar"/>
        </w:rPr>
        <w:t>1、评标方法：</w:t>
      </w:r>
    </w:p>
    <w:p w14:paraId="3A51E6B9">
      <w:pPr>
        <w:keepNext w:val="0"/>
        <w:keepLines w:val="0"/>
        <w:pageBreakBefore w:val="0"/>
        <w:widowControl w:val="0"/>
        <w:kinsoku/>
        <w:wordWrap/>
        <w:overflowPunct/>
        <w:topLinePunct w:val="0"/>
        <w:bidi w:val="0"/>
        <w:snapToGrid/>
        <w:spacing w:line="460" w:lineRule="exact"/>
        <w:ind w:firstLine="480" w:firstLineChars="200"/>
        <w:jc w:val="left"/>
        <w:textAlignment w:val="auto"/>
        <w:rPr>
          <w:rFonts w:hint="eastAsia" w:ascii="仿宋" w:hAnsi="仿宋" w:eastAsia="仿宋" w:cs="仿宋"/>
          <w:b w:val="0"/>
          <w:i w:val="0"/>
          <w:iCs w:val="0"/>
          <w:color w:val="auto"/>
          <w:kern w:val="0"/>
          <w:sz w:val="24"/>
          <w:szCs w:val="24"/>
          <w:highlight w:val="none"/>
          <w:u w:val="none"/>
          <w:lang w:val="zh-CN" w:eastAsia="zh-CN" w:bidi="ar"/>
        </w:rPr>
      </w:pPr>
      <w:r>
        <w:rPr>
          <w:rFonts w:hint="eastAsia" w:ascii="仿宋" w:hAnsi="仿宋" w:eastAsia="仿宋" w:cs="仿宋"/>
          <w:b w:val="0"/>
          <w:i w:val="0"/>
          <w:iCs w:val="0"/>
          <w:color w:val="auto"/>
          <w:kern w:val="0"/>
          <w:sz w:val="24"/>
          <w:szCs w:val="24"/>
          <w:highlight w:val="none"/>
          <w:u w:val="none"/>
          <w:lang w:val="zh-CN" w:eastAsia="zh-CN" w:bidi="ar"/>
        </w:rPr>
        <w:t>1.1本次评标采用综合评分法，评标结果按评审后得分由高到低顺序排列。得分相同的，按投标报价（</w:t>
      </w:r>
      <w:r>
        <w:rPr>
          <w:rFonts w:hint="eastAsia" w:ascii="仿宋" w:hAnsi="仿宋" w:eastAsia="仿宋" w:cs="仿宋"/>
          <w:b w:val="0"/>
          <w:i w:val="0"/>
          <w:iCs w:val="0"/>
          <w:color w:val="auto"/>
          <w:kern w:val="0"/>
          <w:sz w:val="24"/>
          <w:szCs w:val="24"/>
          <w:highlight w:val="none"/>
          <w:u w:val="none"/>
          <w:lang w:val="en-US" w:eastAsia="zh-CN" w:bidi="ar"/>
        </w:rPr>
        <w:t>车辆保险除外）</w:t>
      </w:r>
      <w:r>
        <w:rPr>
          <w:rFonts w:hint="eastAsia" w:ascii="仿宋" w:hAnsi="仿宋" w:eastAsia="仿宋" w:cs="仿宋"/>
          <w:b w:val="0"/>
          <w:i w:val="0"/>
          <w:iCs w:val="0"/>
          <w:color w:val="auto"/>
          <w:kern w:val="0"/>
          <w:sz w:val="24"/>
          <w:szCs w:val="24"/>
          <w:highlight w:val="none"/>
          <w:u w:val="none"/>
          <w:lang w:val="zh-CN" w:eastAsia="zh-CN" w:bidi="ar"/>
        </w:rPr>
        <w:t>由低到高顺序排列。得分且投标报价相同的并列。投标文件满足招标文件全部实质性要求，且按照评审因素的量化指标评审得分最高的投标人为的中标候选人，中标候选人</w:t>
      </w:r>
      <w:r>
        <w:rPr>
          <w:rFonts w:hint="eastAsia" w:ascii="仿宋" w:hAnsi="仿宋" w:eastAsia="仿宋" w:cs="仿宋"/>
          <w:b w:val="0"/>
          <w:i w:val="0"/>
          <w:iCs w:val="0"/>
          <w:color w:val="auto"/>
          <w:kern w:val="0"/>
          <w:sz w:val="24"/>
          <w:szCs w:val="24"/>
          <w:highlight w:val="none"/>
          <w:u w:val="none"/>
          <w:lang w:val="en-US" w:eastAsia="zh-CN" w:bidi="ar"/>
        </w:rPr>
        <w:t>为一名，</w:t>
      </w:r>
      <w:r>
        <w:rPr>
          <w:rFonts w:hint="eastAsia" w:ascii="仿宋" w:hAnsi="仿宋" w:eastAsia="仿宋" w:cs="仿宋"/>
          <w:b w:val="0"/>
          <w:i w:val="0"/>
          <w:iCs w:val="0"/>
          <w:color w:val="auto"/>
          <w:kern w:val="0"/>
          <w:sz w:val="24"/>
          <w:szCs w:val="24"/>
          <w:highlight w:val="none"/>
          <w:u w:val="none"/>
          <w:lang w:val="zh-CN" w:eastAsia="zh-CN" w:bidi="ar"/>
        </w:rPr>
        <w:t>中标候选人并列的，采用随机抽取的方式确定。</w:t>
      </w:r>
    </w:p>
    <w:p w14:paraId="588310FB">
      <w:pPr>
        <w:keepNext w:val="0"/>
        <w:keepLines w:val="0"/>
        <w:pageBreakBefore w:val="0"/>
        <w:widowControl w:val="0"/>
        <w:kinsoku/>
        <w:wordWrap/>
        <w:overflowPunct/>
        <w:topLinePunct w:val="0"/>
        <w:bidi w:val="0"/>
        <w:snapToGrid/>
        <w:spacing w:line="460" w:lineRule="exact"/>
        <w:jc w:val="left"/>
        <w:textAlignment w:val="auto"/>
        <w:rPr>
          <w:rFonts w:hint="eastAsia" w:ascii="仿宋" w:hAnsi="仿宋" w:eastAsia="仿宋" w:cs="仿宋"/>
          <w:b w:val="0"/>
          <w:i w:val="0"/>
          <w:iCs w:val="0"/>
          <w:color w:val="auto"/>
          <w:kern w:val="0"/>
          <w:sz w:val="24"/>
          <w:szCs w:val="24"/>
          <w:highlight w:val="none"/>
          <w:u w:val="none"/>
          <w:lang w:val="zh-CN" w:eastAsia="zh-CN" w:bidi="ar"/>
        </w:rPr>
      </w:pPr>
      <w:r>
        <w:rPr>
          <w:rFonts w:hint="eastAsia" w:ascii="仿宋" w:hAnsi="仿宋" w:eastAsia="仿宋" w:cs="仿宋"/>
          <w:b w:val="0"/>
          <w:i w:val="0"/>
          <w:iCs w:val="0"/>
          <w:color w:val="auto"/>
          <w:kern w:val="0"/>
          <w:sz w:val="24"/>
          <w:szCs w:val="24"/>
          <w:highlight w:val="none"/>
          <w:u w:val="none"/>
          <w:lang w:val="zh-CN" w:eastAsia="zh-CN" w:bidi="ar"/>
        </w:rPr>
        <w:t>2.评分标准：共100分，其中商务技术分</w:t>
      </w:r>
      <w:r>
        <w:rPr>
          <w:rFonts w:hint="eastAsia" w:ascii="仿宋" w:hAnsi="仿宋" w:eastAsia="仿宋" w:cs="仿宋"/>
          <w:b w:val="0"/>
          <w:i w:val="0"/>
          <w:iCs w:val="0"/>
          <w:color w:val="auto"/>
          <w:kern w:val="0"/>
          <w:sz w:val="24"/>
          <w:szCs w:val="24"/>
          <w:highlight w:val="none"/>
          <w:u w:val="none"/>
          <w:lang w:val="en-US" w:eastAsia="zh-CN" w:bidi="ar"/>
        </w:rPr>
        <w:t>5</w:t>
      </w:r>
      <w:r>
        <w:rPr>
          <w:rFonts w:hint="eastAsia" w:ascii="仿宋" w:hAnsi="仿宋" w:eastAsia="仿宋" w:cs="仿宋"/>
          <w:b w:val="0"/>
          <w:i w:val="0"/>
          <w:iCs w:val="0"/>
          <w:color w:val="auto"/>
          <w:kern w:val="0"/>
          <w:sz w:val="24"/>
          <w:szCs w:val="24"/>
          <w:highlight w:val="none"/>
          <w:u w:val="none"/>
          <w:lang w:val="zh-CN" w:eastAsia="zh-CN" w:bidi="ar"/>
        </w:rPr>
        <w:t>0分，价格分</w:t>
      </w:r>
      <w:r>
        <w:rPr>
          <w:rFonts w:hint="eastAsia" w:ascii="仿宋" w:hAnsi="仿宋" w:eastAsia="仿宋" w:cs="仿宋"/>
          <w:b w:val="0"/>
          <w:i w:val="0"/>
          <w:iCs w:val="0"/>
          <w:color w:val="auto"/>
          <w:kern w:val="0"/>
          <w:sz w:val="24"/>
          <w:szCs w:val="24"/>
          <w:highlight w:val="none"/>
          <w:u w:val="none"/>
          <w:lang w:val="en-US" w:eastAsia="zh-CN" w:bidi="ar"/>
        </w:rPr>
        <w:t>5</w:t>
      </w:r>
      <w:r>
        <w:rPr>
          <w:rFonts w:hint="eastAsia" w:ascii="仿宋" w:hAnsi="仿宋" w:eastAsia="仿宋" w:cs="仿宋"/>
          <w:b w:val="0"/>
          <w:i w:val="0"/>
          <w:iCs w:val="0"/>
          <w:color w:val="auto"/>
          <w:kern w:val="0"/>
          <w:sz w:val="24"/>
          <w:szCs w:val="24"/>
          <w:highlight w:val="none"/>
          <w:u w:val="none"/>
          <w:lang w:val="zh-CN" w:eastAsia="zh-CN" w:bidi="ar"/>
        </w:rPr>
        <w:t>0分。评分依下述所列为评标打分依据，分值如下（计算分值时，按其算术平均值保留小数2位）。</w:t>
      </w:r>
    </w:p>
    <w:p w14:paraId="2F4150A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line="460" w:lineRule="exact"/>
        <w:ind w:leftChars="0"/>
        <w:jc w:val="both"/>
        <w:textAlignment w:val="auto"/>
        <w:rPr>
          <w:rFonts w:hint="eastAsia" w:ascii="仿宋" w:hAnsi="仿宋" w:eastAsia="仿宋" w:cs="仿宋"/>
          <w:b/>
          <w:bCs/>
          <w:iCs/>
          <w:color w:val="auto"/>
          <w:sz w:val="24"/>
          <w:highlight w:val="none"/>
        </w:rPr>
      </w:pPr>
      <w:r>
        <w:rPr>
          <w:rFonts w:hint="eastAsia" w:ascii="仿宋" w:hAnsi="仿宋" w:eastAsia="仿宋" w:cs="仿宋"/>
          <w:b/>
          <w:color w:val="auto"/>
          <w:highlight w:val="none"/>
          <w:lang w:val="en-US" w:eastAsia="zh-CN"/>
        </w:rPr>
        <w:t>2.1商务技术分（50分）</w:t>
      </w:r>
      <w:bookmarkEnd w:id="30"/>
      <w:bookmarkStart w:id="32" w:name="_Toc1479"/>
      <w:bookmarkStart w:id="33" w:name="_Toc6326"/>
      <w:bookmarkStart w:id="34" w:name="_Toc23578"/>
    </w:p>
    <w:tbl>
      <w:tblPr>
        <w:tblStyle w:val="35"/>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245"/>
        <w:gridCol w:w="5985"/>
        <w:gridCol w:w="1080"/>
      </w:tblGrid>
      <w:tr w14:paraId="69DCD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30" w:type="dxa"/>
            <w:tcBorders>
              <w:top w:val="single" w:color="auto" w:sz="4" w:space="0"/>
              <w:left w:val="single" w:color="auto" w:sz="4" w:space="0"/>
              <w:bottom w:val="single" w:color="auto" w:sz="4" w:space="0"/>
              <w:right w:val="single" w:color="auto" w:sz="4" w:space="0"/>
            </w:tcBorders>
            <w:noWrap w:val="0"/>
            <w:vAlign w:val="top"/>
          </w:tcPr>
          <w:p w14:paraId="2C2FBF3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right="0"/>
              <w:jc w:val="both"/>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序号</w:t>
            </w:r>
          </w:p>
        </w:tc>
        <w:tc>
          <w:tcPr>
            <w:tcW w:w="1245" w:type="dxa"/>
            <w:tcBorders>
              <w:top w:val="single" w:color="auto" w:sz="4" w:space="0"/>
              <w:left w:val="single" w:color="auto" w:sz="4" w:space="0"/>
              <w:bottom w:val="single" w:color="auto" w:sz="4" w:space="0"/>
              <w:right w:val="single" w:color="auto" w:sz="4" w:space="0"/>
            </w:tcBorders>
            <w:noWrap w:val="0"/>
            <w:vAlign w:val="top"/>
          </w:tcPr>
          <w:p w14:paraId="70A3CDB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right="0"/>
              <w:jc w:val="both"/>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评分项目</w:t>
            </w:r>
          </w:p>
        </w:tc>
        <w:tc>
          <w:tcPr>
            <w:tcW w:w="5985" w:type="dxa"/>
            <w:tcBorders>
              <w:top w:val="single" w:color="auto" w:sz="4" w:space="0"/>
              <w:left w:val="single" w:color="auto" w:sz="4" w:space="0"/>
              <w:bottom w:val="single" w:color="auto" w:sz="4" w:space="0"/>
              <w:right w:val="single" w:color="auto" w:sz="4" w:space="0"/>
            </w:tcBorders>
            <w:noWrap w:val="0"/>
            <w:vAlign w:val="top"/>
          </w:tcPr>
          <w:p w14:paraId="7ADD3EA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评分细则</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6B21D8AD">
            <w:pPr>
              <w:keepNext w:val="0"/>
              <w:keepLines w:val="0"/>
              <w:widowControl w:val="0"/>
              <w:suppressLineNumbers w:val="0"/>
              <w:adjustRightInd w:val="0"/>
              <w:spacing w:before="0" w:beforeAutospacing="0" w:after="0" w:afterAutospacing="0" w:line="240" w:lineRule="auto"/>
              <w:ind w:left="0" w:right="0" w:firstLine="0" w:firstLine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分值</w:t>
            </w:r>
          </w:p>
        </w:tc>
      </w:tr>
      <w:tr w14:paraId="3FC77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4281B52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1</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A78C34A">
            <w:pPr>
              <w:pStyle w:val="117"/>
              <w:keepNext w:val="0"/>
              <w:keepLines w:val="0"/>
              <w:widowControl w:val="0"/>
              <w:shd w:val="clear" w:color="auto" w:fill="auto"/>
              <w:bidi w:val="0"/>
              <w:spacing w:before="0" w:after="0" w:line="463" w:lineRule="exact"/>
              <w:ind w:right="0" w:rightChars="0"/>
              <w:jc w:val="center"/>
              <w:rPr>
                <w:rFonts w:hint="eastAsia" w:ascii="仿宋" w:hAnsi="仿宋" w:eastAsia="仿宋" w:cs="仿宋"/>
                <w:color w:val="auto"/>
                <w:sz w:val="24"/>
                <w:szCs w:val="24"/>
                <w:highlight w:val="none"/>
                <w:lang w:val="en-US"/>
              </w:rPr>
            </w:pPr>
            <w:r>
              <w:rPr>
                <w:rFonts w:hint="eastAsia" w:ascii="仿宋" w:hAnsi="仿宋" w:eastAsia="仿宋" w:cs="仿宋"/>
                <w:b w:val="0"/>
                <w:bCs w:val="0"/>
                <w:color w:val="auto"/>
                <w:sz w:val="24"/>
                <w:szCs w:val="24"/>
                <w:highlight w:val="none"/>
                <w:vertAlign w:val="baseline"/>
                <w:lang w:val="en-US" w:eastAsia="zh-CN"/>
              </w:rPr>
              <w:t>偿付能力</w:t>
            </w:r>
          </w:p>
        </w:tc>
        <w:tc>
          <w:tcPr>
            <w:tcW w:w="5985" w:type="dxa"/>
            <w:tcBorders>
              <w:top w:val="single" w:color="auto" w:sz="4" w:space="0"/>
              <w:left w:val="single" w:color="auto" w:sz="4" w:space="0"/>
              <w:bottom w:val="single" w:color="auto" w:sz="4" w:space="0"/>
              <w:right w:val="single" w:color="auto" w:sz="4" w:space="0"/>
            </w:tcBorders>
            <w:noWrap w:val="0"/>
            <w:vAlign w:val="center"/>
          </w:tcPr>
          <w:p w14:paraId="67DA1B77">
            <w:pPr>
              <w:pStyle w:val="117"/>
              <w:keepNext w:val="0"/>
              <w:keepLines w:val="0"/>
              <w:widowControl w:val="0"/>
              <w:shd w:val="clear" w:color="auto" w:fill="auto"/>
              <w:bidi w:val="0"/>
              <w:spacing w:before="0" w:after="0" w:line="240" w:lineRule="auto"/>
              <w:ind w:right="0" w:rightChars="0"/>
              <w:jc w:val="both"/>
              <w:rPr>
                <w:rFonts w:hint="eastAsia" w:ascii="仿宋" w:hAnsi="仿宋" w:eastAsia="仿宋" w:cs="仿宋"/>
                <w:b w:val="0"/>
                <w:bCs w:val="0"/>
                <w:color w:val="auto"/>
                <w:sz w:val="24"/>
                <w:szCs w:val="24"/>
                <w:highlight w:val="none"/>
                <w:vertAlign w:val="baseline"/>
              </w:rPr>
            </w:pPr>
            <w:r>
              <w:rPr>
                <w:rFonts w:hint="eastAsia" w:ascii="仿宋" w:hAnsi="仿宋" w:eastAsia="仿宋" w:cs="仿宋"/>
                <w:b w:val="0"/>
                <w:bCs w:val="0"/>
                <w:color w:val="auto"/>
                <w:sz w:val="24"/>
                <w:szCs w:val="24"/>
                <w:highlight w:val="none"/>
                <w:vertAlign w:val="baseline"/>
              </w:rPr>
              <w:t>按照</w:t>
            </w:r>
            <w:r>
              <w:rPr>
                <w:rFonts w:hint="eastAsia" w:ascii="仿宋" w:hAnsi="仿宋" w:eastAsia="仿宋" w:cs="仿宋"/>
                <w:b w:val="0"/>
                <w:bCs w:val="0"/>
                <w:color w:val="auto"/>
                <w:sz w:val="24"/>
                <w:szCs w:val="24"/>
                <w:highlight w:val="none"/>
                <w:vertAlign w:val="baseline"/>
                <w:lang w:val="en-US" w:eastAsia="zh-CN"/>
              </w:rPr>
              <w:t>投标人</w:t>
            </w:r>
            <w:r>
              <w:rPr>
                <w:rFonts w:hint="eastAsia" w:ascii="仿宋" w:hAnsi="仿宋" w:eastAsia="仿宋" w:cs="仿宋"/>
                <w:b w:val="0"/>
                <w:bCs w:val="0"/>
                <w:color w:val="auto"/>
                <w:sz w:val="24"/>
                <w:szCs w:val="24"/>
                <w:highlight w:val="none"/>
                <w:vertAlign w:val="baseline"/>
              </w:rPr>
              <w:t>所属总公司202</w:t>
            </w:r>
            <w:r>
              <w:rPr>
                <w:rFonts w:hint="eastAsia" w:ascii="仿宋" w:hAnsi="仿宋" w:eastAsia="仿宋" w:cs="仿宋"/>
                <w:b w:val="0"/>
                <w:bCs w:val="0"/>
                <w:color w:val="auto"/>
                <w:sz w:val="24"/>
                <w:szCs w:val="24"/>
                <w:highlight w:val="none"/>
                <w:vertAlign w:val="baseline"/>
                <w:lang w:val="en-US" w:eastAsia="zh-CN"/>
              </w:rPr>
              <w:t>4</w:t>
            </w:r>
            <w:r>
              <w:rPr>
                <w:rFonts w:hint="eastAsia" w:ascii="仿宋" w:hAnsi="仿宋" w:eastAsia="仿宋" w:cs="仿宋"/>
                <w:b w:val="0"/>
                <w:bCs w:val="0"/>
                <w:color w:val="auto"/>
                <w:sz w:val="24"/>
                <w:szCs w:val="24"/>
                <w:highlight w:val="none"/>
                <w:vertAlign w:val="baseline"/>
              </w:rPr>
              <w:t>年</w:t>
            </w:r>
            <w:r>
              <w:rPr>
                <w:rFonts w:hint="eastAsia" w:ascii="仿宋" w:hAnsi="仿宋" w:eastAsia="仿宋" w:cs="仿宋"/>
                <w:b w:val="0"/>
                <w:bCs w:val="0"/>
                <w:color w:val="auto"/>
                <w:sz w:val="24"/>
                <w:szCs w:val="24"/>
                <w:highlight w:val="none"/>
                <w:vertAlign w:val="baseline"/>
                <w:lang w:val="en-US" w:eastAsia="zh-CN"/>
              </w:rPr>
              <w:t>第三季度</w:t>
            </w:r>
            <w:r>
              <w:rPr>
                <w:rFonts w:hint="eastAsia" w:ascii="仿宋" w:hAnsi="仿宋" w:eastAsia="仿宋" w:cs="仿宋"/>
                <w:b w:val="0"/>
                <w:bCs w:val="0"/>
                <w:color w:val="auto"/>
                <w:sz w:val="24"/>
                <w:szCs w:val="24"/>
                <w:highlight w:val="none"/>
                <w:vertAlign w:val="baseline"/>
              </w:rPr>
              <w:t>的综合偿付能力充足率进行</w:t>
            </w:r>
            <w:r>
              <w:rPr>
                <w:rFonts w:hint="eastAsia" w:ascii="仿宋" w:hAnsi="仿宋" w:eastAsia="仿宋" w:cs="仿宋"/>
                <w:b w:val="0"/>
                <w:bCs w:val="0"/>
                <w:color w:val="auto"/>
                <w:sz w:val="24"/>
                <w:szCs w:val="24"/>
                <w:highlight w:val="none"/>
                <w:vertAlign w:val="baseline"/>
                <w:lang w:val="en-US" w:eastAsia="zh-CN"/>
              </w:rPr>
              <w:t>打</w:t>
            </w:r>
            <w:r>
              <w:rPr>
                <w:rFonts w:hint="eastAsia" w:ascii="仿宋" w:hAnsi="仿宋" w:eastAsia="仿宋" w:cs="仿宋"/>
                <w:b w:val="0"/>
                <w:bCs w:val="0"/>
                <w:color w:val="auto"/>
                <w:sz w:val="24"/>
                <w:szCs w:val="24"/>
                <w:highlight w:val="none"/>
                <w:vertAlign w:val="baseline"/>
              </w:rPr>
              <w:t>分：</w:t>
            </w:r>
          </w:p>
          <w:p w14:paraId="6F16B488">
            <w:pPr>
              <w:pStyle w:val="117"/>
              <w:keepNext w:val="0"/>
              <w:keepLines w:val="0"/>
              <w:widowControl w:val="0"/>
              <w:shd w:val="clear" w:color="auto" w:fill="auto"/>
              <w:bidi w:val="0"/>
              <w:spacing w:before="0" w:after="0" w:line="240" w:lineRule="auto"/>
              <w:ind w:right="0" w:rightChars="0"/>
              <w:jc w:val="both"/>
              <w:rPr>
                <w:rFonts w:hint="eastAsia" w:ascii="仿宋" w:hAnsi="仿宋" w:eastAsia="仿宋" w:cs="仿宋"/>
                <w:b w:val="0"/>
                <w:bCs w:val="0"/>
                <w:color w:val="auto"/>
                <w:sz w:val="24"/>
                <w:szCs w:val="24"/>
                <w:highlight w:val="none"/>
                <w:vertAlign w:val="baseline"/>
              </w:rPr>
            </w:pPr>
            <w:r>
              <w:rPr>
                <w:rFonts w:hint="eastAsia" w:ascii="仿宋" w:hAnsi="仿宋" w:eastAsia="仿宋" w:cs="仿宋"/>
                <w:b w:val="0"/>
                <w:bCs w:val="0"/>
                <w:color w:val="auto"/>
                <w:sz w:val="24"/>
                <w:szCs w:val="24"/>
                <w:highlight w:val="none"/>
                <w:vertAlign w:val="baseline"/>
              </w:rPr>
              <w:t>综合偿付能力充足率</w:t>
            </w:r>
            <w:r>
              <w:rPr>
                <w:rFonts w:hint="eastAsia" w:ascii="仿宋" w:hAnsi="仿宋" w:eastAsia="仿宋" w:cs="仿宋"/>
                <w:b w:val="0"/>
                <w:bCs w:val="0"/>
                <w:color w:val="auto"/>
                <w:sz w:val="24"/>
                <w:szCs w:val="24"/>
                <w:highlight w:val="none"/>
                <w:vertAlign w:val="baseline"/>
                <w:lang w:val="en-US" w:eastAsia="zh-CN"/>
              </w:rPr>
              <w:t>＞</w:t>
            </w:r>
            <w:r>
              <w:rPr>
                <w:rFonts w:hint="eastAsia" w:ascii="仿宋" w:hAnsi="仿宋" w:eastAsia="仿宋" w:cs="仿宋"/>
                <w:b w:val="0"/>
                <w:bCs w:val="0"/>
                <w:color w:val="auto"/>
                <w:sz w:val="24"/>
                <w:szCs w:val="24"/>
                <w:highlight w:val="none"/>
                <w:vertAlign w:val="baseline"/>
              </w:rPr>
              <w:t>2</w:t>
            </w:r>
            <w:r>
              <w:rPr>
                <w:rFonts w:hint="eastAsia" w:ascii="仿宋" w:hAnsi="仿宋" w:eastAsia="仿宋" w:cs="仿宋"/>
                <w:b w:val="0"/>
                <w:bCs w:val="0"/>
                <w:color w:val="auto"/>
                <w:sz w:val="24"/>
                <w:szCs w:val="24"/>
                <w:highlight w:val="none"/>
                <w:vertAlign w:val="baseline"/>
                <w:lang w:val="en-US" w:eastAsia="zh-CN"/>
              </w:rPr>
              <w:t>1</w:t>
            </w:r>
            <w:r>
              <w:rPr>
                <w:rFonts w:hint="eastAsia" w:ascii="仿宋" w:hAnsi="仿宋" w:eastAsia="仿宋" w:cs="仿宋"/>
                <w:b w:val="0"/>
                <w:bCs w:val="0"/>
                <w:color w:val="auto"/>
                <w:sz w:val="24"/>
                <w:szCs w:val="24"/>
                <w:highlight w:val="none"/>
                <w:vertAlign w:val="baseline"/>
              </w:rPr>
              <w:t>0%</w:t>
            </w:r>
            <w:r>
              <w:rPr>
                <w:rFonts w:hint="eastAsia" w:ascii="仿宋" w:hAnsi="仿宋" w:eastAsia="仿宋" w:cs="仿宋"/>
                <w:b w:val="0"/>
                <w:bCs w:val="0"/>
                <w:color w:val="auto"/>
                <w:sz w:val="24"/>
                <w:szCs w:val="24"/>
                <w:highlight w:val="none"/>
                <w:vertAlign w:val="baseline"/>
                <w:lang w:eastAsia="zh-CN"/>
              </w:rPr>
              <w:t>（</w:t>
            </w:r>
            <w:r>
              <w:rPr>
                <w:rFonts w:hint="eastAsia" w:ascii="仿宋" w:hAnsi="仿宋" w:eastAsia="仿宋" w:cs="仿宋"/>
                <w:b w:val="0"/>
                <w:bCs w:val="0"/>
                <w:color w:val="auto"/>
                <w:sz w:val="24"/>
                <w:szCs w:val="24"/>
                <w:highlight w:val="none"/>
                <w:vertAlign w:val="baseline"/>
                <w:lang w:val="en-US" w:eastAsia="zh-CN"/>
              </w:rPr>
              <w:t>含）</w:t>
            </w:r>
            <w:r>
              <w:rPr>
                <w:rFonts w:hint="eastAsia" w:ascii="仿宋" w:hAnsi="仿宋" w:eastAsia="仿宋" w:cs="仿宋"/>
                <w:b w:val="0"/>
                <w:bCs w:val="0"/>
                <w:color w:val="auto"/>
                <w:sz w:val="24"/>
                <w:szCs w:val="24"/>
                <w:highlight w:val="none"/>
                <w:vertAlign w:val="baseline"/>
              </w:rPr>
              <w:t>得</w:t>
            </w:r>
            <w:r>
              <w:rPr>
                <w:rFonts w:hint="eastAsia" w:ascii="仿宋" w:hAnsi="仿宋" w:eastAsia="仿宋" w:cs="仿宋"/>
                <w:b w:val="0"/>
                <w:bCs w:val="0"/>
                <w:color w:val="auto"/>
                <w:sz w:val="24"/>
                <w:szCs w:val="24"/>
                <w:highlight w:val="none"/>
                <w:vertAlign w:val="baseline"/>
                <w:lang w:val="en-US" w:eastAsia="zh-CN"/>
              </w:rPr>
              <w:t>5</w:t>
            </w:r>
            <w:r>
              <w:rPr>
                <w:rFonts w:hint="eastAsia" w:ascii="仿宋" w:hAnsi="仿宋" w:eastAsia="仿宋" w:cs="仿宋"/>
                <w:b w:val="0"/>
                <w:bCs w:val="0"/>
                <w:color w:val="auto"/>
                <w:sz w:val="24"/>
                <w:szCs w:val="24"/>
                <w:highlight w:val="none"/>
                <w:vertAlign w:val="baseline"/>
              </w:rPr>
              <w:t>分；</w:t>
            </w:r>
          </w:p>
          <w:p w14:paraId="56780537">
            <w:pPr>
              <w:pStyle w:val="117"/>
              <w:keepNext w:val="0"/>
              <w:keepLines w:val="0"/>
              <w:widowControl w:val="0"/>
              <w:shd w:val="clear" w:color="auto" w:fill="auto"/>
              <w:bidi w:val="0"/>
              <w:spacing w:before="0" w:after="0" w:line="240" w:lineRule="auto"/>
              <w:ind w:right="0" w:rightChars="0"/>
              <w:jc w:val="both"/>
              <w:rPr>
                <w:rFonts w:hint="eastAsia" w:ascii="仿宋" w:hAnsi="仿宋" w:eastAsia="仿宋" w:cs="仿宋"/>
                <w:b w:val="0"/>
                <w:bCs w:val="0"/>
                <w:color w:val="auto"/>
                <w:sz w:val="24"/>
                <w:szCs w:val="24"/>
                <w:highlight w:val="none"/>
                <w:vertAlign w:val="baseline"/>
              </w:rPr>
            </w:pPr>
            <w:r>
              <w:rPr>
                <w:rFonts w:hint="eastAsia" w:ascii="仿宋" w:hAnsi="仿宋" w:eastAsia="仿宋" w:cs="仿宋"/>
                <w:b w:val="0"/>
                <w:bCs w:val="0"/>
                <w:color w:val="auto"/>
                <w:sz w:val="24"/>
                <w:szCs w:val="24"/>
                <w:highlight w:val="none"/>
                <w:vertAlign w:val="baseline"/>
              </w:rPr>
              <w:t>综合偿付能力充足率</w:t>
            </w:r>
            <w:r>
              <w:rPr>
                <w:rFonts w:hint="eastAsia" w:ascii="仿宋" w:hAnsi="仿宋" w:eastAsia="仿宋" w:cs="仿宋"/>
                <w:b w:val="0"/>
                <w:bCs w:val="0"/>
                <w:color w:val="auto"/>
                <w:sz w:val="24"/>
                <w:szCs w:val="24"/>
                <w:highlight w:val="none"/>
                <w:vertAlign w:val="baseline"/>
                <w:lang w:val="en-US" w:eastAsia="zh-CN"/>
              </w:rPr>
              <w:t>＞180</w:t>
            </w:r>
            <w:r>
              <w:rPr>
                <w:rFonts w:hint="eastAsia" w:ascii="仿宋" w:hAnsi="仿宋" w:eastAsia="仿宋" w:cs="仿宋"/>
                <w:b w:val="0"/>
                <w:bCs w:val="0"/>
                <w:color w:val="auto"/>
                <w:sz w:val="24"/>
                <w:szCs w:val="24"/>
                <w:highlight w:val="none"/>
                <w:vertAlign w:val="baseline"/>
              </w:rPr>
              <w:t>%</w:t>
            </w:r>
            <w:r>
              <w:rPr>
                <w:rFonts w:hint="eastAsia" w:ascii="仿宋" w:hAnsi="仿宋" w:eastAsia="仿宋" w:cs="仿宋"/>
                <w:b w:val="0"/>
                <w:bCs w:val="0"/>
                <w:color w:val="auto"/>
                <w:sz w:val="24"/>
                <w:szCs w:val="24"/>
                <w:highlight w:val="none"/>
                <w:vertAlign w:val="baseline"/>
                <w:lang w:eastAsia="zh-CN"/>
              </w:rPr>
              <w:t>（</w:t>
            </w:r>
            <w:r>
              <w:rPr>
                <w:rFonts w:hint="eastAsia" w:ascii="仿宋" w:hAnsi="仿宋" w:eastAsia="仿宋" w:cs="仿宋"/>
                <w:b w:val="0"/>
                <w:bCs w:val="0"/>
                <w:color w:val="auto"/>
                <w:sz w:val="24"/>
                <w:szCs w:val="24"/>
                <w:highlight w:val="none"/>
                <w:vertAlign w:val="baseline"/>
                <w:lang w:val="en-US" w:eastAsia="zh-CN"/>
              </w:rPr>
              <w:t>含）</w:t>
            </w:r>
            <w:r>
              <w:rPr>
                <w:rFonts w:hint="eastAsia" w:ascii="仿宋" w:hAnsi="仿宋" w:eastAsia="仿宋" w:cs="仿宋"/>
                <w:b w:val="0"/>
                <w:bCs w:val="0"/>
                <w:color w:val="auto"/>
                <w:sz w:val="24"/>
                <w:szCs w:val="24"/>
                <w:highlight w:val="none"/>
                <w:vertAlign w:val="baseline"/>
              </w:rPr>
              <w:t>得</w:t>
            </w:r>
            <w:r>
              <w:rPr>
                <w:rFonts w:hint="eastAsia" w:ascii="仿宋" w:hAnsi="仿宋" w:eastAsia="仿宋" w:cs="仿宋"/>
                <w:b w:val="0"/>
                <w:bCs w:val="0"/>
                <w:color w:val="auto"/>
                <w:sz w:val="24"/>
                <w:szCs w:val="24"/>
                <w:highlight w:val="none"/>
                <w:vertAlign w:val="baseline"/>
                <w:lang w:val="en-US" w:eastAsia="zh-CN"/>
              </w:rPr>
              <w:t>3</w:t>
            </w:r>
            <w:r>
              <w:rPr>
                <w:rFonts w:hint="eastAsia" w:ascii="仿宋" w:hAnsi="仿宋" w:eastAsia="仿宋" w:cs="仿宋"/>
                <w:b w:val="0"/>
                <w:bCs w:val="0"/>
                <w:color w:val="auto"/>
                <w:sz w:val="24"/>
                <w:szCs w:val="24"/>
                <w:highlight w:val="none"/>
                <w:vertAlign w:val="baseline"/>
              </w:rPr>
              <w:t>分；</w:t>
            </w:r>
          </w:p>
          <w:p w14:paraId="549385D7">
            <w:pPr>
              <w:pStyle w:val="117"/>
              <w:keepNext w:val="0"/>
              <w:keepLines w:val="0"/>
              <w:widowControl w:val="0"/>
              <w:shd w:val="clear" w:color="auto" w:fill="auto"/>
              <w:bidi w:val="0"/>
              <w:spacing w:before="0" w:after="0" w:line="240" w:lineRule="auto"/>
              <w:ind w:right="0" w:rightChars="0"/>
              <w:jc w:val="both"/>
              <w:rPr>
                <w:rFonts w:hint="eastAsia" w:ascii="仿宋" w:hAnsi="仿宋" w:eastAsia="仿宋" w:cs="仿宋"/>
                <w:b w:val="0"/>
                <w:bCs w:val="0"/>
                <w:color w:val="auto"/>
                <w:sz w:val="24"/>
                <w:szCs w:val="24"/>
                <w:highlight w:val="none"/>
                <w:vertAlign w:val="baseline"/>
              </w:rPr>
            </w:pPr>
            <w:r>
              <w:rPr>
                <w:rFonts w:hint="eastAsia" w:ascii="仿宋" w:hAnsi="仿宋" w:eastAsia="仿宋" w:cs="仿宋"/>
                <w:b w:val="0"/>
                <w:bCs w:val="0"/>
                <w:color w:val="auto"/>
                <w:sz w:val="24"/>
                <w:szCs w:val="24"/>
                <w:highlight w:val="none"/>
                <w:vertAlign w:val="baseline"/>
              </w:rPr>
              <w:t>综合偿付能力充足率</w:t>
            </w:r>
            <w:r>
              <w:rPr>
                <w:rFonts w:hint="eastAsia" w:ascii="仿宋" w:hAnsi="仿宋" w:eastAsia="仿宋" w:cs="仿宋"/>
                <w:b w:val="0"/>
                <w:bCs w:val="0"/>
                <w:color w:val="auto"/>
                <w:sz w:val="24"/>
                <w:szCs w:val="24"/>
                <w:highlight w:val="none"/>
                <w:vertAlign w:val="baseline"/>
                <w:lang w:val="en-US" w:eastAsia="zh-CN"/>
              </w:rPr>
              <w:t>＞16</w:t>
            </w:r>
            <w:r>
              <w:rPr>
                <w:rFonts w:hint="eastAsia" w:ascii="仿宋" w:hAnsi="仿宋" w:eastAsia="仿宋" w:cs="仿宋"/>
                <w:b w:val="0"/>
                <w:bCs w:val="0"/>
                <w:color w:val="auto"/>
                <w:sz w:val="24"/>
                <w:szCs w:val="24"/>
                <w:highlight w:val="none"/>
                <w:vertAlign w:val="baseline"/>
              </w:rPr>
              <w:t>0%</w:t>
            </w:r>
            <w:r>
              <w:rPr>
                <w:rFonts w:hint="eastAsia" w:ascii="仿宋" w:hAnsi="仿宋" w:eastAsia="仿宋" w:cs="仿宋"/>
                <w:b w:val="0"/>
                <w:bCs w:val="0"/>
                <w:color w:val="auto"/>
                <w:sz w:val="24"/>
                <w:szCs w:val="24"/>
                <w:highlight w:val="none"/>
                <w:vertAlign w:val="baseline"/>
                <w:lang w:eastAsia="zh-CN"/>
              </w:rPr>
              <w:t>（</w:t>
            </w:r>
            <w:r>
              <w:rPr>
                <w:rFonts w:hint="eastAsia" w:ascii="仿宋" w:hAnsi="仿宋" w:eastAsia="仿宋" w:cs="仿宋"/>
                <w:b w:val="0"/>
                <w:bCs w:val="0"/>
                <w:color w:val="auto"/>
                <w:sz w:val="24"/>
                <w:szCs w:val="24"/>
                <w:highlight w:val="none"/>
                <w:vertAlign w:val="baseline"/>
                <w:lang w:val="en-US" w:eastAsia="zh-CN"/>
              </w:rPr>
              <w:t>含）</w:t>
            </w:r>
            <w:r>
              <w:rPr>
                <w:rFonts w:hint="eastAsia" w:ascii="仿宋" w:hAnsi="仿宋" w:eastAsia="仿宋" w:cs="仿宋"/>
                <w:b w:val="0"/>
                <w:bCs w:val="0"/>
                <w:color w:val="auto"/>
                <w:sz w:val="24"/>
                <w:szCs w:val="24"/>
                <w:highlight w:val="none"/>
                <w:vertAlign w:val="baseline"/>
              </w:rPr>
              <w:t>得</w:t>
            </w:r>
            <w:r>
              <w:rPr>
                <w:rFonts w:hint="eastAsia" w:ascii="仿宋" w:hAnsi="仿宋" w:eastAsia="仿宋" w:cs="仿宋"/>
                <w:b w:val="0"/>
                <w:bCs w:val="0"/>
                <w:color w:val="auto"/>
                <w:sz w:val="24"/>
                <w:szCs w:val="24"/>
                <w:highlight w:val="none"/>
                <w:vertAlign w:val="baseline"/>
                <w:lang w:val="en-US" w:eastAsia="zh-CN"/>
              </w:rPr>
              <w:t>2</w:t>
            </w:r>
            <w:r>
              <w:rPr>
                <w:rFonts w:hint="eastAsia" w:ascii="仿宋" w:hAnsi="仿宋" w:eastAsia="仿宋" w:cs="仿宋"/>
                <w:b w:val="0"/>
                <w:bCs w:val="0"/>
                <w:color w:val="auto"/>
                <w:sz w:val="24"/>
                <w:szCs w:val="24"/>
                <w:highlight w:val="none"/>
                <w:vertAlign w:val="baseline"/>
              </w:rPr>
              <w:t>分；</w:t>
            </w:r>
          </w:p>
          <w:p w14:paraId="53E85C29">
            <w:pPr>
              <w:pStyle w:val="117"/>
              <w:keepNext w:val="0"/>
              <w:keepLines w:val="0"/>
              <w:widowControl w:val="0"/>
              <w:shd w:val="clear" w:color="auto" w:fill="auto"/>
              <w:bidi w:val="0"/>
              <w:spacing w:before="0" w:after="0" w:line="240" w:lineRule="auto"/>
              <w:ind w:right="0" w:rightChars="0"/>
              <w:jc w:val="both"/>
              <w:rPr>
                <w:rFonts w:hint="eastAsia" w:ascii="仿宋" w:hAnsi="仿宋" w:eastAsia="仿宋" w:cs="仿宋"/>
                <w:b w:val="0"/>
                <w:bCs w:val="0"/>
                <w:color w:val="auto"/>
                <w:sz w:val="24"/>
                <w:szCs w:val="24"/>
                <w:highlight w:val="none"/>
                <w:vertAlign w:val="baseline"/>
              </w:rPr>
            </w:pPr>
            <w:r>
              <w:rPr>
                <w:rFonts w:hint="eastAsia" w:ascii="仿宋" w:hAnsi="仿宋" w:eastAsia="仿宋" w:cs="仿宋"/>
                <w:b w:val="0"/>
                <w:bCs w:val="0"/>
                <w:color w:val="auto"/>
                <w:sz w:val="24"/>
                <w:szCs w:val="24"/>
                <w:highlight w:val="none"/>
                <w:vertAlign w:val="baseline"/>
              </w:rPr>
              <w:t>综合偿付能力充足率</w:t>
            </w:r>
            <w:r>
              <w:rPr>
                <w:rFonts w:hint="eastAsia" w:ascii="仿宋" w:hAnsi="仿宋" w:eastAsia="仿宋" w:cs="仿宋"/>
                <w:b w:val="0"/>
                <w:bCs w:val="0"/>
                <w:color w:val="auto"/>
                <w:sz w:val="24"/>
                <w:szCs w:val="24"/>
                <w:highlight w:val="none"/>
                <w:vertAlign w:val="baseline"/>
                <w:lang w:val="en-US" w:eastAsia="zh-CN"/>
              </w:rPr>
              <w:t>＞</w:t>
            </w:r>
            <w:r>
              <w:rPr>
                <w:rFonts w:hint="eastAsia" w:ascii="仿宋" w:hAnsi="仿宋" w:eastAsia="仿宋" w:cs="仿宋"/>
                <w:b w:val="0"/>
                <w:bCs w:val="0"/>
                <w:color w:val="auto"/>
                <w:sz w:val="24"/>
                <w:szCs w:val="24"/>
                <w:highlight w:val="none"/>
                <w:vertAlign w:val="baseline"/>
              </w:rPr>
              <w:t>1</w:t>
            </w:r>
            <w:r>
              <w:rPr>
                <w:rFonts w:hint="eastAsia" w:ascii="仿宋" w:hAnsi="仿宋" w:eastAsia="仿宋" w:cs="仿宋"/>
                <w:b w:val="0"/>
                <w:bCs w:val="0"/>
                <w:color w:val="auto"/>
                <w:sz w:val="24"/>
                <w:szCs w:val="24"/>
                <w:highlight w:val="none"/>
                <w:vertAlign w:val="baseline"/>
                <w:lang w:val="en-US" w:eastAsia="zh-CN"/>
              </w:rPr>
              <w:t>5</w:t>
            </w:r>
            <w:r>
              <w:rPr>
                <w:rFonts w:hint="eastAsia" w:ascii="仿宋" w:hAnsi="仿宋" w:eastAsia="仿宋" w:cs="仿宋"/>
                <w:b w:val="0"/>
                <w:bCs w:val="0"/>
                <w:color w:val="auto"/>
                <w:sz w:val="24"/>
                <w:szCs w:val="24"/>
                <w:highlight w:val="none"/>
                <w:vertAlign w:val="baseline"/>
              </w:rPr>
              <w:t>0%</w:t>
            </w:r>
            <w:r>
              <w:rPr>
                <w:rFonts w:hint="eastAsia" w:ascii="仿宋" w:hAnsi="仿宋" w:eastAsia="仿宋" w:cs="仿宋"/>
                <w:b w:val="0"/>
                <w:bCs w:val="0"/>
                <w:color w:val="auto"/>
                <w:sz w:val="24"/>
                <w:szCs w:val="24"/>
                <w:highlight w:val="none"/>
                <w:vertAlign w:val="baseline"/>
                <w:lang w:eastAsia="zh-CN"/>
              </w:rPr>
              <w:t>（</w:t>
            </w:r>
            <w:r>
              <w:rPr>
                <w:rFonts w:hint="eastAsia" w:ascii="仿宋" w:hAnsi="仿宋" w:eastAsia="仿宋" w:cs="仿宋"/>
                <w:b w:val="0"/>
                <w:bCs w:val="0"/>
                <w:color w:val="auto"/>
                <w:sz w:val="24"/>
                <w:szCs w:val="24"/>
                <w:highlight w:val="none"/>
                <w:vertAlign w:val="baseline"/>
                <w:lang w:val="en-US" w:eastAsia="zh-CN"/>
              </w:rPr>
              <w:t>含）</w:t>
            </w:r>
            <w:r>
              <w:rPr>
                <w:rFonts w:hint="eastAsia" w:ascii="仿宋" w:hAnsi="仿宋" w:eastAsia="仿宋" w:cs="仿宋"/>
                <w:b w:val="0"/>
                <w:bCs w:val="0"/>
                <w:color w:val="auto"/>
                <w:sz w:val="24"/>
                <w:szCs w:val="24"/>
                <w:highlight w:val="none"/>
                <w:vertAlign w:val="baseline"/>
              </w:rPr>
              <w:t>得</w:t>
            </w:r>
            <w:r>
              <w:rPr>
                <w:rFonts w:hint="eastAsia" w:ascii="仿宋" w:hAnsi="仿宋" w:eastAsia="仿宋" w:cs="仿宋"/>
                <w:b w:val="0"/>
                <w:bCs w:val="0"/>
                <w:color w:val="auto"/>
                <w:sz w:val="24"/>
                <w:szCs w:val="24"/>
                <w:highlight w:val="none"/>
                <w:vertAlign w:val="baseline"/>
                <w:lang w:val="en-US" w:eastAsia="zh-CN"/>
              </w:rPr>
              <w:t>1</w:t>
            </w:r>
            <w:r>
              <w:rPr>
                <w:rFonts w:hint="eastAsia" w:ascii="仿宋" w:hAnsi="仿宋" w:eastAsia="仿宋" w:cs="仿宋"/>
                <w:b w:val="0"/>
                <w:bCs w:val="0"/>
                <w:color w:val="auto"/>
                <w:sz w:val="24"/>
                <w:szCs w:val="24"/>
                <w:highlight w:val="none"/>
                <w:vertAlign w:val="baseline"/>
              </w:rPr>
              <w:t>分；</w:t>
            </w:r>
          </w:p>
          <w:p w14:paraId="391D7BAD">
            <w:pPr>
              <w:pStyle w:val="117"/>
              <w:keepNext w:val="0"/>
              <w:keepLines w:val="0"/>
              <w:widowControl w:val="0"/>
              <w:shd w:val="clear" w:color="auto" w:fill="auto"/>
              <w:bidi w:val="0"/>
              <w:spacing w:before="0" w:after="0" w:line="240" w:lineRule="auto"/>
              <w:ind w:right="0" w:rightChars="0"/>
              <w:jc w:val="both"/>
              <w:rPr>
                <w:rFonts w:hint="eastAsia" w:ascii="仿宋" w:hAnsi="仿宋" w:eastAsia="仿宋" w:cs="仿宋"/>
                <w:b w:val="0"/>
                <w:bCs w:val="0"/>
                <w:color w:val="auto"/>
                <w:sz w:val="24"/>
                <w:szCs w:val="24"/>
                <w:highlight w:val="none"/>
                <w:vertAlign w:val="baseline"/>
              </w:rPr>
            </w:pPr>
            <w:r>
              <w:rPr>
                <w:rFonts w:hint="eastAsia" w:ascii="仿宋" w:hAnsi="仿宋" w:eastAsia="仿宋" w:cs="仿宋"/>
                <w:b w:val="0"/>
                <w:bCs w:val="0"/>
                <w:color w:val="auto"/>
                <w:sz w:val="24"/>
                <w:szCs w:val="24"/>
                <w:highlight w:val="none"/>
                <w:vertAlign w:val="baseline"/>
              </w:rPr>
              <w:t>综合偿付能力充足率&lt;1</w:t>
            </w:r>
            <w:r>
              <w:rPr>
                <w:rFonts w:hint="eastAsia" w:ascii="仿宋" w:hAnsi="仿宋" w:eastAsia="仿宋" w:cs="仿宋"/>
                <w:b w:val="0"/>
                <w:bCs w:val="0"/>
                <w:color w:val="auto"/>
                <w:sz w:val="24"/>
                <w:szCs w:val="24"/>
                <w:highlight w:val="none"/>
                <w:vertAlign w:val="baseline"/>
                <w:lang w:val="en-US" w:eastAsia="zh-CN"/>
              </w:rPr>
              <w:t>5</w:t>
            </w:r>
            <w:r>
              <w:rPr>
                <w:rFonts w:hint="eastAsia" w:ascii="仿宋" w:hAnsi="仿宋" w:eastAsia="仿宋" w:cs="仿宋"/>
                <w:b w:val="0"/>
                <w:bCs w:val="0"/>
                <w:color w:val="auto"/>
                <w:sz w:val="24"/>
                <w:szCs w:val="24"/>
                <w:highlight w:val="none"/>
                <w:vertAlign w:val="baseline"/>
              </w:rPr>
              <w:t>0%不得分。</w:t>
            </w:r>
          </w:p>
          <w:p w14:paraId="1AD8B7DD">
            <w:pPr>
              <w:pStyle w:val="117"/>
              <w:keepNext w:val="0"/>
              <w:keepLines w:val="0"/>
              <w:widowControl w:val="0"/>
              <w:shd w:val="clear" w:color="auto" w:fill="auto"/>
              <w:bidi w:val="0"/>
              <w:spacing w:before="0" w:after="0" w:line="240" w:lineRule="auto"/>
              <w:ind w:right="0" w:rightChars="0" w:firstLine="480" w:firstLineChars="200"/>
              <w:jc w:val="both"/>
              <w:rPr>
                <w:rFonts w:hint="eastAsia" w:ascii="仿宋" w:hAnsi="仿宋" w:eastAsia="仿宋" w:cs="仿宋"/>
                <w:color w:val="auto"/>
                <w:sz w:val="24"/>
                <w:szCs w:val="24"/>
                <w:highlight w:val="none"/>
                <w:lang w:val="en-US"/>
              </w:rPr>
            </w:pPr>
            <w:r>
              <w:rPr>
                <w:rFonts w:hint="eastAsia" w:ascii="仿宋" w:hAnsi="仿宋" w:eastAsia="仿宋" w:cs="仿宋"/>
                <w:b w:val="0"/>
                <w:bCs w:val="0"/>
                <w:color w:val="auto"/>
                <w:sz w:val="24"/>
                <w:szCs w:val="24"/>
                <w:highlight w:val="none"/>
                <w:vertAlign w:val="baseline"/>
              </w:rPr>
              <w:t>提供中国保险行业协会官网公布的保险公司偿付能力报告的截图（含有网址）</w:t>
            </w:r>
            <w:r>
              <w:rPr>
                <w:rFonts w:hint="eastAsia" w:ascii="仿宋" w:hAnsi="仿宋" w:eastAsia="仿宋" w:cs="仿宋"/>
                <w:b w:val="0"/>
                <w:bCs w:val="0"/>
                <w:color w:val="auto"/>
                <w:sz w:val="24"/>
                <w:szCs w:val="24"/>
                <w:highlight w:val="none"/>
                <w:vertAlign w:val="baseline"/>
                <w:lang w:val="en-US"/>
              </w:rPr>
              <w:t>加盖CA</w:t>
            </w:r>
            <w:r>
              <w:rPr>
                <w:rFonts w:hint="eastAsia" w:ascii="仿宋" w:hAnsi="仿宋" w:eastAsia="仿宋" w:cs="仿宋"/>
                <w:b w:val="0"/>
                <w:bCs w:val="0"/>
                <w:color w:val="auto"/>
                <w:sz w:val="24"/>
                <w:szCs w:val="24"/>
                <w:highlight w:val="none"/>
                <w:vertAlign w:val="baseline"/>
                <w:lang w:val="en-US" w:eastAsia="zh-CN"/>
              </w:rPr>
              <w:t>签</w:t>
            </w:r>
            <w:r>
              <w:rPr>
                <w:rFonts w:hint="eastAsia" w:ascii="仿宋" w:hAnsi="仿宋" w:eastAsia="仿宋" w:cs="仿宋"/>
                <w:b w:val="0"/>
                <w:bCs w:val="0"/>
                <w:color w:val="auto"/>
                <w:sz w:val="24"/>
                <w:szCs w:val="24"/>
                <w:highlight w:val="none"/>
                <w:vertAlign w:val="baseline"/>
                <w:lang w:val="en-US"/>
              </w:rPr>
              <w:t>章</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EFE0790">
            <w:pPr>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0-5分</w:t>
            </w:r>
          </w:p>
        </w:tc>
      </w:tr>
      <w:tr w14:paraId="59180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491BBE9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EC5630C">
            <w:pPr>
              <w:pStyle w:val="117"/>
              <w:keepNext w:val="0"/>
              <w:keepLines w:val="0"/>
              <w:widowControl w:val="0"/>
              <w:shd w:val="clear" w:color="auto" w:fill="auto"/>
              <w:bidi w:val="0"/>
              <w:spacing w:before="0" w:after="0" w:line="240" w:lineRule="auto"/>
              <w:ind w:right="0" w:rightChars="0"/>
              <w:jc w:val="center"/>
              <w:rPr>
                <w:rFonts w:hint="eastAsia" w:ascii="仿宋" w:hAnsi="仿宋" w:eastAsia="仿宋" w:cs="仿宋"/>
                <w:color w:val="auto"/>
                <w:sz w:val="24"/>
                <w:szCs w:val="24"/>
                <w:highlight w:val="none"/>
                <w:lang w:val="en-US"/>
              </w:rPr>
            </w:pPr>
            <w:r>
              <w:rPr>
                <w:rFonts w:hint="eastAsia" w:ascii="仿宋" w:hAnsi="仿宋" w:eastAsia="仿宋" w:cs="仿宋"/>
                <w:b w:val="0"/>
                <w:bCs w:val="0"/>
                <w:color w:val="auto"/>
                <w:sz w:val="24"/>
                <w:szCs w:val="24"/>
                <w:highlight w:val="none"/>
                <w:lang w:val="en-US"/>
              </w:rPr>
              <w:t>保险消费投诉情况</w:t>
            </w:r>
          </w:p>
        </w:tc>
        <w:tc>
          <w:tcPr>
            <w:tcW w:w="5985" w:type="dxa"/>
            <w:tcBorders>
              <w:top w:val="single" w:color="auto" w:sz="4" w:space="0"/>
              <w:left w:val="single" w:color="auto" w:sz="4" w:space="0"/>
              <w:bottom w:val="single" w:color="auto" w:sz="4" w:space="0"/>
              <w:right w:val="single" w:color="auto" w:sz="4" w:space="0"/>
            </w:tcBorders>
            <w:noWrap w:val="0"/>
            <w:vAlign w:val="top"/>
          </w:tcPr>
          <w:p w14:paraId="1B12036F">
            <w:pPr>
              <w:pStyle w:val="117"/>
              <w:keepNext w:val="0"/>
              <w:keepLines w:val="0"/>
              <w:widowControl w:val="0"/>
              <w:shd w:val="clear" w:color="auto" w:fill="auto"/>
              <w:bidi w:val="0"/>
              <w:spacing w:before="0" w:after="0" w:line="240" w:lineRule="auto"/>
              <w:ind w:right="0" w:rightChars="0"/>
              <w:jc w:val="both"/>
              <w:rPr>
                <w:rFonts w:hint="eastAsia" w:ascii="仿宋" w:hAnsi="仿宋" w:eastAsia="仿宋" w:cs="仿宋"/>
                <w:b w:val="0"/>
                <w:bCs w:val="0"/>
                <w:color w:val="auto"/>
                <w:sz w:val="24"/>
                <w:szCs w:val="24"/>
                <w:highlight w:val="none"/>
                <w:vertAlign w:val="baseline"/>
                <w:lang w:val="en-US"/>
              </w:rPr>
            </w:pPr>
            <w:r>
              <w:rPr>
                <w:rFonts w:hint="eastAsia" w:ascii="仿宋" w:hAnsi="仿宋" w:eastAsia="仿宋" w:cs="仿宋"/>
                <w:b w:val="0"/>
                <w:bCs w:val="0"/>
                <w:color w:val="auto"/>
                <w:sz w:val="24"/>
                <w:szCs w:val="24"/>
                <w:highlight w:val="none"/>
                <w:vertAlign w:val="baseline"/>
                <w:lang w:val="en-US"/>
              </w:rPr>
              <w:t>根据中国银保监会消费者权益保护局关于2023年第一季度保险消费投诉情况的通报。</w:t>
            </w:r>
            <w:r>
              <w:rPr>
                <w:rFonts w:hint="eastAsia" w:ascii="仿宋" w:hAnsi="仿宋" w:eastAsia="仿宋" w:cs="仿宋"/>
                <w:b w:val="0"/>
                <w:bCs w:val="0"/>
                <w:color w:val="auto"/>
                <w:sz w:val="24"/>
                <w:szCs w:val="24"/>
                <w:highlight w:val="none"/>
                <w:vertAlign w:val="baseline"/>
                <w:lang w:val="en-US" w:eastAsia="zh-CN"/>
              </w:rPr>
              <w:t>投标人</w:t>
            </w:r>
            <w:r>
              <w:rPr>
                <w:rFonts w:hint="eastAsia" w:ascii="仿宋" w:hAnsi="仿宋" w:eastAsia="仿宋" w:cs="仿宋"/>
                <w:b w:val="0"/>
                <w:bCs w:val="0"/>
                <w:color w:val="auto"/>
                <w:sz w:val="24"/>
                <w:szCs w:val="24"/>
                <w:highlight w:val="none"/>
                <w:vertAlign w:val="baseline"/>
              </w:rPr>
              <w:t>总公司</w:t>
            </w:r>
            <w:r>
              <w:rPr>
                <w:rFonts w:hint="eastAsia" w:ascii="仿宋" w:hAnsi="仿宋" w:eastAsia="仿宋" w:cs="仿宋"/>
                <w:b w:val="0"/>
                <w:bCs w:val="0"/>
                <w:color w:val="auto"/>
                <w:sz w:val="24"/>
                <w:szCs w:val="24"/>
                <w:highlight w:val="none"/>
                <w:vertAlign w:val="baseline"/>
                <w:lang w:val="en-US"/>
              </w:rPr>
              <w:t>万张保单投诉量低于0.01的（不含）得4分，高于0.01（含）但低于0.1的（不含）得3分，高于0.1（含）但低于0.2的（不含）得2分，高于0.2（含）但低于0.3的（不含）得1分，高于0.3的（含）得0分。</w:t>
            </w:r>
          </w:p>
          <w:p w14:paraId="2F59B9CE">
            <w:pPr>
              <w:pStyle w:val="117"/>
              <w:keepNext w:val="0"/>
              <w:keepLines w:val="0"/>
              <w:widowControl w:val="0"/>
              <w:shd w:val="clear" w:color="auto" w:fill="auto"/>
              <w:bidi w:val="0"/>
              <w:spacing w:before="0" w:after="0" w:line="240" w:lineRule="auto"/>
              <w:ind w:right="0" w:rightChars="0" w:firstLine="480" w:firstLineChars="200"/>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rPr>
              <w:t>提供银保监消保发〔2023〕6号文件公布的相关证明材料加盖CA</w:t>
            </w:r>
            <w:r>
              <w:rPr>
                <w:rFonts w:hint="eastAsia" w:ascii="仿宋" w:hAnsi="仿宋" w:eastAsia="仿宋" w:cs="仿宋"/>
                <w:b w:val="0"/>
                <w:bCs w:val="0"/>
                <w:color w:val="auto"/>
                <w:sz w:val="24"/>
                <w:szCs w:val="24"/>
                <w:highlight w:val="none"/>
                <w:vertAlign w:val="baseline"/>
                <w:lang w:val="en-US" w:eastAsia="zh-CN"/>
              </w:rPr>
              <w:t>签</w:t>
            </w:r>
            <w:r>
              <w:rPr>
                <w:rFonts w:hint="eastAsia" w:ascii="仿宋" w:hAnsi="仿宋" w:eastAsia="仿宋" w:cs="仿宋"/>
                <w:b w:val="0"/>
                <w:bCs w:val="0"/>
                <w:color w:val="auto"/>
                <w:sz w:val="24"/>
                <w:szCs w:val="24"/>
                <w:highlight w:val="none"/>
                <w:vertAlign w:val="baseline"/>
                <w:lang w:val="en-US"/>
              </w:rPr>
              <w:t>章</w:t>
            </w:r>
            <w:r>
              <w:rPr>
                <w:rFonts w:hint="eastAsia" w:ascii="仿宋" w:hAnsi="仿宋" w:eastAsia="仿宋" w:cs="仿宋"/>
                <w:b w:val="0"/>
                <w:bCs w:val="0"/>
                <w:color w:val="auto"/>
                <w:sz w:val="24"/>
                <w:szCs w:val="24"/>
                <w:highlight w:val="none"/>
                <w:vertAlign w:val="baseline"/>
                <w:lang w:val="en-US" w:eastAsia="zh-CN"/>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3B57B1D">
            <w:pPr>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0-4分</w:t>
            </w:r>
          </w:p>
        </w:tc>
      </w:tr>
      <w:tr w14:paraId="59066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3071742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3</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3754B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20" w:lineRule="exact"/>
              <w:ind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
              </w:rPr>
              <w:t>经营评级情况</w:t>
            </w:r>
          </w:p>
        </w:tc>
        <w:tc>
          <w:tcPr>
            <w:tcW w:w="59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54D38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20" w:lineRule="exact"/>
              <w:ind w:right="0" w:rightChars="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
              </w:rPr>
              <w:t>根据2022年度保险公司法人机构经营评价结果进行评分,B级及以上得2分,C级得1分,另外不得分。须提供相关证明材料</w:t>
            </w:r>
            <w:r>
              <w:rPr>
                <w:rFonts w:hint="eastAsia" w:ascii="仿宋" w:hAnsi="仿宋" w:eastAsia="仿宋" w:cs="仿宋"/>
                <w:b w:val="0"/>
                <w:bCs w:val="0"/>
                <w:color w:val="auto"/>
                <w:sz w:val="24"/>
                <w:szCs w:val="24"/>
                <w:highlight w:val="none"/>
                <w:vertAlign w:val="baseline"/>
                <w:lang w:val="en-US"/>
              </w:rPr>
              <w:t>加盖CA</w:t>
            </w:r>
            <w:r>
              <w:rPr>
                <w:rFonts w:hint="eastAsia" w:ascii="仿宋" w:hAnsi="仿宋" w:eastAsia="仿宋" w:cs="仿宋"/>
                <w:b w:val="0"/>
                <w:bCs w:val="0"/>
                <w:color w:val="auto"/>
                <w:sz w:val="24"/>
                <w:szCs w:val="24"/>
                <w:highlight w:val="none"/>
                <w:vertAlign w:val="baseline"/>
                <w:lang w:val="en-US" w:eastAsia="zh-CN"/>
              </w:rPr>
              <w:t>签</w:t>
            </w:r>
            <w:r>
              <w:rPr>
                <w:rFonts w:hint="eastAsia" w:ascii="仿宋" w:hAnsi="仿宋" w:eastAsia="仿宋" w:cs="仿宋"/>
                <w:b w:val="0"/>
                <w:bCs w:val="0"/>
                <w:color w:val="auto"/>
                <w:sz w:val="24"/>
                <w:szCs w:val="24"/>
                <w:highlight w:val="none"/>
                <w:vertAlign w:val="baseline"/>
                <w:lang w:val="en-US"/>
              </w:rPr>
              <w:t>章</w:t>
            </w:r>
            <w:r>
              <w:rPr>
                <w:rFonts w:hint="eastAsia" w:ascii="仿宋" w:hAnsi="仿宋" w:eastAsia="仿宋" w:cs="仿宋"/>
                <w:b w:val="0"/>
                <w:bCs w:val="0"/>
                <w:color w:val="auto"/>
                <w:sz w:val="24"/>
                <w:szCs w:val="24"/>
                <w:highlight w:val="none"/>
                <w:vertAlign w:val="baseline"/>
                <w:lang w:val="en-US" w:eastAsia="zh-CN"/>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1F267F9">
            <w:pPr>
              <w:keepNext w:val="0"/>
              <w:keepLines w:val="0"/>
              <w:widowControl w:val="0"/>
              <w:suppressLineNumbers w:val="0"/>
              <w:adjustRightInd w:val="0"/>
              <w:spacing w:before="0" w:beforeAutospacing="0" w:after="0" w:afterAutospacing="0" w:line="360" w:lineRule="auto"/>
              <w:ind w:left="0" w:right="0" w:firstLine="0" w:firstLineChars="0"/>
              <w:jc w:val="center"/>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0-2分</w:t>
            </w:r>
          </w:p>
        </w:tc>
      </w:tr>
      <w:tr w14:paraId="649EE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4B1446F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4</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6930713">
            <w:pPr>
              <w:pStyle w:val="117"/>
              <w:keepNext w:val="0"/>
              <w:keepLines w:val="0"/>
              <w:widowControl w:val="0"/>
              <w:shd w:val="clear" w:color="auto" w:fill="auto"/>
              <w:bidi w:val="0"/>
              <w:spacing w:before="0" w:after="0" w:line="463" w:lineRule="exact"/>
              <w:ind w:right="0" w:rightChars="0"/>
              <w:jc w:val="center"/>
              <w:rPr>
                <w:rFonts w:hint="eastAsia" w:ascii="仿宋" w:hAnsi="仿宋" w:eastAsia="仿宋" w:cs="仿宋"/>
                <w:color w:val="auto"/>
                <w:sz w:val="24"/>
                <w:szCs w:val="24"/>
                <w:highlight w:val="none"/>
                <w:lang w:val="en-US"/>
              </w:rPr>
            </w:pPr>
            <w:r>
              <w:rPr>
                <w:rFonts w:hint="eastAsia" w:ascii="仿宋" w:hAnsi="仿宋" w:eastAsia="仿宋" w:cs="仿宋"/>
                <w:b w:val="0"/>
                <w:bCs w:val="0"/>
                <w:color w:val="auto"/>
                <w:sz w:val="24"/>
                <w:szCs w:val="24"/>
                <w:highlight w:val="none"/>
                <w:vertAlign w:val="baseline"/>
                <w:lang w:val="en-US" w:eastAsia="zh-CN"/>
              </w:rPr>
              <w:t>服务渠道</w:t>
            </w:r>
          </w:p>
        </w:tc>
        <w:tc>
          <w:tcPr>
            <w:tcW w:w="5985" w:type="dxa"/>
            <w:tcBorders>
              <w:top w:val="single" w:color="auto" w:sz="4" w:space="0"/>
              <w:left w:val="single" w:color="auto" w:sz="4" w:space="0"/>
              <w:bottom w:val="single" w:color="auto" w:sz="4" w:space="0"/>
              <w:right w:val="single" w:color="auto" w:sz="4" w:space="0"/>
            </w:tcBorders>
            <w:noWrap w:val="0"/>
            <w:vAlign w:val="center"/>
          </w:tcPr>
          <w:p w14:paraId="1EBA3092">
            <w:pPr>
              <w:pStyle w:val="117"/>
              <w:keepNext w:val="0"/>
              <w:keepLines w:val="0"/>
              <w:widowControl w:val="0"/>
              <w:shd w:val="clear" w:color="auto" w:fill="auto"/>
              <w:bidi w:val="0"/>
              <w:spacing w:before="0" w:after="0" w:line="240" w:lineRule="auto"/>
              <w:ind w:right="0" w:rightChars="0"/>
              <w:jc w:val="both"/>
              <w:rPr>
                <w:rFonts w:hint="eastAsia" w:ascii="仿宋" w:hAnsi="仿宋" w:eastAsia="仿宋" w:cs="仿宋"/>
                <w:color w:val="auto"/>
                <w:sz w:val="24"/>
                <w:szCs w:val="24"/>
                <w:highlight w:val="none"/>
                <w:lang w:val="en-US"/>
              </w:rPr>
            </w:pPr>
            <w:r>
              <w:rPr>
                <w:rFonts w:hint="eastAsia" w:ascii="仿宋" w:hAnsi="仿宋" w:eastAsia="仿宋" w:cs="仿宋"/>
                <w:b w:val="0"/>
                <w:bCs w:val="0"/>
                <w:color w:val="auto"/>
                <w:sz w:val="24"/>
                <w:szCs w:val="24"/>
                <w:highlight w:val="none"/>
                <w:vertAlign w:val="baseline"/>
                <w:lang w:val="en-US" w:eastAsia="zh-CN"/>
              </w:rPr>
              <w:t>投标人具备网络服务渠道（0-1分）、电话服务渠道（0-1分）、短信服务渠道（0-1分）、网点服务渠道（0-1分）、专员服务渠道（0-1分）多样化服务渠道，便于投保人针对本合作项目的问题咨询，充分体现服务的人性化和各类服务渠道的便捷性进行综合打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BD93C0B">
            <w:pPr>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0-5分</w:t>
            </w:r>
          </w:p>
        </w:tc>
      </w:tr>
      <w:tr w14:paraId="14085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4B50FAA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5</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8A6ADD">
            <w:pPr>
              <w:pStyle w:val="117"/>
              <w:keepNext w:val="0"/>
              <w:keepLines w:val="0"/>
              <w:widowControl w:val="0"/>
              <w:shd w:val="clear" w:color="auto" w:fill="auto"/>
              <w:bidi w:val="0"/>
              <w:spacing w:before="0" w:after="0" w:line="463" w:lineRule="exact"/>
              <w:ind w:right="0" w:rightChars="0"/>
              <w:jc w:val="center"/>
              <w:rPr>
                <w:rFonts w:hint="eastAsia" w:ascii="仿宋" w:hAnsi="仿宋" w:eastAsia="仿宋" w:cs="仿宋"/>
                <w:b/>
                <w:bCs/>
                <w:color w:val="auto"/>
                <w:kern w:val="2"/>
                <w:sz w:val="24"/>
                <w:szCs w:val="24"/>
                <w:highlight w:val="none"/>
                <w:u w:val="none"/>
                <w:shd w:val="clear" w:color="auto" w:fill="auto"/>
                <w:lang w:val="en-US" w:eastAsia="zh-CN" w:bidi="zh-TW"/>
              </w:rPr>
            </w:pPr>
            <w:r>
              <w:rPr>
                <w:rFonts w:hint="eastAsia" w:ascii="仿宋" w:hAnsi="仿宋" w:eastAsia="仿宋" w:cs="仿宋"/>
                <w:b w:val="0"/>
                <w:bCs w:val="0"/>
                <w:color w:val="auto"/>
                <w:sz w:val="24"/>
                <w:szCs w:val="24"/>
                <w:highlight w:val="none"/>
                <w:vertAlign w:val="baseline"/>
                <w:lang w:val="en-US" w:eastAsia="zh-CN"/>
              </w:rPr>
              <w:t>整体理赔服务方案</w:t>
            </w:r>
          </w:p>
        </w:tc>
        <w:tc>
          <w:tcPr>
            <w:tcW w:w="59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3C8601">
            <w:pPr>
              <w:pStyle w:val="117"/>
              <w:keepNext w:val="0"/>
              <w:keepLines w:val="0"/>
              <w:widowControl w:val="0"/>
              <w:shd w:val="clear" w:color="auto" w:fill="auto"/>
              <w:bidi w:val="0"/>
              <w:spacing w:before="0" w:after="0" w:line="240" w:lineRule="auto"/>
              <w:ind w:right="0" w:rightChars="0"/>
              <w:jc w:val="both"/>
              <w:rPr>
                <w:rFonts w:hint="eastAsia" w:ascii="仿宋" w:hAnsi="仿宋" w:eastAsia="仿宋" w:cs="仿宋"/>
                <w:b/>
                <w:bCs/>
                <w:color w:val="auto"/>
                <w:spacing w:val="4"/>
                <w:kern w:val="2"/>
                <w:sz w:val="24"/>
                <w:szCs w:val="24"/>
                <w:highlight w:val="none"/>
                <w:u w:val="none"/>
                <w:shd w:val="clear" w:color="auto" w:fill="auto"/>
                <w:lang w:val="en-US" w:eastAsia="zh-CN" w:bidi="ar-SA"/>
              </w:rPr>
            </w:pPr>
            <w:r>
              <w:rPr>
                <w:rFonts w:hint="eastAsia" w:ascii="仿宋" w:hAnsi="仿宋" w:eastAsia="仿宋" w:cs="仿宋"/>
                <w:b w:val="0"/>
                <w:bCs w:val="0"/>
                <w:color w:val="auto"/>
                <w:sz w:val="24"/>
                <w:szCs w:val="24"/>
                <w:highlight w:val="none"/>
                <w:vertAlign w:val="baseline"/>
                <w:lang w:val="en-US" w:eastAsia="zh-CN"/>
              </w:rPr>
              <w:t>根据投标人提供的理赔服务方案打分：包括报案受理（0-2分）、查勘（0-2分）、定损（0-2分）、结算（0-2分）、索赔程序（0-2分）、救援设备（0-2分）、响应时间及理赔时效（0-2分）的完整性、合理性、可行性等进行综合打分</w:t>
            </w:r>
            <w:r>
              <w:rPr>
                <w:rFonts w:hint="eastAsia" w:ascii="仿宋" w:hAnsi="仿宋" w:eastAsia="仿宋" w:cs="仿宋"/>
                <w:b w:val="0"/>
                <w:bCs w:val="0"/>
                <w:color w:val="auto"/>
                <w:kern w:val="2"/>
                <w:sz w:val="24"/>
                <w:szCs w:val="24"/>
                <w:highlight w:val="none"/>
                <w:u w:val="none"/>
                <w:shd w:val="clear" w:color="auto" w:fill="auto"/>
                <w:vertAlign w:val="baseline"/>
                <w:lang w:val="en-US" w:eastAsia="zh-CN" w:bidi="zh-TW"/>
              </w:rPr>
              <w:t>。</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B2FA5C">
            <w:pPr>
              <w:spacing w:line="240" w:lineRule="auto"/>
              <w:jc w:val="center"/>
              <w:rPr>
                <w:rFonts w:hint="eastAsia" w:ascii="仿宋" w:hAnsi="仿宋" w:eastAsia="仿宋" w:cs="仿宋"/>
                <w:bCs/>
                <w:color w:val="auto"/>
                <w:spacing w:val="4"/>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0-14</w:t>
            </w:r>
            <w:r>
              <w:rPr>
                <w:rFonts w:hint="eastAsia" w:ascii="仿宋" w:hAnsi="仿宋" w:eastAsia="仿宋" w:cs="仿宋"/>
                <w:color w:val="auto"/>
                <w:sz w:val="24"/>
                <w:szCs w:val="24"/>
                <w:highlight w:val="none"/>
              </w:rPr>
              <w:t>分</w:t>
            </w:r>
          </w:p>
        </w:tc>
      </w:tr>
      <w:tr w14:paraId="5404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0C0DE5F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6</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1E318E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服务团队</w:t>
            </w:r>
          </w:p>
        </w:tc>
        <w:tc>
          <w:tcPr>
            <w:tcW w:w="5985" w:type="dxa"/>
            <w:tcBorders>
              <w:top w:val="single" w:color="auto" w:sz="4" w:space="0"/>
              <w:left w:val="single" w:color="auto" w:sz="4" w:space="0"/>
              <w:bottom w:val="single" w:color="auto" w:sz="4" w:space="0"/>
              <w:right w:val="single" w:color="auto" w:sz="4" w:space="0"/>
            </w:tcBorders>
            <w:noWrap w:val="0"/>
            <w:vAlign w:val="top"/>
          </w:tcPr>
          <w:p w14:paraId="041F6DA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right="0"/>
              <w:jc w:val="both"/>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根据</w:t>
            </w:r>
            <w:r>
              <w:rPr>
                <w:rFonts w:hint="eastAsia" w:ascii="仿宋" w:hAnsi="仿宋" w:eastAsia="仿宋" w:cs="仿宋"/>
                <w:b w:val="0"/>
                <w:bCs w:val="0"/>
                <w:color w:val="auto"/>
                <w:sz w:val="24"/>
                <w:szCs w:val="24"/>
                <w:highlight w:val="none"/>
                <w:vertAlign w:val="baseline"/>
                <w:lang w:val="en-US" w:eastAsia="zh-CN"/>
              </w:rPr>
              <w:t>投标人</w:t>
            </w:r>
            <w:r>
              <w:rPr>
                <w:rFonts w:hint="eastAsia" w:ascii="仿宋" w:hAnsi="仿宋" w:eastAsia="仿宋" w:cs="仿宋"/>
                <w:color w:val="auto"/>
                <w:kern w:val="2"/>
                <w:sz w:val="24"/>
                <w:szCs w:val="24"/>
                <w:highlight w:val="none"/>
                <w:lang w:val="en-US" w:eastAsia="zh-CN" w:bidi="ar"/>
              </w:rPr>
              <w:t>针对本项目配置的服务团队整体专业经验和服务能力等情况进行综合打分。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47812A2">
            <w:pPr>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0-3分</w:t>
            </w:r>
          </w:p>
        </w:tc>
      </w:tr>
      <w:tr w14:paraId="3A4BF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6F3E965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7</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51E456">
            <w:pPr>
              <w:pStyle w:val="117"/>
              <w:keepNext w:val="0"/>
              <w:keepLines w:val="0"/>
              <w:widowControl w:val="0"/>
              <w:shd w:val="clear" w:color="auto" w:fill="auto"/>
              <w:bidi w:val="0"/>
              <w:spacing w:before="0" w:after="0" w:line="463" w:lineRule="exact"/>
              <w:ind w:right="0" w:rightChars="0"/>
              <w:jc w:val="center"/>
              <w:rPr>
                <w:rFonts w:hint="eastAsia" w:ascii="仿宋" w:hAnsi="仿宋" w:eastAsia="仿宋" w:cs="仿宋"/>
                <w:b/>
                <w:bCs/>
                <w:color w:val="auto"/>
                <w:kern w:val="2"/>
                <w:sz w:val="24"/>
                <w:szCs w:val="24"/>
                <w:highlight w:val="none"/>
                <w:u w:val="none"/>
                <w:shd w:val="clear" w:color="auto" w:fill="auto"/>
                <w:lang w:val="en-US" w:eastAsia="zh-CN" w:bidi="zh-TW"/>
              </w:rPr>
            </w:pPr>
            <w:r>
              <w:rPr>
                <w:rFonts w:hint="eastAsia" w:ascii="仿宋" w:hAnsi="仿宋" w:eastAsia="仿宋" w:cs="仿宋"/>
                <w:b w:val="0"/>
                <w:bCs w:val="0"/>
                <w:color w:val="auto"/>
                <w:sz w:val="24"/>
                <w:szCs w:val="24"/>
                <w:highlight w:val="none"/>
                <w:vertAlign w:val="baseline"/>
                <w:lang w:val="en-US" w:eastAsia="zh-CN"/>
              </w:rPr>
              <w:t>设备配置</w:t>
            </w:r>
          </w:p>
        </w:tc>
        <w:tc>
          <w:tcPr>
            <w:tcW w:w="59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F8BEB3">
            <w:pPr>
              <w:pStyle w:val="117"/>
              <w:keepNext w:val="0"/>
              <w:keepLines w:val="0"/>
              <w:widowControl w:val="0"/>
              <w:shd w:val="clear" w:color="auto" w:fill="auto"/>
              <w:bidi w:val="0"/>
              <w:spacing w:before="0" w:after="0" w:line="240" w:lineRule="auto"/>
              <w:ind w:right="0" w:rightChars="0"/>
              <w:jc w:val="both"/>
              <w:rPr>
                <w:rFonts w:hint="eastAsia" w:ascii="仿宋" w:hAnsi="仿宋" w:eastAsia="仿宋" w:cs="仿宋"/>
                <w:b/>
                <w:bCs/>
                <w:color w:val="auto"/>
                <w:kern w:val="2"/>
                <w:sz w:val="24"/>
                <w:szCs w:val="24"/>
                <w:highlight w:val="none"/>
                <w:u w:val="none"/>
                <w:shd w:val="clear" w:color="auto" w:fill="auto"/>
                <w:lang w:val="en-US" w:eastAsia="zh-CN" w:bidi="zh-TW"/>
              </w:rPr>
            </w:pPr>
            <w:r>
              <w:rPr>
                <w:rFonts w:hint="eastAsia" w:ascii="仿宋" w:hAnsi="仿宋" w:eastAsia="仿宋" w:cs="仿宋"/>
                <w:b w:val="0"/>
                <w:bCs w:val="0"/>
                <w:color w:val="auto"/>
                <w:sz w:val="24"/>
                <w:szCs w:val="24"/>
                <w:highlight w:val="none"/>
                <w:vertAlign w:val="baseline"/>
                <w:lang w:val="en-US" w:eastAsia="zh-CN"/>
              </w:rPr>
              <w:t>投标人</w:t>
            </w:r>
            <w:r>
              <w:rPr>
                <w:rFonts w:hint="eastAsia" w:ascii="仿宋" w:hAnsi="仿宋" w:eastAsia="仿宋" w:cs="仿宋"/>
                <w:b w:val="0"/>
                <w:bCs w:val="0"/>
                <w:color w:val="auto"/>
                <w:sz w:val="24"/>
                <w:szCs w:val="24"/>
                <w:highlight w:val="none"/>
                <w:vertAlign w:val="baseline"/>
                <w:lang w:eastAsia="zh-CN"/>
              </w:rPr>
              <w:t>自</w:t>
            </w:r>
            <w:r>
              <w:rPr>
                <w:rFonts w:hint="eastAsia" w:ascii="仿宋" w:hAnsi="仿宋" w:eastAsia="仿宋" w:cs="仿宋"/>
                <w:b w:val="0"/>
                <w:bCs w:val="0"/>
                <w:color w:val="auto"/>
                <w:sz w:val="24"/>
                <w:szCs w:val="24"/>
                <w:highlight w:val="none"/>
                <w:vertAlign w:val="baseline"/>
              </w:rPr>
              <w:t>有理赔、查勘车</w:t>
            </w:r>
            <w:r>
              <w:rPr>
                <w:rFonts w:hint="eastAsia" w:ascii="仿宋" w:hAnsi="仿宋" w:eastAsia="仿宋" w:cs="仿宋"/>
                <w:b w:val="0"/>
                <w:bCs w:val="0"/>
                <w:color w:val="auto"/>
                <w:sz w:val="24"/>
                <w:szCs w:val="24"/>
                <w:highlight w:val="none"/>
                <w:vertAlign w:val="baseline"/>
                <w:lang w:eastAsia="zh-CN"/>
              </w:rPr>
              <w:t>，每有一辆得</w:t>
            </w:r>
            <w:r>
              <w:rPr>
                <w:rFonts w:hint="eastAsia" w:ascii="仿宋" w:hAnsi="仿宋" w:eastAsia="仿宋" w:cs="仿宋"/>
                <w:b w:val="0"/>
                <w:bCs w:val="0"/>
                <w:color w:val="auto"/>
                <w:sz w:val="24"/>
                <w:szCs w:val="24"/>
                <w:highlight w:val="none"/>
                <w:vertAlign w:val="baseline"/>
                <w:lang w:val="en-US" w:eastAsia="zh-CN"/>
              </w:rPr>
              <w:t>0.5分</w:t>
            </w:r>
            <w:r>
              <w:rPr>
                <w:rFonts w:hint="eastAsia" w:ascii="仿宋" w:hAnsi="仿宋" w:eastAsia="仿宋" w:cs="仿宋"/>
                <w:b w:val="0"/>
                <w:bCs w:val="0"/>
                <w:color w:val="auto"/>
                <w:sz w:val="24"/>
                <w:szCs w:val="24"/>
                <w:highlight w:val="none"/>
                <w:vertAlign w:val="baseline"/>
                <w:lang w:eastAsia="zh-CN"/>
              </w:rPr>
              <w:t>，最高</w:t>
            </w:r>
            <w:r>
              <w:rPr>
                <w:rFonts w:hint="eastAsia" w:ascii="仿宋" w:hAnsi="仿宋" w:eastAsia="仿宋" w:cs="仿宋"/>
                <w:b w:val="0"/>
                <w:bCs w:val="0"/>
                <w:color w:val="auto"/>
                <w:sz w:val="24"/>
                <w:szCs w:val="24"/>
                <w:highlight w:val="none"/>
                <w:vertAlign w:val="baseline"/>
              </w:rPr>
              <w:t>得</w:t>
            </w:r>
            <w:r>
              <w:rPr>
                <w:rFonts w:hint="eastAsia" w:ascii="仿宋" w:hAnsi="仿宋" w:eastAsia="仿宋" w:cs="仿宋"/>
                <w:b w:val="0"/>
                <w:bCs w:val="0"/>
                <w:color w:val="auto"/>
                <w:sz w:val="24"/>
                <w:szCs w:val="24"/>
                <w:highlight w:val="none"/>
                <w:vertAlign w:val="baseline"/>
                <w:lang w:val="en-US" w:eastAsia="zh-CN"/>
              </w:rPr>
              <w:t>3</w:t>
            </w:r>
            <w:r>
              <w:rPr>
                <w:rFonts w:hint="eastAsia" w:ascii="仿宋" w:hAnsi="仿宋" w:eastAsia="仿宋" w:cs="仿宋"/>
                <w:b w:val="0"/>
                <w:bCs w:val="0"/>
                <w:color w:val="auto"/>
                <w:sz w:val="24"/>
                <w:szCs w:val="24"/>
                <w:highlight w:val="none"/>
                <w:vertAlign w:val="baseline"/>
              </w:rPr>
              <w:t>分。（提供车辆行驶证、</w:t>
            </w:r>
            <w:r>
              <w:rPr>
                <w:rFonts w:hint="eastAsia" w:ascii="仿宋" w:hAnsi="仿宋" w:eastAsia="仿宋" w:cs="仿宋"/>
                <w:b w:val="0"/>
                <w:bCs w:val="0"/>
                <w:color w:val="auto"/>
                <w:sz w:val="24"/>
                <w:szCs w:val="24"/>
                <w:highlight w:val="none"/>
                <w:vertAlign w:val="baseline"/>
                <w:lang w:eastAsia="zh-CN"/>
              </w:rPr>
              <w:t>车辆</w:t>
            </w:r>
            <w:r>
              <w:rPr>
                <w:rFonts w:hint="eastAsia" w:ascii="仿宋" w:hAnsi="仿宋" w:eastAsia="仿宋" w:cs="仿宋"/>
                <w:b w:val="0"/>
                <w:bCs w:val="0"/>
                <w:color w:val="auto"/>
                <w:sz w:val="24"/>
                <w:szCs w:val="24"/>
                <w:highlight w:val="none"/>
                <w:vertAlign w:val="baseline"/>
                <w:lang w:val="en-US" w:eastAsia="zh-CN"/>
              </w:rPr>
              <w:t>照片及发票</w:t>
            </w:r>
            <w:r>
              <w:rPr>
                <w:rFonts w:hint="eastAsia" w:ascii="仿宋" w:hAnsi="仿宋" w:eastAsia="仿宋" w:cs="仿宋"/>
                <w:b w:val="0"/>
                <w:bCs w:val="0"/>
                <w:color w:val="auto"/>
                <w:sz w:val="24"/>
                <w:szCs w:val="24"/>
                <w:highlight w:val="none"/>
                <w:vertAlign w:val="baseline"/>
              </w:rPr>
              <w:t>等相关证明材料</w:t>
            </w:r>
            <w:r>
              <w:rPr>
                <w:rFonts w:hint="eastAsia" w:ascii="仿宋" w:hAnsi="仿宋" w:eastAsia="仿宋" w:cs="仿宋"/>
                <w:b w:val="0"/>
                <w:bCs w:val="0"/>
                <w:color w:val="auto"/>
                <w:sz w:val="24"/>
                <w:szCs w:val="24"/>
                <w:highlight w:val="none"/>
                <w:vertAlign w:val="baseline"/>
                <w:lang w:val="en-US" w:eastAsia="zh-CN"/>
              </w:rPr>
              <w:t>扫描</w:t>
            </w:r>
            <w:r>
              <w:rPr>
                <w:rFonts w:hint="eastAsia" w:ascii="仿宋" w:hAnsi="仿宋" w:eastAsia="仿宋" w:cs="仿宋"/>
                <w:b w:val="0"/>
                <w:bCs w:val="0"/>
                <w:color w:val="auto"/>
                <w:sz w:val="24"/>
                <w:szCs w:val="24"/>
                <w:highlight w:val="none"/>
                <w:vertAlign w:val="baseline"/>
              </w:rPr>
              <w:t>件</w:t>
            </w:r>
            <w:r>
              <w:rPr>
                <w:rFonts w:hint="eastAsia" w:ascii="仿宋" w:hAnsi="仿宋" w:eastAsia="仿宋" w:cs="仿宋"/>
                <w:b w:val="0"/>
                <w:bCs w:val="0"/>
                <w:color w:val="auto"/>
                <w:sz w:val="24"/>
                <w:szCs w:val="24"/>
                <w:highlight w:val="none"/>
                <w:vertAlign w:val="baseline"/>
                <w:lang w:val="en-US" w:eastAsia="zh-CN"/>
              </w:rPr>
              <w:t>加盖CA签章</w:t>
            </w:r>
            <w:r>
              <w:rPr>
                <w:rFonts w:hint="eastAsia" w:ascii="仿宋" w:hAnsi="仿宋" w:eastAsia="仿宋" w:cs="仿宋"/>
                <w:b w:val="0"/>
                <w:bCs w:val="0"/>
                <w:color w:val="auto"/>
                <w:sz w:val="24"/>
                <w:szCs w:val="24"/>
                <w:highlight w:val="none"/>
                <w:vertAlign w:val="baseline"/>
              </w:rPr>
              <w:t>）</w:t>
            </w:r>
            <w:r>
              <w:rPr>
                <w:rFonts w:hint="eastAsia" w:ascii="仿宋" w:hAnsi="仿宋" w:eastAsia="仿宋" w:cs="仿宋"/>
                <w:b w:val="0"/>
                <w:bCs w:val="0"/>
                <w:color w:val="auto"/>
                <w:sz w:val="24"/>
                <w:szCs w:val="24"/>
                <w:highlight w:val="none"/>
                <w:vertAlign w:val="baseline"/>
                <w:lang w:eastAsia="zh-CN"/>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8E9C1CE">
            <w:pPr>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0-3分</w:t>
            </w:r>
          </w:p>
        </w:tc>
      </w:tr>
      <w:tr w14:paraId="0ACC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6AB7289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8</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DDB667">
            <w:pPr>
              <w:pStyle w:val="117"/>
              <w:keepNext w:val="0"/>
              <w:keepLines w:val="0"/>
              <w:widowControl w:val="0"/>
              <w:shd w:val="clear" w:color="auto" w:fill="auto"/>
              <w:bidi w:val="0"/>
              <w:spacing w:before="0" w:after="0" w:line="463" w:lineRule="exact"/>
              <w:ind w:right="0" w:rightChars="0"/>
              <w:jc w:val="center"/>
              <w:rPr>
                <w:rFonts w:hint="eastAsia" w:ascii="仿宋" w:hAnsi="仿宋" w:eastAsia="仿宋" w:cs="仿宋"/>
                <w:b/>
                <w:bCs/>
                <w:color w:val="auto"/>
                <w:spacing w:val="4"/>
                <w:kern w:val="2"/>
                <w:sz w:val="24"/>
                <w:szCs w:val="24"/>
                <w:highlight w:val="none"/>
                <w:u w:val="none"/>
                <w:shd w:val="clear" w:color="auto" w:fill="auto"/>
                <w:lang w:val="en-US" w:eastAsia="zh-CN" w:bidi="zh-TW"/>
              </w:rPr>
            </w:pPr>
            <w:r>
              <w:rPr>
                <w:rFonts w:hint="eastAsia" w:ascii="仿宋" w:hAnsi="仿宋" w:eastAsia="仿宋" w:cs="仿宋"/>
                <w:b w:val="0"/>
                <w:bCs w:val="0"/>
                <w:color w:val="auto"/>
                <w:sz w:val="24"/>
                <w:szCs w:val="24"/>
                <w:highlight w:val="none"/>
                <w:vertAlign w:val="baseline"/>
                <w:lang w:val="en-US" w:eastAsia="zh-CN"/>
              </w:rPr>
              <w:t>增值服务</w:t>
            </w:r>
          </w:p>
        </w:tc>
        <w:tc>
          <w:tcPr>
            <w:tcW w:w="59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9D4CC9">
            <w:pPr>
              <w:pStyle w:val="117"/>
              <w:keepNext w:val="0"/>
              <w:keepLines w:val="0"/>
              <w:widowControl w:val="0"/>
              <w:shd w:val="clear" w:color="auto" w:fill="auto"/>
              <w:bidi w:val="0"/>
              <w:spacing w:before="0" w:after="0" w:line="240" w:lineRule="auto"/>
              <w:ind w:right="0" w:rightChars="0"/>
              <w:jc w:val="both"/>
              <w:rPr>
                <w:rFonts w:hint="eastAsia" w:ascii="仿宋" w:hAnsi="仿宋" w:eastAsia="仿宋" w:cs="仿宋"/>
                <w:b/>
                <w:bCs/>
                <w:color w:val="auto"/>
                <w:spacing w:val="4"/>
                <w:kern w:val="2"/>
                <w:sz w:val="24"/>
                <w:szCs w:val="24"/>
                <w:highlight w:val="none"/>
                <w:u w:val="none"/>
                <w:shd w:val="clear" w:color="auto" w:fill="auto"/>
                <w:lang w:val="zh-TW" w:eastAsia="zh-CN" w:bidi="zh-TW"/>
              </w:rPr>
            </w:pPr>
            <w:r>
              <w:rPr>
                <w:rFonts w:hint="eastAsia" w:ascii="仿宋" w:hAnsi="仿宋" w:eastAsia="仿宋" w:cs="仿宋"/>
                <w:b w:val="0"/>
                <w:bCs w:val="0"/>
                <w:color w:val="auto"/>
                <w:sz w:val="24"/>
                <w:szCs w:val="24"/>
                <w:highlight w:val="none"/>
                <w:vertAlign w:val="baseline"/>
                <w:lang w:val="en-US" w:eastAsia="zh-CN"/>
              </w:rPr>
              <w:t>根据投标人针对本项目所能提供的基于安全保障方面的增值服务方案，每提供一条得0.5分，满分3分。无增值服务方案，该项不得分。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2590D66">
            <w:pPr>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0-3分</w:t>
            </w:r>
          </w:p>
        </w:tc>
      </w:tr>
      <w:tr w14:paraId="6A32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41D59BC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9</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1C5856">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u w:val="none"/>
                <w:shd w:val="clear" w:color="auto" w:fill="auto"/>
                <w:vertAlign w:val="baseline"/>
                <w:lang w:val="en-US" w:eastAsia="zh-CN" w:bidi="zh-TW"/>
              </w:rPr>
              <w:t>突发情况    应急预案</w:t>
            </w:r>
          </w:p>
        </w:tc>
        <w:tc>
          <w:tcPr>
            <w:tcW w:w="59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1DCDA0">
            <w:pPr>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u w:val="none"/>
                <w:shd w:val="clear" w:color="auto" w:fill="auto"/>
                <w:vertAlign w:val="baseline"/>
                <w:lang w:val="zh-CN" w:eastAsia="zh-CN" w:bidi="zh-TW"/>
              </w:rPr>
              <w:t>根据投标人针对本项目提供的突发情况相关应急预案的全面性、可行性、合理性、时效性等进行</w:t>
            </w:r>
            <w:r>
              <w:rPr>
                <w:rFonts w:hint="eastAsia" w:ascii="仿宋" w:hAnsi="仿宋" w:eastAsia="仿宋" w:cs="仿宋"/>
                <w:b w:val="0"/>
                <w:bCs w:val="0"/>
                <w:color w:val="auto"/>
                <w:kern w:val="2"/>
                <w:sz w:val="24"/>
                <w:szCs w:val="24"/>
                <w:highlight w:val="none"/>
                <w:u w:val="none"/>
                <w:shd w:val="clear" w:color="auto" w:fill="auto"/>
                <w:vertAlign w:val="baseline"/>
                <w:lang w:val="en-US" w:eastAsia="zh-CN" w:bidi="zh-TW"/>
              </w:rPr>
              <w:t>综合打分。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A6D2F76">
            <w:pPr>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0-5分</w:t>
            </w:r>
          </w:p>
        </w:tc>
      </w:tr>
      <w:tr w14:paraId="38A27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3469522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10</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E0F676">
            <w:pPr>
              <w:spacing w:line="240" w:lineRule="auto"/>
              <w:jc w:val="left"/>
              <w:rPr>
                <w:rFonts w:hint="eastAsia" w:ascii="仿宋" w:hAnsi="仿宋" w:eastAsia="仿宋" w:cs="仿宋"/>
                <w:b w:val="0"/>
                <w:bCs w:val="0"/>
                <w:color w:val="auto"/>
                <w:kern w:val="2"/>
                <w:sz w:val="24"/>
                <w:szCs w:val="24"/>
                <w:highlight w:val="none"/>
                <w:u w:val="none"/>
                <w:shd w:val="clear" w:color="auto" w:fill="auto"/>
                <w:vertAlign w:val="baseline"/>
                <w:lang w:val="en-US" w:eastAsia="zh-CN" w:bidi="zh-TW"/>
              </w:rPr>
            </w:pPr>
            <w:r>
              <w:rPr>
                <w:rFonts w:hint="eastAsia" w:ascii="仿宋" w:hAnsi="仿宋" w:eastAsia="仿宋" w:cs="仿宋"/>
                <w:b w:val="0"/>
                <w:bCs w:val="0"/>
                <w:color w:val="auto"/>
                <w:kern w:val="2"/>
                <w:sz w:val="24"/>
                <w:szCs w:val="24"/>
                <w:highlight w:val="none"/>
                <w:u w:val="none"/>
                <w:shd w:val="clear" w:color="auto" w:fill="auto"/>
                <w:vertAlign w:val="baseline"/>
                <w:lang w:val="en-US" w:eastAsia="zh-CN" w:bidi="zh-TW"/>
              </w:rPr>
              <w:t>内控方案</w:t>
            </w:r>
          </w:p>
        </w:tc>
        <w:tc>
          <w:tcPr>
            <w:tcW w:w="59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487BBE">
            <w:pPr>
              <w:spacing w:line="240" w:lineRule="auto"/>
              <w:jc w:val="left"/>
              <w:rPr>
                <w:rFonts w:hint="eastAsia" w:ascii="仿宋" w:hAnsi="仿宋" w:eastAsia="仿宋" w:cs="仿宋"/>
                <w:b w:val="0"/>
                <w:bCs w:val="0"/>
                <w:color w:val="auto"/>
                <w:kern w:val="2"/>
                <w:sz w:val="24"/>
                <w:szCs w:val="24"/>
                <w:highlight w:val="none"/>
                <w:u w:val="none"/>
                <w:shd w:val="clear" w:color="auto" w:fill="auto"/>
                <w:vertAlign w:val="baseline"/>
                <w:lang w:val="zh-CN" w:eastAsia="zh-CN" w:bidi="zh-TW"/>
              </w:rPr>
            </w:pPr>
            <w:r>
              <w:rPr>
                <w:rFonts w:hint="eastAsia" w:ascii="仿宋" w:hAnsi="仿宋" w:eastAsia="仿宋" w:cs="仿宋"/>
                <w:b w:val="0"/>
                <w:bCs w:val="0"/>
                <w:color w:val="auto"/>
                <w:kern w:val="2"/>
                <w:sz w:val="24"/>
                <w:szCs w:val="24"/>
                <w:highlight w:val="none"/>
                <w:u w:val="none"/>
                <w:shd w:val="clear" w:color="auto" w:fill="auto"/>
                <w:vertAlign w:val="baseline"/>
                <w:lang w:val="zh-CN" w:eastAsia="zh-CN" w:bidi="zh-TW"/>
              </w:rPr>
              <w:t>根据</w:t>
            </w:r>
            <w:r>
              <w:rPr>
                <w:rFonts w:hint="eastAsia" w:ascii="仿宋" w:hAnsi="仿宋" w:eastAsia="仿宋" w:cs="仿宋"/>
                <w:b w:val="0"/>
                <w:bCs w:val="0"/>
                <w:color w:val="auto"/>
                <w:sz w:val="24"/>
                <w:szCs w:val="24"/>
                <w:highlight w:val="none"/>
                <w:vertAlign w:val="baseline"/>
                <w:lang w:val="en-US" w:eastAsia="zh-CN"/>
              </w:rPr>
              <w:t>投标人</w:t>
            </w:r>
            <w:r>
              <w:rPr>
                <w:rFonts w:hint="eastAsia" w:ascii="仿宋" w:hAnsi="仿宋" w:eastAsia="仿宋" w:cs="仿宋"/>
                <w:b w:val="0"/>
                <w:bCs w:val="0"/>
                <w:color w:val="auto"/>
                <w:kern w:val="2"/>
                <w:sz w:val="24"/>
                <w:szCs w:val="24"/>
                <w:highlight w:val="none"/>
                <w:u w:val="none"/>
                <w:shd w:val="clear" w:color="auto" w:fill="auto"/>
                <w:vertAlign w:val="baseline"/>
                <w:lang w:val="en-US" w:eastAsia="zh-CN" w:bidi="zh-TW"/>
              </w:rPr>
              <w:t>对</w:t>
            </w:r>
            <w:r>
              <w:rPr>
                <w:rFonts w:hint="eastAsia" w:ascii="仿宋" w:hAnsi="仿宋" w:eastAsia="仿宋" w:cs="仿宋"/>
                <w:b w:val="0"/>
                <w:bCs w:val="0"/>
                <w:color w:val="auto"/>
                <w:kern w:val="2"/>
                <w:sz w:val="24"/>
                <w:szCs w:val="24"/>
                <w:highlight w:val="none"/>
                <w:u w:val="none"/>
                <w:shd w:val="clear" w:color="auto" w:fill="auto"/>
                <w:vertAlign w:val="baseline"/>
                <w:lang w:val="zh-CN" w:eastAsia="zh-CN" w:bidi="zh-TW"/>
              </w:rPr>
              <w:t>本项目设置的内控方案，应提供管理制度（</w:t>
            </w:r>
            <w:r>
              <w:rPr>
                <w:rFonts w:hint="eastAsia" w:ascii="仿宋" w:hAnsi="仿宋" w:eastAsia="仿宋" w:cs="仿宋"/>
                <w:b w:val="0"/>
                <w:bCs w:val="0"/>
                <w:color w:val="auto"/>
                <w:kern w:val="2"/>
                <w:sz w:val="24"/>
                <w:szCs w:val="24"/>
                <w:highlight w:val="none"/>
                <w:u w:val="none"/>
                <w:shd w:val="clear" w:color="auto" w:fill="auto"/>
                <w:vertAlign w:val="baseline"/>
                <w:lang w:val="en-US" w:eastAsia="zh-CN" w:bidi="zh-TW"/>
              </w:rPr>
              <w:t>0-2分）</w:t>
            </w:r>
            <w:r>
              <w:rPr>
                <w:rFonts w:hint="eastAsia" w:ascii="仿宋" w:hAnsi="仿宋" w:eastAsia="仿宋" w:cs="仿宋"/>
                <w:b w:val="0"/>
                <w:bCs w:val="0"/>
                <w:color w:val="auto"/>
                <w:kern w:val="2"/>
                <w:sz w:val="24"/>
                <w:szCs w:val="24"/>
                <w:highlight w:val="none"/>
                <w:u w:val="none"/>
                <w:shd w:val="clear" w:color="auto" w:fill="auto"/>
                <w:vertAlign w:val="baseline"/>
                <w:lang w:val="zh-CN" w:eastAsia="zh-CN" w:bidi="zh-TW"/>
              </w:rPr>
              <w:t>、人员培训考核（</w:t>
            </w:r>
            <w:r>
              <w:rPr>
                <w:rFonts w:hint="eastAsia" w:ascii="仿宋" w:hAnsi="仿宋" w:eastAsia="仿宋" w:cs="仿宋"/>
                <w:b w:val="0"/>
                <w:bCs w:val="0"/>
                <w:color w:val="auto"/>
                <w:kern w:val="2"/>
                <w:sz w:val="24"/>
                <w:szCs w:val="24"/>
                <w:highlight w:val="none"/>
                <w:u w:val="none"/>
                <w:shd w:val="clear" w:color="auto" w:fill="auto"/>
                <w:vertAlign w:val="baseline"/>
                <w:lang w:val="en-US" w:eastAsia="zh-CN" w:bidi="zh-TW"/>
              </w:rPr>
              <w:t>0-2分）</w:t>
            </w:r>
            <w:r>
              <w:rPr>
                <w:rFonts w:hint="eastAsia" w:ascii="仿宋" w:hAnsi="仿宋" w:eastAsia="仿宋" w:cs="仿宋"/>
                <w:b w:val="0"/>
                <w:bCs w:val="0"/>
                <w:color w:val="auto"/>
                <w:kern w:val="2"/>
                <w:sz w:val="24"/>
                <w:szCs w:val="24"/>
                <w:highlight w:val="none"/>
                <w:u w:val="none"/>
                <w:shd w:val="clear" w:color="auto" w:fill="auto"/>
                <w:vertAlign w:val="baseline"/>
                <w:lang w:val="zh-CN" w:eastAsia="zh-CN" w:bidi="zh-TW"/>
              </w:rPr>
              <w:t>、顾客投诉处理情况（</w:t>
            </w:r>
            <w:r>
              <w:rPr>
                <w:rFonts w:hint="eastAsia" w:ascii="仿宋" w:hAnsi="仿宋" w:eastAsia="仿宋" w:cs="仿宋"/>
                <w:b w:val="0"/>
                <w:bCs w:val="0"/>
                <w:color w:val="auto"/>
                <w:kern w:val="2"/>
                <w:sz w:val="24"/>
                <w:szCs w:val="24"/>
                <w:highlight w:val="none"/>
                <w:u w:val="none"/>
                <w:shd w:val="clear" w:color="auto" w:fill="auto"/>
                <w:vertAlign w:val="baseline"/>
                <w:lang w:val="en-US" w:eastAsia="zh-CN" w:bidi="zh-TW"/>
              </w:rPr>
              <w:t>0-2分）</w:t>
            </w:r>
            <w:r>
              <w:rPr>
                <w:rFonts w:hint="eastAsia" w:ascii="仿宋" w:hAnsi="仿宋" w:eastAsia="仿宋" w:cs="仿宋"/>
                <w:b w:val="0"/>
                <w:bCs w:val="0"/>
                <w:color w:val="auto"/>
                <w:kern w:val="2"/>
                <w:sz w:val="24"/>
                <w:szCs w:val="24"/>
                <w:highlight w:val="none"/>
                <w:u w:val="none"/>
                <w:shd w:val="clear" w:color="auto" w:fill="auto"/>
                <w:vertAlign w:val="baseline"/>
                <w:lang w:val="zh-CN" w:eastAsia="zh-CN" w:bidi="zh-TW"/>
              </w:rPr>
              <w:t>进行打分。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818719C">
            <w:pPr>
              <w:spacing w:line="240" w:lineRule="auto"/>
              <w:jc w:val="center"/>
              <w:rPr>
                <w:rFonts w:hint="eastAsia" w:ascii="仿宋" w:hAnsi="仿宋" w:eastAsia="仿宋" w:cs="仿宋"/>
                <w:b w:val="0"/>
                <w:bCs w:val="0"/>
                <w:color w:val="auto"/>
                <w:kern w:val="2"/>
                <w:sz w:val="24"/>
                <w:szCs w:val="24"/>
                <w:highlight w:val="none"/>
                <w:u w:val="none"/>
                <w:shd w:val="clear" w:color="auto" w:fill="auto"/>
                <w:vertAlign w:val="baseline"/>
                <w:lang w:val="en-US" w:eastAsia="zh-CN" w:bidi="zh-TW"/>
              </w:rPr>
            </w:pPr>
            <w:r>
              <w:rPr>
                <w:rFonts w:hint="eastAsia" w:ascii="仿宋" w:hAnsi="仿宋" w:eastAsia="仿宋" w:cs="仿宋"/>
                <w:b w:val="0"/>
                <w:bCs w:val="0"/>
                <w:color w:val="auto"/>
                <w:kern w:val="2"/>
                <w:sz w:val="24"/>
                <w:szCs w:val="24"/>
                <w:highlight w:val="none"/>
                <w:u w:val="none"/>
                <w:shd w:val="clear" w:color="auto" w:fill="auto"/>
                <w:vertAlign w:val="baseline"/>
                <w:lang w:val="en-US" w:eastAsia="zh-CN" w:bidi="zh-TW"/>
              </w:rPr>
              <w:t>0-6分</w:t>
            </w:r>
          </w:p>
        </w:tc>
      </w:tr>
    </w:tbl>
    <w:p w14:paraId="426A2E2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line="460" w:lineRule="exact"/>
        <w:ind w:leftChars="0"/>
        <w:jc w:val="both"/>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bCs/>
          <w:iCs/>
          <w:color w:val="auto"/>
          <w:sz w:val="24"/>
          <w:highlight w:val="none"/>
        </w:rPr>
        <w:t>2.2</w:t>
      </w:r>
      <w:r>
        <w:rPr>
          <w:rFonts w:hint="eastAsia" w:ascii="仿宋" w:hAnsi="仿宋" w:eastAsia="仿宋" w:cs="仿宋"/>
          <w:b/>
          <w:bCs/>
          <w:iCs/>
          <w:color w:val="auto"/>
          <w:sz w:val="24"/>
          <w:highlight w:val="none"/>
          <w:lang w:val="en-US" w:eastAsia="zh-CN"/>
        </w:rPr>
        <w:t xml:space="preserve"> </w:t>
      </w:r>
      <w:r>
        <w:rPr>
          <w:rFonts w:hint="eastAsia" w:ascii="仿宋" w:hAnsi="仿宋" w:eastAsia="仿宋" w:cs="仿宋"/>
          <w:b/>
          <w:bCs/>
          <w:iCs/>
          <w:color w:val="auto"/>
          <w:sz w:val="24"/>
          <w:highlight w:val="none"/>
        </w:rPr>
        <w:t>价格分（</w:t>
      </w:r>
      <w:r>
        <w:rPr>
          <w:rFonts w:hint="eastAsia" w:ascii="仿宋" w:hAnsi="仿宋" w:eastAsia="仿宋" w:cs="仿宋"/>
          <w:b/>
          <w:bCs/>
          <w:iCs/>
          <w:color w:val="auto"/>
          <w:sz w:val="24"/>
          <w:highlight w:val="none"/>
          <w:lang w:val="en-US" w:eastAsia="zh-CN"/>
        </w:rPr>
        <w:t>5</w:t>
      </w:r>
      <w:r>
        <w:rPr>
          <w:rFonts w:hint="eastAsia" w:ascii="仿宋" w:hAnsi="仿宋" w:eastAsia="仿宋" w:cs="仿宋"/>
          <w:b/>
          <w:bCs/>
          <w:iCs/>
          <w:color w:val="auto"/>
          <w:sz w:val="24"/>
          <w:highlight w:val="none"/>
        </w:rPr>
        <w:t>0分</w:t>
      </w:r>
      <w:r>
        <w:rPr>
          <w:rFonts w:hint="eastAsia" w:ascii="仿宋" w:hAnsi="仿宋" w:eastAsia="仿宋" w:cs="仿宋"/>
          <w:b/>
          <w:bCs/>
          <w:iCs/>
          <w:color w:val="auto"/>
          <w:sz w:val="24"/>
          <w:highlight w:val="none"/>
          <w:lang w:eastAsia="zh-CN"/>
        </w:rPr>
        <w:t>，</w:t>
      </w:r>
      <w:r>
        <w:rPr>
          <w:rFonts w:hint="eastAsia" w:ascii="仿宋" w:hAnsi="仿宋" w:eastAsia="仿宋" w:cs="仿宋"/>
          <w:b/>
          <w:bCs/>
          <w:iCs/>
          <w:color w:val="auto"/>
          <w:sz w:val="24"/>
          <w:highlight w:val="none"/>
          <w:lang w:val="en-US" w:eastAsia="zh-CN"/>
        </w:rPr>
        <w:t>其中车辆保险5分，</w:t>
      </w:r>
      <w:r>
        <w:rPr>
          <w:rFonts w:hint="eastAsia" w:ascii="仿宋" w:hAnsi="仿宋" w:eastAsia="仿宋" w:cs="仿宋"/>
          <w:b/>
          <w:bCs/>
          <w:color w:val="auto"/>
          <w:sz w:val="24"/>
          <w:szCs w:val="24"/>
          <w:highlight w:val="none"/>
          <w:lang w:val="en-US" w:eastAsia="zh-CN"/>
        </w:rPr>
        <w:t>其余险种合计45分</w:t>
      </w:r>
      <w:r>
        <w:rPr>
          <w:rFonts w:hint="eastAsia" w:ascii="仿宋" w:hAnsi="仿宋" w:eastAsia="仿宋" w:cs="仿宋"/>
          <w:b/>
          <w:bCs/>
          <w:iCs/>
          <w:color w:val="auto"/>
          <w:sz w:val="24"/>
          <w:highlight w:val="none"/>
          <w:lang w:eastAsia="zh-CN"/>
        </w:rPr>
        <w:t>）</w:t>
      </w:r>
    </w:p>
    <w:p w14:paraId="48A7C90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color w:val="auto"/>
          <w:highlight w:val="none"/>
        </w:rPr>
      </w:pPr>
      <w:r>
        <w:rPr>
          <w:rFonts w:hint="eastAsia" w:ascii="仿宋" w:hAnsi="仿宋" w:eastAsia="仿宋" w:cs="仿宋"/>
          <w:bCs/>
          <w:iCs/>
          <w:color w:val="auto"/>
          <w:sz w:val="24"/>
          <w:highlight w:val="none"/>
        </w:rPr>
        <w:t>2.2.1评标基准价：满足招标文件要求且</w:t>
      </w:r>
      <w:r>
        <w:rPr>
          <w:rFonts w:hint="eastAsia" w:ascii="仿宋" w:hAnsi="仿宋" w:eastAsia="仿宋" w:cs="仿宋"/>
          <w:b w:val="0"/>
          <w:bCs w:val="0"/>
          <w:color w:val="auto"/>
          <w:sz w:val="24"/>
          <w:szCs w:val="24"/>
          <w:highlight w:val="none"/>
          <w:lang w:val="en-US" w:eastAsia="zh-CN"/>
        </w:rPr>
        <w:t>车辆承保自主</w:t>
      </w:r>
      <w:r>
        <w:rPr>
          <w:rFonts w:hint="eastAsia" w:ascii="仿宋" w:hAnsi="仿宋" w:eastAsia="仿宋" w:cs="仿宋"/>
          <w:b w:val="0"/>
          <w:bCs w:val="0"/>
          <w:i w:val="0"/>
          <w:iCs w:val="0"/>
          <w:color w:val="auto"/>
          <w:kern w:val="2"/>
          <w:sz w:val="24"/>
          <w:szCs w:val="20"/>
          <w:highlight w:val="none"/>
          <w:vertAlign w:val="baseline"/>
          <w:lang w:val="en-US" w:eastAsia="zh-CN" w:bidi="ar-SA"/>
        </w:rPr>
        <w:t>折扣</w:t>
      </w:r>
      <w:r>
        <w:rPr>
          <w:rFonts w:hint="eastAsia" w:ascii="仿宋" w:hAnsi="仿宋" w:eastAsia="仿宋" w:cs="仿宋"/>
          <w:b w:val="0"/>
          <w:bCs w:val="0"/>
          <w:color w:val="auto"/>
          <w:sz w:val="24"/>
          <w:szCs w:val="24"/>
          <w:highlight w:val="none"/>
          <w:lang w:val="en-US" w:eastAsia="zh-CN"/>
        </w:rPr>
        <w:t>系数</w:t>
      </w:r>
      <w:r>
        <w:rPr>
          <w:rFonts w:hint="eastAsia" w:ascii="仿宋" w:hAnsi="仿宋" w:eastAsia="仿宋" w:cs="仿宋"/>
          <w:b w:val="0"/>
          <w:bCs w:val="0"/>
          <w:iCs/>
          <w:color w:val="auto"/>
          <w:sz w:val="24"/>
          <w:highlight w:val="none"/>
        </w:rPr>
        <w:t>最低的投标报价为评标基准价</w:t>
      </w:r>
      <w:r>
        <w:rPr>
          <w:rFonts w:hint="eastAsia" w:ascii="仿宋" w:hAnsi="仿宋" w:eastAsia="仿宋" w:cs="仿宋"/>
          <w:b w:val="0"/>
          <w:bCs w:val="0"/>
          <w:iCs/>
          <w:color w:val="auto"/>
          <w:sz w:val="24"/>
          <w:highlight w:val="none"/>
          <w:lang w:eastAsia="zh-CN"/>
        </w:rPr>
        <w:t>，</w:t>
      </w:r>
      <w:r>
        <w:rPr>
          <w:rFonts w:hint="eastAsia" w:ascii="仿宋" w:hAnsi="仿宋" w:eastAsia="仿宋" w:cs="仿宋"/>
          <w:bCs/>
          <w:iCs/>
          <w:color w:val="auto"/>
          <w:sz w:val="24"/>
          <w:highlight w:val="none"/>
        </w:rPr>
        <w:t>其价格分为满分</w:t>
      </w:r>
      <w:r>
        <w:rPr>
          <w:rFonts w:hint="eastAsia" w:ascii="仿宋" w:hAnsi="仿宋" w:eastAsia="仿宋" w:cs="仿宋"/>
          <w:bCs/>
          <w:iCs/>
          <w:color w:val="auto"/>
          <w:sz w:val="24"/>
          <w:highlight w:val="none"/>
          <w:lang w:eastAsia="zh-CN"/>
        </w:rPr>
        <w:t>，</w:t>
      </w:r>
      <w:r>
        <w:rPr>
          <w:rFonts w:hint="eastAsia" w:ascii="仿宋" w:hAnsi="仿宋" w:eastAsia="仿宋" w:cs="仿宋"/>
          <w:bCs/>
          <w:iCs/>
          <w:color w:val="auto"/>
          <w:sz w:val="24"/>
          <w:highlight w:val="none"/>
          <w:lang w:val="en-US" w:eastAsia="zh-CN"/>
        </w:rPr>
        <w:t>报价</w:t>
      </w:r>
      <w:r>
        <w:rPr>
          <w:rFonts w:hint="eastAsia" w:ascii="仿宋" w:hAnsi="仿宋" w:eastAsia="仿宋" w:cs="仿宋"/>
          <w:b w:val="0"/>
          <w:bCs w:val="0"/>
          <w:iCs/>
          <w:color w:val="auto"/>
          <w:sz w:val="24"/>
          <w:highlight w:val="none"/>
          <w:lang w:val="en-US" w:eastAsia="zh-CN"/>
        </w:rPr>
        <w:t>低于</w:t>
      </w:r>
      <w:r>
        <w:rPr>
          <w:rFonts w:hint="eastAsia" w:ascii="仿宋" w:hAnsi="仿宋" w:eastAsia="仿宋" w:cs="仿宋"/>
          <w:color w:val="auto"/>
          <w:sz w:val="24"/>
          <w:szCs w:val="24"/>
          <w:highlight w:val="none"/>
          <w:lang w:val="en-US" w:eastAsia="zh-CN"/>
        </w:rPr>
        <w:t>浙江省行业监管最低折扣系数</w:t>
      </w:r>
      <w:r>
        <w:rPr>
          <w:rFonts w:hint="eastAsia" w:ascii="仿宋" w:hAnsi="仿宋" w:eastAsia="仿宋" w:cs="仿宋"/>
          <w:b w:val="0"/>
          <w:bCs w:val="0"/>
          <w:iCs/>
          <w:color w:val="auto"/>
          <w:sz w:val="24"/>
          <w:highlight w:val="none"/>
          <w:lang w:val="en-US" w:eastAsia="zh-CN"/>
        </w:rPr>
        <w:t>的，作无效标处理</w:t>
      </w:r>
      <w:r>
        <w:rPr>
          <w:rFonts w:hint="eastAsia" w:ascii="仿宋" w:hAnsi="仿宋" w:eastAsia="仿宋" w:cs="仿宋"/>
          <w:b w:val="0"/>
          <w:bCs w:val="0"/>
          <w:iCs/>
          <w:color w:val="auto"/>
          <w:sz w:val="24"/>
          <w:highlight w:val="none"/>
          <w:lang w:eastAsia="zh-CN"/>
        </w:rPr>
        <w:t>。</w:t>
      </w:r>
      <w:r>
        <w:rPr>
          <w:rFonts w:hint="eastAsia" w:ascii="仿宋" w:hAnsi="仿宋" w:eastAsia="仿宋" w:cs="仿宋"/>
          <w:b w:val="0"/>
          <w:bCs w:val="0"/>
          <w:color w:val="auto"/>
          <w:sz w:val="24"/>
          <w:szCs w:val="24"/>
          <w:highlight w:val="none"/>
          <w:lang w:val="en-US" w:eastAsia="zh-CN"/>
        </w:rPr>
        <w:t>其余四项险种合计</w:t>
      </w:r>
      <w:r>
        <w:rPr>
          <w:rFonts w:hint="eastAsia" w:ascii="仿宋" w:hAnsi="仿宋" w:eastAsia="仿宋" w:cs="仿宋"/>
          <w:b w:val="0"/>
          <w:bCs w:val="0"/>
          <w:iCs/>
          <w:color w:val="auto"/>
          <w:sz w:val="24"/>
          <w:highlight w:val="none"/>
        </w:rPr>
        <w:t>投标价格</w:t>
      </w:r>
      <w:r>
        <w:rPr>
          <w:rFonts w:hint="eastAsia" w:ascii="仿宋" w:hAnsi="仿宋" w:eastAsia="仿宋" w:cs="仿宋"/>
          <w:bCs/>
          <w:iCs/>
          <w:color w:val="auto"/>
          <w:sz w:val="24"/>
          <w:highlight w:val="none"/>
        </w:rPr>
        <w:t>满足招标文件要求且</w:t>
      </w:r>
      <w:r>
        <w:rPr>
          <w:rFonts w:hint="eastAsia" w:ascii="仿宋" w:hAnsi="仿宋" w:eastAsia="仿宋" w:cs="仿宋"/>
          <w:b w:val="0"/>
          <w:bCs w:val="0"/>
          <w:iCs/>
          <w:color w:val="auto"/>
          <w:sz w:val="24"/>
          <w:highlight w:val="none"/>
        </w:rPr>
        <w:t>最低的投标报价为评标基准价</w:t>
      </w:r>
      <w:r>
        <w:rPr>
          <w:rFonts w:hint="eastAsia" w:ascii="仿宋" w:hAnsi="仿宋" w:eastAsia="仿宋" w:cs="仿宋"/>
          <w:b w:val="0"/>
          <w:bCs w:val="0"/>
          <w:iCs/>
          <w:color w:val="auto"/>
          <w:sz w:val="24"/>
          <w:highlight w:val="none"/>
          <w:lang w:eastAsia="zh-CN"/>
        </w:rPr>
        <w:t>，</w:t>
      </w:r>
      <w:r>
        <w:rPr>
          <w:rFonts w:hint="eastAsia" w:ascii="仿宋" w:hAnsi="仿宋" w:eastAsia="仿宋" w:cs="仿宋"/>
          <w:bCs/>
          <w:iCs/>
          <w:color w:val="auto"/>
          <w:sz w:val="24"/>
          <w:highlight w:val="none"/>
        </w:rPr>
        <w:t>其价格分为满分。</w:t>
      </w:r>
    </w:p>
    <w:p w14:paraId="45BDA8C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2.2.2其他投标人的价格分统一按照下列公式计算：</w:t>
      </w:r>
    </w:p>
    <w:p w14:paraId="37137758">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60" w:lineRule="exact"/>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投标报价得分=(评标基准价／投标报价)×价格权值×100</w:t>
      </w:r>
    </w:p>
    <w:p w14:paraId="7FDF9570">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iCs/>
          <w:color w:val="auto"/>
          <w:sz w:val="24"/>
          <w:highlight w:val="none"/>
        </w:rPr>
      </w:pPr>
      <w:r>
        <w:rPr>
          <w:rFonts w:hint="eastAsia" w:ascii="仿宋" w:hAnsi="仿宋" w:eastAsia="仿宋" w:cs="仿宋"/>
          <w:b/>
          <w:iCs/>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C8F481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4"/>
          <w:highlight w:val="none"/>
        </w:rPr>
      </w:pPr>
      <w:r>
        <w:rPr>
          <w:rFonts w:hint="eastAsia" w:ascii="仿宋" w:hAnsi="仿宋" w:eastAsia="仿宋" w:cs="仿宋"/>
          <w:bCs/>
          <w:iCs/>
          <w:color w:val="auto"/>
          <w:sz w:val="24"/>
          <w:highlight w:val="none"/>
        </w:rPr>
        <w:t>2.2.</w:t>
      </w:r>
      <w:r>
        <w:rPr>
          <w:rFonts w:hint="eastAsia" w:ascii="仿宋" w:hAnsi="仿宋" w:eastAsia="仿宋" w:cs="仿宋"/>
          <w:bCs/>
          <w:iCs/>
          <w:color w:val="auto"/>
          <w:sz w:val="24"/>
          <w:highlight w:val="none"/>
          <w:lang w:val="en-US" w:eastAsia="zh-CN"/>
        </w:rPr>
        <w:t>3</w:t>
      </w:r>
      <w:r>
        <w:rPr>
          <w:rFonts w:hint="eastAsia" w:ascii="仿宋" w:hAnsi="仿宋" w:eastAsia="仿宋" w:cs="仿宋"/>
          <w:b/>
          <w:color w:val="auto"/>
          <w:sz w:val="24"/>
          <w:highlight w:val="none"/>
        </w:rPr>
        <w:t>本项目风险控制价为</w:t>
      </w:r>
      <w:r>
        <w:rPr>
          <w:rFonts w:hint="eastAsia" w:ascii="仿宋" w:hAnsi="仿宋" w:eastAsia="仿宋" w:cs="仿宋"/>
          <w:b/>
          <w:color w:val="auto"/>
          <w:sz w:val="24"/>
          <w:highlight w:val="none"/>
          <w:lang w:val="en-US" w:eastAsia="zh-CN"/>
        </w:rPr>
        <w:t>731.2万元（车辆保险除外）</w:t>
      </w:r>
      <w:r>
        <w:rPr>
          <w:rFonts w:hint="eastAsia" w:ascii="仿宋" w:hAnsi="仿宋" w:eastAsia="仿宋" w:cs="仿宋"/>
          <w:b/>
          <w:color w:val="auto"/>
          <w:sz w:val="24"/>
          <w:highlight w:val="none"/>
        </w:rPr>
        <w:t>。投标报价高于本次最高限价的，</w:t>
      </w:r>
      <w:r>
        <w:rPr>
          <w:rFonts w:hint="eastAsia" w:ascii="仿宋" w:hAnsi="仿宋" w:eastAsia="仿宋" w:cs="仿宋"/>
          <w:b/>
          <w:color w:val="auto"/>
          <w:szCs w:val="24"/>
          <w:highlight w:val="none"/>
        </w:rPr>
        <w:t>投标无效。</w:t>
      </w:r>
      <w:r>
        <w:rPr>
          <w:rFonts w:hint="eastAsia" w:ascii="仿宋" w:hAnsi="仿宋" w:eastAsia="仿宋" w:cs="仿宋"/>
          <w:b/>
          <w:color w:val="auto"/>
          <w:sz w:val="24"/>
          <w:highlight w:val="none"/>
        </w:rPr>
        <w:t>低于风险控制价的，必须额外补交中标价净值与风险控制价之差额</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在</w:t>
      </w:r>
      <w:r>
        <w:rPr>
          <w:rFonts w:hint="eastAsia" w:ascii="仿宋" w:hAnsi="仿宋" w:eastAsia="仿宋" w:cs="仿宋"/>
          <w:b/>
          <w:color w:val="auto"/>
          <w:sz w:val="24"/>
          <w:highlight w:val="none"/>
        </w:rPr>
        <w:t>中标通知书发出之日起10个工作日内</w:t>
      </w:r>
      <w:r>
        <w:rPr>
          <w:rFonts w:hint="eastAsia" w:ascii="仿宋" w:hAnsi="仿宋" w:eastAsia="仿宋" w:cs="仿宋"/>
          <w:b/>
          <w:color w:val="auto"/>
          <w:sz w:val="24"/>
          <w:highlight w:val="none"/>
          <w:lang w:val="en-US" w:eastAsia="zh-CN"/>
        </w:rPr>
        <w:t>以转帐的形式缴纳，不提交的视为放弃中标，</w:t>
      </w:r>
      <w:r>
        <w:rPr>
          <w:rFonts w:hint="eastAsia" w:ascii="仿宋" w:hAnsi="仿宋" w:eastAsia="仿宋" w:cs="仿宋"/>
          <w:b/>
          <w:color w:val="auto"/>
          <w:sz w:val="24"/>
          <w:highlight w:val="none"/>
        </w:rPr>
        <w:t>在</w:t>
      </w:r>
      <w:r>
        <w:rPr>
          <w:rFonts w:hint="eastAsia" w:ascii="仿宋" w:hAnsi="仿宋" w:eastAsia="仿宋" w:cs="仿宋"/>
          <w:b/>
          <w:color w:val="auto"/>
          <w:sz w:val="24"/>
          <w:highlight w:val="none"/>
          <w:lang w:val="en-US" w:eastAsia="zh-CN"/>
        </w:rPr>
        <w:t>服务期</w:t>
      </w:r>
      <w:r>
        <w:rPr>
          <w:rFonts w:hint="eastAsia" w:ascii="仿宋" w:hAnsi="仿宋" w:eastAsia="仿宋" w:cs="仿宋"/>
          <w:b/>
          <w:color w:val="auto"/>
          <w:sz w:val="24"/>
          <w:highlight w:val="none"/>
        </w:rPr>
        <w:t>满后无息退还</w:t>
      </w:r>
      <w:r>
        <w:rPr>
          <w:rFonts w:hint="eastAsia" w:ascii="仿宋" w:hAnsi="仿宋" w:eastAsia="仿宋" w:cs="仿宋"/>
          <w:b/>
          <w:color w:val="auto"/>
          <w:sz w:val="24"/>
          <w:highlight w:val="none"/>
          <w:lang w:eastAsia="zh-CN"/>
        </w:rPr>
        <w:t>。</w:t>
      </w:r>
    </w:p>
    <w:p w14:paraId="019D5A4C">
      <w:pPr>
        <w:pStyle w:val="3"/>
        <w:ind w:left="0" w:leftChars="0" w:firstLine="0" w:firstLineChars="0"/>
        <w:rPr>
          <w:rFonts w:hint="eastAsia" w:ascii="仿宋" w:hAnsi="仿宋" w:eastAsia="仿宋" w:cs="仿宋"/>
          <w:b/>
          <w:color w:val="auto"/>
          <w:sz w:val="36"/>
          <w:szCs w:val="20"/>
          <w:highlight w:val="none"/>
        </w:rPr>
      </w:pPr>
    </w:p>
    <w:p w14:paraId="16E1579E">
      <w:pPr>
        <w:rPr>
          <w:rFonts w:hint="eastAsia"/>
          <w:color w:val="auto"/>
          <w:highlight w:val="none"/>
        </w:rPr>
      </w:pPr>
    </w:p>
    <w:p w14:paraId="11A74317">
      <w:pPr>
        <w:widowControl/>
        <w:adjustRightInd/>
        <w:jc w:val="center"/>
        <w:rPr>
          <w:rFonts w:hint="eastAsia" w:ascii="仿宋" w:hAnsi="仿宋" w:eastAsia="仿宋" w:cs="仿宋"/>
          <w:b/>
          <w:color w:val="auto"/>
          <w:sz w:val="36"/>
          <w:szCs w:val="20"/>
          <w:highlight w:val="none"/>
        </w:rPr>
      </w:pPr>
    </w:p>
    <w:p w14:paraId="787203EF">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 投标文件及其附件格式</w:t>
      </w:r>
    </w:p>
    <w:p w14:paraId="11871701">
      <w:pPr>
        <w:spacing w:line="360" w:lineRule="auto"/>
        <w:jc w:val="center"/>
        <w:outlineLvl w:val="0"/>
        <w:rPr>
          <w:rFonts w:hint="eastAsia" w:ascii="仿宋" w:hAnsi="仿宋" w:eastAsia="仿宋" w:cs="仿宋"/>
          <w:b/>
          <w:color w:val="auto"/>
          <w:kern w:val="0"/>
          <w:sz w:val="36"/>
          <w:szCs w:val="36"/>
          <w:highlight w:val="none"/>
        </w:rPr>
      </w:pPr>
    </w:p>
    <w:p w14:paraId="426BF4E0">
      <w:pPr>
        <w:spacing w:line="336" w:lineRule="auto"/>
        <w:jc w:val="center"/>
        <w:outlineLvl w:val="0"/>
        <w:rPr>
          <w:rFonts w:hint="eastAsia" w:ascii="仿宋" w:hAnsi="仿宋" w:eastAsia="仿宋" w:cs="仿宋"/>
          <w:b/>
          <w:color w:val="auto"/>
          <w:kern w:val="0"/>
          <w:sz w:val="36"/>
          <w:szCs w:val="36"/>
          <w:highlight w:val="none"/>
        </w:rPr>
      </w:pPr>
    </w:p>
    <w:p w14:paraId="22F4F413">
      <w:pPr>
        <w:spacing w:line="336"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274BE2EE">
      <w:pPr>
        <w:spacing w:line="336"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D844CD2">
      <w:pPr>
        <w:spacing w:line="336" w:lineRule="auto"/>
        <w:jc w:val="center"/>
        <w:outlineLvl w:val="0"/>
        <w:rPr>
          <w:rFonts w:hint="eastAsia" w:ascii="仿宋" w:hAnsi="仿宋" w:eastAsia="仿宋" w:cs="仿宋"/>
          <w:b/>
          <w:color w:val="auto"/>
          <w:kern w:val="0"/>
          <w:sz w:val="36"/>
          <w:szCs w:val="36"/>
          <w:highlight w:val="none"/>
        </w:rPr>
      </w:pPr>
    </w:p>
    <w:p w14:paraId="263F994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lang w:val="en-US" w:eastAsia="zh-CN"/>
        </w:rPr>
      </w:pPr>
    </w:p>
    <w:p w14:paraId="38CB75D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eastAsia="zh-CN"/>
        </w:rPr>
        <w:t>营业执照扫描件</w:t>
      </w:r>
      <w:r>
        <w:rPr>
          <w:rFonts w:hint="eastAsia" w:ascii="仿宋" w:hAnsi="仿宋" w:eastAsia="仿宋" w:cs="仿宋"/>
          <w:color w:val="auto"/>
          <w:kern w:val="0"/>
          <w:sz w:val="24"/>
          <w:szCs w:val="24"/>
          <w:highlight w:val="none"/>
        </w:rPr>
        <w:t>……………………………………………………………（页码）</w:t>
      </w:r>
    </w:p>
    <w:p w14:paraId="08E26F1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val="zh-CN"/>
        </w:rPr>
        <w:t>）符合参加采购活动应当具备的一般条件的承诺函</w:t>
      </w:r>
      <w:r>
        <w:rPr>
          <w:rFonts w:hint="eastAsia" w:ascii="仿宋" w:hAnsi="仿宋" w:eastAsia="仿宋" w:cs="仿宋"/>
          <w:color w:val="auto"/>
          <w:kern w:val="0"/>
          <w:sz w:val="24"/>
          <w:szCs w:val="24"/>
          <w:highlight w:val="none"/>
        </w:rPr>
        <w:t>………………………（页码）</w:t>
      </w:r>
    </w:p>
    <w:p w14:paraId="69125DB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sz w:val="24"/>
          <w:szCs w:val="24"/>
          <w:highlight w:val="none"/>
        </w:rPr>
        <w:t>特定资格要求需提供的证明材料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kern w:val="0"/>
          <w:sz w:val="24"/>
          <w:szCs w:val="24"/>
          <w:highlight w:val="none"/>
        </w:rPr>
        <w:t>………………………………（页码）</w:t>
      </w:r>
    </w:p>
    <w:p w14:paraId="5206B7EE">
      <w:pPr>
        <w:snapToGrid w:val="0"/>
        <w:spacing w:line="360" w:lineRule="auto"/>
        <w:ind w:right="480"/>
        <w:jc w:val="center"/>
        <w:rPr>
          <w:rFonts w:hint="eastAsia" w:ascii="仿宋" w:hAnsi="仿宋" w:eastAsia="仿宋" w:cs="仿宋"/>
          <w:b/>
          <w:color w:val="auto"/>
          <w:kern w:val="0"/>
          <w:sz w:val="32"/>
          <w:szCs w:val="32"/>
          <w:highlight w:val="none"/>
        </w:rPr>
      </w:pPr>
    </w:p>
    <w:p w14:paraId="480DD3BE">
      <w:pPr>
        <w:snapToGrid w:val="0"/>
        <w:spacing w:line="360" w:lineRule="auto"/>
        <w:ind w:right="480"/>
        <w:jc w:val="center"/>
        <w:rPr>
          <w:rFonts w:hint="eastAsia" w:ascii="仿宋" w:hAnsi="仿宋" w:eastAsia="仿宋" w:cs="仿宋"/>
          <w:b/>
          <w:color w:val="auto"/>
          <w:kern w:val="0"/>
          <w:sz w:val="32"/>
          <w:szCs w:val="32"/>
          <w:highlight w:val="none"/>
        </w:rPr>
      </w:pPr>
    </w:p>
    <w:p w14:paraId="241F1B54">
      <w:pPr>
        <w:snapToGrid w:val="0"/>
        <w:spacing w:line="360" w:lineRule="auto"/>
        <w:ind w:right="480"/>
        <w:jc w:val="center"/>
        <w:rPr>
          <w:rFonts w:hint="eastAsia" w:ascii="仿宋" w:hAnsi="仿宋" w:eastAsia="仿宋" w:cs="仿宋"/>
          <w:b/>
          <w:color w:val="auto"/>
          <w:kern w:val="0"/>
          <w:sz w:val="32"/>
          <w:szCs w:val="32"/>
          <w:highlight w:val="none"/>
        </w:rPr>
      </w:pPr>
    </w:p>
    <w:p w14:paraId="35F1BCEC">
      <w:pPr>
        <w:snapToGrid w:val="0"/>
        <w:spacing w:line="360" w:lineRule="auto"/>
        <w:ind w:right="480"/>
        <w:jc w:val="center"/>
        <w:rPr>
          <w:rFonts w:hint="eastAsia" w:ascii="仿宋" w:hAnsi="仿宋" w:eastAsia="仿宋" w:cs="仿宋"/>
          <w:b/>
          <w:color w:val="auto"/>
          <w:kern w:val="0"/>
          <w:sz w:val="32"/>
          <w:szCs w:val="32"/>
          <w:highlight w:val="none"/>
        </w:rPr>
      </w:pPr>
    </w:p>
    <w:p w14:paraId="2F2A512C">
      <w:pPr>
        <w:snapToGrid w:val="0"/>
        <w:spacing w:line="360" w:lineRule="auto"/>
        <w:ind w:right="480"/>
        <w:jc w:val="center"/>
        <w:rPr>
          <w:rFonts w:hint="eastAsia" w:ascii="仿宋" w:hAnsi="仿宋" w:eastAsia="仿宋" w:cs="仿宋"/>
          <w:b/>
          <w:color w:val="auto"/>
          <w:kern w:val="0"/>
          <w:sz w:val="32"/>
          <w:szCs w:val="32"/>
          <w:highlight w:val="none"/>
        </w:rPr>
      </w:pPr>
    </w:p>
    <w:p w14:paraId="6701263F">
      <w:pPr>
        <w:snapToGrid w:val="0"/>
        <w:spacing w:line="360" w:lineRule="auto"/>
        <w:ind w:right="480"/>
        <w:jc w:val="center"/>
        <w:rPr>
          <w:rFonts w:hint="eastAsia" w:ascii="仿宋" w:hAnsi="仿宋" w:eastAsia="仿宋" w:cs="仿宋"/>
          <w:b/>
          <w:color w:val="auto"/>
          <w:kern w:val="0"/>
          <w:sz w:val="32"/>
          <w:szCs w:val="32"/>
          <w:highlight w:val="none"/>
        </w:rPr>
      </w:pPr>
    </w:p>
    <w:p w14:paraId="14FD7982">
      <w:pPr>
        <w:snapToGrid w:val="0"/>
        <w:spacing w:line="360" w:lineRule="auto"/>
        <w:ind w:right="480"/>
        <w:jc w:val="center"/>
        <w:rPr>
          <w:rFonts w:hint="eastAsia" w:ascii="仿宋" w:hAnsi="仿宋" w:eastAsia="仿宋" w:cs="仿宋"/>
          <w:b/>
          <w:color w:val="auto"/>
          <w:kern w:val="0"/>
          <w:sz w:val="32"/>
          <w:szCs w:val="32"/>
          <w:highlight w:val="none"/>
        </w:rPr>
      </w:pPr>
    </w:p>
    <w:p w14:paraId="4AD3DDF9">
      <w:pPr>
        <w:snapToGrid w:val="0"/>
        <w:spacing w:line="360" w:lineRule="auto"/>
        <w:ind w:right="480"/>
        <w:jc w:val="center"/>
        <w:rPr>
          <w:rFonts w:hint="eastAsia" w:ascii="仿宋" w:hAnsi="仿宋" w:eastAsia="仿宋" w:cs="仿宋"/>
          <w:b/>
          <w:color w:val="auto"/>
          <w:kern w:val="0"/>
          <w:sz w:val="32"/>
          <w:szCs w:val="32"/>
          <w:highlight w:val="none"/>
        </w:rPr>
      </w:pPr>
    </w:p>
    <w:p w14:paraId="4B5647A5">
      <w:pPr>
        <w:pStyle w:val="14"/>
        <w:rPr>
          <w:rFonts w:hint="eastAsia" w:ascii="仿宋" w:hAnsi="仿宋" w:eastAsia="仿宋" w:cs="仿宋"/>
          <w:color w:val="auto"/>
          <w:highlight w:val="none"/>
        </w:rPr>
      </w:pPr>
    </w:p>
    <w:p w14:paraId="6A339197">
      <w:pPr>
        <w:snapToGrid w:val="0"/>
        <w:spacing w:line="360" w:lineRule="auto"/>
        <w:ind w:right="480"/>
        <w:jc w:val="center"/>
        <w:rPr>
          <w:rFonts w:hint="eastAsia" w:ascii="仿宋" w:hAnsi="仿宋" w:eastAsia="仿宋" w:cs="仿宋"/>
          <w:b/>
          <w:color w:val="auto"/>
          <w:kern w:val="0"/>
          <w:sz w:val="32"/>
          <w:szCs w:val="32"/>
          <w:highlight w:val="none"/>
        </w:rPr>
      </w:pPr>
    </w:p>
    <w:p w14:paraId="659CBE72">
      <w:pPr>
        <w:pStyle w:val="2"/>
        <w:rPr>
          <w:rFonts w:hint="eastAsia" w:ascii="仿宋" w:hAnsi="仿宋" w:eastAsia="仿宋" w:cs="仿宋"/>
          <w:color w:val="auto"/>
          <w:highlight w:val="none"/>
        </w:rPr>
      </w:pPr>
    </w:p>
    <w:p w14:paraId="076FEBE7">
      <w:pPr>
        <w:snapToGrid w:val="0"/>
        <w:spacing w:line="360" w:lineRule="auto"/>
        <w:ind w:right="480"/>
        <w:jc w:val="center"/>
        <w:rPr>
          <w:rFonts w:hint="eastAsia" w:ascii="仿宋" w:hAnsi="仿宋" w:eastAsia="仿宋" w:cs="仿宋"/>
          <w:b/>
          <w:color w:val="auto"/>
          <w:kern w:val="0"/>
          <w:sz w:val="32"/>
          <w:szCs w:val="32"/>
          <w:highlight w:val="none"/>
        </w:rPr>
      </w:pPr>
    </w:p>
    <w:p w14:paraId="31837B75">
      <w:pPr>
        <w:snapToGrid w:val="0"/>
        <w:spacing w:line="360" w:lineRule="auto"/>
        <w:ind w:right="480"/>
        <w:jc w:val="both"/>
        <w:rPr>
          <w:rFonts w:hint="eastAsia" w:ascii="仿宋" w:hAnsi="仿宋" w:eastAsia="仿宋" w:cs="仿宋"/>
          <w:b/>
          <w:color w:val="auto"/>
          <w:kern w:val="0"/>
          <w:sz w:val="32"/>
          <w:szCs w:val="32"/>
          <w:highlight w:val="none"/>
        </w:rPr>
      </w:pPr>
    </w:p>
    <w:p w14:paraId="193A8991">
      <w:pPr>
        <w:snapToGrid w:val="0"/>
        <w:spacing w:line="360" w:lineRule="auto"/>
        <w:ind w:right="480" w:firstLine="643" w:firstLineChars="200"/>
        <w:jc w:val="center"/>
        <w:rPr>
          <w:rFonts w:hint="eastAsia" w:ascii="仿宋" w:hAnsi="仿宋" w:eastAsia="仿宋" w:cs="仿宋"/>
          <w:b/>
          <w:color w:val="auto"/>
          <w:kern w:val="0"/>
          <w:sz w:val="32"/>
          <w:szCs w:val="32"/>
          <w:highlight w:val="none"/>
        </w:rPr>
      </w:pPr>
    </w:p>
    <w:p w14:paraId="0461FC1C">
      <w:pPr>
        <w:snapToGrid w:val="0"/>
        <w:spacing w:line="360" w:lineRule="auto"/>
        <w:ind w:right="480" w:firstLine="643" w:firstLineChars="200"/>
        <w:jc w:val="center"/>
        <w:rPr>
          <w:rFonts w:hint="eastAsia" w:ascii="仿宋" w:hAnsi="仿宋" w:eastAsia="仿宋" w:cs="仿宋"/>
          <w:b/>
          <w:color w:val="auto"/>
          <w:kern w:val="0"/>
          <w:sz w:val="32"/>
          <w:szCs w:val="32"/>
          <w:highlight w:val="none"/>
        </w:rPr>
      </w:pPr>
    </w:p>
    <w:p w14:paraId="173DC0CB">
      <w:pPr>
        <w:snapToGrid w:val="0"/>
        <w:spacing w:line="360" w:lineRule="auto"/>
        <w:ind w:right="480" w:firstLine="643" w:firstLineChars="200"/>
        <w:jc w:val="center"/>
        <w:rPr>
          <w:b w:val="0"/>
          <w:bCs w:val="0"/>
          <w:color w:val="auto"/>
          <w:highlight w:val="none"/>
        </w:rPr>
      </w:pPr>
      <w:r>
        <w:rPr>
          <w:rFonts w:hint="eastAsia" w:ascii="仿宋" w:hAnsi="仿宋" w:eastAsia="仿宋" w:cs="仿宋"/>
          <w:b/>
          <w:color w:val="auto"/>
          <w:kern w:val="0"/>
          <w:sz w:val="32"/>
          <w:szCs w:val="32"/>
          <w:highlight w:val="none"/>
        </w:rPr>
        <w:t>一、</w:t>
      </w:r>
      <w:r>
        <w:rPr>
          <w:rFonts w:hint="eastAsia" w:ascii="仿宋" w:hAnsi="仿宋" w:eastAsia="仿宋" w:cs="仿宋"/>
          <w:b/>
          <w:color w:val="auto"/>
          <w:kern w:val="0"/>
          <w:sz w:val="32"/>
          <w:szCs w:val="32"/>
          <w:highlight w:val="none"/>
          <w:lang w:eastAsia="zh-CN"/>
        </w:rPr>
        <w:t>营业执照扫描件</w:t>
      </w:r>
    </w:p>
    <w:p w14:paraId="279163CC">
      <w:pPr>
        <w:pStyle w:val="2"/>
        <w:rPr>
          <w:rFonts w:hint="eastAsia"/>
          <w:color w:val="auto"/>
          <w:highlight w:val="none"/>
          <w:lang w:val="en-US" w:eastAsia="zh-CN"/>
        </w:rPr>
      </w:pPr>
    </w:p>
    <w:p w14:paraId="064BA336">
      <w:pPr>
        <w:keepNext w:val="0"/>
        <w:keepLines w:val="0"/>
        <w:pageBreakBefore w:val="0"/>
        <w:widowControl w:val="0"/>
        <w:kinsoku/>
        <w:wordWrap/>
        <w:overflowPunct/>
        <w:topLinePunct w:val="0"/>
        <w:autoSpaceDE/>
        <w:autoSpaceDN/>
        <w:bidi w:val="0"/>
        <w:adjustRightInd w:val="0"/>
        <w:snapToGrid w:val="0"/>
        <w:spacing w:line="360" w:lineRule="auto"/>
        <w:ind w:right="482"/>
        <w:jc w:val="both"/>
        <w:textAlignment w:val="auto"/>
        <w:rPr>
          <w:rFonts w:hint="eastAsia" w:ascii="仿宋" w:hAnsi="仿宋" w:eastAsia="仿宋" w:cs="仿宋"/>
          <w:b/>
          <w:color w:val="auto"/>
          <w:kern w:val="0"/>
          <w:sz w:val="32"/>
          <w:szCs w:val="32"/>
          <w:highlight w:val="none"/>
          <w:lang w:val="en-US" w:eastAsia="zh-CN"/>
        </w:rPr>
      </w:pPr>
    </w:p>
    <w:p w14:paraId="778EBC71">
      <w:pPr>
        <w:keepNext w:val="0"/>
        <w:keepLines w:val="0"/>
        <w:pageBreakBefore w:val="0"/>
        <w:widowControl w:val="0"/>
        <w:kinsoku/>
        <w:wordWrap/>
        <w:overflowPunct/>
        <w:topLinePunct w:val="0"/>
        <w:autoSpaceDE/>
        <w:autoSpaceDN/>
        <w:bidi w:val="0"/>
        <w:adjustRightInd w:val="0"/>
        <w:snapToGrid w:val="0"/>
        <w:spacing w:line="360" w:lineRule="auto"/>
        <w:ind w:right="482"/>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rPr>
        <w:t>符合参加采购活动应当具备的一般条件的承诺函</w:t>
      </w:r>
    </w:p>
    <w:p w14:paraId="540F5CF0">
      <w:pPr>
        <w:spacing w:line="48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（采购</w:t>
      </w:r>
      <w:r>
        <w:rPr>
          <w:rFonts w:hint="eastAsia" w:ascii="仿宋" w:hAnsi="仿宋" w:eastAsia="仿宋" w:cs="仿宋"/>
          <w:color w:val="auto"/>
          <w:sz w:val="24"/>
          <w:szCs w:val="24"/>
          <w:highlight w:val="none"/>
          <w:u w:val="single"/>
          <w:lang w:val="en-US" w:eastAsia="zh-CN"/>
        </w:rPr>
        <w:t>人</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采购代理机构）</w:t>
      </w:r>
      <w:r>
        <w:rPr>
          <w:rFonts w:hint="eastAsia" w:ascii="仿宋" w:hAnsi="仿宋" w:eastAsia="仿宋" w:cs="仿宋"/>
          <w:color w:val="auto"/>
          <w:sz w:val="24"/>
          <w:szCs w:val="24"/>
          <w:highlight w:val="none"/>
          <w:u w:val="single"/>
        </w:rPr>
        <w:t>：</w:t>
      </w:r>
    </w:p>
    <w:p w14:paraId="0B54AFE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Style w:val="70"/>
          <w:rFonts w:hint="eastAsia" w:ascii="仿宋" w:hAnsi="仿宋" w:eastAsia="仿宋" w:cs="仿宋"/>
          <w:color w:val="auto"/>
          <w:kern w:val="0"/>
          <w:sz w:val="24"/>
          <w:szCs w:val="24"/>
          <w:highlight w:val="none"/>
          <w:u w:val="single" w:color="000000"/>
        </w:rPr>
        <w:t xml:space="preserve">（          项目名称     项目编号   </w:t>
      </w:r>
      <w:r>
        <w:rPr>
          <w:rStyle w:val="70"/>
          <w:rFonts w:hint="eastAsia" w:ascii="仿宋" w:hAnsi="仿宋" w:eastAsia="仿宋" w:cs="仿宋"/>
          <w:color w:val="auto"/>
          <w:kern w:val="0"/>
          <w:sz w:val="24"/>
          <w:szCs w:val="24"/>
          <w:highlight w:val="none"/>
        </w:rPr>
        <w:t>）</w:t>
      </w:r>
      <w:r>
        <w:rPr>
          <w:rFonts w:hint="eastAsia" w:ascii="仿宋" w:hAnsi="仿宋" w:eastAsia="仿宋" w:cs="仿宋"/>
          <w:color w:val="auto"/>
          <w:sz w:val="24"/>
          <w:highlight w:val="none"/>
        </w:rPr>
        <w:t>采购活动，郑重承诺：</w:t>
      </w:r>
    </w:p>
    <w:p w14:paraId="0F912B39">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w:t>
      </w:r>
      <w:r>
        <w:rPr>
          <w:rFonts w:hint="eastAsia" w:ascii="仿宋" w:hAnsi="仿宋" w:eastAsia="仿宋" w:cs="仿宋"/>
          <w:color w:val="auto"/>
          <w:sz w:val="24"/>
          <w:highlight w:val="none"/>
          <w:lang w:val="en-US" w:eastAsia="zh-CN"/>
        </w:rPr>
        <w:t>以下</w:t>
      </w:r>
      <w:r>
        <w:rPr>
          <w:rFonts w:hint="eastAsia" w:ascii="仿宋" w:hAnsi="仿宋" w:eastAsia="仿宋" w:cs="仿宋"/>
          <w:color w:val="auto"/>
          <w:sz w:val="24"/>
          <w:highlight w:val="none"/>
        </w:rPr>
        <w:t>条件：</w:t>
      </w:r>
    </w:p>
    <w:p w14:paraId="1B0C545F">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采购活动）；</w:t>
      </w:r>
      <w:bookmarkStart w:id="35" w:name="_GoBack"/>
      <w:bookmarkEnd w:id="35"/>
    </w:p>
    <w:p w14:paraId="474C621F">
      <w:p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2、具有良好的商业信誉。</w:t>
      </w:r>
    </w:p>
    <w:p w14:paraId="13DBF160">
      <w:p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3、具有履行合同所必需的设备和专业技术、售后保障等能力。</w:t>
      </w:r>
    </w:p>
    <w:p w14:paraId="5D085E11">
      <w:p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4、有依法缴纳税收和社会保障资金的良好记录。</w:t>
      </w:r>
    </w:p>
    <w:p w14:paraId="0A69397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5、参加采购活动前三年内，没有重大违法记录、严重失信行为和行贿记录。</w:t>
      </w:r>
    </w:p>
    <w:p w14:paraId="7BCF27A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6、法律、行政法规规定的其他条件。</w:t>
      </w:r>
    </w:p>
    <w:p w14:paraId="1E5994E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6FCC9FF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529C0C6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1、单位负责人为同一人或者存在直接控股、管理关系的不同供应商参加同一合同项下的采购活动的；</w:t>
      </w:r>
    </w:p>
    <w:p w14:paraId="49D48F9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587D9FF2">
      <w:pPr>
        <w:snapToGrid w:val="0"/>
        <w:spacing w:line="360" w:lineRule="auto"/>
        <w:ind w:firstLine="5520" w:firstLineChars="2300"/>
        <w:rPr>
          <w:rFonts w:hint="eastAsia" w:ascii="仿宋" w:hAnsi="仿宋" w:eastAsia="仿宋" w:cs="仿宋"/>
          <w:color w:val="auto"/>
          <w:kern w:val="0"/>
          <w:sz w:val="24"/>
          <w:highlight w:val="none"/>
          <w:lang w:val="zh-CN"/>
        </w:rPr>
      </w:pPr>
    </w:p>
    <w:p w14:paraId="14E92B27">
      <w:pPr>
        <w:snapToGrid w:val="0"/>
        <w:spacing w:line="360" w:lineRule="auto"/>
        <w:jc w:val="center"/>
        <w:rPr>
          <w:rFonts w:hint="eastAsia" w:ascii="仿宋" w:hAnsi="仿宋" w:eastAsia="仿宋" w:cs="仿宋"/>
          <w:color w:val="auto"/>
          <w:spacing w:val="6"/>
          <w:kern w:val="0"/>
          <w:sz w:val="24"/>
          <w:szCs w:val="24"/>
          <w:highlight w:val="none"/>
          <w:lang w:val="en-US" w:eastAsia="zh-CN" w:bidi="ar-SA"/>
        </w:rPr>
      </w:pPr>
      <w:r>
        <w:rPr>
          <w:rFonts w:hint="eastAsia" w:ascii="仿宋" w:hAnsi="仿宋" w:eastAsia="仿宋" w:cs="仿宋"/>
          <w:color w:val="auto"/>
          <w:spacing w:val="6"/>
          <w:kern w:val="0"/>
          <w:sz w:val="24"/>
          <w:szCs w:val="24"/>
          <w:highlight w:val="none"/>
          <w:lang w:val="en-US" w:eastAsia="zh-CN" w:bidi="ar-SA"/>
        </w:rPr>
        <w:t xml:space="preserve">                               </w:t>
      </w:r>
    </w:p>
    <w:p w14:paraId="473DD794">
      <w:pPr>
        <w:snapToGrid w:val="0"/>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kern w:val="0"/>
          <w:sz w:val="24"/>
          <w:szCs w:val="24"/>
          <w:highlight w:val="none"/>
          <w:lang w:val="en-US" w:eastAsia="zh-CN" w:bidi="ar-SA"/>
        </w:rPr>
        <w:t xml:space="preserve">                                投标人(电子签名)</w:t>
      </w:r>
      <w:r>
        <w:rPr>
          <w:rFonts w:hint="eastAsia" w:ascii="仿宋" w:hAnsi="仿宋" w:eastAsia="仿宋" w:cs="仿宋"/>
          <w:color w:val="auto"/>
          <w:spacing w:val="6"/>
          <w:sz w:val="24"/>
          <w:szCs w:val="24"/>
          <w:highlight w:val="none"/>
        </w:rPr>
        <w:t>：</w:t>
      </w:r>
    </w:p>
    <w:p w14:paraId="1C4AB29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66244D19">
      <w:pPr>
        <w:widowControl/>
        <w:spacing w:line="360" w:lineRule="auto"/>
        <w:jc w:val="both"/>
        <w:rPr>
          <w:rFonts w:hint="eastAsia" w:ascii="仿宋" w:hAnsi="仿宋" w:eastAsia="仿宋" w:cs="仿宋"/>
          <w:b/>
          <w:color w:val="auto"/>
          <w:kern w:val="0"/>
          <w:sz w:val="32"/>
          <w:szCs w:val="32"/>
          <w:highlight w:val="none"/>
          <w:lang w:val="en-US" w:eastAsia="zh-CN"/>
        </w:rPr>
      </w:pPr>
    </w:p>
    <w:p w14:paraId="363F3CCD">
      <w:pPr>
        <w:widowControl/>
        <w:spacing w:line="360" w:lineRule="auto"/>
        <w:ind w:left="150"/>
        <w:jc w:val="center"/>
        <w:rPr>
          <w:rFonts w:hint="eastAsia" w:ascii="仿宋" w:hAnsi="仿宋" w:eastAsia="仿宋" w:cs="仿宋"/>
          <w:b/>
          <w:bCs w:val="0"/>
          <w:color w:val="auto"/>
          <w:kern w:val="0"/>
          <w:sz w:val="32"/>
          <w:szCs w:val="32"/>
          <w:highlight w:val="none"/>
          <w:lang w:val="en-US" w:eastAsia="zh-CN"/>
        </w:rPr>
      </w:pPr>
    </w:p>
    <w:p w14:paraId="4A506135">
      <w:pPr>
        <w:pStyle w:val="4"/>
        <w:jc w:val="both"/>
        <w:rPr>
          <w:rFonts w:hint="eastAsia" w:ascii="仿宋" w:hAnsi="仿宋" w:eastAsia="仿宋" w:cs="仿宋"/>
          <w:color w:val="auto"/>
          <w:highlight w:val="none"/>
          <w:lang w:val="en-US" w:eastAsia="zh-CN"/>
        </w:rPr>
      </w:pPr>
    </w:p>
    <w:p w14:paraId="311D176C">
      <w:pPr>
        <w:rPr>
          <w:rFonts w:hint="eastAsia"/>
          <w:color w:val="auto"/>
          <w:highlight w:val="none"/>
          <w:lang w:eastAsia="zh-CN"/>
        </w:rPr>
      </w:pPr>
    </w:p>
    <w:p w14:paraId="319E2C1A">
      <w:pPr>
        <w:pStyle w:val="2"/>
        <w:rPr>
          <w:rFonts w:hint="eastAsia" w:ascii="仿宋" w:hAnsi="仿宋" w:eastAsia="仿宋" w:cs="仿宋"/>
          <w:color w:val="auto"/>
          <w:highlight w:val="none"/>
          <w:lang w:eastAsia="zh-CN"/>
        </w:rPr>
      </w:pPr>
    </w:p>
    <w:p w14:paraId="6437594B">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、本项目的特定资格要求</w:t>
      </w:r>
    </w:p>
    <w:p w14:paraId="4C077DD3">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（根据</w:t>
      </w:r>
      <w:r>
        <w:rPr>
          <w:rFonts w:hint="eastAsia" w:ascii="仿宋" w:hAnsi="仿宋" w:eastAsia="仿宋" w:cs="仿宋"/>
          <w:b/>
          <w:bCs/>
          <w:color w:val="auto"/>
          <w:sz w:val="24"/>
          <w:highlight w:val="none"/>
          <w:lang w:val="en-US" w:eastAsia="zh-CN"/>
        </w:rPr>
        <w:t>招标</w:t>
      </w:r>
      <w:r>
        <w:rPr>
          <w:rFonts w:hint="eastAsia" w:ascii="仿宋" w:hAnsi="仿宋" w:eastAsia="仿宋" w:cs="仿宋"/>
          <w:b/>
          <w:bCs/>
          <w:color w:val="auto"/>
          <w:sz w:val="24"/>
          <w:highlight w:val="none"/>
        </w:rPr>
        <w:t>公告本项目的特定资格要求提供相应的材料</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如果本项目没有设置特定资格条件，则不需要提供）</w:t>
      </w:r>
    </w:p>
    <w:p w14:paraId="59EF408B">
      <w:pPr>
        <w:spacing w:line="360" w:lineRule="auto"/>
        <w:jc w:val="center"/>
        <w:rPr>
          <w:rFonts w:hint="eastAsia" w:ascii="仿宋" w:hAnsi="仿宋" w:eastAsia="仿宋" w:cs="仿宋"/>
          <w:b/>
          <w:bCs/>
          <w:color w:val="auto"/>
          <w:sz w:val="24"/>
          <w:highlight w:val="none"/>
          <w:lang w:val="zh-CN"/>
        </w:rPr>
      </w:pPr>
    </w:p>
    <w:p w14:paraId="7D8429BD">
      <w:pPr>
        <w:pStyle w:val="14"/>
        <w:rPr>
          <w:rFonts w:hint="eastAsia" w:ascii="仿宋" w:hAnsi="仿宋" w:eastAsia="仿宋" w:cs="仿宋"/>
          <w:color w:val="auto"/>
          <w:kern w:val="0"/>
          <w:sz w:val="24"/>
          <w:highlight w:val="none"/>
          <w:lang w:val="zh-CN"/>
        </w:rPr>
      </w:pPr>
    </w:p>
    <w:p w14:paraId="1154EB52">
      <w:pPr>
        <w:rPr>
          <w:rFonts w:hint="eastAsia" w:ascii="仿宋" w:hAnsi="仿宋" w:eastAsia="仿宋" w:cs="仿宋"/>
          <w:color w:val="auto"/>
          <w:kern w:val="0"/>
          <w:sz w:val="24"/>
          <w:highlight w:val="none"/>
          <w:lang w:val="zh-CN"/>
        </w:rPr>
      </w:pPr>
    </w:p>
    <w:p w14:paraId="24B5B136">
      <w:pPr>
        <w:pStyle w:val="15"/>
        <w:rPr>
          <w:rFonts w:hint="eastAsia" w:ascii="仿宋" w:hAnsi="仿宋" w:eastAsia="仿宋" w:cs="仿宋"/>
          <w:color w:val="auto"/>
          <w:kern w:val="0"/>
          <w:sz w:val="24"/>
          <w:highlight w:val="none"/>
          <w:lang w:val="zh-CN"/>
        </w:rPr>
      </w:pPr>
    </w:p>
    <w:p w14:paraId="6419D4A5">
      <w:pPr>
        <w:pStyle w:val="27"/>
        <w:rPr>
          <w:rFonts w:hint="eastAsia" w:ascii="仿宋" w:hAnsi="仿宋" w:eastAsia="仿宋" w:cs="仿宋"/>
          <w:color w:val="auto"/>
          <w:kern w:val="0"/>
          <w:sz w:val="24"/>
          <w:highlight w:val="none"/>
          <w:lang w:val="zh-CN"/>
        </w:rPr>
      </w:pPr>
    </w:p>
    <w:p w14:paraId="7C08F0D9">
      <w:pPr>
        <w:rPr>
          <w:rFonts w:hint="eastAsia" w:ascii="仿宋" w:hAnsi="仿宋" w:eastAsia="仿宋" w:cs="仿宋"/>
          <w:color w:val="auto"/>
          <w:kern w:val="0"/>
          <w:sz w:val="24"/>
          <w:highlight w:val="none"/>
          <w:lang w:val="zh-CN"/>
        </w:rPr>
      </w:pPr>
    </w:p>
    <w:p w14:paraId="1CF6687C">
      <w:pPr>
        <w:pStyle w:val="14"/>
        <w:rPr>
          <w:rFonts w:hint="eastAsia" w:ascii="仿宋" w:hAnsi="仿宋" w:eastAsia="仿宋" w:cs="仿宋"/>
          <w:color w:val="auto"/>
          <w:kern w:val="0"/>
          <w:sz w:val="24"/>
          <w:highlight w:val="none"/>
          <w:lang w:val="zh-CN"/>
        </w:rPr>
      </w:pPr>
    </w:p>
    <w:p w14:paraId="40EFA1E7">
      <w:pPr>
        <w:pStyle w:val="15"/>
        <w:rPr>
          <w:rFonts w:hint="eastAsia" w:ascii="仿宋" w:hAnsi="仿宋" w:eastAsia="仿宋" w:cs="仿宋"/>
          <w:color w:val="auto"/>
          <w:kern w:val="0"/>
          <w:sz w:val="24"/>
          <w:highlight w:val="none"/>
          <w:lang w:val="zh-CN"/>
        </w:rPr>
      </w:pPr>
    </w:p>
    <w:p w14:paraId="42A3C26A">
      <w:pPr>
        <w:pStyle w:val="27"/>
        <w:rPr>
          <w:rFonts w:hint="eastAsia" w:ascii="仿宋" w:hAnsi="仿宋" w:eastAsia="仿宋" w:cs="仿宋"/>
          <w:color w:val="auto"/>
          <w:kern w:val="0"/>
          <w:sz w:val="24"/>
          <w:highlight w:val="none"/>
          <w:lang w:val="zh-CN"/>
        </w:rPr>
      </w:pPr>
    </w:p>
    <w:p w14:paraId="1593ECA0">
      <w:pPr>
        <w:rPr>
          <w:rFonts w:hint="eastAsia" w:ascii="仿宋" w:hAnsi="仿宋" w:eastAsia="仿宋" w:cs="仿宋"/>
          <w:color w:val="auto"/>
          <w:kern w:val="0"/>
          <w:sz w:val="24"/>
          <w:highlight w:val="none"/>
          <w:lang w:val="zh-CN"/>
        </w:rPr>
      </w:pPr>
    </w:p>
    <w:p w14:paraId="7D7FAC9E">
      <w:pPr>
        <w:pStyle w:val="14"/>
        <w:rPr>
          <w:rFonts w:hint="eastAsia" w:ascii="仿宋" w:hAnsi="仿宋" w:eastAsia="仿宋" w:cs="仿宋"/>
          <w:color w:val="auto"/>
          <w:kern w:val="0"/>
          <w:sz w:val="24"/>
          <w:highlight w:val="none"/>
          <w:lang w:val="zh-CN"/>
        </w:rPr>
      </w:pPr>
    </w:p>
    <w:p w14:paraId="2347BEA4">
      <w:pPr>
        <w:pStyle w:val="15"/>
        <w:rPr>
          <w:rFonts w:hint="eastAsia" w:ascii="仿宋" w:hAnsi="仿宋" w:eastAsia="仿宋" w:cs="仿宋"/>
          <w:color w:val="auto"/>
          <w:kern w:val="0"/>
          <w:sz w:val="24"/>
          <w:highlight w:val="none"/>
          <w:lang w:val="zh-CN"/>
        </w:rPr>
      </w:pPr>
    </w:p>
    <w:p w14:paraId="6FB5EF32">
      <w:pPr>
        <w:pStyle w:val="27"/>
        <w:rPr>
          <w:rFonts w:hint="eastAsia" w:ascii="仿宋" w:hAnsi="仿宋" w:eastAsia="仿宋" w:cs="仿宋"/>
          <w:color w:val="auto"/>
          <w:kern w:val="0"/>
          <w:sz w:val="24"/>
          <w:highlight w:val="none"/>
          <w:lang w:val="zh-CN"/>
        </w:rPr>
      </w:pPr>
    </w:p>
    <w:p w14:paraId="7F1F4197">
      <w:pPr>
        <w:rPr>
          <w:rFonts w:hint="eastAsia" w:ascii="仿宋" w:hAnsi="仿宋" w:eastAsia="仿宋" w:cs="仿宋"/>
          <w:color w:val="auto"/>
          <w:kern w:val="0"/>
          <w:sz w:val="24"/>
          <w:highlight w:val="none"/>
          <w:lang w:val="zh-CN"/>
        </w:rPr>
      </w:pPr>
    </w:p>
    <w:p w14:paraId="16930D86">
      <w:pPr>
        <w:pStyle w:val="14"/>
        <w:rPr>
          <w:rFonts w:hint="eastAsia" w:ascii="仿宋" w:hAnsi="仿宋" w:eastAsia="仿宋" w:cs="仿宋"/>
          <w:color w:val="auto"/>
          <w:kern w:val="0"/>
          <w:sz w:val="24"/>
          <w:highlight w:val="none"/>
          <w:lang w:val="zh-CN"/>
        </w:rPr>
      </w:pPr>
    </w:p>
    <w:p w14:paraId="07181651">
      <w:pPr>
        <w:pStyle w:val="15"/>
        <w:rPr>
          <w:rFonts w:hint="eastAsia" w:ascii="仿宋" w:hAnsi="仿宋" w:eastAsia="仿宋" w:cs="仿宋"/>
          <w:color w:val="auto"/>
          <w:kern w:val="0"/>
          <w:sz w:val="24"/>
          <w:highlight w:val="none"/>
          <w:lang w:val="zh-CN"/>
        </w:rPr>
      </w:pPr>
    </w:p>
    <w:p w14:paraId="66F5DD97">
      <w:pPr>
        <w:pStyle w:val="27"/>
        <w:rPr>
          <w:rFonts w:hint="eastAsia" w:ascii="仿宋" w:hAnsi="仿宋" w:eastAsia="仿宋" w:cs="仿宋"/>
          <w:color w:val="auto"/>
          <w:kern w:val="0"/>
          <w:sz w:val="24"/>
          <w:highlight w:val="none"/>
          <w:lang w:val="zh-CN"/>
        </w:rPr>
      </w:pPr>
    </w:p>
    <w:p w14:paraId="6FB68273">
      <w:pPr>
        <w:rPr>
          <w:rFonts w:hint="eastAsia" w:ascii="仿宋" w:hAnsi="仿宋" w:eastAsia="仿宋" w:cs="仿宋"/>
          <w:color w:val="auto"/>
          <w:kern w:val="0"/>
          <w:sz w:val="24"/>
          <w:highlight w:val="none"/>
          <w:lang w:val="zh-CN"/>
        </w:rPr>
      </w:pPr>
    </w:p>
    <w:p w14:paraId="3C3701BB">
      <w:pPr>
        <w:pStyle w:val="4"/>
        <w:rPr>
          <w:rFonts w:hint="eastAsia" w:ascii="仿宋" w:hAnsi="仿宋" w:eastAsia="仿宋" w:cs="仿宋"/>
          <w:color w:val="auto"/>
          <w:kern w:val="0"/>
          <w:sz w:val="24"/>
          <w:highlight w:val="none"/>
          <w:lang w:val="zh-CN"/>
        </w:rPr>
      </w:pPr>
    </w:p>
    <w:p w14:paraId="5905D43B">
      <w:pPr>
        <w:rPr>
          <w:rFonts w:hint="eastAsia" w:ascii="仿宋" w:hAnsi="仿宋" w:eastAsia="仿宋" w:cs="仿宋"/>
          <w:color w:val="auto"/>
          <w:kern w:val="0"/>
          <w:sz w:val="24"/>
          <w:highlight w:val="none"/>
          <w:lang w:val="zh-CN"/>
        </w:rPr>
      </w:pPr>
    </w:p>
    <w:p w14:paraId="022F89A2">
      <w:pPr>
        <w:rPr>
          <w:rFonts w:hint="eastAsia" w:ascii="仿宋" w:hAnsi="仿宋" w:eastAsia="仿宋" w:cs="仿宋"/>
          <w:color w:val="auto"/>
          <w:kern w:val="0"/>
          <w:sz w:val="24"/>
          <w:highlight w:val="none"/>
          <w:lang w:val="zh-CN"/>
        </w:rPr>
      </w:pPr>
    </w:p>
    <w:p w14:paraId="49EF6CB2">
      <w:pPr>
        <w:rPr>
          <w:rFonts w:hint="eastAsia" w:ascii="仿宋" w:hAnsi="仿宋" w:eastAsia="仿宋" w:cs="仿宋"/>
          <w:color w:val="auto"/>
          <w:kern w:val="0"/>
          <w:sz w:val="24"/>
          <w:highlight w:val="none"/>
          <w:lang w:val="zh-CN"/>
        </w:rPr>
      </w:pPr>
    </w:p>
    <w:p w14:paraId="5BA6C360">
      <w:pPr>
        <w:rPr>
          <w:rFonts w:hint="eastAsia" w:ascii="仿宋" w:hAnsi="仿宋" w:eastAsia="仿宋" w:cs="仿宋"/>
          <w:color w:val="auto"/>
          <w:kern w:val="0"/>
          <w:sz w:val="24"/>
          <w:highlight w:val="none"/>
          <w:lang w:val="zh-CN"/>
        </w:rPr>
      </w:pPr>
    </w:p>
    <w:p w14:paraId="2C85549A">
      <w:pPr>
        <w:rPr>
          <w:rFonts w:hint="eastAsia" w:ascii="仿宋" w:hAnsi="仿宋" w:eastAsia="仿宋" w:cs="仿宋"/>
          <w:color w:val="auto"/>
          <w:kern w:val="0"/>
          <w:sz w:val="24"/>
          <w:highlight w:val="none"/>
          <w:lang w:val="zh-CN"/>
        </w:rPr>
      </w:pPr>
    </w:p>
    <w:p w14:paraId="035DDF72">
      <w:pPr>
        <w:rPr>
          <w:rFonts w:hint="eastAsia" w:ascii="仿宋" w:hAnsi="仿宋" w:eastAsia="仿宋" w:cs="仿宋"/>
          <w:color w:val="auto"/>
          <w:kern w:val="0"/>
          <w:sz w:val="24"/>
          <w:highlight w:val="none"/>
          <w:lang w:val="zh-CN"/>
        </w:rPr>
      </w:pPr>
    </w:p>
    <w:p w14:paraId="7511A4BB">
      <w:pPr>
        <w:rPr>
          <w:rFonts w:hint="eastAsia" w:ascii="仿宋" w:hAnsi="仿宋" w:eastAsia="仿宋" w:cs="仿宋"/>
          <w:color w:val="auto"/>
          <w:kern w:val="0"/>
          <w:sz w:val="24"/>
          <w:highlight w:val="none"/>
          <w:lang w:val="zh-CN"/>
        </w:rPr>
      </w:pPr>
    </w:p>
    <w:p w14:paraId="0B6DB739">
      <w:pPr>
        <w:rPr>
          <w:rFonts w:hint="eastAsia" w:ascii="仿宋" w:hAnsi="仿宋" w:eastAsia="仿宋" w:cs="仿宋"/>
          <w:color w:val="auto"/>
          <w:kern w:val="0"/>
          <w:sz w:val="24"/>
          <w:highlight w:val="none"/>
          <w:lang w:val="zh-CN"/>
        </w:rPr>
      </w:pPr>
    </w:p>
    <w:p w14:paraId="70326321">
      <w:pPr>
        <w:jc w:val="both"/>
        <w:rPr>
          <w:rFonts w:hint="eastAsia" w:ascii="仿宋" w:hAnsi="仿宋" w:eastAsia="仿宋" w:cs="仿宋"/>
          <w:b/>
          <w:color w:val="auto"/>
          <w:kern w:val="0"/>
          <w:sz w:val="36"/>
          <w:szCs w:val="36"/>
          <w:highlight w:val="none"/>
        </w:rPr>
      </w:pPr>
    </w:p>
    <w:p w14:paraId="19488185">
      <w:pPr>
        <w:jc w:val="center"/>
        <w:rPr>
          <w:rFonts w:hint="eastAsia" w:ascii="仿宋" w:hAnsi="仿宋" w:eastAsia="仿宋" w:cs="仿宋"/>
          <w:b/>
          <w:color w:val="auto"/>
          <w:kern w:val="0"/>
          <w:sz w:val="36"/>
          <w:szCs w:val="36"/>
          <w:highlight w:val="none"/>
        </w:rPr>
      </w:pPr>
    </w:p>
    <w:p w14:paraId="238E2BB2">
      <w:pPr>
        <w:pStyle w:val="2"/>
        <w:rPr>
          <w:rFonts w:hint="eastAsia"/>
          <w:color w:val="auto"/>
          <w:highlight w:val="none"/>
        </w:rPr>
      </w:pPr>
    </w:p>
    <w:p w14:paraId="75E6D3D2">
      <w:pPr>
        <w:jc w:val="center"/>
        <w:rPr>
          <w:rFonts w:hint="eastAsia" w:ascii="仿宋" w:hAnsi="仿宋" w:eastAsia="仿宋" w:cs="仿宋"/>
          <w:color w:val="auto"/>
          <w:highlight w:val="none"/>
          <w:lang w:val="zh-CN"/>
        </w:rPr>
      </w:pPr>
      <w:r>
        <w:rPr>
          <w:rFonts w:hint="eastAsia" w:ascii="仿宋" w:hAnsi="仿宋" w:eastAsia="仿宋" w:cs="仿宋"/>
          <w:b/>
          <w:color w:val="auto"/>
          <w:kern w:val="0"/>
          <w:sz w:val="36"/>
          <w:szCs w:val="36"/>
          <w:highlight w:val="none"/>
        </w:rPr>
        <w:t>商务技术文件部分</w:t>
      </w:r>
    </w:p>
    <w:p w14:paraId="490A1038">
      <w:pPr>
        <w:spacing w:line="336"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w:t>
      </w:r>
      <w:r>
        <w:rPr>
          <w:rFonts w:hint="eastAsia" w:ascii="仿宋" w:hAnsi="仿宋" w:eastAsia="仿宋" w:cs="仿宋"/>
          <w:b/>
          <w:color w:val="auto"/>
          <w:kern w:val="0"/>
          <w:sz w:val="28"/>
          <w:szCs w:val="28"/>
          <w:highlight w:val="none"/>
          <w:lang w:val="en-US" w:eastAsia="zh-CN"/>
        </w:rPr>
        <w:t xml:space="preserve"> </w:t>
      </w:r>
      <w:r>
        <w:rPr>
          <w:rFonts w:hint="eastAsia" w:ascii="仿宋" w:hAnsi="仿宋" w:eastAsia="仿宋" w:cs="仿宋"/>
          <w:b/>
          <w:color w:val="auto"/>
          <w:kern w:val="0"/>
          <w:sz w:val="28"/>
          <w:szCs w:val="28"/>
          <w:highlight w:val="none"/>
        </w:rPr>
        <w:t>录</w:t>
      </w:r>
    </w:p>
    <w:p w14:paraId="5E669391">
      <w:pPr>
        <w:pStyle w:val="2"/>
        <w:keepNext w:val="0"/>
        <w:keepLines w:val="0"/>
        <w:pageBreakBefore w:val="0"/>
        <w:widowControl w:val="0"/>
        <w:kinsoku/>
        <w:wordWrap/>
        <w:overflowPunct/>
        <w:topLinePunct w:val="0"/>
        <w:bidi w:val="0"/>
        <w:snapToGrid/>
        <w:spacing w:line="480" w:lineRule="exact"/>
        <w:textAlignment w:val="auto"/>
        <w:rPr>
          <w:rFonts w:hint="eastAsia"/>
          <w:color w:val="auto"/>
          <w:highlight w:val="none"/>
          <w:lang w:val="zh-CN"/>
        </w:rPr>
      </w:pPr>
    </w:p>
    <w:p w14:paraId="39816640">
      <w:pPr>
        <w:pStyle w:val="85"/>
        <w:keepNext w:val="0"/>
        <w:keepLines w:val="0"/>
        <w:pageBreakBefore w:val="0"/>
        <w:widowControl w:val="0"/>
        <w:numPr>
          <w:ilvl w:val="0"/>
          <w:numId w:val="10"/>
        </w:numPr>
        <w:kinsoku/>
        <w:wordWrap/>
        <w:overflowPunct/>
        <w:topLinePunct w:val="0"/>
        <w:autoSpaceDE/>
        <w:autoSpaceDN/>
        <w:bidi w:val="0"/>
        <w:snapToGrid/>
        <w:spacing w:line="480" w:lineRule="exact"/>
        <w:ind w:lef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投标函</w:t>
      </w:r>
      <w:r>
        <w:rPr>
          <w:rFonts w:hint="eastAsia" w:ascii="仿宋" w:hAnsi="仿宋" w:eastAsia="仿宋" w:cs="仿宋"/>
          <w:color w:val="auto"/>
          <w:sz w:val="24"/>
          <w:szCs w:val="24"/>
          <w:highlight w:val="none"/>
        </w:rPr>
        <w:t>…………………………………………………………………………（页码）</w:t>
      </w:r>
    </w:p>
    <w:p w14:paraId="0A590471">
      <w:pPr>
        <w:pStyle w:val="85"/>
        <w:keepNext w:val="0"/>
        <w:keepLines w:val="0"/>
        <w:pageBreakBefore w:val="0"/>
        <w:widowControl w:val="0"/>
        <w:numPr>
          <w:ilvl w:val="0"/>
          <w:numId w:val="10"/>
        </w:numPr>
        <w:kinsoku/>
        <w:wordWrap/>
        <w:overflowPunct/>
        <w:topLinePunct w:val="0"/>
        <w:autoSpaceDE/>
        <w:autoSpaceDN/>
        <w:bidi w:val="0"/>
        <w:snapToGrid/>
        <w:spacing w:line="480" w:lineRule="exact"/>
        <w:ind w:lef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法定代表人身份证明书………………………………………………………（页码）</w:t>
      </w:r>
    </w:p>
    <w:p w14:paraId="6F187F7C">
      <w:pPr>
        <w:pStyle w:val="85"/>
        <w:keepNext w:val="0"/>
        <w:keepLines w:val="0"/>
        <w:pageBreakBefore w:val="0"/>
        <w:widowControl w:val="0"/>
        <w:numPr>
          <w:ilvl w:val="0"/>
          <w:numId w:val="10"/>
        </w:numPr>
        <w:kinsoku/>
        <w:wordWrap/>
        <w:overflowPunct/>
        <w:topLinePunct w:val="0"/>
        <w:autoSpaceDE/>
        <w:autoSpaceDN/>
        <w:bidi w:val="0"/>
        <w:snapToGrid/>
        <w:spacing w:line="480" w:lineRule="exact"/>
        <w:ind w:left="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法定代表人授权委托书及授权代表社保证明（若委托）</w:t>
      </w:r>
      <w:r>
        <w:rPr>
          <w:rFonts w:hint="eastAsia" w:ascii="仿宋" w:hAnsi="仿宋" w:eastAsia="仿宋" w:cs="仿宋"/>
          <w:color w:val="auto"/>
          <w:sz w:val="24"/>
          <w:szCs w:val="24"/>
          <w:highlight w:val="none"/>
        </w:rPr>
        <w:t>…………………（页码）</w:t>
      </w:r>
      <w:r>
        <w:rPr>
          <w:rFonts w:hint="eastAsia" w:ascii="仿宋" w:hAnsi="仿宋" w:eastAsia="仿宋" w:cs="仿宋"/>
          <w:color w:val="auto"/>
          <w:kern w:val="2"/>
          <w:sz w:val="24"/>
          <w:szCs w:val="24"/>
          <w:highlight w:val="none"/>
          <w:lang w:val="en-US" w:eastAsia="zh-CN" w:bidi="ar-SA"/>
        </w:rPr>
        <w:t>（4）法定代表人及其授权代表身份证复印件（正反面）</w:t>
      </w:r>
      <w:r>
        <w:rPr>
          <w:rFonts w:hint="eastAsia" w:ascii="仿宋" w:hAnsi="仿宋" w:eastAsia="仿宋" w:cs="仿宋"/>
          <w:color w:val="auto"/>
          <w:sz w:val="24"/>
          <w:szCs w:val="24"/>
          <w:highlight w:val="none"/>
        </w:rPr>
        <w:t>………………………（页码）</w:t>
      </w:r>
    </w:p>
    <w:p w14:paraId="739D540D">
      <w:pPr>
        <w:pStyle w:val="85"/>
        <w:keepNext w:val="0"/>
        <w:keepLines w:val="0"/>
        <w:pageBreakBefore w:val="0"/>
        <w:widowControl w:val="0"/>
        <w:numPr>
          <w:ilvl w:val="0"/>
          <w:numId w:val="0"/>
        </w:numPr>
        <w:kinsoku/>
        <w:wordWrap/>
        <w:overflowPunct/>
        <w:topLinePunct w:val="0"/>
        <w:autoSpaceDE/>
        <w:autoSpaceDN/>
        <w:bidi w:val="0"/>
        <w:snapToGrid/>
        <w:spacing w:line="480" w:lineRule="exact"/>
        <w:ind w:left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（5）评分索引表</w:t>
      </w:r>
      <w:r>
        <w:rPr>
          <w:rFonts w:hint="eastAsia" w:ascii="仿宋" w:hAnsi="仿宋" w:eastAsia="仿宋" w:cs="仿宋"/>
          <w:color w:val="auto"/>
          <w:sz w:val="24"/>
          <w:szCs w:val="24"/>
          <w:highlight w:val="none"/>
        </w:rPr>
        <w:t>……………………………………………………………………（页码）</w:t>
      </w:r>
    </w:p>
    <w:p w14:paraId="2BAF58BE">
      <w:pPr>
        <w:pStyle w:val="85"/>
        <w:keepNext w:val="0"/>
        <w:keepLines w:val="0"/>
        <w:pageBreakBefore w:val="0"/>
        <w:widowControl w:val="0"/>
        <w:numPr>
          <w:ilvl w:val="0"/>
          <w:numId w:val="0"/>
        </w:numPr>
        <w:kinsoku/>
        <w:wordWrap/>
        <w:overflowPunct/>
        <w:topLinePunct w:val="0"/>
        <w:autoSpaceDE/>
        <w:autoSpaceDN/>
        <w:bidi w:val="0"/>
        <w:snapToGrid/>
        <w:spacing w:line="480" w:lineRule="exact"/>
        <w:ind w:left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商务</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表……………………………………………………………………（页码）</w:t>
      </w:r>
    </w:p>
    <w:p w14:paraId="38725531">
      <w:pPr>
        <w:pStyle w:val="85"/>
        <w:keepNext w:val="0"/>
        <w:keepLines w:val="0"/>
        <w:pageBreakBefore w:val="0"/>
        <w:widowControl w:val="0"/>
        <w:numPr>
          <w:ilvl w:val="0"/>
          <w:numId w:val="0"/>
        </w:numPr>
        <w:kinsoku/>
        <w:wordWrap/>
        <w:overflowPunct/>
        <w:topLinePunct w:val="0"/>
        <w:autoSpaceDE/>
        <w:autoSpaceDN/>
        <w:bidi w:val="0"/>
        <w:snapToGrid/>
        <w:spacing w:line="480" w:lineRule="exact"/>
        <w:ind w:left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（7）采购供应商廉洁自律承诺书</w:t>
      </w:r>
      <w:r>
        <w:rPr>
          <w:rFonts w:hint="eastAsia" w:ascii="仿宋" w:hAnsi="仿宋" w:eastAsia="仿宋" w:cs="仿宋"/>
          <w:color w:val="auto"/>
          <w:sz w:val="24"/>
          <w:szCs w:val="24"/>
          <w:highlight w:val="none"/>
        </w:rPr>
        <w:t>…………………………………………………（页码）</w:t>
      </w:r>
    </w:p>
    <w:p w14:paraId="00318DE9">
      <w:pPr>
        <w:pStyle w:val="85"/>
        <w:keepNext w:val="0"/>
        <w:keepLines w:val="0"/>
        <w:pageBreakBefore w:val="0"/>
        <w:widowControl w:val="0"/>
        <w:numPr>
          <w:ilvl w:val="0"/>
          <w:numId w:val="0"/>
        </w:numPr>
        <w:kinsoku/>
        <w:wordWrap/>
        <w:overflowPunct/>
        <w:topLinePunct w:val="0"/>
        <w:autoSpaceDE/>
        <w:autoSpaceDN/>
        <w:bidi w:val="0"/>
        <w:snapToGrid/>
        <w:spacing w:line="480" w:lineRule="exact"/>
        <w:ind w:leftChars="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（8）偿付能力…</w:t>
      </w:r>
      <w:r>
        <w:rPr>
          <w:rFonts w:hint="eastAsia" w:ascii="仿宋" w:hAnsi="仿宋" w:eastAsia="仿宋" w:cs="仿宋"/>
          <w:color w:val="auto"/>
          <w:sz w:val="24"/>
          <w:szCs w:val="24"/>
          <w:highlight w:val="none"/>
        </w:rPr>
        <w:t>…………………………………………………………………（页码）</w:t>
      </w:r>
    </w:p>
    <w:p w14:paraId="61E144A4">
      <w:pPr>
        <w:pStyle w:val="85"/>
        <w:keepNext w:val="0"/>
        <w:keepLines w:val="0"/>
        <w:pageBreakBefore w:val="0"/>
        <w:widowControl w:val="0"/>
        <w:numPr>
          <w:ilvl w:val="0"/>
          <w:numId w:val="0"/>
        </w:numPr>
        <w:kinsoku/>
        <w:wordWrap/>
        <w:overflowPunct/>
        <w:topLinePunct w:val="0"/>
        <w:autoSpaceDE/>
        <w:autoSpaceDN/>
        <w:bidi w:val="0"/>
        <w:snapToGrid/>
        <w:spacing w:line="480" w:lineRule="exact"/>
        <w:ind w:left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（9）保险消费投诉情况…</w:t>
      </w:r>
      <w:r>
        <w:rPr>
          <w:rFonts w:hint="eastAsia" w:ascii="仿宋" w:hAnsi="仿宋" w:eastAsia="仿宋" w:cs="仿宋"/>
          <w:color w:val="auto"/>
          <w:sz w:val="24"/>
          <w:szCs w:val="24"/>
          <w:highlight w:val="none"/>
        </w:rPr>
        <w:t>…………………………………………………………（页码）</w:t>
      </w:r>
    </w:p>
    <w:p w14:paraId="5C7D47AF">
      <w:pPr>
        <w:pStyle w:val="85"/>
        <w:keepNext w:val="0"/>
        <w:keepLines w:val="0"/>
        <w:pageBreakBefore w:val="0"/>
        <w:widowControl w:val="0"/>
        <w:numPr>
          <w:ilvl w:val="0"/>
          <w:numId w:val="0"/>
        </w:numPr>
        <w:kinsoku/>
        <w:wordWrap/>
        <w:overflowPunct/>
        <w:topLinePunct w:val="0"/>
        <w:autoSpaceDE/>
        <w:autoSpaceDN/>
        <w:bidi w:val="0"/>
        <w:snapToGrid/>
        <w:spacing w:line="480" w:lineRule="exact"/>
        <w:ind w:leftChars="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（10）经营评级情况</w:t>
      </w:r>
      <w:r>
        <w:rPr>
          <w:rFonts w:hint="eastAsia" w:ascii="仿宋" w:hAnsi="仿宋" w:eastAsia="仿宋" w:cs="仿宋"/>
          <w:color w:val="auto"/>
          <w:sz w:val="24"/>
          <w:szCs w:val="24"/>
          <w:highlight w:val="none"/>
        </w:rPr>
        <w:t>………………………………………………………………（页码）</w:t>
      </w:r>
    </w:p>
    <w:p w14:paraId="4D5AB146">
      <w:pPr>
        <w:pStyle w:val="85"/>
        <w:keepNext w:val="0"/>
        <w:keepLines w:val="0"/>
        <w:pageBreakBefore w:val="0"/>
        <w:widowControl w:val="0"/>
        <w:numPr>
          <w:ilvl w:val="0"/>
          <w:numId w:val="0"/>
        </w:numPr>
        <w:kinsoku/>
        <w:wordWrap/>
        <w:overflowPunct/>
        <w:topLinePunct w:val="0"/>
        <w:autoSpaceDE/>
        <w:autoSpaceDN/>
        <w:bidi w:val="0"/>
        <w:snapToGrid/>
        <w:spacing w:line="480" w:lineRule="exact"/>
        <w:ind w:leftChars="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（11）服务渠道…</w:t>
      </w:r>
      <w:r>
        <w:rPr>
          <w:rFonts w:hint="eastAsia" w:ascii="仿宋" w:hAnsi="仿宋" w:eastAsia="仿宋" w:cs="仿宋"/>
          <w:color w:val="auto"/>
          <w:sz w:val="24"/>
          <w:szCs w:val="24"/>
          <w:highlight w:val="none"/>
        </w:rPr>
        <w:t>…………………………………………………………………（页码）</w:t>
      </w:r>
    </w:p>
    <w:p w14:paraId="34C1DE88">
      <w:pPr>
        <w:keepNext w:val="0"/>
        <w:keepLines w:val="0"/>
        <w:pageBreakBefore w:val="0"/>
        <w:widowControl w:val="0"/>
        <w:kinsoku/>
        <w:wordWrap/>
        <w:overflowPunct/>
        <w:topLinePunct w:val="0"/>
        <w:bidi w:val="0"/>
        <w:snapToGrid/>
        <w:spacing w:line="48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kern w:val="2"/>
          <w:sz w:val="24"/>
          <w:szCs w:val="24"/>
          <w:highlight w:val="none"/>
          <w:lang w:val="en-US" w:eastAsia="zh-CN" w:bidi="ar-SA"/>
        </w:rPr>
        <w:t>整体理赔服务方案</w:t>
      </w:r>
      <w:r>
        <w:rPr>
          <w:rFonts w:hint="eastAsia" w:ascii="仿宋" w:hAnsi="仿宋" w:eastAsia="仿宋" w:cs="仿宋"/>
          <w:color w:val="auto"/>
          <w:sz w:val="24"/>
          <w:szCs w:val="24"/>
          <w:highlight w:val="none"/>
        </w:rPr>
        <w:t>…………………………………………………………（页码）</w:t>
      </w:r>
    </w:p>
    <w:p w14:paraId="18E95A60">
      <w:pPr>
        <w:keepNext w:val="0"/>
        <w:keepLines w:val="0"/>
        <w:pageBreakBefore w:val="0"/>
        <w:widowControl w:val="0"/>
        <w:kinsoku/>
        <w:wordWrap/>
        <w:overflowPunct/>
        <w:topLinePunct w:val="0"/>
        <w:autoSpaceDE/>
        <w:autoSpaceDN/>
        <w:bidi w:val="0"/>
        <w:snapToGrid/>
        <w:spacing w:line="480" w:lineRule="exact"/>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2"/>
          <w:sz w:val="24"/>
          <w:szCs w:val="24"/>
          <w:highlight w:val="none"/>
          <w:lang w:val="en-US" w:eastAsia="zh-CN" w:bidi="ar"/>
        </w:rPr>
        <w:t>（13）</w:t>
      </w:r>
      <w:r>
        <w:rPr>
          <w:rFonts w:hint="eastAsia" w:ascii="仿宋" w:hAnsi="仿宋" w:eastAsia="仿宋" w:cs="仿宋"/>
          <w:color w:val="auto"/>
          <w:kern w:val="2"/>
          <w:sz w:val="24"/>
          <w:szCs w:val="24"/>
          <w:highlight w:val="none"/>
          <w:lang w:val="en-US" w:eastAsia="zh-CN" w:bidi="ar-SA"/>
        </w:rPr>
        <w:t>服务团队</w:t>
      </w:r>
      <w:r>
        <w:rPr>
          <w:rFonts w:hint="eastAsia" w:ascii="仿宋" w:hAnsi="仿宋" w:eastAsia="仿宋" w:cs="仿宋"/>
          <w:color w:val="auto"/>
          <w:sz w:val="24"/>
          <w:szCs w:val="24"/>
          <w:highlight w:val="none"/>
        </w:rPr>
        <w:t>……………………………………………………………………（页码）</w:t>
      </w:r>
    </w:p>
    <w:p w14:paraId="011FEE4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80" w:lineRule="exact"/>
        <w:ind w:left="480" w:leftChars="0" w:right="0" w:rightChars="0" w:hanging="48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kern w:val="2"/>
          <w:sz w:val="24"/>
          <w:szCs w:val="24"/>
          <w:highlight w:val="none"/>
          <w:lang w:val="en-US" w:eastAsia="zh-CN" w:bidi="ar-SA"/>
        </w:rPr>
        <w:t>设备配置</w:t>
      </w:r>
      <w:r>
        <w:rPr>
          <w:rFonts w:hint="eastAsia" w:ascii="仿宋" w:hAnsi="仿宋" w:eastAsia="仿宋" w:cs="仿宋"/>
          <w:color w:val="auto"/>
          <w:sz w:val="24"/>
          <w:szCs w:val="24"/>
          <w:highlight w:val="none"/>
        </w:rPr>
        <w:t>……………………………………………………………………（页码）</w:t>
      </w:r>
    </w:p>
    <w:p w14:paraId="6AAF166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80" w:lineRule="exact"/>
        <w:ind w:left="480" w:leftChars="0" w:right="0" w:rightChars="0" w:hanging="48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kern w:val="2"/>
          <w:sz w:val="24"/>
          <w:szCs w:val="24"/>
          <w:highlight w:val="none"/>
          <w:lang w:val="en-US" w:eastAsia="zh-CN" w:bidi="ar-SA"/>
        </w:rPr>
        <w:t>增值服务…</w:t>
      </w:r>
      <w:r>
        <w:rPr>
          <w:rFonts w:hint="eastAsia" w:ascii="仿宋" w:hAnsi="仿宋" w:eastAsia="仿宋" w:cs="仿宋"/>
          <w:color w:val="auto"/>
          <w:sz w:val="24"/>
          <w:szCs w:val="24"/>
          <w:highlight w:val="none"/>
        </w:rPr>
        <w:t>…………………………………………………………………（页码）</w:t>
      </w:r>
    </w:p>
    <w:p w14:paraId="28FD9B5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80" w:lineRule="exact"/>
        <w:ind w:left="480" w:leftChars="0" w:right="0" w:rightChars="0" w:hanging="48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kern w:val="2"/>
          <w:sz w:val="24"/>
          <w:szCs w:val="24"/>
          <w:highlight w:val="none"/>
          <w:lang w:val="en-US" w:eastAsia="zh-CN" w:bidi="ar-SA"/>
        </w:rPr>
        <w:t>突发情况应急预案…………………………………………………………（页码）</w:t>
      </w:r>
    </w:p>
    <w:p w14:paraId="4001D4B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80" w:lineRule="exact"/>
        <w:ind w:left="480" w:leftChars="0" w:right="0" w:rightChars="0" w:hanging="48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kern w:val="2"/>
          <w:sz w:val="24"/>
          <w:szCs w:val="24"/>
          <w:highlight w:val="none"/>
          <w:lang w:val="en-US" w:eastAsia="zh-CN" w:bidi="ar-SA"/>
        </w:rPr>
        <w:t>内控方案……………………………………………………………………（页码）</w:t>
      </w:r>
    </w:p>
    <w:p w14:paraId="020B9721">
      <w:pPr>
        <w:keepNext w:val="0"/>
        <w:keepLines w:val="0"/>
        <w:pageBreakBefore w:val="0"/>
        <w:widowControl w:val="0"/>
        <w:kinsoku/>
        <w:wordWrap/>
        <w:overflowPunct/>
        <w:topLinePunct w:val="0"/>
        <w:bidi w:val="0"/>
        <w:snapToGrid/>
        <w:spacing w:line="480" w:lineRule="exact"/>
        <w:textAlignment w:val="auto"/>
        <w:rPr>
          <w:color w:val="auto"/>
          <w:highlight w:val="none"/>
        </w:rPr>
      </w:pPr>
      <w:r>
        <w:rPr>
          <w:rFonts w:hint="eastAsia" w:ascii="仿宋" w:hAnsi="仿宋" w:eastAsia="仿宋" w:cs="仿宋"/>
          <w:color w:val="auto"/>
          <w:sz w:val="24"/>
          <w:szCs w:val="24"/>
          <w:highlight w:val="none"/>
          <w:lang w:val="en-US" w:eastAsia="zh-CN"/>
        </w:rPr>
        <w:t>（18）投标人认为需要说明的其他文件和说明（若有）</w:t>
      </w: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highlight w:val="none"/>
          <w:lang w:val="en-US" w:eastAsia="zh-CN" w:bidi="ar-SA"/>
        </w:rPr>
        <w:t>（页码）</w:t>
      </w:r>
    </w:p>
    <w:p w14:paraId="17B06E5A">
      <w:pPr>
        <w:keepNext w:val="0"/>
        <w:keepLines w:val="0"/>
        <w:pageBreakBefore w:val="0"/>
        <w:kinsoku/>
        <w:wordWrap/>
        <w:overflowPunct/>
        <w:topLinePunct w:val="0"/>
        <w:autoSpaceDE/>
        <w:autoSpaceDN/>
        <w:bidi w:val="0"/>
        <w:snapToGrid/>
        <w:spacing w:line="480" w:lineRule="exact"/>
        <w:jc w:val="both"/>
        <w:textAlignment w:val="auto"/>
        <w:rPr>
          <w:rFonts w:hint="eastAsia" w:ascii="仿宋" w:hAnsi="仿宋" w:eastAsia="仿宋" w:cs="仿宋"/>
          <w:color w:val="auto"/>
          <w:kern w:val="2"/>
          <w:sz w:val="24"/>
          <w:szCs w:val="24"/>
          <w:highlight w:val="none"/>
          <w:lang w:val="en-US" w:eastAsia="zh-CN" w:bidi="ar-SA"/>
        </w:rPr>
      </w:pPr>
    </w:p>
    <w:p w14:paraId="4421DABA">
      <w:pPr>
        <w:keepNext w:val="0"/>
        <w:keepLines w:val="0"/>
        <w:pageBreakBefore w:val="0"/>
        <w:kinsoku/>
        <w:wordWrap/>
        <w:overflowPunct/>
        <w:topLinePunct w:val="0"/>
        <w:autoSpaceDE/>
        <w:autoSpaceDN/>
        <w:bidi w:val="0"/>
        <w:snapToGrid/>
        <w:spacing w:line="480" w:lineRule="exact"/>
        <w:jc w:val="center"/>
        <w:textAlignment w:val="auto"/>
        <w:rPr>
          <w:rFonts w:hint="eastAsia" w:ascii="仿宋" w:hAnsi="仿宋" w:eastAsia="仿宋" w:cs="仿宋"/>
          <w:color w:val="auto"/>
          <w:sz w:val="24"/>
          <w:szCs w:val="24"/>
          <w:highlight w:val="none"/>
        </w:rPr>
      </w:pPr>
    </w:p>
    <w:p w14:paraId="7A250DE4">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4"/>
          <w:szCs w:val="24"/>
          <w:highlight w:val="none"/>
        </w:rPr>
      </w:pPr>
    </w:p>
    <w:p w14:paraId="0F8593ED">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highlight w:val="none"/>
        </w:rPr>
      </w:pPr>
    </w:p>
    <w:p w14:paraId="2C63559D">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highlight w:val="none"/>
        </w:rPr>
      </w:pPr>
    </w:p>
    <w:p w14:paraId="2B15460B">
      <w:pPr>
        <w:snapToGrid w:val="0"/>
        <w:spacing w:line="360" w:lineRule="auto"/>
        <w:outlineLvl w:val="0"/>
        <w:rPr>
          <w:rFonts w:hint="eastAsia" w:ascii="仿宋" w:hAnsi="仿宋" w:eastAsia="仿宋" w:cs="仿宋"/>
          <w:b/>
          <w:color w:val="auto"/>
          <w:kern w:val="0"/>
          <w:sz w:val="32"/>
          <w:szCs w:val="32"/>
          <w:highlight w:val="none"/>
        </w:rPr>
      </w:pPr>
    </w:p>
    <w:p w14:paraId="20363003">
      <w:pPr>
        <w:pStyle w:val="2"/>
        <w:rPr>
          <w:rFonts w:hint="eastAsia"/>
          <w:color w:val="auto"/>
          <w:highlight w:val="none"/>
        </w:rPr>
      </w:pPr>
    </w:p>
    <w:p w14:paraId="6F7435A2">
      <w:pPr>
        <w:pStyle w:val="3"/>
        <w:rPr>
          <w:rFonts w:hint="eastAsia"/>
          <w:color w:val="auto"/>
          <w:highlight w:val="none"/>
        </w:rPr>
      </w:pPr>
    </w:p>
    <w:p w14:paraId="7E345B3F">
      <w:pPr>
        <w:rPr>
          <w:rFonts w:hint="eastAsia"/>
          <w:color w:val="auto"/>
          <w:highlight w:val="none"/>
        </w:rPr>
      </w:pPr>
    </w:p>
    <w:p w14:paraId="108C5AC0">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58BDFCAC">
      <w:pPr>
        <w:pStyle w:val="82"/>
        <w:keepNext w:val="0"/>
        <w:keepLines w:val="0"/>
        <w:pageBreakBefore w:val="0"/>
        <w:kinsoku/>
        <w:wordWrap/>
        <w:overflowPunct/>
        <w:topLinePunct w:val="0"/>
        <w:autoSpaceDE/>
        <w:autoSpaceDN/>
        <w:bidi w:val="0"/>
        <w:adjustRightInd/>
        <w:spacing w:afterLines="0" w:line="500" w:lineRule="exact"/>
        <w:ind w:firstLine="0" w:firstLineChars="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致：</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1"/>
          <w:highlight w:val="none"/>
        </w:rPr>
        <w:t>（采购</w:t>
      </w:r>
      <w:r>
        <w:rPr>
          <w:rFonts w:hint="eastAsia" w:ascii="仿宋" w:hAnsi="仿宋" w:eastAsia="仿宋" w:cs="仿宋"/>
          <w:color w:val="auto"/>
          <w:szCs w:val="21"/>
          <w:highlight w:val="none"/>
          <w:lang w:val="en-US" w:eastAsia="zh-CN"/>
        </w:rPr>
        <w:t>人</w:t>
      </w:r>
      <w:r>
        <w:rPr>
          <w:rFonts w:hint="eastAsia" w:ascii="仿宋" w:hAnsi="仿宋" w:eastAsia="仿宋" w:cs="仿宋"/>
          <w:color w:val="auto"/>
          <w:szCs w:val="21"/>
          <w:highlight w:val="none"/>
        </w:rPr>
        <w:t>名称）</w:t>
      </w:r>
    </w:p>
    <w:p w14:paraId="7D94F479">
      <w:pPr>
        <w:pStyle w:val="82"/>
        <w:keepNext w:val="0"/>
        <w:keepLines w:val="0"/>
        <w:pageBreakBefore w:val="0"/>
        <w:kinsoku/>
        <w:wordWrap/>
        <w:overflowPunct/>
        <w:topLinePunct w:val="0"/>
        <w:autoSpaceDE/>
        <w:autoSpaceDN/>
        <w:bidi w:val="0"/>
        <w:adjustRightInd/>
        <w:spacing w:afterLines="0" w:line="500" w:lineRule="exact"/>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根据贵方（</w:t>
      </w:r>
      <w:r>
        <w:rPr>
          <w:rFonts w:hint="eastAsia" w:ascii="仿宋" w:hAnsi="仿宋" w:eastAsia="仿宋" w:cs="仿宋"/>
          <w:b/>
          <w:color w:val="auto"/>
          <w:szCs w:val="24"/>
          <w:highlight w:val="none"/>
          <w:u w:val="single"/>
        </w:rPr>
        <w:t>填写项目名称</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采购</w:t>
      </w:r>
      <w:r>
        <w:rPr>
          <w:rFonts w:hint="eastAsia" w:ascii="仿宋" w:hAnsi="仿宋" w:eastAsia="仿宋" w:cs="仿宋"/>
          <w:color w:val="auto"/>
          <w:szCs w:val="24"/>
          <w:highlight w:val="none"/>
        </w:rPr>
        <w:t>文件的要求，正式授权</w:t>
      </w:r>
      <w:r>
        <w:rPr>
          <w:rFonts w:hint="eastAsia" w:ascii="仿宋" w:hAnsi="仿宋" w:eastAsia="仿宋" w:cs="仿宋"/>
          <w:b/>
          <w:color w:val="auto"/>
          <w:szCs w:val="24"/>
          <w:highlight w:val="none"/>
          <w:u w:val="single"/>
        </w:rPr>
        <w:t>（全权代表姓名 、单位  、职务   ）</w:t>
      </w:r>
      <w:r>
        <w:rPr>
          <w:rFonts w:hint="eastAsia" w:ascii="仿宋" w:hAnsi="仿宋" w:eastAsia="仿宋" w:cs="仿宋"/>
          <w:color w:val="auto"/>
          <w:szCs w:val="24"/>
          <w:highlight w:val="none"/>
        </w:rPr>
        <w:t>代表投标人</w:t>
      </w:r>
      <w:r>
        <w:rPr>
          <w:rFonts w:hint="eastAsia" w:ascii="仿宋" w:hAnsi="仿宋" w:eastAsia="仿宋" w:cs="仿宋"/>
          <w:color w:val="auto"/>
          <w:szCs w:val="24"/>
          <w:highlight w:val="none"/>
          <w:u w:val="single"/>
        </w:rPr>
        <w:t>（</w:t>
      </w:r>
      <w:r>
        <w:rPr>
          <w:rFonts w:hint="eastAsia" w:ascii="仿宋" w:hAnsi="仿宋" w:eastAsia="仿宋" w:cs="仿宋"/>
          <w:b/>
          <w:color w:val="auto"/>
          <w:szCs w:val="24"/>
          <w:highlight w:val="none"/>
          <w:u w:val="single"/>
        </w:rPr>
        <w:t xml:space="preserve">填写单位 、地址 </w:t>
      </w:r>
      <w:r>
        <w:rPr>
          <w:rFonts w:hint="eastAsia" w:ascii="仿宋" w:hAnsi="仿宋" w:eastAsia="仿宋" w:cs="仿宋"/>
          <w:color w:val="auto"/>
          <w:szCs w:val="24"/>
          <w:highlight w:val="none"/>
          <w:u w:val="single"/>
        </w:rPr>
        <w:t>）</w:t>
      </w:r>
      <w:r>
        <w:rPr>
          <w:rFonts w:hint="eastAsia" w:ascii="仿宋" w:hAnsi="仿宋" w:eastAsia="仿宋" w:cs="仿宋"/>
          <w:color w:val="auto"/>
          <w:szCs w:val="24"/>
          <w:highlight w:val="none"/>
        </w:rPr>
        <w:t>提交投标文件。</w:t>
      </w:r>
    </w:p>
    <w:p w14:paraId="55B93BD9">
      <w:pPr>
        <w:pStyle w:val="82"/>
        <w:keepNext w:val="0"/>
        <w:keepLines w:val="0"/>
        <w:pageBreakBefore w:val="0"/>
        <w:kinsoku/>
        <w:wordWrap/>
        <w:overflowPunct/>
        <w:topLinePunct w:val="0"/>
        <w:autoSpaceDE/>
        <w:autoSpaceDN/>
        <w:bidi w:val="0"/>
        <w:adjustRightInd/>
        <w:spacing w:afterLines="0" w:line="500" w:lineRule="exact"/>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我方已完全明白</w:t>
      </w:r>
      <w:r>
        <w:rPr>
          <w:rFonts w:hint="eastAsia" w:ascii="仿宋" w:hAnsi="仿宋" w:eastAsia="仿宋" w:cs="仿宋"/>
          <w:color w:val="auto"/>
          <w:szCs w:val="24"/>
          <w:highlight w:val="none"/>
          <w:lang w:val="en-US" w:eastAsia="zh-CN"/>
        </w:rPr>
        <w:t>采购</w:t>
      </w:r>
      <w:r>
        <w:rPr>
          <w:rFonts w:hint="eastAsia" w:ascii="仿宋" w:hAnsi="仿宋" w:eastAsia="仿宋" w:cs="仿宋"/>
          <w:color w:val="auto"/>
          <w:szCs w:val="24"/>
          <w:highlight w:val="none"/>
        </w:rPr>
        <w:t>文件的所有条款要求，兹声明同意如下：</w:t>
      </w:r>
    </w:p>
    <w:p w14:paraId="7F1AF8E0">
      <w:pPr>
        <w:pStyle w:val="8"/>
        <w:keepNext w:val="0"/>
        <w:keepLines w:val="0"/>
        <w:pageBreakBefore w:val="0"/>
        <w:kinsoku/>
        <w:wordWrap/>
        <w:overflowPunct/>
        <w:topLinePunct w:val="0"/>
        <w:autoSpaceDE/>
        <w:autoSpaceDN/>
        <w:bidi w:val="0"/>
        <w:adjustRightInd/>
        <w:spacing w:line="500" w:lineRule="exact"/>
        <w:ind w:left="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我方同意在投标人</w:t>
      </w:r>
      <w:r>
        <w:rPr>
          <w:rFonts w:hint="eastAsia" w:ascii="仿宋" w:hAnsi="仿宋" w:eastAsia="仿宋" w:cs="仿宋"/>
          <w:color w:val="auto"/>
          <w:kern w:val="44"/>
          <w:szCs w:val="24"/>
          <w:highlight w:val="none"/>
        </w:rPr>
        <w:t>须知</w:t>
      </w:r>
      <w:r>
        <w:rPr>
          <w:rFonts w:hint="eastAsia" w:ascii="仿宋" w:hAnsi="仿宋" w:eastAsia="仿宋" w:cs="仿宋"/>
          <w:color w:val="auto"/>
          <w:szCs w:val="24"/>
          <w:highlight w:val="none"/>
        </w:rPr>
        <w:t>规定的开标日期起遵守本投标文件中的承诺且在投标有效期满之前均具有约束力。</w:t>
      </w:r>
    </w:p>
    <w:p w14:paraId="3346E7C2">
      <w:pPr>
        <w:pStyle w:val="82"/>
        <w:keepNext w:val="0"/>
        <w:keepLines w:val="0"/>
        <w:pageBreakBefore w:val="0"/>
        <w:kinsoku/>
        <w:wordWrap/>
        <w:overflowPunct/>
        <w:topLinePunct w:val="0"/>
        <w:autoSpaceDE/>
        <w:autoSpaceDN/>
        <w:bidi w:val="0"/>
        <w:adjustRightInd/>
        <w:spacing w:afterLines="0" w:line="5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2.我方承诺已经具备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中规定的参加采购活动的供应商应当具备的条件。</w:t>
      </w:r>
    </w:p>
    <w:p w14:paraId="02EBA482">
      <w:pPr>
        <w:pStyle w:val="8"/>
        <w:keepNext w:val="0"/>
        <w:keepLines w:val="0"/>
        <w:pageBreakBefore w:val="0"/>
        <w:numPr>
          <w:ilvl w:val="0"/>
          <w:numId w:val="0"/>
        </w:numPr>
        <w:kinsoku/>
        <w:wordWrap/>
        <w:overflowPunct/>
        <w:topLinePunct w:val="0"/>
        <w:autoSpaceDE/>
        <w:autoSpaceDN/>
        <w:bidi w:val="0"/>
        <w:adjustRightInd/>
        <w:spacing w:line="500" w:lineRule="exact"/>
        <w:ind w:left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3.本公司投标文件中填列的技术参数、配置、服务、数量等相关内容都是真实、准确的。保证在本次项目中所提供的资料全部真实和合法。同意向采购代理机构提供可能另外要求的与投标有关的任何数据或资料。</w:t>
      </w:r>
    </w:p>
    <w:p w14:paraId="31B1A29C">
      <w:pPr>
        <w:pStyle w:val="82"/>
        <w:keepNext w:val="0"/>
        <w:keepLines w:val="0"/>
        <w:pageBreakBefore w:val="0"/>
        <w:kinsoku/>
        <w:wordWrap/>
        <w:overflowPunct/>
        <w:topLinePunct w:val="0"/>
        <w:autoSpaceDE/>
        <w:autoSpaceDN/>
        <w:bidi w:val="0"/>
        <w:adjustRightInd/>
        <w:spacing w:afterLines="0" w:line="500" w:lineRule="exact"/>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4.我方理解贵方将不受你们所收到的最低报价的约束。</w:t>
      </w:r>
    </w:p>
    <w:p w14:paraId="4D9AF519">
      <w:pPr>
        <w:pStyle w:val="8"/>
        <w:keepNext w:val="0"/>
        <w:keepLines w:val="0"/>
        <w:pageBreakBefore w:val="0"/>
        <w:numPr>
          <w:ilvl w:val="0"/>
          <w:numId w:val="0"/>
        </w:numPr>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5.本投标自开标之日（投标截止之日）起90天内有效。</w:t>
      </w:r>
    </w:p>
    <w:p w14:paraId="2499E4BD">
      <w:pPr>
        <w:pStyle w:val="82"/>
        <w:keepNext w:val="0"/>
        <w:keepLines w:val="0"/>
        <w:pageBreakBefore w:val="0"/>
        <w:kinsoku/>
        <w:wordWrap/>
        <w:overflowPunct/>
        <w:topLinePunct w:val="0"/>
        <w:autoSpaceDE/>
        <w:autoSpaceDN/>
        <w:bidi w:val="0"/>
        <w:adjustRightInd/>
        <w:spacing w:afterLines="0" w:line="500" w:lineRule="exact"/>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6.</w:t>
      </w:r>
      <w:r>
        <w:rPr>
          <w:rFonts w:hint="eastAsia" w:ascii="仿宋" w:hAnsi="仿宋" w:eastAsia="仿宋" w:cs="仿宋"/>
          <w:color w:val="auto"/>
          <w:sz w:val="24"/>
          <w:highlight w:val="none"/>
        </w:rPr>
        <w:t>如在此有效期内，</w:t>
      </w:r>
      <w:r>
        <w:rPr>
          <w:rFonts w:hint="eastAsia" w:ascii="仿宋" w:hAnsi="仿宋" w:eastAsia="仿宋" w:cs="仿宋"/>
          <w:color w:val="auto"/>
          <w:sz w:val="24"/>
          <w:szCs w:val="24"/>
          <w:highlight w:val="none"/>
        </w:rPr>
        <w:t>我方出现下列行为之一者，同意无条件接受采购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及上级部门的处罚。</w:t>
      </w:r>
    </w:p>
    <w:p w14:paraId="1D91612F">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a)提供虚假材料谋取中标、成交的；</w:t>
      </w:r>
    </w:p>
    <w:p w14:paraId="16B89633">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b)采取不正当手段诋毁、排挤其他供应商的；</w:t>
      </w:r>
    </w:p>
    <w:p w14:paraId="2BFE07D4">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c)与采购人、其它供应商或者采购代理机构恶意串通的；</w:t>
      </w:r>
    </w:p>
    <w:p w14:paraId="037E6F9A">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d)向采购人、采购代理机构行贿或者提供其他不正当利益的；</w:t>
      </w:r>
    </w:p>
    <w:p w14:paraId="30CC0663">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e)在招标采购过程中与采购人进行协商谈判的；</w:t>
      </w:r>
    </w:p>
    <w:p w14:paraId="5E79022A">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f)拒绝有关部门监督检查或提供虚假情况的。</w:t>
      </w:r>
    </w:p>
    <w:p w14:paraId="20D20E27">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供应商有前款第a)至e)项情形之一的，中标、成交无效。</w:t>
      </w:r>
    </w:p>
    <w:p w14:paraId="740533BA">
      <w:pPr>
        <w:pStyle w:val="82"/>
        <w:keepNext w:val="0"/>
        <w:keepLines w:val="0"/>
        <w:pageBreakBefore w:val="0"/>
        <w:kinsoku/>
        <w:wordWrap/>
        <w:overflowPunct/>
        <w:topLinePunct w:val="0"/>
        <w:autoSpaceDE/>
        <w:autoSpaceDN/>
        <w:bidi w:val="0"/>
        <w:adjustRightInd/>
        <w:snapToGrid w:val="0"/>
        <w:spacing w:afterLines="0" w:line="480" w:lineRule="exact"/>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地址：　　　　　　　　　　　　　　　邮政编码：</w:t>
      </w:r>
    </w:p>
    <w:p w14:paraId="181DD108">
      <w:pPr>
        <w:pStyle w:val="82"/>
        <w:keepNext w:val="0"/>
        <w:keepLines w:val="0"/>
        <w:pageBreakBefore w:val="0"/>
        <w:kinsoku/>
        <w:wordWrap/>
        <w:overflowPunct/>
        <w:topLinePunct w:val="0"/>
        <w:autoSpaceDE/>
        <w:autoSpaceDN/>
        <w:bidi w:val="0"/>
        <w:adjustRightInd/>
        <w:snapToGrid w:val="0"/>
        <w:spacing w:afterLines="0" w:line="480" w:lineRule="exact"/>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电话：                              传真：</w:t>
      </w:r>
    </w:p>
    <w:p w14:paraId="1C133917">
      <w:pPr>
        <w:pStyle w:val="82"/>
        <w:keepNext w:val="0"/>
        <w:keepLines w:val="0"/>
        <w:pageBreakBefore w:val="0"/>
        <w:kinsoku/>
        <w:wordWrap/>
        <w:overflowPunct/>
        <w:topLinePunct w:val="0"/>
        <w:autoSpaceDE/>
        <w:autoSpaceDN/>
        <w:bidi w:val="0"/>
        <w:adjustRightInd/>
        <w:snapToGrid w:val="0"/>
        <w:spacing w:afterLines="0" w:line="480" w:lineRule="exact"/>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开户银行：                          帐号：</w:t>
      </w:r>
    </w:p>
    <w:p w14:paraId="6C204AF6">
      <w:pPr>
        <w:pStyle w:val="82"/>
        <w:keepNext w:val="0"/>
        <w:keepLines w:val="0"/>
        <w:pageBreakBefore w:val="0"/>
        <w:kinsoku/>
        <w:wordWrap/>
        <w:overflowPunct/>
        <w:topLinePunct w:val="0"/>
        <w:autoSpaceDE/>
        <w:autoSpaceDN/>
        <w:bidi w:val="0"/>
        <w:adjustRightInd/>
        <w:snapToGrid w:val="0"/>
        <w:spacing w:afterLines="0" w:line="480" w:lineRule="exact"/>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法定代表人或授权委托人</w:t>
      </w:r>
      <w:r>
        <w:rPr>
          <w:rFonts w:hint="eastAsia" w:ascii="仿宋" w:hAnsi="仿宋" w:eastAsia="仿宋" w:cs="仿宋"/>
          <w:color w:val="auto"/>
          <w:spacing w:val="20"/>
          <w:szCs w:val="24"/>
          <w:highlight w:val="none"/>
        </w:rPr>
        <w:t>签</w:t>
      </w:r>
      <w:r>
        <w:rPr>
          <w:rFonts w:hint="eastAsia" w:ascii="仿宋" w:hAnsi="仿宋" w:eastAsia="仿宋" w:cs="仿宋"/>
          <w:color w:val="auto"/>
          <w:spacing w:val="20"/>
          <w:szCs w:val="24"/>
          <w:highlight w:val="none"/>
          <w:lang w:val="en-US" w:eastAsia="zh-CN"/>
        </w:rPr>
        <w:t>字</w:t>
      </w:r>
      <w:r>
        <w:rPr>
          <w:rFonts w:hint="eastAsia" w:ascii="仿宋" w:hAnsi="仿宋" w:eastAsia="仿宋" w:cs="仿宋"/>
          <w:color w:val="auto"/>
          <w:spacing w:val="20"/>
          <w:szCs w:val="24"/>
          <w:highlight w:val="none"/>
        </w:rPr>
        <w:t>：</w:t>
      </w:r>
    </w:p>
    <w:p w14:paraId="3C590ADA">
      <w:pPr>
        <w:keepNext w:val="0"/>
        <w:keepLines w:val="0"/>
        <w:pageBreakBefore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投标人(电子签名)：　　　　　　　　　日期：  </w:t>
      </w:r>
    </w:p>
    <w:p w14:paraId="3B3B914E">
      <w:pPr>
        <w:pStyle w:val="15"/>
        <w:keepNext w:val="0"/>
        <w:keepLines w:val="0"/>
        <w:pageBreakBefore w:val="0"/>
        <w:kinsoku/>
        <w:wordWrap/>
        <w:overflowPunct/>
        <w:topLinePunct w:val="0"/>
        <w:autoSpaceDE/>
        <w:autoSpaceDN/>
        <w:bidi w:val="0"/>
        <w:adjustRightInd/>
        <w:spacing w:after="0" w:line="50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w:t>
      </w:r>
    </w:p>
    <w:p w14:paraId="0DEFDE42">
      <w:pPr>
        <w:rPr>
          <w:rFonts w:hint="eastAsia" w:ascii="仿宋" w:hAnsi="仿宋" w:eastAsia="仿宋" w:cs="仿宋"/>
          <w:color w:val="auto"/>
          <w:szCs w:val="24"/>
          <w:highlight w:val="none"/>
        </w:rPr>
      </w:pPr>
    </w:p>
    <w:p w14:paraId="41F1373C">
      <w:pPr>
        <w:pStyle w:val="2"/>
        <w:rPr>
          <w:rFonts w:hint="eastAsia" w:ascii="仿宋" w:hAnsi="仿宋" w:eastAsia="仿宋" w:cs="仿宋"/>
          <w:color w:val="auto"/>
          <w:highlight w:val="none"/>
          <w:lang w:val="en-US" w:eastAsia="zh-CN"/>
        </w:rPr>
      </w:pPr>
    </w:p>
    <w:p w14:paraId="08E6593F">
      <w:pPr>
        <w:pStyle w:val="14"/>
        <w:rPr>
          <w:rFonts w:hint="eastAsia" w:ascii="仿宋" w:hAnsi="仿宋" w:eastAsia="仿宋" w:cs="仿宋"/>
          <w:color w:val="auto"/>
          <w:highlight w:val="none"/>
          <w:lang w:val="en-US" w:eastAsia="zh-CN"/>
        </w:rPr>
      </w:pPr>
    </w:p>
    <w:p w14:paraId="488810EB">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32"/>
          <w:szCs w:val="32"/>
          <w:highlight w:val="none"/>
          <w:lang w:val="en-US" w:eastAsia="zh-CN"/>
        </w:rPr>
        <w:t>二、法定代表人身份证明书</w:t>
      </w:r>
    </w:p>
    <w:p w14:paraId="2AD8882A">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11C174E2">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67D8F6B2">
      <w:pPr>
        <w:keepNext w:val="0"/>
        <w:keepLines w:val="0"/>
        <w:pageBreakBefore w:val="0"/>
        <w:widowControl w:val="0"/>
        <w:kinsoku/>
        <w:wordWrap/>
        <w:overflowPunct/>
        <w:topLinePunct w:val="0"/>
        <w:autoSpaceDE/>
        <w:autoSpaceDN/>
        <w:bidi w:val="0"/>
        <w:adjustRightInd w:val="0"/>
        <w:spacing w:line="360" w:lineRule="auto"/>
        <w:ind w:right="322" w:rightChars="134"/>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4C08C24A">
      <w:pPr>
        <w:keepNext w:val="0"/>
        <w:keepLines w:val="0"/>
        <w:pageBreakBefore w:val="0"/>
        <w:widowControl w:val="0"/>
        <w:kinsoku/>
        <w:wordWrap/>
        <w:overflowPunct/>
        <w:topLinePunct w:val="0"/>
        <w:autoSpaceDE/>
        <w:autoSpaceDN/>
        <w:bidi w:val="0"/>
        <w:adjustRightInd w:val="0"/>
        <w:spacing w:line="360" w:lineRule="auto"/>
        <w:ind w:right="322" w:rightChars="134"/>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547ABD91">
      <w:pPr>
        <w:keepNext w:val="0"/>
        <w:keepLines w:val="0"/>
        <w:pageBreakBefore w:val="0"/>
        <w:widowControl w:val="0"/>
        <w:kinsoku/>
        <w:wordWrap/>
        <w:overflowPunct/>
        <w:topLinePunct w:val="0"/>
        <w:autoSpaceDE/>
        <w:autoSpaceDN/>
        <w:bidi w:val="0"/>
        <w:adjustRightInd w:val="0"/>
        <w:spacing w:line="360" w:lineRule="auto"/>
        <w:ind w:right="322" w:rightChars="134"/>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04D2B224">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w:t>
      </w:r>
      <w:r>
        <w:rPr>
          <w:rFonts w:hint="eastAsia" w:ascii="仿宋" w:hAnsi="仿宋" w:eastAsia="仿宋" w:cs="仿宋"/>
          <w:color w:val="auto"/>
          <w:sz w:val="24"/>
          <w:highlight w:val="none"/>
          <w:u w:val="single"/>
          <w:lang w:val="en-US" w:eastAsia="zh-CN"/>
        </w:rPr>
        <w:t>投标人</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的法定代表人。</w:t>
      </w:r>
    </w:p>
    <w:p w14:paraId="3B75DE75">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4B02DEE8">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p>
    <w:p w14:paraId="67985695">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szCs w:val="24"/>
          <w:highlight w:val="none"/>
          <w:lang w:val="en-US" w:eastAsia="zh-CN" w:bidi="ar-SA"/>
        </w:rPr>
        <w:t>投标人(电子签名)</w:t>
      </w:r>
      <w:r>
        <w:rPr>
          <w:rFonts w:hint="eastAsia" w:ascii="仿宋" w:hAnsi="仿宋" w:eastAsia="仿宋" w:cs="仿宋"/>
          <w:color w:val="auto"/>
          <w:sz w:val="24"/>
          <w:highlight w:val="none"/>
          <w:lang w:val="en-US" w:eastAsia="zh-CN"/>
        </w:rPr>
        <w:t xml:space="preserve">            </w:t>
      </w:r>
    </w:p>
    <w:p w14:paraId="4F18571D">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b/>
          <w:color w:val="auto"/>
          <w:kern w:val="0"/>
          <w:sz w:val="32"/>
          <w:szCs w:val="32"/>
          <w:highlight w:val="none"/>
          <w:lang w:val="en-US"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年   月   日</w:t>
      </w:r>
    </w:p>
    <w:p w14:paraId="75A10B71">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2211FE47">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02787456">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5198D435">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t xml:space="preserve"> </w:t>
      </w:r>
    </w:p>
    <w:p w14:paraId="0BF96C1C">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highlight w:val="none"/>
          <w:lang w:val="en-US" w:eastAsia="zh-CN"/>
        </w:rPr>
      </w:pPr>
    </w:p>
    <w:p w14:paraId="0B84A948">
      <w:pPr>
        <w:pStyle w:val="42"/>
        <w:rPr>
          <w:rFonts w:hint="eastAsia" w:ascii="仿宋" w:hAnsi="仿宋" w:eastAsia="仿宋" w:cs="仿宋"/>
          <w:color w:val="auto"/>
          <w:highlight w:val="none"/>
          <w:lang w:val="en-US" w:eastAsia="zh-CN"/>
        </w:rPr>
      </w:pPr>
    </w:p>
    <w:p w14:paraId="0965316F">
      <w:pPr>
        <w:pStyle w:val="42"/>
        <w:rPr>
          <w:rFonts w:hint="eastAsia" w:ascii="仿宋" w:hAnsi="仿宋" w:eastAsia="仿宋" w:cs="仿宋"/>
          <w:color w:val="auto"/>
          <w:highlight w:val="none"/>
          <w:lang w:val="en-US" w:eastAsia="zh-CN"/>
        </w:rPr>
      </w:pPr>
    </w:p>
    <w:p w14:paraId="32ABAEC0">
      <w:pPr>
        <w:pStyle w:val="42"/>
        <w:rPr>
          <w:rFonts w:hint="eastAsia" w:ascii="仿宋" w:hAnsi="仿宋" w:eastAsia="仿宋" w:cs="仿宋"/>
          <w:color w:val="auto"/>
          <w:highlight w:val="none"/>
          <w:lang w:val="en-US" w:eastAsia="zh-CN"/>
        </w:rPr>
      </w:pPr>
    </w:p>
    <w:p w14:paraId="2AD43887">
      <w:pPr>
        <w:pStyle w:val="42"/>
        <w:rPr>
          <w:rFonts w:hint="eastAsia" w:ascii="仿宋" w:hAnsi="仿宋" w:eastAsia="仿宋" w:cs="仿宋"/>
          <w:color w:val="auto"/>
          <w:highlight w:val="none"/>
          <w:lang w:val="en-US" w:eastAsia="zh-CN"/>
        </w:rPr>
      </w:pPr>
    </w:p>
    <w:p w14:paraId="44C18D69">
      <w:pPr>
        <w:pStyle w:val="42"/>
        <w:rPr>
          <w:rFonts w:hint="eastAsia" w:ascii="仿宋" w:hAnsi="仿宋" w:eastAsia="仿宋" w:cs="仿宋"/>
          <w:color w:val="auto"/>
          <w:highlight w:val="none"/>
          <w:lang w:val="en-US" w:eastAsia="zh-CN"/>
        </w:rPr>
      </w:pPr>
    </w:p>
    <w:p w14:paraId="3F9A3219">
      <w:pPr>
        <w:pStyle w:val="42"/>
        <w:rPr>
          <w:rFonts w:hint="eastAsia" w:ascii="仿宋" w:hAnsi="仿宋" w:eastAsia="仿宋" w:cs="仿宋"/>
          <w:color w:val="auto"/>
          <w:highlight w:val="none"/>
          <w:lang w:val="en-US" w:eastAsia="zh-CN"/>
        </w:rPr>
      </w:pPr>
    </w:p>
    <w:p w14:paraId="6291822D">
      <w:pPr>
        <w:pStyle w:val="42"/>
        <w:rPr>
          <w:rFonts w:hint="eastAsia" w:ascii="仿宋" w:hAnsi="仿宋" w:eastAsia="仿宋" w:cs="仿宋"/>
          <w:color w:val="auto"/>
          <w:highlight w:val="none"/>
          <w:lang w:val="en-US" w:eastAsia="zh-CN"/>
        </w:rPr>
      </w:pPr>
    </w:p>
    <w:p w14:paraId="6DCAA14C">
      <w:pPr>
        <w:pStyle w:val="42"/>
        <w:rPr>
          <w:rFonts w:hint="eastAsia" w:ascii="仿宋" w:hAnsi="仿宋" w:eastAsia="仿宋" w:cs="仿宋"/>
          <w:color w:val="auto"/>
          <w:highlight w:val="none"/>
          <w:lang w:val="en-US" w:eastAsia="zh-CN"/>
        </w:rPr>
      </w:pPr>
    </w:p>
    <w:p w14:paraId="5CEA8081">
      <w:pPr>
        <w:pStyle w:val="42"/>
        <w:rPr>
          <w:rFonts w:hint="eastAsia" w:ascii="仿宋" w:hAnsi="仿宋" w:eastAsia="仿宋" w:cs="仿宋"/>
          <w:color w:val="auto"/>
          <w:highlight w:val="none"/>
          <w:lang w:val="en-US" w:eastAsia="zh-CN"/>
        </w:rPr>
      </w:pPr>
    </w:p>
    <w:p w14:paraId="5CF2DEDE">
      <w:pPr>
        <w:pStyle w:val="42"/>
        <w:rPr>
          <w:rFonts w:hint="eastAsia" w:ascii="仿宋" w:hAnsi="仿宋" w:eastAsia="仿宋" w:cs="仿宋"/>
          <w:color w:val="auto"/>
          <w:highlight w:val="none"/>
          <w:lang w:val="en-US" w:eastAsia="zh-CN"/>
        </w:rPr>
      </w:pPr>
    </w:p>
    <w:p w14:paraId="40AF813C">
      <w:pPr>
        <w:pStyle w:val="42"/>
        <w:rPr>
          <w:rFonts w:hint="eastAsia" w:ascii="仿宋" w:hAnsi="仿宋" w:eastAsia="仿宋" w:cs="仿宋"/>
          <w:color w:val="auto"/>
          <w:highlight w:val="none"/>
          <w:lang w:val="en-US" w:eastAsia="zh-CN"/>
        </w:rPr>
      </w:pPr>
    </w:p>
    <w:p w14:paraId="589FDD74">
      <w:pPr>
        <w:pStyle w:val="42"/>
        <w:rPr>
          <w:rFonts w:hint="eastAsia" w:ascii="仿宋" w:hAnsi="仿宋" w:eastAsia="仿宋" w:cs="仿宋"/>
          <w:color w:val="auto"/>
          <w:highlight w:val="none"/>
          <w:lang w:val="en-US" w:eastAsia="zh-CN"/>
        </w:rPr>
      </w:pPr>
    </w:p>
    <w:p w14:paraId="73A78237">
      <w:pPr>
        <w:pStyle w:val="42"/>
        <w:rPr>
          <w:rFonts w:hint="eastAsia" w:ascii="仿宋" w:hAnsi="仿宋" w:eastAsia="仿宋" w:cs="仿宋"/>
          <w:color w:val="auto"/>
          <w:highlight w:val="none"/>
          <w:lang w:val="en-US" w:eastAsia="zh-CN"/>
        </w:rPr>
      </w:pPr>
    </w:p>
    <w:p w14:paraId="0523AA1B">
      <w:pPr>
        <w:keepNext w:val="0"/>
        <w:keepLines w:val="0"/>
        <w:pageBreakBefore w:val="0"/>
        <w:widowControl w:val="0"/>
        <w:kinsoku/>
        <w:wordWrap/>
        <w:overflowPunct/>
        <w:topLinePunct w:val="0"/>
        <w:autoSpaceDE/>
        <w:autoSpaceDN/>
        <w:bidi w:val="0"/>
        <w:adjustRightInd w:val="0"/>
        <w:snapToGrid w:val="0"/>
        <w:spacing w:line="360" w:lineRule="auto"/>
        <w:ind w:right="480"/>
        <w:jc w:val="both"/>
        <w:textAlignment w:val="auto"/>
        <w:rPr>
          <w:rFonts w:hint="eastAsia" w:ascii="仿宋" w:hAnsi="仿宋" w:eastAsia="仿宋" w:cs="仿宋"/>
          <w:b/>
          <w:color w:val="auto"/>
          <w:kern w:val="0"/>
          <w:sz w:val="32"/>
          <w:szCs w:val="32"/>
          <w:highlight w:val="none"/>
          <w:lang w:val="en-US" w:eastAsia="zh-CN"/>
        </w:rPr>
      </w:pPr>
    </w:p>
    <w:p w14:paraId="3BFEC046">
      <w:pPr>
        <w:keepNext w:val="0"/>
        <w:keepLines w:val="0"/>
        <w:pageBreakBefore w:val="0"/>
        <w:widowControl w:val="0"/>
        <w:kinsoku/>
        <w:wordWrap/>
        <w:overflowPunct/>
        <w:topLinePunct w:val="0"/>
        <w:autoSpaceDE/>
        <w:autoSpaceDN/>
        <w:bidi w:val="0"/>
        <w:adjustRightInd w:val="0"/>
        <w:snapToGrid w:val="0"/>
        <w:spacing w:line="360" w:lineRule="auto"/>
        <w:ind w:right="480"/>
        <w:jc w:val="both"/>
        <w:textAlignment w:val="auto"/>
        <w:rPr>
          <w:rFonts w:hint="eastAsia" w:ascii="仿宋" w:hAnsi="仿宋" w:eastAsia="仿宋" w:cs="仿宋"/>
          <w:b/>
          <w:color w:val="auto"/>
          <w:kern w:val="0"/>
          <w:sz w:val="32"/>
          <w:szCs w:val="32"/>
          <w:highlight w:val="none"/>
          <w:lang w:val="en-US" w:eastAsia="zh-CN"/>
        </w:rPr>
      </w:pPr>
    </w:p>
    <w:p w14:paraId="40F9CD18">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32"/>
          <w:szCs w:val="32"/>
          <w:highlight w:val="none"/>
          <w:lang w:val="en-US" w:eastAsia="zh-CN"/>
        </w:rPr>
        <w:t>三、法定代表人授权委托书及授权代表社保证明（若委托）</w:t>
      </w:r>
    </w:p>
    <w:p w14:paraId="144FBD21">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w:t>
      </w:r>
      <w:r>
        <w:rPr>
          <w:rFonts w:hint="eastAsia" w:ascii="仿宋" w:hAnsi="仿宋" w:eastAsia="仿宋" w:cs="仿宋"/>
          <w:color w:val="auto"/>
          <w:sz w:val="24"/>
          <w:highlight w:val="none"/>
          <w:u w:val="single"/>
          <w:lang w:val="en-US" w:eastAsia="zh-CN"/>
        </w:rPr>
        <w:t>供应商</w:t>
      </w:r>
      <w:r>
        <w:rPr>
          <w:rFonts w:hint="eastAsia" w:ascii="仿宋" w:hAnsi="仿宋" w:eastAsia="仿宋" w:cs="仿宋"/>
          <w:color w:val="auto"/>
          <w:sz w:val="24"/>
          <w:highlight w:val="none"/>
          <w:u w:val="single"/>
        </w:rPr>
        <w:t>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活动。授权代表在开标、评标、合同谈判过程中所签署的一切文件和处理与之有关的一切事务，我均予以承认。</w:t>
      </w:r>
    </w:p>
    <w:p w14:paraId="65E0033E">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00266CE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312CFE22">
      <w:pPr>
        <w:snapToGrid w:val="0"/>
        <w:spacing w:line="60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附：法定代表人身份证扫描件及委托代理人身份证扫描件</w:t>
      </w:r>
    </w:p>
    <w:p w14:paraId="0986CFCC">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p>
    <w:p w14:paraId="1B3211DF">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授权代表（签字或盖章）：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性别：               年龄：</w:t>
      </w:r>
    </w:p>
    <w:p w14:paraId="0FFBA770">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单位：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部门：               职务：</w:t>
      </w:r>
    </w:p>
    <w:p w14:paraId="28F7BA78">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办公地址：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联系电话：           传真：</w:t>
      </w:r>
    </w:p>
    <w:p w14:paraId="409E2A7D">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p>
    <w:p w14:paraId="5D17FDAA">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bidi="ar-SA"/>
        </w:rPr>
        <w:t>投标人</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sz w:val="24"/>
          <w:highlight w:val="none"/>
        </w:rPr>
        <w:t>）：</w:t>
      </w:r>
    </w:p>
    <w:p w14:paraId="14840A73">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p>
    <w:p w14:paraId="7D940693">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20EC805A">
      <w:pPr>
        <w:spacing w:line="360" w:lineRule="exact"/>
        <w:rPr>
          <w:rFonts w:hint="eastAsia" w:ascii="仿宋" w:hAnsi="仿宋" w:eastAsia="仿宋" w:cs="仿宋"/>
          <w:color w:val="auto"/>
          <w:sz w:val="24"/>
          <w:highlight w:val="none"/>
        </w:rPr>
      </w:pPr>
    </w:p>
    <w:p w14:paraId="7B63BF9D">
      <w:pPr>
        <w:spacing w:line="360" w:lineRule="exact"/>
        <w:rPr>
          <w:rFonts w:hint="eastAsia" w:ascii="仿宋" w:hAnsi="仿宋" w:eastAsia="仿宋" w:cs="仿宋"/>
          <w:color w:val="auto"/>
          <w:sz w:val="24"/>
          <w:highlight w:val="none"/>
        </w:rPr>
      </w:pPr>
    </w:p>
    <w:p w14:paraId="79E78E56">
      <w:pPr>
        <w:snapToGrid w:val="0"/>
        <w:spacing w:line="360" w:lineRule="auto"/>
        <w:ind w:right="480"/>
        <w:jc w:val="right"/>
        <w:rPr>
          <w:rFonts w:hint="eastAsia" w:ascii="仿宋" w:hAnsi="仿宋" w:eastAsia="仿宋" w:cs="仿宋"/>
          <w:b/>
          <w:color w:val="auto"/>
          <w:kern w:val="0"/>
          <w:sz w:val="32"/>
          <w:szCs w:val="32"/>
          <w:highlight w:val="none"/>
          <w:lang w:val="en-US" w:eastAsia="zh-CN"/>
        </w:rPr>
      </w:pPr>
      <w:r>
        <w:rPr>
          <w:rFonts w:hint="eastAsia" w:ascii="仿宋" w:hAnsi="仿宋" w:eastAsia="仿宋" w:cs="仿宋"/>
          <w:color w:val="auto"/>
          <w:sz w:val="24"/>
          <w:highlight w:val="none"/>
        </w:rPr>
        <w:t>日期：    年   月   日</w:t>
      </w:r>
    </w:p>
    <w:p w14:paraId="290B49A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highlight w:val="none"/>
        </w:rPr>
      </w:pPr>
      <w:r>
        <w:rPr>
          <w:rFonts w:hint="eastAsia" w:ascii="仿宋" w:hAnsi="仿宋" w:eastAsia="仿宋" w:cs="仿宋"/>
          <w:b/>
          <w:bCs w:val="0"/>
          <w:color w:val="auto"/>
          <w:kern w:val="0"/>
          <w:sz w:val="24"/>
          <w:szCs w:val="24"/>
          <w:highlight w:val="none"/>
          <w:lang w:val="en-US" w:eastAsia="zh-CN"/>
        </w:rPr>
        <w:t>提供由社保机构出具的该授权代表的社保证明（1.如该授权代表为离退休返聘人员的，需提供退休证明及单位聘用证明;2.如由第三方代理社保事项的，则需提供加盖供应商公章的委托代理协议扫描件）</w:t>
      </w:r>
    </w:p>
    <w:p w14:paraId="7DFD3DD0">
      <w:pPr>
        <w:rPr>
          <w:rFonts w:hint="eastAsia" w:ascii="仿宋" w:hAnsi="仿宋" w:eastAsia="仿宋" w:cs="仿宋"/>
          <w:b/>
          <w:bCs w:val="0"/>
          <w:color w:val="auto"/>
          <w:kern w:val="0"/>
          <w:sz w:val="32"/>
          <w:szCs w:val="32"/>
          <w:highlight w:val="none"/>
          <w:lang w:val="en-US" w:eastAsia="zh-CN"/>
        </w:rPr>
      </w:pPr>
    </w:p>
    <w:p w14:paraId="05E87436">
      <w:pPr>
        <w:pStyle w:val="2"/>
        <w:rPr>
          <w:color w:val="auto"/>
          <w:highlight w:val="none"/>
        </w:rPr>
      </w:pPr>
    </w:p>
    <w:p w14:paraId="14B50D8A">
      <w:pPr>
        <w:spacing w:line="800" w:lineRule="exact"/>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四</w:t>
      </w:r>
      <w:r>
        <w:rPr>
          <w:rFonts w:hint="eastAsia" w:ascii="仿宋" w:hAnsi="仿宋" w:eastAsia="仿宋" w:cs="仿宋"/>
          <w:b/>
          <w:color w:val="auto"/>
          <w:sz w:val="30"/>
          <w:szCs w:val="30"/>
          <w:highlight w:val="none"/>
        </w:rPr>
        <w:t>、法定代表人及其授权代表身份证复印件（正反面）</w:t>
      </w:r>
    </w:p>
    <w:p w14:paraId="3D39B980">
      <w:pPr>
        <w:spacing w:line="800" w:lineRule="exact"/>
        <w:rPr>
          <w:rFonts w:ascii="仿宋" w:hAnsi="仿宋" w:eastAsia="仿宋" w:cs="仿宋"/>
          <w:b/>
          <w:color w:val="auto"/>
          <w:sz w:val="24"/>
          <w:highlight w:val="none"/>
        </w:rPr>
      </w:pPr>
    </w:p>
    <w:p w14:paraId="60D7C39C">
      <w:pPr>
        <w:rPr>
          <w:rFonts w:hint="eastAsia" w:ascii="仿宋" w:hAnsi="仿宋" w:eastAsia="仿宋" w:cs="仿宋"/>
          <w:b/>
          <w:bCs w:val="0"/>
          <w:color w:val="auto"/>
          <w:kern w:val="0"/>
          <w:sz w:val="32"/>
          <w:szCs w:val="32"/>
          <w:highlight w:val="none"/>
          <w:lang w:val="en-US" w:eastAsia="zh-CN"/>
        </w:rPr>
      </w:pPr>
    </w:p>
    <w:p w14:paraId="51B14417">
      <w:pPr>
        <w:rPr>
          <w:rFonts w:hint="eastAsia" w:ascii="仿宋" w:hAnsi="仿宋" w:eastAsia="仿宋" w:cs="仿宋"/>
          <w:b/>
          <w:bCs w:val="0"/>
          <w:color w:val="auto"/>
          <w:kern w:val="0"/>
          <w:sz w:val="32"/>
          <w:szCs w:val="32"/>
          <w:highlight w:val="none"/>
          <w:lang w:val="en-US" w:eastAsia="zh-CN"/>
        </w:rPr>
      </w:pPr>
    </w:p>
    <w:p w14:paraId="0969D3CD">
      <w:pPr>
        <w:pStyle w:val="2"/>
        <w:rPr>
          <w:rFonts w:hint="eastAsia"/>
          <w:color w:val="auto"/>
          <w:highlight w:val="none"/>
          <w:lang w:val="en-US" w:eastAsia="zh-CN"/>
        </w:rPr>
      </w:pPr>
    </w:p>
    <w:p w14:paraId="0E82697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bCs w:val="0"/>
          <w:color w:val="auto"/>
          <w:kern w:val="0"/>
          <w:sz w:val="32"/>
          <w:szCs w:val="32"/>
          <w:highlight w:val="none"/>
          <w:lang w:val="en-US" w:eastAsia="zh-CN"/>
        </w:rPr>
        <w:t>五、评分索引表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650"/>
        <w:gridCol w:w="2476"/>
        <w:gridCol w:w="992"/>
        <w:gridCol w:w="1276"/>
        <w:gridCol w:w="1134"/>
      </w:tblGrid>
      <w:tr w14:paraId="2FE3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944" w:type="dxa"/>
            <w:noWrap w:val="0"/>
            <w:vAlign w:val="center"/>
          </w:tcPr>
          <w:p w14:paraId="3B37EF6C">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50" w:type="dxa"/>
            <w:noWrap w:val="0"/>
            <w:vAlign w:val="center"/>
          </w:tcPr>
          <w:p w14:paraId="7E0E15E6">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评审内容</w:t>
            </w:r>
          </w:p>
        </w:tc>
        <w:tc>
          <w:tcPr>
            <w:tcW w:w="2476" w:type="dxa"/>
            <w:noWrap w:val="0"/>
            <w:vAlign w:val="center"/>
          </w:tcPr>
          <w:p w14:paraId="14E0FA6B">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评分细则及要求</w:t>
            </w:r>
          </w:p>
        </w:tc>
        <w:tc>
          <w:tcPr>
            <w:tcW w:w="992" w:type="dxa"/>
            <w:noWrap w:val="0"/>
            <w:vAlign w:val="center"/>
          </w:tcPr>
          <w:p w14:paraId="0E450D23">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1276" w:type="dxa"/>
            <w:noWrap w:val="0"/>
            <w:vAlign w:val="center"/>
          </w:tcPr>
          <w:p w14:paraId="390162C1">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对应页码</w:t>
            </w:r>
          </w:p>
        </w:tc>
        <w:tc>
          <w:tcPr>
            <w:tcW w:w="1134" w:type="dxa"/>
            <w:noWrap w:val="0"/>
            <w:vAlign w:val="center"/>
          </w:tcPr>
          <w:p w14:paraId="7A6144EF">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自评分</w:t>
            </w:r>
          </w:p>
        </w:tc>
      </w:tr>
      <w:tr w14:paraId="704FC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36370680">
            <w:pPr>
              <w:adjustRightInd/>
              <w:spacing w:line="380" w:lineRule="exact"/>
              <w:jc w:val="center"/>
              <w:outlineLvl w:val="9"/>
              <w:rPr>
                <w:rFonts w:hint="eastAsia" w:ascii="仿宋" w:hAnsi="仿宋" w:eastAsia="仿宋" w:cs="仿宋"/>
                <w:color w:val="auto"/>
                <w:sz w:val="24"/>
                <w:szCs w:val="24"/>
                <w:highlight w:val="none"/>
              </w:rPr>
            </w:pPr>
          </w:p>
        </w:tc>
        <w:tc>
          <w:tcPr>
            <w:tcW w:w="1650" w:type="dxa"/>
            <w:noWrap w:val="0"/>
            <w:vAlign w:val="center"/>
          </w:tcPr>
          <w:p w14:paraId="234D3A72">
            <w:pPr>
              <w:adjustRightInd/>
              <w:spacing w:line="380" w:lineRule="exact"/>
              <w:jc w:val="center"/>
              <w:outlineLvl w:val="9"/>
              <w:rPr>
                <w:rFonts w:hint="eastAsia" w:ascii="仿宋" w:hAnsi="仿宋" w:eastAsia="仿宋" w:cs="仿宋"/>
                <w:color w:val="auto"/>
                <w:sz w:val="24"/>
                <w:szCs w:val="24"/>
                <w:highlight w:val="none"/>
              </w:rPr>
            </w:pPr>
          </w:p>
        </w:tc>
        <w:tc>
          <w:tcPr>
            <w:tcW w:w="2476" w:type="dxa"/>
            <w:noWrap w:val="0"/>
            <w:vAlign w:val="center"/>
          </w:tcPr>
          <w:p w14:paraId="4BED8714">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6ACE0933">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075B7647">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138C7EEA">
            <w:pPr>
              <w:adjustRightInd/>
              <w:spacing w:line="380" w:lineRule="exact"/>
              <w:jc w:val="center"/>
              <w:outlineLvl w:val="9"/>
              <w:rPr>
                <w:rFonts w:hint="eastAsia" w:ascii="仿宋" w:hAnsi="仿宋" w:eastAsia="仿宋" w:cs="仿宋"/>
                <w:color w:val="auto"/>
                <w:sz w:val="24"/>
                <w:szCs w:val="24"/>
                <w:highlight w:val="none"/>
              </w:rPr>
            </w:pPr>
          </w:p>
        </w:tc>
      </w:tr>
      <w:tr w14:paraId="0C976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504189F5">
            <w:pPr>
              <w:adjustRightInd/>
              <w:spacing w:line="380" w:lineRule="exact"/>
              <w:jc w:val="center"/>
              <w:outlineLvl w:val="9"/>
              <w:rPr>
                <w:rFonts w:hint="eastAsia" w:ascii="仿宋" w:hAnsi="仿宋" w:eastAsia="仿宋" w:cs="仿宋"/>
                <w:color w:val="auto"/>
                <w:sz w:val="24"/>
                <w:szCs w:val="24"/>
                <w:highlight w:val="none"/>
              </w:rPr>
            </w:pPr>
          </w:p>
        </w:tc>
        <w:tc>
          <w:tcPr>
            <w:tcW w:w="1650" w:type="dxa"/>
            <w:noWrap w:val="0"/>
            <w:vAlign w:val="center"/>
          </w:tcPr>
          <w:p w14:paraId="254A09A3">
            <w:pPr>
              <w:adjustRightInd/>
              <w:spacing w:line="380" w:lineRule="exact"/>
              <w:jc w:val="center"/>
              <w:outlineLvl w:val="9"/>
              <w:rPr>
                <w:rFonts w:hint="eastAsia" w:ascii="仿宋" w:hAnsi="仿宋" w:eastAsia="仿宋" w:cs="仿宋"/>
                <w:color w:val="auto"/>
                <w:sz w:val="24"/>
                <w:szCs w:val="24"/>
                <w:highlight w:val="none"/>
              </w:rPr>
            </w:pPr>
          </w:p>
        </w:tc>
        <w:tc>
          <w:tcPr>
            <w:tcW w:w="2476" w:type="dxa"/>
            <w:noWrap w:val="0"/>
            <w:vAlign w:val="center"/>
          </w:tcPr>
          <w:p w14:paraId="6C4DEC72">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098CBAC5">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15370A49">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5B8CA773">
            <w:pPr>
              <w:adjustRightInd/>
              <w:spacing w:line="380" w:lineRule="exact"/>
              <w:jc w:val="center"/>
              <w:outlineLvl w:val="9"/>
              <w:rPr>
                <w:rFonts w:hint="eastAsia" w:ascii="仿宋" w:hAnsi="仿宋" w:eastAsia="仿宋" w:cs="仿宋"/>
                <w:color w:val="auto"/>
                <w:sz w:val="24"/>
                <w:szCs w:val="24"/>
                <w:highlight w:val="none"/>
              </w:rPr>
            </w:pPr>
          </w:p>
        </w:tc>
      </w:tr>
      <w:tr w14:paraId="72619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2EE99D90">
            <w:pPr>
              <w:adjustRightInd/>
              <w:spacing w:line="380" w:lineRule="exact"/>
              <w:jc w:val="center"/>
              <w:outlineLvl w:val="9"/>
              <w:rPr>
                <w:rFonts w:hint="eastAsia" w:ascii="仿宋" w:hAnsi="仿宋" w:eastAsia="仿宋" w:cs="仿宋"/>
                <w:color w:val="auto"/>
                <w:sz w:val="24"/>
                <w:szCs w:val="24"/>
                <w:highlight w:val="none"/>
              </w:rPr>
            </w:pPr>
          </w:p>
        </w:tc>
        <w:tc>
          <w:tcPr>
            <w:tcW w:w="1650" w:type="dxa"/>
            <w:noWrap w:val="0"/>
            <w:vAlign w:val="center"/>
          </w:tcPr>
          <w:p w14:paraId="4B3416E4">
            <w:pPr>
              <w:adjustRightInd/>
              <w:spacing w:line="380" w:lineRule="exact"/>
              <w:jc w:val="center"/>
              <w:outlineLvl w:val="9"/>
              <w:rPr>
                <w:rFonts w:hint="eastAsia" w:ascii="仿宋" w:hAnsi="仿宋" w:eastAsia="仿宋" w:cs="仿宋"/>
                <w:color w:val="auto"/>
                <w:sz w:val="24"/>
                <w:szCs w:val="24"/>
                <w:highlight w:val="none"/>
              </w:rPr>
            </w:pPr>
          </w:p>
        </w:tc>
        <w:tc>
          <w:tcPr>
            <w:tcW w:w="2476" w:type="dxa"/>
            <w:noWrap w:val="0"/>
            <w:vAlign w:val="center"/>
          </w:tcPr>
          <w:p w14:paraId="48BD1143">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23772F6C">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3C1DF88E">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1E19EF6D">
            <w:pPr>
              <w:adjustRightInd/>
              <w:spacing w:line="380" w:lineRule="exact"/>
              <w:jc w:val="center"/>
              <w:outlineLvl w:val="9"/>
              <w:rPr>
                <w:rFonts w:hint="eastAsia" w:ascii="仿宋" w:hAnsi="仿宋" w:eastAsia="仿宋" w:cs="仿宋"/>
                <w:color w:val="auto"/>
                <w:sz w:val="24"/>
                <w:szCs w:val="24"/>
                <w:highlight w:val="none"/>
              </w:rPr>
            </w:pPr>
          </w:p>
        </w:tc>
      </w:tr>
      <w:tr w14:paraId="5E103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6F178CF8">
            <w:pPr>
              <w:adjustRightInd/>
              <w:spacing w:line="380" w:lineRule="exact"/>
              <w:jc w:val="center"/>
              <w:outlineLvl w:val="9"/>
              <w:rPr>
                <w:rFonts w:hint="eastAsia" w:ascii="仿宋" w:hAnsi="仿宋" w:eastAsia="仿宋" w:cs="仿宋"/>
                <w:color w:val="auto"/>
                <w:sz w:val="24"/>
                <w:szCs w:val="24"/>
                <w:highlight w:val="none"/>
              </w:rPr>
            </w:pPr>
          </w:p>
        </w:tc>
        <w:tc>
          <w:tcPr>
            <w:tcW w:w="1650" w:type="dxa"/>
            <w:noWrap w:val="0"/>
            <w:vAlign w:val="center"/>
          </w:tcPr>
          <w:p w14:paraId="194339B5">
            <w:pPr>
              <w:adjustRightInd/>
              <w:spacing w:line="380" w:lineRule="exact"/>
              <w:jc w:val="center"/>
              <w:outlineLvl w:val="9"/>
              <w:rPr>
                <w:rFonts w:hint="eastAsia" w:ascii="仿宋" w:hAnsi="仿宋" w:eastAsia="仿宋" w:cs="仿宋"/>
                <w:color w:val="auto"/>
                <w:sz w:val="24"/>
                <w:szCs w:val="24"/>
                <w:highlight w:val="none"/>
              </w:rPr>
            </w:pPr>
          </w:p>
        </w:tc>
        <w:tc>
          <w:tcPr>
            <w:tcW w:w="2476" w:type="dxa"/>
            <w:noWrap w:val="0"/>
            <w:vAlign w:val="center"/>
          </w:tcPr>
          <w:p w14:paraId="60B01CFA">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252E077D">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4360FAFD">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31ABDE9A">
            <w:pPr>
              <w:adjustRightInd/>
              <w:spacing w:line="380" w:lineRule="exact"/>
              <w:jc w:val="center"/>
              <w:outlineLvl w:val="9"/>
              <w:rPr>
                <w:rFonts w:hint="eastAsia" w:ascii="仿宋" w:hAnsi="仿宋" w:eastAsia="仿宋" w:cs="仿宋"/>
                <w:color w:val="auto"/>
                <w:sz w:val="24"/>
                <w:szCs w:val="24"/>
                <w:highlight w:val="none"/>
              </w:rPr>
            </w:pPr>
          </w:p>
        </w:tc>
      </w:tr>
      <w:tr w14:paraId="09DD5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2349A8F8">
            <w:pPr>
              <w:adjustRightInd/>
              <w:spacing w:line="380" w:lineRule="exact"/>
              <w:jc w:val="center"/>
              <w:outlineLvl w:val="9"/>
              <w:rPr>
                <w:rFonts w:hint="eastAsia" w:ascii="仿宋" w:hAnsi="仿宋" w:eastAsia="仿宋" w:cs="仿宋"/>
                <w:color w:val="auto"/>
                <w:sz w:val="24"/>
                <w:szCs w:val="24"/>
                <w:highlight w:val="none"/>
              </w:rPr>
            </w:pPr>
          </w:p>
        </w:tc>
        <w:tc>
          <w:tcPr>
            <w:tcW w:w="1650" w:type="dxa"/>
            <w:noWrap w:val="0"/>
            <w:vAlign w:val="center"/>
          </w:tcPr>
          <w:p w14:paraId="44088040">
            <w:pPr>
              <w:adjustRightInd/>
              <w:spacing w:line="380" w:lineRule="exact"/>
              <w:jc w:val="center"/>
              <w:outlineLvl w:val="9"/>
              <w:rPr>
                <w:rFonts w:hint="eastAsia" w:ascii="仿宋" w:hAnsi="仿宋" w:eastAsia="仿宋" w:cs="仿宋"/>
                <w:color w:val="auto"/>
                <w:sz w:val="24"/>
                <w:szCs w:val="24"/>
                <w:highlight w:val="none"/>
              </w:rPr>
            </w:pPr>
          </w:p>
        </w:tc>
        <w:tc>
          <w:tcPr>
            <w:tcW w:w="2476" w:type="dxa"/>
            <w:noWrap w:val="0"/>
            <w:vAlign w:val="center"/>
          </w:tcPr>
          <w:p w14:paraId="085DA39A">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1A4AB41C">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02C07AB6">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1BE64D64">
            <w:pPr>
              <w:adjustRightInd/>
              <w:spacing w:line="380" w:lineRule="exact"/>
              <w:jc w:val="center"/>
              <w:outlineLvl w:val="9"/>
              <w:rPr>
                <w:rFonts w:hint="eastAsia" w:ascii="仿宋" w:hAnsi="仿宋" w:eastAsia="仿宋" w:cs="仿宋"/>
                <w:color w:val="auto"/>
                <w:sz w:val="24"/>
                <w:szCs w:val="24"/>
                <w:highlight w:val="none"/>
              </w:rPr>
            </w:pPr>
          </w:p>
        </w:tc>
      </w:tr>
    </w:tbl>
    <w:p w14:paraId="71FC568A">
      <w:pPr>
        <w:keepNext w:val="0"/>
        <w:keepLines w:val="0"/>
        <w:pageBreakBefore w:val="0"/>
        <w:widowControl w:val="0"/>
        <w:kinsoku/>
        <w:wordWrap/>
        <w:overflowPunct/>
        <w:topLinePunct w:val="0"/>
        <w:autoSpaceDE/>
        <w:autoSpaceDN/>
        <w:bidi w:val="0"/>
        <w:adjustRightInd w:val="0"/>
        <w:snapToGrid/>
        <w:spacing w:line="360" w:lineRule="auto"/>
        <w:ind w:firstLine="240" w:firstLineChars="100"/>
        <w:jc w:val="both"/>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对应第五部分评标方法及标准（报价除外）</w:t>
      </w:r>
    </w:p>
    <w:p w14:paraId="0C7F347C">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仿宋" w:hAnsi="仿宋" w:eastAsia="仿宋" w:cs="仿宋"/>
          <w:b/>
          <w:color w:val="auto"/>
          <w:kern w:val="0"/>
          <w:sz w:val="32"/>
          <w:szCs w:val="32"/>
          <w:highlight w:val="none"/>
          <w:lang w:eastAsia="zh-CN"/>
        </w:rPr>
      </w:pPr>
    </w:p>
    <w:p w14:paraId="3F22CE9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eastAsia="zh-CN"/>
        </w:rPr>
      </w:pPr>
    </w:p>
    <w:p w14:paraId="7B4AC7F2">
      <w:pPr>
        <w:jc w:val="center"/>
        <w:rPr>
          <w:rFonts w:hint="eastAsia" w:ascii="仿宋" w:hAnsi="仿宋" w:eastAsia="仿宋" w:cs="仿宋"/>
          <w:b/>
          <w:color w:val="auto"/>
          <w:kern w:val="0"/>
          <w:sz w:val="32"/>
          <w:szCs w:val="32"/>
          <w:highlight w:val="none"/>
          <w:lang w:val="en-US" w:eastAsia="zh-CN"/>
        </w:rPr>
      </w:pPr>
    </w:p>
    <w:p w14:paraId="59C0F79A">
      <w:pPr>
        <w:jc w:val="center"/>
        <w:rPr>
          <w:rFonts w:hint="eastAsia" w:ascii="仿宋" w:hAnsi="仿宋" w:eastAsia="仿宋" w:cs="仿宋"/>
          <w:b/>
          <w:color w:val="auto"/>
          <w:kern w:val="0"/>
          <w:sz w:val="32"/>
          <w:szCs w:val="32"/>
          <w:highlight w:val="none"/>
          <w:lang w:val="en-US" w:eastAsia="zh-CN"/>
        </w:rPr>
      </w:pPr>
    </w:p>
    <w:p w14:paraId="45060CCC">
      <w:pPr>
        <w:jc w:val="center"/>
        <w:rPr>
          <w:rFonts w:hint="eastAsia" w:ascii="仿宋" w:hAnsi="仿宋" w:eastAsia="仿宋" w:cs="仿宋"/>
          <w:b/>
          <w:color w:val="auto"/>
          <w:kern w:val="0"/>
          <w:sz w:val="32"/>
          <w:szCs w:val="32"/>
          <w:highlight w:val="none"/>
          <w:lang w:val="en-US" w:eastAsia="zh-CN"/>
        </w:rPr>
      </w:pPr>
    </w:p>
    <w:p w14:paraId="60A59260">
      <w:pPr>
        <w:jc w:val="center"/>
        <w:rPr>
          <w:rFonts w:hint="eastAsia" w:ascii="仿宋" w:hAnsi="仿宋" w:eastAsia="仿宋" w:cs="仿宋"/>
          <w:b/>
          <w:color w:val="auto"/>
          <w:kern w:val="0"/>
          <w:sz w:val="32"/>
          <w:szCs w:val="32"/>
          <w:highlight w:val="none"/>
          <w:lang w:val="en-US" w:eastAsia="zh-CN"/>
        </w:rPr>
      </w:pPr>
    </w:p>
    <w:p w14:paraId="24DCB5B0">
      <w:pPr>
        <w:pStyle w:val="2"/>
        <w:rPr>
          <w:rFonts w:hint="eastAsia" w:ascii="仿宋" w:hAnsi="仿宋" w:eastAsia="仿宋" w:cs="仿宋"/>
          <w:b/>
          <w:color w:val="auto"/>
          <w:kern w:val="0"/>
          <w:sz w:val="32"/>
          <w:szCs w:val="32"/>
          <w:highlight w:val="none"/>
          <w:lang w:val="en-US" w:eastAsia="zh-CN"/>
        </w:rPr>
      </w:pPr>
    </w:p>
    <w:p w14:paraId="4FBBA915">
      <w:pPr>
        <w:pStyle w:val="3"/>
        <w:rPr>
          <w:rFonts w:hint="eastAsia" w:ascii="仿宋" w:hAnsi="仿宋" w:eastAsia="仿宋" w:cs="仿宋"/>
          <w:b/>
          <w:color w:val="auto"/>
          <w:kern w:val="0"/>
          <w:sz w:val="32"/>
          <w:szCs w:val="32"/>
          <w:highlight w:val="none"/>
          <w:lang w:val="en-US" w:eastAsia="zh-CN"/>
        </w:rPr>
      </w:pPr>
    </w:p>
    <w:p w14:paraId="59C84FC7">
      <w:pPr>
        <w:rPr>
          <w:rFonts w:hint="eastAsia"/>
          <w:color w:val="auto"/>
          <w:highlight w:val="none"/>
          <w:lang w:val="en-US" w:eastAsia="zh-CN"/>
        </w:rPr>
      </w:pPr>
    </w:p>
    <w:p w14:paraId="6C284599">
      <w:pPr>
        <w:jc w:val="center"/>
        <w:rPr>
          <w:rFonts w:hint="eastAsia" w:ascii="仿宋" w:hAnsi="仿宋" w:eastAsia="仿宋" w:cs="仿宋"/>
          <w:b/>
          <w:color w:val="auto"/>
          <w:kern w:val="0"/>
          <w:sz w:val="32"/>
          <w:szCs w:val="32"/>
          <w:highlight w:val="none"/>
          <w:lang w:val="en-US" w:eastAsia="zh-CN"/>
        </w:rPr>
      </w:pPr>
    </w:p>
    <w:p w14:paraId="7BD0155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891" w:firstLineChars="900"/>
        <w:jc w:val="both"/>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六</w:t>
      </w:r>
      <w:r>
        <w:rPr>
          <w:rFonts w:hint="eastAsia" w:ascii="仿宋" w:hAnsi="仿宋" w:eastAsia="仿宋" w:cs="仿宋"/>
          <w:b/>
          <w:color w:val="auto"/>
          <w:kern w:val="0"/>
          <w:sz w:val="32"/>
          <w:szCs w:val="32"/>
          <w:highlight w:val="none"/>
        </w:rPr>
        <w:t>、商务响应表</w:t>
      </w:r>
    </w:p>
    <w:p w14:paraId="24E422B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rPr>
      </w:pPr>
      <w:r>
        <w:rPr>
          <w:rFonts w:hint="eastAsia" w:ascii="仿宋_GB2312" w:hAnsi="仿宋_GB2312" w:eastAsia="仿宋_GB2312" w:cs="仿宋_GB2312"/>
          <w:color w:val="auto"/>
          <w:sz w:val="24"/>
          <w:highlight w:val="none"/>
        </w:rPr>
        <w:t>（由投标人根据采购需求及招标文件要求编制）</w:t>
      </w:r>
    </w:p>
    <w:tbl>
      <w:tblPr>
        <w:tblStyle w:val="34"/>
        <w:tblW w:w="0" w:type="auto"/>
        <w:tblInd w:w="-17"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072"/>
        <w:gridCol w:w="2544"/>
        <w:gridCol w:w="1795"/>
        <w:gridCol w:w="2485"/>
      </w:tblGrid>
      <w:tr w14:paraId="4ACE859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2072" w:type="dxa"/>
            <w:tcBorders>
              <w:top w:val="single" w:color="auto" w:sz="4" w:space="0"/>
              <w:left w:val="single" w:color="auto" w:sz="4" w:space="0"/>
              <w:bottom w:val="single" w:color="auto" w:sz="4" w:space="0"/>
              <w:right w:val="single" w:color="auto" w:sz="4" w:space="0"/>
            </w:tcBorders>
            <w:noWrap/>
            <w:vAlign w:val="center"/>
          </w:tcPr>
          <w:p w14:paraId="3682E6EE">
            <w:pPr>
              <w:keepNext w:val="0"/>
              <w:keepLines w:val="0"/>
              <w:suppressLineNumbers w:val="0"/>
              <w:snapToGrid w:val="0"/>
              <w:spacing w:before="0" w:beforeLines="50" w:beforeAutospacing="0" w:after="0" w:afterAutospacing="0" w:line="360" w:lineRule="auto"/>
              <w:ind w:left="0" w:right="0"/>
              <w:jc w:val="center"/>
              <w:rPr>
                <w:rFonts w:hint="default" w:ascii="黑体" w:hAnsi="黑体" w:eastAsia="黑体" w:cs="黑体"/>
                <w:color w:val="auto"/>
                <w:szCs w:val="24"/>
                <w:highlight w:val="none"/>
              </w:rPr>
            </w:pPr>
            <w:r>
              <w:rPr>
                <w:rFonts w:hint="eastAsia" w:ascii="黑体" w:hAnsi="黑体" w:eastAsia="黑体" w:cs="黑体"/>
                <w:color w:val="auto"/>
                <w:szCs w:val="24"/>
                <w:highlight w:val="none"/>
              </w:rPr>
              <w:t>项目</w:t>
            </w:r>
          </w:p>
        </w:tc>
        <w:tc>
          <w:tcPr>
            <w:tcW w:w="2544" w:type="dxa"/>
            <w:tcBorders>
              <w:top w:val="single" w:color="auto" w:sz="4" w:space="0"/>
              <w:left w:val="single" w:color="auto" w:sz="4" w:space="0"/>
              <w:bottom w:val="single" w:color="auto" w:sz="4" w:space="0"/>
              <w:right w:val="single" w:color="auto" w:sz="4" w:space="0"/>
            </w:tcBorders>
            <w:noWrap/>
            <w:vAlign w:val="center"/>
          </w:tcPr>
          <w:p w14:paraId="78E7B2E8">
            <w:pPr>
              <w:keepNext w:val="0"/>
              <w:keepLines w:val="0"/>
              <w:suppressLineNumbers w:val="0"/>
              <w:snapToGrid w:val="0"/>
              <w:spacing w:before="0" w:beforeLines="50" w:beforeAutospacing="0" w:after="0" w:afterAutospacing="0" w:line="360" w:lineRule="auto"/>
              <w:ind w:left="0" w:right="0"/>
              <w:jc w:val="center"/>
              <w:rPr>
                <w:rFonts w:hint="default" w:ascii="黑体" w:hAnsi="黑体" w:eastAsia="黑体" w:cs="黑体"/>
                <w:color w:val="auto"/>
                <w:szCs w:val="24"/>
                <w:highlight w:val="none"/>
              </w:rPr>
            </w:pPr>
            <w:r>
              <w:rPr>
                <w:rFonts w:hint="eastAsia" w:ascii="黑体" w:hAnsi="黑体" w:eastAsia="黑体" w:cs="黑体"/>
                <w:color w:val="auto"/>
                <w:szCs w:val="24"/>
                <w:highlight w:val="none"/>
                <w:lang w:val="en-US" w:eastAsia="zh-CN"/>
              </w:rPr>
              <w:t>采购</w:t>
            </w:r>
            <w:r>
              <w:rPr>
                <w:rFonts w:hint="eastAsia" w:ascii="黑体" w:hAnsi="黑体" w:eastAsia="黑体" w:cs="黑体"/>
                <w:color w:val="auto"/>
                <w:szCs w:val="24"/>
                <w:highlight w:val="none"/>
              </w:rPr>
              <w:t>文件要求</w:t>
            </w:r>
          </w:p>
        </w:tc>
        <w:tc>
          <w:tcPr>
            <w:tcW w:w="1795" w:type="dxa"/>
            <w:tcBorders>
              <w:top w:val="single" w:color="auto" w:sz="4" w:space="0"/>
              <w:left w:val="single" w:color="auto" w:sz="4" w:space="0"/>
              <w:bottom w:val="single" w:color="auto" w:sz="4" w:space="0"/>
              <w:right w:val="single" w:color="auto" w:sz="4" w:space="0"/>
            </w:tcBorders>
            <w:noWrap/>
            <w:vAlign w:val="center"/>
          </w:tcPr>
          <w:p w14:paraId="7F774110">
            <w:pPr>
              <w:keepNext w:val="0"/>
              <w:keepLines w:val="0"/>
              <w:suppressLineNumbers w:val="0"/>
              <w:snapToGrid w:val="0"/>
              <w:spacing w:before="0" w:beforeLines="50" w:beforeAutospacing="0" w:after="0" w:afterAutospacing="0" w:line="360" w:lineRule="auto"/>
              <w:ind w:left="0" w:right="0"/>
              <w:jc w:val="center"/>
              <w:rPr>
                <w:rFonts w:hint="default" w:ascii="黑体" w:hAnsi="黑体" w:eastAsia="黑体" w:cs="黑体"/>
                <w:color w:val="auto"/>
                <w:szCs w:val="24"/>
                <w:highlight w:val="none"/>
              </w:rPr>
            </w:pPr>
            <w:r>
              <w:rPr>
                <w:rFonts w:hint="eastAsia" w:ascii="黑体" w:hAnsi="黑体" w:eastAsia="黑体" w:cs="黑体"/>
                <w:color w:val="auto"/>
                <w:szCs w:val="24"/>
                <w:highlight w:val="none"/>
              </w:rPr>
              <w:t>是否响应</w:t>
            </w:r>
          </w:p>
        </w:tc>
        <w:tc>
          <w:tcPr>
            <w:tcW w:w="2485" w:type="dxa"/>
            <w:tcBorders>
              <w:top w:val="single" w:color="auto" w:sz="4" w:space="0"/>
              <w:left w:val="single" w:color="auto" w:sz="4" w:space="0"/>
              <w:bottom w:val="single" w:color="auto" w:sz="4" w:space="0"/>
              <w:right w:val="single" w:color="auto" w:sz="4" w:space="0"/>
            </w:tcBorders>
            <w:noWrap/>
            <w:vAlign w:val="center"/>
          </w:tcPr>
          <w:p w14:paraId="148D2429">
            <w:pPr>
              <w:keepNext w:val="0"/>
              <w:keepLines w:val="0"/>
              <w:suppressLineNumbers w:val="0"/>
              <w:snapToGrid w:val="0"/>
              <w:spacing w:before="0" w:beforeLines="50" w:beforeAutospacing="0" w:after="0" w:afterAutospacing="0" w:line="360" w:lineRule="auto"/>
              <w:ind w:left="0" w:right="0"/>
              <w:jc w:val="center"/>
              <w:rPr>
                <w:rFonts w:hint="default" w:ascii="黑体" w:hAnsi="黑体" w:eastAsia="黑体" w:cs="黑体"/>
                <w:color w:val="auto"/>
                <w:szCs w:val="24"/>
                <w:highlight w:val="none"/>
              </w:rPr>
            </w:pPr>
            <w:r>
              <w:rPr>
                <w:rFonts w:hint="eastAsia" w:ascii="黑体" w:hAnsi="黑体" w:eastAsia="黑体" w:cs="黑体"/>
                <w:color w:val="auto"/>
                <w:szCs w:val="24"/>
                <w:highlight w:val="none"/>
              </w:rPr>
              <w:t>投标人的承诺或说明</w:t>
            </w:r>
          </w:p>
        </w:tc>
      </w:tr>
      <w:tr w14:paraId="0D2D161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4" w:hRule="atLeast"/>
        </w:trPr>
        <w:tc>
          <w:tcPr>
            <w:tcW w:w="2072" w:type="dxa"/>
            <w:tcBorders>
              <w:top w:val="single" w:color="auto" w:sz="4" w:space="0"/>
              <w:left w:val="single" w:color="auto" w:sz="4" w:space="0"/>
              <w:bottom w:val="single" w:color="auto" w:sz="4" w:space="0"/>
              <w:right w:val="single" w:color="auto" w:sz="4" w:space="0"/>
            </w:tcBorders>
            <w:noWrap/>
            <w:vAlign w:val="center"/>
          </w:tcPr>
          <w:p w14:paraId="4BBEFCB6">
            <w:pPr>
              <w:keepNext w:val="0"/>
              <w:keepLines w:val="0"/>
              <w:suppressLineNumbers w:val="0"/>
              <w:snapToGrid w:val="0"/>
              <w:spacing w:before="0" w:beforeLines="50" w:beforeAutospacing="0" w:after="0" w:afterAutospacing="0" w:line="360" w:lineRule="auto"/>
              <w:ind w:left="0" w:right="0"/>
              <w:jc w:val="center"/>
              <w:rPr>
                <w:rFonts w:hint="default" w:ascii="宋体" w:hAnsi="宋体" w:cs="宋体"/>
                <w:color w:val="auto"/>
                <w:szCs w:val="21"/>
                <w:highlight w:val="none"/>
              </w:rPr>
            </w:pPr>
          </w:p>
        </w:tc>
        <w:tc>
          <w:tcPr>
            <w:tcW w:w="2544" w:type="dxa"/>
            <w:tcBorders>
              <w:top w:val="single" w:color="auto" w:sz="4" w:space="0"/>
              <w:left w:val="single" w:color="auto" w:sz="4" w:space="0"/>
              <w:bottom w:val="single" w:color="auto" w:sz="4" w:space="0"/>
              <w:right w:val="single" w:color="auto" w:sz="4" w:space="0"/>
            </w:tcBorders>
            <w:noWrap/>
            <w:vAlign w:val="center"/>
          </w:tcPr>
          <w:p w14:paraId="1A5349A3">
            <w:pPr>
              <w:keepNext w:val="0"/>
              <w:keepLines w:val="0"/>
              <w:suppressLineNumbers w:val="0"/>
              <w:snapToGrid w:val="0"/>
              <w:spacing w:before="0" w:beforeLines="50" w:beforeAutospacing="0" w:after="0" w:afterAutospacing="0" w:line="360" w:lineRule="auto"/>
              <w:ind w:left="0" w:right="0"/>
              <w:jc w:val="center"/>
              <w:rPr>
                <w:rFonts w:hint="default" w:ascii="宋体" w:hAnsi="宋体" w:cs="宋体"/>
                <w:color w:val="auto"/>
                <w:szCs w:val="21"/>
                <w:highlight w:val="none"/>
              </w:rPr>
            </w:pPr>
          </w:p>
        </w:tc>
        <w:tc>
          <w:tcPr>
            <w:tcW w:w="1795" w:type="dxa"/>
            <w:tcBorders>
              <w:top w:val="single" w:color="auto" w:sz="4" w:space="0"/>
              <w:left w:val="single" w:color="auto" w:sz="4" w:space="0"/>
              <w:bottom w:val="single" w:color="auto" w:sz="4" w:space="0"/>
              <w:right w:val="single" w:color="auto" w:sz="4" w:space="0"/>
            </w:tcBorders>
            <w:noWrap/>
            <w:vAlign w:val="center"/>
          </w:tcPr>
          <w:p w14:paraId="5B069543">
            <w:pPr>
              <w:keepNext w:val="0"/>
              <w:keepLines w:val="0"/>
              <w:suppressLineNumbers w:val="0"/>
              <w:snapToGrid w:val="0"/>
              <w:spacing w:before="0" w:beforeLines="50" w:beforeAutospacing="0" w:after="0" w:afterAutospacing="0" w:line="360" w:lineRule="auto"/>
              <w:ind w:left="0" w:right="0"/>
              <w:jc w:val="center"/>
              <w:rPr>
                <w:rFonts w:hint="default" w:ascii="宋体" w:hAnsi="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ign w:val="center"/>
          </w:tcPr>
          <w:p w14:paraId="031B6B64">
            <w:pPr>
              <w:keepNext w:val="0"/>
              <w:keepLines w:val="0"/>
              <w:suppressLineNumbers w:val="0"/>
              <w:snapToGrid w:val="0"/>
              <w:spacing w:before="0" w:beforeLines="50" w:beforeAutospacing="0" w:after="0" w:afterAutospacing="0" w:line="360" w:lineRule="auto"/>
              <w:ind w:left="0" w:right="0"/>
              <w:jc w:val="center"/>
              <w:rPr>
                <w:rFonts w:hint="default" w:ascii="宋体" w:hAnsi="宋体" w:cs="宋体"/>
                <w:color w:val="auto"/>
                <w:szCs w:val="21"/>
                <w:highlight w:val="none"/>
              </w:rPr>
            </w:pPr>
          </w:p>
        </w:tc>
      </w:tr>
      <w:tr w14:paraId="3A79B45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9" w:hRule="atLeast"/>
        </w:trPr>
        <w:tc>
          <w:tcPr>
            <w:tcW w:w="2072" w:type="dxa"/>
            <w:tcBorders>
              <w:top w:val="single" w:color="auto" w:sz="4" w:space="0"/>
              <w:left w:val="single" w:color="auto" w:sz="4" w:space="0"/>
              <w:bottom w:val="single" w:color="auto" w:sz="4" w:space="0"/>
              <w:right w:val="single" w:color="auto" w:sz="4" w:space="0"/>
            </w:tcBorders>
            <w:noWrap/>
            <w:vAlign w:val="center"/>
          </w:tcPr>
          <w:p w14:paraId="6430C883">
            <w:pPr>
              <w:keepNext w:val="0"/>
              <w:keepLines w:val="0"/>
              <w:suppressLineNumbers w:val="0"/>
              <w:snapToGrid w:val="0"/>
              <w:spacing w:before="0" w:beforeLines="50" w:beforeAutospacing="0" w:after="0" w:afterAutospacing="0" w:line="360" w:lineRule="auto"/>
              <w:ind w:left="0" w:right="0"/>
              <w:jc w:val="center"/>
              <w:rPr>
                <w:rFonts w:hint="default" w:ascii="宋体" w:hAnsi="宋体" w:cs="宋体"/>
                <w:color w:val="auto"/>
                <w:szCs w:val="21"/>
                <w:highlight w:val="none"/>
              </w:rPr>
            </w:pPr>
          </w:p>
        </w:tc>
        <w:tc>
          <w:tcPr>
            <w:tcW w:w="2544" w:type="dxa"/>
            <w:tcBorders>
              <w:top w:val="single" w:color="auto" w:sz="4" w:space="0"/>
              <w:left w:val="single" w:color="auto" w:sz="4" w:space="0"/>
              <w:bottom w:val="single" w:color="auto" w:sz="4" w:space="0"/>
              <w:right w:val="single" w:color="auto" w:sz="4" w:space="0"/>
            </w:tcBorders>
            <w:noWrap/>
            <w:vAlign w:val="center"/>
          </w:tcPr>
          <w:p w14:paraId="2FC79F4B">
            <w:pPr>
              <w:keepNext w:val="0"/>
              <w:keepLines w:val="0"/>
              <w:suppressLineNumbers w:val="0"/>
              <w:snapToGrid w:val="0"/>
              <w:spacing w:before="0" w:beforeLines="50" w:beforeAutospacing="0" w:after="0" w:afterAutospacing="0" w:line="360" w:lineRule="auto"/>
              <w:ind w:left="0" w:right="0"/>
              <w:jc w:val="center"/>
              <w:rPr>
                <w:rFonts w:hint="default" w:ascii="宋体" w:hAnsi="宋体" w:cs="宋体"/>
                <w:color w:val="auto"/>
                <w:szCs w:val="21"/>
                <w:highlight w:val="none"/>
              </w:rPr>
            </w:pPr>
          </w:p>
        </w:tc>
        <w:tc>
          <w:tcPr>
            <w:tcW w:w="1795" w:type="dxa"/>
            <w:tcBorders>
              <w:top w:val="single" w:color="auto" w:sz="4" w:space="0"/>
              <w:left w:val="single" w:color="auto" w:sz="4" w:space="0"/>
              <w:bottom w:val="single" w:color="auto" w:sz="4" w:space="0"/>
              <w:right w:val="single" w:color="auto" w:sz="4" w:space="0"/>
            </w:tcBorders>
            <w:noWrap/>
            <w:vAlign w:val="center"/>
          </w:tcPr>
          <w:p w14:paraId="2DF7C7CF">
            <w:pPr>
              <w:keepNext w:val="0"/>
              <w:keepLines w:val="0"/>
              <w:suppressLineNumbers w:val="0"/>
              <w:snapToGrid w:val="0"/>
              <w:spacing w:before="0" w:beforeLines="50" w:beforeAutospacing="0" w:after="0" w:afterAutospacing="0" w:line="360" w:lineRule="auto"/>
              <w:ind w:left="0" w:right="0"/>
              <w:jc w:val="center"/>
              <w:rPr>
                <w:rFonts w:hint="default" w:ascii="宋体" w:hAnsi="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ign w:val="center"/>
          </w:tcPr>
          <w:p w14:paraId="76F106C0">
            <w:pPr>
              <w:keepNext w:val="0"/>
              <w:keepLines w:val="0"/>
              <w:suppressLineNumbers w:val="0"/>
              <w:snapToGrid w:val="0"/>
              <w:spacing w:before="0" w:beforeLines="50" w:beforeAutospacing="0" w:after="0" w:afterAutospacing="0" w:line="360" w:lineRule="auto"/>
              <w:ind w:left="0" w:right="0"/>
              <w:jc w:val="center"/>
              <w:rPr>
                <w:rFonts w:hint="default" w:ascii="宋体" w:hAnsi="宋体" w:cs="宋体"/>
                <w:color w:val="auto"/>
                <w:szCs w:val="21"/>
                <w:highlight w:val="none"/>
              </w:rPr>
            </w:pPr>
          </w:p>
        </w:tc>
      </w:tr>
      <w:tr w14:paraId="4766285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8" w:hRule="atLeast"/>
        </w:trPr>
        <w:tc>
          <w:tcPr>
            <w:tcW w:w="2072" w:type="dxa"/>
            <w:tcBorders>
              <w:top w:val="single" w:color="auto" w:sz="4" w:space="0"/>
              <w:left w:val="single" w:color="auto" w:sz="4" w:space="0"/>
              <w:bottom w:val="single" w:color="auto" w:sz="4" w:space="0"/>
              <w:right w:val="single" w:color="auto" w:sz="4" w:space="0"/>
            </w:tcBorders>
            <w:noWrap/>
            <w:vAlign w:val="center"/>
          </w:tcPr>
          <w:p w14:paraId="14561509">
            <w:pPr>
              <w:keepNext w:val="0"/>
              <w:keepLines w:val="0"/>
              <w:suppressLineNumbers w:val="0"/>
              <w:snapToGrid w:val="0"/>
              <w:spacing w:before="0" w:beforeLines="50" w:beforeAutospacing="0" w:after="0" w:afterAutospacing="0" w:line="360" w:lineRule="auto"/>
              <w:ind w:left="0" w:right="0"/>
              <w:jc w:val="center"/>
              <w:rPr>
                <w:rFonts w:hint="default" w:ascii="宋体" w:hAnsi="宋体" w:cs="宋体"/>
                <w:color w:val="auto"/>
                <w:szCs w:val="21"/>
                <w:highlight w:val="none"/>
              </w:rPr>
            </w:pPr>
          </w:p>
        </w:tc>
        <w:tc>
          <w:tcPr>
            <w:tcW w:w="2544" w:type="dxa"/>
            <w:tcBorders>
              <w:top w:val="single" w:color="auto" w:sz="4" w:space="0"/>
              <w:left w:val="single" w:color="auto" w:sz="4" w:space="0"/>
              <w:bottom w:val="single" w:color="auto" w:sz="4" w:space="0"/>
              <w:right w:val="single" w:color="auto" w:sz="4" w:space="0"/>
            </w:tcBorders>
            <w:noWrap/>
            <w:vAlign w:val="center"/>
          </w:tcPr>
          <w:p w14:paraId="48383381">
            <w:pPr>
              <w:keepNext w:val="0"/>
              <w:keepLines w:val="0"/>
              <w:suppressLineNumbers w:val="0"/>
              <w:snapToGrid w:val="0"/>
              <w:spacing w:before="0" w:beforeLines="50" w:beforeAutospacing="0" w:after="0" w:afterAutospacing="0" w:line="360" w:lineRule="auto"/>
              <w:ind w:left="0" w:right="0"/>
              <w:jc w:val="center"/>
              <w:rPr>
                <w:rFonts w:hint="default" w:ascii="宋体" w:hAnsi="宋体" w:cs="宋体"/>
                <w:color w:val="auto"/>
                <w:szCs w:val="21"/>
                <w:highlight w:val="none"/>
              </w:rPr>
            </w:pPr>
          </w:p>
        </w:tc>
        <w:tc>
          <w:tcPr>
            <w:tcW w:w="1795" w:type="dxa"/>
            <w:tcBorders>
              <w:top w:val="single" w:color="auto" w:sz="4" w:space="0"/>
              <w:left w:val="single" w:color="auto" w:sz="4" w:space="0"/>
              <w:bottom w:val="single" w:color="auto" w:sz="4" w:space="0"/>
              <w:right w:val="single" w:color="auto" w:sz="4" w:space="0"/>
            </w:tcBorders>
            <w:noWrap/>
            <w:vAlign w:val="center"/>
          </w:tcPr>
          <w:p w14:paraId="58A46F9C">
            <w:pPr>
              <w:keepNext w:val="0"/>
              <w:keepLines w:val="0"/>
              <w:suppressLineNumbers w:val="0"/>
              <w:snapToGrid w:val="0"/>
              <w:spacing w:before="0" w:beforeLines="50" w:beforeAutospacing="0" w:after="0" w:afterAutospacing="0" w:line="360" w:lineRule="auto"/>
              <w:ind w:left="43" w:right="0"/>
              <w:jc w:val="center"/>
              <w:rPr>
                <w:rFonts w:hint="default" w:ascii="宋体" w:hAnsi="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ign w:val="center"/>
          </w:tcPr>
          <w:p w14:paraId="05505CF9">
            <w:pPr>
              <w:keepNext w:val="0"/>
              <w:keepLines w:val="0"/>
              <w:suppressLineNumbers w:val="0"/>
              <w:snapToGrid w:val="0"/>
              <w:spacing w:before="0" w:beforeLines="50" w:beforeAutospacing="0" w:after="0" w:afterAutospacing="0" w:line="360" w:lineRule="auto"/>
              <w:ind w:left="43" w:right="0"/>
              <w:jc w:val="center"/>
              <w:rPr>
                <w:rFonts w:hint="default" w:ascii="宋体" w:hAnsi="宋体" w:cs="宋体"/>
                <w:color w:val="auto"/>
                <w:szCs w:val="21"/>
                <w:highlight w:val="none"/>
              </w:rPr>
            </w:pPr>
          </w:p>
        </w:tc>
      </w:tr>
      <w:tr w14:paraId="0D94966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0" w:hRule="atLeast"/>
        </w:trPr>
        <w:tc>
          <w:tcPr>
            <w:tcW w:w="2072" w:type="dxa"/>
            <w:tcBorders>
              <w:top w:val="single" w:color="auto" w:sz="4" w:space="0"/>
              <w:left w:val="single" w:color="auto" w:sz="4" w:space="0"/>
              <w:bottom w:val="single" w:color="auto" w:sz="4" w:space="0"/>
              <w:right w:val="single" w:color="auto" w:sz="4" w:space="0"/>
            </w:tcBorders>
            <w:noWrap/>
            <w:vAlign w:val="center"/>
          </w:tcPr>
          <w:p w14:paraId="181224E1">
            <w:pPr>
              <w:keepNext w:val="0"/>
              <w:keepLines w:val="0"/>
              <w:suppressLineNumbers w:val="0"/>
              <w:snapToGrid w:val="0"/>
              <w:spacing w:before="0" w:beforeLines="50" w:beforeAutospacing="0" w:after="0" w:afterAutospacing="0" w:line="360" w:lineRule="auto"/>
              <w:ind w:left="0" w:right="0"/>
              <w:jc w:val="center"/>
              <w:rPr>
                <w:rFonts w:hint="default" w:ascii="宋体" w:hAnsi="宋体" w:cs="宋体"/>
                <w:color w:val="auto"/>
                <w:szCs w:val="21"/>
                <w:highlight w:val="none"/>
              </w:rPr>
            </w:pPr>
          </w:p>
        </w:tc>
        <w:tc>
          <w:tcPr>
            <w:tcW w:w="2544" w:type="dxa"/>
            <w:tcBorders>
              <w:top w:val="single" w:color="auto" w:sz="4" w:space="0"/>
              <w:left w:val="single" w:color="auto" w:sz="4" w:space="0"/>
              <w:bottom w:val="single" w:color="auto" w:sz="4" w:space="0"/>
              <w:right w:val="single" w:color="auto" w:sz="4" w:space="0"/>
            </w:tcBorders>
            <w:noWrap/>
            <w:vAlign w:val="center"/>
          </w:tcPr>
          <w:p w14:paraId="56D12770">
            <w:pPr>
              <w:keepNext w:val="0"/>
              <w:keepLines w:val="0"/>
              <w:suppressLineNumbers w:val="0"/>
              <w:snapToGrid w:val="0"/>
              <w:spacing w:before="0" w:beforeLines="50" w:beforeAutospacing="0" w:after="0" w:afterAutospacing="0" w:line="360" w:lineRule="auto"/>
              <w:ind w:left="0" w:right="0"/>
              <w:jc w:val="center"/>
              <w:rPr>
                <w:rFonts w:hint="default" w:ascii="宋体" w:hAnsi="宋体" w:cs="宋体"/>
                <w:color w:val="auto"/>
                <w:szCs w:val="21"/>
                <w:highlight w:val="none"/>
              </w:rPr>
            </w:pPr>
          </w:p>
        </w:tc>
        <w:tc>
          <w:tcPr>
            <w:tcW w:w="1795" w:type="dxa"/>
            <w:tcBorders>
              <w:top w:val="single" w:color="auto" w:sz="4" w:space="0"/>
              <w:left w:val="single" w:color="auto" w:sz="4" w:space="0"/>
              <w:bottom w:val="single" w:color="auto" w:sz="4" w:space="0"/>
              <w:right w:val="single" w:color="auto" w:sz="4" w:space="0"/>
            </w:tcBorders>
            <w:noWrap/>
            <w:vAlign w:val="center"/>
          </w:tcPr>
          <w:p w14:paraId="3A9DE836">
            <w:pPr>
              <w:keepNext w:val="0"/>
              <w:keepLines w:val="0"/>
              <w:suppressLineNumbers w:val="0"/>
              <w:snapToGrid w:val="0"/>
              <w:spacing w:before="0" w:beforeLines="50" w:beforeAutospacing="0" w:after="0" w:afterAutospacing="0" w:line="360" w:lineRule="auto"/>
              <w:ind w:left="0" w:right="0"/>
              <w:jc w:val="center"/>
              <w:rPr>
                <w:rFonts w:hint="default" w:ascii="宋体" w:hAnsi="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ign w:val="center"/>
          </w:tcPr>
          <w:p w14:paraId="4AA6F87D">
            <w:pPr>
              <w:keepNext w:val="0"/>
              <w:keepLines w:val="0"/>
              <w:suppressLineNumbers w:val="0"/>
              <w:snapToGrid w:val="0"/>
              <w:spacing w:before="0" w:beforeLines="50" w:beforeAutospacing="0" w:after="0" w:afterAutospacing="0" w:line="360" w:lineRule="auto"/>
              <w:ind w:left="0" w:right="0"/>
              <w:jc w:val="center"/>
              <w:rPr>
                <w:rFonts w:hint="default" w:ascii="宋体" w:hAnsi="宋体" w:cs="宋体"/>
                <w:color w:val="auto"/>
                <w:szCs w:val="21"/>
                <w:highlight w:val="none"/>
              </w:rPr>
            </w:pPr>
          </w:p>
        </w:tc>
      </w:tr>
      <w:tr w14:paraId="3E2EC0A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072" w:type="dxa"/>
            <w:tcBorders>
              <w:top w:val="single" w:color="auto" w:sz="4" w:space="0"/>
              <w:left w:val="single" w:color="auto" w:sz="4" w:space="0"/>
              <w:bottom w:val="single" w:color="auto" w:sz="4" w:space="0"/>
              <w:right w:val="single" w:color="auto" w:sz="4" w:space="0"/>
            </w:tcBorders>
            <w:noWrap/>
            <w:vAlign w:val="center"/>
          </w:tcPr>
          <w:p w14:paraId="36416368">
            <w:pPr>
              <w:keepNext w:val="0"/>
              <w:keepLines w:val="0"/>
              <w:suppressLineNumbers w:val="0"/>
              <w:snapToGrid w:val="0"/>
              <w:spacing w:before="0" w:beforeLines="50" w:beforeAutospacing="0" w:after="0" w:afterAutospacing="0" w:line="360" w:lineRule="auto"/>
              <w:ind w:left="0" w:right="0"/>
              <w:jc w:val="center"/>
              <w:rPr>
                <w:rFonts w:hint="default" w:ascii="宋体" w:hAnsi="宋体" w:cs="宋体"/>
                <w:color w:val="auto"/>
                <w:szCs w:val="21"/>
                <w:highlight w:val="none"/>
              </w:rPr>
            </w:pPr>
          </w:p>
        </w:tc>
        <w:tc>
          <w:tcPr>
            <w:tcW w:w="2544" w:type="dxa"/>
            <w:tcBorders>
              <w:top w:val="single" w:color="auto" w:sz="4" w:space="0"/>
              <w:left w:val="single" w:color="auto" w:sz="4" w:space="0"/>
              <w:bottom w:val="single" w:color="auto" w:sz="4" w:space="0"/>
              <w:right w:val="single" w:color="auto" w:sz="4" w:space="0"/>
            </w:tcBorders>
            <w:noWrap/>
            <w:vAlign w:val="center"/>
          </w:tcPr>
          <w:p w14:paraId="4DEAB6E6">
            <w:pPr>
              <w:keepNext w:val="0"/>
              <w:keepLines w:val="0"/>
              <w:suppressLineNumbers w:val="0"/>
              <w:snapToGrid w:val="0"/>
              <w:spacing w:before="0" w:beforeLines="50" w:beforeAutospacing="0" w:after="0" w:afterAutospacing="0" w:line="360" w:lineRule="auto"/>
              <w:ind w:left="0" w:right="0"/>
              <w:jc w:val="center"/>
              <w:rPr>
                <w:rFonts w:hint="default" w:ascii="宋体" w:hAnsi="宋体" w:cs="宋体"/>
                <w:color w:val="auto"/>
                <w:szCs w:val="21"/>
                <w:highlight w:val="none"/>
              </w:rPr>
            </w:pPr>
          </w:p>
        </w:tc>
        <w:tc>
          <w:tcPr>
            <w:tcW w:w="1795" w:type="dxa"/>
            <w:tcBorders>
              <w:top w:val="single" w:color="auto" w:sz="4" w:space="0"/>
              <w:left w:val="single" w:color="auto" w:sz="4" w:space="0"/>
              <w:bottom w:val="single" w:color="auto" w:sz="4" w:space="0"/>
              <w:right w:val="single" w:color="auto" w:sz="4" w:space="0"/>
            </w:tcBorders>
            <w:noWrap/>
            <w:vAlign w:val="center"/>
          </w:tcPr>
          <w:p w14:paraId="276836EF">
            <w:pPr>
              <w:keepNext w:val="0"/>
              <w:keepLines w:val="0"/>
              <w:suppressLineNumbers w:val="0"/>
              <w:snapToGrid w:val="0"/>
              <w:spacing w:before="0" w:beforeLines="50" w:beforeAutospacing="0" w:after="0" w:afterAutospacing="0" w:line="360" w:lineRule="auto"/>
              <w:ind w:left="0" w:right="0"/>
              <w:jc w:val="center"/>
              <w:rPr>
                <w:rFonts w:hint="default" w:ascii="宋体" w:hAnsi="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ign w:val="center"/>
          </w:tcPr>
          <w:p w14:paraId="3426E446">
            <w:pPr>
              <w:keepNext w:val="0"/>
              <w:keepLines w:val="0"/>
              <w:suppressLineNumbers w:val="0"/>
              <w:snapToGrid w:val="0"/>
              <w:spacing w:before="0" w:beforeLines="50" w:beforeAutospacing="0" w:after="0" w:afterAutospacing="0" w:line="360" w:lineRule="auto"/>
              <w:ind w:left="0" w:right="0"/>
              <w:jc w:val="center"/>
              <w:rPr>
                <w:rFonts w:hint="default" w:ascii="宋体" w:hAnsi="宋体" w:cs="宋体"/>
                <w:color w:val="auto"/>
                <w:szCs w:val="21"/>
                <w:highlight w:val="none"/>
              </w:rPr>
            </w:pPr>
          </w:p>
        </w:tc>
      </w:tr>
    </w:tbl>
    <w:p w14:paraId="465ACAF9">
      <w:pPr>
        <w:pStyle w:val="18"/>
        <w:spacing w:after="156" w:line="480" w:lineRule="auto"/>
        <w:jc w:val="left"/>
        <w:rPr>
          <w:rFonts w:hint="default" w:hAnsi="宋体" w:eastAsia="宋体"/>
          <w:b/>
          <w:color w:val="auto"/>
          <w:sz w:val="24"/>
          <w:szCs w:val="24"/>
          <w:highlight w:val="none"/>
          <w:lang w:val="en-US" w:eastAsia="zh-CN"/>
        </w:rPr>
      </w:pPr>
      <w:r>
        <w:rPr>
          <w:rFonts w:hint="eastAsia" w:hAnsi="宋体"/>
          <w:b/>
          <w:color w:val="auto"/>
          <w:sz w:val="24"/>
          <w:szCs w:val="24"/>
          <w:highlight w:val="none"/>
          <w:lang w:val="en-US" w:eastAsia="zh-CN"/>
        </w:rPr>
        <w:t>注：</w:t>
      </w:r>
      <w:r>
        <w:rPr>
          <w:rFonts w:hint="eastAsia" w:hAnsi="宋体"/>
          <w:b/>
          <w:color w:val="auto"/>
          <w:sz w:val="24"/>
          <w:szCs w:val="24"/>
          <w:highlight w:val="none"/>
        </w:rPr>
        <w:t>如不填写本表，则视为完全响应</w:t>
      </w:r>
      <w:r>
        <w:rPr>
          <w:rFonts w:hint="eastAsia" w:hAnsi="宋体"/>
          <w:b/>
          <w:color w:val="auto"/>
          <w:sz w:val="24"/>
          <w:szCs w:val="24"/>
          <w:highlight w:val="none"/>
          <w:lang w:val="en-US" w:eastAsia="zh-CN"/>
        </w:rPr>
        <w:t>采购</w:t>
      </w:r>
      <w:r>
        <w:rPr>
          <w:rFonts w:hint="eastAsia" w:hAnsi="宋体"/>
          <w:b/>
          <w:color w:val="auto"/>
          <w:sz w:val="24"/>
          <w:szCs w:val="24"/>
          <w:highlight w:val="none"/>
        </w:rPr>
        <w:t>文件。</w:t>
      </w:r>
    </w:p>
    <w:p w14:paraId="1E455B9E">
      <w:pPr>
        <w:spacing w:line="360" w:lineRule="auto"/>
        <w:ind w:right="420"/>
        <w:rPr>
          <w:rFonts w:ascii="仿宋" w:hAnsi="仿宋" w:eastAsia="仿宋" w:cs="仿宋"/>
          <w:b/>
          <w:bCs/>
          <w:color w:val="auto"/>
          <w:sz w:val="32"/>
          <w:szCs w:val="32"/>
          <w:highlight w:val="none"/>
        </w:rPr>
      </w:pPr>
    </w:p>
    <w:p w14:paraId="067C1EB3">
      <w:pPr>
        <w:snapToGrid w:val="0"/>
        <w:spacing w:beforeLines="50" w:line="360" w:lineRule="auto"/>
        <w:rPr>
          <w:rFonts w:hint="eastAsia" w:ascii="仿宋" w:hAnsi="仿宋" w:eastAsia="仿宋" w:cs="仿宋"/>
          <w:color w:val="auto"/>
          <w:szCs w:val="21"/>
          <w:highlight w:val="none"/>
        </w:rPr>
      </w:pPr>
    </w:p>
    <w:p w14:paraId="04D4654E">
      <w:pPr>
        <w:snapToGrid w:val="0"/>
        <w:spacing w:before="50" w:after="50" w:line="6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                                 投标人</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zh-CN"/>
        </w:rPr>
        <w:t>电子签名</w:t>
      </w:r>
      <w:r>
        <w:rPr>
          <w:rFonts w:hint="eastAsia" w:ascii="仿宋" w:hAnsi="仿宋" w:eastAsia="仿宋" w:cs="仿宋"/>
          <w:color w:val="auto"/>
          <w:szCs w:val="21"/>
          <w:highlight w:val="none"/>
        </w:rPr>
        <w:t>）：</w:t>
      </w:r>
    </w:p>
    <w:p w14:paraId="57E50715">
      <w:pPr>
        <w:snapToGrid w:val="0"/>
        <w:spacing w:before="50" w:after="50" w:line="600" w:lineRule="exact"/>
        <w:jc w:val="center"/>
        <w:rPr>
          <w:rFonts w:hint="eastAsia" w:ascii="仿宋" w:hAnsi="仿宋" w:eastAsia="仿宋" w:cs="仿宋"/>
          <w:color w:val="auto"/>
          <w:szCs w:val="21"/>
          <w:highlight w:val="none"/>
        </w:rPr>
      </w:pPr>
      <w:r>
        <w:rPr>
          <w:rFonts w:hint="eastAsia" w:ascii="仿宋" w:hAnsi="仿宋" w:eastAsia="仿宋" w:cs="仿宋"/>
          <w:color w:val="auto"/>
          <w:spacing w:val="20"/>
          <w:szCs w:val="21"/>
          <w:highlight w:val="none"/>
          <w:lang w:val="en-US" w:eastAsia="zh-CN"/>
        </w:rPr>
        <w:t xml:space="preserve">                 </w:t>
      </w:r>
      <w:r>
        <w:rPr>
          <w:rFonts w:hint="eastAsia" w:ascii="仿宋" w:hAnsi="仿宋" w:eastAsia="仿宋" w:cs="仿宋"/>
          <w:color w:val="auto"/>
          <w:spacing w:val="20"/>
          <w:szCs w:val="21"/>
          <w:highlight w:val="none"/>
        </w:rPr>
        <w:t>日  期：</w:t>
      </w:r>
    </w:p>
    <w:p w14:paraId="3CD84B7F">
      <w:pPr>
        <w:spacing w:line="360" w:lineRule="auto"/>
        <w:rPr>
          <w:rFonts w:hint="eastAsia" w:ascii="仿宋" w:hAnsi="仿宋" w:eastAsia="仿宋" w:cs="仿宋"/>
          <w:b/>
          <w:bCs/>
          <w:color w:val="auto"/>
          <w:szCs w:val="21"/>
          <w:highlight w:val="none"/>
        </w:rPr>
      </w:pPr>
    </w:p>
    <w:p w14:paraId="33CDDDCA">
      <w:pPr>
        <w:spacing w:line="480" w:lineRule="exact"/>
        <w:ind w:right="-108" w:firstLine="720"/>
        <w:jc w:val="center"/>
        <w:rPr>
          <w:rFonts w:hint="eastAsia" w:ascii="仿宋" w:hAnsi="仿宋" w:eastAsia="仿宋" w:cs="仿宋"/>
          <w:color w:val="auto"/>
          <w:highlight w:val="none"/>
        </w:rPr>
      </w:pPr>
    </w:p>
    <w:p w14:paraId="6355E066">
      <w:pPr>
        <w:spacing w:line="360" w:lineRule="auto"/>
        <w:ind w:right="420"/>
        <w:rPr>
          <w:rFonts w:hint="eastAsia" w:ascii="仿宋" w:hAnsi="仿宋" w:eastAsia="仿宋" w:cs="仿宋"/>
          <w:b/>
          <w:bCs/>
          <w:color w:val="auto"/>
          <w:sz w:val="32"/>
          <w:szCs w:val="32"/>
          <w:highlight w:val="none"/>
        </w:rPr>
      </w:pPr>
    </w:p>
    <w:p w14:paraId="379A4E38">
      <w:pPr>
        <w:widowControl/>
        <w:adjustRightInd/>
        <w:jc w:val="left"/>
        <w:rPr>
          <w:rFonts w:hint="eastAsia" w:ascii="仿宋" w:hAnsi="仿宋" w:eastAsia="仿宋" w:cs="仿宋"/>
          <w:b/>
          <w:bCs/>
          <w:color w:val="auto"/>
          <w:sz w:val="32"/>
          <w:szCs w:val="32"/>
          <w:highlight w:val="none"/>
          <w:lang w:eastAsia="zh-CN"/>
        </w:rPr>
      </w:pPr>
    </w:p>
    <w:p w14:paraId="305A9E0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pPr>
    </w:p>
    <w:p w14:paraId="21F45D5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pPr>
    </w:p>
    <w:p w14:paraId="3FC9B1E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eastAsia" w:ascii="仿宋" w:hAnsi="仿宋" w:eastAsia="仿宋" w:cs="仿宋"/>
          <w:b/>
          <w:color w:val="auto"/>
          <w:kern w:val="0"/>
          <w:sz w:val="32"/>
          <w:szCs w:val="32"/>
          <w:highlight w:val="none"/>
          <w:lang w:val="en-US" w:eastAsia="zh-CN"/>
        </w:rPr>
      </w:pPr>
    </w:p>
    <w:p w14:paraId="7083A228">
      <w:pPr>
        <w:spacing w:line="480" w:lineRule="exact"/>
        <w:ind w:right="-108" w:firstLine="720"/>
        <w:jc w:val="center"/>
        <w:rPr>
          <w:rFonts w:hint="eastAsia" w:ascii="仿宋" w:hAnsi="仿宋" w:eastAsia="仿宋" w:cs="仿宋"/>
          <w:color w:val="auto"/>
          <w:highlight w:val="none"/>
        </w:rPr>
      </w:pPr>
    </w:p>
    <w:p w14:paraId="094372F5">
      <w:pP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br w:type="page"/>
      </w:r>
    </w:p>
    <w:p w14:paraId="6F3527D0">
      <w:pPr>
        <w:widowControl/>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七</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供应商廉洁自律承诺书</w:t>
      </w:r>
    </w:p>
    <w:p w14:paraId="1AECAF9F">
      <w:pPr>
        <w:snapToGrid w:val="0"/>
        <w:spacing w:line="360" w:lineRule="auto"/>
        <w:rPr>
          <w:rFonts w:hint="eastAsia" w:ascii="仿宋" w:hAnsi="仿宋" w:eastAsia="仿宋" w:cs="仿宋"/>
          <w:color w:val="auto"/>
          <w:sz w:val="24"/>
          <w:highlight w:val="none"/>
        </w:rPr>
      </w:pPr>
    </w:p>
    <w:p w14:paraId="51B157A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7E109C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6FA8955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6588150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11845CD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7389C66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03E08506">
      <w:pPr>
        <w:autoSpaceDE w:val="0"/>
        <w:autoSpaceDN w:val="0"/>
        <w:spacing w:line="360" w:lineRule="auto"/>
        <w:ind w:left="550"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691A3A04">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175B916F">
      <w:pPr>
        <w:autoSpaceDE w:val="0"/>
        <w:autoSpaceDN w:val="0"/>
        <w:spacing w:line="360" w:lineRule="auto"/>
        <w:ind w:left="550"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010E6D07">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036DC6E0">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60CCE61A">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1AE1DCE">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A7CD522">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AEA0926">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4DDAA8F5">
      <w:pPr>
        <w:spacing w:line="360" w:lineRule="auto"/>
        <w:ind w:firstLine="4560" w:firstLineChars="19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0AA1168A">
      <w:pPr>
        <w:spacing w:line="360" w:lineRule="auto"/>
        <w:jc w:val="center"/>
        <w:rPr>
          <w:rFonts w:hint="eastAsia" w:ascii="仿宋" w:hAnsi="仿宋" w:eastAsia="仿宋" w:cs="仿宋"/>
          <w:b/>
          <w:bCs/>
          <w:color w:val="auto"/>
          <w:sz w:val="24"/>
          <w:highlight w:val="none"/>
        </w:rPr>
      </w:pPr>
    </w:p>
    <w:p w14:paraId="1551D37F">
      <w:pPr>
        <w:keepNext w:val="0"/>
        <w:keepLines w:val="0"/>
        <w:widowControl/>
        <w:suppressLineNumbers w:val="0"/>
        <w:ind w:firstLine="480" w:firstLineChars="200"/>
        <w:jc w:val="left"/>
        <w:rPr>
          <w:rFonts w:hint="eastAsia" w:ascii="仿宋" w:hAnsi="仿宋" w:eastAsia="仿宋" w:cs="仿宋"/>
          <w:color w:val="auto"/>
          <w:sz w:val="24"/>
          <w:highlight w:val="none"/>
        </w:rPr>
      </w:pPr>
    </w:p>
    <w:p w14:paraId="6EE6F493">
      <w:pPr>
        <w:keepNext w:val="0"/>
        <w:keepLines w:val="0"/>
        <w:widowControl/>
        <w:suppressLineNumbers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r>
        <w:rPr>
          <w:rFonts w:hint="eastAsia" w:ascii="仿宋" w:hAnsi="仿宋" w:eastAsia="仿宋" w:cs="仿宋"/>
          <w:color w:val="auto"/>
          <w:sz w:val="24"/>
          <w:highlight w:val="none"/>
          <w:lang w:val="en-US" w:eastAsia="zh-CN"/>
        </w:rPr>
        <w:t>。</w:t>
      </w:r>
    </w:p>
    <w:p w14:paraId="1E4B7B32">
      <w:pPr>
        <w:spacing w:line="360" w:lineRule="auto"/>
        <w:ind w:right="420"/>
        <w:rPr>
          <w:rFonts w:hint="eastAsia" w:ascii="仿宋" w:hAnsi="仿宋" w:eastAsia="仿宋" w:cs="仿宋"/>
          <w:color w:val="auto"/>
          <w:sz w:val="24"/>
          <w:highlight w:val="none"/>
          <w:lang w:eastAsia="zh-CN"/>
        </w:rPr>
      </w:pPr>
    </w:p>
    <w:p w14:paraId="5E611DCD">
      <w:pPr>
        <w:spacing w:line="360" w:lineRule="auto"/>
        <w:jc w:val="center"/>
        <w:rPr>
          <w:rFonts w:hint="eastAsia" w:ascii="仿宋" w:hAnsi="仿宋" w:eastAsia="仿宋" w:cs="仿宋"/>
          <w:b/>
          <w:bCs/>
          <w:color w:val="auto"/>
          <w:sz w:val="24"/>
          <w:highlight w:val="none"/>
        </w:rPr>
      </w:pPr>
    </w:p>
    <w:p w14:paraId="7FC7E7CE">
      <w:pPr>
        <w:pStyle w:val="2"/>
        <w:jc w:val="center"/>
        <w:rPr>
          <w:rFonts w:hint="eastAsia" w:ascii="仿宋" w:hAnsi="仿宋" w:eastAsia="仿宋" w:cs="仿宋"/>
          <w:b/>
          <w:bCs/>
          <w:color w:val="auto"/>
          <w:sz w:val="24"/>
          <w:highlight w:val="none"/>
        </w:rPr>
      </w:pPr>
    </w:p>
    <w:p w14:paraId="6DB0F6EA">
      <w:pP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br w:type="page"/>
      </w:r>
    </w:p>
    <w:p w14:paraId="0322CE4F">
      <w:pPr>
        <w:spacing w:line="336" w:lineRule="auto"/>
        <w:jc w:val="both"/>
        <w:rPr>
          <w:rFonts w:hint="eastAsia" w:ascii="仿宋" w:hAnsi="仿宋" w:eastAsia="仿宋" w:cs="仿宋"/>
          <w:color w:val="auto"/>
          <w:sz w:val="24"/>
          <w:highlight w:val="none"/>
        </w:rPr>
      </w:pPr>
    </w:p>
    <w:p w14:paraId="2F9B2D39">
      <w:pPr>
        <w:spacing w:line="336"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八、偿付能力</w:t>
      </w:r>
    </w:p>
    <w:p w14:paraId="3692D2FB">
      <w:pPr>
        <w:spacing w:line="360" w:lineRule="auto"/>
        <w:ind w:firstLine="480" w:firstLineChars="20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根据采购需求及</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val="en-US" w:eastAsia="zh-CN"/>
        </w:rPr>
        <w:t>评分</w:t>
      </w:r>
      <w:r>
        <w:rPr>
          <w:rFonts w:hint="eastAsia" w:ascii="仿宋" w:hAnsi="仿宋" w:eastAsia="仿宋" w:cs="仿宋"/>
          <w:color w:val="auto"/>
          <w:sz w:val="24"/>
          <w:highlight w:val="none"/>
        </w:rPr>
        <w:t>要求编制）</w:t>
      </w:r>
    </w:p>
    <w:p w14:paraId="65E83A3E">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kern w:val="0"/>
          <w:sz w:val="24"/>
          <w:highlight w:val="none"/>
          <w:lang w:val="en-US" w:eastAsia="zh-CN"/>
        </w:rPr>
      </w:pPr>
    </w:p>
    <w:p w14:paraId="025E7456">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 xml:space="preserve">名称（电子签名）：                          </w:t>
      </w:r>
    </w:p>
    <w:p w14:paraId="31CE71A1">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6FBE255">
      <w:pPr>
        <w:spacing w:line="336"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九、保险消费投诉情况</w:t>
      </w:r>
    </w:p>
    <w:p w14:paraId="4A81C365">
      <w:pPr>
        <w:spacing w:line="360" w:lineRule="auto"/>
        <w:ind w:firstLine="480" w:firstLineChars="20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根据采购需求及</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val="en-US" w:eastAsia="zh-CN"/>
        </w:rPr>
        <w:t>评分</w:t>
      </w:r>
      <w:r>
        <w:rPr>
          <w:rFonts w:hint="eastAsia" w:ascii="仿宋" w:hAnsi="仿宋" w:eastAsia="仿宋" w:cs="仿宋"/>
          <w:color w:val="auto"/>
          <w:sz w:val="24"/>
          <w:highlight w:val="none"/>
        </w:rPr>
        <w:t>要求编制）</w:t>
      </w:r>
    </w:p>
    <w:p w14:paraId="33859CF0">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kern w:val="0"/>
          <w:sz w:val="24"/>
          <w:highlight w:val="none"/>
          <w:lang w:val="en-US" w:eastAsia="zh-CN"/>
        </w:rPr>
      </w:pPr>
    </w:p>
    <w:p w14:paraId="4E39E873">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 xml:space="preserve">名称（电子签名）：                          </w:t>
      </w:r>
    </w:p>
    <w:p w14:paraId="4BFA2286">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5E20DB6">
      <w:pPr>
        <w:spacing w:line="336" w:lineRule="auto"/>
        <w:jc w:val="center"/>
        <w:rPr>
          <w:rFonts w:hint="eastAsia" w:ascii="仿宋" w:hAnsi="仿宋" w:eastAsia="仿宋" w:cs="仿宋"/>
          <w:color w:val="auto"/>
          <w:sz w:val="24"/>
          <w:highlight w:val="none"/>
        </w:rPr>
      </w:pPr>
    </w:p>
    <w:p w14:paraId="6A8A2600">
      <w:pPr>
        <w:spacing w:line="336"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eastAsia="zh-CN"/>
        </w:rPr>
        <w:t>十</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经营评级情况</w:t>
      </w:r>
    </w:p>
    <w:p w14:paraId="4C24FB77">
      <w:pPr>
        <w:autoSpaceDE w:val="0"/>
        <w:autoSpaceDN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根据采购需求及</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val="en-US" w:eastAsia="zh-CN"/>
        </w:rPr>
        <w:t>评分</w:t>
      </w:r>
      <w:r>
        <w:rPr>
          <w:rFonts w:hint="eastAsia" w:ascii="仿宋" w:hAnsi="仿宋" w:eastAsia="仿宋" w:cs="仿宋"/>
          <w:color w:val="auto"/>
          <w:sz w:val="24"/>
          <w:highlight w:val="none"/>
        </w:rPr>
        <w:t>要求编制）</w:t>
      </w:r>
    </w:p>
    <w:p w14:paraId="0BC3D9C3">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kern w:val="0"/>
          <w:sz w:val="24"/>
          <w:highlight w:val="none"/>
          <w:lang w:val="en-US" w:eastAsia="zh-CN"/>
        </w:rPr>
      </w:pPr>
    </w:p>
    <w:p w14:paraId="3ABFD3E0">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 xml:space="preserve">名称（电子签名）：                          </w:t>
      </w:r>
    </w:p>
    <w:p w14:paraId="1FA3EFAB">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7460D30">
      <w:pPr>
        <w:spacing w:line="336" w:lineRule="auto"/>
        <w:jc w:val="center"/>
        <w:rPr>
          <w:rFonts w:hint="eastAsia" w:ascii="仿宋" w:hAnsi="仿宋" w:eastAsia="仿宋" w:cs="仿宋"/>
          <w:color w:val="auto"/>
          <w:sz w:val="24"/>
          <w:highlight w:val="none"/>
        </w:rPr>
      </w:pPr>
    </w:p>
    <w:p w14:paraId="0CB941CF">
      <w:pPr>
        <w:spacing w:line="336"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十一、服务渠道</w:t>
      </w:r>
    </w:p>
    <w:p w14:paraId="4E36C0DB">
      <w:pPr>
        <w:autoSpaceDE w:val="0"/>
        <w:autoSpaceDN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根据采购需求及</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val="en-US" w:eastAsia="zh-CN"/>
        </w:rPr>
        <w:t>评分</w:t>
      </w:r>
      <w:r>
        <w:rPr>
          <w:rFonts w:hint="eastAsia" w:ascii="仿宋" w:hAnsi="仿宋" w:eastAsia="仿宋" w:cs="仿宋"/>
          <w:color w:val="auto"/>
          <w:sz w:val="24"/>
          <w:highlight w:val="none"/>
        </w:rPr>
        <w:t>要求编制）</w:t>
      </w:r>
    </w:p>
    <w:p w14:paraId="31F20204">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kern w:val="0"/>
          <w:sz w:val="24"/>
          <w:highlight w:val="none"/>
          <w:lang w:val="en-US" w:eastAsia="zh-CN"/>
        </w:rPr>
      </w:pPr>
    </w:p>
    <w:p w14:paraId="67E8E963">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 xml:space="preserve">名称（电子签名）：                          </w:t>
      </w:r>
    </w:p>
    <w:p w14:paraId="56D296B6">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13EBF61">
      <w:pPr>
        <w:spacing w:line="336" w:lineRule="auto"/>
        <w:jc w:val="center"/>
        <w:rPr>
          <w:rFonts w:hint="eastAsia" w:ascii="仿宋" w:hAnsi="仿宋" w:eastAsia="仿宋" w:cs="仿宋"/>
          <w:color w:val="auto"/>
          <w:sz w:val="24"/>
          <w:highlight w:val="none"/>
        </w:rPr>
      </w:pPr>
    </w:p>
    <w:p w14:paraId="7A7C8696">
      <w:pPr>
        <w:spacing w:line="336"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eastAsia="zh-CN"/>
        </w:rPr>
        <w:t>十</w:t>
      </w:r>
      <w:r>
        <w:rPr>
          <w:rFonts w:hint="eastAsia" w:ascii="仿宋" w:hAnsi="仿宋" w:eastAsia="仿宋" w:cs="仿宋"/>
          <w:b/>
          <w:bCs/>
          <w:color w:val="auto"/>
          <w:sz w:val="32"/>
          <w:szCs w:val="32"/>
          <w:highlight w:val="none"/>
          <w:lang w:val="en-US" w:eastAsia="zh-CN"/>
        </w:rPr>
        <w:t>二、整体理赔服务方案</w:t>
      </w:r>
    </w:p>
    <w:p w14:paraId="346A0E96">
      <w:pPr>
        <w:autoSpaceDE w:val="0"/>
        <w:autoSpaceDN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根据采购需求及</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val="en-US" w:eastAsia="zh-CN"/>
        </w:rPr>
        <w:t>评分</w:t>
      </w:r>
      <w:r>
        <w:rPr>
          <w:rFonts w:hint="eastAsia" w:ascii="仿宋" w:hAnsi="仿宋" w:eastAsia="仿宋" w:cs="仿宋"/>
          <w:color w:val="auto"/>
          <w:sz w:val="24"/>
          <w:highlight w:val="none"/>
        </w:rPr>
        <w:t>要求编制）</w:t>
      </w:r>
    </w:p>
    <w:p w14:paraId="6A41930D">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kern w:val="0"/>
          <w:sz w:val="24"/>
          <w:highlight w:val="none"/>
          <w:lang w:val="en-US" w:eastAsia="zh-CN"/>
        </w:rPr>
      </w:pPr>
    </w:p>
    <w:p w14:paraId="01C4DB6D">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 xml:space="preserve">名称（电子签名）：                          </w:t>
      </w:r>
    </w:p>
    <w:p w14:paraId="22A052C6">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FC43BDB">
      <w:pPr>
        <w:spacing w:line="336" w:lineRule="auto"/>
        <w:jc w:val="center"/>
        <w:rPr>
          <w:rFonts w:hint="eastAsia" w:ascii="仿宋" w:hAnsi="仿宋" w:eastAsia="仿宋" w:cs="仿宋"/>
          <w:b/>
          <w:bCs/>
          <w:color w:val="auto"/>
          <w:sz w:val="32"/>
          <w:szCs w:val="32"/>
          <w:highlight w:val="none"/>
          <w:lang w:val="en-US" w:eastAsia="zh-CN"/>
        </w:rPr>
      </w:pPr>
    </w:p>
    <w:p w14:paraId="23C0DC16">
      <w:pPr>
        <w:spacing w:line="336"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十三、服务团队</w:t>
      </w:r>
    </w:p>
    <w:p w14:paraId="12EB6B29">
      <w:pPr>
        <w:autoSpaceDE w:val="0"/>
        <w:autoSpaceDN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根据采购需求及</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val="en-US" w:eastAsia="zh-CN"/>
        </w:rPr>
        <w:t>评分</w:t>
      </w:r>
      <w:r>
        <w:rPr>
          <w:rFonts w:hint="eastAsia" w:ascii="仿宋" w:hAnsi="仿宋" w:eastAsia="仿宋" w:cs="仿宋"/>
          <w:color w:val="auto"/>
          <w:sz w:val="24"/>
          <w:highlight w:val="none"/>
        </w:rPr>
        <w:t>要求编制）</w:t>
      </w:r>
    </w:p>
    <w:p w14:paraId="736F69E4">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kern w:val="0"/>
          <w:sz w:val="24"/>
          <w:highlight w:val="none"/>
          <w:lang w:val="en-US" w:eastAsia="zh-CN"/>
        </w:rPr>
      </w:pPr>
    </w:p>
    <w:p w14:paraId="76C6564C">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 xml:space="preserve">名称（电子签名）：                          </w:t>
      </w:r>
    </w:p>
    <w:p w14:paraId="7921B030">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54DDD5B">
      <w:pPr>
        <w:spacing w:line="336"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十四、设备配置</w:t>
      </w:r>
    </w:p>
    <w:p w14:paraId="3EAA293F">
      <w:pPr>
        <w:autoSpaceDE w:val="0"/>
        <w:autoSpaceDN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根据采购需求及</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val="en-US" w:eastAsia="zh-CN"/>
        </w:rPr>
        <w:t>评分</w:t>
      </w:r>
      <w:r>
        <w:rPr>
          <w:rFonts w:hint="eastAsia" w:ascii="仿宋" w:hAnsi="仿宋" w:eastAsia="仿宋" w:cs="仿宋"/>
          <w:color w:val="auto"/>
          <w:sz w:val="24"/>
          <w:highlight w:val="none"/>
        </w:rPr>
        <w:t>要求编制）</w:t>
      </w:r>
    </w:p>
    <w:p w14:paraId="3EB82B4A">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kern w:val="0"/>
          <w:sz w:val="24"/>
          <w:highlight w:val="none"/>
          <w:lang w:val="en-US" w:eastAsia="zh-CN"/>
        </w:rPr>
      </w:pPr>
    </w:p>
    <w:p w14:paraId="785664AA">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 xml:space="preserve">名称（电子签名）：                          </w:t>
      </w:r>
    </w:p>
    <w:p w14:paraId="2341F3E8">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9FC0440">
      <w:pPr>
        <w:spacing w:line="336"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十五、增值服务</w:t>
      </w:r>
    </w:p>
    <w:p w14:paraId="1B9ADE7B">
      <w:pPr>
        <w:autoSpaceDE w:val="0"/>
        <w:autoSpaceDN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根据采购需求及</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val="en-US" w:eastAsia="zh-CN"/>
        </w:rPr>
        <w:t>评分</w:t>
      </w:r>
      <w:r>
        <w:rPr>
          <w:rFonts w:hint="eastAsia" w:ascii="仿宋" w:hAnsi="仿宋" w:eastAsia="仿宋" w:cs="仿宋"/>
          <w:color w:val="auto"/>
          <w:sz w:val="24"/>
          <w:highlight w:val="none"/>
        </w:rPr>
        <w:t>要求编制）</w:t>
      </w:r>
    </w:p>
    <w:p w14:paraId="3C120458">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kern w:val="0"/>
          <w:sz w:val="24"/>
          <w:highlight w:val="none"/>
          <w:lang w:val="en-US" w:eastAsia="zh-CN"/>
        </w:rPr>
      </w:pPr>
    </w:p>
    <w:p w14:paraId="30B7EFDE">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 xml:space="preserve">名称（电子签名）：                          </w:t>
      </w:r>
    </w:p>
    <w:p w14:paraId="6514F57D">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C3D0EF8">
      <w:pPr>
        <w:spacing w:line="336"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十六、突发情况应急预案</w:t>
      </w:r>
    </w:p>
    <w:p w14:paraId="05643BC0">
      <w:pPr>
        <w:autoSpaceDE w:val="0"/>
        <w:autoSpaceDN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根据采购需求及</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val="en-US" w:eastAsia="zh-CN"/>
        </w:rPr>
        <w:t>评分</w:t>
      </w:r>
      <w:r>
        <w:rPr>
          <w:rFonts w:hint="eastAsia" w:ascii="仿宋" w:hAnsi="仿宋" w:eastAsia="仿宋" w:cs="仿宋"/>
          <w:color w:val="auto"/>
          <w:sz w:val="24"/>
          <w:highlight w:val="none"/>
        </w:rPr>
        <w:t>要求编制）</w:t>
      </w:r>
    </w:p>
    <w:p w14:paraId="5B8DF242">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kern w:val="0"/>
          <w:sz w:val="24"/>
          <w:highlight w:val="none"/>
          <w:lang w:val="en-US" w:eastAsia="zh-CN"/>
        </w:rPr>
      </w:pPr>
    </w:p>
    <w:p w14:paraId="554C2F9F">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 xml:space="preserve">名称（电子签名）：                          </w:t>
      </w:r>
    </w:p>
    <w:p w14:paraId="69E3C7ED">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E43724F">
      <w:pPr>
        <w:spacing w:line="336"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十七、内控方案</w:t>
      </w:r>
    </w:p>
    <w:p w14:paraId="707EE60E">
      <w:pPr>
        <w:autoSpaceDE w:val="0"/>
        <w:autoSpaceDN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根据采购需求及</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val="en-US" w:eastAsia="zh-CN"/>
        </w:rPr>
        <w:t>评分</w:t>
      </w:r>
      <w:r>
        <w:rPr>
          <w:rFonts w:hint="eastAsia" w:ascii="仿宋" w:hAnsi="仿宋" w:eastAsia="仿宋" w:cs="仿宋"/>
          <w:color w:val="auto"/>
          <w:sz w:val="24"/>
          <w:highlight w:val="none"/>
        </w:rPr>
        <w:t>要求编制）</w:t>
      </w:r>
    </w:p>
    <w:p w14:paraId="549E8EAC">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kern w:val="0"/>
          <w:sz w:val="24"/>
          <w:highlight w:val="none"/>
          <w:lang w:val="en-US" w:eastAsia="zh-CN"/>
        </w:rPr>
      </w:pPr>
    </w:p>
    <w:p w14:paraId="60419F3C">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 xml:space="preserve">名称（电子签名）：                          </w:t>
      </w:r>
    </w:p>
    <w:p w14:paraId="3FAF530E">
      <w:pPr>
        <w:spacing w:line="336" w:lineRule="auto"/>
        <w:jc w:val="center"/>
        <w:rPr>
          <w:rFonts w:hint="eastAsia" w:ascii="仿宋" w:hAnsi="仿宋" w:eastAsia="仿宋" w:cs="仿宋"/>
          <w:b/>
          <w:bCs/>
          <w:color w:val="auto"/>
          <w:sz w:val="32"/>
          <w:szCs w:val="32"/>
          <w:highlight w:val="none"/>
          <w:lang w:eastAsia="zh-CN"/>
        </w:rPr>
      </w:pPr>
      <w:r>
        <w:rPr>
          <w:rFonts w:hint="eastAsia" w:ascii="仿宋" w:hAnsi="仿宋" w:eastAsia="仿宋" w:cs="仿宋"/>
          <w:color w:val="auto"/>
          <w:sz w:val="24"/>
          <w:highlight w:val="none"/>
        </w:rPr>
        <w:t xml:space="preserve">     日期：  年   月   日</w:t>
      </w:r>
    </w:p>
    <w:p w14:paraId="626944D3">
      <w:pPr>
        <w:spacing w:line="360" w:lineRule="auto"/>
        <w:ind w:firstLine="964" w:firstLineChars="300"/>
        <w:jc w:val="both"/>
        <w:rPr>
          <w:rFonts w:hint="eastAsia" w:ascii="仿宋" w:hAnsi="仿宋" w:eastAsia="仿宋" w:cs="仿宋"/>
          <w:color w:val="auto"/>
          <w:sz w:val="24"/>
          <w:highlight w:val="none"/>
        </w:rPr>
      </w:pPr>
      <w:r>
        <w:rPr>
          <w:rFonts w:hint="eastAsia" w:ascii="仿宋" w:hAnsi="仿宋" w:eastAsia="仿宋" w:cs="仿宋"/>
          <w:b/>
          <w:bCs/>
          <w:color w:val="auto"/>
          <w:sz w:val="32"/>
          <w:szCs w:val="32"/>
          <w:highlight w:val="none"/>
          <w:lang w:val="en-US" w:eastAsia="zh-CN"/>
        </w:rPr>
        <w:t>十八</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投标人认为</w:t>
      </w:r>
      <w:r>
        <w:rPr>
          <w:rFonts w:hint="eastAsia" w:ascii="仿宋" w:hAnsi="仿宋" w:eastAsia="仿宋" w:cs="仿宋"/>
          <w:b/>
          <w:bCs/>
          <w:color w:val="auto"/>
          <w:sz w:val="32"/>
          <w:szCs w:val="32"/>
          <w:highlight w:val="none"/>
        </w:rPr>
        <w:t>需要说明的其他文件和说明（若有）</w:t>
      </w:r>
    </w:p>
    <w:p w14:paraId="2AFBE9ED">
      <w:pPr>
        <w:keepNext w:val="0"/>
        <w:keepLines w:val="0"/>
        <w:pageBreakBefore w:val="0"/>
        <w:widowControl w:val="0"/>
        <w:kinsoku/>
        <w:wordWrap/>
        <w:overflowPunct/>
        <w:topLinePunct w:val="0"/>
        <w:autoSpaceDE/>
        <w:autoSpaceDN/>
        <w:bidi w:val="0"/>
        <w:adjustRightInd w:val="0"/>
        <w:snapToGrid/>
        <w:spacing w:before="282" w:beforeLines="90" w:line="336" w:lineRule="auto"/>
        <w:ind w:firstLine="3600" w:firstLineChars="15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 xml:space="preserve">名称（电子签名）：                          </w:t>
      </w:r>
    </w:p>
    <w:p w14:paraId="776FF5E1">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E5E101B">
      <w:pPr>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74B3443E">
      <w:pPr>
        <w:jc w:val="center"/>
        <w:rPr>
          <w:rFonts w:hint="eastAsia" w:ascii="仿宋" w:hAnsi="仿宋" w:eastAsia="仿宋" w:cs="仿宋"/>
          <w:b/>
          <w:color w:val="auto"/>
          <w:kern w:val="0"/>
          <w:sz w:val="36"/>
          <w:szCs w:val="36"/>
          <w:highlight w:val="none"/>
        </w:rPr>
      </w:pPr>
    </w:p>
    <w:p w14:paraId="09DE7917">
      <w:pPr>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007237B4">
      <w:pPr>
        <w:spacing w:line="336"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C519568">
      <w:pPr>
        <w:spacing w:line="336" w:lineRule="auto"/>
        <w:jc w:val="center"/>
        <w:outlineLvl w:val="0"/>
        <w:rPr>
          <w:rFonts w:hint="eastAsia" w:ascii="仿宋" w:hAnsi="仿宋" w:eastAsia="仿宋" w:cs="仿宋"/>
          <w:b/>
          <w:color w:val="auto"/>
          <w:kern w:val="0"/>
          <w:sz w:val="36"/>
          <w:szCs w:val="36"/>
          <w:highlight w:val="none"/>
        </w:rPr>
      </w:pPr>
    </w:p>
    <w:p w14:paraId="06A1E122">
      <w:pPr>
        <w:snapToGrid w:val="0"/>
        <w:spacing w:line="360" w:lineRule="auto"/>
        <w:ind w:firstLine="480" w:firstLineChars="200"/>
        <w:jc w:val="left"/>
        <w:rPr>
          <w:rFonts w:hint="eastAsia" w:ascii="仿宋" w:hAnsi="仿宋" w:eastAsia="仿宋" w:cs="仿宋"/>
          <w:color w:val="auto"/>
          <w:highlight w:val="none"/>
        </w:rPr>
      </w:pPr>
    </w:p>
    <w:p w14:paraId="25494DAC">
      <w:pPr>
        <w:snapToGrid w:val="0"/>
        <w:spacing w:line="360" w:lineRule="auto"/>
        <w:rPr>
          <w:rFonts w:ascii="仿宋" w:hAnsi="仿宋" w:eastAsia="仿宋" w:cs="仿宋"/>
          <w:color w:val="auto"/>
          <w:sz w:val="24"/>
          <w:highlight w:val="none"/>
        </w:rPr>
      </w:pPr>
      <w:r>
        <w:rPr>
          <w:rFonts w:hint="eastAsia" w:ascii="仿宋" w:hAnsi="仿宋" w:eastAsia="仿宋" w:cs="仿宋"/>
          <w:color w:val="auto"/>
          <w:highlight w:val="none"/>
        </w:rPr>
        <w:t>（1）开标一览表</w:t>
      </w:r>
      <w:r>
        <w:rPr>
          <w:rFonts w:hint="eastAsia" w:ascii="仿宋" w:hAnsi="仿宋" w:eastAsia="仿宋" w:cs="仿宋"/>
          <w:color w:val="auto"/>
          <w:sz w:val="24"/>
          <w:highlight w:val="none"/>
        </w:rPr>
        <w:t>……………………………………………………………（页码）</w:t>
      </w:r>
    </w:p>
    <w:p w14:paraId="5817E91B">
      <w:pPr>
        <w:snapToGrid w:val="0"/>
        <w:spacing w:line="360" w:lineRule="auto"/>
        <w:rPr>
          <w:rFonts w:ascii="仿宋" w:hAnsi="仿宋" w:eastAsia="仿宋" w:cs="仿宋"/>
          <w:color w:val="auto"/>
          <w:sz w:val="24"/>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）投标人针对报价需要说明的其他文件和说明</w:t>
      </w:r>
      <w:r>
        <w:rPr>
          <w:rFonts w:hint="eastAsia" w:ascii="仿宋" w:hAnsi="仿宋" w:eastAsia="仿宋" w:cs="仿宋"/>
          <w:color w:val="auto"/>
          <w:sz w:val="24"/>
          <w:highlight w:val="none"/>
        </w:rPr>
        <w:t>………………………（页码）</w:t>
      </w:r>
    </w:p>
    <w:p w14:paraId="7719F861">
      <w:pPr>
        <w:snapToGrid w:val="0"/>
        <w:spacing w:line="360" w:lineRule="auto"/>
        <w:ind w:firstLine="480" w:firstLineChars="200"/>
        <w:jc w:val="left"/>
        <w:rPr>
          <w:rFonts w:hint="eastAsia" w:ascii="仿宋" w:hAnsi="仿宋" w:eastAsia="仿宋" w:cs="仿宋"/>
          <w:color w:val="auto"/>
          <w:highlight w:val="none"/>
        </w:rPr>
      </w:pPr>
    </w:p>
    <w:p w14:paraId="472BBF9F">
      <w:pPr>
        <w:spacing w:line="360" w:lineRule="auto"/>
        <w:rPr>
          <w:rFonts w:hint="eastAsia" w:ascii="仿宋" w:hAnsi="仿宋" w:eastAsia="仿宋" w:cs="仿宋"/>
          <w:b/>
          <w:color w:val="auto"/>
          <w:spacing w:val="6"/>
          <w:sz w:val="28"/>
          <w:szCs w:val="28"/>
          <w:highlight w:val="none"/>
        </w:rPr>
      </w:pPr>
    </w:p>
    <w:p w14:paraId="04E74AC1">
      <w:pPr>
        <w:spacing w:line="360" w:lineRule="auto"/>
        <w:ind w:firstLine="482"/>
        <w:rPr>
          <w:rFonts w:hint="eastAsia" w:ascii="仿宋" w:hAnsi="仿宋" w:eastAsia="仿宋" w:cs="仿宋"/>
          <w:color w:val="auto"/>
          <w:highlight w:val="none"/>
        </w:rPr>
      </w:pPr>
    </w:p>
    <w:p w14:paraId="77C5DF54">
      <w:pPr>
        <w:pStyle w:val="15"/>
        <w:spacing w:line="360" w:lineRule="auto"/>
        <w:ind w:firstLine="240"/>
        <w:rPr>
          <w:rFonts w:hint="eastAsia" w:ascii="仿宋" w:hAnsi="仿宋" w:eastAsia="仿宋" w:cs="仿宋"/>
          <w:color w:val="auto"/>
          <w:highlight w:val="none"/>
        </w:rPr>
      </w:pPr>
    </w:p>
    <w:p w14:paraId="7B74B996">
      <w:pPr>
        <w:pStyle w:val="15"/>
        <w:spacing w:line="360" w:lineRule="auto"/>
        <w:ind w:firstLine="240"/>
        <w:rPr>
          <w:rFonts w:hint="eastAsia" w:ascii="仿宋" w:hAnsi="仿宋" w:eastAsia="仿宋" w:cs="仿宋"/>
          <w:color w:val="auto"/>
          <w:highlight w:val="none"/>
        </w:rPr>
      </w:pPr>
    </w:p>
    <w:p w14:paraId="33711F0F">
      <w:pPr>
        <w:pStyle w:val="15"/>
        <w:spacing w:line="360" w:lineRule="auto"/>
        <w:ind w:firstLine="240"/>
        <w:rPr>
          <w:rFonts w:hint="eastAsia" w:ascii="仿宋" w:hAnsi="仿宋" w:eastAsia="仿宋" w:cs="仿宋"/>
          <w:color w:val="auto"/>
          <w:highlight w:val="none"/>
        </w:rPr>
      </w:pPr>
    </w:p>
    <w:p w14:paraId="02A4C6E2">
      <w:pPr>
        <w:pStyle w:val="15"/>
        <w:spacing w:line="360" w:lineRule="auto"/>
        <w:ind w:firstLine="240"/>
        <w:rPr>
          <w:rFonts w:hint="eastAsia" w:ascii="仿宋" w:hAnsi="仿宋" w:eastAsia="仿宋" w:cs="仿宋"/>
          <w:color w:val="auto"/>
          <w:highlight w:val="none"/>
        </w:rPr>
      </w:pPr>
    </w:p>
    <w:p w14:paraId="4389F8D9">
      <w:pPr>
        <w:pStyle w:val="15"/>
        <w:spacing w:line="360" w:lineRule="auto"/>
        <w:ind w:firstLine="240"/>
        <w:rPr>
          <w:rFonts w:hint="eastAsia" w:ascii="仿宋" w:hAnsi="仿宋" w:eastAsia="仿宋" w:cs="仿宋"/>
          <w:color w:val="auto"/>
          <w:highlight w:val="none"/>
        </w:rPr>
      </w:pPr>
    </w:p>
    <w:p w14:paraId="3BF48911">
      <w:pPr>
        <w:pStyle w:val="29"/>
        <w:spacing w:line="390" w:lineRule="exact"/>
        <w:ind w:firstLine="480" w:firstLineChars="200"/>
        <w:rPr>
          <w:rFonts w:hint="eastAsia" w:ascii="仿宋" w:hAnsi="仿宋" w:eastAsia="仿宋" w:cs="仿宋"/>
          <w:color w:val="auto"/>
          <w:szCs w:val="21"/>
          <w:highlight w:val="none"/>
        </w:rPr>
      </w:pPr>
    </w:p>
    <w:p w14:paraId="0F5A3BAE">
      <w:pPr>
        <w:spacing w:line="360" w:lineRule="auto"/>
        <w:rPr>
          <w:rFonts w:hint="eastAsia" w:ascii="仿宋" w:hAnsi="仿宋" w:eastAsia="仿宋" w:cs="仿宋"/>
          <w:b/>
          <w:color w:val="auto"/>
          <w:spacing w:val="6"/>
          <w:szCs w:val="21"/>
          <w:highlight w:val="none"/>
        </w:rPr>
      </w:pPr>
    </w:p>
    <w:p w14:paraId="6DDD47AA">
      <w:pPr>
        <w:spacing w:line="360" w:lineRule="auto"/>
        <w:rPr>
          <w:rFonts w:hint="eastAsia" w:ascii="仿宋" w:hAnsi="仿宋" w:eastAsia="仿宋" w:cs="仿宋"/>
          <w:b/>
          <w:color w:val="auto"/>
          <w:spacing w:val="6"/>
          <w:szCs w:val="21"/>
          <w:highlight w:val="none"/>
        </w:rPr>
      </w:pPr>
    </w:p>
    <w:p w14:paraId="3ADD705B">
      <w:pPr>
        <w:snapToGrid w:val="0"/>
        <w:spacing w:before="50" w:line="360" w:lineRule="auto"/>
        <w:jc w:val="center"/>
        <w:rPr>
          <w:rFonts w:hint="eastAsia" w:ascii="仿宋" w:hAnsi="仿宋" w:eastAsia="仿宋" w:cs="仿宋"/>
          <w:color w:val="auto"/>
          <w:szCs w:val="21"/>
          <w:highlight w:val="none"/>
        </w:rPr>
      </w:pPr>
    </w:p>
    <w:p w14:paraId="621ABB06">
      <w:pPr>
        <w:snapToGrid w:val="0"/>
        <w:spacing w:before="50" w:line="360" w:lineRule="auto"/>
        <w:jc w:val="center"/>
        <w:rPr>
          <w:rFonts w:hint="eastAsia" w:ascii="仿宋" w:hAnsi="仿宋" w:eastAsia="仿宋" w:cs="仿宋"/>
          <w:color w:val="auto"/>
          <w:szCs w:val="21"/>
          <w:highlight w:val="none"/>
        </w:rPr>
      </w:pPr>
    </w:p>
    <w:p w14:paraId="6D817809">
      <w:pPr>
        <w:pStyle w:val="15"/>
        <w:ind w:firstLine="210"/>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rPr>
        <w:br w:type="page"/>
      </w:r>
    </w:p>
    <w:p w14:paraId="0FD6B6BB">
      <w:pPr>
        <w:snapToGrid w:val="0"/>
        <w:spacing w:line="600" w:lineRule="exact"/>
        <w:jc w:val="center"/>
        <w:rPr>
          <w:rFonts w:hint="eastAsia" w:ascii="仿宋" w:hAnsi="仿宋" w:eastAsia="仿宋" w:cs="仿宋"/>
          <w:bCs/>
          <w:color w:val="auto"/>
          <w:sz w:val="36"/>
          <w:szCs w:val="36"/>
          <w:highlight w:val="none"/>
        </w:rPr>
      </w:pPr>
    </w:p>
    <w:p w14:paraId="6C5BB60D">
      <w:pPr>
        <w:snapToGrid w:val="0"/>
        <w:spacing w:before="50" w:afterLines="50"/>
        <w:jc w:val="center"/>
        <w:rPr>
          <w:rFonts w:hint="eastAsia" w:ascii="仿宋" w:hAnsi="仿宋" w:eastAsia="仿宋" w:cs="仿宋"/>
          <w:bCs/>
          <w:color w:val="auto"/>
          <w:sz w:val="36"/>
          <w:szCs w:val="36"/>
          <w:highlight w:val="none"/>
        </w:rPr>
      </w:pP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rPr>
        <w:t>开标一览表（报价表）</w:t>
      </w:r>
    </w:p>
    <w:p w14:paraId="71813541">
      <w:pPr>
        <w:rPr>
          <w:rFonts w:hint="eastAsia" w:ascii="仿宋" w:hAnsi="仿宋" w:eastAsia="仿宋" w:cs="仿宋"/>
          <w:color w:val="auto"/>
          <w:szCs w:val="21"/>
          <w:highlight w:val="none"/>
          <w:u w:val="single"/>
        </w:rPr>
      </w:pPr>
    </w:p>
    <w:tbl>
      <w:tblPr>
        <w:tblStyle w:val="34"/>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100"/>
        <w:gridCol w:w="1470"/>
        <w:gridCol w:w="1545"/>
        <w:gridCol w:w="1305"/>
        <w:gridCol w:w="1435"/>
      </w:tblGrid>
      <w:tr w14:paraId="3382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718" w:type="dxa"/>
            <w:vAlign w:val="center"/>
          </w:tcPr>
          <w:p w14:paraId="5090BE90">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序</w:t>
            </w:r>
            <w:r>
              <w:rPr>
                <w:rFonts w:hint="eastAsia" w:ascii="仿宋" w:hAnsi="仿宋" w:eastAsia="仿宋" w:cs="仿宋"/>
                <w:b/>
                <w:color w:val="auto"/>
                <w:sz w:val="24"/>
                <w:szCs w:val="24"/>
                <w:highlight w:val="none"/>
              </w:rPr>
              <w:t>号</w:t>
            </w:r>
          </w:p>
        </w:tc>
        <w:tc>
          <w:tcPr>
            <w:tcW w:w="2100" w:type="dxa"/>
            <w:vAlign w:val="center"/>
          </w:tcPr>
          <w:p w14:paraId="28414990">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标的内容</w:t>
            </w:r>
          </w:p>
        </w:tc>
        <w:tc>
          <w:tcPr>
            <w:tcW w:w="1470" w:type="dxa"/>
            <w:vAlign w:val="center"/>
          </w:tcPr>
          <w:p w14:paraId="50F51875">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基数</w:t>
            </w:r>
          </w:p>
        </w:tc>
        <w:tc>
          <w:tcPr>
            <w:tcW w:w="1545" w:type="dxa"/>
            <w:vAlign w:val="center"/>
          </w:tcPr>
          <w:p w14:paraId="3E222C49">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投标报价</w:t>
            </w:r>
          </w:p>
          <w:p w14:paraId="225ADB87">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（1.2.3报费率，4报单价）</w:t>
            </w:r>
          </w:p>
        </w:tc>
        <w:tc>
          <w:tcPr>
            <w:tcW w:w="1305" w:type="dxa"/>
            <w:vAlign w:val="center"/>
          </w:tcPr>
          <w:p w14:paraId="38C05109">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总价（元）</w:t>
            </w:r>
          </w:p>
        </w:tc>
        <w:tc>
          <w:tcPr>
            <w:tcW w:w="1435" w:type="dxa"/>
            <w:shd w:val="clear" w:color="auto" w:fill="auto"/>
            <w:vAlign w:val="center"/>
          </w:tcPr>
          <w:p w14:paraId="5E568731">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lang w:val="en-US" w:eastAsia="zh-CN"/>
              </w:rPr>
              <w:t>备注</w:t>
            </w:r>
          </w:p>
        </w:tc>
      </w:tr>
      <w:tr w14:paraId="1212E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718" w:type="dxa"/>
            <w:vAlign w:val="center"/>
          </w:tcPr>
          <w:p w14:paraId="7CBD644D">
            <w:pPr>
              <w:keepNext w:val="0"/>
              <w:keepLines w:val="0"/>
              <w:pageBreakBefore w:val="0"/>
              <w:widowControl w:val="0"/>
              <w:suppressLineNumbers w:val="0"/>
              <w:kinsoku/>
              <w:wordWrap/>
              <w:overflowPunct/>
              <w:topLinePunct w:val="0"/>
              <w:bidi w:val="0"/>
              <w:adjustRightInd/>
              <w:snapToGrid/>
              <w:spacing w:before="0" w:beforeAutospacing="0" w:after="0" w:afterAutospacing="0" w:line="700" w:lineRule="exact"/>
              <w:ind w:left="0" w:right="0"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2100" w:type="dxa"/>
            <w:vAlign w:val="center"/>
          </w:tcPr>
          <w:p w14:paraId="5E3C2AE5">
            <w:pPr>
              <w:keepNext w:val="0"/>
              <w:keepLines w:val="0"/>
              <w:pageBreakBefore w:val="0"/>
              <w:widowControl w:val="0"/>
              <w:suppressLineNumbers w:val="0"/>
              <w:kinsoku/>
              <w:wordWrap/>
              <w:overflowPunct/>
              <w:topLinePunct w:val="0"/>
              <w:bidi w:val="0"/>
              <w:adjustRightInd/>
              <w:snapToGrid/>
              <w:spacing w:before="0" w:beforeAutospacing="0" w:after="0" w:afterAutospacing="0" w:line="700" w:lineRule="exact"/>
              <w:ind w:left="0" w:right="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财产综合险</w:t>
            </w:r>
          </w:p>
        </w:tc>
        <w:tc>
          <w:tcPr>
            <w:tcW w:w="1470" w:type="dxa"/>
            <w:vAlign w:val="center"/>
          </w:tcPr>
          <w:p w14:paraId="74953479">
            <w:pPr>
              <w:keepNext w:val="0"/>
              <w:keepLines w:val="0"/>
              <w:pageBreakBefore w:val="0"/>
              <w:widowControl w:val="0"/>
              <w:suppressLineNumbers w:val="0"/>
              <w:kinsoku/>
              <w:wordWrap/>
              <w:overflowPunct/>
              <w:topLinePunct w:val="0"/>
              <w:bidi w:val="0"/>
              <w:adjustRightInd/>
              <w:snapToGrid/>
              <w:spacing w:before="0" w:beforeAutospacing="0" w:after="0" w:afterAutospacing="0" w:line="700" w:lineRule="exact"/>
              <w:ind w:left="0" w:right="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4.19亿元</w:t>
            </w:r>
          </w:p>
        </w:tc>
        <w:tc>
          <w:tcPr>
            <w:tcW w:w="1545" w:type="dxa"/>
            <w:vAlign w:val="center"/>
          </w:tcPr>
          <w:p w14:paraId="5307FB8B">
            <w:pPr>
              <w:keepNext w:val="0"/>
              <w:keepLines w:val="0"/>
              <w:pageBreakBefore w:val="0"/>
              <w:widowControl w:val="0"/>
              <w:suppressLineNumbers w:val="0"/>
              <w:kinsoku/>
              <w:wordWrap/>
              <w:overflowPunct/>
              <w:topLinePunct w:val="0"/>
              <w:bidi w:val="0"/>
              <w:adjustRightInd/>
              <w:snapToGrid/>
              <w:spacing w:before="0" w:beforeAutospacing="0" w:after="0" w:afterAutospacing="0" w:line="7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p>
        </w:tc>
        <w:tc>
          <w:tcPr>
            <w:tcW w:w="1305" w:type="dxa"/>
            <w:shd w:val="clear" w:color="auto" w:fill="auto"/>
            <w:vAlign w:val="center"/>
          </w:tcPr>
          <w:p w14:paraId="477F7EF0">
            <w:pPr>
              <w:keepNext w:val="0"/>
              <w:keepLines w:val="0"/>
              <w:pageBreakBefore w:val="0"/>
              <w:widowControl w:val="0"/>
              <w:suppressLineNumbers w:val="0"/>
              <w:kinsoku/>
              <w:wordWrap/>
              <w:overflowPunct/>
              <w:topLinePunct w:val="0"/>
              <w:bidi w:val="0"/>
              <w:adjustRightInd/>
              <w:snapToGrid/>
              <w:spacing w:before="0" w:beforeAutospacing="0" w:after="0" w:afterAutospacing="0" w:line="700" w:lineRule="exact"/>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p>
        </w:tc>
        <w:tc>
          <w:tcPr>
            <w:tcW w:w="1435" w:type="dxa"/>
            <w:shd w:val="clear" w:color="auto" w:fill="auto"/>
            <w:vAlign w:val="center"/>
          </w:tcPr>
          <w:p w14:paraId="3C2E344D">
            <w:pPr>
              <w:keepNext w:val="0"/>
              <w:keepLines w:val="0"/>
              <w:pageBreakBefore w:val="0"/>
              <w:widowControl w:val="0"/>
              <w:suppressLineNumbers w:val="0"/>
              <w:kinsoku/>
              <w:wordWrap/>
              <w:overflowPunct/>
              <w:topLinePunct w:val="0"/>
              <w:bidi w:val="0"/>
              <w:adjustRightInd/>
              <w:snapToGrid/>
              <w:spacing w:before="0" w:beforeAutospacing="0" w:after="0" w:afterAutospacing="0" w:line="700" w:lineRule="exact"/>
              <w:ind w:left="0" w:leftChars="0" w:right="0" w:rightChars="0" w:firstLine="0" w:firstLineChars="0"/>
              <w:jc w:val="center"/>
              <w:textAlignment w:val="auto"/>
              <w:rPr>
                <w:rFonts w:hint="default" w:ascii="仿宋" w:hAnsi="仿宋" w:eastAsia="仿宋" w:cs="仿宋"/>
                <w:color w:val="auto"/>
                <w:kern w:val="2"/>
                <w:sz w:val="24"/>
                <w:szCs w:val="24"/>
                <w:highlight w:val="none"/>
                <w:lang w:val="en-US" w:eastAsia="zh-CN" w:bidi="ar-SA"/>
              </w:rPr>
            </w:pPr>
          </w:p>
        </w:tc>
      </w:tr>
      <w:tr w14:paraId="1F14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exact"/>
          <w:jc w:val="center"/>
        </w:trPr>
        <w:tc>
          <w:tcPr>
            <w:tcW w:w="718" w:type="dxa"/>
            <w:vMerge w:val="restart"/>
            <w:vAlign w:val="center"/>
          </w:tcPr>
          <w:p w14:paraId="7FA720F2">
            <w:pPr>
              <w:keepNext w:val="0"/>
              <w:keepLines w:val="0"/>
              <w:pageBreakBefore w:val="0"/>
              <w:widowControl w:val="0"/>
              <w:suppressLineNumbers w:val="0"/>
              <w:kinsoku/>
              <w:wordWrap/>
              <w:overflowPunct/>
              <w:topLinePunct w:val="0"/>
              <w:bidi w:val="0"/>
              <w:adjustRightInd/>
              <w:snapToGrid/>
              <w:spacing w:before="0" w:beforeAutospacing="0" w:after="0" w:afterAutospacing="0" w:line="700" w:lineRule="exact"/>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w:t>
            </w:r>
          </w:p>
        </w:tc>
        <w:tc>
          <w:tcPr>
            <w:tcW w:w="2100" w:type="dxa"/>
            <w:vMerge w:val="restart"/>
            <w:vAlign w:val="center"/>
          </w:tcPr>
          <w:p w14:paraId="52E0F804">
            <w:pPr>
              <w:pStyle w:val="2"/>
              <w:keepNext w:val="0"/>
              <w:keepLines w:val="0"/>
              <w:pageBreakBefore w:val="0"/>
              <w:widowControl w:val="0"/>
              <w:numPr>
                <w:ilvl w:val="0"/>
                <w:numId w:val="0"/>
              </w:numPr>
              <w:kinsoku/>
              <w:wordWrap/>
              <w:overflowPunct/>
              <w:topLinePunct w:val="0"/>
              <w:bidi w:val="0"/>
              <w:adjustRightInd/>
              <w:snapToGrid/>
              <w:spacing w:line="700" w:lineRule="exact"/>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公众责任险</w:t>
            </w:r>
          </w:p>
          <w:p w14:paraId="110F98F2">
            <w:pPr>
              <w:keepNext w:val="0"/>
              <w:keepLines w:val="0"/>
              <w:pageBreakBefore w:val="0"/>
              <w:widowControl w:val="0"/>
              <w:suppressLineNumbers w:val="0"/>
              <w:kinsoku/>
              <w:wordWrap/>
              <w:overflowPunct/>
              <w:topLinePunct w:val="0"/>
              <w:bidi w:val="0"/>
              <w:adjustRightInd/>
              <w:snapToGrid/>
              <w:spacing w:before="0" w:beforeAutospacing="0" w:after="0" w:afterAutospacing="0" w:line="700" w:lineRule="exact"/>
              <w:ind w:left="0" w:right="0" w:firstLine="0" w:firstLineChars="0"/>
              <w:jc w:val="center"/>
              <w:textAlignment w:val="auto"/>
              <w:rPr>
                <w:rFonts w:hint="eastAsia" w:ascii="仿宋" w:hAnsi="仿宋" w:eastAsia="仿宋" w:cs="仿宋"/>
                <w:b/>
                <w:color w:val="auto"/>
                <w:sz w:val="24"/>
                <w:szCs w:val="24"/>
                <w:highlight w:val="none"/>
              </w:rPr>
            </w:pPr>
          </w:p>
        </w:tc>
        <w:tc>
          <w:tcPr>
            <w:tcW w:w="1470" w:type="dxa"/>
            <w:vAlign w:val="center"/>
          </w:tcPr>
          <w:p w14:paraId="430C6D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200万元*11个场所=2200万元</w:t>
            </w:r>
          </w:p>
        </w:tc>
        <w:tc>
          <w:tcPr>
            <w:tcW w:w="1545" w:type="dxa"/>
            <w:vAlign w:val="center"/>
          </w:tcPr>
          <w:p w14:paraId="658689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b/>
                <w:color w:val="auto"/>
                <w:sz w:val="24"/>
                <w:szCs w:val="24"/>
                <w:highlight w:val="none"/>
              </w:rPr>
            </w:pPr>
          </w:p>
        </w:tc>
        <w:tc>
          <w:tcPr>
            <w:tcW w:w="1305" w:type="dxa"/>
            <w:shd w:val="clear" w:color="auto" w:fill="auto"/>
            <w:vAlign w:val="center"/>
          </w:tcPr>
          <w:p w14:paraId="2C991D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p>
        </w:tc>
        <w:tc>
          <w:tcPr>
            <w:tcW w:w="1435" w:type="dxa"/>
            <w:shd w:val="clear" w:color="auto" w:fill="auto"/>
            <w:vAlign w:val="center"/>
          </w:tcPr>
          <w:p w14:paraId="3C3CD8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p>
        </w:tc>
      </w:tr>
      <w:tr w14:paraId="6F4CE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718" w:type="dxa"/>
            <w:vMerge w:val="continue"/>
            <w:vAlign w:val="center"/>
          </w:tcPr>
          <w:p w14:paraId="099DE851">
            <w:pPr>
              <w:keepNext w:val="0"/>
              <w:keepLines w:val="0"/>
              <w:pageBreakBefore w:val="0"/>
              <w:widowControl w:val="0"/>
              <w:suppressLineNumbers w:val="0"/>
              <w:kinsoku/>
              <w:wordWrap/>
              <w:overflowPunct/>
              <w:topLinePunct w:val="0"/>
              <w:bidi w:val="0"/>
              <w:adjustRightInd/>
              <w:snapToGrid/>
              <w:spacing w:before="0" w:beforeAutospacing="0" w:after="0" w:afterAutospacing="0" w:line="700" w:lineRule="exact"/>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p>
        </w:tc>
        <w:tc>
          <w:tcPr>
            <w:tcW w:w="2100" w:type="dxa"/>
            <w:vMerge w:val="continue"/>
            <w:vAlign w:val="center"/>
          </w:tcPr>
          <w:p w14:paraId="201B92B8">
            <w:pPr>
              <w:keepNext w:val="0"/>
              <w:keepLines w:val="0"/>
              <w:pageBreakBefore w:val="0"/>
              <w:widowControl w:val="0"/>
              <w:suppressLineNumbers w:val="0"/>
              <w:kinsoku/>
              <w:wordWrap/>
              <w:overflowPunct/>
              <w:topLinePunct w:val="0"/>
              <w:bidi w:val="0"/>
              <w:adjustRightInd/>
              <w:snapToGrid/>
              <w:spacing w:before="0" w:beforeAutospacing="0" w:after="0" w:afterAutospacing="0" w:line="700" w:lineRule="exact"/>
              <w:ind w:left="0" w:right="0" w:firstLine="0" w:firstLineChars="0"/>
              <w:jc w:val="center"/>
              <w:textAlignment w:val="auto"/>
              <w:rPr>
                <w:rFonts w:hint="eastAsia" w:ascii="仿宋" w:hAnsi="仿宋" w:eastAsia="仿宋" w:cs="仿宋"/>
                <w:b/>
                <w:color w:val="auto"/>
                <w:sz w:val="24"/>
                <w:szCs w:val="24"/>
                <w:highlight w:val="none"/>
              </w:rPr>
            </w:pPr>
          </w:p>
        </w:tc>
        <w:tc>
          <w:tcPr>
            <w:tcW w:w="1470" w:type="dxa"/>
            <w:vAlign w:val="center"/>
          </w:tcPr>
          <w:p w14:paraId="469542EA">
            <w:pPr>
              <w:keepNext w:val="0"/>
              <w:keepLines w:val="0"/>
              <w:pageBreakBefore w:val="0"/>
              <w:widowControl w:val="0"/>
              <w:suppressLineNumbers w:val="0"/>
              <w:kinsoku/>
              <w:wordWrap/>
              <w:overflowPunct/>
              <w:topLinePunct w:val="0"/>
              <w:bidi w:val="0"/>
              <w:adjustRightInd/>
              <w:snapToGrid/>
              <w:spacing w:before="0" w:beforeAutospacing="0" w:after="0" w:afterAutospacing="0" w:line="700" w:lineRule="exact"/>
              <w:ind w:left="0" w:right="0" w:firstLine="0" w:firstLineChars="0"/>
              <w:jc w:val="center"/>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供排水管道</w:t>
            </w:r>
          </w:p>
        </w:tc>
        <w:tc>
          <w:tcPr>
            <w:tcW w:w="1545" w:type="dxa"/>
            <w:vAlign w:val="center"/>
          </w:tcPr>
          <w:p w14:paraId="2480F269">
            <w:pPr>
              <w:keepNext w:val="0"/>
              <w:keepLines w:val="0"/>
              <w:pageBreakBefore w:val="0"/>
              <w:widowControl w:val="0"/>
              <w:suppressLineNumbers w:val="0"/>
              <w:kinsoku/>
              <w:wordWrap/>
              <w:overflowPunct/>
              <w:topLinePunct w:val="0"/>
              <w:bidi w:val="0"/>
              <w:adjustRightInd/>
              <w:snapToGrid/>
              <w:spacing w:before="0" w:beforeAutospacing="0" w:after="0" w:afterAutospacing="0" w:line="700" w:lineRule="exact"/>
              <w:ind w:left="0" w:right="0" w:firstLine="0" w:firstLineChars="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w:t>
            </w:r>
          </w:p>
        </w:tc>
        <w:tc>
          <w:tcPr>
            <w:tcW w:w="1305" w:type="dxa"/>
            <w:shd w:val="clear" w:color="auto" w:fill="auto"/>
            <w:vAlign w:val="center"/>
          </w:tcPr>
          <w:p w14:paraId="5F21F77C">
            <w:pPr>
              <w:keepNext w:val="0"/>
              <w:keepLines w:val="0"/>
              <w:pageBreakBefore w:val="0"/>
              <w:widowControl w:val="0"/>
              <w:suppressLineNumbers w:val="0"/>
              <w:kinsoku/>
              <w:wordWrap/>
              <w:overflowPunct/>
              <w:topLinePunct w:val="0"/>
              <w:bidi w:val="0"/>
              <w:adjustRightInd/>
              <w:snapToGrid/>
              <w:spacing w:before="0" w:beforeAutospacing="0" w:after="0" w:afterAutospacing="0" w:line="700" w:lineRule="exact"/>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435" w:type="dxa"/>
            <w:shd w:val="clear" w:color="auto" w:fill="auto"/>
            <w:vAlign w:val="center"/>
          </w:tcPr>
          <w:p w14:paraId="76263047">
            <w:pPr>
              <w:keepNext w:val="0"/>
              <w:keepLines w:val="0"/>
              <w:pageBreakBefore w:val="0"/>
              <w:widowControl w:val="0"/>
              <w:suppressLineNumbers w:val="0"/>
              <w:kinsoku/>
              <w:wordWrap/>
              <w:overflowPunct/>
              <w:topLinePunct w:val="0"/>
              <w:bidi w:val="0"/>
              <w:adjustRightInd/>
              <w:snapToGrid/>
              <w:spacing w:before="0" w:beforeAutospacing="0" w:after="0" w:afterAutospacing="0" w:line="700" w:lineRule="exact"/>
              <w:ind w:left="0" w:leftChars="0" w:right="0" w:rightChars="0"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只报总价</w:t>
            </w:r>
          </w:p>
        </w:tc>
      </w:tr>
      <w:tr w14:paraId="4678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718" w:type="dxa"/>
            <w:shd w:val="clear" w:color="auto" w:fill="auto"/>
            <w:vAlign w:val="center"/>
          </w:tcPr>
          <w:p w14:paraId="0F85E107">
            <w:pPr>
              <w:keepNext w:val="0"/>
              <w:keepLines w:val="0"/>
              <w:pageBreakBefore w:val="0"/>
              <w:widowControl w:val="0"/>
              <w:suppressLineNumbers w:val="0"/>
              <w:kinsoku/>
              <w:wordWrap/>
              <w:overflowPunct/>
              <w:topLinePunct w:val="0"/>
              <w:bidi w:val="0"/>
              <w:adjustRightInd/>
              <w:snapToGrid/>
              <w:spacing w:before="0" w:beforeAutospacing="0" w:after="0" w:afterAutospacing="0" w:line="700" w:lineRule="exact"/>
              <w:ind w:left="0" w:leftChars="0" w:right="0" w:rightChars="0" w:firstLine="0" w:firstLineChars="0"/>
              <w:jc w:val="center"/>
              <w:textAlignment w:val="auto"/>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w:t>
            </w:r>
          </w:p>
        </w:tc>
        <w:tc>
          <w:tcPr>
            <w:tcW w:w="2100" w:type="dxa"/>
            <w:shd w:val="clear" w:color="auto" w:fill="auto"/>
            <w:vAlign w:val="center"/>
          </w:tcPr>
          <w:p w14:paraId="6506F5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highlight w:val="none"/>
                <w:lang w:val="en-US" w:eastAsia="zh-CN"/>
              </w:rPr>
              <w:t>工程一切险+建筑施工人员意外险</w:t>
            </w:r>
          </w:p>
        </w:tc>
        <w:tc>
          <w:tcPr>
            <w:tcW w:w="1470" w:type="dxa"/>
            <w:shd w:val="clear" w:color="auto" w:fill="auto"/>
            <w:vAlign w:val="center"/>
          </w:tcPr>
          <w:p w14:paraId="098F17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eastAsia" w:ascii="仿宋" w:hAnsi="仿宋" w:eastAsia="仿宋" w:cs="仿宋"/>
                <w:b w:val="0"/>
                <w:bCs/>
                <w:color w:val="auto"/>
                <w:kern w:val="2"/>
                <w:sz w:val="24"/>
                <w:highlight w:val="none"/>
                <w:lang w:val="en-US" w:eastAsia="zh-CN" w:bidi="ar-SA"/>
              </w:rPr>
            </w:pPr>
            <w:r>
              <w:rPr>
                <w:rFonts w:hint="eastAsia" w:ascii="仿宋" w:hAnsi="仿宋" w:eastAsia="仿宋" w:cs="仿宋"/>
                <w:b w:val="0"/>
                <w:bCs/>
                <w:color w:val="auto"/>
                <w:highlight w:val="none"/>
                <w:lang w:val="en-US" w:eastAsia="zh-CN"/>
              </w:rPr>
              <w:t>4.6</w:t>
            </w:r>
            <w:r>
              <w:rPr>
                <w:rFonts w:hint="eastAsia" w:ascii="仿宋" w:hAnsi="仿宋" w:eastAsia="仿宋" w:cs="仿宋"/>
                <w:color w:val="auto"/>
                <w:sz w:val="24"/>
                <w:szCs w:val="24"/>
                <w:highlight w:val="none"/>
                <w:lang w:val="en-US" w:eastAsia="zh-CN"/>
              </w:rPr>
              <w:t>亿元</w:t>
            </w:r>
          </w:p>
        </w:tc>
        <w:tc>
          <w:tcPr>
            <w:tcW w:w="1545" w:type="dxa"/>
            <w:vAlign w:val="center"/>
          </w:tcPr>
          <w:p w14:paraId="4F5613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0" w:firstLineChars="0"/>
              <w:jc w:val="center"/>
              <w:textAlignment w:val="auto"/>
              <w:rPr>
                <w:rFonts w:hint="eastAsia" w:ascii="仿宋" w:hAnsi="仿宋" w:eastAsia="仿宋" w:cs="仿宋"/>
                <w:b w:val="0"/>
                <w:bCs/>
                <w:color w:val="auto"/>
                <w:sz w:val="24"/>
                <w:szCs w:val="24"/>
                <w:highlight w:val="none"/>
              </w:rPr>
            </w:pPr>
          </w:p>
        </w:tc>
        <w:tc>
          <w:tcPr>
            <w:tcW w:w="1305" w:type="dxa"/>
            <w:shd w:val="clear" w:color="auto" w:fill="auto"/>
            <w:vAlign w:val="center"/>
          </w:tcPr>
          <w:p w14:paraId="68FFDF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eastAsia" w:ascii="仿宋" w:hAnsi="仿宋" w:eastAsia="仿宋" w:cs="仿宋"/>
                <w:b w:val="0"/>
                <w:bCs/>
                <w:color w:val="auto"/>
                <w:kern w:val="2"/>
                <w:sz w:val="24"/>
                <w:szCs w:val="24"/>
                <w:highlight w:val="none"/>
                <w:lang w:val="en-US" w:eastAsia="zh-CN" w:bidi="ar-SA"/>
              </w:rPr>
            </w:pPr>
          </w:p>
        </w:tc>
        <w:tc>
          <w:tcPr>
            <w:tcW w:w="1435" w:type="dxa"/>
            <w:shd w:val="clear" w:color="auto" w:fill="auto"/>
            <w:vAlign w:val="center"/>
          </w:tcPr>
          <w:p w14:paraId="4137BB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default" w:ascii="仿宋" w:hAnsi="仿宋" w:eastAsia="仿宋" w:cs="仿宋"/>
                <w:b w:val="0"/>
                <w:bCs/>
                <w:color w:val="auto"/>
                <w:kern w:val="2"/>
                <w:sz w:val="24"/>
                <w:szCs w:val="24"/>
                <w:highlight w:val="none"/>
                <w:lang w:val="en-US" w:eastAsia="zh-CN" w:bidi="ar-SA"/>
              </w:rPr>
            </w:pPr>
          </w:p>
        </w:tc>
      </w:tr>
      <w:tr w14:paraId="4477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718" w:type="dxa"/>
            <w:vAlign w:val="center"/>
          </w:tcPr>
          <w:p w14:paraId="30080052">
            <w:pPr>
              <w:keepNext w:val="0"/>
              <w:keepLines w:val="0"/>
              <w:pageBreakBefore w:val="0"/>
              <w:widowControl w:val="0"/>
              <w:suppressLineNumbers w:val="0"/>
              <w:kinsoku/>
              <w:wordWrap/>
              <w:overflowPunct/>
              <w:topLinePunct w:val="0"/>
              <w:bidi w:val="0"/>
              <w:adjustRightInd/>
              <w:snapToGrid/>
              <w:spacing w:before="0" w:beforeAutospacing="0" w:after="0" w:afterAutospacing="0" w:line="700" w:lineRule="exact"/>
              <w:ind w:left="0" w:right="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w:t>
            </w:r>
          </w:p>
        </w:tc>
        <w:tc>
          <w:tcPr>
            <w:tcW w:w="2100" w:type="dxa"/>
            <w:vAlign w:val="center"/>
          </w:tcPr>
          <w:p w14:paraId="3873D2A7">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700" w:lineRule="exact"/>
              <w:ind w:leftChars="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雇主责任险</w:t>
            </w:r>
          </w:p>
          <w:p w14:paraId="10644F9F">
            <w:pPr>
              <w:keepNext w:val="0"/>
              <w:keepLines w:val="0"/>
              <w:pageBreakBefore w:val="0"/>
              <w:widowControl w:val="0"/>
              <w:suppressLineNumbers w:val="0"/>
              <w:kinsoku/>
              <w:wordWrap/>
              <w:overflowPunct/>
              <w:topLinePunct w:val="0"/>
              <w:bidi w:val="0"/>
              <w:adjustRightInd/>
              <w:snapToGrid/>
              <w:spacing w:before="0" w:beforeAutospacing="0" w:after="0" w:afterAutospacing="0" w:line="700" w:lineRule="exact"/>
              <w:ind w:left="0" w:right="0" w:firstLine="0" w:firstLineChars="0"/>
              <w:jc w:val="center"/>
              <w:textAlignment w:val="auto"/>
              <w:rPr>
                <w:rFonts w:hint="eastAsia" w:ascii="仿宋" w:hAnsi="仿宋" w:eastAsia="仿宋" w:cs="仿宋"/>
                <w:b/>
                <w:color w:val="auto"/>
                <w:sz w:val="24"/>
                <w:szCs w:val="24"/>
                <w:highlight w:val="none"/>
              </w:rPr>
            </w:pPr>
          </w:p>
        </w:tc>
        <w:tc>
          <w:tcPr>
            <w:tcW w:w="1470" w:type="dxa"/>
            <w:vAlign w:val="center"/>
          </w:tcPr>
          <w:p w14:paraId="53C7F8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350人</w:t>
            </w:r>
          </w:p>
        </w:tc>
        <w:tc>
          <w:tcPr>
            <w:tcW w:w="1545" w:type="dxa"/>
            <w:vAlign w:val="center"/>
          </w:tcPr>
          <w:p w14:paraId="4D9924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0" w:firstLineChars="0"/>
              <w:jc w:val="center"/>
              <w:textAlignment w:val="auto"/>
              <w:rPr>
                <w:rFonts w:hint="eastAsia" w:ascii="仿宋" w:hAnsi="仿宋" w:eastAsia="仿宋" w:cs="仿宋"/>
                <w:b w:val="0"/>
                <w:bCs/>
                <w:color w:val="auto"/>
                <w:sz w:val="24"/>
                <w:szCs w:val="24"/>
                <w:highlight w:val="none"/>
              </w:rPr>
            </w:pPr>
          </w:p>
        </w:tc>
        <w:tc>
          <w:tcPr>
            <w:tcW w:w="1305" w:type="dxa"/>
            <w:shd w:val="clear" w:color="auto" w:fill="auto"/>
            <w:vAlign w:val="center"/>
          </w:tcPr>
          <w:p w14:paraId="73D6BA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eastAsia" w:ascii="仿宋" w:hAnsi="仿宋" w:eastAsia="仿宋" w:cs="仿宋"/>
                <w:b w:val="0"/>
                <w:bCs/>
                <w:color w:val="auto"/>
                <w:kern w:val="2"/>
                <w:sz w:val="24"/>
                <w:szCs w:val="24"/>
                <w:highlight w:val="none"/>
                <w:lang w:val="en-US" w:eastAsia="zh-CN" w:bidi="ar-SA"/>
              </w:rPr>
            </w:pPr>
          </w:p>
        </w:tc>
        <w:tc>
          <w:tcPr>
            <w:tcW w:w="1435" w:type="dxa"/>
            <w:shd w:val="clear" w:color="auto" w:fill="auto"/>
            <w:vAlign w:val="center"/>
          </w:tcPr>
          <w:p w14:paraId="5C75DD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default" w:ascii="仿宋" w:hAnsi="仿宋" w:eastAsia="仿宋" w:cs="仿宋"/>
                <w:b w:val="0"/>
                <w:bCs/>
                <w:color w:val="auto"/>
                <w:kern w:val="2"/>
                <w:sz w:val="24"/>
                <w:szCs w:val="24"/>
                <w:highlight w:val="none"/>
                <w:lang w:val="en-US" w:eastAsia="zh-CN" w:bidi="ar-SA"/>
              </w:rPr>
            </w:pPr>
          </w:p>
        </w:tc>
      </w:tr>
      <w:tr w14:paraId="2A6A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718" w:type="dxa"/>
            <w:vAlign w:val="center"/>
          </w:tcPr>
          <w:p w14:paraId="5C05B0A9">
            <w:pPr>
              <w:keepNext w:val="0"/>
              <w:keepLines w:val="0"/>
              <w:pageBreakBefore w:val="0"/>
              <w:widowControl w:val="0"/>
              <w:suppressLineNumbers w:val="0"/>
              <w:kinsoku/>
              <w:wordWrap/>
              <w:overflowPunct/>
              <w:topLinePunct w:val="0"/>
              <w:bidi w:val="0"/>
              <w:adjustRightInd/>
              <w:snapToGrid/>
              <w:spacing w:before="0" w:beforeAutospacing="0" w:after="0" w:afterAutospacing="0" w:line="700" w:lineRule="exact"/>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p>
        </w:tc>
        <w:tc>
          <w:tcPr>
            <w:tcW w:w="2100" w:type="dxa"/>
            <w:vAlign w:val="center"/>
          </w:tcPr>
          <w:p w14:paraId="79CBD7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以上四项一年费用合计</w:t>
            </w:r>
          </w:p>
        </w:tc>
        <w:tc>
          <w:tcPr>
            <w:tcW w:w="5755" w:type="dxa"/>
            <w:gridSpan w:val="4"/>
            <w:vAlign w:val="center"/>
          </w:tcPr>
          <w:p w14:paraId="678CDE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eastAsia" w:ascii="仿宋" w:hAnsi="仿宋" w:eastAsia="仿宋" w:cs="仿宋"/>
                <w:b w:val="0"/>
                <w:bCs/>
                <w:color w:val="auto"/>
                <w:kern w:val="2"/>
                <w:sz w:val="24"/>
                <w:szCs w:val="24"/>
                <w:highlight w:val="none"/>
                <w:lang w:val="en-US" w:eastAsia="zh-CN" w:bidi="ar-SA"/>
              </w:rPr>
            </w:pPr>
          </w:p>
        </w:tc>
      </w:tr>
      <w:tr w14:paraId="269A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718" w:type="dxa"/>
            <w:vAlign w:val="center"/>
          </w:tcPr>
          <w:p w14:paraId="5BC30E14">
            <w:pPr>
              <w:keepNext w:val="0"/>
              <w:keepLines w:val="0"/>
              <w:pageBreakBefore w:val="0"/>
              <w:widowControl w:val="0"/>
              <w:suppressLineNumbers w:val="0"/>
              <w:kinsoku/>
              <w:wordWrap/>
              <w:overflowPunct/>
              <w:topLinePunct w:val="0"/>
              <w:bidi w:val="0"/>
              <w:adjustRightInd/>
              <w:snapToGrid/>
              <w:spacing w:before="0" w:beforeAutospacing="0" w:after="0" w:afterAutospacing="0" w:line="700" w:lineRule="exact"/>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p>
        </w:tc>
        <w:tc>
          <w:tcPr>
            <w:tcW w:w="2100" w:type="dxa"/>
            <w:vAlign w:val="center"/>
          </w:tcPr>
          <w:p w14:paraId="48F2EE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以上四项二年费用合计</w:t>
            </w:r>
          </w:p>
        </w:tc>
        <w:tc>
          <w:tcPr>
            <w:tcW w:w="5755" w:type="dxa"/>
            <w:gridSpan w:val="4"/>
            <w:vAlign w:val="center"/>
          </w:tcPr>
          <w:p w14:paraId="0185F2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eastAsia" w:ascii="仿宋" w:hAnsi="仿宋" w:eastAsia="仿宋" w:cs="仿宋"/>
                <w:b w:val="0"/>
                <w:bCs/>
                <w:color w:val="auto"/>
                <w:kern w:val="2"/>
                <w:sz w:val="24"/>
                <w:szCs w:val="24"/>
                <w:highlight w:val="none"/>
                <w:lang w:val="en-US" w:eastAsia="zh-CN" w:bidi="ar-SA"/>
              </w:rPr>
            </w:pPr>
          </w:p>
        </w:tc>
      </w:tr>
      <w:tr w14:paraId="1199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718" w:type="dxa"/>
            <w:vAlign w:val="center"/>
          </w:tcPr>
          <w:p w14:paraId="3260FA3D">
            <w:pPr>
              <w:keepNext w:val="0"/>
              <w:keepLines w:val="0"/>
              <w:pageBreakBefore w:val="0"/>
              <w:widowControl w:val="0"/>
              <w:suppressLineNumbers w:val="0"/>
              <w:kinsoku/>
              <w:wordWrap/>
              <w:overflowPunct/>
              <w:topLinePunct w:val="0"/>
              <w:bidi w:val="0"/>
              <w:adjustRightInd/>
              <w:snapToGrid/>
              <w:spacing w:before="0" w:beforeAutospacing="0" w:after="0" w:afterAutospacing="0" w:line="700" w:lineRule="exact"/>
              <w:ind w:left="0" w:right="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w:t>
            </w:r>
          </w:p>
        </w:tc>
        <w:tc>
          <w:tcPr>
            <w:tcW w:w="2100" w:type="dxa"/>
            <w:vAlign w:val="center"/>
          </w:tcPr>
          <w:p w14:paraId="57420BFB">
            <w:pPr>
              <w:keepNext w:val="0"/>
              <w:keepLines w:val="0"/>
              <w:pageBreakBefore w:val="0"/>
              <w:widowControl w:val="0"/>
              <w:suppressLineNumbers w:val="0"/>
              <w:kinsoku/>
              <w:wordWrap/>
              <w:overflowPunct/>
              <w:topLinePunct w:val="0"/>
              <w:bidi w:val="0"/>
              <w:adjustRightInd/>
              <w:snapToGrid/>
              <w:spacing w:before="0" w:beforeAutospacing="0" w:after="0" w:afterAutospacing="0" w:line="700" w:lineRule="exact"/>
              <w:ind w:left="0" w:right="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车辆保险</w:t>
            </w:r>
          </w:p>
        </w:tc>
        <w:tc>
          <w:tcPr>
            <w:tcW w:w="5755" w:type="dxa"/>
            <w:gridSpan w:val="4"/>
            <w:vAlign w:val="center"/>
          </w:tcPr>
          <w:p w14:paraId="2B8BE2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车辆（燃油车）承保自主</w:t>
            </w:r>
            <w:r>
              <w:rPr>
                <w:rFonts w:hint="eastAsia" w:ascii="仿宋" w:hAnsi="仿宋" w:eastAsia="仿宋" w:cs="仿宋"/>
                <w:b w:val="0"/>
                <w:bCs/>
                <w:i w:val="0"/>
                <w:iCs w:val="0"/>
                <w:color w:val="auto"/>
                <w:kern w:val="2"/>
                <w:sz w:val="24"/>
                <w:szCs w:val="20"/>
                <w:highlight w:val="none"/>
                <w:vertAlign w:val="baseline"/>
                <w:lang w:val="en-US" w:eastAsia="zh-CN" w:bidi="ar-SA"/>
              </w:rPr>
              <w:t>折扣</w:t>
            </w:r>
            <w:r>
              <w:rPr>
                <w:rFonts w:hint="eastAsia" w:ascii="仿宋" w:hAnsi="仿宋" w:eastAsia="仿宋" w:cs="仿宋"/>
                <w:b w:val="0"/>
                <w:bCs/>
                <w:color w:val="auto"/>
                <w:sz w:val="24"/>
                <w:szCs w:val="24"/>
                <w:highlight w:val="none"/>
                <w:lang w:val="en-US" w:eastAsia="zh-CN"/>
              </w:rPr>
              <w:t>系数报价：</w:t>
            </w:r>
            <w:r>
              <w:rPr>
                <w:rFonts w:hint="eastAsia" w:ascii="仿宋" w:hAnsi="仿宋" w:eastAsia="仿宋" w:cs="仿宋"/>
                <w:b w:val="0"/>
                <w:bCs/>
                <w:color w:val="auto"/>
                <w:sz w:val="24"/>
                <w:szCs w:val="24"/>
                <w:highlight w:val="none"/>
                <w:u w:val="single"/>
                <w:lang w:val="en-US" w:eastAsia="zh-CN"/>
              </w:rPr>
              <w:t xml:space="preserve">       %</w:t>
            </w:r>
          </w:p>
        </w:tc>
      </w:tr>
    </w:tbl>
    <w:p w14:paraId="079DB1FB">
      <w:pPr>
        <w:rPr>
          <w:rFonts w:hint="eastAsia" w:ascii="仿宋" w:hAnsi="仿宋" w:eastAsia="仿宋" w:cs="仿宋"/>
          <w:i/>
          <w:color w:val="auto"/>
          <w:szCs w:val="21"/>
          <w:highlight w:val="none"/>
        </w:rPr>
      </w:pPr>
    </w:p>
    <w:p w14:paraId="0B6E710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注：</w:t>
      </w:r>
      <w:r>
        <w:rPr>
          <w:rFonts w:hint="eastAsia" w:ascii="仿宋" w:hAnsi="仿宋" w:eastAsia="仿宋" w:cs="仿宋"/>
          <w:color w:val="auto"/>
          <w:kern w:val="0"/>
          <w:sz w:val="24"/>
          <w:szCs w:val="24"/>
          <w:highlight w:val="none"/>
          <w:lang w:val="zh-CN"/>
        </w:rPr>
        <w:t>有关本项目实施所涉及的一切费用均计入报价。</w:t>
      </w:r>
      <w:r>
        <w:rPr>
          <w:rFonts w:hint="eastAsia" w:ascii="仿宋" w:hAnsi="仿宋" w:eastAsia="仿宋" w:cs="仿宋"/>
          <w:b/>
          <w:color w:val="auto"/>
          <w:kern w:val="0"/>
          <w:sz w:val="24"/>
          <w:szCs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szCs w:val="24"/>
          <w:highlight w:val="none"/>
          <w:lang w:val="zh-CN"/>
        </w:rPr>
        <w:t>，</w:t>
      </w:r>
      <w:r>
        <w:rPr>
          <w:rFonts w:hint="eastAsia" w:ascii="仿宋" w:hAnsi="仿宋" w:eastAsia="仿宋" w:cs="仿宋"/>
          <w:b/>
          <w:color w:val="auto"/>
          <w:kern w:val="0"/>
          <w:sz w:val="24"/>
          <w:szCs w:val="24"/>
          <w:highlight w:val="none"/>
          <w:lang w:val="zh-CN"/>
        </w:rPr>
        <w:t>不得出现“0元”“免费赠送”等形式的无偿报价，</w:t>
      </w:r>
      <w:r>
        <w:rPr>
          <w:rFonts w:hint="eastAsia" w:ascii="仿宋" w:hAnsi="仿宋" w:eastAsia="仿宋" w:cs="仿宋"/>
          <w:b/>
          <w:color w:val="auto"/>
          <w:kern w:val="0"/>
          <w:sz w:val="24"/>
          <w:szCs w:val="24"/>
          <w:highlight w:val="none"/>
        </w:rPr>
        <w:t>否则视为</w:t>
      </w:r>
      <w:r>
        <w:rPr>
          <w:rFonts w:hint="eastAsia" w:ascii="仿宋" w:hAnsi="仿宋" w:eastAsia="仿宋" w:cs="仿宋"/>
          <w:b/>
          <w:color w:val="auto"/>
          <w:sz w:val="24"/>
          <w:szCs w:val="24"/>
          <w:highlight w:val="none"/>
        </w:rPr>
        <w:t>投标文件含有采购人不能接受的附加条件的，投标无效</w:t>
      </w:r>
      <w:r>
        <w:rPr>
          <w:rFonts w:hint="eastAsia" w:ascii="仿宋" w:hAnsi="仿宋" w:eastAsia="仿宋" w:cs="仿宋"/>
          <w:b/>
          <w:color w:val="auto"/>
          <w:kern w:val="0"/>
          <w:sz w:val="24"/>
          <w:szCs w:val="24"/>
          <w:highlight w:val="none"/>
          <w:lang w:val="zh-CN"/>
        </w:rPr>
        <w:t>。</w:t>
      </w:r>
    </w:p>
    <w:p w14:paraId="40718B58">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color w:val="auto"/>
          <w:szCs w:val="21"/>
          <w:highlight w:val="none"/>
        </w:rPr>
      </w:pPr>
    </w:p>
    <w:p w14:paraId="2D9362CF">
      <w:pPr>
        <w:spacing w:line="600" w:lineRule="exact"/>
        <w:ind w:right="48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                                           投标人</w:t>
      </w:r>
      <w:r>
        <w:rPr>
          <w:rFonts w:hint="eastAsia" w:ascii="仿宋" w:hAnsi="仿宋" w:eastAsia="仿宋" w:cs="仿宋"/>
          <w:color w:val="auto"/>
          <w:szCs w:val="21"/>
          <w:highlight w:val="none"/>
        </w:rPr>
        <w:t>名称（电子签名）：</w:t>
      </w:r>
    </w:p>
    <w:p w14:paraId="73C11025">
      <w:pPr>
        <w:spacing w:line="6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 xml:space="preserve">法定代表人或授权委托人签字：            </w:t>
      </w:r>
    </w:p>
    <w:p w14:paraId="2EAF9376">
      <w:pPr>
        <w:spacing w:line="600" w:lineRule="exact"/>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年    月     日</w:t>
      </w:r>
    </w:p>
    <w:p w14:paraId="267A757B">
      <w:pPr>
        <w:rPr>
          <w:rFonts w:hint="eastAsia" w:ascii="仿宋" w:hAnsi="仿宋" w:eastAsia="仿宋" w:cs="仿宋"/>
          <w:color w:val="auto"/>
          <w:highlight w:val="none"/>
        </w:rPr>
      </w:pPr>
      <w:r>
        <w:rPr>
          <w:rFonts w:hint="eastAsia" w:ascii="仿宋" w:hAnsi="仿宋" w:eastAsia="仿宋" w:cs="仿宋"/>
          <w:color w:val="auto"/>
          <w:sz w:val="21"/>
          <w:szCs w:val="21"/>
          <w:highlight w:val="none"/>
        </w:rPr>
        <w:br w:type="page"/>
      </w:r>
    </w:p>
    <w:p w14:paraId="217191B1">
      <w:pPr>
        <w:adjustRightInd w:val="0"/>
        <w:snapToGrid w:val="0"/>
        <w:jc w:val="center"/>
        <w:textAlignment w:val="baseline"/>
        <w:rPr>
          <w:rFonts w:hint="eastAsia" w:ascii="仿宋" w:hAnsi="仿宋" w:eastAsia="仿宋" w:cs="仿宋"/>
          <w:b/>
          <w:color w:val="auto"/>
          <w:sz w:val="28"/>
          <w:szCs w:val="28"/>
          <w:highlight w:val="none"/>
        </w:rPr>
      </w:pPr>
    </w:p>
    <w:p w14:paraId="7125DA92">
      <w:pPr>
        <w:snapToGrid w:val="0"/>
        <w:spacing w:before="50" w:afterLines="50"/>
        <w:jc w:val="left"/>
        <w:rPr>
          <w:rFonts w:hint="eastAsia" w:ascii="仿宋" w:hAnsi="仿宋" w:eastAsia="仿宋" w:cs="仿宋"/>
          <w:bCs/>
          <w:color w:val="auto"/>
          <w:kern w:val="0"/>
          <w:sz w:val="21"/>
          <w:szCs w:val="21"/>
          <w:highlight w:val="none"/>
        </w:rPr>
      </w:pPr>
    </w:p>
    <w:p w14:paraId="5FD39DF9">
      <w:pPr>
        <w:snapToGrid w:val="0"/>
        <w:spacing w:line="360" w:lineRule="auto"/>
        <w:ind w:firstLine="586" w:firstLineChars="200"/>
        <w:jc w:val="left"/>
        <w:rPr>
          <w:rFonts w:hint="eastAsia" w:ascii="仿宋" w:hAnsi="仿宋" w:eastAsia="仿宋" w:cs="仿宋"/>
          <w:b/>
          <w:color w:val="auto"/>
          <w:spacing w:val="6"/>
          <w:sz w:val="28"/>
          <w:szCs w:val="28"/>
          <w:highlight w:val="none"/>
        </w:rPr>
      </w:pPr>
    </w:p>
    <w:p w14:paraId="0CE67EC4">
      <w:pPr>
        <w:snapToGrid w:val="0"/>
        <w:spacing w:line="360" w:lineRule="auto"/>
        <w:ind w:firstLine="667" w:firstLineChars="200"/>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lang w:val="en-US" w:eastAsia="zh-CN"/>
        </w:rPr>
        <w:t>二、</w:t>
      </w:r>
      <w:r>
        <w:rPr>
          <w:rFonts w:hint="eastAsia" w:ascii="仿宋" w:hAnsi="仿宋" w:eastAsia="仿宋" w:cs="仿宋"/>
          <w:b/>
          <w:color w:val="auto"/>
          <w:spacing w:val="6"/>
          <w:sz w:val="32"/>
          <w:szCs w:val="32"/>
          <w:highlight w:val="none"/>
        </w:rPr>
        <w:t>投标人针对报价需要说明的其他文件和说明（格式自拟）</w:t>
      </w:r>
    </w:p>
    <w:p w14:paraId="43AE4D84">
      <w:pPr>
        <w:spacing w:line="588" w:lineRule="exact"/>
        <w:rPr>
          <w:rFonts w:hint="eastAsia" w:ascii="仿宋" w:hAnsi="仿宋" w:eastAsia="仿宋" w:cs="仿宋"/>
          <w:color w:val="auto"/>
          <w:szCs w:val="21"/>
          <w:highlight w:val="none"/>
        </w:rPr>
      </w:pPr>
    </w:p>
    <w:p w14:paraId="714C1AAE">
      <w:pPr>
        <w:rPr>
          <w:rFonts w:hint="eastAsia" w:ascii="仿宋" w:hAnsi="仿宋" w:eastAsia="仿宋" w:cs="仿宋"/>
          <w:color w:val="auto"/>
          <w:highlight w:val="none"/>
        </w:rPr>
      </w:pPr>
    </w:p>
    <w:p w14:paraId="29AE7CB4">
      <w:pPr>
        <w:pStyle w:val="4"/>
        <w:rPr>
          <w:rFonts w:hint="eastAsia" w:ascii="仿宋" w:hAnsi="仿宋" w:eastAsia="仿宋" w:cs="仿宋"/>
          <w:color w:val="auto"/>
          <w:highlight w:val="none"/>
        </w:rPr>
      </w:pPr>
    </w:p>
    <w:p w14:paraId="309D0C16">
      <w:pPr>
        <w:rPr>
          <w:rFonts w:hint="eastAsia" w:ascii="仿宋" w:hAnsi="仿宋" w:eastAsia="仿宋" w:cs="仿宋"/>
          <w:color w:val="auto"/>
          <w:highlight w:val="none"/>
        </w:rPr>
      </w:pPr>
    </w:p>
    <w:p w14:paraId="4DDD8581">
      <w:pPr>
        <w:pStyle w:val="2"/>
        <w:rPr>
          <w:rFonts w:hint="eastAsia" w:ascii="仿宋" w:hAnsi="仿宋" w:eastAsia="仿宋" w:cs="仿宋"/>
          <w:color w:val="auto"/>
          <w:highlight w:val="none"/>
        </w:rPr>
      </w:pPr>
    </w:p>
    <w:p w14:paraId="1FCA7512">
      <w:pPr>
        <w:pStyle w:val="3"/>
        <w:rPr>
          <w:rFonts w:hint="eastAsia" w:ascii="仿宋" w:hAnsi="仿宋" w:eastAsia="仿宋" w:cs="仿宋"/>
          <w:color w:val="auto"/>
          <w:highlight w:val="none"/>
        </w:rPr>
      </w:pPr>
    </w:p>
    <w:p w14:paraId="50FB578A">
      <w:pPr>
        <w:rPr>
          <w:rFonts w:hint="eastAsia" w:ascii="仿宋" w:hAnsi="仿宋" w:eastAsia="仿宋" w:cs="仿宋"/>
          <w:color w:val="auto"/>
          <w:highlight w:val="none"/>
        </w:rPr>
      </w:pPr>
    </w:p>
    <w:p w14:paraId="0B068039">
      <w:pPr>
        <w:pStyle w:val="2"/>
        <w:rPr>
          <w:rFonts w:hint="eastAsia" w:ascii="仿宋" w:hAnsi="仿宋" w:eastAsia="仿宋" w:cs="仿宋"/>
          <w:color w:val="auto"/>
          <w:highlight w:val="none"/>
        </w:rPr>
      </w:pPr>
    </w:p>
    <w:p w14:paraId="7A2D25F1">
      <w:pPr>
        <w:pStyle w:val="3"/>
        <w:rPr>
          <w:rFonts w:hint="eastAsia" w:ascii="仿宋" w:hAnsi="仿宋" w:eastAsia="仿宋" w:cs="仿宋"/>
          <w:color w:val="auto"/>
          <w:highlight w:val="none"/>
        </w:rPr>
      </w:pPr>
    </w:p>
    <w:p w14:paraId="16927480">
      <w:pPr>
        <w:rPr>
          <w:rFonts w:hint="eastAsia" w:ascii="仿宋" w:hAnsi="仿宋" w:eastAsia="仿宋" w:cs="仿宋"/>
          <w:color w:val="auto"/>
          <w:highlight w:val="none"/>
        </w:rPr>
      </w:pPr>
    </w:p>
    <w:p w14:paraId="02EB5C4D">
      <w:pPr>
        <w:pStyle w:val="2"/>
        <w:rPr>
          <w:rFonts w:hint="eastAsia" w:ascii="仿宋" w:hAnsi="仿宋" w:eastAsia="仿宋" w:cs="仿宋"/>
          <w:color w:val="auto"/>
          <w:highlight w:val="none"/>
        </w:rPr>
      </w:pPr>
    </w:p>
    <w:p w14:paraId="7B5AC981">
      <w:pPr>
        <w:pStyle w:val="3"/>
        <w:rPr>
          <w:rFonts w:hint="eastAsia" w:ascii="仿宋" w:hAnsi="仿宋" w:eastAsia="仿宋" w:cs="仿宋"/>
          <w:color w:val="auto"/>
          <w:highlight w:val="none"/>
        </w:rPr>
      </w:pPr>
    </w:p>
    <w:p w14:paraId="5A01BB72">
      <w:pPr>
        <w:rPr>
          <w:rFonts w:hint="eastAsia" w:ascii="仿宋" w:hAnsi="仿宋" w:eastAsia="仿宋" w:cs="仿宋"/>
          <w:color w:val="auto"/>
          <w:highlight w:val="none"/>
        </w:rPr>
      </w:pPr>
    </w:p>
    <w:p w14:paraId="0897B499">
      <w:pPr>
        <w:pStyle w:val="2"/>
        <w:rPr>
          <w:rFonts w:hint="eastAsia" w:ascii="仿宋" w:hAnsi="仿宋" w:eastAsia="仿宋" w:cs="仿宋"/>
          <w:color w:val="auto"/>
          <w:highlight w:val="none"/>
        </w:rPr>
      </w:pPr>
    </w:p>
    <w:p w14:paraId="0E1A79F0">
      <w:pPr>
        <w:pStyle w:val="3"/>
        <w:rPr>
          <w:rFonts w:hint="eastAsia" w:ascii="仿宋" w:hAnsi="仿宋" w:eastAsia="仿宋" w:cs="仿宋"/>
          <w:color w:val="auto"/>
          <w:highlight w:val="none"/>
        </w:rPr>
      </w:pPr>
    </w:p>
    <w:p w14:paraId="1F81B982">
      <w:pPr>
        <w:rPr>
          <w:rFonts w:hint="eastAsia" w:ascii="仿宋" w:hAnsi="仿宋" w:eastAsia="仿宋" w:cs="仿宋"/>
          <w:color w:val="auto"/>
          <w:highlight w:val="none"/>
        </w:rPr>
      </w:pPr>
    </w:p>
    <w:p w14:paraId="205AB078">
      <w:pPr>
        <w:pStyle w:val="2"/>
        <w:rPr>
          <w:rFonts w:hint="eastAsia" w:ascii="仿宋" w:hAnsi="仿宋" w:eastAsia="仿宋" w:cs="仿宋"/>
          <w:color w:val="auto"/>
          <w:highlight w:val="none"/>
        </w:rPr>
      </w:pPr>
    </w:p>
    <w:p w14:paraId="2C5799EA">
      <w:pPr>
        <w:pStyle w:val="3"/>
        <w:rPr>
          <w:rFonts w:hint="eastAsia" w:ascii="仿宋" w:hAnsi="仿宋" w:eastAsia="仿宋" w:cs="仿宋"/>
          <w:color w:val="auto"/>
          <w:highlight w:val="none"/>
        </w:rPr>
      </w:pPr>
    </w:p>
    <w:p w14:paraId="42DBBC9F">
      <w:pPr>
        <w:rPr>
          <w:rFonts w:hint="eastAsia" w:ascii="仿宋" w:hAnsi="仿宋" w:eastAsia="仿宋" w:cs="仿宋"/>
          <w:color w:val="auto"/>
          <w:highlight w:val="none"/>
        </w:rPr>
      </w:pPr>
    </w:p>
    <w:p w14:paraId="6D9AB52B">
      <w:pPr>
        <w:pStyle w:val="2"/>
        <w:rPr>
          <w:rFonts w:hint="eastAsia" w:ascii="仿宋" w:hAnsi="仿宋" w:eastAsia="仿宋" w:cs="仿宋"/>
          <w:color w:val="auto"/>
          <w:highlight w:val="none"/>
        </w:rPr>
      </w:pPr>
    </w:p>
    <w:p w14:paraId="79C60C92">
      <w:pPr>
        <w:pStyle w:val="3"/>
        <w:rPr>
          <w:rFonts w:hint="eastAsia" w:ascii="仿宋" w:hAnsi="仿宋" w:eastAsia="仿宋" w:cs="仿宋"/>
          <w:color w:val="auto"/>
          <w:highlight w:val="none"/>
        </w:rPr>
      </w:pPr>
    </w:p>
    <w:p w14:paraId="56080156">
      <w:pPr>
        <w:rPr>
          <w:rFonts w:hint="eastAsia" w:ascii="仿宋" w:hAnsi="仿宋" w:eastAsia="仿宋" w:cs="仿宋"/>
          <w:color w:val="auto"/>
          <w:highlight w:val="none"/>
        </w:rPr>
      </w:pPr>
    </w:p>
    <w:p w14:paraId="7750FD49">
      <w:pPr>
        <w:pStyle w:val="2"/>
        <w:rPr>
          <w:rFonts w:hint="eastAsia" w:ascii="仿宋" w:hAnsi="仿宋" w:eastAsia="仿宋" w:cs="仿宋"/>
          <w:color w:val="auto"/>
          <w:highlight w:val="none"/>
        </w:rPr>
      </w:pPr>
    </w:p>
    <w:p w14:paraId="42DDBF4C">
      <w:pPr>
        <w:pStyle w:val="3"/>
        <w:rPr>
          <w:rFonts w:hint="eastAsia" w:ascii="仿宋" w:hAnsi="仿宋" w:eastAsia="仿宋" w:cs="仿宋"/>
          <w:color w:val="auto"/>
          <w:highlight w:val="none"/>
        </w:rPr>
      </w:pPr>
    </w:p>
    <w:p w14:paraId="29D4F2AB">
      <w:pPr>
        <w:rPr>
          <w:rFonts w:hint="eastAsia" w:ascii="仿宋" w:hAnsi="仿宋" w:eastAsia="仿宋" w:cs="仿宋"/>
          <w:color w:val="auto"/>
          <w:highlight w:val="none"/>
        </w:rPr>
      </w:pPr>
    </w:p>
    <w:p w14:paraId="551CEB8F">
      <w:pPr>
        <w:pStyle w:val="2"/>
        <w:rPr>
          <w:rFonts w:hint="eastAsia" w:ascii="仿宋" w:hAnsi="仿宋" w:eastAsia="仿宋" w:cs="仿宋"/>
          <w:color w:val="auto"/>
          <w:highlight w:val="none"/>
        </w:rPr>
      </w:pPr>
    </w:p>
    <w:p w14:paraId="039F2535">
      <w:pPr>
        <w:pStyle w:val="3"/>
        <w:rPr>
          <w:rFonts w:hint="eastAsia" w:ascii="仿宋" w:hAnsi="仿宋" w:eastAsia="仿宋" w:cs="仿宋"/>
          <w:color w:val="auto"/>
          <w:highlight w:val="none"/>
        </w:rPr>
      </w:pPr>
    </w:p>
    <w:p w14:paraId="6BEA28D3">
      <w:pPr>
        <w:rPr>
          <w:rFonts w:hint="eastAsia" w:ascii="仿宋" w:hAnsi="仿宋" w:eastAsia="仿宋" w:cs="仿宋"/>
          <w:color w:val="auto"/>
          <w:highlight w:val="none"/>
        </w:rPr>
      </w:pPr>
    </w:p>
    <w:p w14:paraId="3FC854E2">
      <w:pPr>
        <w:pStyle w:val="2"/>
        <w:rPr>
          <w:rFonts w:hint="eastAsia" w:ascii="仿宋" w:hAnsi="仿宋" w:eastAsia="仿宋" w:cs="仿宋"/>
          <w:color w:val="auto"/>
          <w:highlight w:val="none"/>
        </w:rPr>
      </w:pPr>
    </w:p>
    <w:p w14:paraId="2CA42DA7">
      <w:pPr>
        <w:pStyle w:val="3"/>
        <w:rPr>
          <w:rFonts w:hint="eastAsia" w:ascii="仿宋" w:hAnsi="仿宋" w:eastAsia="仿宋" w:cs="仿宋"/>
          <w:color w:val="auto"/>
          <w:highlight w:val="none"/>
        </w:rPr>
      </w:pPr>
    </w:p>
    <w:p w14:paraId="00CB7AA4">
      <w:pPr>
        <w:rPr>
          <w:rFonts w:hint="eastAsia" w:ascii="仿宋" w:hAnsi="仿宋" w:eastAsia="仿宋" w:cs="仿宋"/>
          <w:color w:val="auto"/>
          <w:highlight w:val="none"/>
        </w:rPr>
      </w:pPr>
    </w:p>
    <w:p w14:paraId="225E32AE">
      <w:pPr>
        <w:pStyle w:val="2"/>
        <w:rPr>
          <w:rFonts w:hint="eastAsia" w:ascii="仿宋" w:hAnsi="仿宋" w:eastAsia="仿宋" w:cs="仿宋"/>
          <w:color w:val="auto"/>
          <w:highlight w:val="none"/>
        </w:rPr>
      </w:pPr>
    </w:p>
    <w:p w14:paraId="2CB089E0">
      <w:pPr>
        <w:pStyle w:val="3"/>
        <w:rPr>
          <w:rFonts w:hint="eastAsia"/>
        </w:rPr>
      </w:pPr>
    </w:p>
    <w:p w14:paraId="2C2C61E3">
      <w:pPr>
        <w:rPr>
          <w:rFonts w:hint="eastAsia" w:ascii="仿宋" w:hAnsi="仿宋" w:eastAsia="仿宋" w:cs="仿宋"/>
          <w:color w:val="auto"/>
          <w:highlight w:val="none"/>
        </w:rPr>
      </w:pPr>
    </w:p>
    <w:p w14:paraId="26BA1D50">
      <w:pPr>
        <w:pStyle w:val="2"/>
        <w:rPr>
          <w:rFonts w:hint="eastAsia"/>
          <w:color w:val="auto"/>
          <w:highlight w:val="none"/>
        </w:rPr>
      </w:pPr>
    </w:p>
    <w:p w14:paraId="3A5A0F6D">
      <w:pPr>
        <w:rPr>
          <w:rFonts w:hint="eastAsia" w:ascii="仿宋" w:hAnsi="仿宋" w:eastAsia="仿宋" w:cs="仿宋"/>
          <w:color w:val="auto"/>
          <w:highlight w:val="none"/>
        </w:rPr>
      </w:pPr>
    </w:p>
    <w:p w14:paraId="41BE802E">
      <w:pPr>
        <w:pStyle w:val="15"/>
        <w:keepNext w:val="0"/>
        <w:keepLines w:val="0"/>
        <w:pageBreakBefore w:val="0"/>
        <w:widowControl w:val="0"/>
        <w:kinsoku/>
        <w:wordWrap/>
        <w:overflowPunct/>
        <w:topLinePunct w:val="0"/>
        <w:autoSpaceDE/>
        <w:autoSpaceDN/>
        <w:bidi w:val="0"/>
        <w:adjustRightInd/>
        <w:snapToGrid/>
        <w:spacing w:line="440" w:lineRule="exact"/>
        <w:ind w:firstLine="360"/>
        <w:jc w:val="center"/>
        <w:textAlignment w:val="auto"/>
        <w:rPr>
          <w:rFonts w:hint="eastAsia" w:ascii="仿宋" w:hAnsi="仿宋" w:eastAsia="仿宋" w:cs="仿宋"/>
          <w:color w:val="auto"/>
          <w:sz w:val="36"/>
          <w:szCs w:val="36"/>
          <w:highlight w:val="none"/>
        </w:rPr>
      </w:pPr>
    </w:p>
    <w:p w14:paraId="51B67F0D">
      <w:pPr>
        <w:pStyle w:val="15"/>
        <w:keepNext w:val="0"/>
        <w:keepLines w:val="0"/>
        <w:pageBreakBefore w:val="0"/>
        <w:widowControl w:val="0"/>
        <w:kinsoku/>
        <w:wordWrap/>
        <w:overflowPunct/>
        <w:topLinePunct w:val="0"/>
        <w:autoSpaceDE/>
        <w:autoSpaceDN/>
        <w:bidi w:val="0"/>
        <w:adjustRightInd/>
        <w:snapToGrid/>
        <w:spacing w:line="440" w:lineRule="exact"/>
        <w:ind w:firstLine="360"/>
        <w:jc w:val="center"/>
        <w:textAlignment w:val="auto"/>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采购活动现场确认声明书</w:t>
      </w:r>
    </w:p>
    <w:p w14:paraId="7253734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（此声明书投标文件中不用做，开标后供应商通过邮件形式将经授权代表签署的《采购活动现场确认声明书》扫描件发至代理机构经办人邮箱</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"mailto:360745117@qq.com"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1039652341@qq.com</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，联系人：任燕，电话：0575-83338198）</w:t>
      </w:r>
    </w:p>
    <w:p w14:paraId="7E6568F6">
      <w:pPr>
        <w:pStyle w:val="49"/>
        <w:keepNext w:val="0"/>
        <w:keepLines w:val="0"/>
        <w:pageBreakBefore w:val="0"/>
        <w:kinsoku/>
        <w:wordWrap/>
        <w:overflowPunct/>
        <w:topLinePunct w:val="0"/>
        <w:autoSpaceDE/>
        <w:autoSpaceDN/>
        <w:bidi w:val="0"/>
        <w:adjustRightInd/>
        <w:snapToGrid w:val="0"/>
        <w:spacing w:beforeLines="100" w:line="460" w:lineRule="exact"/>
        <w:textAlignment w:val="auto"/>
        <w:rPr>
          <w:rFonts w:hint="eastAsia" w:ascii="仿宋" w:hAnsi="仿宋" w:eastAsia="仿宋" w:cs="仿宋"/>
          <w:b/>
          <w:color w:val="auto"/>
          <w:szCs w:val="24"/>
          <w:highlight w:val="none"/>
        </w:rPr>
      </w:pPr>
      <w:r>
        <w:rPr>
          <w:rFonts w:hint="eastAsia" w:ascii="仿宋" w:hAnsi="仿宋" w:eastAsia="仿宋" w:cs="仿宋"/>
          <w:color w:val="auto"/>
          <w:kern w:val="0"/>
          <w:szCs w:val="24"/>
          <w:highlight w:val="none"/>
        </w:rPr>
        <w:t>（采</w:t>
      </w:r>
      <w:r>
        <w:rPr>
          <w:rFonts w:hint="eastAsia" w:ascii="仿宋" w:hAnsi="仿宋" w:eastAsia="仿宋" w:cs="仿宋"/>
          <w:color w:val="auto"/>
          <w:kern w:val="0"/>
          <w:szCs w:val="24"/>
          <w:highlight w:val="none"/>
          <w:lang w:val="en-US" w:eastAsia="zh-CN"/>
        </w:rPr>
        <w:t>购代理</w:t>
      </w:r>
      <w:r>
        <w:rPr>
          <w:rFonts w:hint="eastAsia" w:ascii="仿宋" w:hAnsi="仿宋" w:eastAsia="仿宋" w:cs="仿宋"/>
          <w:color w:val="auto"/>
          <w:kern w:val="0"/>
          <w:szCs w:val="24"/>
          <w:highlight w:val="none"/>
        </w:rPr>
        <w:t>机构名称）：</w:t>
      </w:r>
    </w:p>
    <w:p w14:paraId="62A27CA9">
      <w:pPr>
        <w:keepNext w:val="0"/>
        <w:keepLines w:val="0"/>
        <w:pageBreakBefore w:val="0"/>
        <w:tabs>
          <w:tab w:val="left" w:pos="9640"/>
        </w:tabs>
        <w:kinsoku/>
        <w:wordWrap/>
        <w:overflowPunct/>
        <w:topLinePunct w:val="0"/>
        <w:autoSpaceDE/>
        <w:autoSpaceDN/>
        <w:bidi w:val="0"/>
        <w:adjustRightInd/>
        <w:spacing w:line="460" w:lineRule="exact"/>
        <w:ind w:firstLine="504"/>
        <w:jc w:val="left"/>
        <w:textAlignment w:val="auto"/>
        <w:rPr>
          <w:rFonts w:hint="eastAsia" w:ascii="仿宋" w:hAnsi="仿宋" w:eastAsia="仿宋" w:cs="仿宋"/>
          <w:color w:val="auto"/>
          <w:spacing w:val="6"/>
          <w:highlight w:val="none"/>
        </w:rPr>
      </w:pPr>
      <w:r>
        <w:rPr>
          <w:rFonts w:hint="eastAsia" w:ascii="仿宋" w:hAnsi="仿宋" w:eastAsia="仿宋" w:cs="仿宋"/>
          <w:color w:val="auto"/>
          <w:spacing w:val="6"/>
          <w:highlight w:val="none"/>
        </w:rPr>
        <w:t xml:space="preserve"> 本人（授权代表姓名）经由（单位</w:t>
      </w:r>
      <w:r>
        <w:rPr>
          <w:rFonts w:hint="eastAsia" w:ascii="仿宋" w:hAnsi="仿宋" w:eastAsia="仿宋" w:cs="仿宋"/>
          <w:color w:val="auto"/>
          <w:spacing w:val="6"/>
          <w:highlight w:val="none"/>
          <w:lang w:val="en-US" w:eastAsia="zh-CN"/>
        </w:rPr>
        <w:t xml:space="preserve">         </w:t>
      </w:r>
      <w:r>
        <w:rPr>
          <w:rFonts w:hint="eastAsia" w:ascii="仿宋" w:hAnsi="仿宋" w:eastAsia="仿宋" w:cs="仿宋"/>
          <w:color w:val="auto"/>
          <w:spacing w:val="6"/>
          <w:highlight w:val="none"/>
        </w:rPr>
        <w:t>) （法定代表人姓名）合法授权参加</w:t>
      </w:r>
      <w:r>
        <w:rPr>
          <w:rFonts w:hint="eastAsia" w:ascii="仿宋" w:hAnsi="仿宋" w:eastAsia="仿宋" w:cs="仿宋"/>
          <w:color w:val="auto"/>
          <w:spacing w:val="6"/>
          <w:highlight w:val="none"/>
          <w:u w:val="single"/>
          <w:lang w:val="en-US" w:eastAsia="zh-CN"/>
        </w:rPr>
        <w:t xml:space="preserve">            </w:t>
      </w:r>
      <w:r>
        <w:rPr>
          <w:rFonts w:hint="eastAsia" w:ascii="仿宋" w:hAnsi="仿宋" w:eastAsia="仿宋" w:cs="仿宋"/>
          <w:color w:val="auto"/>
          <w:kern w:val="0"/>
          <w:highlight w:val="none"/>
          <w:u w:val="single"/>
        </w:rPr>
        <w:t>项目</w:t>
      </w:r>
      <w:r>
        <w:rPr>
          <w:rFonts w:hint="eastAsia" w:ascii="仿宋" w:hAnsi="仿宋" w:eastAsia="仿宋" w:cs="仿宋"/>
          <w:color w:val="auto"/>
          <w:spacing w:val="6"/>
          <w:highlight w:val="none"/>
        </w:rPr>
        <w:t>（</w:t>
      </w:r>
      <w:r>
        <w:rPr>
          <w:rFonts w:hint="eastAsia" w:ascii="仿宋" w:hAnsi="仿宋" w:eastAsia="仿宋" w:cs="仿宋"/>
          <w:color w:val="auto"/>
          <w:spacing w:val="6"/>
          <w:highlight w:val="none"/>
          <w:lang w:val="en-US" w:eastAsia="zh-CN"/>
        </w:rPr>
        <w:t>项目</w:t>
      </w:r>
      <w:r>
        <w:rPr>
          <w:rFonts w:hint="eastAsia" w:ascii="仿宋" w:hAnsi="仿宋" w:eastAsia="仿宋" w:cs="仿宋"/>
          <w:color w:val="auto"/>
          <w:spacing w:val="6"/>
          <w:highlight w:val="none"/>
        </w:rPr>
        <w:t>编号：</w:t>
      </w:r>
      <w:r>
        <w:rPr>
          <w:rFonts w:hint="eastAsia" w:ascii="仿宋" w:hAnsi="仿宋" w:eastAsia="仿宋" w:cs="仿宋"/>
          <w:color w:val="auto"/>
          <w:spacing w:val="6"/>
          <w:highlight w:val="none"/>
          <w:lang w:val="en-US" w:eastAsia="zh-CN"/>
        </w:rPr>
        <w:t xml:space="preserve">         </w:t>
      </w:r>
      <w:r>
        <w:rPr>
          <w:rFonts w:hint="eastAsia" w:ascii="仿宋" w:hAnsi="仿宋" w:eastAsia="仿宋" w:cs="仿宋"/>
          <w:color w:val="auto"/>
          <w:spacing w:val="6"/>
          <w:highlight w:val="none"/>
        </w:rPr>
        <w:t xml:space="preserve">）采购活动，经与本单位法人代表（负责人）联系确认，现就有关公平竞争事项郑重声明如下： </w:t>
      </w:r>
    </w:p>
    <w:p w14:paraId="775D29C3">
      <w:pPr>
        <w:pStyle w:val="50"/>
        <w:keepNext w:val="0"/>
        <w:keepLines w:val="0"/>
        <w:pageBreakBefore w:val="0"/>
        <w:widowControl/>
        <w:numPr>
          <w:ilvl w:val="0"/>
          <w:numId w:val="11"/>
        </w:numPr>
        <w:kinsoku/>
        <w:wordWrap/>
        <w:overflowPunct/>
        <w:topLinePunct w:val="0"/>
        <w:autoSpaceDE/>
        <w:autoSpaceDN/>
        <w:bidi w:val="0"/>
        <w:adjustRightInd/>
        <w:snapToGrid w:val="0"/>
        <w:spacing w:line="460" w:lineRule="exact"/>
        <w:ind w:firstLine="453" w:firstLineChars="189"/>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 xml:space="preserve">本单位与采购人之间 </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rPr>
        <w:t>不存在利害关系 □存在下列利害关系：</w:t>
      </w:r>
    </w:p>
    <w:p w14:paraId="75CE39B4">
      <w:pPr>
        <w:pStyle w:val="50"/>
        <w:keepNext w:val="0"/>
        <w:keepLines w:val="0"/>
        <w:pageBreakBefore w:val="0"/>
        <w:widowControl/>
        <w:kinsoku/>
        <w:wordWrap/>
        <w:overflowPunct/>
        <w:topLinePunct w:val="0"/>
        <w:autoSpaceDE/>
        <w:autoSpaceDN/>
        <w:bidi w:val="0"/>
        <w:adjustRightInd/>
        <w:snapToGrid w:val="0"/>
        <w:spacing w:line="460" w:lineRule="exact"/>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 xml:space="preserve">    A.投资关系    B.行政隶属关系    C.业务指导关系</w:t>
      </w:r>
    </w:p>
    <w:p w14:paraId="7D238980">
      <w:pPr>
        <w:pStyle w:val="50"/>
        <w:keepNext w:val="0"/>
        <w:keepLines w:val="0"/>
        <w:pageBreakBefore w:val="0"/>
        <w:widowControl/>
        <w:kinsoku/>
        <w:wordWrap/>
        <w:overflowPunct/>
        <w:topLinePunct w:val="0"/>
        <w:autoSpaceDE/>
        <w:autoSpaceDN/>
        <w:bidi w:val="0"/>
        <w:adjustRightInd/>
        <w:snapToGrid w:val="0"/>
        <w:spacing w:line="460" w:lineRule="exact"/>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 xml:space="preserve">    D.其他可能</w:t>
      </w:r>
      <w:r>
        <w:rPr>
          <w:rFonts w:hint="eastAsia" w:ascii="仿宋" w:hAnsi="仿宋" w:eastAsia="仿宋" w:cs="仿宋"/>
          <w:color w:val="auto"/>
          <w:szCs w:val="24"/>
          <w:highlight w:val="none"/>
        </w:rPr>
        <w:t>影响采购公正的</w:t>
      </w:r>
      <w:r>
        <w:rPr>
          <w:rFonts w:hint="eastAsia" w:ascii="仿宋" w:hAnsi="仿宋" w:eastAsia="仿宋" w:cs="仿宋"/>
          <w:color w:val="auto"/>
          <w:kern w:val="0"/>
          <w:szCs w:val="24"/>
          <w:highlight w:val="none"/>
        </w:rPr>
        <w:t>利害关系</w:t>
      </w:r>
      <w:r>
        <w:rPr>
          <w:rFonts w:hint="eastAsia" w:ascii="仿宋" w:hAnsi="仿宋" w:eastAsia="仿宋" w:cs="仿宋"/>
          <w:color w:val="auto"/>
          <w:kern w:val="0"/>
          <w:szCs w:val="24"/>
          <w:highlight w:val="none"/>
          <w:u w:val="single"/>
        </w:rPr>
        <w:t>（如有，请如实说明）</w:t>
      </w:r>
      <w:r>
        <w:rPr>
          <w:rFonts w:hint="eastAsia" w:ascii="仿宋" w:hAnsi="仿宋" w:eastAsia="仿宋" w:cs="仿宋"/>
          <w:color w:val="auto"/>
          <w:kern w:val="0"/>
          <w:szCs w:val="24"/>
          <w:highlight w:val="none"/>
        </w:rPr>
        <w:t>。</w:t>
      </w:r>
    </w:p>
    <w:p w14:paraId="3A70772C">
      <w:pPr>
        <w:pStyle w:val="50"/>
        <w:keepNext w:val="0"/>
        <w:keepLines w:val="0"/>
        <w:pageBreakBefore w:val="0"/>
        <w:widowControl/>
        <w:kinsoku/>
        <w:wordWrap/>
        <w:overflowPunct/>
        <w:topLinePunct w:val="0"/>
        <w:autoSpaceDE/>
        <w:autoSpaceDN/>
        <w:bidi w:val="0"/>
        <w:adjustRightInd/>
        <w:snapToGrid w:val="0"/>
        <w:spacing w:line="460" w:lineRule="exact"/>
        <w:textAlignment w:val="auto"/>
        <w:rPr>
          <w:rFonts w:hint="eastAsia" w:ascii="仿宋" w:hAnsi="仿宋" w:eastAsia="仿宋" w:cs="仿宋"/>
          <w:color w:val="auto"/>
          <w:kern w:val="0"/>
          <w:szCs w:val="24"/>
          <w:highlight w:val="none"/>
        </w:rPr>
      </w:pPr>
      <w:r>
        <w:rPr>
          <w:rFonts w:hint="eastAsia" w:ascii="仿宋" w:hAnsi="仿宋" w:eastAsia="仿宋" w:cs="仿宋"/>
          <w:color w:val="auto"/>
          <w:spacing w:val="6"/>
          <w:szCs w:val="24"/>
          <w:highlight w:val="none"/>
        </w:rPr>
        <w:t xml:space="preserve">    二、</w:t>
      </w:r>
      <w:r>
        <w:rPr>
          <w:rFonts w:hint="eastAsia" w:ascii="仿宋" w:hAnsi="仿宋" w:eastAsia="仿宋" w:cs="仿宋"/>
          <w:color w:val="auto"/>
          <w:kern w:val="0"/>
          <w:szCs w:val="24"/>
          <w:highlight w:val="none"/>
        </w:rPr>
        <w:t>现已清楚知道参加本项目采购活动的其他所有供应商名称，本单位□与其他所有供应商之间均不存在利害关系 □与</w:t>
      </w:r>
      <w:r>
        <w:rPr>
          <w:rFonts w:hint="eastAsia" w:ascii="仿宋" w:hAnsi="仿宋" w:eastAsia="仿宋" w:cs="仿宋"/>
          <w:color w:val="auto"/>
          <w:kern w:val="0"/>
          <w:szCs w:val="24"/>
          <w:highlight w:val="none"/>
          <w:u w:val="single"/>
        </w:rPr>
        <w:t xml:space="preserve">                        （供应商名称) </w:t>
      </w:r>
      <w:r>
        <w:rPr>
          <w:rFonts w:hint="eastAsia" w:ascii="仿宋" w:hAnsi="仿宋" w:eastAsia="仿宋" w:cs="仿宋"/>
          <w:color w:val="auto"/>
          <w:kern w:val="0"/>
          <w:szCs w:val="24"/>
          <w:highlight w:val="none"/>
        </w:rPr>
        <w:t>之间存在下列利害关系：</w:t>
      </w:r>
    </w:p>
    <w:p w14:paraId="33CF372E">
      <w:pPr>
        <w:pStyle w:val="49"/>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 xml:space="preserve">    A.法定代表人或负责人或实际控制人是同一人</w:t>
      </w:r>
    </w:p>
    <w:p w14:paraId="2BD3B6D0">
      <w:pPr>
        <w:pStyle w:val="49"/>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int="eastAsia" w:ascii="仿宋" w:hAnsi="仿宋" w:eastAsia="仿宋" w:cs="仿宋"/>
          <w:color w:val="auto"/>
          <w:spacing w:val="6"/>
          <w:szCs w:val="24"/>
          <w:highlight w:val="none"/>
        </w:rPr>
      </w:pPr>
      <w:r>
        <w:rPr>
          <w:rFonts w:hint="eastAsia" w:ascii="仿宋" w:hAnsi="仿宋" w:eastAsia="仿宋" w:cs="仿宋"/>
          <w:color w:val="auto"/>
          <w:kern w:val="0"/>
          <w:szCs w:val="24"/>
          <w:highlight w:val="none"/>
        </w:rPr>
        <w:t xml:space="preserve">    B.法定代表人或负责人或实际控制人是夫妻关系</w:t>
      </w:r>
    </w:p>
    <w:p w14:paraId="033F18A4">
      <w:pPr>
        <w:pStyle w:val="49"/>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int="eastAsia" w:ascii="仿宋" w:hAnsi="仿宋" w:eastAsia="仿宋" w:cs="仿宋"/>
          <w:color w:val="auto"/>
          <w:spacing w:val="6"/>
          <w:szCs w:val="24"/>
          <w:highlight w:val="none"/>
        </w:rPr>
      </w:pPr>
      <w:r>
        <w:rPr>
          <w:rFonts w:hint="eastAsia" w:ascii="仿宋" w:hAnsi="仿宋" w:eastAsia="仿宋" w:cs="仿宋"/>
          <w:color w:val="auto"/>
          <w:kern w:val="0"/>
          <w:szCs w:val="24"/>
          <w:highlight w:val="none"/>
        </w:rPr>
        <w:t xml:space="preserve">    C.法定代表人或负责人或实际控制人是直系血亲关系</w:t>
      </w:r>
    </w:p>
    <w:p w14:paraId="6105E7CD">
      <w:pPr>
        <w:pStyle w:val="49"/>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int="eastAsia" w:ascii="仿宋" w:hAnsi="仿宋" w:eastAsia="仿宋" w:cs="仿宋"/>
          <w:color w:val="auto"/>
          <w:spacing w:val="6"/>
          <w:szCs w:val="24"/>
          <w:highlight w:val="none"/>
        </w:rPr>
      </w:pPr>
      <w:r>
        <w:rPr>
          <w:rFonts w:hint="eastAsia" w:ascii="仿宋" w:hAnsi="仿宋" w:eastAsia="仿宋" w:cs="仿宋"/>
          <w:color w:val="auto"/>
          <w:kern w:val="0"/>
          <w:szCs w:val="24"/>
          <w:highlight w:val="none"/>
        </w:rPr>
        <w:t xml:space="preserve">    D.法定代表人或负责人或实际控制人存在三代以内旁系血亲关系</w:t>
      </w:r>
    </w:p>
    <w:p w14:paraId="6D607353">
      <w:pPr>
        <w:pStyle w:val="49"/>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E.法定代表人或负责人或实际控制人存在近姻亲关系</w:t>
      </w:r>
    </w:p>
    <w:p w14:paraId="346D7907">
      <w:pPr>
        <w:pStyle w:val="49"/>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 xml:space="preserve">    F.法定代表人或负责人或实际控制人存在股份控制或实际控制关系</w:t>
      </w:r>
    </w:p>
    <w:p w14:paraId="2A5E0BF5">
      <w:pPr>
        <w:pStyle w:val="49"/>
        <w:keepNext w:val="0"/>
        <w:keepLines w:val="0"/>
        <w:pageBreakBefore w:val="0"/>
        <w:widowControl w:val="0"/>
        <w:kinsoku/>
        <w:wordWrap/>
        <w:overflowPunct/>
        <w:topLinePunct w:val="0"/>
        <w:autoSpaceDE/>
        <w:autoSpaceDN/>
        <w:bidi w:val="0"/>
        <w:adjustRightInd/>
        <w:snapToGrid w:val="0"/>
        <w:spacing w:line="460" w:lineRule="exact"/>
        <w:jc w:val="both"/>
        <w:textAlignment w:val="auto"/>
        <w:outlineLvl w:val="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 xml:space="preserve">    G.存在共同直接或间接投资设立子公司、联营企业和合营企业情况</w:t>
      </w:r>
    </w:p>
    <w:p w14:paraId="14641ED8">
      <w:pPr>
        <w:pStyle w:val="49"/>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 xml:space="preserve">    H.存在分级代理或代销关系、同一生产制造商关系、</w:t>
      </w:r>
      <w:r>
        <w:rPr>
          <w:rFonts w:hint="eastAsia" w:ascii="仿宋" w:hAnsi="仿宋" w:eastAsia="仿宋" w:cs="仿宋"/>
          <w:color w:val="auto"/>
          <w:szCs w:val="24"/>
          <w:highlight w:val="none"/>
        </w:rPr>
        <w:t>管理关系、重要业务（占主营业务收入50%以上）或重要财务往来关系（如融资）等其他实质性控制关系</w:t>
      </w:r>
    </w:p>
    <w:p w14:paraId="16B7439F">
      <w:pPr>
        <w:pStyle w:val="49"/>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int="eastAsia" w:ascii="仿宋" w:hAnsi="仿宋" w:eastAsia="仿宋" w:cs="仿宋"/>
          <w:color w:val="auto"/>
          <w:spacing w:val="6"/>
          <w:szCs w:val="24"/>
          <w:highlight w:val="none"/>
        </w:rPr>
      </w:pPr>
      <w:r>
        <w:rPr>
          <w:rFonts w:hint="eastAsia" w:ascii="仿宋" w:hAnsi="仿宋" w:eastAsia="仿宋" w:cs="仿宋"/>
          <w:color w:val="auto"/>
          <w:szCs w:val="24"/>
          <w:highlight w:val="none"/>
        </w:rPr>
        <w:t xml:space="preserve">    I</w:t>
      </w:r>
      <w:r>
        <w:rPr>
          <w:rFonts w:hint="eastAsia" w:ascii="仿宋" w:hAnsi="仿宋" w:eastAsia="仿宋" w:cs="仿宋"/>
          <w:color w:val="auto"/>
          <w:kern w:val="0"/>
          <w:szCs w:val="24"/>
          <w:highlight w:val="none"/>
        </w:rPr>
        <w:t>.</w:t>
      </w:r>
      <w:r>
        <w:rPr>
          <w:rFonts w:hint="eastAsia" w:ascii="仿宋" w:hAnsi="仿宋" w:eastAsia="仿宋" w:cs="仿宋"/>
          <w:color w:val="auto"/>
          <w:szCs w:val="24"/>
          <w:highlight w:val="none"/>
        </w:rPr>
        <w:t>其他利害关系情况</w:t>
      </w:r>
      <w:r>
        <w:rPr>
          <w:rFonts w:hint="eastAsia" w:ascii="仿宋" w:hAnsi="仿宋" w:eastAsia="仿宋" w:cs="仿宋"/>
          <w:color w:val="auto"/>
          <w:kern w:val="0"/>
          <w:szCs w:val="24"/>
          <w:highlight w:val="none"/>
        </w:rPr>
        <w:t>。</w:t>
      </w:r>
    </w:p>
    <w:p w14:paraId="3557B009">
      <w:pPr>
        <w:pStyle w:val="50"/>
        <w:keepNext w:val="0"/>
        <w:keepLines w:val="0"/>
        <w:pageBreakBefore w:val="0"/>
        <w:widowControl/>
        <w:numPr>
          <w:ilvl w:val="0"/>
          <w:numId w:val="12"/>
        </w:numPr>
        <w:kinsoku/>
        <w:wordWrap/>
        <w:overflowPunct/>
        <w:topLinePunct w:val="0"/>
        <w:autoSpaceDE/>
        <w:autoSpaceDN/>
        <w:bidi w:val="0"/>
        <w:adjustRightInd/>
        <w:snapToGrid w:val="0"/>
        <w:spacing w:line="460" w:lineRule="exact"/>
        <w:ind w:firstLine="453" w:firstLineChars="189"/>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我发现</w:t>
      </w:r>
      <w:r>
        <w:rPr>
          <w:rFonts w:hint="eastAsia" w:ascii="仿宋" w:hAnsi="仿宋" w:eastAsia="仿宋" w:cs="仿宋"/>
          <w:color w:val="auto"/>
          <w:kern w:val="0"/>
          <w:szCs w:val="24"/>
          <w:highlight w:val="none"/>
          <w:u w:val="single"/>
          <w:lang w:val="en-US" w:eastAsia="zh-CN"/>
        </w:rPr>
        <w:t xml:space="preserve">        </w:t>
      </w:r>
      <w:r>
        <w:rPr>
          <w:rFonts w:hint="eastAsia" w:ascii="仿宋" w:hAnsi="仿宋" w:eastAsia="仿宋" w:cs="仿宋"/>
          <w:color w:val="auto"/>
          <w:kern w:val="0"/>
          <w:szCs w:val="24"/>
          <w:highlight w:val="none"/>
        </w:rPr>
        <w:t>供应商之间存在或可能存在上述第二条第</w:t>
      </w:r>
      <w:r>
        <w:rPr>
          <w:rFonts w:hint="eastAsia" w:ascii="仿宋" w:hAnsi="仿宋" w:eastAsia="仿宋" w:cs="仿宋"/>
          <w:color w:val="auto"/>
          <w:kern w:val="0"/>
          <w:szCs w:val="24"/>
          <w:highlight w:val="none"/>
          <w:u w:val="single"/>
          <w:lang w:val="en-US" w:eastAsia="zh-CN"/>
        </w:rPr>
        <w:t xml:space="preserve">    </w:t>
      </w:r>
      <w:r>
        <w:rPr>
          <w:rFonts w:hint="eastAsia" w:ascii="仿宋" w:hAnsi="仿宋" w:eastAsia="仿宋" w:cs="仿宋"/>
          <w:color w:val="auto"/>
          <w:kern w:val="0"/>
          <w:szCs w:val="24"/>
          <w:highlight w:val="none"/>
        </w:rPr>
        <w:t>项利害关系。</w:t>
      </w:r>
    </w:p>
    <w:p w14:paraId="2CDE914F">
      <w:pPr>
        <w:pStyle w:val="49"/>
        <w:widowControl w:val="0"/>
        <w:snapToGrid w:val="0"/>
        <w:spacing w:line="500" w:lineRule="exact"/>
        <w:ind w:firstLine="480" w:firstLineChars="200"/>
        <w:jc w:val="center"/>
        <w:rPr>
          <w:rFonts w:hint="eastAsia" w:ascii="仿宋" w:hAnsi="仿宋" w:eastAsia="仿宋" w:cs="仿宋"/>
          <w:color w:val="auto"/>
          <w:szCs w:val="24"/>
          <w:highlight w:val="none"/>
        </w:rPr>
      </w:pPr>
    </w:p>
    <w:p w14:paraId="6B664F34">
      <w:pPr>
        <w:pStyle w:val="49"/>
        <w:widowControl w:val="0"/>
        <w:snapToGrid w:val="0"/>
        <w:spacing w:line="500" w:lineRule="exact"/>
        <w:ind w:firstLine="480" w:firstLineChars="20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供应商代表签名：</w:t>
      </w:r>
    </w:p>
    <w:p w14:paraId="39D10FDA">
      <w:pPr>
        <w:adjustRightInd w:val="0"/>
        <w:ind w:firstLine="0" w:firstLineChars="0"/>
        <w:jc w:val="left"/>
        <w:rPr>
          <w:rFonts w:hint="eastAsia" w:ascii="仿宋" w:hAnsi="仿宋" w:eastAsia="仿宋" w:cs="仿宋"/>
          <w:b/>
          <w:color w:val="auto"/>
          <w:spacing w:val="6"/>
          <w:sz w:val="32"/>
          <w:szCs w:val="32"/>
          <w:highlight w:val="none"/>
        </w:rPr>
      </w:pPr>
    </w:p>
    <w:p w14:paraId="4FA784C5">
      <w:pPr>
        <w:adjustRightInd w:val="0"/>
        <w:ind w:firstLine="0" w:firstLineChars="0"/>
        <w:jc w:val="center"/>
        <w:rPr>
          <w:rFonts w:hint="eastAsia" w:ascii="仿宋" w:hAnsi="仿宋" w:eastAsia="仿宋" w:cs="仿宋"/>
          <w:b/>
          <w:color w:val="auto"/>
          <w:spacing w:val="6"/>
          <w:sz w:val="32"/>
          <w:szCs w:val="32"/>
          <w:highlight w:val="none"/>
        </w:rPr>
      </w:pPr>
    </w:p>
    <w:p w14:paraId="65B49860">
      <w:pPr>
        <w:adjustRightInd w:val="0"/>
        <w:ind w:firstLine="0" w:firstLineChars="0"/>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C04C9BA">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一、质疑供应商基本信息</w:t>
      </w:r>
    </w:p>
    <w:p w14:paraId="66B9A487">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p>
    <w:p w14:paraId="4851C240">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地址：邮编：</w:t>
      </w:r>
    </w:p>
    <w:p w14:paraId="7DCD03FD">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联系人：联系电话：</w:t>
      </w:r>
    </w:p>
    <w:p w14:paraId="04D985D4">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p>
    <w:p w14:paraId="039869A4">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55BC9266">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地址：邮编：</w:t>
      </w:r>
    </w:p>
    <w:p w14:paraId="1387312C">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二、质疑项目基本情况</w:t>
      </w:r>
    </w:p>
    <w:p w14:paraId="4D2AE985">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p>
    <w:p w14:paraId="4004A41C">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质疑项目的编号：包号：</w:t>
      </w:r>
    </w:p>
    <w:p w14:paraId="3E6B99B1">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采购人名称：</w:t>
      </w:r>
    </w:p>
    <w:p w14:paraId="39FC01ED">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采购文件获取日期：</w:t>
      </w:r>
    </w:p>
    <w:p w14:paraId="76A2B20B">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三、质疑事项具体内容</w:t>
      </w:r>
    </w:p>
    <w:p w14:paraId="7EBBBF37">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p>
    <w:p w14:paraId="6A02717A">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p>
    <w:p w14:paraId="10DA68BF">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p>
    <w:p w14:paraId="4EA5A630">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7DC2E4DE">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128EC3B8">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四、与质疑事项相关的质疑请求</w:t>
      </w:r>
    </w:p>
    <w:p w14:paraId="48A7EDC0">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w:t>
      </w:r>
    </w:p>
    <w:p w14:paraId="29D0447F">
      <w:pPr>
        <w:keepNext w:val="0"/>
        <w:keepLines w:val="0"/>
        <w:pageBreakBefore w:val="0"/>
        <w:kinsoku/>
        <w:wordWrap/>
        <w:overflowPunct/>
        <w:topLinePunct w:val="0"/>
        <w:autoSpaceDE/>
        <w:autoSpaceDN/>
        <w:bidi w:val="0"/>
        <w:adjustRightInd w:val="0"/>
        <w:spacing w:line="40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签字(签章)：公章：</w:t>
      </w:r>
    </w:p>
    <w:p w14:paraId="527FC54F">
      <w:pPr>
        <w:keepNext w:val="0"/>
        <w:keepLines w:val="0"/>
        <w:pageBreakBefore w:val="0"/>
        <w:kinsoku/>
        <w:wordWrap/>
        <w:overflowPunct/>
        <w:topLinePunct w:val="0"/>
        <w:autoSpaceDE/>
        <w:autoSpaceDN/>
        <w:bidi w:val="0"/>
        <w:adjustRightInd w:val="0"/>
        <w:spacing w:line="400" w:lineRule="exact"/>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日期：</w:t>
      </w:r>
    </w:p>
    <w:p w14:paraId="792F987F">
      <w:pPr>
        <w:keepNext w:val="0"/>
        <w:keepLines w:val="0"/>
        <w:pageBreakBefore w:val="0"/>
        <w:kinsoku/>
        <w:wordWrap/>
        <w:overflowPunct/>
        <w:topLinePunct w:val="0"/>
        <w:autoSpaceDE/>
        <w:autoSpaceDN/>
        <w:bidi w:val="0"/>
        <w:adjustRightInd w:val="0"/>
        <w:spacing w:line="400" w:lineRule="exact"/>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质疑函制作说明：</w:t>
      </w:r>
    </w:p>
    <w:p w14:paraId="5D6F8B41">
      <w:pPr>
        <w:keepNext w:val="0"/>
        <w:keepLines w:val="0"/>
        <w:pageBreakBefore w:val="0"/>
        <w:widowControl/>
        <w:kinsoku/>
        <w:wordWrap/>
        <w:overflowPunct/>
        <w:topLinePunct w:val="0"/>
        <w:autoSpaceDE/>
        <w:autoSpaceDN/>
        <w:bidi w:val="0"/>
        <w:adjustRightInd w:val="0"/>
        <w:spacing w:line="40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1.供应商提出质疑时，应提交质疑函和必要的证明材料。</w:t>
      </w:r>
    </w:p>
    <w:p w14:paraId="243C8F49">
      <w:pPr>
        <w:keepNext w:val="0"/>
        <w:keepLines w:val="0"/>
        <w:pageBreakBefore w:val="0"/>
        <w:widowControl/>
        <w:kinsoku/>
        <w:wordWrap/>
        <w:overflowPunct/>
        <w:topLinePunct w:val="0"/>
        <w:autoSpaceDE/>
        <w:autoSpaceDN/>
        <w:bidi w:val="0"/>
        <w:adjustRightInd w:val="0"/>
        <w:spacing w:line="40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szCs w:val="24"/>
          <w:highlight w:val="none"/>
        </w:rPr>
        <w:t>供应商签署的授权委托书。授权委托书应载明代理人的姓名或者名称、代理事项、具体权限、期限和相关事项。</w:t>
      </w:r>
    </w:p>
    <w:p w14:paraId="202489FA">
      <w:pPr>
        <w:keepNext w:val="0"/>
        <w:keepLines w:val="0"/>
        <w:pageBreakBefore w:val="0"/>
        <w:widowControl/>
        <w:kinsoku/>
        <w:wordWrap/>
        <w:overflowPunct/>
        <w:topLinePunct w:val="0"/>
        <w:autoSpaceDE/>
        <w:autoSpaceDN/>
        <w:bidi w:val="0"/>
        <w:adjustRightInd w:val="0"/>
        <w:spacing w:line="40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3.质疑供应商若对项目的某一分包进行质疑，质疑函中应列明具体分包号。</w:t>
      </w:r>
    </w:p>
    <w:p w14:paraId="5E25FC72">
      <w:pPr>
        <w:keepNext w:val="0"/>
        <w:keepLines w:val="0"/>
        <w:pageBreakBefore w:val="0"/>
        <w:widowControl/>
        <w:kinsoku/>
        <w:wordWrap/>
        <w:overflowPunct/>
        <w:topLinePunct w:val="0"/>
        <w:autoSpaceDE/>
        <w:autoSpaceDN/>
        <w:bidi w:val="0"/>
        <w:adjustRightInd w:val="0"/>
        <w:spacing w:line="40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4.质疑函的质疑事项应具体、明确，并有必要的事实依据和法律依据。</w:t>
      </w:r>
    </w:p>
    <w:p w14:paraId="6B271058">
      <w:pPr>
        <w:keepNext w:val="0"/>
        <w:keepLines w:val="0"/>
        <w:pageBreakBefore w:val="0"/>
        <w:widowControl/>
        <w:kinsoku/>
        <w:wordWrap/>
        <w:overflowPunct/>
        <w:topLinePunct w:val="0"/>
        <w:autoSpaceDE/>
        <w:autoSpaceDN/>
        <w:bidi w:val="0"/>
        <w:adjustRightInd w:val="0"/>
        <w:spacing w:line="40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5.质疑函的质疑请求应与质疑事项相关。</w:t>
      </w:r>
    </w:p>
    <w:p w14:paraId="25FA5A0D">
      <w:pPr>
        <w:keepNext w:val="0"/>
        <w:keepLines w:val="0"/>
        <w:pageBreakBefore w:val="0"/>
        <w:widowControl/>
        <w:kinsoku/>
        <w:wordWrap/>
        <w:overflowPunct/>
        <w:topLinePunct w:val="0"/>
        <w:autoSpaceDE/>
        <w:autoSpaceDN/>
        <w:bidi w:val="0"/>
        <w:adjustRightInd w:val="0"/>
        <w:spacing w:line="40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6.质疑供应商为自然人的，质疑函应由本人签字；质疑供应商为法人或者其他组织的，质疑函应由法定代表人、主要负责人，或者其授权代表签字或者盖章，并加盖公章。    </w:t>
      </w:r>
      <w:bookmarkEnd w:id="32"/>
      <w:bookmarkEnd w:id="33"/>
      <w:bookmarkEnd w:id="34"/>
    </w:p>
    <w:p w14:paraId="794F2C88">
      <w:pPr>
        <w:pStyle w:val="2"/>
        <w:rPr>
          <w:rFonts w:hint="eastAsia" w:ascii="仿宋" w:hAnsi="仿宋" w:eastAsia="仿宋" w:cs="仿宋"/>
          <w:color w:val="auto"/>
          <w:sz w:val="24"/>
          <w:szCs w:val="24"/>
          <w:highlight w:val="none"/>
        </w:rPr>
      </w:pPr>
    </w:p>
    <w:p w14:paraId="52B4D633">
      <w:pPr>
        <w:pStyle w:val="3"/>
        <w:rPr>
          <w:rFonts w:hint="eastAsia" w:ascii="仿宋" w:hAnsi="仿宋" w:eastAsia="仿宋" w:cs="仿宋"/>
          <w:color w:val="auto"/>
          <w:sz w:val="24"/>
          <w:szCs w:val="24"/>
          <w:highlight w:val="none"/>
        </w:rPr>
      </w:pPr>
    </w:p>
    <w:p w14:paraId="06F4475A">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6380F1B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760E3A6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5216364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B0A8876">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17F5A96">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578BF0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A34672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66E8FA1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4FBDEB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6DB499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E121A7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6FBFDF3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3A3048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101B15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45595C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6B3EB9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502FB20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06301FF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C81367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8836A4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1A8922B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FEB196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4FE933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08D09CAE">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62B9BF0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4EDCE05">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2572E5D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12314A8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560FCEC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B0325B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A7A121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7B6806A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D43BD4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476C2C1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0C61D8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226E8C4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C5CB48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3D27894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20F56B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CDDEA4F">
      <w:pPr>
        <w:spacing w:line="360" w:lineRule="auto"/>
        <w:rPr>
          <w:rFonts w:hint="eastAsia" w:ascii="仿宋" w:hAnsi="仿宋" w:eastAsia="仿宋" w:cs="仿宋"/>
          <w:b/>
          <w:color w:val="auto"/>
          <w:sz w:val="24"/>
          <w:highlight w:val="none"/>
        </w:rPr>
      </w:pPr>
    </w:p>
    <w:p w14:paraId="361F80A1">
      <w:pPr>
        <w:spacing w:line="360" w:lineRule="auto"/>
        <w:rPr>
          <w:rFonts w:hint="eastAsia" w:ascii="仿宋" w:hAnsi="仿宋" w:eastAsia="仿宋" w:cs="仿宋"/>
          <w:b/>
          <w:color w:val="auto"/>
          <w:sz w:val="24"/>
          <w:highlight w:val="none"/>
        </w:rPr>
      </w:pPr>
    </w:p>
    <w:p w14:paraId="5A9E009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0933ABB">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2E33A873">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2A82A97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16A529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8F8DC2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3EB0BCB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4FD73321">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438F7BE0">
      <w:pPr>
        <w:rPr>
          <w:rFonts w:hint="eastAsia" w:ascii="仿宋" w:hAnsi="仿宋" w:eastAsia="仿宋" w:cs="仿宋"/>
          <w:color w:val="auto"/>
          <w:highlight w:val="none"/>
        </w:rPr>
      </w:pPr>
    </w:p>
    <w:sectPr>
      <w:headerReference r:id="rId6" w:type="default"/>
      <w:footerReference r:id="rId7" w:type="default"/>
      <w:pgSz w:w="11906" w:h="16838"/>
      <w:pgMar w:top="1134" w:right="1289" w:bottom="1134" w:left="1797" w:header="851" w:footer="8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Tahoma"/>
    <w:panose1 w:val="000000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1C2F7">
    <w:pPr>
      <w:pStyle w:val="23"/>
      <w:rPr>
        <w:rFonts w:hint="eastAsia"/>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51659"/>
      <w:docPartObj>
        <w:docPartGallery w:val="autotext"/>
      </w:docPartObj>
    </w:sdtPr>
    <w:sdtContent>
      <w:p w14:paraId="35EA856A">
        <w:pPr>
          <w:pStyle w:val="23"/>
          <w:jc w:val="center"/>
          <w:rPr>
            <w:rFonts w:hint="default"/>
            <w:lang w:val="en-US" w:eastAsia="zh-CN"/>
          </w:rPr>
        </w:pPr>
        <w:r>
          <w:fldChar w:fldCharType="begin"/>
        </w:r>
        <w:r>
          <w:instrText xml:space="preserve"> PAGE   \* MERGEFORMAT </w:instrText>
        </w:r>
        <w:r>
          <w:fldChar w:fldCharType="separate"/>
        </w:r>
        <w:r>
          <w:rPr>
            <w:lang w:val="zh-CN"/>
          </w:rPr>
          <w:t>31</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E32D9">
    <w:pPr>
      <w:pStyle w:val="23"/>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40A085">
                          <w:pPr>
                            <w:pStyle w:val="2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340A085">
                    <w:pPr>
                      <w:pStyle w:val="23"/>
                    </w:pPr>
                    <w:r>
                      <w:fldChar w:fldCharType="begin"/>
                    </w:r>
                    <w:r>
                      <w:instrText xml:space="preserve"> PAGE  \* MERGEFORMAT </w:instrText>
                    </w:r>
                    <w:r>
                      <w:fldChar w:fldCharType="separate"/>
                    </w:r>
                    <w:r>
                      <w:t>34</w:t>
                    </w:r>
                    <w:r>
                      <w:fldChar w:fldCharType="end"/>
                    </w:r>
                  </w:p>
                </w:txbxContent>
              </v:textbox>
            </v:shape>
          </w:pict>
        </mc:Fallback>
      </mc:AlternateContent>
    </w:r>
    <w:r>
      <w:rPr>
        <w:rFonts w:hint="eastAsia" w:ascii="宋体" w:hAnsi="宋体" w:eastAsia="宋体" w:cs="宋体"/>
        <w:sz w:val="18"/>
        <w:szCs w:val="18"/>
        <w:u w:val="single"/>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CD70A">
    <w:pPr>
      <w:pStyle w:val="24"/>
      <w:jc w:val="both"/>
      <w:rPr>
        <w:rFonts w:hint="default" w:ascii="宋体" w:hAnsi="宋体" w:eastAsia="宋体" w:cs="宋体"/>
        <w:color w:val="auto"/>
        <w:sz w:val="18"/>
        <w:szCs w:val="18"/>
        <w:u w:val="none"/>
        <w:lang w:val="en-US"/>
      </w:rPr>
    </w:pPr>
    <w:r>
      <w:rPr>
        <w:rFonts w:hint="eastAsia" w:ascii="宋体" w:hAnsi="宋体" w:eastAsia="宋体" w:cs="宋体"/>
        <w:color w:val="auto"/>
        <w:sz w:val="18"/>
        <w:szCs w:val="18"/>
        <w:highlight w:val="none"/>
        <w:u w:val="none"/>
        <w:lang w:val="en-US" w:eastAsia="zh-CN"/>
      </w:rPr>
      <w:t xml:space="preserve">浙江明业项目管理有限公司                                          招标编号：SZMY-F20241263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EE73A">
    <w:pPr>
      <w:pStyle w:val="24"/>
      <w:jc w:val="both"/>
    </w:pPr>
    <w:r>
      <w:rPr>
        <w:rFonts w:hint="eastAsia" w:ascii="宋体" w:hAnsi="宋体" w:eastAsia="宋体" w:cs="宋体"/>
        <w:color w:val="auto"/>
        <w:sz w:val="18"/>
        <w:szCs w:val="18"/>
        <w:highlight w:val="none"/>
        <w:u w:val="none"/>
        <w:lang w:val="en-US" w:eastAsia="zh-CN"/>
      </w:rPr>
      <w:t xml:space="preserve">浙江明业项目管理有限公司                                               招标编号：SZMY-F20241263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8E31E"/>
    <w:multiLevelType w:val="singleLevel"/>
    <w:tmpl w:val="8E68E31E"/>
    <w:lvl w:ilvl="0" w:tentative="0">
      <w:start w:val="4"/>
      <w:numFmt w:val="chineseCounting"/>
      <w:suff w:val="space"/>
      <w:lvlText w:val="第%1条"/>
      <w:lvlJc w:val="left"/>
      <w:rPr>
        <w:rFonts w:hint="eastAsia"/>
      </w:rPr>
    </w:lvl>
  </w:abstractNum>
  <w:abstractNum w:abstractNumId="1">
    <w:nsid w:val="A731DEDF"/>
    <w:multiLevelType w:val="multilevel"/>
    <w:tmpl w:val="A731DEDF"/>
    <w:lvl w:ilvl="0" w:tentative="0">
      <w:start w:val="4"/>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AC06316C"/>
    <w:multiLevelType w:val="singleLevel"/>
    <w:tmpl w:val="AC06316C"/>
    <w:lvl w:ilvl="0" w:tentative="0">
      <w:start w:val="3"/>
      <w:numFmt w:val="decimal"/>
      <w:suff w:val="nothing"/>
      <w:lvlText w:val="%1、"/>
      <w:lvlJc w:val="left"/>
    </w:lvl>
  </w:abstractNum>
  <w:abstractNum w:abstractNumId="3">
    <w:nsid w:val="BA4E21CE"/>
    <w:multiLevelType w:val="singleLevel"/>
    <w:tmpl w:val="BA4E21CE"/>
    <w:lvl w:ilvl="0" w:tentative="0">
      <w:start w:val="3"/>
      <w:numFmt w:val="decimal"/>
      <w:suff w:val="nothing"/>
      <w:lvlText w:val="%1、"/>
      <w:lvlJc w:val="left"/>
    </w:lvl>
  </w:abstractNum>
  <w:abstractNum w:abstractNumId="4">
    <w:nsid w:val="D16E957A"/>
    <w:multiLevelType w:val="singleLevel"/>
    <w:tmpl w:val="D16E957A"/>
    <w:lvl w:ilvl="0" w:tentative="0">
      <w:start w:val="1"/>
      <w:numFmt w:val="decimal"/>
      <w:lvlText w:val="%1."/>
      <w:lvlJc w:val="left"/>
      <w:pPr>
        <w:tabs>
          <w:tab w:val="left" w:pos="312"/>
        </w:tabs>
      </w:pPr>
    </w:lvl>
  </w:abstractNum>
  <w:abstractNum w:abstractNumId="5">
    <w:nsid w:val="FDBDBD64"/>
    <w:multiLevelType w:val="singleLevel"/>
    <w:tmpl w:val="FDBDBD64"/>
    <w:lvl w:ilvl="0" w:tentative="0">
      <w:start w:val="1"/>
      <w:numFmt w:val="decimal"/>
      <w:pStyle w:val="17"/>
      <w:lvlText w:val="%1."/>
      <w:lvlJc w:val="left"/>
      <w:pPr>
        <w:tabs>
          <w:tab w:val="left" w:pos="1200"/>
        </w:tabs>
        <w:ind w:left="1200" w:hanging="360"/>
      </w:pPr>
    </w:lvl>
  </w:abstractNum>
  <w:abstractNum w:abstractNumId="6">
    <w:nsid w:val="FFFFFF88"/>
    <w:multiLevelType w:val="singleLevel"/>
    <w:tmpl w:val="FFFFFF88"/>
    <w:lvl w:ilvl="0" w:tentative="0">
      <w:start w:val="1"/>
      <w:numFmt w:val="decimal"/>
      <w:pStyle w:val="10"/>
      <w:lvlText w:val="%1."/>
      <w:lvlJc w:val="left"/>
      <w:pPr>
        <w:tabs>
          <w:tab w:val="left" w:pos="360"/>
        </w:tabs>
        <w:ind w:left="360" w:hanging="360" w:hangingChars="200"/>
      </w:pPr>
    </w:lvl>
  </w:abstractNum>
  <w:abstractNum w:abstractNumId="7">
    <w:nsid w:val="00000000"/>
    <w:multiLevelType w:val="singleLevel"/>
    <w:tmpl w:val="00000000"/>
    <w:lvl w:ilvl="0" w:tentative="0">
      <w:start w:val="1"/>
      <w:numFmt w:val="decimal"/>
      <w:suff w:val="nothing"/>
      <w:lvlText w:val="（%1）"/>
      <w:lvlJc w:val="left"/>
    </w:lvl>
  </w:abstractNum>
  <w:abstractNum w:abstractNumId="8">
    <w:nsid w:val="37DF4A40"/>
    <w:multiLevelType w:val="singleLevel"/>
    <w:tmpl w:val="37DF4A40"/>
    <w:lvl w:ilvl="0" w:tentative="0">
      <w:start w:val="1"/>
      <w:numFmt w:val="decimal"/>
      <w:pStyle w:val="8"/>
      <w:lvlText w:val="%1."/>
      <w:lvlJc w:val="left"/>
      <w:pPr>
        <w:tabs>
          <w:tab w:val="left" w:pos="780"/>
        </w:tabs>
        <w:ind w:left="780" w:hanging="360"/>
      </w:pPr>
    </w:lvl>
  </w:abstractNum>
  <w:abstractNum w:abstractNumId="9">
    <w:nsid w:val="54F403B5"/>
    <w:multiLevelType w:val="singleLevel"/>
    <w:tmpl w:val="54F403B5"/>
    <w:lvl w:ilvl="0" w:tentative="0">
      <w:start w:val="1"/>
      <w:numFmt w:val="chineseCounting"/>
      <w:suff w:val="nothing"/>
      <w:lvlText w:val="%1、"/>
      <w:lvlJc w:val="left"/>
    </w:lvl>
  </w:abstractNum>
  <w:abstractNum w:abstractNumId="10">
    <w:nsid w:val="557FD3DA"/>
    <w:multiLevelType w:val="singleLevel"/>
    <w:tmpl w:val="557FD3DA"/>
    <w:lvl w:ilvl="0" w:tentative="0">
      <w:start w:val="3"/>
      <w:numFmt w:val="chineseCounting"/>
      <w:suff w:val="nothing"/>
      <w:lvlText w:val="%1、"/>
      <w:lvlJc w:val="left"/>
    </w:lvl>
  </w:abstractNum>
  <w:abstractNum w:abstractNumId="11">
    <w:nsid w:val="72696FE3"/>
    <w:multiLevelType w:val="multilevel"/>
    <w:tmpl w:val="72696F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6"/>
  </w:num>
  <w:num w:numId="3">
    <w:abstractNumId w:val="5"/>
  </w:num>
  <w:num w:numId="4">
    <w:abstractNumId w:val="4"/>
  </w:num>
  <w:num w:numId="5">
    <w:abstractNumId w:val="1"/>
  </w:num>
  <w:num w:numId="6">
    <w:abstractNumId w:val="11"/>
  </w:num>
  <w:num w:numId="7">
    <w:abstractNumId w:val="3"/>
  </w:num>
  <w:num w:numId="8">
    <w:abstractNumId w:val="2"/>
  </w:num>
  <w:num w:numId="9">
    <w:abstractNumId w:val="0"/>
  </w:num>
  <w:num w:numId="10">
    <w:abstractNumId w:val="7"/>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YTc5MGY0NzY1ZDg5YzFkZTliZmVlMDg0NmQ3M2MifQ=="/>
  </w:docVars>
  <w:rsids>
    <w:rsidRoot w:val="00013255"/>
    <w:rsid w:val="00013255"/>
    <w:rsid w:val="000166EB"/>
    <w:rsid w:val="00027CDF"/>
    <w:rsid w:val="00031F0D"/>
    <w:rsid w:val="00043144"/>
    <w:rsid w:val="0006409E"/>
    <w:rsid w:val="00086AAA"/>
    <w:rsid w:val="000943F3"/>
    <w:rsid w:val="000973F2"/>
    <w:rsid w:val="000B50C7"/>
    <w:rsid w:val="000C024B"/>
    <w:rsid w:val="000C40D6"/>
    <w:rsid w:val="000D068E"/>
    <w:rsid w:val="000E6478"/>
    <w:rsid w:val="000E675B"/>
    <w:rsid w:val="000F4900"/>
    <w:rsid w:val="00102456"/>
    <w:rsid w:val="00102B2E"/>
    <w:rsid w:val="001030B5"/>
    <w:rsid w:val="00104201"/>
    <w:rsid w:val="00105D32"/>
    <w:rsid w:val="00110BBD"/>
    <w:rsid w:val="00115618"/>
    <w:rsid w:val="00123322"/>
    <w:rsid w:val="001317C1"/>
    <w:rsid w:val="00137B84"/>
    <w:rsid w:val="00154675"/>
    <w:rsid w:val="00162152"/>
    <w:rsid w:val="00166961"/>
    <w:rsid w:val="001746B3"/>
    <w:rsid w:val="0018391E"/>
    <w:rsid w:val="001A3BFF"/>
    <w:rsid w:val="001A4F04"/>
    <w:rsid w:val="001A5B05"/>
    <w:rsid w:val="001C21D2"/>
    <w:rsid w:val="001D18AB"/>
    <w:rsid w:val="001D1961"/>
    <w:rsid w:val="001F18E2"/>
    <w:rsid w:val="001F290D"/>
    <w:rsid w:val="001F3B77"/>
    <w:rsid w:val="00203F43"/>
    <w:rsid w:val="00204F87"/>
    <w:rsid w:val="00216F62"/>
    <w:rsid w:val="00236524"/>
    <w:rsid w:val="00242DD9"/>
    <w:rsid w:val="00247EB6"/>
    <w:rsid w:val="00252247"/>
    <w:rsid w:val="00254D60"/>
    <w:rsid w:val="0025786A"/>
    <w:rsid w:val="00262733"/>
    <w:rsid w:val="00270620"/>
    <w:rsid w:val="00270BB0"/>
    <w:rsid w:val="00273880"/>
    <w:rsid w:val="00285358"/>
    <w:rsid w:val="0029345F"/>
    <w:rsid w:val="002A0D94"/>
    <w:rsid w:val="002C0859"/>
    <w:rsid w:val="002C2CAD"/>
    <w:rsid w:val="002E2146"/>
    <w:rsid w:val="002E59DF"/>
    <w:rsid w:val="00303F39"/>
    <w:rsid w:val="0031380D"/>
    <w:rsid w:val="00320871"/>
    <w:rsid w:val="00323BD2"/>
    <w:rsid w:val="00363D1B"/>
    <w:rsid w:val="00386EBE"/>
    <w:rsid w:val="00387933"/>
    <w:rsid w:val="00387BC4"/>
    <w:rsid w:val="003A2D9E"/>
    <w:rsid w:val="003A5417"/>
    <w:rsid w:val="003B3EF0"/>
    <w:rsid w:val="003D5573"/>
    <w:rsid w:val="003E4683"/>
    <w:rsid w:val="003F5F2A"/>
    <w:rsid w:val="004277C9"/>
    <w:rsid w:val="00446222"/>
    <w:rsid w:val="00455712"/>
    <w:rsid w:val="00461122"/>
    <w:rsid w:val="00462249"/>
    <w:rsid w:val="004B7001"/>
    <w:rsid w:val="004D4BD3"/>
    <w:rsid w:val="004D65B1"/>
    <w:rsid w:val="004D6899"/>
    <w:rsid w:val="004E2A2C"/>
    <w:rsid w:val="004F7CEB"/>
    <w:rsid w:val="00500CBB"/>
    <w:rsid w:val="005221C7"/>
    <w:rsid w:val="0054088A"/>
    <w:rsid w:val="0054524C"/>
    <w:rsid w:val="00556BCB"/>
    <w:rsid w:val="005A28DD"/>
    <w:rsid w:val="005A42FA"/>
    <w:rsid w:val="005A503E"/>
    <w:rsid w:val="005A7208"/>
    <w:rsid w:val="005C088A"/>
    <w:rsid w:val="005C1676"/>
    <w:rsid w:val="005C76BB"/>
    <w:rsid w:val="005D21B5"/>
    <w:rsid w:val="005D4380"/>
    <w:rsid w:val="005E1CD9"/>
    <w:rsid w:val="005E6636"/>
    <w:rsid w:val="005E7B2B"/>
    <w:rsid w:val="006046E5"/>
    <w:rsid w:val="00612384"/>
    <w:rsid w:val="0061264F"/>
    <w:rsid w:val="006217BC"/>
    <w:rsid w:val="00637476"/>
    <w:rsid w:val="006474C9"/>
    <w:rsid w:val="0065211C"/>
    <w:rsid w:val="006554EE"/>
    <w:rsid w:val="0066601C"/>
    <w:rsid w:val="006836D3"/>
    <w:rsid w:val="006872D9"/>
    <w:rsid w:val="006D15A9"/>
    <w:rsid w:val="006D1CB4"/>
    <w:rsid w:val="006D1E21"/>
    <w:rsid w:val="006D2CD0"/>
    <w:rsid w:val="006D5CC9"/>
    <w:rsid w:val="006E0C85"/>
    <w:rsid w:val="006E12E4"/>
    <w:rsid w:val="006E4A62"/>
    <w:rsid w:val="006E6927"/>
    <w:rsid w:val="006E6D7B"/>
    <w:rsid w:val="00717CE8"/>
    <w:rsid w:val="00737E1D"/>
    <w:rsid w:val="00740C9B"/>
    <w:rsid w:val="007432F3"/>
    <w:rsid w:val="00745795"/>
    <w:rsid w:val="007526DE"/>
    <w:rsid w:val="00755EEF"/>
    <w:rsid w:val="007646C7"/>
    <w:rsid w:val="007701B1"/>
    <w:rsid w:val="007736D2"/>
    <w:rsid w:val="00797432"/>
    <w:rsid w:val="007C1215"/>
    <w:rsid w:val="007C14C1"/>
    <w:rsid w:val="007C2628"/>
    <w:rsid w:val="007C5513"/>
    <w:rsid w:val="007D637E"/>
    <w:rsid w:val="007F178D"/>
    <w:rsid w:val="00837BC8"/>
    <w:rsid w:val="00857E02"/>
    <w:rsid w:val="0088405E"/>
    <w:rsid w:val="00884A94"/>
    <w:rsid w:val="008906BF"/>
    <w:rsid w:val="008B5F98"/>
    <w:rsid w:val="008C2CD3"/>
    <w:rsid w:val="008E0C60"/>
    <w:rsid w:val="008F3559"/>
    <w:rsid w:val="00931B9D"/>
    <w:rsid w:val="00950938"/>
    <w:rsid w:val="009A2630"/>
    <w:rsid w:val="009A3274"/>
    <w:rsid w:val="009C0F8E"/>
    <w:rsid w:val="009C7398"/>
    <w:rsid w:val="009E3E84"/>
    <w:rsid w:val="009E41E4"/>
    <w:rsid w:val="009F2B74"/>
    <w:rsid w:val="00A316B4"/>
    <w:rsid w:val="00A35E4F"/>
    <w:rsid w:val="00A56502"/>
    <w:rsid w:val="00A63A56"/>
    <w:rsid w:val="00A775BA"/>
    <w:rsid w:val="00A77A87"/>
    <w:rsid w:val="00A8310F"/>
    <w:rsid w:val="00A95595"/>
    <w:rsid w:val="00A96843"/>
    <w:rsid w:val="00AA5080"/>
    <w:rsid w:val="00AB295F"/>
    <w:rsid w:val="00AC075E"/>
    <w:rsid w:val="00AE1E21"/>
    <w:rsid w:val="00AE2C9D"/>
    <w:rsid w:val="00AE448C"/>
    <w:rsid w:val="00AE51DC"/>
    <w:rsid w:val="00AE6FF9"/>
    <w:rsid w:val="00AF4E2F"/>
    <w:rsid w:val="00B12686"/>
    <w:rsid w:val="00B3403E"/>
    <w:rsid w:val="00B3769C"/>
    <w:rsid w:val="00B507A3"/>
    <w:rsid w:val="00B55DA3"/>
    <w:rsid w:val="00B72143"/>
    <w:rsid w:val="00B776BF"/>
    <w:rsid w:val="00B83D59"/>
    <w:rsid w:val="00BB567F"/>
    <w:rsid w:val="00BC4A01"/>
    <w:rsid w:val="00BC4E2D"/>
    <w:rsid w:val="00BD59DA"/>
    <w:rsid w:val="00BE2553"/>
    <w:rsid w:val="00BF581F"/>
    <w:rsid w:val="00BF5F1B"/>
    <w:rsid w:val="00C000AA"/>
    <w:rsid w:val="00C11B86"/>
    <w:rsid w:val="00C645C4"/>
    <w:rsid w:val="00C77375"/>
    <w:rsid w:val="00CA49EA"/>
    <w:rsid w:val="00CC51DF"/>
    <w:rsid w:val="00CD2556"/>
    <w:rsid w:val="00CD309D"/>
    <w:rsid w:val="00CE38B2"/>
    <w:rsid w:val="00CF3752"/>
    <w:rsid w:val="00CF377E"/>
    <w:rsid w:val="00CF537F"/>
    <w:rsid w:val="00D02837"/>
    <w:rsid w:val="00D25DFE"/>
    <w:rsid w:val="00D2706A"/>
    <w:rsid w:val="00D65AAF"/>
    <w:rsid w:val="00D66AF0"/>
    <w:rsid w:val="00D73674"/>
    <w:rsid w:val="00D76AB3"/>
    <w:rsid w:val="00D85D7D"/>
    <w:rsid w:val="00D86022"/>
    <w:rsid w:val="00D86938"/>
    <w:rsid w:val="00D92F87"/>
    <w:rsid w:val="00D94740"/>
    <w:rsid w:val="00D9717E"/>
    <w:rsid w:val="00DA58E7"/>
    <w:rsid w:val="00DC13D1"/>
    <w:rsid w:val="00DC533E"/>
    <w:rsid w:val="00DE1B95"/>
    <w:rsid w:val="00DE78F3"/>
    <w:rsid w:val="00DF0970"/>
    <w:rsid w:val="00DF7CCC"/>
    <w:rsid w:val="00E16EF2"/>
    <w:rsid w:val="00E16FC7"/>
    <w:rsid w:val="00E23BCA"/>
    <w:rsid w:val="00E25E80"/>
    <w:rsid w:val="00E26010"/>
    <w:rsid w:val="00E36E93"/>
    <w:rsid w:val="00E7316F"/>
    <w:rsid w:val="00E75FBE"/>
    <w:rsid w:val="00E76AEC"/>
    <w:rsid w:val="00E76CD3"/>
    <w:rsid w:val="00E84C3F"/>
    <w:rsid w:val="00E911C1"/>
    <w:rsid w:val="00EA000B"/>
    <w:rsid w:val="00EA40E8"/>
    <w:rsid w:val="00EB0547"/>
    <w:rsid w:val="00ED452B"/>
    <w:rsid w:val="00EF25F4"/>
    <w:rsid w:val="00F01B62"/>
    <w:rsid w:val="00F24582"/>
    <w:rsid w:val="00F3262D"/>
    <w:rsid w:val="00F35305"/>
    <w:rsid w:val="00F41897"/>
    <w:rsid w:val="00F41CBC"/>
    <w:rsid w:val="00F71E41"/>
    <w:rsid w:val="00F759B6"/>
    <w:rsid w:val="00F83193"/>
    <w:rsid w:val="00F84D83"/>
    <w:rsid w:val="00F9039A"/>
    <w:rsid w:val="00F92AF4"/>
    <w:rsid w:val="00F939DD"/>
    <w:rsid w:val="00FA0BF6"/>
    <w:rsid w:val="00FB01E8"/>
    <w:rsid w:val="00FB1A53"/>
    <w:rsid w:val="00FC0114"/>
    <w:rsid w:val="00FC7526"/>
    <w:rsid w:val="00FE6EBA"/>
    <w:rsid w:val="00FF0ACE"/>
    <w:rsid w:val="00FF51CB"/>
    <w:rsid w:val="01062EEC"/>
    <w:rsid w:val="010A1249"/>
    <w:rsid w:val="011B0745"/>
    <w:rsid w:val="011E1FE4"/>
    <w:rsid w:val="01255120"/>
    <w:rsid w:val="0147153B"/>
    <w:rsid w:val="0147778C"/>
    <w:rsid w:val="016245C6"/>
    <w:rsid w:val="016F0A91"/>
    <w:rsid w:val="017D4F5C"/>
    <w:rsid w:val="01893B8E"/>
    <w:rsid w:val="018E5AF2"/>
    <w:rsid w:val="019224BE"/>
    <w:rsid w:val="019F1377"/>
    <w:rsid w:val="01B12E58"/>
    <w:rsid w:val="01BB2C92"/>
    <w:rsid w:val="01BE1198"/>
    <w:rsid w:val="01C20BC1"/>
    <w:rsid w:val="01C25065"/>
    <w:rsid w:val="01C7267B"/>
    <w:rsid w:val="01CF32DE"/>
    <w:rsid w:val="01D04FBC"/>
    <w:rsid w:val="01EB45BC"/>
    <w:rsid w:val="01F43679"/>
    <w:rsid w:val="01F66ABD"/>
    <w:rsid w:val="01FA76FB"/>
    <w:rsid w:val="0200793B"/>
    <w:rsid w:val="0204742C"/>
    <w:rsid w:val="02117D9A"/>
    <w:rsid w:val="021D673F"/>
    <w:rsid w:val="0224688D"/>
    <w:rsid w:val="022F4BD9"/>
    <w:rsid w:val="02313F99"/>
    <w:rsid w:val="02346B76"/>
    <w:rsid w:val="024E0ADE"/>
    <w:rsid w:val="025657AD"/>
    <w:rsid w:val="02624152"/>
    <w:rsid w:val="027F2F56"/>
    <w:rsid w:val="0284056C"/>
    <w:rsid w:val="028B5457"/>
    <w:rsid w:val="02985DC6"/>
    <w:rsid w:val="029A778E"/>
    <w:rsid w:val="02A90FBB"/>
    <w:rsid w:val="02B40E52"/>
    <w:rsid w:val="02C46BBB"/>
    <w:rsid w:val="02CB0818"/>
    <w:rsid w:val="02DA13D2"/>
    <w:rsid w:val="02E66B31"/>
    <w:rsid w:val="02E828A9"/>
    <w:rsid w:val="02F94AB6"/>
    <w:rsid w:val="03231B33"/>
    <w:rsid w:val="03411FB9"/>
    <w:rsid w:val="03505229"/>
    <w:rsid w:val="035806DD"/>
    <w:rsid w:val="035F6CF1"/>
    <w:rsid w:val="03771853"/>
    <w:rsid w:val="039756DF"/>
    <w:rsid w:val="03A8028B"/>
    <w:rsid w:val="03B44E81"/>
    <w:rsid w:val="03BD5AE4"/>
    <w:rsid w:val="03CC63CC"/>
    <w:rsid w:val="03D66BA6"/>
    <w:rsid w:val="03E01183"/>
    <w:rsid w:val="03F60FF6"/>
    <w:rsid w:val="03F97C93"/>
    <w:rsid w:val="040D00EE"/>
    <w:rsid w:val="04115E30"/>
    <w:rsid w:val="04126376"/>
    <w:rsid w:val="041A1188"/>
    <w:rsid w:val="04212517"/>
    <w:rsid w:val="04221DEB"/>
    <w:rsid w:val="042518DB"/>
    <w:rsid w:val="04267B2D"/>
    <w:rsid w:val="043F474B"/>
    <w:rsid w:val="046A433F"/>
    <w:rsid w:val="0472778E"/>
    <w:rsid w:val="0486237A"/>
    <w:rsid w:val="048B5BE2"/>
    <w:rsid w:val="04A10F62"/>
    <w:rsid w:val="04A96068"/>
    <w:rsid w:val="04B97B69"/>
    <w:rsid w:val="04C410F4"/>
    <w:rsid w:val="04C44C50"/>
    <w:rsid w:val="04D07A99"/>
    <w:rsid w:val="04D26AF3"/>
    <w:rsid w:val="05014901"/>
    <w:rsid w:val="05047F88"/>
    <w:rsid w:val="05066DF9"/>
    <w:rsid w:val="05277AB9"/>
    <w:rsid w:val="052971A9"/>
    <w:rsid w:val="05301B95"/>
    <w:rsid w:val="05435470"/>
    <w:rsid w:val="05457D8C"/>
    <w:rsid w:val="05597A8E"/>
    <w:rsid w:val="056125CE"/>
    <w:rsid w:val="057B7A05"/>
    <w:rsid w:val="058873C0"/>
    <w:rsid w:val="058C1C12"/>
    <w:rsid w:val="058F34B0"/>
    <w:rsid w:val="059D73FE"/>
    <w:rsid w:val="05A01219"/>
    <w:rsid w:val="05A50F26"/>
    <w:rsid w:val="05AB5E10"/>
    <w:rsid w:val="05CE7560"/>
    <w:rsid w:val="05D80FC6"/>
    <w:rsid w:val="05DE61E6"/>
    <w:rsid w:val="05ED6429"/>
    <w:rsid w:val="05F86EF4"/>
    <w:rsid w:val="064C75F3"/>
    <w:rsid w:val="06522CB4"/>
    <w:rsid w:val="066F6E3E"/>
    <w:rsid w:val="0673428B"/>
    <w:rsid w:val="068C79F0"/>
    <w:rsid w:val="068F128E"/>
    <w:rsid w:val="06AB431A"/>
    <w:rsid w:val="06AC0092"/>
    <w:rsid w:val="06AD62E4"/>
    <w:rsid w:val="06BA27AF"/>
    <w:rsid w:val="06C07699"/>
    <w:rsid w:val="06D4668A"/>
    <w:rsid w:val="06DD024B"/>
    <w:rsid w:val="06DF2215"/>
    <w:rsid w:val="06E635A4"/>
    <w:rsid w:val="06F55595"/>
    <w:rsid w:val="06FE6B3F"/>
    <w:rsid w:val="0708246E"/>
    <w:rsid w:val="070D7056"/>
    <w:rsid w:val="07101A69"/>
    <w:rsid w:val="071D689A"/>
    <w:rsid w:val="071F0864"/>
    <w:rsid w:val="07351E35"/>
    <w:rsid w:val="07372051"/>
    <w:rsid w:val="0747190B"/>
    <w:rsid w:val="0748600C"/>
    <w:rsid w:val="07487DBA"/>
    <w:rsid w:val="075141CC"/>
    <w:rsid w:val="07683FB9"/>
    <w:rsid w:val="076B7AFF"/>
    <w:rsid w:val="077A1471"/>
    <w:rsid w:val="077C5CB6"/>
    <w:rsid w:val="078A03D3"/>
    <w:rsid w:val="078A2181"/>
    <w:rsid w:val="078D1C71"/>
    <w:rsid w:val="07A174CB"/>
    <w:rsid w:val="07A31495"/>
    <w:rsid w:val="07B90CB8"/>
    <w:rsid w:val="07BB1364"/>
    <w:rsid w:val="07BE007D"/>
    <w:rsid w:val="07BE1E2B"/>
    <w:rsid w:val="07C17505"/>
    <w:rsid w:val="07D7113E"/>
    <w:rsid w:val="07E5181F"/>
    <w:rsid w:val="07ED2710"/>
    <w:rsid w:val="07F910B5"/>
    <w:rsid w:val="07FF1354"/>
    <w:rsid w:val="080041F1"/>
    <w:rsid w:val="08040B54"/>
    <w:rsid w:val="08056749"/>
    <w:rsid w:val="080C0DE8"/>
    <w:rsid w:val="081128A2"/>
    <w:rsid w:val="08144141"/>
    <w:rsid w:val="081B06DA"/>
    <w:rsid w:val="08234384"/>
    <w:rsid w:val="082D0D5E"/>
    <w:rsid w:val="082D6FB0"/>
    <w:rsid w:val="0844165D"/>
    <w:rsid w:val="08444A26"/>
    <w:rsid w:val="08457EB8"/>
    <w:rsid w:val="0850116D"/>
    <w:rsid w:val="086230FE"/>
    <w:rsid w:val="08652BE4"/>
    <w:rsid w:val="086C1887"/>
    <w:rsid w:val="086D3FFD"/>
    <w:rsid w:val="08793FA4"/>
    <w:rsid w:val="08875300"/>
    <w:rsid w:val="08A033DC"/>
    <w:rsid w:val="08A8389B"/>
    <w:rsid w:val="08AE022E"/>
    <w:rsid w:val="08B03AF4"/>
    <w:rsid w:val="08BF50B5"/>
    <w:rsid w:val="08C23B9D"/>
    <w:rsid w:val="08CC0577"/>
    <w:rsid w:val="08CE0793"/>
    <w:rsid w:val="08D15B8E"/>
    <w:rsid w:val="08DD7A51"/>
    <w:rsid w:val="08F04266"/>
    <w:rsid w:val="09150170"/>
    <w:rsid w:val="09250379"/>
    <w:rsid w:val="092521FD"/>
    <w:rsid w:val="092B1742"/>
    <w:rsid w:val="092E1232"/>
    <w:rsid w:val="0935611C"/>
    <w:rsid w:val="093F51ED"/>
    <w:rsid w:val="09434CDD"/>
    <w:rsid w:val="09436A8B"/>
    <w:rsid w:val="094A2D56"/>
    <w:rsid w:val="09817015"/>
    <w:rsid w:val="098175B4"/>
    <w:rsid w:val="098520E8"/>
    <w:rsid w:val="099958A3"/>
    <w:rsid w:val="09A11A04"/>
    <w:rsid w:val="09B07E99"/>
    <w:rsid w:val="09BE43BF"/>
    <w:rsid w:val="09CD1A12"/>
    <w:rsid w:val="09CD37EC"/>
    <w:rsid w:val="09DA6CC4"/>
    <w:rsid w:val="09E33DCA"/>
    <w:rsid w:val="09EB2C7F"/>
    <w:rsid w:val="09F41B3F"/>
    <w:rsid w:val="09F81004"/>
    <w:rsid w:val="09FE0FC7"/>
    <w:rsid w:val="0A014064"/>
    <w:rsid w:val="0A0443D6"/>
    <w:rsid w:val="0A21587C"/>
    <w:rsid w:val="0A2A7C4B"/>
    <w:rsid w:val="0A434869"/>
    <w:rsid w:val="0A511B63"/>
    <w:rsid w:val="0A637BEA"/>
    <w:rsid w:val="0A64315D"/>
    <w:rsid w:val="0A6676D3"/>
    <w:rsid w:val="0A6F38B0"/>
    <w:rsid w:val="0A7315F2"/>
    <w:rsid w:val="0A821835"/>
    <w:rsid w:val="0A913826"/>
    <w:rsid w:val="0AA96DC2"/>
    <w:rsid w:val="0AB27B56"/>
    <w:rsid w:val="0AC77248"/>
    <w:rsid w:val="0AD67BFB"/>
    <w:rsid w:val="0AD91B48"/>
    <w:rsid w:val="0AE222D4"/>
    <w:rsid w:val="0AF049F1"/>
    <w:rsid w:val="0AFD2902"/>
    <w:rsid w:val="0B093D05"/>
    <w:rsid w:val="0B100BEF"/>
    <w:rsid w:val="0B106E41"/>
    <w:rsid w:val="0B3643CE"/>
    <w:rsid w:val="0B5D195B"/>
    <w:rsid w:val="0B620C86"/>
    <w:rsid w:val="0B6745CE"/>
    <w:rsid w:val="0B696551"/>
    <w:rsid w:val="0B7849E6"/>
    <w:rsid w:val="0B882E7B"/>
    <w:rsid w:val="0B8D66E4"/>
    <w:rsid w:val="0B9F6417"/>
    <w:rsid w:val="0BB93035"/>
    <w:rsid w:val="0BBF2615"/>
    <w:rsid w:val="0BC33EB3"/>
    <w:rsid w:val="0BE16F32"/>
    <w:rsid w:val="0BE34556"/>
    <w:rsid w:val="0BEA32BC"/>
    <w:rsid w:val="0BEB474C"/>
    <w:rsid w:val="0BF2247E"/>
    <w:rsid w:val="0C0369A6"/>
    <w:rsid w:val="0C07025C"/>
    <w:rsid w:val="0C12445C"/>
    <w:rsid w:val="0C160487"/>
    <w:rsid w:val="0C18330D"/>
    <w:rsid w:val="0C1E558E"/>
    <w:rsid w:val="0C214339"/>
    <w:rsid w:val="0C28640C"/>
    <w:rsid w:val="0C41302A"/>
    <w:rsid w:val="0C59158F"/>
    <w:rsid w:val="0C5B7150"/>
    <w:rsid w:val="0C8A5EE5"/>
    <w:rsid w:val="0C921E03"/>
    <w:rsid w:val="0C970E9C"/>
    <w:rsid w:val="0C9B6BDE"/>
    <w:rsid w:val="0CA43CE5"/>
    <w:rsid w:val="0CAF268A"/>
    <w:rsid w:val="0CB06D2E"/>
    <w:rsid w:val="0CB33F28"/>
    <w:rsid w:val="0CBE627B"/>
    <w:rsid w:val="0CEF0CD8"/>
    <w:rsid w:val="0CFD33F5"/>
    <w:rsid w:val="0D077DD0"/>
    <w:rsid w:val="0D156991"/>
    <w:rsid w:val="0D1644B7"/>
    <w:rsid w:val="0D2564A8"/>
    <w:rsid w:val="0D272220"/>
    <w:rsid w:val="0D2855D6"/>
    <w:rsid w:val="0D35493D"/>
    <w:rsid w:val="0D5374B9"/>
    <w:rsid w:val="0D557AE1"/>
    <w:rsid w:val="0D605732"/>
    <w:rsid w:val="0D722B1A"/>
    <w:rsid w:val="0D7C256C"/>
    <w:rsid w:val="0D933D59"/>
    <w:rsid w:val="0D9C49BC"/>
    <w:rsid w:val="0DA27AF9"/>
    <w:rsid w:val="0DAC2718"/>
    <w:rsid w:val="0DB07E20"/>
    <w:rsid w:val="0DD1013B"/>
    <w:rsid w:val="0DD20D46"/>
    <w:rsid w:val="0DD405FA"/>
    <w:rsid w:val="0DD8176C"/>
    <w:rsid w:val="0DF63CD2"/>
    <w:rsid w:val="0E181E5A"/>
    <w:rsid w:val="0E325AC7"/>
    <w:rsid w:val="0E3A41D5"/>
    <w:rsid w:val="0E412BF3"/>
    <w:rsid w:val="0E4137B5"/>
    <w:rsid w:val="0E417312"/>
    <w:rsid w:val="0E5168C6"/>
    <w:rsid w:val="0E5B4877"/>
    <w:rsid w:val="0E5C05EF"/>
    <w:rsid w:val="0E606C70"/>
    <w:rsid w:val="0E6B438E"/>
    <w:rsid w:val="0E8D261B"/>
    <w:rsid w:val="0E9E29B6"/>
    <w:rsid w:val="0EB01236"/>
    <w:rsid w:val="0EBC6F03"/>
    <w:rsid w:val="0EC341CA"/>
    <w:rsid w:val="0EE8653B"/>
    <w:rsid w:val="0EF86485"/>
    <w:rsid w:val="0EFA4090"/>
    <w:rsid w:val="0F036574"/>
    <w:rsid w:val="0F064D7D"/>
    <w:rsid w:val="0F276507"/>
    <w:rsid w:val="0F2D0E59"/>
    <w:rsid w:val="0F4470B9"/>
    <w:rsid w:val="0F6239E3"/>
    <w:rsid w:val="0F783207"/>
    <w:rsid w:val="0F7A6F7F"/>
    <w:rsid w:val="0F8A662F"/>
    <w:rsid w:val="0F8B51DE"/>
    <w:rsid w:val="0F900551"/>
    <w:rsid w:val="0FBC7E0D"/>
    <w:rsid w:val="0FD05A2E"/>
    <w:rsid w:val="0FD61CDB"/>
    <w:rsid w:val="0FF7162F"/>
    <w:rsid w:val="101822F4"/>
    <w:rsid w:val="101C1DE4"/>
    <w:rsid w:val="101D790A"/>
    <w:rsid w:val="102173FB"/>
    <w:rsid w:val="10321608"/>
    <w:rsid w:val="1032785A"/>
    <w:rsid w:val="103435D2"/>
    <w:rsid w:val="103A226A"/>
    <w:rsid w:val="10401F77"/>
    <w:rsid w:val="10581E37"/>
    <w:rsid w:val="105A290D"/>
    <w:rsid w:val="105A46BB"/>
    <w:rsid w:val="10771710"/>
    <w:rsid w:val="107E65FB"/>
    <w:rsid w:val="107F3A01"/>
    <w:rsid w:val="108654B0"/>
    <w:rsid w:val="108D683E"/>
    <w:rsid w:val="1090632E"/>
    <w:rsid w:val="10935187"/>
    <w:rsid w:val="109835A9"/>
    <w:rsid w:val="10985132"/>
    <w:rsid w:val="109A1038"/>
    <w:rsid w:val="10A5002C"/>
    <w:rsid w:val="10AC449C"/>
    <w:rsid w:val="10B22F56"/>
    <w:rsid w:val="10C058B6"/>
    <w:rsid w:val="10C77FA2"/>
    <w:rsid w:val="10CA7A92"/>
    <w:rsid w:val="10CF6E57"/>
    <w:rsid w:val="10FE773C"/>
    <w:rsid w:val="112B49AA"/>
    <w:rsid w:val="113B0990"/>
    <w:rsid w:val="11427AB6"/>
    <w:rsid w:val="114E1FB0"/>
    <w:rsid w:val="117D4B52"/>
    <w:rsid w:val="118C4D48"/>
    <w:rsid w:val="11943BFC"/>
    <w:rsid w:val="11951E4E"/>
    <w:rsid w:val="11A55700"/>
    <w:rsid w:val="11A77ED7"/>
    <w:rsid w:val="11CC3396"/>
    <w:rsid w:val="11CC5087"/>
    <w:rsid w:val="11EE155E"/>
    <w:rsid w:val="11F748B7"/>
    <w:rsid w:val="11F94050"/>
    <w:rsid w:val="120174E4"/>
    <w:rsid w:val="12174F59"/>
    <w:rsid w:val="121C256F"/>
    <w:rsid w:val="121F3E0E"/>
    <w:rsid w:val="122B1E8F"/>
    <w:rsid w:val="122D269E"/>
    <w:rsid w:val="123154A2"/>
    <w:rsid w:val="12437AFC"/>
    <w:rsid w:val="124A34D7"/>
    <w:rsid w:val="124B075F"/>
    <w:rsid w:val="126006AE"/>
    <w:rsid w:val="126134A6"/>
    <w:rsid w:val="126F05CA"/>
    <w:rsid w:val="127E0B34"/>
    <w:rsid w:val="1283439D"/>
    <w:rsid w:val="12955E7E"/>
    <w:rsid w:val="1299771C"/>
    <w:rsid w:val="129A3494"/>
    <w:rsid w:val="12B46304"/>
    <w:rsid w:val="12C26621"/>
    <w:rsid w:val="12C66037"/>
    <w:rsid w:val="12C80001"/>
    <w:rsid w:val="12F2507E"/>
    <w:rsid w:val="12F40DF6"/>
    <w:rsid w:val="12F64AA2"/>
    <w:rsid w:val="1305022D"/>
    <w:rsid w:val="13165211"/>
    <w:rsid w:val="131B2827"/>
    <w:rsid w:val="13280AA0"/>
    <w:rsid w:val="13392CAD"/>
    <w:rsid w:val="13396D64"/>
    <w:rsid w:val="1343731E"/>
    <w:rsid w:val="13566593"/>
    <w:rsid w:val="13675557"/>
    <w:rsid w:val="136956F4"/>
    <w:rsid w:val="13763AD6"/>
    <w:rsid w:val="137837D5"/>
    <w:rsid w:val="138606C1"/>
    <w:rsid w:val="139323BD"/>
    <w:rsid w:val="13A22600"/>
    <w:rsid w:val="13A36BE1"/>
    <w:rsid w:val="13AF4D1D"/>
    <w:rsid w:val="13C903FA"/>
    <w:rsid w:val="13DA335F"/>
    <w:rsid w:val="13DA7FEC"/>
    <w:rsid w:val="13E744B7"/>
    <w:rsid w:val="13E9022F"/>
    <w:rsid w:val="13E96481"/>
    <w:rsid w:val="140212F1"/>
    <w:rsid w:val="14063EDB"/>
    <w:rsid w:val="141E7F46"/>
    <w:rsid w:val="142432AD"/>
    <w:rsid w:val="1437543F"/>
    <w:rsid w:val="143A6CDD"/>
    <w:rsid w:val="143F38A8"/>
    <w:rsid w:val="143F60A1"/>
    <w:rsid w:val="14460456"/>
    <w:rsid w:val="144638D4"/>
    <w:rsid w:val="144D6A10"/>
    <w:rsid w:val="145456B6"/>
    <w:rsid w:val="14650326"/>
    <w:rsid w:val="146975C2"/>
    <w:rsid w:val="14755F67"/>
    <w:rsid w:val="14891A12"/>
    <w:rsid w:val="148A3AFD"/>
    <w:rsid w:val="149A5911"/>
    <w:rsid w:val="149C7998"/>
    <w:rsid w:val="149F017E"/>
    <w:rsid w:val="14A01236"/>
    <w:rsid w:val="14AB3BBA"/>
    <w:rsid w:val="14AD5701"/>
    <w:rsid w:val="14CA0061"/>
    <w:rsid w:val="14CA62B3"/>
    <w:rsid w:val="14CC2610"/>
    <w:rsid w:val="14D26F15"/>
    <w:rsid w:val="14E60C13"/>
    <w:rsid w:val="14E629C1"/>
    <w:rsid w:val="14E6501B"/>
    <w:rsid w:val="14FB2910"/>
    <w:rsid w:val="15033573"/>
    <w:rsid w:val="15107A3E"/>
    <w:rsid w:val="151632A6"/>
    <w:rsid w:val="15325D8B"/>
    <w:rsid w:val="15527217"/>
    <w:rsid w:val="156C24AB"/>
    <w:rsid w:val="156E30E2"/>
    <w:rsid w:val="15761F97"/>
    <w:rsid w:val="157E709D"/>
    <w:rsid w:val="1582093B"/>
    <w:rsid w:val="15A11260"/>
    <w:rsid w:val="15B716F5"/>
    <w:rsid w:val="15C070BB"/>
    <w:rsid w:val="15C52DE7"/>
    <w:rsid w:val="15E74C42"/>
    <w:rsid w:val="15FA2BC8"/>
    <w:rsid w:val="16027CCE"/>
    <w:rsid w:val="16145F48"/>
    <w:rsid w:val="16302145"/>
    <w:rsid w:val="16401C83"/>
    <w:rsid w:val="164B53B3"/>
    <w:rsid w:val="164E6A70"/>
    <w:rsid w:val="16873D30"/>
    <w:rsid w:val="168801D3"/>
    <w:rsid w:val="16970417"/>
    <w:rsid w:val="16A15C8E"/>
    <w:rsid w:val="16A91EF8"/>
    <w:rsid w:val="16B1264D"/>
    <w:rsid w:val="16BE3BF5"/>
    <w:rsid w:val="16C3120C"/>
    <w:rsid w:val="16C74B4B"/>
    <w:rsid w:val="16CE4DEC"/>
    <w:rsid w:val="16D056D6"/>
    <w:rsid w:val="16D276A1"/>
    <w:rsid w:val="16D43419"/>
    <w:rsid w:val="16FE0496"/>
    <w:rsid w:val="170D2487"/>
    <w:rsid w:val="170E265C"/>
    <w:rsid w:val="17105BFE"/>
    <w:rsid w:val="17127A9D"/>
    <w:rsid w:val="172B6DB1"/>
    <w:rsid w:val="17365E81"/>
    <w:rsid w:val="173739A8"/>
    <w:rsid w:val="173A48D6"/>
    <w:rsid w:val="173B2B09"/>
    <w:rsid w:val="174840AA"/>
    <w:rsid w:val="174A117A"/>
    <w:rsid w:val="174D31CB"/>
    <w:rsid w:val="174F484D"/>
    <w:rsid w:val="175956CC"/>
    <w:rsid w:val="17626C76"/>
    <w:rsid w:val="1767603B"/>
    <w:rsid w:val="17683B61"/>
    <w:rsid w:val="177B3894"/>
    <w:rsid w:val="177E5564"/>
    <w:rsid w:val="178D01AB"/>
    <w:rsid w:val="17914E66"/>
    <w:rsid w:val="179606CE"/>
    <w:rsid w:val="17BB6387"/>
    <w:rsid w:val="17CF3BE0"/>
    <w:rsid w:val="17DC00C1"/>
    <w:rsid w:val="17E07B9B"/>
    <w:rsid w:val="17EE050A"/>
    <w:rsid w:val="18130D70"/>
    <w:rsid w:val="18131D1F"/>
    <w:rsid w:val="181937F3"/>
    <w:rsid w:val="1831241C"/>
    <w:rsid w:val="18491BE4"/>
    <w:rsid w:val="185C36C6"/>
    <w:rsid w:val="185F6D12"/>
    <w:rsid w:val="18730A0F"/>
    <w:rsid w:val="1876405C"/>
    <w:rsid w:val="187A4B62"/>
    <w:rsid w:val="187D363C"/>
    <w:rsid w:val="18802DD1"/>
    <w:rsid w:val="18890233"/>
    <w:rsid w:val="18910E95"/>
    <w:rsid w:val="18BF5A03"/>
    <w:rsid w:val="18E70460"/>
    <w:rsid w:val="18EB4A4A"/>
    <w:rsid w:val="18FF4051"/>
    <w:rsid w:val="19006747"/>
    <w:rsid w:val="192B4E46"/>
    <w:rsid w:val="193D75A6"/>
    <w:rsid w:val="19457534"/>
    <w:rsid w:val="194B6C84"/>
    <w:rsid w:val="194D74B2"/>
    <w:rsid w:val="195F2D42"/>
    <w:rsid w:val="19670574"/>
    <w:rsid w:val="1988673C"/>
    <w:rsid w:val="198A7DBF"/>
    <w:rsid w:val="199450E1"/>
    <w:rsid w:val="1997072D"/>
    <w:rsid w:val="19A5766C"/>
    <w:rsid w:val="19AA66B3"/>
    <w:rsid w:val="19E25E4D"/>
    <w:rsid w:val="19F978F9"/>
    <w:rsid w:val="1A023DF9"/>
    <w:rsid w:val="1A085187"/>
    <w:rsid w:val="1A0E6C42"/>
    <w:rsid w:val="1A143B2C"/>
    <w:rsid w:val="1A171B21"/>
    <w:rsid w:val="1A255D39"/>
    <w:rsid w:val="1A271AB1"/>
    <w:rsid w:val="1A2A3962"/>
    <w:rsid w:val="1A3A3AD9"/>
    <w:rsid w:val="1A4563DB"/>
    <w:rsid w:val="1A4F2DB6"/>
    <w:rsid w:val="1A7C004F"/>
    <w:rsid w:val="1A7D7923"/>
    <w:rsid w:val="1A8910F2"/>
    <w:rsid w:val="1A9C249F"/>
    <w:rsid w:val="1AA90718"/>
    <w:rsid w:val="1AAB26E2"/>
    <w:rsid w:val="1AAC0209"/>
    <w:rsid w:val="1ADA5C1D"/>
    <w:rsid w:val="1ADF2883"/>
    <w:rsid w:val="1AE41750"/>
    <w:rsid w:val="1AF007D6"/>
    <w:rsid w:val="1B0167A6"/>
    <w:rsid w:val="1B0A2335"/>
    <w:rsid w:val="1B132036"/>
    <w:rsid w:val="1B1F1EE0"/>
    <w:rsid w:val="1B351FAC"/>
    <w:rsid w:val="1B481CDF"/>
    <w:rsid w:val="1B4E306E"/>
    <w:rsid w:val="1B544B28"/>
    <w:rsid w:val="1B8371BB"/>
    <w:rsid w:val="1B9F38C9"/>
    <w:rsid w:val="1BA15893"/>
    <w:rsid w:val="1BA809D0"/>
    <w:rsid w:val="1BB47375"/>
    <w:rsid w:val="1BCA4DEA"/>
    <w:rsid w:val="1BCD0437"/>
    <w:rsid w:val="1BD065D5"/>
    <w:rsid w:val="1BD143CB"/>
    <w:rsid w:val="1BD712B5"/>
    <w:rsid w:val="1BD9502D"/>
    <w:rsid w:val="1BE340FE"/>
    <w:rsid w:val="1BF65BDF"/>
    <w:rsid w:val="1BFF0584"/>
    <w:rsid w:val="1C0976B4"/>
    <w:rsid w:val="1C1E6277"/>
    <w:rsid w:val="1C1E6EE4"/>
    <w:rsid w:val="1C24274C"/>
    <w:rsid w:val="1C275E99"/>
    <w:rsid w:val="1C336C2A"/>
    <w:rsid w:val="1C4371A6"/>
    <w:rsid w:val="1C4A5F2B"/>
    <w:rsid w:val="1C5D5C5E"/>
    <w:rsid w:val="1C5D7A0C"/>
    <w:rsid w:val="1C632B49"/>
    <w:rsid w:val="1C7D3C0B"/>
    <w:rsid w:val="1C824A3B"/>
    <w:rsid w:val="1C8950B0"/>
    <w:rsid w:val="1C9571A6"/>
    <w:rsid w:val="1CA27B15"/>
    <w:rsid w:val="1CAA0778"/>
    <w:rsid w:val="1CAE0268"/>
    <w:rsid w:val="1CB00110"/>
    <w:rsid w:val="1CBB4733"/>
    <w:rsid w:val="1CBE112A"/>
    <w:rsid w:val="1CC47A8B"/>
    <w:rsid w:val="1CE123EB"/>
    <w:rsid w:val="1CE25E31"/>
    <w:rsid w:val="1CFF7E4E"/>
    <w:rsid w:val="1D0205B4"/>
    <w:rsid w:val="1D1502E7"/>
    <w:rsid w:val="1D16439E"/>
    <w:rsid w:val="1D184A7F"/>
    <w:rsid w:val="1D1D5F85"/>
    <w:rsid w:val="1D210A3A"/>
    <w:rsid w:val="1D221FEA"/>
    <w:rsid w:val="1D49179D"/>
    <w:rsid w:val="1D50658A"/>
    <w:rsid w:val="1D5675F2"/>
    <w:rsid w:val="1D5C1A72"/>
    <w:rsid w:val="1D5D51DB"/>
    <w:rsid w:val="1D6468E0"/>
    <w:rsid w:val="1D710ED6"/>
    <w:rsid w:val="1D7A639C"/>
    <w:rsid w:val="1D844E1C"/>
    <w:rsid w:val="1D8B05A9"/>
    <w:rsid w:val="1D943902"/>
    <w:rsid w:val="1DAB29F9"/>
    <w:rsid w:val="1DB123F6"/>
    <w:rsid w:val="1DB160B1"/>
    <w:rsid w:val="1DB811D4"/>
    <w:rsid w:val="1DB82CDF"/>
    <w:rsid w:val="1DBD62FA"/>
    <w:rsid w:val="1DC31AF1"/>
    <w:rsid w:val="1DC67833"/>
    <w:rsid w:val="1DC87107"/>
    <w:rsid w:val="1DD7559C"/>
    <w:rsid w:val="1DDA68EC"/>
    <w:rsid w:val="1DE0312D"/>
    <w:rsid w:val="1DE84AF0"/>
    <w:rsid w:val="1DEB2387"/>
    <w:rsid w:val="1E01086B"/>
    <w:rsid w:val="1E14059F"/>
    <w:rsid w:val="1E200CF1"/>
    <w:rsid w:val="1E340C41"/>
    <w:rsid w:val="1E4F080A"/>
    <w:rsid w:val="1E566E09"/>
    <w:rsid w:val="1E68501D"/>
    <w:rsid w:val="1E6C2189"/>
    <w:rsid w:val="1E766B63"/>
    <w:rsid w:val="1E7A1067"/>
    <w:rsid w:val="1E7D4396"/>
    <w:rsid w:val="1E870D71"/>
    <w:rsid w:val="1EA00084"/>
    <w:rsid w:val="1EA10FA5"/>
    <w:rsid w:val="1EBD0C36"/>
    <w:rsid w:val="1EBE453C"/>
    <w:rsid w:val="1EC73863"/>
    <w:rsid w:val="1EC75611"/>
    <w:rsid w:val="1ED24649"/>
    <w:rsid w:val="1ED3045A"/>
    <w:rsid w:val="1ED476E4"/>
    <w:rsid w:val="1ED55F80"/>
    <w:rsid w:val="1ED71AE4"/>
    <w:rsid w:val="1ED815CC"/>
    <w:rsid w:val="1EDB1B30"/>
    <w:rsid w:val="1EE14925"/>
    <w:rsid w:val="1EE401DE"/>
    <w:rsid w:val="1F0C1276"/>
    <w:rsid w:val="1F1C3BAF"/>
    <w:rsid w:val="1F2E5690"/>
    <w:rsid w:val="1F325180"/>
    <w:rsid w:val="1F3A4035"/>
    <w:rsid w:val="1F5F3A9B"/>
    <w:rsid w:val="1F6D7F66"/>
    <w:rsid w:val="1F7C63FB"/>
    <w:rsid w:val="1F7D3F22"/>
    <w:rsid w:val="1F8D23B7"/>
    <w:rsid w:val="1F8F25D3"/>
    <w:rsid w:val="1F903C55"/>
    <w:rsid w:val="1F953961"/>
    <w:rsid w:val="1F9803AC"/>
    <w:rsid w:val="1FA12306"/>
    <w:rsid w:val="1FA94D17"/>
    <w:rsid w:val="1FA9744C"/>
    <w:rsid w:val="1FB12D69"/>
    <w:rsid w:val="1FB16382"/>
    <w:rsid w:val="1FB7615B"/>
    <w:rsid w:val="1FD13710"/>
    <w:rsid w:val="1FF57F5C"/>
    <w:rsid w:val="20174376"/>
    <w:rsid w:val="20254CE5"/>
    <w:rsid w:val="202B4C70"/>
    <w:rsid w:val="202D3B9A"/>
    <w:rsid w:val="20315438"/>
    <w:rsid w:val="20334B44"/>
    <w:rsid w:val="203776EA"/>
    <w:rsid w:val="203B62B7"/>
    <w:rsid w:val="2043454C"/>
    <w:rsid w:val="204B206D"/>
    <w:rsid w:val="20711CD8"/>
    <w:rsid w:val="2075682A"/>
    <w:rsid w:val="208E65FC"/>
    <w:rsid w:val="20915ED7"/>
    <w:rsid w:val="209F02CD"/>
    <w:rsid w:val="20A25B7C"/>
    <w:rsid w:val="20D02EA3"/>
    <w:rsid w:val="20DA0532"/>
    <w:rsid w:val="20E06E5E"/>
    <w:rsid w:val="20E1356A"/>
    <w:rsid w:val="20E96B05"/>
    <w:rsid w:val="20F36B91"/>
    <w:rsid w:val="21026DD4"/>
    <w:rsid w:val="210B3EDB"/>
    <w:rsid w:val="210B4184"/>
    <w:rsid w:val="211865F8"/>
    <w:rsid w:val="211F1734"/>
    <w:rsid w:val="2130749E"/>
    <w:rsid w:val="213B685C"/>
    <w:rsid w:val="214116AB"/>
    <w:rsid w:val="214A5CFC"/>
    <w:rsid w:val="214E5B76"/>
    <w:rsid w:val="21617F9F"/>
    <w:rsid w:val="21674E89"/>
    <w:rsid w:val="216929AF"/>
    <w:rsid w:val="218B47EA"/>
    <w:rsid w:val="21957C48"/>
    <w:rsid w:val="219D1E23"/>
    <w:rsid w:val="21A32365"/>
    <w:rsid w:val="21B10818"/>
    <w:rsid w:val="21B856E5"/>
    <w:rsid w:val="21C67D2C"/>
    <w:rsid w:val="21D40771"/>
    <w:rsid w:val="21DC13D3"/>
    <w:rsid w:val="21EE6B6B"/>
    <w:rsid w:val="21FC7CC7"/>
    <w:rsid w:val="21FE57EE"/>
    <w:rsid w:val="220A23E4"/>
    <w:rsid w:val="220D63D6"/>
    <w:rsid w:val="22105521"/>
    <w:rsid w:val="22162B37"/>
    <w:rsid w:val="2228286B"/>
    <w:rsid w:val="222D3C14"/>
    <w:rsid w:val="223631D9"/>
    <w:rsid w:val="223905D4"/>
    <w:rsid w:val="223C6316"/>
    <w:rsid w:val="225A426B"/>
    <w:rsid w:val="226407A8"/>
    <w:rsid w:val="226C5EBA"/>
    <w:rsid w:val="226C6405"/>
    <w:rsid w:val="2275784D"/>
    <w:rsid w:val="22883309"/>
    <w:rsid w:val="228C4BA7"/>
    <w:rsid w:val="22943A5C"/>
    <w:rsid w:val="2297451F"/>
    <w:rsid w:val="229E2B2D"/>
    <w:rsid w:val="22A77C33"/>
    <w:rsid w:val="22A9335E"/>
    <w:rsid w:val="22AF6AE8"/>
    <w:rsid w:val="22B660C8"/>
    <w:rsid w:val="22BA5BB9"/>
    <w:rsid w:val="22C83912"/>
    <w:rsid w:val="22CE51C0"/>
    <w:rsid w:val="22D64075"/>
    <w:rsid w:val="22D75BD3"/>
    <w:rsid w:val="22E93163"/>
    <w:rsid w:val="22EA5B1F"/>
    <w:rsid w:val="22EA7B20"/>
    <w:rsid w:val="22FD5AA5"/>
    <w:rsid w:val="2309269C"/>
    <w:rsid w:val="231132FF"/>
    <w:rsid w:val="231150AD"/>
    <w:rsid w:val="231C21FE"/>
    <w:rsid w:val="23201794"/>
    <w:rsid w:val="232606A5"/>
    <w:rsid w:val="233174FD"/>
    <w:rsid w:val="2335523F"/>
    <w:rsid w:val="23452FA8"/>
    <w:rsid w:val="23505B5E"/>
    <w:rsid w:val="23563407"/>
    <w:rsid w:val="235F050E"/>
    <w:rsid w:val="23871813"/>
    <w:rsid w:val="238D507B"/>
    <w:rsid w:val="23982D72"/>
    <w:rsid w:val="239E65D5"/>
    <w:rsid w:val="23A7445B"/>
    <w:rsid w:val="23A91789"/>
    <w:rsid w:val="23BB4C27"/>
    <w:rsid w:val="23C87E61"/>
    <w:rsid w:val="23C90E13"/>
    <w:rsid w:val="23D700A4"/>
    <w:rsid w:val="23D749CD"/>
    <w:rsid w:val="23DC390D"/>
    <w:rsid w:val="23DF51AB"/>
    <w:rsid w:val="23E12CD1"/>
    <w:rsid w:val="23FC5D5D"/>
    <w:rsid w:val="240268DD"/>
    <w:rsid w:val="240D1D18"/>
    <w:rsid w:val="241308D1"/>
    <w:rsid w:val="241E5CD3"/>
    <w:rsid w:val="242022A8"/>
    <w:rsid w:val="242332EA"/>
    <w:rsid w:val="2429118E"/>
    <w:rsid w:val="244317FA"/>
    <w:rsid w:val="24612064"/>
    <w:rsid w:val="247C5AB7"/>
    <w:rsid w:val="24870232"/>
    <w:rsid w:val="24870CFE"/>
    <w:rsid w:val="248A279D"/>
    <w:rsid w:val="249B7324"/>
    <w:rsid w:val="24AA3A0B"/>
    <w:rsid w:val="24AA57B9"/>
    <w:rsid w:val="24AE5A41"/>
    <w:rsid w:val="24B65F0C"/>
    <w:rsid w:val="24BE4E0B"/>
    <w:rsid w:val="24C148B0"/>
    <w:rsid w:val="24E52C95"/>
    <w:rsid w:val="24E7066C"/>
    <w:rsid w:val="24F31271"/>
    <w:rsid w:val="24FB4266"/>
    <w:rsid w:val="25037DBE"/>
    <w:rsid w:val="251B2213"/>
    <w:rsid w:val="25201F1F"/>
    <w:rsid w:val="25242DA8"/>
    <w:rsid w:val="25270BB7"/>
    <w:rsid w:val="254030B0"/>
    <w:rsid w:val="254F1289"/>
    <w:rsid w:val="255A3128"/>
    <w:rsid w:val="256B13EC"/>
    <w:rsid w:val="256C2A6E"/>
    <w:rsid w:val="257302A1"/>
    <w:rsid w:val="257546E1"/>
    <w:rsid w:val="257D4C7B"/>
    <w:rsid w:val="25853B30"/>
    <w:rsid w:val="259049AF"/>
    <w:rsid w:val="25BC57A4"/>
    <w:rsid w:val="25C32FD6"/>
    <w:rsid w:val="25D27B1E"/>
    <w:rsid w:val="25D53C51"/>
    <w:rsid w:val="25D711CE"/>
    <w:rsid w:val="25D8140D"/>
    <w:rsid w:val="25DF1492"/>
    <w:rsid w:val="25F211C5"/>
    <w:rsid w:val="25FF1B34"/>
    <w:rsid w:val="260158AC"/>
    <w:rsid w:val="26151358"/>
    <w:rsid w:val="262B2929"/>
    <w:rsid w:val="262D48F3"/>
    <w:rsid w:val="262E41C8"/>
    <w:rsid w:val="26386260"/>
    <w:rsid w:val="26445799"/>
    <w:rsid w:val="265C6F87"/>
    <w:rsid w:val="2661459D"/>
    <w:rsid w:val="266320C3"/>
    <w:rsid w:val="266B71CA"/>
    <w:rsid w:val="26747E2C"/>
    <w:rsid w:val="268C2457"/>
    <w:rsid w:val="26971D6D"/>
    <w:rsid w:val="26A37EBE"/>
    <w:rsid w:val="26A55B5E"/>
    <w:rsid w:val="26A94D4C"/>
    <w:rsid w:val="26B84685"/>
    <w:rsid w:val="26C30DB4"/>
    <w:rsid w:val="26E054C2"/>
    <w:rsid w:val="26FD42C6"/>
    <w:rsid w:val="270513CC"/>
    <w:rsid w:val="270C62B7"/>
    <w:rsid w:val="271E423C"/>
    <w:rsid w:val="27206206"/>
    <w:rsid w:val="272555CB"/>
    <w:rsid w:val="27286E69"/>
    <w:rsid w:val="272A498F"/>
    <w:rsid w:val="27433CA3"/>
    <w:rsid w:val="2749750B"/>
    <w:rsid w:val="274E2D73"/>
    <w:rsid w:val="275B723E"/>
    <w:rsid w:val="275F6D2E"/>
    <w:rsid w:val="27644345"/>
    <w:rsid w:val="276E0D20"/>
    <w:rsid w:val="278247CB"/>
    <w:rsid w:val="279F537D"/>
    <w:rsid w:val="27A43C03"/>
    <w:rsid w:val="27AB3D22"/>
    <w:rsid w:val="27B748F2"/>
    <w:rsid w:val="27C070A1"/>
    <w:rsid w:val="27C84332"/>
    <w:rsid w:val="27D43884"/>
    <w:rsid w:val="27F21951"/>
    <w:rsid w:val="27F531EF"/>
    <w:rsid w:val="281E7647"/>
    <w:rsid w:val="28285372"/>
    <w:rsid w:val="282F4953"/>
    <w:rsid w:val="28373807"/>
    <w:rsid w:val="284101E2"/>
    <w:rsid w:val="284B2485"/>
    <w:rsid w:val="28686F50"/>
    <w:rsid w:val="28700AC7"/>
    <w:rsid w:val="287A1946"/>
    <w:rsid w:val="288866C2"/>
    <w:rsid w:val="288B3B53"/>
    <w:rsid w:val="28924EE2"/>
    <w:rsid w:val="289F315B"/>
    <w:rsid w:val="28A569C3"/>
    <w:rsid w:val="28B409B4"/>
    <w:rsid w:val="28B77131"/>
    <w:rsid w:val="28C52BC1"/>
    <w:rsid w:val="28C66939"/>
    <w:rsid w:val="28DE0127"/>
    <w:rsid w:val="28E15521"/>
    <w:rsid w:val="28E47A07"/>
    <w:rsid w:val="28E82D54"/>
    <w:rsid w:val="290336EA"/>
    <w:rsid w:val="290D4568"/>
    <w:rsid w:val="292518B2"/>
    <w:rsid w:val="293164A9"/>
    <w:rsid w:val="29325D7D"/>
    <w:rsid w:val="29341AF5"/>
    <w:rsid w:val="293715E5"/>
    <w:rsid w:val="2940049A"/>
    <w:rsid w:val="2946642F"/>
    <w:rsid w:val="294E705B"/>
    <w:rsid w:val="295959FF"/>
    <w:rsid w:val="29891E41"/>
    <w:rsid w:val="298C36DF"/>
    <w:rsid w:val="29AF19BE"/>
    <w:rsid w:val="29B0436D"/>
    <w:rsid w:val="29B11398"/>
    <w:rsid w:val="29B6075C"/>
    <w:rsid w:val="29BA649E"/>
    <w:rsid w:val="29BB2216"/>
    <w:rsid w:val="29BB3FC4"/>
    <w:rsid w:val="29C53533"/>
    <w:rsid w:val="29CD3D28"/>
    <w:rsid w:val="29EE439A"/>
    <w:rsid w:val="29F234A6"/>
    <w:rsid w:val="29F51284"/>
    <w:rsid w:val="2A247DBB"/>
    <w:rsid w:val="2A263B34"/>
    <w:rsid w:val="2A2A78D0"/>
    <w:rsid w:val="2A2F7D67"/>
    <w:rsid w:val="2A3C3357"/>
    <w:rsid w:val="2A3C6EB3"/>
    <w:rsid w:val="2A4D7312"/>
    <w:rsid w:val="2A4E6BE6"/>
    <w:rsid w:val="2A577D75"/>
    <w:rsid w:val="2A587A65"/>
    <w:rsid w:val="2A720B27"/>
    <w:rsid w:val="2A7C7BF7"/>
    <w:rsid w:val="2A866380"/>
    <w:rsid w:val="2A950CB9"/>
    <w:rsid w:val="2A9D36CA"/>
    <w:rsid w:val="2A9F5694"/>
    <w:rsid w:val="2AAF1D7B"/>
    <w:rsid w:val="2ABE3D6C"/>
    <w:rsid w:val="2AD01CF1"/>
    <w:rsid w:val="2ADC0696"/>
    <w:rsid w:val="2B065713"/>
    <w:rsid w:val="2B08148B"/>
    <w:rsid w:val="2B125E66"/>
    <w:rsid w:val="2B1A2E54"/>
    <w:rsid w:val="2B334FBF"/>
    <w:rsid w:val="2B3C1135"/>
    <w:rsid w:val="2B420810"/>
    <w:rsid w:val="2B522706"/>
    <w:rsid w:val="2B572F02"/>
    <w:rsid w:val="2B680673"/>
    <w:rsid w:val="2B6C5576"/>
    <w:rsid w:val="2B7579F7"/>
    <w:rsid w:val="2B7E6805"/>
    <w:rsid w:val="2B8F395A"/>
    <w:rsid w:val="2B9D7E25"/>
    <w:rsid w:val="2BAA613D"/>
    <w:rsid w:val="2BC41BFF"/>
    <w:rsid w:val="2BD31A99"/>
    <w:rsid w:val="2BD62420"/>
    <w:rsid w:val="2BD94334"/>
    <w:rsid w:val="2BE912BD"/>
    <w:rsid w:val="2BE92273"/>
    <w:rsid w:val="2BF55E22"/>
    <w:rsid w:val="2C0954BB"/>
    <w:rsid w:val="2C147DB3"/>
    <w:rsid w:val="2C2A71DF"/>
    <w:rsid w:val="2C2B3683"/>
    <w:rsid w:val="2C2C2F57"/>
    <w:rsid w:val="2C31355F"/>
    <w:rsid w:val="2C4B5AD3"/>
    <w:rsid w:val="2C625EB4"/>
    <w:rsid w:val="2C626979"/>
    <w:rsid w:val="2C635C8A"/>
    <w:rsid w:val="2C736DD8"/>
    <w:rsid w:val="2C7A0142"/>
    <w:rsid w:val="2C901738"/>
    <w:rsid w:val="2C954FA0"/>
    <w:rsid w:val="2CA3146B"/>
    <w:rsid w:val="2CB05936"/>
    <w:rsid w:val="2CC3566A"/>
    <w:rsid w:val="2CD96A81"/>
    <w:rsid w:val="2CDE5FD9"/>
    <w:rsid w:val="2CDF446E"/>
    <w:rsid w:val="2CED26E7"/>
    <w:rsid w:val="2D012636"/>
    <w:rsid w:val="2D026A64"/>
    <w:rsid w:val="2D08417F"/>
    <w:rsid w:val="2D087520"/>
    <w:rsid w:val="2D18455E"/>
    <w:rsid w:val="2D297497"/>
    <w:rsid w:val="2D2C76B3"/>
    <w:rsid w:val="2D2D342B"/>
    <w:rsid w:val="2D4A18E7"/>
    <w:rsid w:val="2D4B565F"/>
    <w:rsid w:val="2D4D7629"/>
    <w:rsid w:val="2D5E5392"/>
    <w:rsid w:val="2D686211"/>
    <w:rsid w:val="2D6D5C31"/>
    <w:rsid w:val="2D7352E2"/>
    <w:rsid w:val="2D7921CC"/>
    <w:rsid w:val="2D825525"/>
    <w:rsid w:val="2D85560F"/>
    <w:rsid w:val="2D8A4E29"/>
    <w:rsid w:val="2D922713"/>
    <w:rsid w:val="2D9E1C33"/>
    <w:rsid w:val="2DB66924"/>
    <w:rsid w:val="2DC0604D"/>
    <w:rsid w:val="2DCD2FD2"/>
    <w:rsid w:val="2DDF3957"/>
    <w:rsid w:val="2DEC0BF0"/>
    <w:rsid w:val="2DEE7921"/>
    <w:rsid w:val="2DF06932"/>
    <w:rsid w:val="2DF504E4"/>
    <w:rsid w:val="2E057F04"/>
    <w:rsid w:val="2E093550"/>
    <w:rsid w:val="2E183793"/>
    <w:rsid w:val="2E1A104B"/>
    <w:rsid w:val="2E1E4633"/>
    <w:rsid w:val="2E311F95"/>
    <w:rsid w:val="2E375631"/>
    <w:rsid w:val="2E485CF9"/>
    <w:rsid w:val="2E642E7C"/>
    <w:rsid w:val="2E652751"/>
    <w:rsid w:val="2E690493"/>
    <w:rsid w:val="2E755089"/>
    <w:rsid w:val="2E761EA4"/>
    <w:rsid w:val="2E76670C"/>
    <w:rsid w:val="2E7A26A0"/>
    <w:rsid w:val="2E8928E3"/>
    <w:rsid w:val="2E95326D"/>
    <w:rsid w:val="2EA11A1E"/>
    <w:rsid w:val="2EA65243"/>
    <w:rsid w:val="2EA80FBB"/>
    <w:rsid w:val="2EA9088F"/>
    <w:rsid w:val="2EAE5EA6"/>
    <w:rsid w:val="2EB040E3"/>
    <w:rsid w:val="2EB5368F"/>
    <w:rsid w:val="2EB70BEC"/>
    <w:rsid w:val="2ECD61E3"/>
    <w:rsid w:val="2ED51684"/>
    <w:rsid w:val="2EE47B19"/>
    <w:rsid w:val="2EFA10EB"/>
    <w:rsid w:val="2EFA733D"/>
    <w:rsid w:val="2F033533"/>
    <w:rsid w:val="2F13711A"/>
    <w:rsid w:val="2F1403FE"/>
    <w:rsid w:val="2F1C3757"/>
    <w:rsid w:val="2F397E65"/>
    <w:rsid w:val="2F4E1D0F"/>
    <w:rsid w:val="2F5051AF"/>
    <w:rsid w:val="2F6D5D61"/>
    <w:rsid w:val="2F6E3A84"/>
    <w:rsid w:val="2F7865AA"/>
    <w:rsid w:val="2F8512FC"/>
    <w:rsid w:val="2F8A06C1"/>
    <w:rsid w:val="2F8F5CD7"/>
    <w:rsid w:val="2FC21522"/>
    <w:rsid w:val="2FC736C3"/>
    <w:rsid w:val="2FC84674"/>
    <w:rsid w:val="2FDE6606"/>
    <w:rsid w:val="2FE82A90"/>
    <w:rsid w:val="2FF344B8"/>
    <w:rsid w:val="2FF7387C"/>
    <w:rsid w:val="2FFB511A"/>
    <w:rsid w:val="301663F8"/>
    <w:rsid w:val="301F34FF"/>
    <w:rsid w:val="30284935"/>
    <w:rsid w:val="304F5466"/>
    <w:rsid w:val="30556F21"/>
    <w:rsid w:val="305B3E0B"/>
    <w:rsid w:val="307373A7"/>
    <w:rsid w:val="30751371"/>
    <w:rsid w:val="307F3F9D"/>
    <w:rsid w:val="30B579BF"/>
    <w:rsid w:val="30BF439A"/>
    <w:rsid w:val="30C10112"/>
    <w:rsid w:val="30CD2F5B"/>
    <w:rsid w:val="30D16C82"/>
    <w:rsid w:val="30D74EFB"/>
    <w:rsid w:val="30E718CA"/>
    <w:rsid w:val="30E97669"/>
    <w:rsid w:val="3102072B"/>
    <w:rsid w:val="311E2422"/>
    <w:rsid w:val="312608BD"/>
    <w:rsid w:val="31277A6D"/>
    <w:rsid w:val="3138414C"/>
    <w:rsid w:val="315A40C3"/>
    <w:rsid w:val="31794069"/>
    <w:rsid w:val="3183186B"/>
    <w:rsid w:val="318F1FBE"/>
    <w:rsid w:val="319E66A5"/>
    <w:rsid w:val="31AE37B4"/>
    <w:rsid w:val="31AF3D3F"/>
    <w:rsid w:val="31B732C3"/>
    <w:rsid w:val="31C559E0"/>
    <w:rsid w:val="31C854D0"/>
    <w:rsid w:val="31D420C7"/>
    <w:rsid w:val="31E63BA8"/>
    <w:rsid w:val="320A5CAC"/>
    <w:rsid w:val="32116E77"/>
    <w:rsid w:val="3212499D"/>
    <w:rsid w:val="32313075"/>
    <w:rsid w:val="323B6D3E"/>
    <w:rsid w:val="323C0742"/>
    <w:rsid w:val="324059AE"/>
    <w:rsid w:val="32456B21"/>
    <w:rsid w:val="324A05DB"/>
    <w:rsid w:val="324E1E79"/>
    <w:rsid w:val="324E38E3"/>
    <w:rsid w:val="325219B1"/>
    <w:rsid w:val="325E64A6"/>
    <w:rsid w:val="326C0551"/>
    <w:rsid w:val="32700042"/>
    <w:rsid w:val="32737B32"/>
    <w:rsid w:val="327A0EC0"/>
    <w:rsid w:val="327B69E7"/>
    <w:rsid w:val="32987720"/>
    <w:rsid w:val="329D070B"/>
    <w:rsid w:val="32AE70E0"/>
    <w:rsid w:val="32B36CE5"/>
    <w:rsid w:val="32B37F2E"/>
    <w:rsid w:val="32B617CD"/>
    <w:rsid w:val="32CD730F"/>
    <w:rsid w:val="32D00687"/>
    <w:rsid w:val="32E96503"/>
    <w:rsid w:val="33062754"/>
    <w:rsid w:val="330C763F"/>
    <w:rsid w:val="33112A84"/>
    <w:rsid w:val="331F55C4"/>
    <w:rsid w:val="331F7372"/>
    <w:rsid w:val="33260700"/>
    <w:rsid w:val="33264BA4"/>
    <w:rsid w:val="33294694"/>
    <w:rsid w:val="332C1A8F"/>
    <w:rsid w:val="332E1CAB"/>
    <w:rsid w:val="333D5A4A"/>
    <w:rsid w:val="334054A8"/>
    <w:rsid w:val="335039CF"/>
    <w:rsid w:val="3353526D"/>
    <w:rsid w:val="336934AE"/>
    <w:rsid w:val="338423DD"/>
    <w:rsid w:val="3392223A"/>
    <w:rsid w:val="33AB1439"/>
    <w:rsid w:val="33BA709B"/>
    <w:rsid w:val="33BC2E13"/>
    <w:rsid w:val="33C63C64"/>
    <w:rsid w:val="33DF57E6"/>
    <w:rsid w:val="33E04D53"/>
    <w:rsid w:val="33EA3E24"/>
    <w:rsid w:val="340C3D9A"/>
    <w:rsid w:val="34142C4F"/>
    <w:rsid w:val="341669C7"/>
    <w:rsid w:val="341837B7"/>
    <w:rsid w:val="341964B7"/>
    <w:rsid w:val="34254E5C"/>
    <w:rsid w:val="34321327"/>
    <w:rsid w:val="343706EB"/>
    <w:rsid w:val="343E1A7A"/>
    <w:rsid w:val="34403A44"/>
    <w:rsid w:val="34481525"/>
    <w:rsid w:val="344A7002"/>
    <w:rsid w:val="344D7F0F"/>
    <w:rsid w:val="34594B05"/>
    <w:rsid w:val="34645984"/>
    <w:rsid w:val="34680092"/>
    <w:rsid w:val="34767593"/>
    <w:rsid w:val="347B4A7C"/>
    <w:rsid w:val="347D3C45"/>
    <w:rsid w:val="348410F4"/>
    <w:rsid w:val="34884A4A"/>
    <w:rsid w:val="34987531"/>
    <w:rsid w:val="349C2EAB"/>
    <w:rsid w:val="34AA5A97"/>
    <w:rsid w:val="34D81948"/>
    <w:rsid w:val="34D81ECE"/>
    <w:rsid w:val="34DA795B"/>
    <w:rsid w:val="34E95E89"/>
    <w:rsid w:val="35165311"/>
    <w:rsid w:val="35185716"/>
    <w:rsid w:val="351A24E7"/>
    <w:rsid w:val="35223E70"/>
    <w:rsid w:val="35311149"/>
    <w:rsid w:val="35381290"/>
    <w:rsid w:val="35386E11"/>
    <w:rsid w:val="3566572C"/>
    <w:rsid w:val="35665BA0"/>
    <w:rsid w:val="357534A8"/>
    <w:rsid w:val="357D4824"/>
    <w:rsid w:val="35804783"/>
    <w:rsid w:val="3583008C"/>
    <w:rsid w:val="35931E3C"/>
    <w:rsid w:val="35B4648C"/>
    <w:rsid w:val="35D25868"/>
    <w:rsid w:val="35DC779C"/>
    <w:rsid w:val="35E6686D"/>
    <w:rsid w:val="35EB5C31"/>
    <w:rsid w:val="35ED7BFB"/>
    <w:rsid w:val="361C403D"/>
    <w:rsid w:val="361E3E5D"/>
    <w:rsid w:val="36363350"/>
    <w:rsid w:val="3639699D"/>
    <w:rsid w:val="363A74FC"/>
    <w:rsid w:val="363E4EB4"/>
    <w:rsid w:val="36545584"/>
    <w:rsid w:val="36631C6B"/>
    <w:rsid w:val="366A4DA8"/>
    <w:rsid w:val="36743E79"/>
    <w:rsid w:val="36785717"/>
    <w:rsid w:val="367D0F7F"/>
    <w:rsid w:val="36883480"/>
    <w:rsid w:val="369923B0"/>
    <w:rsid w:val="369B7657"/>
    <w:rsid w:val="36AC53C0"/>
    <w:rsid w:val="36C22E36"/>
    <w:rsid w:val="36C814AD"/>
    <w:rsid w:val="36CF1D40"/>
    <w:rsid w:val="36D358EB"/>
    <w:rsid w:val="36DA0180"/>
    <w:rsid w:val="36E23394"/>
    <w:rsid w:val="36E7289C"/>
    <w:rsid w:val="37040D59"/>
    <w:rsid w:val="370451FC"/>
    <w:rsid w:val="371371EE"/>
    <w:rsid w:val="371B60A2"/>
    <w:rsid w:val="372633C5"/>
    <w:rsid w:val="372C602D"/>
    <w:rsid w:val="3733163E"/>
    <w:rsid w:val="373B4C58"/>
    <w:rsid w:val="374455F9"/>
    <w:rsid w:val="374970B3"/>
    <w:rsid w:val="374B2E2B"/>
    <w:rsid w:val="375C0B95"/>
    <w:rsid w:val="37623CD1"/>
    <w:rsid w:val="378D51F2"/>
    <w:rsid w:val="37936580"/>
    <w:rsid w:val="37A70B95"/>
    <w:rsid w:val="37AD7642"/>
    <w:rsid w:val="37B26A07"/>
    <w:rsid w:val="37C44EBB"/>
    <w:rsid w:val="37D03331"/>
    <w:rsid w:val="37D5272F"/>
    <w:rsid w:val="37EA083E"/>
    <w:rsid w:val="37EB02CF"/>
    <w:rsid w:val="37F05781"/>
    <w:rsid w:val="38003C16"/>
    <w:rsid w:val="38222A28"/>
    <w:rsid w:val="382F44FB"/>
    <w:rsid w:val="3836588A"/>
    <w:rsid w:val="38397128"/>
    <w:rsid w:val="383C2774"/>
    <w:rsid w:val="383E029A"/>
    <w:rsid w:val="38451629"/>
    <w:rsid w:val="38507FCD"/>
    <w:rsid w:val="385408E3"/>
    <w:rsid w:val="38545D10"/>
    <w:rsid w:val="385775AE"/>
    <w:rsid w:val="38613F89"/>
    <w:rsid w:val="386C792A"/>
    <w:rsid w:val="386F66A6"/>
    <w:rsid w:val="38710670"/>
    <w:rsid w:val="38741F0E"/>
    <w:rsid w:val="3886439B"/>
    <w:rsid w:val="38883C0B"/>
    <w:rsid w:val="38907B06"/>
    <w:rsid w:val="389C3213"/>
    <w:rsid w:val="38A00F55"/>
    <w:rsid w:val="38A65E3F"/>
    <w:rsid w:val="38B425CD"/>
    <w:rsid w:val="38BB5D8F"/>
    <w:rsid w:val="38BB7B3D"/>
    <w:rsid w:val="38E52E0C"/>
    <w:rsid w:val="38E54BBA"/>
    <w:rsid w:val="38E70932"/>
    <w:rsid w:val="38F44DFD"/>
    <w:rsid w:val="38F80D91"/>
    <w:rsid w:val="3905700A"/>
    <w:rsid w:val="39134975"/>
    <w:rsid w:val="391A765C"/>
    <w:rsid w:val="392576AC"/>
    <w:rsid w:val="3927034E"/>
    <w:rsid w:val="39331DC9"/>
    <w:rsid w:val="393A4F06"/>
    <w:rsid w:val="39461AFC"/>
    <w:rsid w:val="394713D0"/>
    <w:rsid w:val="39477622"/>
    <w:rsid w:val="394C7064"/>
    <w:rsid w:val="3951617D"/>
    <w:rsid w:val="39576B02"/>
    <w:rsid w:val="39587E67"/>
    <w:rsid w:val="39673821"/>
    <w:rsid w:val="396F0447"/>
    <w:rsid w:val="39721ED6"/>
    <w:rsid w:val="3980268B"/>
    <w:rsid w:val="39842625"/>
    <w:rsid w:val="398A630E"/>
    <w:rsid w:val="39954087"/>
    <w:rsid w:val="399B34CA"/>
    <w:rsid w:val="39A23C12"/>
    <w:rsid w:val="39BF7EC2"/>
    <w:rsid w:val="39C40C73"/>
    <w:rsid w:val="39CA16D6"/>
    <w:rsid w:val="39CD3FCC"/>
    <w:rsid w:val="39CE1AF2"/>
    <w:rsid w:val="39DC420F"/>
    <w:rsid w:val="39DE7F87"/>
    <w:rsid w:val="3A0F3EB6"/>
    <w:rsid w:val="3A290CED"/>
    <w:rsid w:val="3A376517"/>
    <w:rsid w:val="3A4526FC"/>
    <w:rsid w:val="3A4678DA"/>
    <w:rsid w:val="3A471CD1"/>
    <w:rsid w:val="3A5169AB"/>
    <w:rsid w:val="3A5C534F"/>
    <w:rsid w:val="3A5D405C"/>
    <w:rsid w:val="3A6769CF"/>
    <w:rsid w:val="3A7960CF"/>
    <w:rsid w:val="3A8F1281"/>
    <w:rsid w:val="3A963B49"/>
    <w:rsid w:val="3AA52853"/>
    <w:rsid w:val="3ABA5BEF"/>
    <w:rsid w:val="3AC727C9"/>
    <w:rsid w:val="3ACA4067"/>
    <w:rsid w:val="3ADC2E01"/>
    <w:rsid w:val="3AEC0481"/>
    <w:rsid w:val="3AEC66D3"/>
    <w:rsid w:val="3AEE22E7"/>
    <w:rsid w:val="3AEF3ACE"/>
    <w:rsid w:val="3B060D7E"/>
    <w:rsid w:val="3B0C0B24"/>
    <w:rsid w:val="3B131EB2"/>
    <w:rsid w:val="3B24560B"/>
    <w:rsid w:val="3B255741"/>
    <w:rsid w:val="3B2831B5"/>
    <w:rsid w:val="3B2C2F74"/>
    <w:rsid w:val="3B381919"/>
    <w:rsid w:val="3B457B92"/>
    <w:rsid w:val="3B4E4C98"/>
    <w:rsid w:val="3B530501"/>
    <w:rsid w:val="3B697D24"/>
    <w:rsid w:val="3B6E0E96"/>
    <w:rsid w:val="3B7364AD"/>
    <w:rsid w:val="3B781D15"/>
    <w:rsid w:val="3B787F67"/>
    <w:rsid w:val="3B8701AA"/>
    <w:rsid w:val="3B8763FC"/>
    <w:rsid w:val="3BB04799"/>
    <w:rsid w:val="3BB23479"/>
    <w:rsid w:val="3BB6283D"/>
    <w:rsid w:val="3BBF7944"/>
    <w:rsid w:val="3BD01B51"/>
    <w:rsid w:val="3BD55EF8"/>
    <w:rsid w:val="3BDC04F6"/>
    <w:rsid w:val="3BDD601C"/>
    <w:rsid w:val="3BE473AB"/>
    <w:rsid w:val="3BE671AF"/>
    <w:rsid w:val="3BEC625F"/>
    <w:rsid w:val="3C0E61D6"/>
    <w:rsid w:val="3C3245BA"/>
    <w:rsid w:val="3C3C71E7"/>
    <w:rsid w:val="3C502C92"/>
    <w:rsid w:val="3C5207B8"/>
    <w:rsid w:val="3C5E715D"/>
    <w:rsid w:val="3C68449E"/>
    <w:rsid w:val="3C7B7D0F"/>
    <w:rsid w:val="3CA16B3F"/>
    <w:rsid w:val="3CB11983"/>
    <w:rsid w:val="3CC03974"/>
    <w:rsid w:val="3CC21C64"/>
    <w:rsid w:val="3CC66AB0"/>
    <w:rsid w:val="3CC87600"/>
    <w:rsid w:val="3CD94A35"/>
    <w:rsid w:val="3CDD2778"/>
    <w:rsid w:val="3CEC29BB"/>
    <w:rsid w:val="3D385C00"/>
    <w:rsid w:val="3D402D06"/>
    <w:rsid w:val="3D475E43"/>
    <w:rsid w:val="3D4D50D1"/>
    <w:rsid w:val="3D4E0F7F"/>
    <w:rsid w:val="3D4E71D1"/>
    <w:rsid w:val="3D5227F9"/>
    <w:rsid w:val="3D566086"/>
    <w:rsid w:val="3D5B369C"/>
    <w:rsid w:val="3D65276D"/>
    <w:rsid w:val="3D803DBC"/>
    <w:rsid w:val="3D8C4591"/>
    <w:rsid w:val="3D8C5F4C"/>
    <w:rsid w:val="3D8E5820"/>
    <w:rsid w:val="3D934BE4"/>
    <w:rsid w:val="3D956BAE"/>
    <w:rsid w:val="3D9C41C3"/>
    <w:rsid w:val="3DAB4624"/>
    <w:rsid w:val="3DB31B27"/>
    <w:rsid w:val="3DB50FFF"/>
    <w:rsid w:val="3DB9344B"/>
    <w:rsid w:val="3DBA03C3"/>
    <w:rsid w:val="3DBB413B"/>
    <w:rsid w:val="3DBD7EB3"/>
    <w:rsid w:val="3DC76A83"/>
    <w:rsid w:val="3DD07BE6"/>
    <w:rsid w:val="3DF77869"/>
    <w:rsid w:val="3E141C6C"/>
    <w:rsid w:val="3E2B711B"/>
    <w:rsid w:val="3E2D328B"/>
    <w:rsid w:val="3E3A1504"/>
    <w:rsid w:val="3E4660FB"/>
    <w:rsid w:val="3E474961"/>
    <w:rsid w:val="3E587BDC"/>
    <w:rsid w:val="3E622809"/>
    <w:rsid w:val="3E7013C9"/>
    <w:rsid w:val="3E7A2248"/>
    <w:rsid w:val="3E7B5510"/>
    <w:rsid w:val="3E832EAB"/>
    <w:rsid w:val="3E94330A"/>
    <w:rsid w:val="3E9E7CE5"/>
    <w:rsid w:val="3EB63280"/>
    <w:rsid w:val="3EC3599D"/>
    <w:rsid w:val="3EC55271"/>
    <w:rsid w:val="3ED92ACB"/>
    <w:rsid w:val="3EDB4A95"/>
    <w:rsid w:val="3EDC25BB"/>
    <w:rsid w:val="3EED5E94"/>
    <w:rsid w:val="3EF142B8"/>
    <w:rsid w:val="3EF26282"/>
    <w:rsid w:val="3F0D301A"/>
    <w:rsid w:val="3F141D55"/>
    <w:rsid w:val="3F3348D1"/>
    <w:rsid w:val="3F474563"/>
    <w:rsid w:val="3F56236D"/>
    <w:rsid w:val="3F636838"/>
    <w:rsid w:val="3F676329"/>
    <w:rsid w:val="3F6820A1"/>
    <w:rsid w:val="3F8073EA"/>
    <w:rsid w:val="3F8E7D59"/>
    <w:rsid w:val="3FA255B3"/>
    <w:rsid w:val="3FA7706D"/>
    <w:rsid w:val="3FA96941"/>
    <w:rsid w:val="3FCC6AD3"/>
    <w:rsid w:val="3FD6525C"/>
    <w:rsid w:val="3FDC2ADC"/>
    <w:rsid w:val="3FE931E1"/>
    <w:rsid w:val="3FEB0F64"/>
    <w:rsid w:val="3FF81676"/>
    <w:rsid w:val="4013025E"/>
    <w:rsid w:val="40153FD6"/>
    <w:rsid w:val="402B27F6"/>
    <w:rsid w:val="40354679"/>
    <w:rsid w:val="4037219F"/>
    <w:rsid w:val="403A1342"/>
    <w:rsid w:val="403A3A3D"/>
    <w:rsid w:val="403B3CF3"/>
    <w:rsid w:val="403E7FF9"/>
    <w:rsid w:val="403F1053"/>
    <w:rsid w:val="403F72A5"/>
    <w:rsid w:val="404E74E8"/>
    <w:rsid w:val="40672358"/>
    <w:rsid w:val="407047E3"/>
    <w:rsid w:val="407370A0"/>
    <w:rsid w:val="408829FA"/>
    <w:rsid w:val="408D6263"/>
    <w:rsid w:val="40953369"/>
    <w:rsid w:val="40966C89"/>
    <w:rsid w:val="409C0254"/>
    <w:rsid w:val="40A26C92"/>
    <w:rsid w:val="40B3559D"/>
    <w:rsid w:val="40BD4C8E"/>
    <w:rsid w:val="40CB6D8B"/>
    <w:rsid w:val="40E13F83"/>
    <w:rsid w:val="40E63BC5"/>
    <w:rsid w:val="40F475A0"/>
    <w:rsid w:val="40F938F8"/>
    <w:rsid w:val="41055DF9"/>
    <w:rsid w:val="410C52E4"/>
    <w:rsid w:val="411918A4"/>
    <w:rsid w:val="411C3143"/>
    <w:rsid w:val="41236F59"/>
    <w:rsid w:val="412503A7"/>
    <w:rsid w:val="41264427"/>
    <w:rsid w:val="412A1D04"/>
    <w:rsid w:val="412C6656"/>
    <w:rsid w:val="412D35A2"/>
    <w:rsid w:val="4148218A"/>
    <w:rsid w:val="41562CE5"/>
    <w:rsid w:val="4157061F"/>
    <w:rsid w:val="415723CD"/>
    <w:rsid w:val="416045CA"/>
    <w:rsid w:val="41635215"/>
    <w:rsid w:val="416B7C26"/>
    <w:rsid w:val="416F5968"/>
    <w:rsid w:val="41703483"/>
    <w:rsid w:val="41831414"/>
    <w:rsid w:val="41AE46E3"/>
    <w:rsid w:val="41AF045B"/>
    <w:rsid w:val="41BD0482"/>
    <w:rsid w:val="41C802AD"/>
    <w:rsid w:val="41DB0F75"/>
    <w:rsid w:val="41DB4DAC"/>
    <w:rsid w:val="41E2022F"/>
    <w:rsid w:val="41E2438C"/>
    <w:rsid w:val="41E55C2A"/>
    <w:rsid w:val="41EA4FEF"/>
    <w:rsid w:val="41FD4D22"/>
    <w:rsid w:val="42075BA1"/>
    <w:rsid w:val="420E6F2F"/>
    <w:rsid w:val="422C3859"/>
    <w:rsid w:val="42360234"/>
    <w:rsid w:val="423D5A66"/>
    <w:rsid w:val="42415557"/>
    <w:rsid w:val="4252745A"/>
    <w:rsid w:val="425A2175"/>
    <w:rsid w:val="425F778B"/>
    <w:rsid w:val="427E23AB"/>
    <w:rsid w:val="42813BA5"/>
    <w:rsid w:val="428B67D2"/>
    <w:rsid w:val="429624FE"/>
    <w:rsid w:val="42A53A4F"/>
    <w:rsid w:val="42AB6E74"/>
    <w:rsid w:val="42C27D1A"/>
    <w:rsid w:val="42C43A92"/>
    <w:rsid w:val="42CD6DEA"/>
    <w:rsid w:val="42CE4911"/>
    <w:rsid w:val="42D00689"/>
    <w:rsid w:val="42D1070F"/>
    <w:rsid w:val="42D71A17"/>
    <w:rsid w:val="42D9688B"/>
    <w:rsid w:val="42DE1E2E"/>
    <w:rsid w:val="42E23D4E"/>
    <w:rsid w:val="42E2557F"/>
    <w:rsid w:val="42F212B5"/>
    <w:rsid w:val="42F9198D"/>
    <w:rsid w:val="43086074"/>
    <w:rsid w:val="43315D2E"/>
    <w:rsid w:val="43466528"/>
    <w:rsid w:val="43544E16"/>
    <w:rsid w:val="435C1F1C"/>
    <w:rsid w:val="43657023"/>
    <w:rsid w:val="436A288B"/>
    <w:rsid w:val="437B6846"/>
    <w:rsid w:val="43937B6C"/>
    <w:rsid w:val="43A318F9"/>
    <w:rsid w:val="43A86F10"/>
    <w:rsid w:val="43AC2E51"/>
    <w:rsid w:val="43BD0C0D"/>
    <w:rsid w:val="43C53F65"/>
    <w:rsid w:val="43E04A33"/>
    <w:rsid w:val="43FF1225"/>
    <w:rsid w:val="440120F5"/>
    <w:rsid w:val="44020D16"/>
    <w:rsid w:val="44103433"/>
    <w:rsid w:val="44145283"/>
    <w:rsid w:val="441F5D36"/>
    <w:rsid w:val="44202F4A"/>
    <w:rsid w:val="44242A3A"/>
    <w:rsid w:val="4427077C"/>
    <w:rsid w:val="443928F3"/>
    <w:rsid w:val="44496945"/>
    <w:rsid w:val="445D7CFA"/>
    <w:rsid w:val="445F7F16"/>
    <w:rsid w:val="44641089"/>
    <w:rsid w:val="446B68BB"/>
    <w:rsid w:val="446F7A2D"/>
    <w:rsid w:val="44871D79"/>
    <w:rsid w:val="44913E48"/>
    <w:rsid w:val="449B7477"/>
    <w:rsid w:val="449F0313"/>
    <w:rsid w:val="44A44B31"/>
    <w:rsid w:val="44A91191"/>
    <w:rsid w:val="44AB6CB7"/>
    <w:rsid w:val="44B20203"/>
    <w:rsid w:val="44B6565C"/>
    <w:rsid w:val="44BF09B5"/>
    <w:rsid w:val="44C304A5"/>
    <w:rsid w:val="44D426B2"/>
    <w:rsid w:val="44DF1057"/>
    <w:rsid w:val="44F248E6"/>
    <w:rsid w:val="44F405A8"/>
    <w:rsid w:val="451A208F"/>
    <w:rsid w:val="451C584C"/>
    <w:rsid w:val="452A2718"/>
    <w:rsid w:val="452B429C"/>
    <w:rsid w:val="453C3DB3"/>
    <w:rsid w:val="45433394"/>
    <w:rsid w:val="455235D7"/>
    <w:rsid w:val="45576E3F"/>
    <w:rsid w:val="45594965"/>
    <w:rsid w:val="455E1F7C"/>
    <w:rsid w:val="455F7AA2"/>
    <w:rsid w:val="45637592"/>
    <w:rsid w:val="4574354D"/>
    <w:rsid w:val="45A375C1"/>
    <w:rsid w:val="45A55DFD"/>
    <w:rsid w:val="45A656D1"/>
    <w:rsid w:val="45B46040"/>
    <w:rsid w:val="45B82995"/>
    <w:rsid w:val="45BC26A5"/>
    <w:rsid w:val="45C5024D"/>
    <w:rsid w:val="45C81AEB"/>
    <w:rsid w:val="45DF6CBF"/>
    <w:rsid w:val="45E87DBD"/>
    <w:rsid w:val="45FF73D8"/>
    <w:rsid w:val="4611121F"/>
    <w:rsid w:val="46317690"/>
    <w:rsid w:val="46342CDD"/>
    <w:rsid w:val="465B470D"/>
    <w:rsid w:val="46601D24"/>
    <w:rsid w:val="467066EF"/>
    <w:rsid w:val="468C2B19"/>
    <w:rsid w:val="46A9191C"/>
    <w:rsid w:val="46BD7176"/>
    <w:rsid w:val="46C22917"/>
    <w:rsid w:val="46C67DD9"/>
    <w:rsid w:val="46CD560B"/>
    <w:rsid w:val="46CE4EDF"/>
    <w:rsid w:val="46CF76DE"/>
    <w:rsid w:val="46D06EA9"/>
    <w:rsid w:val="46F26E20"/>
    <w:rsid w:val="46F32B98"/>
    <w:rsid w:val="46FD7795"/>
    <w:rsid w:val="46FF32EA"/>
    <w:rsid w:val="470321F6"/>
    <w:rsid w:val="470E59CC"/>
    <w:rsid w:val="47347438"/>
    <w:rsid w:val="47365503"/>
    <w:rsid w:val="473A07C7"/>
    <w:rsid w:val="473D0789"/>
    <w:rsid w:val="47655843"/>
    <w:rsid w:val="476B0980"/>
    <w:rsid w:val="476E0F9A"/>
    <w:rsid w:val="478050B6"/>
    <w:rsid w:val="47827703"/>
    <w:rsid w:val="47A71502"/>
    <w:rsid w:val="47AC0237"/>
    <w:rsid w:val="47CF316E"/>
    <w:rsid w:val="47DB3D58"/>
    <w:rsid w:val="47E16C8E"/>
    <w:rsid w:val="47E64B5C"/>
    <w:rsid w:val="47EA0BE5"/>
    <w:rsid w:val="47EB386F"/>
    <w:rsid w:val="47FB1D04"/>
    <w:rsid w:val="47FB4ABF"/>
    <w:rsid w:val="47FE17F4"/>
    <w:rsid w:val="48135CD5"/>
    <w:rsid w:val="481676AF"/>
    <w:rsid w:val="4823125B"/>
    <w:rsid w:val="482A083B"/>
    <w:rsid w:val="48314507"/>
    <w:rsid w:val="48362D3C"/>
    <w:rsid w:val="483D056E"/>
    <w:rsid w:val="483D40CA"/>
    <w:rsid w:val="48456DA7"/>
    <w:rsid w:val="48531B40"/>
    <w:rsid w:val="48553B7B"/>
    <w:rsid w:val="48643D4D"/>
    <w:rsid w:val="48697388"/>
    <w:rsid w:val="489D621E"/>
    <w:rsid w:val="48B06F92"/>
    <w:rsid w:val="48B77A66"/>
    <w:rsid w:val="48BD5941"/>
    <w:rsid w:val="48C52312"/>
    <w:rsid w:val="48CE7418"/>
    <w:rsid w:val="48D331CC"/>
    <w:rsid w:val="48DA6B3C"/>
    <w:rsid w:val="48E409EA"/>
    <w:rsid w:val="490270C2"/>
    <w:rsid w:val="492E2692"/>
    <w:rsid w:val="493B2612"/>
    <w:rsid w:val="493E738B"/>
    <w:rsid w:val="49601C52"/>
    <w:rsid w:val="49675177"/>
    <w:rsid w:val="4970736E"/>
    <w:rsid w:val="497E0E3E"/>
    <w:rsid w:val="4981448B"/>
    <w:rsid w:val="49861AA1"/>
    <w:rsid w:val="498D2E30"/>
    <w:rsid w:val="49995C78"/>
    <w:rsid w:val="49A5202F"/>
    <w:rsid w:val="49AF2BDB"/>
    <w:rsid w:val="49B06B1E"/>
    <w:rsid w:val="49BE56DF"/>
    <w:rsid w:val="49C10D2B"/>
    <w:rsid w:val="49C65A76"/>
    <w:rsid w:val="49D56C33"/>
    <w:rsid w:val="49E82606"/>
    <w:rsid w:val="4A0220F0"/>
    <w:rsid w:val="4A0250DD"/>
    <w:rsid w:val="4A162E25"/>
    <w:rsid w:val="4A1B043B"/>
    <w:rsid w:val="4A201EF6"/>
    <w:rsid w:val="4A370FED"/>
    <w:rsid w:val="4A3D2AA8"/>
    <w:rsid w:val="4A45370A"/>
    <w:rsid w:val="4A541B9F"/>
    <w:rsid w:val="4A5C2802"/>
    <w:rsid w:val="4A7754C1"/>
    <w:rsid w:val="4A8568AA"/>
    <w:rsid w:val="4A867F75"/>
    <w:rsid w:val="4A8F69E9"/>
    <w:rsid w:val="4A9664FF"/>
    <w:rsid w:val="4AC7411F"/>
    <w:rsid w:val="4AC92197"/>
    <w:rsid w:val="4AC960E9"/>
    <w:rsid w:val="4ACA3C0F"/>
    <w:rsid w:val="4ADA20A4"/>
    <w:rsid w:val="4ADA735A"/>
    <w:rsid w:val="4AE27640"/>
    <w:rsid w:val="4AE66C9B"/>
    <w:rsid w:val="4AEE5B50"/>
    <w:rsid w:val="4AFA44F5"/>
    <w:rsid w:val="4B261723"/>
    <w:rsid w:val="4B3A6FE7"/>
    <w:rsid w:val="4B502367"/>
    <w:rsid w:val="4B58746D"/>
    <w:rsid w:val="4B747933"/>
    <w:rsid w:val="4B7D0C82"/>
    <w:rsid w:val="4B8E10E1"/>
    <w:rsid w:val="4B984363"/>
    <w:rsid w:val="4BA44460"/>
    <w:rsid w:val="4BA72908"/>
    <w:rsid w:val="4BB01057"/>
    <w:rsid w:val="4BB96C17"/>
    <w:rsid w:val="4BCD39B7"/>
    <w:rsid w:val="4BD4520F"/>
    <w:rsid w:val="4BD9235C"/>
    <w:rsid w:val="4BE27F8A"/>
    <w:rsid w:val="4C0118B3"/>
    <w:rsid w:val="4C021DD1"/>
    <w:rsid w:val="4C0F3FD0"/>
    <w:rsid w:val="4C107D48"/>
    <w:rsid w:val="4C251A45"/>
    <w:rsid w:val="4C404189"/>
    <w:rsid w:val="4C5145E8"/>
    <w:rsid w:val="4C520360"/>
    <w:rsid w:val="4C567E51"/>
    <w:rsid w:val="4C57465C"/>
    <w:rsid w:val="4C5900BC"/>
    <w:rsid w:val="4C7E73A7"/>
    <w:rsid w:val="4C8E7415"/>
    <w:rsid w:val="4C942B6D"/>
    <w:rsid w:val="4C955995"/>
    <w:rsid w:val="4C995F8F"/>
    <w:rsid w:val="4CA25A14"/>
    <w:rsid w:val="4CA94424"/>
    <w:rsid w:val="4CAD46FD"/>
    <w:rsid w:val="4CC11A74"/>
    <w:rsid w:val="4CC81A74"/>
    <w:rsid w:val="4CCB02D2"/>
    <w:rsid w:val="4CCD3D20"/>
    <w:rsid w:val="4CD11285"/>
    <w:rsid w:val="4CD60F91"/>
    <w:rsid w:val="4CD8280E"/>
    <w:rsid w:val="4CDA2830"/>
    <w:rsid w:val="4CDD5E7C"/>
    <w:rsid w:val="4CFD094D"/>
    <w:rsid w:val="4CFF2296"/>
    <w:rsid w:val="4D094EC3"/>
    <w:rsid w:val="4D241CFD"/>
    <w:rsid w:val="4D3637DE"/>
    <w:rsid w:val="4D36558C"/>
    <w:rsid w:val="4D3B1D7F"/>
    <w:rsid w:val="4D48391E"/>
    <w:rsid w:val="4D4971D6"/>
    <w:rsid w:val="4D7054B5"/>
    <w:rsid w:val="4D8B1085"/>
    <w:rsid w:val="4D9F1383"/>
    <w:rsid w:val="4DA47549"/>
    <w:rsid w:val="4DA92202"/>
    <w:rsid w:val="4DCB075D"/>
    <w:rsid w:val="4DD454D1"/>
    <w:rsid w:val="4DD728CB"/>
    <w:rsid w:val="4DE35714"/>
    <w:rsid w:val="4DE374C2"/>
    <w:rsid w:val="4DF25957"/>
    <w:rsid w:val="4E044BF2"/>
    <w:rsid w:val="4E0B07C7"/>
    <w:rsid w:val="4E0B4C6B"/>
    <w:rsid w:val="4E0D2791"/>
    <w:rsid w:val="4E143B1F"/>
    <w:rsid w:val="4E1B3100"/>
    <w:rsid w:val="4E244051"/>
    <w:rsid w:val="4E244F93"/>
    <w:rsid w:val="4E261AA5"/>
    <w:rsid w:val="4E487C6D"/>
    <w:rsid w:val="4E540A58"/>
    <w:rsid w:val="4E661EA1"/>
    <w:rsid w:val="4E720846"/>
    <w:rsid w:val="4E791BD4"/>
    <w:rsid w:val="4E810A89"/>
    <w:rsid w:val="4E9B7735"/>
    <w:rsid w:val="4E9D50CF"/>
    <w:rsid w:val="4EA74993"/>
    <w:rsid w:val="4EB22E53"/>
    <w:rsid w:val="4EB64BD7"/>
    <w:rsid w:val="4EC310A1"/>
    <w:rsid w:val="4EC3497B"/>
    <w:rsid w:val="4EE771E2"/>
    <w:rsid w:val="4F04425E"/>
    <w:rsid w:val="4F0A4F22"/>
    <w:rsid w:val="4F0C2A48"/>
    <w:rsid w:val="4F0E056F"/>
    <w:rsid w:val="4F3A75B6"/>
    <w:rsid w:val="4F3F2E1E"/>
    <w:rsid w:val="4F477BE7"/>
    <w:rsid w:val="4F4F199A"/>
    <w:rsid w:val="4F5F154A"/>
    <w:rsid w:val="4F732AC8"/>
    <w:rsid w:val="4F9A62A6"/>
    <w:rsid w:val="4FAB2261"/>
    <w:rsid w:val="4FAD422B"/>
    <w:rsid w:val="4FAF7EFA"/>
    <w:rsid w:val="4FB541B4"/>
    <w:rsid w:val="4FC13833"/>
    <w:rsid w:val="4FCA0AC5"/>
    <w:rsid w:val="4FD14DF5"/>
    <w:rsid w:val="4FDC0F3A"/>
    <w:rsid w:val="4FE73F14"/>
    <w:rsid w:val="4FFC486B"/>
    <w:rsid w:val="50080C22"/>
    <w:rsid w:val="500D0826"/>
    <w:rsid w:val="500E459E"/>
    <w:rsid w:val="501E21C5"/>
    <w:rsid w:val="501F67AB"/>
    <w:rsid w:val="502726D5"/>
    <w:rsid w:val="50395ABF"/>
    <w:rsid w:val="505869A7"/>
    <w:rsid w:val="505E5526"/>
    <w:rsid w:val="50672F54"/>
    <w:rsid w:val="506F14E1"/>
    <w:rsid w:val="5075461D"/>
    <w:rsid w:val="5089032A"/>
    <w:rsid w:val="50983711"/>
    <w:rsid w:val="50A440DB"/>
    <w:rsid w:val="50B45B0C"/>
    <w:rsid w:val="50B81DB7"/>
    <w:rsid w:val="50C25AB5"/>
    <w:rsid w:val="50F73284"/>
    <w:rsid w:val="51051E45"/>
    <w:rsid w:val="510F6820"/>
    <w:rsid w:val="51177ECF"/>
    <w:rsid w:val="5119144D"/>
    <w:rsid w:val="51220372"/>
    <w:rsid w:val="515626A1"/>
    <w:rsid w:val="51595CED"/>
    <w:rsid w:val="516E79EA"/>
    <w:rsid w:val="516F72BF"/>
    <w:rsid w:val="517364CA"/>
    <w:rsid w:val="518014CC"/>
    <w:rsid w:val="51856AE2"/>
    <w:rsid w:val="519136D9"/>
    <w:rsid w:val="519E14F8"/>
    <w:rsid w:val="51A047A3"/>
    <w:rsid w:val="51AF590D"/>
    <w:rsid w:val="51B70B8F"/>
    <w:rsid w:val="51BA49DE"/>
    <w:rsid w:val="51D3784E"/>
    <w:rsid w:val="51D610EC"/>
    <w:rsid w:val="51E86599"/>
    <w:rsid w:val="51F04020"/>
    <w:rsid w:val="521237FC"/>
    <w:rsid w:val="521F6F37"/>
    <w:rsid w:val="522D51B0"/>
    <w:rsid w:val="52303E63"/>
    <w:rsid w:val="52361A3A"/>
    <w:rsid w:val="523F74C8"/>
    <w:rsid w:val="524349D3"/>
    <w:rsid w:val="5244074B"/>
    <w:rsid w:val="524424F9"/>
    <w:rsid w:val="524D5555"/>
    <w:rsid w:val="524D5852"/>
    <w:rsid w:val="528F6754"/>
    <w:rsid w:val="5290006C"/>
    <w:rsid w:val="529671F9"/>
    <w:rsid w:val="52972F71"/>
    <w:rsid w:val="529C2335"/>
    <w:rsid w:val="529E1C09"/>
    <w:rsid w:val="52AA6800"/>
    <w:rsid w:val="52B0193D"/>
    <w:rsid w:val="52B551A5"/>
    <w:rsid w:val="52BC402B"/>
    <w:rsid w:val="52BE04FE"/>
    <w:rsid w:val="52C04276"/>
    <w:rsid w:val="52DE64AA"/>
    <w:rsid w:val="530103EA"/>
    <w:rsid w:val="531E2D4A"/>
    <w:rsid w:val="531F3279"/>
    <w:rsid w:val="532365B3"/>
    <w:rsid w:val="53373E0C"/>
    <w:rsid w:val="533D7674"/>
    <w:rsid w:val="53476745"/>
    <w:rsid w:val="53606827"/>
    <w:rsid w:val="53642E53"/>
    <w:rsid w:val="536A41E2"/>
    <w:rsid w:val="53861634"/>
    <w:rsid w:val="538E5F89"/>
    <w:rsid w:val="5392397B"/>
    <w:rsid w:val="5393159C"/>
    <w:rsid w:val="539B23CA"/>
    <w:rsid w:val="539B25ED"/>
    <w:rsid w:val="53A70F92"/>
    <w:rsid w:val="53AF1317"/>
    <w:rsid w:val="53B611D5"/>
    <w:rsid w:val="53BA7EA8"/>
    <w:rsid w:val="53D33B35"/>
    <w:rsid w:val="53D77AC9"/>
    <w:rsid w:val="53DE6642"/>
    <w:rsid w:val="53E2646E"/>
    <w:rsid w:val="53E53868"/>
    <w:rsid w:val="53E61ABA"/>
    <w:rsid w:val="53F040F3"/>
    <w:rsid w:val="53F1045F"/>
    <w:rsid w:val="53F227FF"/>
    <w:rsid w:val="53FA37B7"/>
    <w:rsid w:val="53FD6E04"/>
    <w:rsid w:val="54091C4C"/>
    <w:rsid w:val="540D0751"/>
    <w:rsid w:val="5413748C"/>
    <w:rsid w:val="54181E8F"/>
    <w:rsid w:val="5422529D"/>
    <w:rsid w:val="542A76F3"/>
    <w:rsid w:val="542C1497"/>
    <w:rsid w:val="54352A41"/>
    <w:rsid w:val="54433679"/>
    <w:rsid w:val="5452714F"/>
    <w:rsid w:val="54531566"/>
    <w:rsid w:val="545A03D8"/>
    <w:rsid w:val="545B32F2"/>
    <w:rsid w:val="54751090"/>
    <w:rsid w:val="547F3B1D"/>
    <w:rsid w:val="54905ECA"/>
    <w:rsid w:val="54977258"/>
    <w:rsid w:val="549E2395"/>
    <w:rsid w:val="549E4143"/>
    <w:rsid w:val="54A10956"/>
    <w:rsid w:val="54EB3100"/>
    <w:rsid w:val="54F16968"/>
    <w:rsid w:val="54F9581D"/>
    <w:rsid w:val="54FD35CB"/>
    <w:rsid w:val="54FE120F"/>
    <w:rsid w:val="55096D9F"/>
    <w:rsid w:val="551F4EA8"/>
    <w:rsid w:val="55221554"/>
    <w:rsid w:val="55230AEC"/>
    <w:rsid w:val="552C5BF2"/>
    <w:rsid w:val="55342CF9"/>
    <w:rsid w:val="553F3105"/>
    <w:rsid w:val="55474D90"/>
    <w:rsid w:val="554A6449"/>
    <w:rsid w:val="5556122E"/>
    <w:rsid w:val="55651104"/>
    <w:rsid w:val="55690BF5"/>
    <w:rsid w:val="556B681E"/>
    <w:rsid w:val="558D75FF"/>
    <w:rsid w:val="559A7000"/>
    <w:rsid w:val="559B4E20"/>
    <w:rsid w:val="55AB3C2F"/>
    <w:rsid w:val="55B40883"/>
    <w:rsid w:val="55C91693"/>
    <w:rsid w:val="55C951EF"/>
    <w:rsid w:val="55D95479"/>
    <w:rsid w:val="55EA4A72"/>
    <w:rsid w:val="55EB160A"/>
    <w:rsid w:val="55F01743"/>
    <w:rsid w:val="55F80501"/>
    <w:rsid w:val="55FA6BB8"/>
    <w:rsid w:val="55FB7373"/>
    <w:rsid w:val="560B3A5A"/>
    <w:rsid w:val="560E354A"/>
    <w:rsid w:val="564231F4"/>
    <w:rsid w:val="564B02FA"/>
    <w:rsid w:val="56554CD5"/>
    <w:rsid w:val="565F3DA6"/>
    <w:rsid w:val="56605DE8"/>
    <w:rsid w:val="566B44F9"/>
    <w:rsid w:val="566D64C3"/>
    <w:rsid w:val="569C6DA8"/>
    <w:rsid w:val="56AD68BF"/>
    <w:rsid w:val="56B20379"/>
    <w:rsid w:val="56B37C4E"/>
    <w:rsid w:val="56BF65F2"/>
    <w:rsid w:val="56F664B8"/>
    <w:rsid w:val="56F71F0D"/>
    <w:rsid w:val="56FE711B"/>
    <w:rsid w:val="571132F2"/>
    <w:rsid w:val="572648C3"/>
    <w:rsid w:val="572D203D"/>
    <w:rsid w:val="573B5D90"/>
    <w:rsid w:val="574B1842"/>
    <w:rsid w:val="57511940"/>
    <w:rsid w:val="575604AD"/>
    <w:rsid w:val="576A47B0"/>
    <w:rsid w:val="577B076B"/>
    <w:rsid w:val="57833AC4"/>
    <w:rsid w:val="578C4726"/>
    <w:rsid w:val="578D66F1"/>
    <w:rsid w:val="57A10B57"/>
    <w:rsid w:val="57BD0D84"/>
    <w:rsid w:val="57DB3900"/>
    <w:rsid w:val="57E24C8E"/>
    <w:rsid w:val="57E56D31"/>
    <w:rsid w:val="57E9601D"/>
    <w:rsid w:val="57EC2E12"/>
    <w:rsid w:val="57F115C8"/>
    <w:rsid w:val="58046F6F"/>
    <w:rsid w:val="580764A3"/>
    <w:rsid w:val="5814471C"/>
    <w:rsid w:val="582157B7"/>
    <w:rsid w:val="582E08F1"/>
    <w:rsid w:val="582E3A30"/>
    <w:rsid w:val="58311772"/>
    <w:rsid w:val="58355EB2"/>
    <w:rsid w:val="58360B47"/>
    <w:rsid w:val="583B35FC"/>
    <w:rsid w:val="583E3F5E"/>
    <w:rsid w:val="58474AF1"/>
    <w:rsid w:val="58504EAA"/>
    <w:rsid w:val="58584F50"/>
    <w:rsid w:val="58594DCC"/>
    <w:rsid w:val="585A2A77"/>
    <w:rsid w:val="58607995"/>
    <w:rsid w:val="58665F85"/>
    <w:rsid w:val="5875539E"/>
    <w:rsid w:val="58892E17"/>
    <w:rsid w:val="58896EB8"/>
    <w:rsid w:val="58A03E85"/>
    <w:rsid w:val="58A12453"/>
    <w:rsid w:val="58A8162D"/>
    <w:rsid w:val="58B24661"/>
    <w:rsid w:val="58B45C07"/>
    <w:rsid w:val="58BE762E"/>
    <w:rsid w:val="58D740C7"/>
    <w:rsid w:val="58D77A5A"/>
    <w:rsid w:val="58D968E6"/>
    <w:rsid w:val="58DA3BB7"/>
    <w:rsid w:val="58E42340"/>
    <w:rsid w:val="58F05189"/>
    <w:rsid w:val="58F05E8B"/>
    <w:rsid w:val="59030A18"/>
    <w:rsid w:val="59034EBC"/>
    <w:rsid w:val="59097FF9"/>
    <w:rsid w:val="590D4ADB"/>
    <w:rsid w:val="590E3FC1"/>
    <w:rsid w:val="5927612C"/>
    <w:rsid w:val="59282B75"/>
    <w:rsid w:val="592D31E7"/>
    <w:rsid w:val="59575208"/>
    <w:rsid w:val="595E20F3"/>
    <w:rsid w:val="596E3DE3"/>
    <w:rsid w:val="59706A3E"/>
    <w:rsid w:val="59934492"/>
    <w:rsid w:val="59A44A9E"/>
    <w:rsid w:val="59A450EF"/>
    <w:rsid w:val="59B47F65"/>
    <w:rsid w:val="59BE4D82"/>
    <w:rsid w:val="59BE5FF6"/>
    <w:rsid w:val="59C12681"/>
    <w:rsid w:val="59CD7278"/>
    <w:rsid w:val="59D77FD1"/>
    <w:rsid w:val="59E200C2"/>
    <w:rsid w:val="59ED3476"/>
    <w:rsid w:val="59FE68ED"/>
    <w:rsid w:val="5A006C9B"/>
    <w:rsid w:val="5A04713E"/>
    <w:rsid w:val="5A0A227A"/>
    <w:rsid w:val="5A0B57CB"/>
    <w:rsid w:val="5A135CA2"/>
    <w:rsid w:val="5A1629CD"/>
    <w:rsid w:val="5A3612C1"/>
    <w:rsid w:val="5A455061"/>
    <w:rsid w:val="5A4E2167"/>
    <w:rsid w:val="5A67147B"/>
    <w:rsid w:val="5A6C083F"/>
    <w:rsid w:val="5A6E45B7"/>
    <w:rsid w:val="5A890177"/>
    <w:rsid w:val="5A8913F1"/>
    <w:rsid w:val="5AA050D8"/>
    <w:rsid w:val="5AA41CEA"/>
    <w:rsid w:val="5AA734EC"/>
    <w:rsid w:val="5AC468CD"/>
    <w:rsid w:val="5AC62645"/>
    <w:rsid w:val="5AC92B10"/>
    <w:rsid w:val="5ACB37B8"/>
    <w:rsid w:val="5ADC4F12"/>
    <w:rsid w:val="5AE107FB"/>
    <w:rsid w:val="5AE20B01"/>
    <w:rsid w:val="5AE44879"/>
    <w:rsid w:val="5AF12398"/>
    <w:rsid w:val="5AFC6067"/>
    <w:rsid w:val="5B13515F"/>
    <w:rsid w:val="5B177AA6"/>
    <w:rsid w:val="5B191C7C"/>
    <w:rsid w:val="5B321A89"/>
    <w:rsid w:val="5B3546A5"/>
    <w:rsid w:val="5B394BC5"/>
    <w:rsid w:val="5B3A6B8F"/>
    <w:rsid w:val="5B4E6197"/>
    <w:rsid w:val="5B5B0FE0"/>
    <w:rsid w:val="5B5B7318"/>
    <w:rsid w:val="5B5C222A"/>
    <w:rsid w:val="5B765E19"/>
    <w:rsid w:val="5B835BCD"/>
    <w:rsid w:val="5B8A71CF"/>
    <w:rsid w:val="5B90055D"/>
    <w:rsid w:val="5B9E711E"/>
    <w:rsid w:val="5BA05D49"/>
    <w:rsid w:val="5BAD1352"/>
    <w:rsid w:val="5BAF4E87"/>
    <w:rsid w:val="5BD201FA"/>
    <w:rsid w:val="5BD26DC8"/>
    <w:rsid w:val="5BDA4A94"/>
    <w:rsid w:val="5BEB6D33"/>
    <w:rsid w:val="5BFC7A7E"/>
    <w:rsid w:val="5C1709D2"/>
    <w:rsid w:val="5C2C64D8"/>
    <w:rsid w:val="5C3F26AF"/>
    <w:rsid w:val="5C4F21C6"/>
    <w:rsid w:val="5C5D48E3"/>
    <w:rsid w:val="5C657C3C"/>
    <w:rsid w:val="5C8649EA"/>
    <w:rsid w:val="5CAE513F"/>
    <w:rsid w:val="5CBA3AE4"/>
    <w:rsid w:val="5CD14553"/>
    <w:rsid w:val="5CE172C2"/>
    <w:rsid w:val="5CE70651"/>
    <w:rsid w:val="5CFE75C2"/>
    <w:rsid w:val="5CFF1E3E"/>
    <w:rsid w:val="5D0A064E"/>
    <w:rsid w:val="5D0C00B7"/>
    <w:rsid w:val="5D0E3E30"/>
    <w:rsid w:val="5D156F6C"/>
    <w:rsid w:val="5D170F36"/>
    <w:rsid w:val="5D2E60F1"/>
    <w:rsid w:val="5D35760E"/>
    <w:rsid w:val="5D557CB0"/>
    <w:rsid w:val="5D63417B"/>
    <w:rsid w:val="5D667D88"/>
    <w:rsid w:val="5D683540"/>
    <w:rsid w:val="5D746389"/>
    <w:rsid w:val="5DB20C5F"/>
    <w:rsid w:val="5DBB1B81"/>
    <w:rsid w:val="5DBE7604"/>
    <w:rsid w:val="5DC00F91"/>
    <w:rsid w:val="5DC92D73"/>
    <w:rsid w:val="5DD9443E"/>
    <w:rsid w:val="5DEA664B"/>
    <w:rsid w:val="5E114229"/>
    <w:rsid w:val="5E2926FE"/>
    <w:rsid w:val="5E3E0745"/>
    <w:rsid w:val="5E3E24F3"/>
    <w:rsid w:val="5E420235"/>
    <w:rsid w:val="5E483371"/>
    <w:rsid w:val="5E510478"/>
    <w:rsid w:val="5E5B4E53"/>
    <w:rsid w:val="5E7F3237"/>
    <w:rsid w:val="5E826883"/>
    <w:rsid w:val="5E846949"/>
    <w:rsid w:val="5E8B1BDC"/>
    <w:rsid w:val="5E93283E"/>
    <w:rsid w:val="5E954808"/>
    <w:rsid w:val="5E9E175A"/>
    <w:rsid w:val="5EA66A16"/>
    <w:rsid w:val="5EAF2AE6"/>
    <w:rsid w:val="5EBA426F"/>
    <w:rsid w:val="5EC40C4A"/>
    <w:rsid w:val="5EC62C14"/>
    <w:rsid w:val="5ED657BB"/>
    <w:rsid w:val="5EDD50A1"/>
    <w:rsid w:val="5EF86B45"/>
    <w:rsid w:val="5EFD0600"/>
    <w:rsid w:val="5EFE39E7"/>
    <w:rsid w:val="5F0B6879"/>
    <w:rsid w:val="5F234AF1"/>
    <w:rsid w:val="5F3A715E"/>
    <w:rsid w:val="5F4E49B7"/>
    <w:rsid w:val="5F5A7800"/>
    <w:rsid w:val="5F766F13"/>
    <w:rsid w:val="5F7A0949"/>
    <w:rsid w:val="5F7A57AC"/>
    <w:rsid w:val="5F954394"/>
    <w:rsid w:val="5FAF7B5C"/>
    <w:rsid w:val="5FC609F2"/>
    <w:rsid w:val="5FC9520A"/>
    <w:rsid w:val="5FCC6AA8"/>
    <w:rsid w:val="5FD2383A"/>
    <w:rsid w:val="5FDB1537"/>
    <w:rsid w:val="60017C7C"/>
    <w:rsid w:val="602C4CF9"/>
    <w:rsid w:val="60371896"/>
    <w:rsid w:val="6054312C"/>
    <w:rsid w:val="6058433C"/>
    <w:rsid w:val="60651FB9"/>
    <w:rsid w:val="60716BAF"/>
    <w:rsid w:val="607641C6"/>
    <w:rsid w:val="608120FB"/>
    <w:rsid w:val="608C39E9"/>
    <w:rsid w:val="609B0D34"/>
    <w:rsid w:val="60AE0CBB"/>
    <w:rsid w:val="60B44CEE"/>
    <w:rsid w:val="60C33260"/>
    <w:rsid w:val="60C56EFB"/>
    <w:rsid w:val="60C90799"/>
    <w:rsid w:val="60FF1094"/>
    <w:rsid w:val="61025A59"/>
    <w:rsid w:val="610E08A2"/>
    <w:rsid w:val="611B20B9"/>
    <w:rsid w:val="611B4D6D"/>
    <w:rsid w:val="611E60C9"/>
    <w:rsid w:val="612105D5"/>
    <w:rsid w:val="6142679E"/>
    <w:rsid w:val="61565DA5"/>
    <w:rsid w:val="615A7643"/>
    <w:rsid w:val="615F4C5A"/>
    <w:rsid w:val="61761FA3"/>
    <w:rsid w:val="617C3A5E"/>
    <w:rsid w:val="61952D71"/>
    <w:rsid w:val="619D5782"/>
    <w:rsid w:val="619E7E05"/>
    <w:rsid w:val="619F1626"/>
    <w:rsid w:val="61B71514"/>
    <w:rsid w:val="61CE1DDF"/>
    <w:rsid w:val="61E059AC"/>
    <w:rsid w:val="620030C1"/>
    <w:rsid w:val="62015D11"/>
    <w:rsid w:val="622A34BA"/>
    <w:rsid w:val="622B7232"/>
    <w:rsid w:val="623205C0"/>
    <w:rsid w:val="6243457B"/>
    <w:rsid w:val="625422E5"/>
    <w:rsid w:val="625D09DE"/>
    <w:rsid w:val="6267026A"/>
    <w:rsid w:val="62726C0F"/>
    <w:rsid w:val="62886432"/>
    <w:rsid w:val="6291178B"/>
    <w:rsid w:val="62946B85"/>
    <w:rsid w:val="62BE4EA7"/>
    <w:rsid w:val="62CF4061"/>
    <w:rsid w:val="62D022B3"/>
    <w:rsid w:val="62E06D1C"/>
    <w:rsid w:val="62EC4C13"/>
    <w:rsid w:val="62F12229"/>
    <w:rsid w:val="62F35FA1"/>
    <w:rsid w:val="6300421A"/>
    <w:rsid w:val="630C2BBF"/>
    <w:rsid w:val="630D63C6"/>
    <w:rsid w:val="631303F2"/>
    <w:rsid w:val="6315188C"/>
    <w:rsid w:val="6329551F"/>
    <w:rsid w:val="632E0D88"/>
    <w:rsid w:val="63302D52"/>
    <w:rsid w:val="633F2F95"/>
    <w:rsid w:val="63493A10"/>
    <w:rsid w:val="6353259C"/>
    <w:rsid w:val="635A1B7D"/>
    <w:rsid w:val="635D095A"/>
    <w:rsid w:val="636724EC"/>
    <w:rsid w:val="636B3D8A"/>
    <w:rsid w:val="637718CB"/>
    <w:rsid w:val="63807109"/>
    <w:rsid w:val="63871D3B"/>
    <w:rsid w:val="6397692D"/>
    <w:rsid w:val="639D7CBB"/>
    <w:rsid w:val="63B96F30"/>
    <w:rsid w:val="63BF3589"/>
    <w:rsid w:val="63C32B18"/>
    <w:rsid w:val="63DB022A"/>
    <w:rsid w:val="63EE0517"/>
    <w:rsid w:val="63F907C6"/>
    <w:rsid w:val="640A35A3"/>
    <w:rsid w:val="640E55B6"/>
    <w:rsid w:val="641F7AB2"/>
    <w:rsid w:val="64231B4F"/>
    <w:rsid w:val="6424377A"/>
    <w:rsid w:val="6438154C"/>
    <w:rsid w:val="64395C36"/>
    <w:rsid w:val="645A5BAC"/>
    <w:rsid w:val="64630F05"/>
    <w:rsid w:val="646507D9"/>
    <w:rsid w:val="648B3FB8"/>
    <w:rsid w:val="648F6CB2"/>
    <w:rsid w:val="649D7F63"/>
    <w:rsid w:val="64A66BD3"/>
    <w:rsid w:val="64A83900"/>
    <w:rsid w:val="64AC28AC"/>
    <w:rsid w:val="64AD03D2"/>
    <w:rsid w:val="64B07330"/>
    <w:rsid w:val="64C00105"/>
    <w:rsid w:val="64CC2881"/>
    <w:rsid w:val="64DE058B"/>
    <w:rsid w:val="64DF4A2F"/>
    <w:rsid w:val="64E738E4"/>
    <w:rsid w:val="650112CB"/>
    <w:rsid w:val="6509385A"/>
    <w:rsid w:val="650A75D2"/>
    <w:rsid w:val="650B250C"/>
    <w:rsid w:val="65152445"/>
    <w:rsid w:val="651D5558"/>
    <w:rsid w:val="652F0DE7"/>
    <w:rsid w:val="653F3F71"/>
    <w:rsid w:val="65495171"/>
    <w:rsid w:val="6549634D"/>
    <w:rsid w:val="657D6F6E"/>
    <w:rsid w:val="658E6AFB"/>
    <w:rsid w:val="659A2704"/>
    <w:rsid w:val="659D21F5"/>
    <w:rsid w:val="65B37C6A"/>
    <w:rsid w:val="65C05B14"/>
    <w:rsid w:val="65C309CF"/>
    <w:rsid w:val="65C92FEA"/>
    <w:rsid w:val="65D8322D"/>
    <w:rsid w:val="65E17B5A"/>
    <w:rsid w:val="65E240AB"/>
    <w:rsid w:val="65EE47FA"/>
    <w:rsid w:val="660D2ED6"/>
    <w:rsid w:val="660E6E1B"/>
    <w:rsid w:val="661B1498"/>
    <w:rsid w:val="661C3010"/>
    <w:rsid w:val="66214BD4"/>
    <w:rsid w:val="66252916"/>
    <w:rsid w:val="66257C46"/>
    <w:rsid w:val="6626043C"/>
    <w:rsid w:val="662621EA"/>
    <w:rsid w:val="66285F62"/>
    <w:rsid w:val="66293A88"/>
    <w:rsid w:val="662A481C"/>
    <w:rsid w:val="663012BB"/>
    <w:rsid w:val="663366B5"/>
    <w:rsid w:val="66390AFD"/>
    <w:rsid w:val="66576847"/>
    <w:rsid w:val="665808D4"/>
    <w:rsid w:val="667411A7"/>
    <w:rsid w:val="66815672"/>
    <w:rsid w:val="6692162D"/>
    <w:rsid w:val="669E7FD2"/>
    <w:rsid w:val="66A23F66"/>
    <w:rsid w:val="66A51361"/>
    <w:rsid w:val="66A827DC"/>
    <w:rsid w:val="66B45A48"/>
    <w:rsid w:val="66C33EDD"/>
    <w:rsid w:val="66CC79C0"/>
    <w:rsid w:val="66D45CB6"/>
    <w:rsid w:val="66D9725C"/>
    <w:rsid w:val="66F9345B"/>
    <w:rsid w:val="66FB5425"/>
    <w:rsid w:val="67002405"/>
    <w:rsid w:val="670B13D7"/>
    <w:rsid w:val="67112E9A"/>
    <w:rsid w:val="671464E6"/>
    <w:rsid w:val="672D4A0D"/>
    <w:rsid w:val="673152EA"/>
    <w:rsid w:val="673426E5"/>
    <w:rsid w:val="673F17B5"/>
    <w:rsid w:val="67437A3D"/>
    <w:rsid w:val="674548F2"/>
    <w:rsid w:val="676314F1"/>
    <w:rsid w:val="67742476"/>
    <w:rsid w:val="67896ED4"/>
    <w:rsid w:val="67900263"/>
    <w:rsid w:val="67902011"/>
    <w:rsid w:val="6791069B"/>
    <w:rsid w:val="67921138"/>
    <w:rsid w:val="67A755AC"/>
    <w:rsid w:val="67A812F4"/>
    <w:rsid w:val="67B37AAD"/>
    <w:rsid w:val="67B70DFE"/>
    <w:rsid w:val="67B80BA6"/>
    <w:rsid w:val="67B83316"/>
    <w:rsid w:val="67BC2E06"/>
    <w:rsid w:val="67C41CBB"/>
    <w:rsid w:val="67CB5CAE"/>
    <w:rsid w:val="67D53EC8"/>
    <w:rsid w:val="67EC1211"/>
    <w:rsid w:val="67F24A7A"/>
    <w:rsid w:val="68093B71"/>
    <w:rsid w:val="680B78E9"/>
    <w:rsid w:val="680D18B3"/>
    <w:rsid w:val="680E2F36"/>
    <w:rsid w:val="68150768"/>
    <w:rsid w:val="681F209B"/>
    <w:rsid w:val="682C160E"/>
    <w:rsid w:val="68314475"/>
    <w:rsid w:val="683A3D2B"/>
    <w:rsid w:val="6850354E"/>
    <w:rsid w:val="68552BF6"/>
    <w:rsid w:val="685F19E3"/>
    <w:rsid w:val="68662D72"/>
    <w:rsid w:val="6873723D"/>
    <w:rsid w:val="68953657"/>
    <w:rsid w:val="68967484"/>
    <w:rsid w:val="689B6EBF"/>
    <w:rsid w:val="68AD0CCF"/>
    <w:rsid w:val="68B00491"/>
    <w:rsid w:val="68B47F81"/>
    <w:rsid w:val="68B735CD"/>
    <w:rsid w:val="68B83154"/>
    <w:rsid w:val="68BB30BE"/>
    <w:rsid w:val="68BC3EF8"/>
    <w:rsid w:val="68C1444C"/>
    <w:rsid w:val="68C63810"/>
    <w:rsid w:val="68CB0E27"/>
    <w:rsid w:val="68D777CC"/>
    <w:rsid w:val="68E343C2"/>
    <w:rsid w:val="68F4037D"/>
    <w:rsid w:val="68FE2FAA"/>
    <w:rsid w:val="69022F27"/>
    <w:rsid w:val="69146C72"/>
    <w:rsid w:val="6922167D"/>
    <w:rsid w:val="69232879"/>
    <w:rsid w:val="69232A11"/>
    <w:rsid w:val="692350BF"/>
    <w:rsid w:val="693370F8"/>
    <w:rsid w:val="69401815"/>
    <w:rsid w:val="69470DF5"/>
    <w:rsid w:val="694B5C28"/>
    <w:rsid w:val="69531548"/>
    <w:rsid w:val="69564B94"/>
    <w:rsid w:val="69676726"/>
    <w:rsid w:val="696E6CF7"/>
    <w:rsid w:val="6984688D"/>
    <w:rsid w:val="69866304"/>
    <w:rsid w:val="698C6808"/>
    <w:rsid w:val="699E02E9"/>
    <w:rsid w:val="69A973BA"/>
    <w:rsid w:val="69AD1ECC"/>
    <w:rsid w:val="69BC2C1B"/>
    <w:rsid w:val="69C137BB"/>
    <w:rsid w:val="69CF3481"/>
    <w:rsid w:val="69DD6F02"/>
    <w:rsid w:val="69E9055A"/>
    <w:rsid w:val="69EA352F"/>
    <w:rsid w:val="69F12B0F"/>
    <w:rsid w:val="69FF31EF"/>
    <w:rsid w:val="6A072332"/>
    <w:rsid w:val="6A1A2066"/>
    <w:rsid w:val="6A1C0493"/>
    <w:rsid w:val="6A222CC8"/>
    <w:rsid w:val="6A2627B9"/>
    <w:rsid w:val="6A2E3D04"/>
    <w:rsid w:val="6A3C1FDC"/>
    <w:rsid w:val="6A55309E"/>
    <w:rsid w:val="6A5665CF"/>
    <w:rsid w:val="6A5F5CCB"/>
    <w:rsid w:val="6A615EE7"/>
    <w:rsid w:val="6A6766E4"/>
    <w:rsid w:val="6A7259FE"/>
    <w:rsid w:val="6A75729C"/>
    <w:rsid w:val="6A7A2B04"/>
    <w:rsid w:val="6A8B520E"/>
    <w:rsid w:val="6A99314B"/>
    <w:rsid w:val="6AA10091"/>
    <w:rsid w:val="6AA61B4B"/>
    <w:rsid w:val="6AB029CA"/>
    <w:rsid w:val="6AB8592C"/>
    <w:rsid w:val="6ABE50E7"/>
    <w:rsid w:val="6ABE62EA"/>
    <w:rsid w:val="6AC02C0D"/>
    <w:rsid w:val="6AC81AC2"/>
    <w:rsid w:val="6ACA6984"/>
    <w:rsid w:val="6AD62431"/>
    <w:rsid w:val="6ADE3093"/>
    <w:rsid w:val="6B0F5943"/>
    <w:rsid w:val="6B4A697B"/>
    <w:rsid w:val="6B4E646B"/>
    <w:rsid w:val="6B581098"/>
    <w:rsid w:val="6B5D66AE"/>
    <w:rsid w:val="6B6C68F1"/>
    <w:rsid w:val="6B721A2E"/>
    <w:rsid w:val="6B7F00FA"/>
    <w:rsid w:val="6B7F2D56"/>
    <w:rsid w:val="6B8359E9"/>
    <w:rsid w:val="6B8C2AEF"/>
    <w:rsid w:val="6B8C324E"/>
    <w:rsid w:val="6B96571C"/>
    <w:rsid w:val="6B9A4681"/>
    <w:rsid w:val="6BA442DD"/>
    <w:rsid w:val="6BA51E03"/>
    <w:rsid w:val="6BA913FB"/>
    <w:rsid w:val="6BB42046"/>
    <w:rsid w:val="6BBB1626"/>
    <w:rsid w:val="6BC424DC"/>
    <w:rsid w:val="6BDB75D3"/>
    <w:rsid w:val="6BE23524"/>
    <w:rsid w:val="6BF411F5"/>
    <w:rsid w:val="6BF6265F"/>
    <w:rsid w:val="6BF95CAB"/>
    <w:rsid w:val="6BFC4E52"/>
    <w:rsid w:val="6C1A70D2"/>
    <w:rsid w:val="6C1F557D"/>
    <w:rsid w:val="6C276CBC"/>
    <w:rsid w:val="6C380ECF"/>
    <w:rsid w:val="6C465394"/>
    <w:rsid w:val="6C53185F"/>
    <w:rsid w:val="6C5775A1"/>
    <w:rsid w:val="6C68355C"/>
    <w:rsid w:val="6C7D68DC"/>
    <w:rsid w:val="6C7F4402"/>
    <w:rsid w:val="6C835763"/>
    <w:rsid w:val="6C9C6D62"/>
    <w:rsid w:val="6CA976D1"/>
    <w:rsid w:val="6CB00A5F"/>
    <w:rsid w:val="6CC62031"/>
    <w:rsid w:val="6CDA6CF7"/>
    <w:rsid w:val="6CDF5853"/>
    <w:rsid w:val="6CE21158"/>
    <w:rsid w:val="6CE85CBF"/>
    <w:rsid w:val="6CF74924"/>
    <w:rsid w:val="6D266F73"/>
    <w:rsid w:val="6D323B6A"/>
    <w:rsid w:val="6D341690"/>
    <w:rsid w:val="6D3451EC"/>
    <w:rsid w:val="6D390A55"/>
    <w:rsid w:val="6D3E606B"/>
    <w:rsid w:val="6D410509"/>
    <w:rsid w:val="6D435914"/>
    <w:rsid w:val="6D5B09CB"/>
    <w:rsid w:val="6D6053B3"/>
    <w:rsid w:val="6D610FF4"/>
    <w:rsid w:val="6D655CEE"/>
    <w:rsid w:val="6D6F4477"/>
    <w:rsid w:val="6D7101EF"/>
    <w:rsid w:val="6D7E0B5E"/>
    <w:rsid w:val="6DA700B4"/>
    <w:rsid w:val="6DAF6F69"/>
    <w:rsid w:val="6DB26EF9"/>
    <w:rsid w:val="6DB43A90"/>
    <w:rsid w:val="6DC718F1"/>
    <w:rsid w:val="6DEE5CE3"/>
    <w:rsid w:val="6DF06593"/>
    <w:rsid w:val="6DF350A8"/>
    <w:rsid w:val="6E057C20"/>
    <w:rsid w:val="6E102D2D"/>
    <w:rsid w:val="6E4771A1"/>
    <w:rsid w:val="6E7066F8"/>
    <w:rsid w:val="6E7206C2"/>
    <w:rsid w:val="6E805CF1"/>
    <w:rsid w:val="6E82642B"/>
    <w:rsid w:val="6E90012A"/>
    <w:rsid w:val="6EB04D47"/>
    <w:rsid w:val="6EBF4F8A"/>
    <w:rsid w:val="6EC46A44"/>
    <w:rsid w:val="6ECB1B80"/>
    <w:rsid w:val="6ECB7DD2"/>
    <w:rsid w:val="6ECE2859"/>
    <w:rsid w:val="6EE175F6"/>
    <w:rsid w:val="6EF15C0E"/>
    <w:rsid w:val="6EF70BC7"/>
    <w:rsid w:val="6F03756C"/>
    <w:rsid w:val="6F1C23DC"/>
    <w:rsid w:val="6F27744D"/>
    <w:rsid w:val="6F2F6E1D"/>
    <w:rsid w:val="6F3843B2"/>
    <w:rsid w:val="6F4502DF"/>
    <w:rsid w:val="6F4A141A"/>
    <w:rsid w:val="6F533DC0"/>
    <w:rsid w:val="6F6846E7"/>
    <w:rsid w:val="6F6D70DC"/>
    <w:rsid w:val="6F8A5598"/>
    <w:rsid w:val="6F8F2BAE"/>
    <w:rsid w:val="6F943BE5"/>
    <w:rsid w:val="6FA67EF8"/>
    <w:rsid w:val="6FAC7C04"/>
    <w:rsid w:val="6FB42615"/>
    <w:rsid w:val="6FB645DF"/>
    <w:rsid w:val="6FBB39A3"/>
    <w:rsid w:val="6FC94F21"/>
    <w:rsid w:val="6FC97E45"/>
    <w:rsid w:val="6FCE7B7A"/>
    <w:rsid w:val="6FD56AEC"/>
    <w:rsid w:val="6FDB225A"/>
    <w:rsid w:val="6FE3114C"/>
    <w:rsid w:val="6FE729EA"/>
    <w:rsid w:val="6FF0654E"/>
    <w:rsid w:val="700D6FF9"/>
    <w:rsid w:val="701A2DBF"/>
    <w:rsid w:val="7020414E"/>
    <w:rsid w:val="70223A22"/>
    <w:rsid w:val="70230F84"/>
    <w:rsid w:val="702A0B29"/>
    <w:rsid w:val="702A28D7"/>
    <w:rsid w:val="703210FB"/>
    <w:rsid w:val="70384FF4"/>
    <w:rsid w:val="703B6CD7"/>
    <w:rsid w:val="703D260A"/>
    <w:rsid w:val="703E67C2"/>
    <w:rsid w:val="70455963"/>
    <w:rsid w:val="70495453"/>
    <w:rsid w:val="70596D82"/>
    <w:rsid w:val="705C33D8"/>
    <w:rsid w:val="7064403B"/>
    <w:rsid w:val="706A53C9"/>
    <w:rsid w:val="70756248"/>
    <w:rsid w:val="708C17E3"/>
    <w:rsid w:val="70A24B63"/>
    <w:rsid w:val="70A42689"/>
    <w:rsid w:val="70AB1C6A"/>
    <w:rsid w:val="70B30B1E"/>
    <w:rsid w:val="70B34FC2"/>
    <w:rsid w:val="70B623BC"/>
    <w:rsid w:val="70BD374B"/>
    <w:rsid w:val="70D62AFF"/>
    <w:rsid w:val="70E319B5"/>
    <w:rsid w:val="70EE1FBF"/>
    <w:rsid w:val="70FF1FB5"/>
    <w:rsid w:val="71031AA6"/>
    <w:rsid w:val="71125845"/>
    <w:rsid w:val="711374C5"/>
    <w:rsid w:val="71314722"/>
    <w:rsid w:val="71333A0D"/>
    <w:rsid w:val="71467832"/>
    <w:rsid w:val="7148086A"/>
    <w:rsid w:val="71610C71"/>
    <w:rsid w:val="71641ECA"/>
    <w:rsid w:val="7187244B"/>
    <w:rsid w:val="718B55F7"/>
    <w:rsid w:val="719E17CE"/>
    <w:rsid w:val="71A4397A"/>
    <w:rsid w:val="71A5106C"/>
    <w:rsid w:val="71A566B9"/>
    <w:rsid w:val="71A87F57"/>
    <w:rsid w:val="71AD1A11"/>
    <w:rsid w:val="71D60F68"/>
    <w:rsid w:val="71D84CE0"/>
    <w:rsid w:val="71D945B4"/>
    <w:rsid w:val="720158B9"/>
    <w:rsid w:val="72133124"/>
    <w:rsid w:val="72161365"/>
    <w:rsid w:val="721E646B"/>
    <w:rsid w:val="723932A5"/>
    <w:rsid w:val="723D2D95"/>
    <w:rsid w:val="723E08BB"/>
    <w:rsid w:val="72542C05"/>
    <w:rsid w:val="725B1FB2"/>
    <w:rsid w:val="725B2386"/>
    <w:rsid w:val="726245AA"/>
    <w:rsid w:val="72691DDC"/>
    <w:rsid w:val="72747C8C"/>
    <w:rsid w:val="72897D89"/>
    <w:rsid w:val="728B1D53"/>
    <w:rsid w:val="728B549A"/>
    <w:rsid w:val="72907369"/>
    <w:rsid w:val="72952BD1"/>
    <w:rsid w:val="72BF7C4E"/>
    <w:rsid w:val="72C54B39"/>
    <w:rsid w:val="72D27981"/>
    <w:rsid w:val="72DF6B7C"/>
    <w:rsid w:val="72F07E08"/>
    <w:rsid w:val="72FD155C"/>
    <w:rsid w:val="730277A7"/>
    <w:rsid w:val="733A72D5"/>
    <w:rsid w:val="735D6B82"/>
    <w:rsid w:val="738B7B30"/>
    <w:rsid w:val="739B4217"/>
    <w:rsid w:val="739E095E"/>
    <w:rsid w:val="73A3131E"/>
    <w:rsid w:val="73A67103"/>
    <w:rsid w:val="73AB1F81"/>
    <w:rsid w:val="73B76B77"/>
    <w:rsid w:val="73C31078"/>
    <w:rsid w:val="73CA68AB"/>
    <w:rsid w:val="73CB44C1"/>
    <w:rsid w:val="73DA28B0"/>
    <w:rsid w:val="73E6120B"/>
    <w:rsid w:val="73E62FB9"/>
    <w:rsid w:val="73EB05CF"/>
    <w:rsid w:val="73EF4563"/>
    <w:rsid w:val="73F13E37"/>
    <w:rsid w:val="741B0EB4"/>
    <w:rsid w:val="7420296E"/>
    <w:rsid w:val="74500777"/>
    <w:rsid w:val="7459523B"/>
    <w:rsid w:val="745B7503"/>
    <w:rsid w:val="745D327B"/>
    <w:rsid w:val="74632DE4"/>
    <w:rsid w:val="74714F78"/>
    <w:rsid w:val="74746816"/>
    <w:rsid w:val="747B5DF7"/>
    <w:rsid w:val="74A25132"/>
    <w:rsid w:val="74AC4202"/>
    <w:rsid w:val="74B35591"/>
    <w:rsid w:val="74C4654A"/>
    <w:rsid w:val="74D07EF1"/>
    <w:rsid w:val="74D15A17"/>
    <w:rsid w:val="74D80B53"/>
    <w:rsid w:val="74F11C15"/>
    <w:rsid w:val="74F82FA3"/>
    <w:rsid w:val="74FD4A5E"/>
    <w:rsid w:val="75016C0B"/>
    <w:rsid w:val="75044386"/>
    <w:rsid w:val="75071439"/>
    <w:rsid w:val="750E512E"/>
    <w:rsid w:val="751678CE"/>
    <w:rsid w:val="7517700E"/>
    <w:rsid w:val="7522622B"/>
    <w:rsid w:val="75271ADB"/>
    <w:rsid w:val="752B3379"/>
    <w:rsid w:val="753239A2"/>
    <w:rsid w:val="75383CE8"/>
    <w:rsid w:val="753D428C"/>
    <w:rsid w:val="75480117"/>
    <w:rsid w:val="754E52B9"/>
    <w:rsid w:val="7557416E"/>
    <w:rsid w:val="756B19C7"/>
    <w:rsid w:val="756D3991"/>
    <w:rsid w:val="75A40753"/>
    <w:rsid w:val="75B55338"/>
    <w:rsid w:val="75CE1F56"/>
    <w:rsid w:val="75D566CD"/>
    <w:rsid w:val="75E27BAC"/>
    <w:rsid w:val="75E63744"/>
    <w:rsid w:val="75F53987"/>
    <w:rsid w:val="75F94007"/>
    <w:rsid w:val="7600639C"/>
    <w:rsid w:val="76065B94"/>
    <w:rsid w:val="760A7432"/>
    <w:rsid w:val="761E2EDE"/>
    <w:rsid w:val="763B3A90"/>
    <w:rsid w:val="76472434"/>
    <w:rsid w:val="764D1994"/>
    <w:rsid w:val="76571F4C"/>
    <w:rsid w:val="76612DCA"/>
    <w:rsid w:val="76642521"/>
    <w:rsid w:val="76666421"/>
    <w:rsid w:val="766D79C1"/>
    <w:rsid w:val="76780840"/>
    <w:rsid w:val="7691545E"/>
    <w:rsid w:val="76966F18"/>
    <w:rsid w:val="76A333E3"/>
    <w:rsid w:val="76AA4597"/>
    <w:rsid w:val="76AF3B36"/>
    <w:rsid w:val="76C27D0D"/>
    <w:rsid w:val="76DA5057"/>
    <w:rsid w:val="76E2215D"/>
    <w:rsid w:val="76E903EB"/>
    <w:rsid w:val="76EC6B38"/>
    <w:rsid w:val="76F1414E"/>
    <w:rsid w:val="76F25B61"/>
    <w:rsid w:val="771B741D"/>
    <w:rsid w:val="772207AC"/>
    <w:rsid w:val="772B58B2"/>
    <w:rsid w:val="77467284"/>
    <w:rsid w:val="774C0A76"/>
    <w:rsid w:val="77626DFA"/>
    <w:rsid w:val="77701517"/>
    <w:rsid w:val="77707769"/>
    <w:rsid w:val="777668B4"/>
    <w:rsid w:val="77985E5E"/>
    <w:rsid w:val="77A17922"/>
    <w:rsid w:val="77A967D7"/>
    <w:rsid w:val="77B21B30"/>
    <w:rsid w:val="77BE04D4"/>
    <w:rsid w:val="77DE46D3"/>
    <w:rsid w:val="77E67A2B"/>
    <w:rsid w:val="77E872FF"/>
    <w:rsid w:val="77EF68E0"/>
    <w:rsid w:val="77FC6F6B"/>
    <w:rsid w:val="77FF0DFC"/>
    <w:rsid w:val="780659D7"/>
    <w:rsid w:val="780954C8"/>
    <w:rsid w:val="78550278"/>
    <w:rsid w:val="785E75C1"/>
    <w:rsid w:val="787E5EB6"/>
    <w:rsid w:val="788758AB"/>
    <w:rsid w:val="789E20B4"/>
    <w:rsid w:val="78AE679B"/>
    <w:rsid w:val="78BC253A"/>
    <w:rsid w:val="78C230D4"/>
    <w:rsid w:val="78CC2A74"/>
    <w:rsid w:val="78DB3308"/>
    <w:rsid w:val="78DC14F7"/>
    <w:rsid w:val="78DC44DF"/>
    <w:rsid w:val="78E0447A"/>
    <w:rsid w:val="78E26444"/>
    <w:rsid w:val="78F30652"/>
    <w:rsid w:val="790E548B"/>
    <w:rsid w:val="791E51E3"/>
    <w:rsid w:val="791F1447"/>
    <w:rsid w:val="79224A93"/>
    <w:rsid w:val="795C61F7"/>
    <w:rsid w:val="795D0B6D"/>
    <w:rsid w:val="79646120"/>
    <w:rsid w:val="796C5D0E"/>
    <w:rsid w:val="797A48CF"/>
    <w:rsid w:val="797C0647"/>
    <w:rsid w:val="797D709E"/>
    <w:rsid w:val="798412AA"/>
    <w:rsid w:val="798474FC"/>
    <w:rsid w:val="798870BE"/>
    <w:rsid w:val="79891E21"/>
    <w:rsid w:val="798F7942"/>
    <w:rsid w:val="799A0ACD"/>
    <w:rsid w:val="79B25D48"/>
    <w:rsid w:val="79B87C08"/>
    <w:rsid w:val="79C36487"/>
    <w:rsid w:val="79D66F17"/>
    <w:rsid w:val="79F3642F"/>
    <w:rsid w:val="79FA5A10"/>
    <w:rsid w:val="79FC4856"/>
    <w:rsid w:val="7A09605E"/>
    <w:rsid w:val="7A0F3269"/>
    <w:rsid w:val="7A106FE1"/>
    <w:rsid w:val="7A1D0422"/>
    <w:rsid w:val="7A241A53"/>
    <w:rsid w:val="7A28257D"/>
    <w:rsid w:val="7A3B22B0"/>
    <w:rsid w:val="7A480529"/>
    <w:rsid w:val="7A613399"/>
    <w:rsid w:val="7A676AD2"/>
    <w:rsid w:val="7A682979"/>
    <w:rsid w:val="7A6834E2"/>
    <w:rsid w:val="7A6A0B10"/>
    <w:rsid w:val="7A715CD2"/>
    <w:rsid w:val="7A750010"/>
    <w:rsid w:val="7A765096"/>
    <w:rsid w:val="7A996FD7"/>
    <w:rsid w:val="7AAD65DE"/>
    <w:rsid w:val="7AB1326F"/>
    <w:rsid w:val="7ABC0ABE"/>
    <w:rsid w:val="7ACD6C80"/>
    <w:rsid w:val="7ACD76B8"/>
    <w:rsid w:val="7AF97A75"/>
    <w:rsid w:val="7B0242B2"/>
    <w:rsid w:val="7B095F0A"/>
    <w:rsid w:val="7B0D311E"/>
    <w:rsid w:val="7B130F00"/>
    <w:rsid w:val="7B1623D5"/>
    <w:rsid w:val="7B3665D4"/>
    <w:rsid w:val="7B406801"/>
    <w:rsid w:val="7B4512D9"/>
    <w:rsid w:val="7B4B6523"/>
    <w:rsid w:val="7B6770D5"/>
    <w:rsid w:val="7B9146D0"/>
    <w:rsid w:val="7B9C6593"/>
    <w:rsid w:val="7BA46E03"/>
    <w:rsid w:val="7BB12C18"/>
    <w:rsid w:val="7BC65BA9"/>
    <w:rsid w:val="7BDF0A19"/>
    <w:rsid w:val="7BE10C35"/>
    <w:rsid w:val="7BED75DA"/>
    <w:rsid w:val="7BF0290E"/>
    <w:rsid w:val="7C125D37"/>
    <w:rsid w:val="7C1E3C37"/>
    <w:rsid w:val="7C3C6C20"/>
    <w:rsid w:val="7C480CB4"/>
    <w:rsid w:val="7C501917"/>
    <w:rsid w:val="7C534EDF"/>
    <w:rsid w:val="7C6158D2"/>
    <w:rsid w:val="7C6364E6"/>
    <w:rsid w:val="7C776EA4"/>
    <w:rsid w:val="7C7C095E"/>
    <w:rsid w:val="7C7E3DCB"/>
    <w:rsid w:val="7C8F0691"/>
    <w:rsid w:val="7C970882"/>
    <w:rsid w:val="7C977546"/>
    <w:rsid w:val="7C9A76A2"/>
    <w:rsid w:val="7CA103C5"/>
    <w:rsid w:val="7CA35EEB"/>
    <w:rsid w:val="7CC3658D"/>
    <w:rsid w:val="7CCF6CE0"/>
    <w:rsid w:val="7CDE5175"/>
    <w:rsid w:val="7CF60710"/>
    <w:rsid w:val="7D0D7808"/>
    <w:rsid w:val="7D0F17D2"/>
    <w:rsid w:val="7D276244"/>
    <w:rsid w:val="7D3F20B7"/>
    <w:rsid w:val="7D536175"/>
    <w:rsid w:val="7D537911"/>
    <w:rsid w:val="7D7004C3"/>
    <w:rsid w:val="7D9B26AB"/>
    <w:rsid w:val="7DA619A7"/>
    <w:rsid w:val="7DB36601"/>
    <w:rsid w:val="7DBB1012"/>
    <w:rsid w:val="7DC66335"/>
    <w:rsid w:val="7DCA74A7"/>
    <w:rsid w:val="7DD547CA"/>
    <w:rsid w:val="7DD6409E"/>
    <w:rsid w:val="7DE22A43"/>
    <w:rsid w:val="7E0806FB"/>
    <w:rsid w:val="7E33307D"/>
    <w:rsid w:val="7E5D031B"/>
    <w:rsid w:val="7E6054A8"/>
    <w:rsid w:val="7E680F73"/>
    <w:rsid w:val="7E6873EC"/>
    <w:rsid w:val="7E6E7E08"/>
    <w:rsid w:val="7E7044F2"/>
    <w:rsid w:val="7E7062A0"/>
    <w:rsid w:val="7E7F77EF"/>
    <w:rsid w:val="7E8E6727"/>
    <w:rsid w:val="7E9975A5"/>
    <w:rsid w:val="7EB536D1"/>
    <w:rsid w:val="7EB97C47"/>
    <w:rsid w:val="7EBE0DBA"/>
    <w:rsid w:val="7EC42148"/>
    <w:rsid w:val="7ECB34D7"/>
    <w:rsid w:val="7ECE7E1D"/>
    <w:rsid w:val="7ED14F91"/>
    <w:rsid w:val="7ED72141"/>
    <w:rsid w:val="7EDC1B88"/>
    <w:rsid w:val="7EE04C31"/>
    <w:rsid w:val="7EF742CC"/>
    <w:rsid w:val="7EF96296"/>
    <w:rsid w:val="7F016C0F"/>
    <w:rsid w:val="7F016EF9"/>
    <w:rsid w:val="7F0F2AF3"/>
    <w:rsid w:val="7F1B445E"/>
    <w:rsid w:val="7F2350C1"/>
    <w:rsid w:val="7F2639C1"/>
    <w:rsid w:val="7F3217A8"/>
    <w:rsid w:val="7F3E639F"/>
    <w:rsid w:val="7F4E6660"/>
    <w:rsid w:val="7F636D79"/>
    <w:rsid w:val="7F6776A3"/>
    <w:rsid w:val="7F706F7A"/>
    <w:rsid w:val="7F78494A"/>
    <w:rsid w:val="7F791185"/>
    <w:rsid w:val="7F866A55"/>
    <w:rsid w:val="7F9D0021"/>
    <w:rsid w:val="7F9F508F"/>
    <w:rsid w:val="7FA04963"/>
    <w:rsid w:val="7FA6276F"/>
    <w:rsid w:val="7FB14DC3"/>
    <w:rsid w:val="7FB56661"/>
    <w:rsid w:val="7FDA33F8"/>
    <w:rsid w:val="7FE01204"/>
    <w:rsid w:val="7FE5681A"/>
    <w:rsid w:val="7FF058EB"/>
    <w:rsid w:val="7FFA0518"/>
    <w:rsid w:val="7FFC2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qFormat="1"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qFormat="1"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4">
    <w:name w:val="heading 1"/>
    <w:basedOn w:val="1"/>
    <w:next w:val="1"/>
    <w:link w:val="45"/>
    <w:qFormat/>
    <w:uiPriority w:val="9"/>
    <w:pPr>
      <w:spacing w:line="360" w:lineRule="auto"/>
      <w:jc w:val="center"/>
      <w:outlineLvl w:val="0"/>
    </w:pPr>
    <w:rPr>
      <w:rFonts w:eastAsia="隶书"/>
      <w:b/>
      <w:sz w:val="36"/>
      <w:szCs w:val="36"/>
    </w:rPr>
  </w:style>
  <w:style w:type="paragraph" w:styleId="5">
    <w:name w:val="heading 2"/>
    <w:basedOn w:val="1"/>
    <w:next w:val="6"/>
    <w:link w:val="46"/>
    <w:qFormat/>
    <w:uiPriority w:val="9"/>
    <w:pPr>
      <w:keepNext/>
      <w:keepLines/>
      <w:outlineLvl w:val="1"/>
    </w:pPr>
    <w:rPr>
      <w:rFonts w:ascii="Arial" w:hAnsi="Arial" w:eastAsia="黑体" w:cs="Arial"/>
      <w:b/>
      <w:sz w:val="32"/>
      <w:szCs w:val="32"/>
    </w:rPr>
  </w:style>
  <w:style w:type="paragraph" w:styleId="7">
    <w:name w:val="heading 3"/>
    <w:basedOn w:val="1"/>
    <w:next w:val="1"/>
    <w:link w:val="54"/>
    <w:qFormat/>
    <w:uiPriority w:val="9"/>
    <w:pPr>
      <w:keepNext/>
      <w:keepLines/>
      <w:tabs>
        <w:tab w:val="left" w:pos="778"/>
      </w:tabs>
      <w:spacing w:beforeLines="50" w:afterLines="50" w:line="360" w:lineRule="auto"/>
      <w:ind w:firstLine="138" w:firstLineChars="49"/>
      <w:outlineLvl w:val="2"/>
    </w:pPr>
    <w:rPr>
      <w:rFonts w:ascii="Arial" w:hAnsi="Arial"/>
      <w:b/>
      <w:kern w:val="0"/>
      <w:sz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styleId="6">
    <w:name w:val="Normal Indent"/>
    <w:basedOn w:val="1"/>
    <w:next w:val="1"/>
    <w:link w:val="73"/>
    <w:qFormat/>
    <w:uiPriority w:val="0"/>
    <w:pPr>
      <w:ind w:firstLine="420"/>
    </w:pPr>
  </w:style>
  <w:style w:type="paragraph" w:styleId="8">
    <w:name w:val="List Number 2"/>
    <w:basedOn w:val="1"/>
    <w:semiHidden/>
    <w:unhideWhenUsed/>
    <w:qFormat/>
    <w:uiPriority w:val="99"/>
    <w:pPr>
      <w:numPr>
        <w:ilvl w:val="0"/>
        <w:numId w:val="1"/>
      </w:numPr>
    </w:pPr>
  </w:style>
  <w:style w:type="paragraph" w:styleId="9">
    <w:name w:val="table of authorities"/>
    <w:basedOn w:val="1"/>
    <w:next w:val="1"/>
    <w:qFormat/>
    <w:uiPriority w:val="0"/>
    <w:pPr>
      <w:ind w:left="420" w:leftChars="200"/>
    </w:pPr>
  </w:style>
  <w:style w:type="paragraph" w:styleId="10">
    <w:name w:val="List Number"/>
    <w:basedOn w:val="1"/>
    <w:unhideWhenUsed/>
    <w:qFormat/>
    <w:uiPriority w:val="0"/>
    <w:pPr>
      <w:numPr>
        <w:ilvl w:val="0"/>
        <w:numId w:val="2"/>
      </w:numPr>
      <w:contextualSpacing/>
    </w:pPr>
  </w:style>
  <w:style w:type="paragraph" w:styleId="11">
    <w:name w:val="caption"/>
    <w:basedOn w:val="1"/>
    <w:next w:val="1"/>
    <w:qFormat/>
    <w:uiPriority w:val="0"/>
    <w:pPr>
      <w:spacing w:before="152" w:after="160"/>
    </w:pPr>
    <w:rPr>
      <w:rFonts w:ascii="Arial" w:hAnsi="Arial" w:eastAsia="黑体" w:cs="Arial"/>
      <w:sz w:val="20"/>
    </w:rPr>
  </w:style>
  <w:style w:type="paragraph" w:styleId="12">
    <w:name w:val="annotation text"/>
    <w:basedOn w:val="1"/>
    <w:link w:val="55"/>
    <w:qFormat/>
    <w:uiPriority w:val="0"/>
    <w:pPr>
      <w:jc w:val="left"/>
    </w:pPr>
  </w:style>
  <w:style w:type="paragraph" w:styleId="13">
    <w:name w:val="Body Text 3"/>
    <w:basedOn w:val="1"/>
    <w:link w:val="56"/>
    <w:qFormat/>
    <w:uiPriority w:val="0"/>
    <w:pPr>
      <w:snapToGrid w:val="0"/>
      <w:spacing w:before="50" w:after="50"/>
    </w:pPr>
    <w:rPr>
      <w:rFonts w:hAnsi="宋体" w:eastAsia="仿宋_GB2312"/>
      <w:b/>
      <w:bCs/>
    </w:rPr>
  </w:style>
  <w:style w:type="paragraph" w:styleId="14">
    <w:name w:val="Body Text"/>
    <w:basedOn w:val="1"/>
    <w:next w:val="15"/>
    <w:link w:val="47"/>
    <w:unhideWhenUsed/>
    <w:qFormat/>
    <w:uiPriority w:val="0"/>
    <w:pPr>
      <w:spacing w:after="120"/>
    </w:pPr>
  </w:style>
  <w:style w:type="paragraph" w:styleId="15">
    <w:name w:val="Body Text First Indent"/>
    <w:basedOn w:val="14"/>
    <w:next w:val="1"/>
    <w:link w:val="48"/>
    <w:unhideWhenUsed/>
    <w:qFormat/>
    <w:uiPriority w:val="0"/>
    <w:pPr>
      <w:ind w:firstLine="420" w:firstLineChars="100"/>
    </w:pPr>
  </w:style>
  <w:style w:type="paragraph" w:styleId="16">
    <w:name w:val="Body Text Indent"/>
    <w:basedOn w:val="1"/>
    <w:next w:val="1"/>
    <w:link w:val="57"/>
    <w:qFormat/>
    <w:uiPriority w:val="0"/>
    <w:pPr>
      <w:spacing w:line="200" w:lineRule="exact"/>
      <w:ind w:firstLine="301"/>
    </w:pPr>
    <w:rPr>
      <w:rFonts w:ascii="宋体" w:hAnsi="Courier New"/>
      <w:spacing w:val="-4"/>
      <w:sz w:val="18"/>
    </w:rPr>
  </w:style>
  <w:style w:type="paragraph" w:styleId="17">
    <w:name w:val="List Number 3"/>
    <w:basedOn w:val="1"/>
    <w:semiHidden/>
    <w:unhideWhenUsed/>
    <w:qFormat/>
    <w:uiPriority w:val="99"/>
    <w:pPr>
      <w:numPr>
        <w:ilvl w:val="0"/>
        <w:numId w:val="3"/>
      </w:numPr>
    </w:pPr>
  </w:style>
  <w:style w:type="paragraph" w:styleId="18">
    <w:name w:val="Plain Text"/>
    <w:basedOn w:val="1"/>
    <w:next w:val="19"/>
    <w:link w:val="58"/>
    <w:qFormat/>
    <w:uiPriority w:val="0"/>
    <w:rPr>
      <w:rFonts w:ascii="宋体" w:hAnsi="Courier New"/>
      <w:sz w:val="21"/>
    </w:rPr>
  </w:style>
  <w:style w:type="paragraph" w:customStyle="1" w:styleId="19">
    <w:name w:val="TOC 标题4"/>
    <w:next w:val="1"/>
    <w:qFormat/>
    <w:uiPriority w:val="0"/>
    <w:pPr>
      <w:wordWrap w:val="0"/>
    </w:pPr>
    <w:rPr>
      <w:rFonts w:ascii="Times New Roman" w:hAnsi="Times New Roman" w:eastAsia="宋体" w:cs="Times New Roman"/>
      <w:sz w:val="32"/>
      <w:lang w:val="en-US" w:eastAsia="zh-CN" w:bidi="ar-SA"/>
    </w:rPr>
  </w:style>
  <w:style w:type="paragraph" w:styleId="20">
    <w:name w:val="Date"/>
    <w:next w:val="1"/>
    <w:link w:val="59"/>
    <w:qFormat/>
    <w:uiPriority w:val="99"/>
    <w:pPr>
      <w:jc w:val="both"/>
    </w:pPr>
    <w:rPr>
      <w:rFonts w:ascii="楷体_GB2312" w:hAnsi="Times New Roman" w:eastAsia="楷体_GB2312" w:cs="Times New Roman"/>
      <w:sz w:val="32"/>
      <w:lang w:val="en-US" w:eastAsia="zh-CN" w:bidi="ar-SA"/>
    </w:rPr>
  </w:style>
  <w:style w:type="paragraph" w:styleId="21">
    <w:name w:val="Body Text Indent 2"/>
    <w:basedOn w:val="1"/>
    <w:qFormat/>
    <w:uiPriority w:val="0"/>
    <w:pPr>
      <w:spacing w:line="300" w:lineRule="auto"/>
      <w:ind w:firstLine="480"/>
    </w:pPr>
    <w:rPr>
      <w:rFonts w:ascii="黑体" w:eastAsia="黑体"/>
    </w:rPr>
  </w:style>
  <w:style w:type="paragraph" w:styleId="22">
    <w:name w:val="Balloon Text"/>
    <w:basedOn w:val="1"/>
    <w:link w:val="60"/>
    <w:qFormat/>
    <w:uiPriority w:val="0"/>
    <w:rPr>
      <w:sz w:val="18"/>
      <w:szCs w:val="18"/>
    </w:rPr>
  </w:style>
  <w:style w:type="paragraph" w:styleId="23">
    <w:name w:val="footer"/>
    <w:basedOn w:val="1"/>
    <w:link w:val="61"/>
    <w:qFormat/>
    <w:uiPriority w:val="99"/>
    <w:pPr>
      <w:tabs>
        <w:tab w:val="center" w:pos="4153"/>
        <w:tab w:val="right" w:pos="8306"/>
      </w:tabs>
      <w:snapToGrid w:val="0"/>
      <w:jc w:val="left"/>
    </w:pPr>
    <w:rPr>
      <w:rFonts w:eastAsia="黑体"/>
      <w:snapToGrid w:val="0"/>
      <w:sz w:val="18"/>
      <w:szCs w:val="18"/>
    </w:rPr>
  </w:style>
  <w:style w:type="paragraph" w:styleId="24">
    <w:name w:val="header"/>
    <w:basedOn w:val="1"/>
    <w:link w:val="62"/>
    <w:qFormat/>
    <w:uiPriority w:val="99"/>
    <w:pPr>
      <w:pBdr>
        <w:bottom w:val="single" w:color="auto" w:sz="6" w:space="1"/>
      </w:pBdr>
      <w:tabs>
        <w:tab w:val="center" w:pos="4153"/>
        <w:tab w:val="right" w:pos="8306"/>
      </w:tabs>
      <w:snapToGrid w:val="0"/>
      <w:jc w:val="center"/>
    </w:pPr>
    <w:rPr>
      <w:rFonts w:eastAsia="仿宋_GB2312"/>
      <w:sz w:val="18"/>
      <w:szCs w:val="24"/>
    </w:rPr>
  </w:style>
  <w:style w:type="paragraph" w:styleId="25">
    <w:name w:val="toc 1"/>
    <w:next w:val="1"/>
    <w:qFormat/>
    <w:uiPriority w:val="39"/>
    <w:pPr>
      <w:widowControl w:val="0"/>
    </w:pPr>
    <w:rPr>
      <w:rFonts w:ascii="Times New Roman" w:hAnsi="Times New Roman" w:eastAsia="宋体" w:cs="Times New Roman"/>
      <w:b/>
      <w:caps/>
      <w:kern w:val="2"/>
      <w:lang w:val="en-US" w:eastAsia="zh-CN" w:bidi="ar-SA"/>
    </w:rPr>
  </w:style>
  <w:style w:type="paragraph" w:styleId="26">
    <w:name w:val="List"/>
    <w:basedOn w:val="1"/>
    <w:qFormat/>
    <w:uiPriority w:val="0"/>
    <w:pPr>
      <w:ind w:left="200" w:hanging="200" w:hangingChars="200"/>
    </w:pPr>
    <w:rPr>
      <w:sz w:val="28"/>
    </w:rPr>
  </w:style>
  <w:style w:type="paragraph" w:styleId="27">
    <w:name w:val="toc 6"/>
    <w:basedOn w:val="1"/>
    <w:next w:val="1"/>
    <w:qFormat/>
    <w:uiPriority w:val="0"/>
    <w:pPr>
      <w:ind w:left="2100" w:leftChars="1000"/>
    </w:pPr>
  </w:style>
  <w:style w:type="paragraph" w:styleId="28">
    <w:name w:val="Body Text Indent 3"/>
    <w:basedOn w:val="1"/>
    <w:qFormat/>
    <w:uiPriority w:val="0"/>
    <w:pPr>
      <w:spacing w:after="120"/>
      <w:ind w:left="200" w:leftChars="200"/>
    </w:pPr>
    <w:rPr>
      <w:sz w:val="16"/>
      <w:szCs w:val="16"/>
    </w:rPr>
  </w:style>
  <w:style w:type="paragraph" w:styleId="29">
    <w:name w:val="Body Text 2"/>
    <w:basedOn w:val="1"/>
    <w:qFormat/>
    <w:uiPriority w:val="0"/>
    <w:pPr>
      <w:spacing w:after="120" w:line="480" w:lineRule="auto"/>
    </w:pPr>
    <w:rPr>
      <w:rFonts w:ascii="Calibri" w:hAnsi="Calibri"/>
      <w:szCs w:val="22"/>
    </w:rPr>
  </w:style>
  <w:style w:type="paragraph" w:styleId="30">
    <w:name w:val="Normal (Web)"/>
    <w:basedOn w:val="1"/>
    <w:link w:val="76"/>
    <w:qFormat/>
    <w:uiPriority w:val="0"/>
    <w:rPr>
      <w:szCs w:val="24"/>
    </w:rPr>
  </w:style>
  <w:style w:type="paragraph" w:styleId="31">
    <w:name w:val="Title"/>
    <w:basedOn w:val="1"/>
    <w:next w:val="1"/>
    <w:link w:val="63"/>
    <w:qFormat/>
    <w:uiPriority w:val="0"/>
    <w:pPr>
      <w:spacing w:before="240" w:after="60"/>
      <w:jc w:val="center"/>
      <w:outlineLvl w:val="0"/>
    </w:pPr>
    <w:rPr>
      <w:rFonts w:ascii="Cambria" w:hAnsi="Cambria"/>
      <w:b/>
      <w:bCs/>
      <w:kern w:val="28"/>
      <w:sz w:val="32"/>
      <w:szCs w:val="32"/>
    </w:rPr>
  </w:style>
  <w:style w:type="paragraph" w:styleId="32">
    <w:name w:val="annotation subject"/>
    <w:basedOn w:val="12"/>
    <w:next w:val="12"/>
    <w:link w:val="64"/>
    <w:qFormat/>
    <w:uiPriority w:val="0"/>
    <w:rPr>
      <w:b/>
      <w:bCs/>
    </w:rPr>
  </w:style>
  <w:style w:type="paragraph" w:styleId="33">
    <w:name w:val="Body Text First Indent 2"/>
    <w:basedOn w:val="16"/>
    <w:link w:val="65"/>
    <w:unhideWhenUsed/>
    <w:qFormat/>
    <w:uiPriority w:val="99"/>
    <w:pPr>
      <w:spacing w:after="120"/>
      <w:ind w:left="420" w:leftChars="200" w:firstLine="420"/>
    </w:pPr>
    <w:rPr>
      <w:rFonts w:cs="宋体"/>
      <w:sz w:val="21"/>
      <w:szCs w:val="21"/>
    </w:rPr>
  </w:style>
  <w:style w:type="table" w:styleId="35">
    <w:name w:val="Table Grid"/>
    <w:basedOn w:val="34"/>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22"/>
    <w:rPr>
      <w:b/>
      <w:bCs/>
    </w:rPr>
  </w:style>
  <w:style w:type="character" w:styleId="38">
    <w:name w:val="page number"/>
    <w:basedOn w:val="36"/>
    <w:qFormat/>
    <w:uiPriority w:val="0"/>
  </w:style>
  <w:style w:type="character" w:styleId="39">
    <w:name w:val="Hyperlink"/>
    <w:qFormat/>
    <w:uiPriority w:val="99"/>
    <w:rPr>
      <w:color w:val="0000FF"/>
      <w:u w:val="single"/>
    </w:rPr>
  </w:style>
  <w:style w:type="character" w:styleId="40">
    <w:name w:val="annotation reference"/>
    <w:qFormat/>
    <w:uiPriority w:val="0"/>
    <w:rPr>
      <w:sz w:val="21"/>
      <w:szCs w:val="21"/>
    </w:rPr>
  </w:style>
  <w:style w:type="paragraph" w:customStyle="1" w:styleId="41">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42">
    <w:name w:val="[Normal]"/>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4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44">
    <w:name w:val="Heading1"/>
    <w:basedOn w:val="1"/>
    <w:next w:val="1"/>
    <w:qFormat/>
    <w:uiPriority w:val="0"/>
    <w:pPr>
      <w:keepNext/>
      <w:keepLines/>
      <w:spacing w:before="340" w:after="330" w:line="578" w:lineRule="auto"/>
      <w:ind w:left="425" w:hanging="425"/>
    </w:pPr>
    <w:rPr>
      <w:rFonts w:eastAsia="仿宋_GB2312"/>
      <w:b/>
      <w:kern w:val="44"/>
      <w:sz w:val="44"/>
    </w:rPr>
  </w:style>
  <w:style w:type="character" w:customStyle="1" w:styleId="45">
    <w:name w:val="标题 1 字符"/>
    <w:basedOn w:val="36"/>
    <w:link w:val="4"/>
    <w:qFormat/>
    <w:uiPriority w:val="9"/>
    <w:rPr>
      <w:rFonts w:eastAsia="隶书"/>
      <w:b/>
      <w:kern w:val="2"/>
      <w:sz w:val="36"/>
      <w:szCs w:val="36"/>
    </w:rPr>
  </w:style>
  <w:style w:type="character" w:customStyle="1" w:styleId="46">
    <w:name w:val="标题 2 字符"/>
    <w:basedOn w:val="36"/>
    <w:link w:val="5"/>
    <w:qFormat/>
    <w:uiPriority w:val="0"/>
    <w:rPr>
      <w:rFonts w:ascii="Arial" w:hAnsi="Arial" w:eastAsia="黑体" w:cs="Arial"/>
      <w:b/>
      <w:kern w:val="2"/>
      <w:sz w:val="32"/>
      <w:szCs w:val="32"/>
    </w:rPr>
  </w:style>
  <w:style w:type="character" w:customStyle="1" w:styleId="47">
    <w:name w:val="正文文本 字符"/>
    <w:basedOn w:val="36"/>
    <w:link w:val="14"/>
    <w:qFormat/>
    <w:uiPriority w:val="0"/>
    <w:rPr>
      <w:kern w:val="2"/>
      <w:sz w:val="21"/>
      <w:szCs w:val="24"/>
    </w:rPr>
  </w:style>
  <w:style w:type="character" w:customStyle="1" w:styleId="48">
    <w:name w:val="正文文本首行缩进 字符"/>
    <w:basedOn w:val="47"/>
    <w:link w:val="15"/>
    <w:semiHidden/>
    <w:qFormat/>
    <w:uiPriority w:val="99"/>
    <w:rPr>
      <w:kern w:val="2"/>
      <w:sz w:val="21"/>
      <w:szCs w:val="24"/>
    </w:rPr>
  </w:style>
  <w:style w:type="paragraph" w:customStyle="1" w:styleId="49">
    <w:name w:val="纯文本1"/>
    <w:basedOn w:val="1"/>
    <w:qFormat/>
    <w:uiPriority w:val="0"/>
    <w:pPr>
      <w:widowControl/>
      <w:jc w:val="left"/>
    </w:pPr>
    <w:rPr>
      <w:rFonts w:ascii="宋体" w:hAnsi="Courier New"/>
      <w:color w:val="000000"/>
      <w:kern w:val="1"/>
    </w:rPr>
  </w:style>
  <w:style w:type="paragraph" w:customStyle="1" w:styleId="50">
    <w:name w:val="正文1"/>
    <w:basedOn w:val="1"/>
    <w:qFormat/>
    <w:uiPriority w:val="0"/>
    <w:rPr>
      <w:color w:val="000000"/>
      <w:kern w:val="1"/>
    </w:rPr>
  </w:style>
  <w:style w:type="paragraph" w:customStyle="1" w:styleId="51">
    <w:name w:val="+正文"/>
    <w:basedOn w:val="1"/>
    <w:qFormat/>
    <w:uiPriority w:val="0"/>
    <w:pPr>
      <w:spacing w:line="360" w:lineRule="auto"/>
      <w:ind w:firstLine="200"/>
    </w:pPr>
    <w:rPr>
      <w:kern w:val="1"/>
    </w:rPr>
  </w:style>
  <w:style w:type="paragraph" w:customStyle="1" w:styleId="52">
    <w:name w:val="样式 列表编号 + 段后: 0.5 行"/>
    <w:basedOn w:val="10"/>
    <w:qFormat/>
    <w:uiPriority w:val="0"/>
    <w:pPr>
      <w:numPr>
        <w:ilvl w:val="0"/>
        <w:numId w:val="0"/>
      </w:numPr>
      <w:tabs>
        <w:tab w:val="left" w:pos="720"/>
      </w:tabs>
      <w:ind w:left="720" w:hanging="360"/>
      <w:contextualSpacing w:val="0"/>
    </w:pPr>
  </w:style>
  <w:style w:type="paragraph" w:customStyle="1" w:styleId="53">
    <w:name w:val="正文 + 宋体"/>
    <w:basedOn w:val="1"/>
    <w:qFormat/>
    <w:uiPriority w:val="0"/>
    <w:pPr>
      <w:spacing w:before="31" w:line="400" w:lineRule="atLeast"/>
      <w:ind w:firstLine="420"/>
    </w:pPr>
    <w:rPr>
      <w:rFonts w:ascii="宋体" w:hAnsi="宋体" w:cs="宋体"/>
      <w:kern w:val="1"/>
    </w:rPr>
  </w:style>
  <w:style w:type="character" w:customStyle="1" w:styleId="54">
    <w:name w:val="标题 3 字符"/>
    <w:basedOn w:val="36"/>
    <w:link w:val="7"/>
    <w:qFormat/>
    <w:uiPriority w:val="0"/>
    <w:rPr>
      <w:rFonts w:ascii="Arial" w:hAnsi="Arial" w:eastAsia="宋体"/>
      <w:b/>
      <w:sz w:val="28"/>
    </w:rPr>
  </w:style>
  <w:style w:type="character" w:customStyle="1" w:styleId="55">
    <w:name w:val="批注文字 字符"/>
    <w:basedOn w:val="36"/>
    <w:link w:val="12"/>
    <w:qFormat/>
    <w:uiPriority w:val="0"/>
    <w:rPr>
      <w:rFonts w:ascii="Times New Roman" w:hAnsi="Times New Roman" w:eastAsia="宋体"/>
      <w:kern w:val="2"/>
      <w:sz w:val="24"/>
    </w:rPr>
  </w:style>
  <w:style w:type="character" w:customStyle="1" w:styleId="56">
    <w:name w:val="正文文本 3 字符"/>
    <w:basedOn w:val="36"/>
    <w:link w:val="13"/>
    <w:qFormat/>
    <w:uiPriority w:val="0"/>
    <w:rPr>
      <w:rFonts w:ascii="Times New Roman" w:hAnsi="宋体" w:eastAsia="仿宋_GB2312"/>
      <w:b/>
      <w:bCs/>
      <w:kern w:val="2"/>
      <w:sz w:val="24"/>
    </w:rPr>
  </w:style>
  <w:style w:type="character" w:customStyle="1" w:styleId="57">
    <w:name w:val="正文文本缩进 字符"/>
    <w:basedOn w:val="36"/>
    <w:link w:val="16"/>
    <w:qFormat/>
    <w:uiPriority w:val="0"/>
    <w:rPr>
      <w:rFonts w:ascii="宋体" w:hAnsi="Courier New" w:eastAsia="宋体"/>
      <w:spacing w:val="-4"/>
      <w:kern w:val="2"/>
      <w:sz w:val="18"/>
    </w:rPr>
  </w:style>
  <w:style w:type="character" w:customStyle="1" w:styleId="58">
    <w:name w:val="纯文本 字符"/>
    <w:basedOn w:val="36"/>
    <w:link w:val="18"/>
    <w:qFormat/>
    <w:uiPriority w:val="0"/>
    <w:rPr>
      <w:rFonts w:ascii="宋体" w:hAnsi="Courier New" w:eastAsia="宋体"/>
      <w:kern w:val="2"/>
      <w:sz w:val="21"/>
    </w:rPr>
  </w:style>
  <w:style w:type="character" w:customStyle="1" w:styleId="59">
    <w:name w:val="日期 字符"/>
    <w:basedOn w:val="36"/>
    <w:link w:val="20"/>
    <w:qFormat/>
    <w:uiPriority w:val="99"/>
    <w:rPr>
      <w:rFonts w:ascii="楷体_GB2312" w:hAnsi="Times New Roman" w:eastAsia="楷体_GB2312"/>
      <w:sz w:val="32"/>
    </w:rPr>
  </w:style>
  <w:style w:type="character" w:customStyle="1" w:styleId="60">
    <w:name w:val="批注框文本 字符"/>
    <w:basedOn w:val="36"/>
    <w:link w:val="22"/>
    <w:qFormat/>
    <w:uiPriority w:val="0"/>
    <w:rPr>
      <w:rFonts w:ascii="Times New Roman" w:hAnsi="Times New Roman" w:eastAsia="宋体"/>
      <w:kern w:val="2"/>
      <w:sz w:val="18"/>
      <w:szCs w:val="18"/>
    </w:rPr>
  </w:style>
  <w:style w:type="character" w:customStyle="1" w:styleId="61">
    <w:name w:val="页脚 字符"/>
    <w:basedOn w:val="36"/>
    <w:link w:val="23"/>
    <w:qFormat/>
    <w:uiPriority w:val="99"/>
    <w:rPr>
      <w:rFonts w:ascii="Times New Roman" w:hAnsi="Times New Roman" w:eastAsia="黑体"/>
      <w:snapToGrid w:val="0"/>
      <w:kern w:val="2"/>
      <w:sz w:val="18"/>
      <w:szCs w:val="18"/>
    </w:rPr>
  </w:style>
  <w:style w:type="character" w:customStyle="1" w:styleId="62">
    <w:name w:val="页眉 字符"/>
    <w:basedOn w:val="36"/>
    <w:link w:val="24"/>
    <w:qFormat/>
    <w:uiPriority w:val="99"/>
    <w:rPr>
      <w:rFonts w:ascii="Times New Roman" w:hAnsi="Times New Roman" w:eastAsia="仿宋_GB2312"/>
      <w:kern w:val="2"/>
      <w:sz w:val="18"/>
      <w:szCs w:val="24"/>
    </w:rPr>
  </w:style>
  <w:style w:type="character" w:customStyle="1" w:styleId="63">
    <w:name w:val="标题 字符"/>
    <w:basedOn w:val="36"/>
    <w:link w:val="31"/>
    <w:qFormat/>
    <w:uiPriority w:val="0"/>
    <w:rPr>
      <w:rFonts w:ascii="Cambria" w:hAnsi="Cambria" w:eastAsia="宋体"/>
      <w:b/>
      <w:bCs/>
      <w:kern w:val="28"/>
      <w:sz w:val="32"/>
      <w:szCs w:val="32"/>
    </w:rPr>
  </w:style>
  <w:style w:type="character" w:customStyle="1" w:styleId="64">
    <w:name w:val="批注主题 字符"/>
    <w:basedOn w:val="55"/>
    <w:link w:val="32"/>
    <w:qFormat/>
    <w:uiPriority w:val="0"/>
    <w:rPr>
      <w:rFonts w:ascii="Times New Roman" w:hAnsi="Times New Roman" w:eastAsia="宋体"/>
      <w:b/>
      <w:bCs/>
      <w:kern w:val="2"/>
      <w:sz w:val="24"/>
    </w:rPr>
  </w:style>
  <w:style w:type="character" w:customStyle="1" w:styleId="65">
    <w:name w:val="正文文本首行缩进 2 字符"/>
    <w:basedOn w:val="57"/>
    <w:link w:val="33"/>
    <w:qFormat/>
    <w:uiPriority w:val="99"/>
    <w:rPr>
      <w:rFonts w:ascii="宋体" w:hAnsi="Courier New" w:eastAsia="宋体" w:cs="宋体"/>
      <w:spacing w:val="-4"/>
      <w:kern w:val="2"/>
      <w:sz w:val="21"/>
      <w:szCs w:val="21"/>
    </w:rPr>
  </w:style>
  <w:style w:type="paragraph" w:customStyle="1" w:styleId="66">
    <w:name w:val="GP正文(无首行缩进)"/>
    <w:qFormat/>
    <w:uiPriority w:val="99"/>
    <w:pPr>
      <w:widowControl w:val="0"/>
      <w:spacing w:line="360" w:lineRule="auto"/>
    </w:pPr>
    <w:rPr>
      <w:rFonts w:ascii="Times New Roman" w:hAnsi="Times New Roman" w:eastAsia="宋体" w:cs="Times New Roman"/>
      <w:color w:val="000000"/>
      <w:kern w:val="1"/>
      <w:sz w:val="24"/>
      <w:szCs w:val="21"/>
      <w:lang w:val="en-US" w:eastAsia="zh-CN" w:bidi="ar-SA"/>
    </w:rPr>
  </w:style>
  <w:style w:type="paragraph" w:customStyle="1" w:styleId="67">
    <w:name w:val="表格文字"/>
    <w:basedOn w:val="18"/>
    <w:next w:val="14"/>
    <w:qFormat/>
    <w:uiPriority w:val="0"/>
    <w:pPr>
      <w:jc w:val="left"/>
    </w:pPr>
    <w:rPr>
      <w:sz w:val="24"/>
    </w:rPr>
  </w:style>
  <w:style w:type="paragraph" w:customStyle="1" w:styleId="68">
    <w:name w:val="样式 宋体"/>
    <w:basedOn w:val="1"/>
    <w:next w:val="1"/>
    <w:qFormat/>
    <w:uiPriority w:val="0"/>
    <w:pPr>
      <w:widowControl/>
    </w:pPr>
    <w:rPr>
      <w:rFonts w:ascii="宋体"/>
      <w:color w:val="000000"/>
    </w:rPr>
  </w:style>
  <w:style w:type="paragraph" w:customStyle="1" w:styleId="69">
    <w:name w:val="reader-word-layer reader-word-s1-8"/>
    <w:basedOn w:val="1"/>
    <w:qFormat/>
    <w:uiPriority w:val="0"/>
    <w:pPr>
      <w:widowControl/>
      <w:spacing w:before="100" w:beforeAutospacing="1" w:after="100" w:afterAutospacing="1"/>
      <w:jc w:val="left"/>
    </w:pPr>
    <w:rPr>
      <w:rFonts w:ascii="宋体" w:hAnsi="宋体" w:cs="宋体"/>
      <w:kern w:val="0"/>
    </w:rPr>
  </w:style>
  <w:style w:type="character" w:customStyle="1" w:styleId="70">
    <w:name w:val="NormalCharacter"/>
    <w:qFormat/>
    <w:uiPriority w:val="0"/>
  </w:style>
  <w:style w:type="paragraph" w:customStyle="1" w:styleId="71">
    <w:name w:val="UserStyle_89"/>
    <w:basedOn w:val="1"/>
    <w:qFormat/>
    <w:uiPriority w:val="0"/>
    <w:pPr>
      <w:ind w:firstLine="420"/>
      <w:jc w:val="left"/>
    </w:pPr>
    <w:rPr>
      <w:kern w:val="0"/>
    </w:rPr>
  </w:style>
  <w:style w:type="paragraph" w:customStyle="1" w:styleId="72">
    <w:name w:val="HtmlNormal"/>
    <w:basedOn w:val="1"/>
    <w:qFormat/>
    <w:uiPriority w:val="0"/>
    <w:pPr>
      <w:spacing w:before="100" w:beforeAutospacing="1" w:after="100" w:afterAutospacing="1"/>
      <w:jc w:val="left"/>
    </w:pPr>
    <w:rPr>
      <w:rFonts w:ascii="Arial Unicode MS" w:hAnsi="Arial Unicode MS" w:eastAsia="Arial Unicode MS"/>
      <w:color w:val="000000"/>
      <w:kern w:val="0"/>
      <w:sz w:val="19"/>
      <w:szCs w:val="19"/>
    </w:rPr>
  </w:style>
  <w:style w:type="character" w:customStyle="1" w:styleId="73">
    <w:name w:val="正文缩进 字符"/>
    <w:link w:val="6"/>
    <w:qFormat/>
    <w:uiPriority w:val="0"/>
    <w:rPr>
      <w:rFonts w:ascii="Times New Roman" w:hAnsi="Times New Roman" w:eastAsia="宋体"/>
      <w:kern w:val="2"/>
      <w:sz w:val="24"/>
    </w:rPr>
  </w:style>
  <w:style w:type="character" w:customStyle="1" w:styleId="74">
    <w:name w:val="point_normal1"/>
    <w:qFormat/>
    <w:uiPriority w:val="0"/>
    <w:rPr>
      <w:rFonts w:hint="default" w:ascii="Arial" w:hAnsi="Arial"/>
      <w:sz w:val="22"/>
    </w:rPr>
  </w:style>
  <w:style w:type="paragraph" w:customStyle="1" w:styleId="75">
    <w:name w:val="p0"/>
    <w:basedOn w:val="1"/>
    <w:qFormat/>
    <w:uiPriority w:val="99"/>
    <w:pPr>
      <w:widowControl/>
      <w:spacing w:before="100" w:beforeAutospacing="1" w:after="100" w:afterAutospacing="1"/>
      <w:jc w:val="left"/>
    </w:pPr>
    <w:rPr>
      <w:rFonts w:ascii="宋体" w:hAnsi="宋体"/>
      <w:kern w:val="0"/>
    </w:rPr>
  </w:style>
  <w:style w:type="character" w:customStyle="1" w:styleId="76">
    <w:name w:val="普通(网站) 字符"/>
    <w:link w:val="30"/>
    <w:qFormat/>
    <w:uiPriority w:val="0"/>
    <w:rPr>
      <w:rFonts w:ascii="Times New Roman" w:hAnsi="Times New Roman" w:eastAsia="宋体"/>
      <w:kern w:val="2"/>
      <w:sz w:val="24"/>
      <w:szCs w:val="24"/>
    </w:rPr>
  </w:style>
  <w:style w:type="character" w:customStyle="1" w:styleId="77">
    <w:name w:val="bookmark-item"/>
    <w:basedOn w:val="36"/>
    <w:qFormat/>
    <w:uiPriority w:val="0"/>
  </w:style>
  <w:style w:type="paragraph" w:customStyle="1" w:styleId="78">
    <w:name w:val="列出段落1"/>
    <w:basedOn w:val="1"/>
    <w:unhideWhenUsed/>
    <w:qFormat/>
    <w:uiPriority w:val="34"/>
    <w:pPr>
      <w:ind w:firstLine="420" w:firstLineChars="200"/>
    </w:pPr>
  </w:style>
  <w:style w:type="paragraph" w:customStyle="1" w:styleId="79">
    <w:name w:val="!表格正文"/>
    <w:basedOn w:val="1"/>
    <w:qFormat/>
    <w:uiPriority w:val="0"/>
    <w:rPr>
      <w:rFonts w:cs="Calibri"/>
      <w:kern w:val="0"/>
      <w:szCs w:val="21"/>
    </w:rPr>
  </w:style>
  <w:style w:type="paragraph" w:customStyle="1" w:styleId="80">
    <w:name w:val="列出段落11"/>
    <w:basedOn w:val="1"/>
    <w:qFormat/>
    <w:uiPriority w:val="0"/>
    <w:pPr>
      <w:ind w:firstLine="420"/>
    </w:pPr>
    <w:rPr>
      <w:rFonts w:ascii="Calibri" w:hAnsi="Calibri"/>
      <w:sz w:val="21"/>
    </w:rPr>
  </w:style>
  <w:style w:type="paragraph" w:customStyle="1" w:styleId="81">
    <w:name w:val="_正文段落"/>
    <w:basedOn w:val="1"/>
    <w:qFormat/>
    <w:uiPriority w:val="99"/>
    <w:pPr>
      <w:spacing w:beforeLines="15" w:afterLines="30"/>
    </w:pPr>
    <w:rPr>
      <w:rFonts w:ascii="Calibri" w:hAnsi="Calibri"/>
      <w:szCs w:val="24"/>
    </w:rPr>
  </w:style>
  <w:style w:type="paragraph" w:customStyle="1" w:styleId="82">
    <w:name w:val="正文段"/>
    <w:basedOn w:val="1"/>
    <w:qFormat/>
    <w:uiPriority w:val="0"/>
    <w:pPr>
      <w:widowControl/>
      <w:snapToGrid w:val="0"/>
      <w:spacing w:afterLines="50"/>
      <w:ind w:firstLine="200" w:firstLineChars="200"/>
    </w:pPr>
    <w:rPr>
      <w:kern w:val="0"/>
    </w:rPr>
  </w:style>
  <w:style w:type="paragraph" w:customStyle="1" w:styleId="83">
    <w:name w:val="CM4"/>
    <w:basedOn w:val="2"/>
    <w:next w:val="2"/>
    <w:unhideWhenUsed/>
    <w:qFormat/>
    <w:uiPriority w:val="0"/>
    <w:pPr>
      <w:adjustRightInd/>
      <w:spacing w:line="411" w:lineRule="atLeast"/>
    </w:pPr>
    <w:rPr>
      <w:rFonts w:cs="Times New Roman"/>
      <w:szCs w:val="20"/>
    </w:rPr>
  </w:style>
  <w:style w:type="paragraph" w:customStyle="1" w:styleId="84">
    <w:name w:val="CM5"/>
    <w:basedOn w:val="2"/>
    <w:next w:val="2"/>
    <w:unhideWhenUsed/>
    <w:qFormat/>
    <w:uiPriority w:val="0"/>
    <w:pPr>
      <w:adjustRightInd/>
      <w:spacing w:line="408" w:lineRule="atLeast"/>
    </w:pPr>
    <w:rPr>
      <w:rFonts w:cs="Times New Roman"/>
      <w:szCs w:val="20"/>
    </w:rPr>
  </w:style>
  <w:style w:type="paragraph" w:customStyle="1" w:styleId="85">
    <w:name w:val="样式5"/>
    <w:basedOn w:val="1"/>
    <w:qFormat/>
    <w:uiPriority w:val="99"/>
    <w:pPr>
      <w:spacing w:line="360" w:lineRule="auto"/>
      <w:ind w:firstLine="200" w:firstLineChars="200"/>
      <w:jc w:val="left"/>
    </w:pPr>
  </w:style>
  <w:style w:type="character" w:customStyle="1" w:styleId="86">
    <w:name w:val="纯文本 Char3"/>
    <w:qFormat/>
    <w:uiPriority w:val="0"/>
    <w:rPr>
      <w:rFonts w:ascii="??" w:hAnsi="??" w:eastAsia="??" w:cs="宋体"/>
      <w:kern w:val="2"/>
      <w:sz w:val="21"/>
      <w:szCs w:val="21"/>
    </w:rPr>
  </w:style>
  <w:style w:type="paragraph" w:customStyle="1" w:styleId="87">
    <w:name w:val="1册标题1"/>
    <w:basedOn w:val="1"/>
    <w:next w:val="1"/>
    <w:qFormat/>
    <w:uiPriority w:val="0"/>
    <w:pPr>
      <w:spacing w:beforeLines="50" w:afterLines="50" w:line="300" w:lineRule="auto"/>
      <w:jc w:val="center"/>
      <w:outlineLvl w:val="0"/>
    </w:pPr>
    <w:rPr>
      <w:rFonts w:ascii="Arial" w:hAnsi="Arial" w:eastAsia="黑体"/>
      <w:b/>
      <w:bCs/>
      <w:sz w:val="48"/>
    </w:rPr>
  </w:style>
  <w:style w:type="paragraph" w:customStyle="1" w:styleId="88">
    <w:name w:val="无间隔2"/>
    <w:qFormat/>
    <w:uiPriority w:val="99"/>
    <w:rPr>
      <w:rFonts w:ascii="Times New Roman" w:hAnsi="Times New Roman" w:eastAsia="Times New Roman" w:cs="Times New Roman"/>
      <w:kern w:val="2"/>
      <w:sz w:val="22"/>
      <w:szCs w:val="22"/>
      <w:lang w:val="en-US" w:eastAsia="zh-CN" w:bidi="ar-SA"/>
    </w:rPr>
  </w:style>
  <w:style w:type="paragraph" w:styleId="89">
    <w:name w:val="List Paragraph"/>
    <w:basedOn w:val="1"/>
    <w:unhideWhenUsed/>
    <w:qFormat/>
    <w:uiPriority w:val="0"/>
    <w:pPr>
      <w:ind w:firstLine="420" w:firstLineChars="200"/>
    </w:pPr>
  </w:style>
  <w:style w:type="paragraph" w:customStyle="1" w:styleId="90">
    <w:name w:val="列表段落1"/>
    <w:basedOn w:val="1"/>
    <w:qFormat/>
    <w:uiPriority w:val="99"/>
    <w:pPr>
      <w:spacing w:line="360" w:lineRule="auto"/>
      <w:ind w:firstLine="420" w:firstLineChars="200"/>
    </w:pPr>
    <w:rPr>
      <w:sz w:val="21"/>
    </w:rPr>
  </w:style>
  <w:style w:type="paragraph" w:customStyle="1" w:styleId="91">
    <w:name w:val="段落正文"/>
    <w:basedOn w:val="12"/>
    <w:link w:val="92"/>
    <w:qFormat/>
    <w:uiPriority w:val="0"/>
    <w:pPr>
      <w:adjustRightInd w:val="0"/>
      <w:snapToGrid w:val="0"/>
      <w:spacing w:line="360" w:lineRule="auto"/>
      <w:ind w:firstLine="420" w:firstLineChars="200"/>
      <w:jc w:val="both"/>
    </w:pPr>
    <w:rPr>
      <w:sz w:val="21"/>
      <w:szCs w:val="21"/>
    </w:rPr>
  </w:style>
  <w:style w:type="character" w:customStyle="1" w:styleId="92">
    <w:name w:val="段落正文 字符"/>
    <w:basedOn w:val="55"/>
    <w:link w:val="91"/>
    <w:qFormat/>
    <w:uiPriority w:val="0"/>
    <w:rPr>
      <w:rFonts w:ascii="Times New Roman" w:hAnsi="Times New Roman" w:eastAsia="宋体"/>
      <w:kern w:val="2"/>
      <w:sz w:val="21"/>
      <w:szCs w:val="21"/>
    </w:rPr>
  </w:style>
  <w:style w:type="paragraph" w:customStyle="1" w:styleId="93">
    <w:name w:val="正文格式"/>
    <w:basedOn w:val="1"/>
    <w:link w:val="94"/>
    <w:qFormat/>
    <w:uiPriority w:val="0"/>
    <w:pPr>
      <w:spacing w:beforeLines="50" w:afterLines="50" w:line="360" w:lineRule="auto"/>
      <w:ind w:firstLine="480" w:firstLineChars="200"/>
    </w:pPr>
    <w:rPr>
      <w:kern w:val="0"/>
      <w:szCs w:val="24"/>
      <w:lang w:val="en-GB"/>
    </w:rPr>
  </w:style>
  <w:style w:type="character" w:customStyle="1" w:styleId="94">
    <w:name w:val="正文格式 Char"/>
    <w:link w:val="93"/>
    <w:qFormat/>
    <w:uiPriority w:val="0"/>
    <w:rPr>
      <w:rFonts w:ascii="Times New Roman" w:hAnsi="Times New Roman" w:eastAsia="宋体"/>
      <w:sz w:val="24"/>
      <w:szCs w:val="24"/>
      <w:lang w:val="en-GB"/>
    </w:rPr>
  </w:style>
  <w:style w:type="character" w:customStyle="1" w:styleId="95">
    <w:name w:val="Unresolved Mention"/>
    <w:basedOn w:val="36"/>
    <w:semiHidden/>
    <w:unhideWhenUsed/>
    <w:qFormat/>
    <w:uiPriority w:val="99"/>
    <w:rPr>
      <w:color w:val="605E5C"/>
      <w:shd w:val="clear" w:color="auto" w:fill="E1DFDD"/>
    </w:rPr>
  </w:style>
  <w:style w:type="table" w:customStyle="1" w:styleId="96">
    <w:name w:val="网格型浅色1"/>
    <w:basedOn w:val="34"/>
    <w:qFormat/>
    <w:uiPriority w:val="40"/>
    <w:rPr>
      <w:kern w:val="2"/>
      <w:sz w:val="21"/>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97">
    <w:name w:val="正文缩进2"/>
    <w:basedOn w:val="1"/>
    <w:qFormat/>
    <w:uiPriority w:val="0"/>
    <w:pPr>
      <w:spacing w:before="60"/>
      <w:ind w:firstLine="476"/>
    </w:pPr>
  </w:style>
  <w:style w:type="paragraph" w:customStyle="1" w:styleId="98">
    <w:name w:val="图"/>
    <w:basedOn w:val="1"/>
    <w:qFormat/>
    <w:uiPriority w:val="0"/>
    <w:pPr>
      <w:keepNext/>
      <w:spacing w:before="60" w:after="60" w:line="300" w:lineRule="auto"/>
      <w:jc w:val="center"/>
    </w:pPr>
    <w:rPr>
      <w:spacing w:val="20"/>
      <w:sz w:val="24"/>
      <w:szCs w:val="20"/>
    </w:rPr>
  </w:style>
  <w:style w:type="paragraph" w:customStyle="1" w:styleId="99">
    <w:name w:val="_Style 3"/>
    <w:basedOn w:val="1"/>
    <w:qFormat/>
    <w:uiPriority w:val="1"/>
    <w:pPr>
      <w:pBdr>
        <w:bottom w:val="single" w:color="auto" w:sz="6" w:space="1"/>
      </w:pBdr>
      <w:jc w:val="center"/>
    </w:pPr>
    <w:rPr>
      <w:rFonts w:ascii="Arial" w:hAnsi="Calibri"/>
      <w:vanish/>
      <w:sz w:val="16"/>
    </w:rPr>
  </w:style>
  <w:style w:type="paragraph" w:customStyle="1" w:styleId="100">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101">
    <w:name w:val="font12"/>
    <w:basedOn w:val="36"/>
    <w:qFormat/>
    <w:uiPriority w:val="0"/>
    <w:rPr>
      <w:rFonts w:hint="eastAsia" w:ascii="宋体" w:hAnsi="宋体" w:eastAsia="宋体" w:cs="宋体"/>
      <w:color w:val="000000"/>
      <w:sz w:val="24"/>
      <w:szCs w:val="24"/>
      <w:u w:val="none"/>
    </w:rPr>
  </w:style>
  <w:style w:type="character" w:customStyle="1" w:styleId="102">
    <w:name w:val="font11"/>
    <w:basedOn w:val="36"/>
    <w:qFormat/>
    <w:uiPriority w:val="0"/>
    <w:rPr>
      <w:rFonts w:hint="eastAsia" w:ascii="等线" w:hAnsi="等线" w:eastAsia="等线" w:cs="等线"/>
      <w:b/>
      <w:bCs/>
      <w:color w:val="000000"/>
      <w:sz w:val="44"/>
      <w:szCs w:val="44"/>
      <w:u w:val="none"/>
    </w:rPr>
  </w:style>
  <w:style w:type="character" w:customStyle="1" w:styleId="103">
    <w:name w:val="font21"/>
    <w:basedOn w:val="36"/>
    <w:qFormat/>
    <w:uiPriority w:val="0"/>
    <w:rPr>
      <w:rFonts w:hint="eastAsia" w:ascii="等线" w:hAnsi="等线" w:eastAsia="等线" w:cs="等线"/>
      <w:b/>
      <w:bCs/>
      <w:color w:val="000000"/>
      <w:sz w:val="32"/>
      <w:szCs w:val="32"/>
      <w:u w:val="none"/>
    </w:rPr>
  </w:style>
  <w:style w:type="character" w:customStyle="1" w:styleId="104">
    <w:name w:val="font31"/>
    <w:basedOn w:val="36"/>
    <w:qFormat/>
    <w:uiPriority w:val="0"/>
    <w:rPr>
      <w:rFonts w:hint="eastAsia" w:ascii="宋体" w:hAnsi="宋体" w:eastAsia="宋体" w:cs="宋体"/>
      <w:b/>
      <w:bCs/>
      <w:color w:val="000000"/>
      <w:sz w:val="24"/>
      <w:szCs w:val="24"/>
      <w:u w:val="none"/>
    </w:rPr>
  </w:style>
  <w:style w:type="character" w:customStyle="1" w:styleId="105">
    <w:name w:val="font51"/>
    <w:basedOn w:val="36"/>
    <w:qFormat/>
    <w:uiPriority w:val="0"/>
    <w:rPr>
      <w:rFonts w:hint="eastAsia" w:ascii="宋体" w:hAnsi="宋体" w:eastAsia="宋体" w:cs="宋体"/>
      <w:color w:val="000000"/>
      <w:sz w:val="24"/>
      <w:szCs w:val="24"/>
      <w:u w:val="none"/>
    </w:rPr>
  </w:style>
  <w:style w:type="character" w:customStyle="1" w:styleId="106">
    <w:name w:val="font41"/>
    <w:basedOn w:val="36"/>
    <w:qFormat/>
    <w:uiPriority w:val="0"/>
    <w:rPr>
      <w:rFonts w:hint="eastAsia" w:ascii="宋体" w:hAnsi="宋体" w:eastAsia="宋体" w:cs="宋体"/>
      <w:color w:val="000000"/>
      <w:sz w:val="24"/>
      <w:szCs w:val="24"/>
      <w:u w:val="none"/>
    </w:rPr>
  </w:style>
  <w:style w:type="paragraph" w:customStyle="1" w:styleId="107">
    <w:name w:val="BodyText1I2"/>
    <w:basedOn w:val="108"/>
    <w:qFormat/>
    <w:uiPriority w:val="0"/>
    <w:pPr>
      <w:ind w:left="420" w:leftChars="200" w:firstLine="420" w:firstLineChars="200"/>
      <w:jc w:val="both"/>
      <w:textAlignment w:val="baseline"/>
    </w:pPr>
  </w:style>
  <w:style w:type="paragraph" w:customStyle="1" w:styleId="108">
    <w:name w:val="BodyTextIndent"/>
    <w:basedOn w:val="1"/>
    <w:next w:val="109"/>
    <w:qFormat/>
    <w:uiPriority w:val="0"/>
    <w:pPr>
      <w:ind w:left="420" w:leftChars="200" w:firstLine="480" w:firstLineChars="200"/>
      <w:jc w:val="both"/>
      <w:textAlignment w:val="baseline"/>
    </w:pPr>
    <w:rPr>
      <w:kern w:val="2"/>
      <w:sz w:val="24"/>
      <w:szCs w:val="24"/>
      <w:lang w:val="en-US" w:eastAsia="zh-CN" w:bidi="ar-SA"/>
    </w:rPr>
  </w:style>
  <w:style w:type="paragraph" w:customStyle="1" w:styleId="109">
    <w:name w:val="EnvelopeReturn"/>
    <w:basedOn w:val="1"/>
    <w:qFormat/>
    <w:uiPriority w:val="0"/>
    <w:pPr>
      <w:snapToGrid w:val="0"/>
      <w:jc w:val="both"/>
      <w:textAlignment w:val="baseline"/>
    </w:pPr>
    <w:rPr>
      <w:rFonts w:ascii="Arial" w:hAnsi="Arial"/>
      <w:kern w:val="2"/>
      <w:sz w:val="21"/>
      <w:szCs w:val="24"/>
      <w:lang w:val="en-US" w:eastAsia="zh-CN" w:bidi="ar-SA"/>
    </w:rPr>
  </w:style>
  <w:style w:type="paragraph" w:customStyle="1" w:styleId="110">
    <w:name w:val="正文2"/>
    <w:basedOn w:val="1"/>
    <w:qFormat/>
    <w:uiPriority w:val="0"/>
    <w:pPr>
      <w:spacing w:before="156" w:line="360" w:lineRule="auto"/>
      <w:ind w:firstLine="510" w:firstLineChars="200"/>
    </w:pPr>
    <w:rPr>
      <w:sz w:val="24"/>
      <w:szCs w:val="20"/>
    </w:rPr>
  </w:style>
  <w:style w:type="paragraph" w:customStyle="1" w:styleId="11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1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3">
    <w:name w:val="Body Text First Indent 2"/>
    <w:qFormat/>
    <w:uiPriority w:val="0"/>
    <w:pPr>
      <w:widowControl w:val="0"/>
      <w:spacing w:after="120" w:afterLines="0" w:line="240" w:lineRule="auto"/>
      <w:ind w:left="420" w:leftChars="200" w:firstLine="420"/>
      <w:jc w:val="both"/>
    </w:pPr>
    <w:rPr>
      <w:rFonts w:ascii="Times New Roman" w:hAnsi="Times New Roman" w:eastAsia="宋体" w:cs="宋体"/>
      <w:color w:val="000000"/>
      <w:kern w:val="2"/>
      <w:sz w:val="21"/>
      <w:szCs w:val="21"/>
      <w:lang w:val="en-US" w:eastAsia="zh-CN" w:bidi="ar-SA"/>
    </w:rPr>
  </w:style>
  <w:style w:type="paragraph" w:customStyle="1" w:styleId="114">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15">
    <w:name w:val="索引 11"/>
    <w:basedOn w:val="1"/>
    <w:next w:val="1"/>
    <w:qFormat/>
    <w:uiPriority w:val="99"/>
    <w:pPr>
      <w:adjustRightInd/>
      <w:spacing w:line="360" w:lineRule="auto"/>
    </w:pPr>
    <w:rPr>
      <w:rFonts w:ascii="仿宋_GB2312" w:eastAsia="仿宋_GB2312"/>
      <w:sz w:val="24"/>
      <w:szCs w:val="20"/>
    </w:rPr>
  </w:style>
  <w:style w:type="character" w:customStyle="1" w:styleId="116">
    <w:name w:val="textfont1"/>
    <w:basedOn w:val="36"/>
    <w:qFormat/>
    <w:uiPriority w:val="0"/>
    <w:rPr>
      <w:rFonts w:ascii="Tahoma" w:hAnsi="Tahoma"/>
      <w:sz w:val="22"/>
      <w:szCs w:val="22"/>
    </w:rPr>
  </w:style>
  <w:style w:type="paragraph" w:customStyle="1" w:styleId="117">
    <w:name w:val="Table caption|1"/>
    <w:basedOn w:val="1"/>
    <w:qFormat/>
    <w:uiPriority w:val="0"/>
    <w:pPr>
      <w:widowControl w:val="0"/>
      <w:shd w:val="clear" w:color="auto" w:fill="auto"/>
    </w:pPr>
    <w:rPr>
      <w:b/>
      <w:bCs/>
      <w:sz w:val="8"/>
      <w:szCs w:val="8"/>
      <w:u w:val="none"/>
      <w:shd w:val="clear" w:color="auto" w:fill="auto"/>
      <w:lang w:val="zh-TW" w:eastAsia="zh-TW" w:bidi="zh-TW"/>
    </w:rPr>
  </w:style>
  <w:style w:type="paragraph" w:customStyle="1" w:styleId="118">
    <w:name w:val="正文_0"/>
    <w:basedOn w:val="119"/>
    <w:qFormat/>
    <w:uiPriority w:val="0"/>
    <w:pPr>
      <w:widowControl w:val="0"/>
      <w:jc w:val="both"/>
    </w:pPr>
    <w:rPr>
      <w:rFonts w:ascii="Calibri" w:hAnsi="Calibri"/>
      <w:kern w:val="2"/>
      <w:sz w:val="21"/>
      <w:szCs w:val="22"/>
      <w:lang w:val="en-US" w:eastAsia="zh-CN" w:bidi="ar-SA"/>
    </w:rPr>
  </w:style>
  <w:style w:type="paragraph" w:customStyle="1" w:styleId="119">
    <w:name w:val="正文_1"/>
    <w:basedOn w:val="120"/>
    <w:qFormat/>
    <w:uiPriority w:val="0"/>
    <w:pPr>
      <w:widowControl w:val="0"/>
      <w:jc w:val="both"/>
    </w:pPr>
    <w:rPr>
      <w:rFonts w:ascii="Calibri" w:hAnsi="Calibri"/>
      <w:kern w:val="2"/>
      <w:sz w:val="21"/>
      <w:szCs w:val="22"/>
      <w:lang w:val="en-US" w:eastAsia="zh-CN" w:bidi="ar-SA"/>
    </w:rPr>
  </w:style>
  <w:style w:type="paragraph" w:customStyle="1" w:styleId="120">
    <w:name w:val="正文_2"/>
    <w:basedOn w:val="1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Table Text"/>
    <w:basedOn w:val="1"/>
    <w:semiHidden/>
    <w:qFormat/>
    <w:uiPriority w:val="0"/>
    <w:rPr>
      <w:rFonts w:ascii="微软雅黑" w:hAnsi="微软雅黑" w:eastAsia="微软雅黑" w:cs="微软雅黑"/>
      <w:sz w:val="22"/>
      <w:szCs w:val="22"/>
      <w:lang w:val="en-US" w:eastAsia="en-US" w:bidi="ar-SA"/>
    </w:rPr>
  </w:style>
  <w:style w:type="table" w:customStyle="1" w:styleId="12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66</Pages>
  <Words>16243</Words>
  <Characters>17481</Characters>
  <Lines>271</Lines>
  <Paragraphs>76</Paragraphs>
  <TotalTime>21</TotalTime>
  <ScaleCrop>false</ScaleCrop>
  <LinksUpToDate>false</LinksUpToDate>
  <CharactersWithSpaces>17756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2021-11-12T08:24:00Z</dcterms:created>
  <dc:creator>NTKO</dc:creator>
  <cp:lastModifiedBy>希望</cp:lastModifiedBy>
  <cp:lastPrinted>2024-12-24T08:36:00Z</cp:lastPrinted>
  <dcterms:modified xsi:type="dcterms:W3CDTF">2025-01-12T07:30:28Z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4641379B13BD4C4DA90CA6DFD82D9364_13</vt:lpwstr>
  </property>
  <property fmtid="{D5CDD505-2E9C-101B-9397-08002B2CF9AE}" pid="4" name="KSOTemplateDocerSaveRecord">
    <vt:lpwstr>eyJoZGlkIjoiNmU4MWM1NjljYzJjZWFmZjIwZDE3ODM5ZjAwOTk3OGQiLCJ1c2VySWQiOiI0NDMyODMzNDAifQ==</vt:lpwstr>
  </property>
</Properties>
</file>