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DF0B2">
      <w:pPr>
        <w:jc w:val="center"/>
        <w:outlineLvl w:val="0"/>
        <w:rPr>
          <w:rFonts w:hint="default" w:ascii="宋体" w:hAnsi="宋体" w:eastAsia="宋体" w:cs="宋体"/>
          <w:b/>
          <w:color w:val="auto"/>
          <w:sz w:val="48"/>
          <w:szCs w:val="48"/>
          <w:highlight w:val="none"/>
          <w:lang w:eastAsia="zh-CN"/>
        </w:rPr>
      </w:pPr>
      <w:r>
        <w:rPr>
          <w:rFonts w:hint="default" w:cs="宋体"/>
          <w:b/>
          <w:color w:val="auto"/>
          <w:sz w:val="48"/>
          <w:szCs w:val="48"/>
          <w:highlight w:val="none"/>
          <w:lang w:eastAsia="zh-CN"/>
        </w:rPr>
        <w:t>鸿雁人才公寓运营管理服务项目</w:t>
      </w:r>
    </w:p>
    <w:p w14:paraId="4567CFC2">
      <w:pPr>
        <w:jc w:val="center"/>
        <w:outlineLvl w:val="0"/>
        <w:rPr>
          <w:rFonts w:hint="eastAsia" w:ascii="宋体" w:hAnsi="宋体" w:eastAsia="宋体" w:cs="宋体"/>
          <w:b/>
          <w:color w:val="auto"/>
          <w:sz w:val="48"/>
          <w:szCs w:val="48"/>
          <w:highlight w:val="none"/>
          <w:lang w:eastAsia="zh-CN"/>
        </w:rPr>
      </w:pPr>
    </w:p>
    <w:p w14:paraId="4CFD9738">
      <w:pPr>
        <w:spacing w:line="360" w:lineRule="auto"/>
        <w:jc w:val="center"/>
        <w:rPr>
          <w:rFonts w:hint="eastAsia" w:ascii="宋体" w:hAnsi="宋体" w:eastAsia="宋体" w:cs="宋体"/>
          <w:b/>
          <w:color w:val="auto"/>
          <w:sz w:val="72"/>
          <w:szCs w:val="72"/>
          <w:highlight w:val="none"/>
        </w:rPr>
      </w:pPr>
    </w:p>
    <w:p w14:paraId="5063F823">
      <w:pPr>
        <w:pStyle w:val="18"/>
        <w:ind w:left="0" w:leftChars="0" w:firstLine="0" w:firstLineChars="0"/>
        <w:rPr>
          <w:rFonts w:hint="eastAsia" w:ascii="宋体" w:hAnsi="宋体" w:eastAsia="宋体" w:cs="宋体"/>
          <w:b/>
          <w:color w:val="auto"/>
          <w:sz w:val="72"/>
          <w:szCs w:val="72"/>
          <w:highlight w:val="none"/>
        </w:rPr>
      </w:pPr>
    </w:p>
    <w:p w14:paraId="4D59C3B2">
      <w:pPr>
        <w:pStyle w:val="18"/>
        <w:ind w:left="0" w:leftChars="0" w:firstLine="0" w:firstLineChars="0"/>
        <w:rPr>
          <w:rFonts w:hint="eastAsia" w:ascii="宋体" w:hAnsi="宋体" w:eastAsia="宋体" w:cs="宋体"/>
          <w:b/>
          <w:color w:val="auto"/>
          <w:sz w:val="72"/>
          <w:szCs w:val="72"/>
          <w:highlight w:val="none"/>
        </w:rPr>
      </w:pPr>
    </w:p>
    <w:p w14:paraId="283BE9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56"/>
          <w:szCs w:val="56"/>
          <w:highlight w:val="none"/>
        </w:rPr>
        <w:t>招标文件</w:t>
      </w:r>
    </w:p>
    <w:p w14:paraId="77C0A46D">
      <w:pPr>
        <w:pStyle w:val="3"/>
        <w:rPr>
          <w:rFonts w:hint="eastAsia" w:ascii="宋体" w:hAnsi="宋体" w:eastAsia="宋体" w:cs="宋体"/>
          <w:color w:val="auto"/>
          <w:highlight w:val="none"/>
        </w:rPr>
      </w:pPr>
    </w:p>
    <w:p w14:paraId="70C34950">
      <w:pPr>
        <w:spacing w:line="360" w:lineRule="auto"/>
        <w:jc w:val="center"/>
        <w:rPr>
          <w:rFonts w:hint="eastAsia" w:ascii="宋体" w:hAnsi="宋体" w:eastAsia="宋体" w:cs="宋体"/>
          <w:b/>
          <w:color w:val="auto"/>
          <w:sz w:val="24"/>
          <w:highlight w:val="none"/>
        </w:rPr>
      </w:pPr>
    </w:p>
    <w:p w14:paraId="3D4AE987">
      <w:pPr>
        <w:snapToGrid w:val="0"/>
        <w:spacing w:line="360" w:lineRule="auto"/>
        <w:ind w:firstLine="2301" w:firstLineChars="767"/>
        <w:jc w:val="left"/>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招标编号：</w:t>
      </w:r>
      <w:r>
        <w:rPr>
          <w:rFonts w:hint="eastAsia" w:eastAsia="宋体" w:cs="宋体"/>
          <w:color w:val="auto"/>
          <w:sz w:val="30"/>
          <w:szCs w:val="30"/>
          <w:highlight w:val="none"/>
          <w:u w:val="single"/>
          <w:lang w:eastAsia="zh-CN"/>
        </w:rPr>
        <w:t>ZJGZ-2025-002</w:t>
      </w:r>
    </w:p>
    <w:p w14:paraId="2E566A79">
      <w:pPr>
        <w:snapToGrid w:val="0"/>
        <w:spacing w:line="360" w:lineRule="auto"/>
        <w:ind w:firstLine="2301" w:firstLineChars="767"/>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采购方式：公开招标</w:t>
      </w:r>
    </w:p>
    <w:p w14:paraId="3184EF71">
      <w:pPr>
        <w:spacing w:line="360" w:lineRule="auto"/>
        <w:rPr>
          <w:rFonts w:hint="eastAsia" w:ascii="宋体" w:hAnsi="宋体" w:eastAsia="宋体" w:cs="宋体"/>
          <w:color w:val="auto"/>
          <w:sz w:val="28"/>
          <w:szCs w:val="20"/>
          <w:highlight w:val="none"/>
        </w:rPr>
      </w:pPr>
    </w:p>
    <w:p w14:paraId="511E979C">
      <w:pPr>
        <w:spacing w:line="360" w:lineRule="auto"/>
        <w:jc w:val="center"/>
        <w:rPr>
          <w:rFonts w:hint="eastAsia" w:ascii="宋体" w:hAnsi="宋体" w:eastAsia="宋体" w:cs="宋体"/>
          <w:color w:val="auto"/>
          <w:sz w:val="24"/>
          <w:highlight w:val="none"/>
        </w:rPr>
      </w:pPr>
    </w:p>
    <w:p w14:paraId="677F53DB">
      <w:pPr>
        <w:spacing w:line="360" w:lineRule="auto"/>
        <w:jc w:val="center"/>
        <w:rPr>
          <w:rFonts w:hint="eastAsia" w:ascii="宋体" w:hAnsi="宋体" w:eastAsia="宋体" w:cs="宋体"/>
          <w:color w:val="auto"/>
          <w:sz w:val="24"/>
          <w:highlight w:val="none"/>
        </w:rPr>
      </w:pPr>
    </w:p>
    <w:p w14:paraId="1D93D4C0">
      <w:pPr>
        <w:spacing w:line="360" w:lineRule="auto"/>
        <w:jc w:val="center"/>
        <w:rPr>
          <w:rFonts w:hint="eastAsia" w:ascii="宋体" w:hAnsi="宋体" w:eastAsia="宋体" w:cs="宋体"/>
          <w:color w:val="auto"/>
          <w:sz w:val="24"/>
          <w:highlight w:val="none"/>
        </w:rPr>
      </w:pPr>
    </w:p>
    <w:p w14:paraId="057722C5">
      <w:pPr>
        <w:spacing w:line="360" w:lineRule="auto"/>
        <w:jc w:val="center"/>
        <w:rPr>
          <w:rFonts w:hint="eastAsia" w:ascii="宋体" w:hAnsi="宋体" w:eastAsia="宋体" w:cs="宋体"/>
          <w:color w:val="auto"/>
          <w:sz w:val="24"/>
          <w:highlight w:val="none"/>
        </w:rPr>
      </w:pPr>
    </w:p>
    <w:p w14:paraId="6E2CACC8">
      <w:pPr>
        <w:spacing w:line="360" w:lineRule="auto"/>
        <w:jc w:val="center"/>
        <w:rPr>
          <w:rFonts w:hint="eastAsia" w:ascii="宋体" w:hAnsi="宋体" w:eastAsia="宋体" w:cs="宋体"/>
          <w:color w:val="auto"/>
          <w:sz w:val="24"/>
          <w:highlight w:val="none"/>
        </w:rPr>
      </w:pPr>
    </w:p>
    <w:p w14:paraId="130A4C0C">
      <w:pPr>
        <w:spacing w:line="360" w:lineRule="auto"/>
        <w:jc w:val="center"/>
        <w:rPr>
          <w:rFonts w:hint="eastAsia" w:ascii="宋体" w:hAnsi="宋体" w:eastAsia="宋体" w:cs="宋体"/>
          <w:color w:val="auto"/>
          <w:sz w:val="24"/>
          <w:highlight w:val="none"/>
        </w:rPr>
      </w:pPr>
    </w:p>
    <w:p w14:paraId="00664B35">
      <w:pPr>
        <w:snapToGrid w:val="0"/>
        <w:spacing w:line="360" w:lineRule="auto"/>
        <w:jc w:val="center"/>
        <w:outlineLvl w:val="0"/>
        <w:rPr>
          <w:rFonts w:hint="eastAsia" w:ascii="宋体" w:hAnsi="宋体" w:eastAsia="宋体" w:cs="宋体"/>
          <w:color w:val="auto"/>
          <w:highlight w:val="none"/>
          <w:u w:val="single"/>
          <w:lang w:eastAsia="zh-CN"/>
        </w:rPr>
      </w:pPr>
      <w:r>
        <w:rPr>
          <w:rFonts w:hint="eastAsia" w:ascii="宋体" w:hAnsi="宋体" w:eastAsia="宋体" w:cs="宋体"/>
          <w:color w:val="auto"/>
          <w:sz w:val="30"/>
          <w:highlight w:val="none"/>
        </w:rPr>
        <w:t xml:space="preserve">  采购人：</w:t>
      </w:r>
      <w:r>
        <w:rPr>
          <w:rFonts w:hint="eastAsia" w:cs="宋体"/>
          <w:color w:val="auto"/>
          <w:sz w:val="30"/>
          <w:highlight w:val="none"/>
          <w:lang w:eastAsia="zh-CN"/>
        </w:rPr>
        <w:t>绍兴市上虞鸿雁建设开发有限公司</w:t>
      </w:r>
    </w:p>
    <w:p w14:paraId="6F394386">
      <w:pPr>
        <w:snapToGrid w:val="0"/>
        <w:spacing w:line="360" w:lineRule="auto"/>
        <w:jc w:val="center"/>
        <w:outlineLvl w:val="0"/>
        <w:rPr>
          <w:rFonts w:hint="eastAsia" w:ascii="宋体" w:hAnsi="宋体" w:eastAsia="宋体" w:cs="宋体"/>
          <w:color w:val="auto"/>
          <w:sz w:val="24"/>
          <w:highlight w:val="non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auto"/>
          <w:sz w:val="30"/>
          <w:highlight w:val="none"/>
        </w:rPr>
        <w:t xml:space="preserve">  采购代理机构：</w:t>
      </w:r>
      <w:bookmarkStart w:id="0" w:name="_Hlt67893495"/>
      <w:bookmarkEnd w:id="0"/>
      <w:r>
        <w:rPr>
          <w:rFonts w:hint="eastAsia" w:eastAsia="宋体" w:cs="宋体"/>
          <w:color w:val="auto"/>
          <w:sz w:val="30"/>
          <w:highlight w:val="none"/>
          <w:lang w:eastAsia="zh-CN"/>
        </w:rPr>
        <w:t>浙江广正建设项目管理有限公司</w:t>
      </w:r>
    </w:p>
    <w:p w14:paraId="3D4012EC">
      <w:pPr>
        <w:spacing w:line="360" w:lineRule="auto"/>
        <w:jc w:val="both"/>
        <w:rPr>
          <w:rFonts w:hint="eastAsia" w:ascii="宋体" w:hAnsi="宋体" w:eastAsia="宋体" w:cs="宋体"/>
          <w:color w:val="auto"/>
          <w:sz w:val="24"/>
          <w:highlight w:val="none"/>
        </w:rPr>
      </w:pPr>
    </w:p>
    <w:p w14:paraId="2A9EB0B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E1D1565">
      <w:pPr>
        <w:spacing w:line="360" w:lineRule="auto"/>
        <w:rPr>
          <w:rFonts w:hint="eastAsia" w:ascii="宋体" w:hAnsi="宋体" w:eastAsia="宋体" w:cs="宋体"/>
          <w:color w:val="auto"/>
          <w:sz w:val="32"/>
          <w:szCs w:val="32"/>
          <w:highlight w:val="none"/>
        </w:rPr>
      </w:pPr>
    </w:p>
    <w:p w14:paraId="6E1D4A20">
      <w:pPr>
        <w:pStyle w:val="13"/>
        <w:tabs>
          <w:tab w:val="right" w:leader="dot" w:pos="8306"/>
        </w:tabs>
        <w:spacing w:line="360" w:lineRule="auto"/>
        <w:rPr>
          <w:rFonts w:hint="eastAsia" w:ascii="宋体" w:hAnsi="宋体" w:eastAsia="宋体" w:cs="宋体"/>
          <w:color w:val="auto"/>
          <w:sz w:val="24"/>
          <w:szCs w:val="24"/>
          <w:highlight w:val="none"/>
        </w:rPr>
      </w:pPr>
      <w:bookmarkStart w:id="1" w:name="_Hlt91233176"/>
      <w:bookmarkEnd w:id="1"/>
      <w:bookmarkStart w:id="2" w:name="_Toc91899869"/>
      <w:r>
        <w:rPr>
          <w:rFonts w:hint="eastAsia" w:ascii="宋体" w:hAnsi="宋体" w:eastAsia="宋体" w:cs="宋体"/>
          <w:b/>
          <w:snapToGrid w:val="0"/>
          <w:color w:val="auto"/>
          <w:kern w:val="0"/>
          <w:sz w:val="24"/>
          <w:szCs w:val="24"/>
          <w:highlight w:val="none"/>
        </w:rPr>
        <w:fldChar w:fldCharType="begin"/>
      </w:r>
      <w:r>
        <w:rPr>
          <w:rFonts w:hint="eastAsia" w:ascii="宋体" w:hAnsi="宋体" w:eastAsia="宋体" w:cs="宋体"/>
          <w:b/>
          <w:snapToGrid w:val="0"/>
          <w:color w:val="auto"/>
          <w:kern w:val="0"/>
          <w:sz w:val="24"/>
          <w:szCs w:val="24"/>
          <w:highlight w:val="none"/>
        </w:rPr>
        <w:instrText xml:space="preserve"> TOC \o "1-1" \h \z \u </w:instrText>
      </w:r>
      <w:r>
        <w:rPr>
          <w:rFonts w:hint="eastAsia" w:ascii="宋体" w:hAnsi="宋体" w:eastAsia="宋体" w:cs="宋体"/>
          <w:b/>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_Toc26527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16346A1F">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_Toc11332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第二部分 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_Toc11332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66C97644">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_Toc21538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第三部分 评标办法及评分标准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_Toc21538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400116F7">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_Toc3099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第四部分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195F0F73">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_Toc14216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第五部分 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_Toc14216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3859DBA1">
      <w:pPr>
        <w:pStyle w:val="13"/>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_Toc21198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color w:val="auto"/>
          <w:sz w:val="24"/>
          <w:szCs w:val="24"/>
          <w:highlight w:val="none"/>
        </w:rPr>
        <w:t>第六部分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676710D1">
      <w:pPr>
        <w:spacing w:line="360" w:lineRule="auto"/>
        <w:ind w:firstLine="549" w:firstLineChars="229"/>
        <w:rPr>
          <w:rFonts w:hint="eastAsia" w:ascii="宋体" w:hAnsi="宋体" w:eastAsia="宋体" w:cs="宋体"/>
          <w:color w:val="auto"/>
          <w:sz w:val="40"/>
          <w:szCs w:val="40"/>
          <w:highlight w:val="none"/>
        </w:rPr>
      </w:pPr>
      <w:r>
        <w:rPr>
          <w:rFonts w:hint="eastAsia" w:ascii="宋体" w:hAnsi="宋体" w:eastAsia="宋体" w:cs="宋体"/>
          <w:snapToGrid w:val="0"/>
          <w:color w:val="auto"/>
          <w:kern w:val="0"/>
          <w:sz w:val="24"/>
          <w:szCs w:val="24"/>
          <w:highlight w:val="none"/>
        </w:rPr>
        <w:fldChar w:fldCharType="end"/>
      </w:r>
    </w:p>
    <w:p w14:paraId="5C3E0A1F">
      <w:pPr>
        <w:spacing w:line="360" w:lineRule="auto"/>
        <w:ind w:firstLine="549" w:firstLineChars="229"/>
        <w:rPr>
          <w:rFonts w:hint="eastAsia" w:ascii="宋体" w:hAnsi="宋体" w:eastAsia="宋体" w:cs="宋体"/>
          <w:color w:val="auto"/>
          <w:sz w:val="24"/>
          <w:highlight w:val="none"/>
        </w:rPr>
      </w:pPr>
    </w:p>
    <w:p w14:paraId="70DD057A">
      <w:pPr>
        <w:spacing w:line="360" w:lineRule="auto"/>
        <w:rPr>
          <w:rFonts w:hint="eastAsia" w:ascii="宋体" w:hAnsi="宋体" w:eastAsia="宋体" w:cs="宋体"/>
          <w:color w:val="auto"/>
          <w:sz w:val="24"/>
          <w:highlight w:val="none"/>
        </w:rPr>
      </w:pPr>
    </w:p>
    <w:bookmarkEnd w:id="2"/>
    <w:p w14:paraId="11441681">
      <w:pPr>
        <w:spacing w:line="360" w:lineRule="auto"/>
        <w:jc w:val="center"/>
        <w:rPr>
          <w:rFonts w:hint="eastAsia" w:ascii="宋体" w:hAnsi="宋体" w:eastAsia="宋体" w:cs="宋体"/>
          <w:b/>
          <w:color w:val="auto"/>
          <w:sz w:val="36"/>
          <w:szCs w:val="20"/>
          <w:highlight w:val="none"/>
        </w:rPr>
        <w:sectPr>
          <w:footerReference r:id="rId5" w:type="default"/>
          <w:pgSz w:w="11906" w:h="16838"/>
          <w:pgMar w:top="1440" w:right="1800" w:bottom="1440" w:left="1800" w:header="851" w:footer="992" w:gutter="0"/>
          <w:pgNumType w:start="1"/>
          <w:cols w:space="720" w:num="1"/>
          <w:docGrid w:type="lines" w:linePitch="312" w:charSpace="0"/>
        </w:sect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p>
    <w:p w14:paraId="287992E9">
      <w:pPr>
        <w:spacing w:line="360" w:lineRule="auto"/>
        <w:jc w:val="center"/>
        <w:outlineLvl w:val="0"/>
        <w:rPr>
          <w:rFonts w:hint="eastAsia" w:ascii="宋体" w:hAnsi="宋体" w:eastAsia="宋体" w:cs="宋体"/>
          <w:b/>
          <w:color w:val="auto"/>
          <w:sz w:val="36"/>
          <w:szCs w:val="20"/>
          <w:highlight w:val="none"/>
        </w:rPr>
      </w:pPr>
      <w:bookmarkStart w:id="10" w:name="_Toc26527"/>
      <w:r>
        <w:rPr>
          <w:rFonts w:hint="eastAsia" w:ascii="宋体" w:hAnsi="宋体" w:eastAsia="宋体" w:cs="宋体"/>
          <w:b/>
          <w:color w:val="auto"/>
          <w:sz w:val="36"/>
          <w:szCs w:val="20"/>
          <w:highlight w:val="none"/>
        </w:rPr>
        <w:t>第一部分 招标公告</w:t>
      </w:r>
      <w:bookmarkEnd w:id="10"/>
    </w:p>
    <w:p w14:paraId="388190F1">
      <w:pPr>
        <w:adjustRightInd w:val="0"/>
        <w:spacing w:line="360" w:lineRule="auto"/>
        <w:jc w:val="center"/>
        <w:rPr>
          <w:rFonts w:hint="eastAsia" w:ascii="宋体" w:hAnsi="宋体" w:eastAsia="宋体" w:cs="宋体"/>
          <w:color w:val="auto"/>
          <w:sz w:val="28"/>
          <w:szCs w:val="28"/>
          <w:highlight w:val="none"/>
        </w:rPr>
      </w:pPr>
      <w:r>
        <w:rPr>
          <w:rFonts w:hint="eastAsia" w:eastAsia="宋体" w:cs="宋体"/>
          <w:color w:val="auto"/>
          <w:sz w:val="28"/>
          <w:szCs w:val="28"/>
          <w:highlight w:val="none"/>
          <w:lang w:eastAsia="zh-CN"/>
        </w:rPr>
        <w:t>浙江广正建设项目管理有限公司</w:t>
      </w:r>
      <w:r>
        <w:rPr>
          <w:rFonts w:hint="eastAsia" w:ascii="宋体" w:hAnsi="宋体" w:eastAsia="宋体" w:cs="宋体"/>
          <w:color w:val="auto"/>
          <w:sz w:val="28"/>
          <w:szCs w:val="28"/>
          <w:highlight w:val="none"/>
        </w:rPr>
        <w:t>关于</w:t>
      </w:r>
      <w:r>
        <w:rPr>
          <w:rFonts w:hint="eastAsia" w:cs="宋体"/>
          <w:color w:val="auto"/>
          <w:sz w:val="28"/>
          <w:szCs w:val="28"/>
          <w:highlight w:val="none"/>
          <w:lang w:eastAsia="zh-CN"/>
        </w:rPr>
        <w:t>绍兴市上虞鸿雁建设开发有限公司</w:t>
      </w:r>
      <w:r>
        <w:rPr>
          <w:rFonts w:hint="default" w:cs="宋体"/>
          <w:color w:val="auto"/>
          <w:sz w:val="28"/>
          <w:szCs w:val="28"/>
          <w:highlight w:val="none"/>
          <w:lang w:eastAsia="zh-CN"/>
        </w:rPr>
        <w:t>鸿雁人才公寓运营管理服务项目</w:t>
      </w:r>
      <w:r>
        <w:rPr>
          <w:rFonts w:hint="eastAsia" w:ascii="宋体" w:hAnsi="宋体" w:eastAsia="宋体" w:cs="宋体"/>
          <w:color w:val="auto"/>
          <w:sz w:val="28"/>
          <w:szCs w:val="28"/>
          <w:highlight w:val="none"/>
        </w:rPr>
        <w:t>的非政府采购公开招标公告</w:t>
      </w:r>
    </w:p>
    <w:p w14:paraId="384BBE74">
      <w:pP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公告日期：202</w:t>
      </w:r>
      <w:r>
        <w:rPr>
          <w:rFonts w:hint="eastAsia"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70109937">
      <w:pPr>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eastAsia="宋体" w:cs="宋体"/>
          <w:color w:val="auto"/>
          <w:sz w:val="24"/>
          <w:highlight w:val="none"/>
          <w:lang w:val="en-US" w:eastAsia="zh-CN"/>
        </w:rPr>
        <w:t xml:space="preserve"> </w:t>
      </w:r>
      <w:r>
        <w:rPr>
          <w:rFonts w:hint="eastAsia" w:eastAsia="宋体" w:cs="宋体"/>
          <w:color w:val="auto"/>
          <w:sz w:val="24"/>
          <w:highlight w:val="none"/>
          <w:lang w:eastAsia="zh-CN"/>
        </w:rPr>
        <w:t>参照</w:t>
      </w:r>
      <w:r>
        <w:rPr>
          <w:rFonts w:hint="eastAsia" w:ascii="宋体" w:hAnsi="宋体" w:eastAsia="宋体" w:cs="宋体"/>
          <w:color w:val="auto"/>
          <w:sz w:val="24"/>
          <w:highlight w:val="none"/>
        </w:rPr>
        <w:t>《上虞区区属国有企业货物和服务采购管理办法》</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有关规定</w:t>
      </w:r>
      <w:r>
        <w:rPr>
          <w:rFonts w:hint="eastAsia" w:ascii="宋体" w:hAnsi="宋体" w:eastAsia="宋体" w:cs="宋体"/>
          <w:color w:val="auto"/>
          <w:sz w:val="24"/>
          <w:highlight w:val="none"/>
          <w:lang w:eastAsia="zh-CN"/>
        </w:rPr>
        <w:t>，</w:t>
      </w:r>
      <w:r>
        <w:rPr>
          <w:rFonts w:hint="eastAsia" w:eastAsia="宋体" w:cs="宋体"/>
          <w:color w:val="auto"/>
          <w:sz w:val="24"/>
          <w:highlight w:val="none"/>
          <w:u w:val="single"/>
          <w:lang w:eastAsia="zh-CN"/>
        </w:rPr>
        <w:t>浙江广正建设项目管理有限公司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受</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eastAsia="zh-CN"/>
        </w:rPr>
        <w:t>绍兴市上虞鸿雁建设开发有限公司</w:t>
      </w:r>
      <w:r>
        <w:rPr>
          <w:rFonts w:hint="eastAsia" w:ascii="宋体" w:hAnsi="宋体" w:eastAsia="宋体" w:cs="宋体"/>
          <w:color w:val="auto"/>
          <w:sz w:val="24"/>
          <w:highlight w:val="none"/>
        </w:rPr>
        <w:t>委托，现就</w:t>
      </w:r>
      <w:r>
        <w:rPr>
          <w:rFonts w:hint="default" w:cs="宋体"/>
          <w:color w:val="auto"/>
          <w:sz w:val="24"/>
          <w:highlight w:val="none"/>
          <w:u w:val="single"/>
          <w:lang w:eastAsia="zh-CN"/>
        </w:rPr>
        <w:t>鸿雁人才公寓运营管理服务项目</w:t>
      </w:r>
      <w:r>
        <w:rPr>
          <w:rFonts w:hint="eastAsia" w:ascii="宋体" w:hAnsi="宋体" w:eastAsia="宋体" w:cs="宋体"/>
          <w:color w:val="auto"/>
          <w:sz w:val="24"/>
          <w:highlight w:val="none"/>
        </w:rPr>
        <w:t>进行公开招标，欢迎国内合格的供应商前来投标。</w:t>
      </w:r>
    </w:p>
    <w:p w14:paraId="64CB8154">
      <w:pPr>
        <w:adjustRightInd w:val="0"/>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bCs/>
          <w:color w:val="auto"/>
          <w:sz w:val="24"/>
          <w:highlight w:val="none"/>
        </w:rPr>
        <w:t>一、招标项目编号：</w:t>
      </w:r>
      <w:r>
        <w:rPr>
          <w:rFonts w:hint="eastAsia" w:eastAsia="宋体" w:cs="宋体"/>
          <w:color w:val="auto"/>
          <w:sz w:val="24"/>
          <w:highlight w:val="none"/>
          <w:u w:val="single"/>
          <w:lang w:eastAsia="zh-CN"/>
        </w:rPr>
        <w:t>ZJGZ-2025-002</w:t>
      </w:r>
    </w:p>
    <w:p w14:paraId="5C77F202">
      <w:pPr>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二、采购组织类型：</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 xml:space="preserve"> </w:t>
      </w:r>
    </w:p>
    <w:p w14:paraId="25CE0B23">
      <w:pPr>
        <w:adjustRightIn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三、招标项目概况：</w:t>
      </w:r>
    </w:p>
    <w:tbl>
      <w:tblPr>
        <w:tblStyle w:val="19"/>
        <w:tblW w:w="1015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15"/>
        <w:gridCol w:w="1049"/>
        <w:gridCol w:w="1710"/>
        <w:gridCol w:w="770"/>
        <w:gridCol w:w="740"/>
        <w:gridCol w:w="2490"/>
        <w:gridCol w:w="1640"/>
        <w:gridCol w:w="1043"/>
      </w:tblGrid>
      <w:tr w14:paraId="3C1D4168">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36" w:hRule="atLeast"/>
          <w:jc w:val="center"/>
        </w:trPr>
        <w:tc>
          <w:tcPr>
            <w:tcW w:w="715" w:type="dxa"/>
            <w:noWrap w:val="0"/>
            <w:vAlign w:val="center"/>
          </w:tcPr>
          <w:p w14:paraId="3011A072">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759" w:type="dxa"/>
            <w:gridSpan w:val="2"/>
            <w:noWrap w:val="0"/>
            <w:vAlign w:val="center"/>
          </w:tcPr>
          <w:p w14:paraId="771BB1BD">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0" w:type="dxa"/>
            <w:noWrap w:val="0"/>
            <w:vAlign w:val="center"/>
          </w:tcPr>
          <w:p w14:paraId="37AA0A73">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40" w:type="dxa"/>
            <w:noWrap w:val="0"/>
            <w:vAlign w:val="center"/>
          </w:tcPr>
          <w:p w14:paraId="7E3777BE">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490" w:type="dxa"/>
            <w:noWrap w:val="0"/>
            <w:vAlign w:val="center"/>
          </w:tcPr>
          <w:p w14:paraId="22455888">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简要规格描述或标项基本概况介绍</w:t>
            </w:r>
          </w:p>
        </w:tc>
        <w:tc>
          <w:tcPr>
            <w:tcW w:w="1640" w:type="dxa"/>
            <w:noWrap w:val="0"/>
            <w:vAlign w:val="center"/>
          </w:tcPr>
          <w:p w14:paraId="732A183C">
            <w:pPr>
              <w:keepNext w:val="0"/>
              <w:keepLines w:val="0"/>
              <w:suppressLineNumbers w:val="0"/>
              <w:spacing w:before="0" w:beforeAutospacing="0" w:after="0" w:afterAutospacing="0"/>
              <w:ind w:left="0" w:right="0"/>
              <w:jc w:val="center"/>
              <w:rPr>
                <w:rFonts w:hint="eastAsia" w:ascii="宋体" w:hAnsi="宋体" w:eastAsia="宋体" w:cs="宋体"/>
                <w:color w:val="auto"/>
                <w:sz w:val="20"/>
                <w:highlight w:val="none"/>
              </w:rPr>
            </w:pPr>
            <w:r>
              <w:rPr>
                <w:rFonts w:hint="eastAsia" w:ascii="宋体" w:hAnsi="宋体" w:eastAsia="宋体" w:cs="宋体"/>
                <w:color w:val="auto"/>
                <w:sz w:val="24"/>
                <w:highlight w:val="none"/>
              </w:rPr>
              <w:t>最高限价</w:t>
            </w:r>
          </w:p>
        </w:tc>
        <w:tc>
          <w:tcPr>
            <w:tcW w:w="1043" w:type="dxa"/>
            <w:noWrap w:val="0"/>
            <w:vAlign w:val="center"/>
          </w:tcPr>
          <w:p w14:paraId="0133BC67">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54A2D47">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359" w:hRule="atLeast"/>
          <w:jc w:val="center"/>
        </w:trPr>
        <w:tc>
          <w:tcPr>
            <w:tcW w:w="715" w:type="dxa"/>
            <w:noWrap w:val="0"/>
            <w:vAlign w:val="center"/>
          </w:tcPr>
          <w:p w14:paraId="1B605A52">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49" w:type="dxa"/>
            <w:vMerge w:val="restart"/>
            <w:noWrap w:val="0"/>
            <w:vAlign w:val="center"/>
          </w:tcPr>
          <w:p w14:paraId="3C51B843">
            <w:pPr>
              <w:keepNext w:val="0"/>
              <w:keepLines w:val="0"/>
              <w:widowControl/>
              <w:suppressLineNumbers w:val="0"/>
              <w:spacing w:before="0" w:beforeAutospacing="0" w:after="0" w:afterAutospacing="0" w:line="336" w:lineRule="auto"/>
              <w:ind w:left="0" w:right="0"/>
              <w:jc w:val="center"/>
              <w:rPr>
                <w:rFonts w:hint="default" w:ascii="宋体" w:hAnsi="宋体" w:eastAsia="宋体" w:cs="宋体"/>
                <w:color w:val="auto"/>
                <w:sz w:val="24"/>
                <w:highlight w:val="none"/>
                <w:lang w:eastAsia="zh-CN"/>
              </w:rPr>
            </w:pPr>
            <w:r>
              <w:rPr>
                <w:rFonts w:hint="default" w:cs="宋体"/>
                <w:color w:val="auto"/>
                <w:sz w:val="24"/>
                <w:highlight w:val="none"/>
                <w:lang w:eastAsia="zh-CN"/>
              </w:rPr>
              <w:t>鸿雁人才公寓运营管理服务项目</w:t>
            </w:r>
          </w:p>
        </w:tc>
        <w:tc>
          <w:tcPr>
            <w:tcW w:w="1710" w:type="dxa"/>
            <w:noWrap w:val="0"/>
            <w:vAlign w:val="center"/>
          </w:tcPr>
          <w:p w14:paraId="474ADE0C">
            <w:pPr>
              <w:keepNext w:val="0"/>
              <w:keepLines w:val="0"/>
              <w:widowControl/>
              <w:suppressLineNumbers w:val="0"/>
              <w:spacing w:before="0" w:beforeAutospacing="0" w:after="0" w:afterAutospacing="0" w:line="336" w:lineRule="auto"/>
              <w:ind w:left="0" w:right="0"/>
              <w:jc w:val="center"/>
              <w:rPr>
                <w:rFonts w:hint="eastAsia" w:eastAsia="宋体" w:cs="宋体"/>
                <w:color w:val="auto"/>
                <w:sz w:val="24"/>
                <w:highlight w:val="none"/>
                <w:lang w:eastAsia="zh-CN"/>
              </w:rPr>
            </w:pPr>
            <w:r>
              <w:rPr>
                <w:rFonts w:hint="eastAsia" w:ascii="宋体" w:hAnsi="宋体" w:eastAsia="宋体" w:cs="宋体"/>
                <w:color w:val="auto"/>
                <w:sz w:val="24"/>
                <w:highlight w:val="none"/>
                <w:lang w:val="en-US" w:eastAsia="zh-CN"/>
              </w:rPr>
              <w:t>前期介入服务</w:t>
            </w:r>
          </w:p>
        </w:tc>
        <w:tc>
          <w:tcPr>
            <w:tcW w:w="770" w:type="dxa"/>
            <w:noWrap w:val="0"/>
            <w:vAlign w:val="center"/>
          </w:tcPr>
          <w:p w14:paraId="7ABE5E09">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40" w:type="dxa"/>
            <w:noWrap w:val="0"/>
            <w:vAlign w:val="center"/>
          </w:tcPr>
          <w:p w14:paraId="320DC13F">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lang w:eastAsia="zh-CN"/>
              </w:rPr>
            </w:pPr>
            <w:r>
              <w:rPr>
                <w:rFonts w:hint="eastAsia" w:ascii="宋体" w:hAnsi="宋体"/>
                <w:color w:val="auto"/>
                <w:sz w:val="24"/>
                <w:highlight w:val="none"/>
              </w:rPr>
              <w:t>项</w:t>
            </w:r>
          </w:p>
        </w:tc>
        <w:tc>
          <w:tcPr>
            <w:tcW w:w="2490" w:type="dxa"/>
            <w:vMerge w:val="restart"/>
            <w:noWrap w:val="0"/>
            <w:vAlign w:val="center"/>
          </w:tcPr>
          <w:p w14:paraId="111EB112">
            <w:pPr>
              <w:keepNext w:val="0"/>
              <w:keepLines w:val="0"/>
              <w:widowControl w:val="0"/>
              <w:suppressLineNumbers w:val="0"/>
              <w:spacing w:before="0" w:beforeAutospacing="0" w:after="0" w:afterAutospacing="0" w:line="336" w:lineRule="auto"/>
              <w:ind w:left="0" w:right="0"/>
              <w:jc w:val="both"/>
              <w:rPr>
                <w:rFonts w:hint="default" w:ascii="宋体" w:hAnsi="宋体" w:eastAsia="宋体" w:cs="宋体"/>
                <w:color w:val="auto"/>
                <w:sz w:val="24"/>
                <w:highlight w:val="none"/>
              </w:rPr>
            </w:pPr>
            <w:r>
              <w:rPr>
                <w:rFonts w:hint="default" w:ascii="宋体" w:hAnsi="宋体" w:eastAsia="宋体" w:cs="宋体"/>
                <w:color w:val="auto"/>
                <w:sz w:val="24"/>
                <w:highlight w:val="none"/>
              </w:rPr>
              <w:t>包括但不限于保洁</w:t>
            </w:r>
            <w:r>
              <w:rPr>
                <w:rFonts w:hint="default" w:ascii="宋体" w:hAnsi="宋体" w:eastAsia="宋体" w:cs="宋体"/>
                <w:color w:val="auto"/>
                <w:sz w:val="24"/>
                <w:highlight w:val="none"/>
                <w:lang w:eastAsia="zh-CN"/>
              </w:rPr>
              <w:t>、</w:t>
            </w:r>
            <w:r>
              <w:rPr>
                <w:rFonts w:hint="default" w:ascii="宋体" w:hAnsi="宋体" w:eastAsia="宋体" w:cs="宋体"/>
                <w:color w:val="auto"/>
                <w:sz w:val="24"/>
                <w:highlight w:val="none"/>
                <w:lang w:val="en-US" w:eastAsia="zh-CN"/>
              </w:rPr>
              <w:t>保安</w:t>
            </w:r>
            <w:r>
              <w:rPr>
                <w:rFonts w:hint="default" w:ascii="宋体" w:hAnsi="宋体" w:eastAsia="宋体" w:cs="宋体"/>
                <w:color w:val="auto"/>
                <w:sz w:val="24"/>
                <w:highlight w:val="none"/>
              </w:rPr>
              <w:t>服务</w:t>
            </w:r>
            <w:r>
              <w:rPr>
                <w:rFonts w:hint="default" w:ascii="宋体" w:hAnsi="宋体" w:eastAsia="宋体" w:cs="宋体"/>
                <w:color w:val="auto"/>
                <w:sz w:val="24"/>
                <w:highlight w:val="none"/>
                <w:lang w:eastAsia="zh-CN"/>
              </w:rPr>
              <w:t>、</w:t>
            </w:r>
            <w:r>
              <w:rPr>
                <w:rFonts w:hint="default" w:ascii="宋体" w:hAnsi="宋体" w:eastAsia="宋体" w:cs="宋体"/>
                <w:color w:val="auto"/>
                <w:sz w:val="24"/>
                <w:highlight w:val="none"/>
                <w:lang w:val="en-US" w:eastAsia="zh-CN"/>
              </w:rPr>
              <w:t>运营</w:t>
            </w:r>
            <w:r>
              <w:rPr>
                <w:rFonts w:hint="default" w:ascii="宋体" w:hAnsi="宋体" w:eastAsia="宋体" w:cs="宋体"/>
                <w:color w:val="auto"/>
                <w:sz w:val="24"/>
                <w:highlight w:val="none"/>
                <w:lang w:eastAsia="zh-CN"/>
              </w:rPr>
              <w:t>服务、</w:t>
            </w:r>
            <w:r>
              <w:rPr>
                <w:rFonts w:hint="eastAsia" w:ascii="宋体" w:hAnsi="宋体" w:eastAsia="宋体" w:cs="宋体"/>
                <w:b w:val="0"/>
                <w:bCs w:val="0"/>
                <w:color w:val="auto"/>
                <w:sz w:val="24"/>
                <w:szCs w:val="24"/>
                <w:highlight w:val="none"/>
              </w:rPr>
              <w:t>公区装饰（氛围提升）服务</w:t>
            </w:r>
            <w:r>
              <w:rPr>
                <w:rFonts w:hint="default" w:ascii="宋体" w:hAnsi="宋体" w:eastAsia="宋体" w:cs="宋体"/>
                <w:b w:val="0"/>
                <w:bCs w:val="0"/>
                <w:color w:val="auto"/>
                <w:sz w:val="24"/>
                <w:szCs w:val="24"/>
                <w:highlight w:val="none"/>
              </w:rPr>
              <w:t>、</w:t>
            </w:r>
            <w:r>
              <w:rPr>
                <w:rFonts w:hint="default" w:ascii="宋体" w:hAnsi="宋体" w:eastAsia="宋体" w:cs="宋体"/>
                <w:color w:val="auto"/>
                <w:sz w:val="24"/>
                <w:highlight w:val="none"/>
                <w:lang w:val="en-US" w:eastAsia="zh-CN"/>
              </w:rPr>
              <w:t>维修服务、社群</w:t>
            </w:r>
            <w:r>
              <w:rPr>
                <w:rFonts w:hint="eastAsia" w:cs="宋体"/>
                <w:color w:val="auto"/>
                <w:sz w:val="24"/>
                <w:highlight w:val="none"/>
                <w:lang w:val="en-US" w:eastAsia="zh-CN"/>
              </w:rPr>
              <w:t>活动</w:t>
            </w:r>
            <w:r>
              <w:rPr>
                <w:rFonts w:hint="eastAsia" w:eastAsia="宋体" w:cs="宋体"/>
                <w:color w:val="auto"/>
                <w:sz w:val="24"/>
                <w:highlight w:val="none"/>
                <w:lang w:val="en-US" w:eastAsia="zh-CN"/>
              </w:rPr>
              <w:t>服务</w:t>
            </w:r>
            <w:r>
              <w:rPr>
                <w:rFonts w:hint="default" w:ascii="宋体" w:hAnsi="宋体" w:eastAsia="宋体" w:cs="宋体"/>
                <w:color w:val="auto"/>
                <w:sz w:val="24"/>
                <w:highlight w:val="none"/>
                <w:lang w:val="en-US" w:eastAsia="zh-CN"/>
              </w:rPr>
              <w:t>、商业服务、数字化服务、升级服务、前期介入</w:t>
            </w:r>
            <w:r>
              <w:rPr>
                <w:rFonts w:hint="eastAsia" w:eastAsia="宋体" w:cs="宋体"/>
                <w:color w:val="auto"/>
                <w:sz w:val="24"/>
                <w:highlight w:val="none"/>
                <w:lang w:val="en-US" w:eastAsia="zh-CN"/>
              </w:rPr>
              <w:t>服务</w:t>
            </w:r>
            <w:r>
              <w:rPr>
                <w:rFonts w:hint="default" w:ascii="宋体" w:hAnsi="宋体" w:eastAsia="宋体" w:cs="宋体"/>
                <w:color w:val="auto"/>
                <w:sz w:val="24"/>
                <w:highlight w:val="none"/>
                <w:lang w:val="en-US" w:eastAsia="zh-CN"/>
              </w:rPr>
              <w:t>的相关服务等</w:t>
            </w:r>
            <w:r>
              <w:rPr>
                <w:rFonts w:hint="eastAsia" w:eastAsia="宋体" w:cs="宋体"/>
                <w:color w:val="auto"/>
                <w:sz w:val="24"/>
                <w:highlight w:val="none"/>
                <w:lang w:val="en-US" w:eastAsia="zh-CN"/>
              </w:rPr>
              <w:t>。</w:t>
            </w:r>
          </w:p>
        </w:tc>
        <w:tc>
          <w:tcPr>
            <w:tcW w:w="1640" w:type="dxa"/>
            <w:noWrap w:val="0"/>
            <w:vAlign w:val="center"/>
          </w:tcPr>
          <w:p w14:paraId="6CA215A4">
            <w:pPr>
              <w:keepNext w:val="0"/>
              <w:keepLines w:val="0"/>
              <w:widowControl/>
              <w:suppressLineNumbers w:val="0"/>
              <w:spacing w:before="100" w:beforeAutospacing="0" w:after="100" w:afterAutospacing="0" w:line="336" w:lineRule="auto"/>
              <w:ind w:left="0" w:right="0"/>
              <w:jc w:val="center"/>
              <w:rPr>
                <w:rFonts w:hint="default" w:ascii="宋体" w:hAnsi="宋体" w:eastAsia="宋体" w:cs="宋体"/>
                <w:color w:val="auto"/>
                <w:sz w:val="24"/>
                <w:highlight w:val="none"/>
                <w:lang w:val="en-US" w:eastAsia="zh-CN"/>
              </w:rPr>
            </w:pPr>
            <w:r>
              <w:rPr>
                <w:rFonts w:hint="eastAsia"/>
                <w:color w:val="auto"/>
                <w:sz w:val="24"/>
                <w:highlight w:val="none"/>
                <w:lang w:val="en-US" w:eastAsia="zh-CN"/>
              </w:rPr>
              <w:t>1</w:t>
            </w:r>
            <w:r>
              <w:rPr>
                <w:rFonts w:hint="default"/>
                <w:color w:val="auto"/>
                <w:sz w:val="24"/>
                <w:highlight w:val="none"/>
                <w:lang w:eastAsia="zh-CN"/>
              </w:rPr>
              <w:t>7</w:t>
            </w:r>
            <w:r>
              <w:rPr>
                <w:rFonts w:hint="eastAsia"/>
                <w:color w:val="auto"/>
                <w:sz w:val="24"/>
                <w:highlight w:val="none"/>
                <w:lang w:val="en-US" w:eastAsia="zh-CN"/>
              </w:rPr>
              <w:t>8000元</w:t>
            </w:r>
          </w:p>
        </w:tc>
        <w:tc>
          <w:tcPr>
            <w:tcW w:w="1043" w:type="dxa"/>
            <w:noWrap w:val="0"/>
            <w:vAlign w:val="center"/>
          </w:tcPr>
          <w:p w14:paraId="1B2718DF">
            <w:pPr>
              <w:keepNext w:val="0"/>
              <w:keepLines w:val="0"/>
              <w:suppressLineNumbers w:val="0"/>
              <w:adjustRightInd w:val="0"/>
              <w:spacing w:before="0" w:beforeAutospacing="0" w:after="0" w:afterAutospacing="0" w:line="336" w:lineRule="auto"/>
              <w:ind w:left="0" w:right="0"/>
              <w:jc w:val="center"/>
              <w:rPr>
                <w:rFonts w:hint="eastAsia" w:ascii="宋体" w:hAnsi="宋体" w:eastAsia="宋体" w:cs="宋体"/>
                <w:color w:val="auto"/>
                <w:sz w:val="24"/>
                <w:highlight w:val="none"/>
              </w:rPr>
            </w:pPr>
          </w:p>
        </w:tc>
      </w:tr>
      <w:tr w14:paraId="603F44E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11" w:hRule="atLeast"/>
          <w:jc w:val="center"/>
        </w:trPr>
        <w:tc>
          <w:tcPr>
            <w:tcW w:w="715" w:type="dxa"/>
            <w:noWrap w:val="0"/>
            <w:vAlign w:val="center"/>
          </w:tcPr>
          <w:p w14:paraId="234FF1CF">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lang w:val="en-US" w:eastAsia="zh-CN"/>
              </w:rPr>
            </w:pPr>
            <w:r>
              <w:rPr>
                <w:rFonts w:hint="eastAsia" w:eastAsia="宋体" w:cs="宋体"/>
                <w:color w:val="auto"/>
                <w:sz w:val="24"/>
                <w:highlight w:val="none"/>
                <w:lang w:val="en-US" w:eastAsia="zh-CN"/>
              </w:rPr>
              <w:t>2</w:t>
            </w:r>
          </w:p>
        </w:tc>
        <w:tc>
          <w:tcPr>
            <w:tcW w:w="1049" w:type="dxa"/>
            <w:vMerge w:val="continue"/>
            <w:noWrap w:val="0"/>
            <w:vAlign w:val="center"/>
          </w:tcPr>
          <w:p w14:paraId="5856E745">
            <w:pPr>
              <w:keepNext w:val="0"/>
              <w:keepLines w:val="0"/>
              <w:widowControl/>
              <w:suppressLineNumbers w:val="0"/>
              <w:spacing w:before="0" w:beforeAutospacing="0" w:after="0" w:afterAutospacing="0" w:line="336" w:lineRule="auto"/>
              <w:ind w:left="0" w:right="0"/>
              <w:jc w:val="center"/>
              <w:rPr>
                <w:rFonts w:hint="eastAsia" w:eastAsia="宋体" w:cs="宋体"/>
                <w:color w:val="auto"/>
                <w:sz w:val="24"/>
                <w:highlight w:val="none"/>
                <w:lang w:eastAsia="zh-CN"/>
              </w:rPr>
            </w:pPr>
          </w:p>
        </w:tc>
        <w:tc>
          <w:tcPr>
            <w:tcW w:w="1710" w:type="dxa"/>
            <w:noWrap w:val="0"/>
            <w:vAlign w:val="center"/>
          </w:tcPr>
          <w:p w14:paraId="0C45ED62">
            <w:pPr>
              <w:keepNext w:val="0"/>
              <w:keepLines w:val="0"/>
              <w:widowControl/>
              <w:suppressLineNumbers w:val="0"/>
              <w:spacing w:before="0" w:beforeAutospacing="0" w:after="0" w:afterAutospacing="0" w:line="336" w:lineRule="auto"/>
              <w:ind w:left="0" w:right="0"/>
              <w:jc w:val="center"/>
              <w:rPr>
                <w:rFonts w:hint="eastAsia" w:eastAsia="宋体" w:cs="宋体"/>
                <w:color w:val="auto"/>
                <w:sz w:val="24"/>
                <w:highlight w:val="none"/>
                <w:lang w:eastAsia="zh-CN"/>
              </w:rPr>
            </w:pPr>
            <w:r>
              <w:rPr>
                <w:rFonts w:hint="eastAsia" w:ascii="宋体" w:hAnsi="宋体" w:eastAsia="宋体" w:cs="宋体"/>
                <w:color w:val="auto"/>
                <w:sz w:val="24"/>
                <w:highlight w:val="none"/>
                <w:lang w:val="en-US" w:eastAsia="zh-CN"/>
              </w:rPr>
              <w:t>运营服务</w:t>
            </w:r>
          </w:p>
        </w:tc>
        <w:tc>
          <w:tcPr>
            <w:tcW w:w="770" w:type="dxa"/>
            <w:noWrap w:val="0"/>
            <w:vAlign w:val="center"/>
          </w:tcPr>
          <w:p w14:paraId="4A9AB5BC">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p>
        </w:tc>
        <w:tc>
          <w:tcPr>
            <w:tcW w:w="740" w:type="dxa"/>
            <w:noWrap w:val="0"/>
            <w:vAlign w:val="center"/>
          </w:tcPr>
          <w:p w14:paraId="59FFB016">
            <w:pPr>
              <w:keepNext w:val="0"/>
              <w:keepLines w:val="0"/>
              <w:widowControl/>
              <w:suppressLineNumbers w:val="0"/>
              <w:spacing w:before="100" w:beforeAutospacing="0" w:after="100" w:afterAutospacing="0" w:line="336" w:lineRule="auto"/>
              <w:ind w:left="0" w:right="0"/>
              <w:jc w:val="center"/>
              <w:rPr>
                <w:rFonts w:hint="default" w:ascii="宋体" w:hAnsi="宋体"/>
                <w:color w:val="auto"/>
                <w:sz w:val="24"/>
                <w:highlight w:val="none"/>
                <w:lang w:val="en-US"/>
              </w:rPr>
            </w:pPr>
            <w:r>
              <w:rPr>
                <w:rFonts w:hint="eastAsia" w:ascii="宋体" w:hAnsi="宋体"/>
                <w:color w:val="auto"/>
                <w:sz w:val="24"/>
                <w:highlight w:val="none"/>
              </w:rPr>
              <w:t>项</w:t>
            </w:r>
          </w:p>
        </w:tc>
        <w:tc>
          <w:tcPr>
            <w:tcW w:w="2490" w:type="dxa"/>
            <w:vMerge w:val="continue"/>
            <w:noWrap w:val="0"/>
            <w:vAlign w:val="center"/>
          </w:tcPr>
          <w:p w14:paraId="24766BF1">
            <w:pPr>
              <w:keepNext w:val="0"/>
              <w:keepLines w:val="0"/>
              <w:widowControl w:val="0"/>
              <w:suppressLineNumbers w:val="0"/>
              <w:spacing w:before="0" w:beforeAutospacing="0" w:after="0" w:afterAutospacing="0" w:line="336" w:lineRule="auto"/>
              <w:ind w:left="0" w:right="0"/>
              <w:jc w:val="both"/>
              <w:rPr>
                <w:rFonts w:hint="default" w:ascii="宋体" w:hAnsi="宋体" w:eastAsia="宋体" w:cs="宋体"/>
                <w:color w:val="auto"/>
                <w:sz w:val="24"/>
                <w:highlight w:val="none"/>
              </w:rPr>
            </w:pPr>
          </w:p>
        </w:tc>
        <w:tc>
          <w:tcPr>
            <w:tcW w:w="1640" w:type="dxa"/>
            <w:noWrap w:val="0"/>
            <w:vAlign w:val="center"/>
          </w:tcPr>
          <w:p w14:paraId="41F641A2">
            <w:pPr>
              <w:keepNext w:val="0"/>
              <w:keepLines w:val="0"/>
              <w:widowControl/>
              <w:suppressLineNumbers w:val="0"/>
              <w:spacing w:before="100" w:beforeAutospacing="0" w:after="100" w:afterAutospacing="0" w:line="336" w:lineRule="auto"/>
              <w:ind w:left="0" w:right="0"/>
              <w:jc w:val="center"/>
              <w:rPr>
                <w:rFonts w:hint="default"/>
                <w:color w:val="auto"/>
                <w:sz w:val="24"/>
                <w:highlight w:val="none"/>
                <w:lang w:val="en-US" w:eastAsia="zh-CN"/>
              </w:rPr>
            </w:pPr>
            <w:r>
              <w:rPr>
                <w:rFonts w:hint="eastAsia"/>
                <w:color w:val="auto"/>
                <w:sz w:val="24"/>
                <w:highlight w:val="none"/>
                <w:lang w:val="en-US" w:eastAsia="zh-CN"/>
              </w:rPr>
              <w:t>6750000元</w:t>
            </w:r>
          </w:p>
        </w:tc>
        <w:tc>
          <w:tcPr>
            <w:tcW w:w="1043" w:type="dxa"/>
            <w:noWrap w:val="0"/>
            <w:vAlign w:val="center"/>
          </w:tcPr>
          <w:p w14:paraId="1B9EDA40">
            <w:pPr>
              <w:keepNext w:val="0"/>
              <w:keepLines w:val="0"/>
              <w:suppressLineNumbers w:val="0"/>
              <w:adjustRightInd w:val="0"/>
              <w:spacing w:before="0" w:beforeAutospacing="0" w:after="0" w:afterAutospacing="0" w:line="336" w:lineRule="auto"/>
              <w:ind w:left="0" w:right="0"/>
              <w:jc w:val="center"/>
              <w:rPr>
                <w:rFonts w:hint="eastAsia" w:ascii="宋体" w:hAnsi="宋体" w:eastAsia="宋体" w:cs="宋体"/>
                <w:color w:val="auto"/>
                <w:sz w:val="24"/>
                <w:highlight w:val="none"/>
                <w:lang w:val="en-US" w:eastAsia="zh-CN"/>
              </w:rPr>
            </w:pPr>
          </w:p>
        </w:tc>
      </w:tr>
      <w:tr w14:paraId="27291BB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420" w:hRule="atLeast"/>
          <w:jc w:val="center"/>
        </w:trPr>
        <w:tc>
          <w:tcPr>
            <w:tcW w:w="715" w:type="dxa"/>
            <w:noWrap w:val="0"/>
            <w:vAlign w:val="center"/>
          </w:tcPr>
          <w:p w14:paraId="12EA391A">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lang w:val="en-US" w:eastAsia="zh-CN"/>
              </w:rPr>
            </w:pPr>
            <w:r>
              <w:rPr>
                <w:rFonts w:hint="eastAsia" w:eastAsia="宋体" w:cs="宋体"/>
                <w:color w:val="auto"/>
                <w:sz w:val="24"/>
                <w:highlight w:val="none"/>
                <w:lang w:val="en-US" w:eastAsia="zh-CN"/>
              </w:rPr>
              <w:t>3</w:t>
            </w:r>
          </w:p>
        </w:tc>
        <w:tc>
          <w:tcPr>
            <w:tcW w:w="1049" w:type="dxa"/>
            <w:vMerge w:val="continue"/>
            <w:noWrap w:val="0"/>
            <w:vAlign w:val="center"/>
          </w:tcPr>
          <w:p w14:paraId="45F778DC">
            <w:pPr>
              <w:keepNext w:val="0"/>
              <w:keepLines w:val="0"/>
              <w:widowControl/>
              <w:suppressLineNumbers w:val="0"/>
              <w:spacing w:before="0" w:beforeAutospacing="0" w:after="0" w:afterAutospacing="0" w:line="336" w:lineRule="auto"/>
              <w:ind w:left="0" w:right="0"/>
              <w:jc w:val="center"/>
              <w:rPr>
                <w:rFonts w:hint="eastAsia" w:eastAsia="宋体" w:cs="宋体"/>
                <w:color w:val="auto"/>
                <w:sz w:val="24"/>
                <w:highlight w:val="none"/>
                <w:lang w:eastAsia="zh-CN"/>
              </w:rPr>
            </w:pPr>
          </w:p>
        </w:tc>
        <w:tc>
          <w:tcPr>
            <w:tcW w:w="1710" w:type="dxa"/>
            <w:noWrap w:val="0"/>
            <w:vAlign w:val="center"/>
          </w:tcPr>
          <w:p w14:paraId="49192104">
            <w:pPr>
              <w:keepNext w:val="0"/>
              <w:keepLines w:val="0"/>
              <w:widowControl/>
              <w:suppressLineNumbers w:val="0"/>
              <w:spacing w:before="0" w:beforeAutospacing="0" w:after="0" w:afterAutospacing="0" w:line="336" w:lineRule="auto"/>
              <w:ind w:left="0" w:right="0"/>
              <w:jc w:val="center"/>
              <w:rPr>
                <w:rFonts w:hint="default" w:eastAsia="宋体" w:cs="宋体"/>
                <w:color w:val="auto"/>
                <w:sz w:val="24"/>
                <w:highlight w:val="none"/>
                <w:lang w:val="en-US" w:eastAsia="zh-CN"/>
              </w:rPr>
            </w:pPr>
            <w:r>
              <w:rPr>
                <w:rFonts w:hint="eastAsia" w:eastAsia="宋体" w:cs="宋体"/>
                <w:color w:val="auto"/>
                <w:sz w:val="24"/>
                <w:highlight w:val="none"/>
                <w:lang w:val="en-US" w:eastAsia="zh-CN"/>
              </w:rPr>
              <w:t>运营管理</w:t>
            </w:r>
          </w:p>
        </w:tc>
        <w:tc>
          <w:tcPr>
            <w:tcW w:w="770" w:type="dxa"/>
            <w:noWrap w:val="0"/>
            <w:vAlign w:val="center"/>
          </w:tcPr>
          <w:p w14:paraId="575D11E6">
            <w:pPr>
              <w:keepNext w:val="0"/>
              <w:keepLines w:val="0"/>
              <w:widowControl/>
              <w:suppressLineNumbers w:val="0"/>
              <w:spacing w:before="100" w:beforeAutospacing="0" w:after="100" w:afterAutospacing="0" w:line="336"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40" w:type="dxa"/>
            <w:noWrap w:val="0"/>
            <w:vAlign w:val="center"/>
          </w:tcPr>
          <w:p w14:paraId="0FCD26B2">
            <w:pPr>
              <w:keepNext w:val="0"/>
              <w:keepLines w:val="0"/>
              <w:widowControl/>
              <w:suppressLineNumbers w:val="0"/>
              <w:spacing w:before="100" w:beforeAutospacing="0" w:after="100" w:afterAutospacing="0" w:line="336" w:lineRule="auto"/>
              <w:ind w:left="0" w:right="0"/>
              <w:jc w:val="center"/>
              <w:rPr>
                <w:rFonts w:hint="eastAsia" w:ascii="宋体" w:hAnsi="宋体"/>
                <w:color w:val="auto"/>
                <w:sz w:val="24"/>
                <w:highlight w:val="none"/>
              </w:rPr>
            </w:pPr>
            <w:r>
              <w:rPr>
                <w:rFonts w:hint="eastAsia" w:ascii="宋体" w:hAnsi="宋体"/>
                <w:color w:val="auto"/>
                <w:sz w:val="24"/>
                <w:highlight w:val="none"/>
              </w:rPr>
              <w:t>项</w:t>
            </w:r>
          </w:p>
        </w:tc>
        <w:tc>
          <w:tcPr>
            <w:tcW w:w="2490" w:type="dxa"/>
            <w:vMerge w:val="continue"/>
            <w:noWrap w:val="0"/>
            <w:vAlign w:val="center"/>
          </w:tcPr>
          <w:p w14:paraId="41E9485A">
            <w:pPr>
              <w:keepNext w:val="0"/>
              <w:keepLines w:val="0"/>
              <w:widowControl w:val="0"/>
              <w:suppressLineNumbers w:val="0"/>
              <w:spacing w:before="0" w:beforeAutospacing="0" w:after="0" w:afterAutospacing="0" w:line="336" w:lineRule="auto"/>
              <w:ind w:left="0" w:right="0"/>
              <w:jc w:val="both"/>
              <w:rPr>
                <w:rFonts w:hint="default" w:ascii="宋体" w:hAnsi="宋体" w:eastAsia="宋体" w:cs="宋体"/>
                <w:color w:val="auto"/>
                <w:sz w:val="24"/>
                <w:highlight w:val="none"/>
                <w:lang w:eastAsia="zh-CN"/>
              </w:rPr>
            </w:pPr>
          </w:p>
        </w:tc>
        <w:tc>
          <w:tcPr>
            <w:tcW w:w="1640" w:type="dxa"/>
            <w:noWrap w:val="0"/>
            <w:vAlign w:val="center"/>
          </w:tcPr>
          <w:p w14:paraId="5939F24E">
            <w:pPr>
              <w:keepNext w:val="0"/>
              <w:keepLines w:val="0"/>
              <w:widowControl/>
              <w:suppressLineNumbers w:val="0"/>
              <w:spacing w:before="100" w:beforeAutospacing="0" w:after="100" w:afterAutospacing="0" w:line="336" w:lineRule="auto"/>
              <w:ind w:left="0" w:right="0"/>
              <w:jc w:val="center"/>
              <w:rPr>
                <w:rFonts w:hint="default"/>
                <w:color w:val="auto"/>
                <w:sz w:val="24"/>
                <w:highlight w:val="none"/>
                <w:lang w:val="en-US" w:eastAsia="zh-CN"/>
              </w:rPr>
            </w:pPr>
            <w:r>
              <w:rPr>
                <w:rFonts w:hint="default"/>
                <w:color w:val="auto"/>
                <w:sz w:val="24"/>
                <w:highlight w:val="none"/>
                <w:lang w:val="en-US" w:eastAsia="zh-CN"/>
              </w:rPr>
              <w:t>年营收（扣除代收代缴费外）6%</w:t>
            </w:r>
          </w:p>
        </w:tc>
        <w:tc>
          <w:tcPr>
            <w:tcW w:w="1043" w:type="dxa"/>
            <w:noWrap w:val="0"/>
            <w:vAlign w:val="center"/>
          </w:tcPr>
          <w:p w14:paraId="39EF10FC">
            <w:pPr>
              <w:keepNext w:val="0"/>
              <w:keepLines w:val="0"/>
              <w:suppressLineNumbers w:val="0"/>
              <w:adjustRightInd w:val="0"/>
              <w:spacing w:before="0" w:beforeAutospacing="0" w:after="0" w:afterAutospacing="0" w:line="336" w:lineRule="auto"/>
              <w:ind w:left="0" w:right="0"/>
              <w:jc w:val="center"/>
              <w:rPr>
                <w:rFonts w:hint="eastAsia" w:ascii="宋体" w:hAnsi="宋体" w:eastAsia="宋体" w:cs="宋体"/>
                <w:color w:val="auto"/>
                <w:sz w:val="24"/>
                <w:highlight w:val="none"/>
              </w:rPr>
            </w:pPr>
          </w:p>
        </w:tc>
      </w:tr>
    </w:tbl>
    <w:p w14:paraId="6A405468">
      <w:pPr>
        <w:adjustRightIn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四、投标供应商资格要求：</w:t>
      </w:r>
    </w:p>
    <w:p w14:paraId="7E5BF755">
      <w:pPr>
        <w:pStyle w:val="16"/>
        <w:shd w:val="clear" w:color="auto" w:fill="FFFFFF"/>
        <w:spacing w:before="0" w:beforeAutospacing="0" w:after="0" w:afterAutospacing="0" w:line="360" w:lineRule="auto"/>
        <w:ind w:firstLine="480" w:firstLineChars="200"/>
        <w:outlineLvl w:val="1"/>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1.符合《虞国资委〔2021〕42 号》第十八条</w:t>
      </w:r>
    </w:p>
    <w:p w14:paraId="3EB5742D">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（1）具有独立承担民事责任能力；</w:t>
      </w:r>
    </w:p>
    <w:p w14:paraId="234E35AF">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（2）具有良好的商业信誉；</w:t>
      </w:r>
    </w:p>
    <w:p w14:paraId="6B5F1202">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（3）具有履行合同所必需的设备和专业技术、售后保障等能力；</w:t>
      </w:r>
    </w:p>
    <w:p w14:paraId="0D0A0C66">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（4）有依法缴纳税收和社会保障资金的良好记录；</w:t>
      </w:r>
    </w:p>
    <w:p w14:paraId="5BCE90E0">
      <w:pPr>
        <w:pStyle w:val="16"/>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（5）参加采购活动前三年内，没有重大违法记录、严重失信行为和行贿记录；</w:t>
      </w:r>
    </w:p>
    <w:p w14:paraId="588BF5AC">
      <w:pPr>
        <w:pStyle w:val="16"/>
        <w:shd w:val="clear" w:color="auto" w:fill="FFFFFF"/>
        <w:spacing w:before="0" w:beforeAutospacing="0" w:after="0" w:afterAutospacing="0" w:line="360" w:lineRule="auto"/>
        <w:ind w:firstLine="480" w:firstLineChars="200"/>
        <w:outlineLvl w:val="2"/>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（6）法律、行政法规规定的其他条件。</w:t>
      </w:r>
    </w:p>
    <w:p w14:paraId="0C0BBC4F">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olor w:val="auto"/>
          <w:sz w:val="24"/>
          <w:szCs w:val="24"/>
          <w:highlight w:val="none"/>
        </w:rPr>
        <w:t>本次招标</w:t>
      </w:r>
      <w:r>
        <w:rPr>
          <w:rFonts w:hint="eastAsia" w:ascii="宋体" w:hAnsi="宋体"/>
          <w:b/>
          <w:bCs/>
          <w:color w:val="auto"/>
          <w:sz w:val="24"/>
          <w:szCs w:val="24"/>
          <w:highlight w:val="none"/>
          <w:u w:val="single"/>
        </w:rPr>
        <w:t>不接受</w:t>
      </w:r>
      <w:r>
        <w:rPr>
          <w:rFonts w:hint="eastAsia" w:ascii="宋体" w:hAnsi="宋体"/>
          <w:color w:val="auto"/>
          <w:sz w:val="24"/>
          <w:szCs w:val="24"/>
          <w:highlight w:val="none"/>
        </w:rPr>
        <w:t>联合体投标</w:t>
      </w:r>
      <w:r>
        <w:rPr>
          <w:rFonts w:hint="eastAsia" w:ascii="宋体" w:hAnsi="宋体" w:eastAsia="宋体" w:cs="宋体"/>
          <w:color w:val="auto"/>
          <w:sz w:val="24"/>
          <w:highlight w:val="none"/>
        </w:rPr>
        <w:t>。</w:t>
      </w:r>
    </w:p>
    <w:p w14:paraId="5CFCC3DA">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3.本次招标采用资格后审的审查方式，由采购人负责审查。</w:t>
      </w:r>
    </w:p>
    <w:p w14:paraId="255ACD4D">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3FA215C0">
      <w:pPr>
        <w:adjustRightInd w:val="0"/>
        <w:spacing w:line="360" w:lineRule="auto"/>
        <w:ind w:left="400" w:left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五、投标获取采购文件：</w:t>
      </w:r>
    </w:p>
    <w:p w14:paraId="7FE676E4">
      <w:pPr>
        <w:numPr>
          <w:ilvl w:val="0"/>
          <w:numId w:val="1"/>
        </w:numPr>
        <w:adjustRightInd w:val="0"/>
        <w:spacing w:line="360" w:lineRule="auto"/>
        <w:ind w:firstLine="480" w:firstLineChars="200"/>
        <w:rPr>
          <w:rFonts w:hint="eastAsia" w:ascii="宋体" w:hAnsi="宋体" w:eastAsia="宋体" w:cs="宋体"/>
          <w:color w:val="auto"/>
          <w:sz w:val="24"/>
          <w:highlight w:val="none"/>
        </w:rPr>
      </w:pPr>
      <w:bookmarkStart w:id="11" w:name="报名开始时间1"/>
      <w:r>
        <w:rPr>
          <w:rFonts w:hint="eastAsia" w:ascii="宋体" w:hAnsi="宋体" w:eastAsia="宋体" w:cs="宋体"/>
          <w:color w:val="auto"/>
          <w:sz w:val="24"/>
          <w:highlight w:val="none"/>
        </w:rPr>
        <w:t>获取采购文件时间：</w:t>
      </w:r>
      <w:bookmarkEnd w:id="11"/>
      <w:r>
        <w:rPr>
          <w:rFonts w:hint="eastAsia" w:ascii="宋体" w:hAnsi="宋体" w:eastAsia="宋体" w:cs="宋体"/>
          <w:color w:val="auto"/>
          <w:sz w:val="24"/>
          <w:highlight w:val="none"/>
        </w:rPr>
        <w:t>202</w:t>
      </w:r>
      <w:r>
        <w:rPr>
          <w:rFonts w:hint="eastAsia"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eastAsia="宋体" w:cs="宋体"/>
          <w:color w:val="auto"/>
          <w:sz w:val="24"/>
          <w:highlight w:val="none"/>
          <w:lang w:val="en-US" w:eastAsia="zh-CN"/>
        </w:rPr>
        <w:t xml:space="preserve">   </w:t>
      </w:r>
      <w:r>
        <w:rPr>
          <w:rFonts w:hint="eastAsia" w:ascii="宋体" w:hAnsi="宋体" w:eastAsia="宋体" w:cs="宋体"/>
          <w:color w:val="auto"/>
          <w:sz w:val="24"/>
          <w:highlight w:val="none"/>
        </w:rPr>
        <w:t>日上午</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之前获取。</w:t>
      </w:r>
    </w:p>
    <w:p w14:paraId="19B2C287">
      <w:pPr>
        <w:numPr>
          <w:ilvl w:val="0"/>
          <w:numId w:val="1"/>
        </w:num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获取采购文件方式：</w:t>
      </w:r>
      <w:r>
        <w:rPr>
          <w:rFonts w:hint="eastAsia" w:ascii="宋体" w:hAnsi="宋体" w:cs="宋体"/>
          <w:color w:val="auto"/>
          <w:sz w:val="24"/>
          <w:highlight w:val="none"/>
        </w:rPr>
        <w:t>供应商登录乐采云平台https://</w:t>
      </w:r>
      <w:r>
        <w:rPr>
          <w:color w:val="auto"/>
          <w:highlight w:val="none"/>
        </w:rPr>
        <w:t xml:space="preserve"> </w:t>
      </w:r>
      <w:r>
        <w:rPr>
          <w:rFonts w:ascii="宋体" w:hAnsi="宋体" w:cs="宋体"/>
          <w:color w:val="auto"/>
          <w:sz w:val="24"/>
          <w:highlight w:val="none"/>
        </w:rPr>
        <w:t>www.lecaiyun.com</w:t>
      </w:r>
      <w:r>
        <w:rPr>
          <w:rFonts w:hint="eastAsia" w:ascii="宋体" w:hAnsi="宋体" w:cs="宋体"/>
          <w:color w:val="auto"/>
          <w:sz w:val="24"/>
          <w:highlight w:val="none"/>
        </w:rPr>
        <w:t>，在线申请获取采购文件（进入“项目采购”应用，在获取采购文件菜单中选择项目，申请获取采购文件）</w:t>
      </w:r>
      <w:r>
        <w:rPr>
          <w:rFonts w:hint="eastAsia" w:ascii="宋体" w:hAnsi="宋体" w:eastAsia="宋体" w:cs="宋体"/>
          <w:color w:val="auto"/>
          <w:sz w:val="24"/>
          <w:highlight w:val="none"/>
        </w:rPr>
        <w:t>。</w:t>
      </w:r>
    </w:p>
    <w:p w14:paraId="668789B4">
      <w:pPr>
        <w:numPr>
          <w:ilvl w:val="0"/>
          <w:numId w:val="1"/>
        </w:numPr>
        <w:adjustRightInd w:val="0"/>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提示：</w:t>
      </w:r>
    </w:p>
    <w:p w14:paraId="4F641B6E">
      <w:pPr>
        <w:numPr>
          <w:ilvl w:val="0"/>
          <w:numId w:val="2"/>
        </w:numPr>
        <w:adjustRightIn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将拒绝接受未获取采购文件供应商的投标文件。</w:t>
      </w:r>
    </w:p>
    <w:p w14:paraId="2FC541DD">
      <w:pPr>
        <w:numPr>
          <w:ilvl w:val="0"/>
          <w:numId w:val="2"/>
        </w:num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招标文件及更正补充公告请自行登录浙江政府采购网或绍兴市上虞区公共资源交易中心网站，在采购公告页面中下载。</w:t>
      </w:r>
    </w:p>
    <w:p w14:paraId="0D5FD44D">
      <w:pPr>
        <w:adjustRightInd w:val="0"/>
        <w:spacing w:line="360" w:lineRule="auto"/>
        <w:ind w:firstLine="482" w:firstLineChars="200"/>
        <w:outlineLvl w:val="3"/>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六、投标与开标注意事项：</w:t>
      </w:r>
    </w:p>
    <w:p w14:paraId="412FBB3A">
      <w:pPr>
        <w:numPr>
          <w:ilvl w:val="0"/>
          <w:numId w:val="3"/>
        </w:num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w:t>
      </w:r>
      <w:r>
        <w:rPr>
          <w:rFonts w:hint="eastAsia" w:ascii="宋体" w:hAnsi="宋体" w:eastAsia="宋体" w:cs="宋体"/>
          <w:b/>
          <w:bCs/>
          <w:color w:val="auto"/>
          <w:sz w:val="24"/>
          <w:highlight w:val="none"/>
        </w:rPr>
        <w:t>网上投标</w:t>
      </w:r>
      <w:r>
        <w:rPr>
          <w:rFonts w:hint="eastAsia" w:ascii="宋体" w:hAnsi="宋体" w:eastAsia="宋体" w:cs="宋体"/>
          <w:color w:val="auto"/>
          <w:sz w:val="24"/>
          <w:highlight w:val="none"/>
        </w:rPr>
        <w:t>，采用电子投标文件，若供应商参与投标，自行承担投标一切费用。</w:t>
      </w:r>
    </w:p>
    <w:p w14:paraId="29D81118">
      <w:pPr>
        <w:numPr>
          <w:ilvl w:val="0"/>
          <w:numId w:val="3"/>
        </w:numPr>
        <w:wordWrap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07454D2E">
      <w:pPr>
        <w:autoSpaceDE w:val="0"/>
        <w:autoSpaceDN w:val="0"/>
        <w:spacing w:line="360" w:lineRule="auto"/>
        <w:ind w:firstLine="480" w:firstLineChars="200"/>
        <w:textAlignment w:val="bottom"/>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供应商将乐采云电子交易客户端下载、安装完成后，可通过账号密码或CA登录客户端进行投标文件制作。在使用乐采云投标客户端时，建议使用WIN7及以上操作系统。</w:t>
      </w:r>
    </w:p>
    <w:p w14:paraId="66A5C547">
      <w:pPr>
        <w:autoSpaceDE w:val="0"/>
        <w:autoSpaceDN w:val="0"/>
        <w:spacing w:line="360" w:lineRule="auto"/>
        <w:ind w:firstLine="480" w:firstLineChars="200"/>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注：供应商先要申领CA，取得CA后需要在</w:t>
      </w:r>
      <w:r>
        <w:rPr>
          <w:rFonts w:hint="eastAsia" w:ascii="宋体" w:hAnsi="宋体" w:eastAsia="宋体" w:cs="宋体"/>
          <w:color w:val="auto"/>
          <w:sz w:val="24"/>
          <w:szCs w:val="21"/>
          <w:highlight w:val="none"/>
          <w:lang w:eastAsia="zh-CN"/>
        </w:rPr>
        <w:t>乐采云</w:t>
      </w:r>
      <w:r>
        <w:rPr>
          <w:rFonts w:hint="eastAsia" w:ascii="宋体" w:hAnsi="宋体" w:eastAsia="宋体" w:cs="宋体"/>
          <w:color w:val="auto"/>
          <w:sz w:val="24"/>
          <w:szCs w:val="21"/>
          <w:highlight w:val="none"/>
        </w:rPr>
        <w:t>平台进行绑定，CA相关操作可参考《CA管理学习专题》。完成CA数字证书办理在资料齐全的情况下预计7个工作日左右，建议供应商获取招标文件后立即办理。</w:t>
      </w:r>
    </w:p>
    <w:p w14:paraId="0969FDFC">
      <w:pPr>
        <w:adjustRightInd w:val="0"/>
        <w:spacing w:line="360" w:lineRule="auto"/>
        <w:ind w:left="400" w:left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《CA管理学习专题》：</w:t>
      </w:r>
    </w:p>
    <w:p w14:paraId="51E254AA">
      <w:pPr>
        <w:adjustRightInd w:val="0"/>
        <w:spacing w:line="360" w:lineRule="auto"/>
        <w:ind w:left="400" w:left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https://edu.zcygov.cn/luban/ca?utm=web-government-front.380aac0a.0.0.fc2b6aa0b6e211ebbdb0dd007730dd44</w:t>
      </w:r>
    </w:p>
    <w:p w14:paraId="717F3862">
      <w:pPr>
        <w:adjustRightInd w:val="0"/>
        <w:spacing w:line="360" w:lineRule="auto"/>
        <w:ind w:left="400" w:left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《CA驱动和申领流程》:</w:t>
      </w:r>
    </w:p>
    <w:p w14:paraId="1110395E">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fldChar w:fldCharType="begin"/>
      </w:r>
      <w:r>
        <w:rPr>
          <w:rFonts w:hint="eastAsia" w:ascii="宋体" w:hAnsi="宋体" w:eastAsia="宋体" w:cs="宋体"/>
          <w:color w:val="auto"/>
          <w:sz w:val="24"/>
          <w:szCs w:val="21"/>
          <w:highlight w:val="none"/>
        </w:rPr>
        <w:instrText xml:space="preserve"> HYPERLINK "http://zfcg.czt.zj.gov.cn/bidClientTemplate/2019-05-27/12945.html" </w:instrText>
      </w:r>
      <w:r>
        <w:rPr>
          <w:rFonts w:hint="eastAsia" w:ascii="宋体" w:hAnsi="宋体" w:eastAsia="宋体" w:cs="宋体"/>
          <w:color w:val="auto"/>
          <w:sz w:val="24"/>
          <w:szCs w:val="21"/>
          <w:highlight w:val="none"/>
        </w:rPr>
        <w:fldChar w:fldCharType="separate"/>
      </w:r>
      <w:r>
        <w:rPr>
          <w:rFonts w:hint="eastAsia" w:ascii="宋体" w:hAnsi="宋体" w:eastAsia="宋体" w:cs="宋体"/>
          <w:color w:val="auto"/>
          <w:sz w:val="24"/>
          <w:szCs w:val="21"/>
          <w:highlight w:val="none"/>
        </w:rPr>
        <w:t>http://zfcg.czt.zj.gov.cn/bidClientTemplate/2019-05-27/12945.html</w:t>
      </w:r>
      <w:r>
        <w:rPr>
          <w:rFonts w:hint="eastAsia" w:ascii="宋体" w:hAnsi="宋体" w:eastAsia="宋体" w:cs="宋体"/>
          <w:color w:val="auto"/>
          <w:sz w:val="24"/>
          <w:szCs w:val="21"/>
          <w:highlight w:val="none"/>
        </w:rPr>
        <w:fldChar w:fldCharType="end"/>
      </w:r>
    </w:p>
    <w:p w14:paraId="27DDFAE3">
      <w:pPr>
        <w:numPr>
          <w:ilvl w:val="0"/>
          <w:numId w:val="3"/>
        </w:numPr>
        <w:adjustRightInd w:val="0"/>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投标文件制作：</w:t>
      </w:r>
    </w:p>
    <w:p w14:paraId="158D3320">
      <w:pPr>
        <w:numPr>
          <w:ilvl w:val="0"/>
          <w:numId w:val="4"/>
        </w:num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应按照本项目招标文件和乐采云平台的要求编制、加密并递交投标文件。供应商在使用系统进行投标的过程中遇到涉及平台使用的任何问题，可致电乐采云平台技术支持热线咨询，联系方式：95763。</w:t>
      </w:r>
    </w:p>
    <w:p w14:paraId="0BA68A1A">
      <w:pPr>
        <w:numPr>
          <w:ilvl w:val="0"/>
          <w:numId w:val="4"/>
        </w:numPr>
        <w:wordWrap w:val="0"/>
        <w:adjustRightInd w:val="0"/>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cs="宋体"/>
          <w:color w:val="auto"/>
          <w:sz w:val="24"/>
          <w:highlight w:val="none"/>
        </w:rPr>
        <w:t>投标人通过“乐采云”平台乐采云投标客户端制作投标文件</w:t>
      </w:r>
      <w:r>
        <w:rPr>
          <w:rFonts w:hint="eastAsia" w:ascii="宋体" w:hAnsi="宋体" w:eastAsia="宋体" w:cs="宋体"/>
          <w:color w:val="auto"/>
          <w:sz w:val="24"/>
          <w:highlight w:val="none"/>
        </w:rPr>
        <w:t>。</w:t>
      </w:r>
    </w:p>
    <w:p w14:paraId="18C581DA">
      <w:pPr>
        <w:adjustRightIn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《乐采云投标客户端》：</w:t>
      </w:r>
    </w:p>
    <w:p w14:paraId="2FFEB1B8">
      <w:pPr>
        <w:adjustRightInd w:val="0"/>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https://b.zhengcaiyun.cn/luban/category?parentId=550045&amp;childrenCode=qicaiCategory17&amp;utm=luban.luban-PC-39026.959-pc-websitegroup-navBar-front.8.c8789bc0520b11efb86dbfa49a87be0d</w:t>
      </w:r>
    </w:p>
    <w:p w14:paraId="4A87A9AE">
      <w:pPr>
        <w:adjustRightIn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《供应商-国企采购项目电子交易操作指南》：(需登录账号后查看)</w:t>
      </w:r>
    </w:p>
    <w:p w14:paraId="20721118">
      <w:pPr>
        <w:adjustRightInd w:val="0"/>
        <w:spacing w:line="360" w:lineRule="auto"/>
        <w:ind w:firstLine="400" w:firstLineChars="200"/>
        <w:jc w:val="left"/>
        <w:rPr>
          <w:rFonts w:ascii="宋体" w:hAnsi="宋体" w:eastAsia="宋体" w:cs="宋体"/>
          <w:color w:val="auto"/>
          <w:sz w:val="24"/>
          <w:highlight w:val="none"/>
        </w:rPr>
      </w:pP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"https://service.zcygov.cn/" \l "/knowledges/tree?tag=AG1DtGwBFdiHxlNdhY0r" </w:instrText>
      </w:r>
      <w:r>
        <w:rPr>
          <w:rFonts w:ascii="Times New Roman" w:hAnsi="Times New Roman" w:eastAsia="宋体" w:cs="Times New Roman"/>
          <w:color w:val="auto"/>
          <w:highlight w:val="none"/>
        </w:rPr>
        <w:fldChar w:fldCharType="separate"/>
      </w:r>
      <w:r>
        <w:rPr>
          <w:rFonts w:hint="eastAsia" w:ascii="宋体" w:hAnsi="宋体" w:eastAsia="宋体" w:cs="宋体"/>
          <w:color w:val="auto"/>
          <w:sz w:val="24"/>
          <w:highlight w:val="none"/>
        </w:rPr>
        <w:t>https://service.zcygov.cn/#/knowledges/tree?tag=AG1DtGwBFdiHxlNdhY0r</w:t>
      </w:r>
      <w:r>
        <w:rPr>
          <w:rFonts w:hint="eastAsia" w:ascii="宋体" w:hAnsi="宋体" w:eastAsia="宋体" w:cs="宋体"/>
          <w:color w:val="auto"/>
          <w:sz w:val="24"/>
          <w:highlight w:val="none"/>
        </w:rPr>
        <w:fldChar w:fldCharType="end"/>
      </w:r>
    </w:p>
    <w:p w14:paraId="6AD193DB">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4.供应商在法定质疑期内应一次性提出针对同一采购程序环节的质疑。否则质疑将不予受理。</w:t>
      </w:r>
    </w:p>
    <w:p w14:paraId="71E5F598">
      <w:pPr>
        <w:adjustRightInd w:val="0"/>
        <w:spacing w:line="360" w:lineRule="auto"/>
        <w:ind w:left="40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5.投标人可指派授权代表递交备份文件，授权代表递交备份文件需携带法定代表人授权书原件，于投标截止时间前到达开标地点递交。</w:t>
      </w:r>
    </w:p>
    <w:p w14:paraId="28AC148D">
      <w:pPr>
        <w:adjustRightInd w:val="0"/>
        <w:spacing w:line="360" w:lineRule="auto"/>
        <w:ind w:left="400" w:left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6.特别提醒</w:t>
      </w:r>
    </w:p>
    <w:p w14:paraId="1034EAD7">
      <w:pPr>
        <w:numPr>
          <w:ilvl w:val="0"/>
          <w:numId w:val="5"/>
        </w:numPr>
        <w:wordWrap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单位负责人为同一人或者存在直接控股、管理关系的不同供应商，不得参加同一合同项下的采购活动。</w:t>
      </w:r>
    </w:p>
    <w:p w14:paraId="53F5FFFD">
      <w:pPr>
        <w:numPr>
          <w:ilvl w:val="0"/>
          <w:numId w:val="5"/>
        </w:num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除单一来源采购项目外，为采购项目提供整体设计、规范编制或者项目管理、监理、检测等服务的供应商，不得再参加该采购项目的其他采购活动。</w:t>
      </w:r>
    </w:p>
    <w:p w14:paraId="5808AF67">
      <w:pPr>
        <w:adjustRightIn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七、投标截止时间及要求：</w:t>
      </w:r>
      <w:r>
        <w:rPr>
          <w:rFonts w:hint="eastAsia" w:ascii="宋体" w:hAnsi="宋体" w:cs="宋体"/>
          <w:color w:val="auto"/>
          <w:sz w:val="24"/>
          <w:highlight w:val="none"/>
          <w:u w:val="single"/>
        </w:rPr>
        <w:t xml:space="preserve"> 202</w:t>
      </w:r>
      <w:r>
        <w:rPr>
          <w:rFonts w:hint="eastAsia"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rPr>
        <w:t>分整</w:t>
      </w:r>
      <w:r>
        <w:rPr>
          <w:rFonts w:hint="eastAsia" w:ascii="宋体" w:hAnsi="宋体" w:cs="宋体"/>
          <w:bCs/>
          <w:color w:val="auto"/>
          <w:kern w:val="0"/>
          <w:sz w:val="24"/>
          <w:highlight w:val="none"/>
        </w:rPr>
        <w:t>之前将电子投标文件上传到“乐采云”平台</w:t>
      </w:r>
      <w:r>
        <w:rPr>
          <w:rFonts w:hint="eastAsia" w:ascii="宋体" w:hAnsi="宋体" w:eastAsia="宋体" w:cs="宋体"/>
          <w:bCs/>
          <w:color w:val="auto"/>
          <w:kern w:val="0"/>
          <w:sz w:val="24"/>
          <w:highlight w:val="none"/>
        </w:rPr>
        <w:t>。</w:t>
      </w:r>
    </w:p>
    <w:p w14:paraId="4F44FAEA">
      <w:pPr>
        <w:adjustRightIn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八、开标时间及地点：</w:t>
      </w:r>
      <w:bookmarkStart w:id="12" w:name="B30_开标地点"/>
      <w:r>
        <w:rPr>
          <w:rFonts w:hint="eastAsia" w:ascii="宋体" w:hAnsi="宋体" w:cs="宋体"/>
          <w:color w:val="auto"/>
          <w:sz w:val="24"/>
          <w:highlight w:val="none"/>
          <w:u w:val="single"/>
        </w:rPr>
        <w:t xml:space="preserve"> 202</w:t>
      </w:r>
      <w:r>
        <w:rPr>
          <w:rFonts w:hint="eastAsia"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r>
        <w:rPr>
          <w:rFonts w:hint="eastAsia" w:ascii="宋体" w:hAnsi="宋体" w:eastAsia="宋体" w:cs="宋体"/>
          <w:color w:val="auto"/>
          <w:sz w:val="24"/>
          <w:highlight w:val="none"/>
        </w:rPr>
        <w:t>整在绍兴市上虞区公共资源交易中心</w:t>
      </w:r>
      <w:r>
        <w:rPr>
          <w:rFonts w:hint="eastAsia" w:ascii="宋体" w:hAnsi="宋体" w:eastAsia="宋体" w:cs="宋体"/>
          <w:color w:val="auto"/>
          <w:sz w:val="24"/>
          <w:highlight w:val="none"/>
          <w:u w:val="single"/>
          <w:lang w:val="en-US" w:eastAsia="zh-CN"/>
        </w:rPr>
        <w:t xml:space="preserve">  </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开标室开标。</w:t>
      </w:r>
      <w:bookmarkEnd w:id="12"/>
    </w:p>
    <w:p w14:paraId="631C9E82">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开标时间后30分钟内供应商可以登录“</w:t>
      </w:r>
      <w:r>
        <w:rPr>
          <w:rFonts w:hint="eastAsia" w:ascii="宋体" w:hAnsi="宋体" w:cs="宋体"/>
          <w:color w:val="auto"/>
          <w:sz w:val="24"/>
          <w:highlight w:val="none"/>
        </w:rPr>
        <w:t>乐采云</w:t>
      </w:r>
      <w:r>
        <w:rPr>
          <w:rFonts w:hint="eastAsia" w:ascii="宋体" w:hAnsi="宋体" w:eastAsia="宋体" w:cs="宋体"/>
          <w:color w:val="auto"/>
          <w:sz w:val="24"/>
          <w:highlight w:val="none"/>
        </w:rPr>
        <w:t>”平台，用“项目采购－开标评标”功能进行解密投标文件。若供应商在规定时间内解密失败，则由采购代理机构工作人员上传投标人提供的备份文件。备份文件（后缀名为.bfbs）须存储在U盘中，与上传的电子投标文件一致，用信封进行密封并盖章，由授权代表在投标截止时间前递交至开标地点。若电子投标文件正常解锁，则U盘退还给供应商；若解锁失败，则由采购代理机构将U盘中的备份文件上传，该U盘将由采购代理机构保存。</w:t>
      </w:r>
    </w:p>
    <w:p w14:paraId="69C5BE31">
      <w:pPr>
        <w:adjustRightIn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本次开标（不）提供现场视频。</w:t>
      </w:r>
    </w:p>
    <w:p w14:paraId="51A7AEF0">
      <w:pPr>
        <w:adjustRightIn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bCs/>
          <w:color w:val="auto"/>
          <w:sz w:val="24"/>
          <w:highlight w:val="none"/>
        </w:rPr>
        <w:t>九、投标保证金：</w:t>
      </w:r>
      <w:r>
        <w:rPr>
          <w:rFonts w:hint="eastAsia" w:ascii="宋体" w:hAnsi="宋体" w:eastAsia="宋体" w:cs="宋体"/>
          <w:b/>
          <w:color w:val="auto"/>
          <w:kern w:val="0"/>
          <w:sz w:val="24"/>
          <w:highlight w:val="none"/>
          <w:u w:val="single"/>
        </w:rPr>
        <w:t>本项目不设置投标保证金</w:t>
      </w:r>
      <w:r>
        <w:rPr>
          <w:rFonts w:hint="eastAsia" w:ascii="宋体" w:hAnsi="宋体" w:eastAsia="宋体" w:cs="宋体"/>
          <w:b/>
          <w:color w:val="auto"/>
          <w:kern w:val="0"/>
          <w:sz w:val="24"/>
          <w:highlight w:val="none"/>
        </w:rPr>
        <w:t>。</w:t>
      </w:r>
    </w:p>
    <w:p w14:paraId="1E6158BE">
      <w:pPr>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十、公告期限：</w:t>
      </w:r>
      <w:r>
        <w:rPr>
          <w:rFonts w:hint="eastAsia" w:ascii="宋体" w:hAnsi="宋体" w:eastAsia="宋体" w:cs="宋体"/>
          <w:color w:val="auto"/>
          <w:sz w:val="24"/>
          <w:highlight w:val="none"/>
        </w:rPr>
        <w:t>5个工作日</w:t>
      </w:r>
    </w:p>
    <w:p w14:paraId="00AD8B0C">
      <w:pPr>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十一、联系方式</w:t>
      </w:r>
      <w:r>
        <w:rPr>
          <w:rFonts w:hint="eastAsia" w:ascii="宋体" w:hAnsi="宋体" w:eastAsia="宋体" w:cs="宋体"/>
          <w:color w:val="auto"/>
          <w:sz w:val="24"/>
          <w:highlight w:val="none"/>
        </w:rPr>
        <w:t>：</w:t>
      </w:r>
    </w:p>
    <w:p w14:paraId="40296A49">
      <w:pPr>
        <w:adjustRightInd w:val="0"/>
        <w:spacing w:line="360" w:lineRule="auto"/>
        <w:ind w:firstLine="480" w:firstLineChars="200"/>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1.采购代理机构名称：</w:t>
      </w:r>
      <w:r>
        <w:rPr>
          <w:rFonts w:hint="eastAsia" w:eastAsia="宋体" w:cs="宋体"/>
          <w:color w:val="auto"/>
          <w:sz w:val="24"/>
          <w:highlight w:val="none"/>
          <w:lang w:eastAsia="zh-CN"/>
        </w:rPr>
        <w:t>浙江广正建设项目管理有限公司</w:t>
      </w:r>
    </w:p>
    <w:p w14:paraId="72D3DF2E">
      <w:pPr>
        <w:adjustRightIn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eastAsia="宋体" w:cs="宋体"/>
          <w:color w:val="auto"/>
          <w:sz w:val="24"/>
          <w:highlight w:val="none"/>
          <w:lang w:val="en-US" w:eastAsia="zh-CN"/>
        </w:rPr>
        <w:t>王文其</w:t>
      </w:r>
    </w:p>
    <w:p w14:paraId="4B7F1BE2">
      <w:pPr>
        <w:adjustRightIn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eastAsia="宋体" w:cs="宋体"/>
          <w:color w:val="auto"/>
          <w:sz w:val="24"/>
          <w:highlight w:val="none"/>
          <w:lang w:val="en-US" w:eastAsia="zh-CN"/>
        </w:rPr>
        <w:t>13484381976</w:t>
      </w:r>
    </w:p>
    <w:p w14:paraId="6F9CB6DF">
      <w:pPr>
        <w:adjustRightInd w:val="0"/>
        <w:spacing w:line="360" w:lineRule="auto"/>
        <w:ind w:firstLine="720" w:firstLineChars="300"/>
        <w:outlineLvl w:val="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eastAsia="宋体" w:cs="宋体"/>
          <w:color w:val="auto"/>
          <w:sz w:val="24"/>
          <w:highlight w:val="none"/>
          <w:lang w:val="en-US" w:eastAsia="zh-CN"/>
        </w:rPr>
        <w:t>绍兴市上虞区百官街道颖泰大厦7楼（浙江广正）</w:t>
      </w:r>
    </w:p>
    <w:p w14:paraId="0C4152A3">
      <w:pPr>
        <w:adjustRightInd w:val="0"/>
        <w:spacing w:line="360" w:lineRule="auto"/>
        <w:ind w:firstLine="480" w:firstLineChars="200"/>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2.采购人名称：</w:t>
      </w:r>
      <w:r>
        <w:rPr>
          <w:rFonts w:hint="eastAsia" w:cs="宋体"/>
          <w:color w:val="auto"/>
          <w:sz w:val="24"/>
          <w:highlight w:val="none"/>
          <w:lang w:eastAsia="zh-CN"/>
        </w:rPr>
        <w:t>绍兴市上虞鸿雁建设开发有限公司</w:t>
      </w:r>
    </w:p>
    <w:p w14:paraId="47187E7A">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联系人：</w:t>
      </w:r>
      <w:r>
        <w:rPr>
          <w:rFonts w:hint="eastAsia" w:cs="宋体"/>
          <w:color w:val="auto"/>
          <w:sz w:val="24"/>
          <w:highlight w:val="none"/>
          <w:lang w:val="en-US" w:eastAsia="zh-CN"/>
        </w:rPr>
        <w:t>沈先生</w:t>
      </w:r>
      <w:r>
        <w:rPr>
          <w:rFonts w:hint="eastAsia"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3D01BEF">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联系电话：</w:t>
      </w:r>
      <w:r>
        <w:rPr>
          <w:rFonts w:hint="eastAsia" w:eastAsia="宋体" w:cs="宋体"/>
          <w:color w:val="auto"/>
          <w:sz w:val="24"/>
          <w:highlight w:val="none"/>
          <w:lang w:val="en-US" w:eastAsia="zh-CN"/>
        </w:rPr>
        <w:t xml:space="preserve"> </w:t>
      </w:r>
      <w:r>
        <w:rPr>
          <w:rFonts w:hint="eastAsia" w:cs="宋体"/>
          <w:color w:val="auto"/>
          <w:sz w:val="24"/>
          <w:highlight w:val="none"/>
          <w:lang w:val="en-US" w:eastAsia="zh-CN"/>
        </w:rPr>
        <w:t>0575-82157771</w:t>
      </w:r>
    </w:p>
    <w:p w14:paraId="18DCD72E">
      <w:pPr>
        <w:pStyle w:val="18"/>
        <w:ind w:left="0" w:leftChars="0"/>
        <w:rPr>
          <w:rFonts w:hint="eastAsia" w:ascii="宋体" w:hAnsi="宋体" w:eastAsia="宋体" w:cs="宋体"/>
          <w:color w:val="auto"/>
          <w:highlight w:val="none"/>
          <w:lang w:val="en-US" w:eastAsia="zh-CN"/>
        </w:rPr>
      </w:pPr>
      <w:bookmarkStart w:id="491" w:name="_GoBack"/>
      <w:bookmarkEnd w:id="491"/>
    </w:p>
    <w:p w14:paraId="7D113EBE">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bookmarkStart w:id="13" w:name="_Toc11332"/>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bookmarkEnd w:id="8"/>
      <w:r>
        <w:rPr>
          <w:rFonts w:hint="eastAsia" w:ascii="宋体" w:hAnsi="宋体" w:eastAsia="宋体" w:cs="宋体"/>
          <w:b/>
          <w:color w:val="auto"/>
          <w:sz w:val="36"/>
          <w:szCs w:val="20"/>
          <w:highlight w:val="none"/>
        </w:rPr>
        <w:t>投标须知</w:t>
      </w:r>
      <w:bookmarkEnd w:id="13"/>
    </w:p>
    <w:p w14:paraId="58D058EF">
      <w:pPr>
        <w:widowControl/>
        <w:adjustRightInd w:val="0"/>
        <w:snapToGrid w:val="0"/>
        <w:spacing w:line="360" w:lineRule="auto"/>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前附表</w:t>
      </w:r>
    </w:p>
    <w:tbl>
      <w:tblPr>
        <w:tblStyle w:val="19"/>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109AD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0"/>
            <w:vAlign w:val="center"/>
          </w:tcPr>
          <w:p w14:paraId="71351285">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序号</w:t>
            </w:r>
          </w:p>
        </w:tc>
        <w:tc>
          <w:tcPr>
            <w:tcW w:w="1800" w:type="dxa"/>
            <w:noWrap w:val="0"/>
            <w:vAlign w:val="center"/>
          </w:tcPr>
          <w:p w14:paraId="26A8ED7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项目</w:t>
            </w:r>
          </w:p>
        </w:tc>
        <w:tc>
          <w:tcPr>
            <w:tcW w:w="6682" w:type="dxa"/>
            <w:noWrap w:val="0"/>
            <w:vAlign w:val="center"/>
          </w:tcPr>
          <w:p w14:paraId="4814A2BF">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内容</w:t>
            </w:r>
          </w:p>
        </w:tc>
      </w:tr>
      <w:tr w14:paraId="33A49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C7225E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w:t>
            </w:r>
          </w:p>
        </w:tc>
        <w:tc>
          <w:tcPr>
            <w:tcW w:w="1800" w:type="dxa"/>
            <w:noWrap w:val="0"/>
            <w:vAlign w:val="center"/>
          </w:tcPr>
          <w:p w14:paraId="3872FA3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项目名称</w:t>
            </w:r>
          </w:p>
        </w:tc>
        <w:tc>
          <w:tcPr>
            <w:tcW w:w="6682" w:type="dxa"/>
            <w:noWrap w:val="0"/>
            <w:vAlign w:val="center"/>
          </w:tcPr>
          <w:p w14:paraId="04EB1AB4">
            <w:pPr>
              <w:keepNext w:val="0"/>
              <w:keepLines w:val="0"/>
              <w:suppressLineNumbers w:val="0"/>
              <w:snapToGrid w:val="0"/>
              <w:spacing w:before="0" w:beforeAutospacing="0" w:after="0" w:afterAutospacing="0" w:line="360" w:lineRule="exact"/>
              <w:ind w:left="0" w:right="0"/>
              <w:rPr>
                <w:rFonts w:hint="default" w:ascii="宋体" w:hAnsi="宋体" w:eastAsia="宋体" w:cs="宋体"/>
                <w:snapToGrid w:val="0"/>
                <w:color w:val="auto"/>
                <w:kern w:val="0"/>
                <w:sz w:val="21"/>
                <w:highlight w:val="none"/>
                <w:lang w:eastAsia="zh-CN"/>
              </w:rPr>
            </w:pPr>
            <w:r>
              <w:rPr>
                <w:rFonts w:hint="default" w:cs="宋体"/>
                <w:snapToGrid w:val="0"/>
                <w:color w:val="auto"/>
                <w:kern w:val="0"/>
                <w:sz w:val="21"/>
                <w:highlight w:val="none"/>
                <w:lang w:eastAsia="zh-CN"/>
              </w:rPr>
              <w:t>鸿雁人才公寓运营管理服务项目</w:t>
            </w:r>
          </w:p>
        </w:tc>
      </w:tr>
      <w:tr w14:paraId="165FB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C5940C3">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w:t>
            </w:r>
          </w:p>
        </w:tc>
        <w:tc>
          <w:tcPr>
            <w:tcW w:w="1800" w:type="dxa"/>
            <w:noWrap w:val="0"/>
            <w:vAlign w:val="center"/>
          </w:tcPr>
          <w:p w14:paraId="15227B0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项目实施时间</w:t>
            </w:r>
          </w:p>
        </w:tc>
        <w:tc>
          <w:tcPr>
            <w:tcW w:w="6682" w:type="dxa"/>
            <w:noWrap w:val="0"/>
            <w:vAlign w:val="center"/>
          </w:tcPr>
          <w:p w14:paraId="66E5C6EA">
            <w:pPr>
              <w:keepNext w:val="0"/>
              <w:keepLines w:val="0"/>
              <w:widowControl/>
              <w:suppressLineNumbers w:val="0"/>
              <w:snapToGrid w:val="0"/>
              <w:spacing w:before="0" w:beforeAutospacing="0" w:after="0" w:afterAutospacing="0" w:line="360" w:lineRule="exact"/>
              <w:ind w:left="0" w:right="0"/>
              <w:jc w:val="left"/>
              <w:rPr>
                <w:rFonts w:hint="eastAsia" w:ascii="宋体" w:hAnsi="宋体" w:eastAsia="宋体" w:cs="宋体"/>
                <w:color w:val="auto"/>
                <w:sz w:val="21"/>
                <w:highlight w:val="none"/>
              </w:rPr>
            </w:pPr>
            <w:r>
              <w:rPr>
                <w:rFonts w:hint="eastAsia" w:ascii="宋体" w:hAnsi="宋体" w:cs="宋体"/>
                <w:b/>
                <w:bCs/>
                <w:snapToGrid w:val="0"/>
                <w:color w:val="auto"/>
                <w:kern w:val="0"/>
                <w:sz w:val="21"/>
                <w:szCs w:val="21"/>
                <w:highlight w:val="none"/>
              </w:rPr>
              <w:t>自合同签订之日起至合同履行完毕</w:t>
            </w:r>
          </w:p>
        </w:tc>
      </w:tr>
      <w:tr w14:paraId="52EEF9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648" w:type="dxa"/>
            <w:noWrap w:val="0"/>
            <w:vAlign w:val="center"/>
          </w:tcPr>
          <w:p w14:paraId="068CAFC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3</w:t>
            </w:r>
          </w:p>
        </w:tc>
        <w:tc>
          <w:tcPr>
            <w:tcW w:w="1800" w:type="dxa"/>
            <w:noWrap w:val="0"/>
            <w:vAlign w:val="center"/>
          </w:tcPr>
          <w:p w14:paraId="59A723E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snapToGrid w:val="0"/>
                <w:color w:val="auto"/>
                <w:kern w:val="0"/>
                <w:sz w:val="21"/>
                <w:highlight w:val="none"/>
              </w:rPr>
            </w:pPr>
            <w:r>
              <w:rPr>
                <w:rFonts w:hint="eastAsia" w:ascii="宋体" w:hAnsi="宋体" w:eastAsia="宋体" w:cs="宋体"/>
                <w:b/>
                <w:snapToGrid w:val="0"/>
                <w:color w:val="auto"/>
                <w:kern w:val="0"/>
                <w:sz w:val="21"/>
                <w:highlight w:val="none"/>
              </w:rPr>
              <w:t>最高限价</w:t>
            </w:r>
          </w:p>
        </w:tc>
        <w:tc>
          <w:tcPr>
            <w:tcW w:w="6682" w:type="dxa"/>
            <w:noWrap w:val="0"/>
            <w:vAlign w:val="center"/>
          </w:tcPr>
          <w:p w14:paraId="784A32B8">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sz w:val="21"/>
                <w:highlight w:val="none"/>
                <w:lang w:val="en-US" w:eastAsia="zh-CN"/>
              </w:rPr>
            </w:pPr>
            <w:r>
              <w:rPr>
                <w:rFonts w:hint="eastAsia" w:ascii="宋体" w:hAnsi="宋体" w:eastAsia="宋体" w:cs="宋体"/>
                <w:snapToGrid w:val="0"/>
                <w:color w:val="auto"/>
                <w:sz w:val="21"/>
                <w:highlight w:val="none"/>
                <w:lang w:val="en-US" w:eastAsia="zh-CN"/>
              </w:rPr>
              <w:t>本项目分项最高限价如下：</w:t>
            </w:r>
          </w:p>
          <w:p w14:paraId="66F1010F">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sz w:val="21"/>
                <w:highlight w:val="none"/>
                <w:lang w:val="en-US" w:eastAsia="zh-CN"/>
              </w:rPr>
            </w:pPr>
            <w:r>
              <w:rPr>
                <w:rFonts w:hint="eastAsia" w:ascii="宋体" w:hAnsi="宋体" w:eastAsia="宋体" w:cs="宋体"/>
                <w:snapToGrid w:val="0"/>
                <w:color w:val="auto"/>
                <w:sz w:val="21"/>
                <w:highlight w:val="none"/>
                <w:lang w:val="en-US" w:eastAsia="zh-CN"/>
              </w:rPr>
              <w:t>1、其中前期介入服务费最高限价：</w:t>
            </w:r>
            <w:r>
              <w:rPr>
                <w:rFonts w:hint="eastAsia" w:cs="宋体"/>
                <w:snapToGrid w:val="0"/>
                <w:color w:val="auto"/>
                <w:sz w:val="21"/>
                <w:highlight w:val="none"/>
                <w:lang w:val="en-US" w:eastAsia="zh-CN"/>
              </w:rPr>
              <w:t>17.8</w:t>
            </w:r>
            <w:r>
              <w:rPr>
                <w:rFonts w:hint="eastAsia" w:ascii="宋体" w:hAnsi="宋体" w:eastAsia="宋体" w:cs="宋体"/>
                <w:snapToGrid w:val="0"/>
                <w:color w:val="auto"/>
                <w:sz w:val="21"/>
                <w:highlight w:val="none"/>
                <w:lang w:val="en-US" w:eastAsia="zh-CN"/>
              </w:rPr>
              <w:t>万元，</w:t>
            </w:r>
          </w:p>
          <w:p w14:paraId="05DF4D3C">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sz w:val="21"/>
                <w:highlight w:val="none"/>
                <w:lang w:eastAsia="zh-CN"/>
              </w:rPr>
            </w:pPr>
            <w:r>
              <w:rPr>
                <w:rFonts w:hint="eastAsia" w:ascii="宋体" w:hAnsi="宋体" w:eastAsia="宋体" w:cs="宋体"/>
                <w:snapToGrid w:val="0"/>
                <w:color w:val="auto"/>
                <w:sz w:val="21"/>
                <w:highlight w:val="none"/>
                <w:lang w:val="en-US" w:eastAsia="zh-CN"/>
              </w:rPr>
              <w:t>2、运营服务费最高限价：675万元</w:t>
            </w:r>
            <w:r>
              <w:rPr>
                <w:rFonts w:hint="eastAsia" w:ascii="宋体" w:hAnsi="宋体" w:eastAsia="宋体" w:cs="宋体"/>
                <w:snapToGrid w:val="0"/>
                <w:color w:val="auto"/>
                <w:sz w:val="21"/>
                <w:highlight w:val="none"/>
              </w:rPr>
              <w:t>。</w:t>
            </w:r>
          </w:p>
          <w:p w14:paraId="69896EE4">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sz w:val="21"/>
                <w:highlight w:val="none"/>
                <w:lang w:eastAsia="zh-CN"/>
              </w:rPr>
            </w:pPr>
            <w:r>
              <w:rPr>
                <w:rFonts w:hint="eastAsia" w:ascii="宋体" w:hAnsi="宋体" w:eastAsia="宋体" w:cs="宋体"/>
                <w:snapToGrid w:val="0"/>
                <w:color w:val="auto"/>
                <w:sz w:val="21"/>
                <w:highlight w:val="none"/>
                <w:lang w:val="en-US" w:eastAsia="zh-CN"/>
              </w:rPr>
              <w:t>3、</w:t>
            </w:r>
            <w:r>
              <w:rPr>
                <w:rFonts w:hint="eastAsia" w:ascii="宋体" w:hAnsi="宋体" w:eastAsia="宋体" w:cs="宋体"/>
                <w:snapToGrid w:val="0"/>
                <w:color w:val="auto"/>
                <w:sz w:val="21"/>
                <w:highlight w:val="none"/>
              </w:rPr>
              <w:t>运营管理费</w:t>
            </w:r>
            <w:r>
              <w:rPr>
                <w:rFonts w:hint="eastAsia" w:ascii="宋体" w:hAnsi="宋体" w:eastAsia="宋体" w:cs="宋体"/>
                <w:snapToGrid w:val="0"/>
                <w:color w:val="auto"/>
                <w:sz w:val="21"/>
                <w:highlight w:val="none"/>
                <w:lang w:val="en-US" w:eastAsia="zh-CN"/>
              </w:rPr>
              <w:t>最高限价</w:t>
            </w:r>
            <w:r>
              <w:rPr>
                <w:rFonts w:hint="eastAsia" w:ascii="宋体" w:hAnsi="宋体" w:eastAsia="宋体" w:cs="宋体"/>
                <w:snapToGrid w:val="0"/>
                <w:color w:val="auto"/>
                <w:sz w:val="21"/>
                <w:highlight w:val="none"/>
                <w:lang w:eastAsia="zh-CN"/>
              </w:rPr>
              <w:t>：年营收（扣除代收代缴费外）6%</w:t>
            </w:r>
          </w:p>
        </w:tc>
      </w:tr>
      <w:tr w14:paraId="796437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E695656">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 xml:space="preserve">                                                                                                   4</w:t>
            </w:r>
          </w:p>
        </w:tc>
        <w:tc>
          <w:tcPr>
            <w:tcW w:w="1800" w:type="dxa"/>
            <w:noWrap w:val="0"/>
            <w:vAlign w:val="center"/>
          </w:tcPr>
          <w:p w14:paraId="3A3D83A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资格审查方式</w:t>
            </w:r>
          </w:p>
        </w:tc>
        <w:tc>
          <w:tcPr>
            <w:tcW w:w="6682" w:type="dxa"/>
            <w:noWrap w:val="0"/>
            <w:vAlign w:val="center"/>
          </w:tcPr>
          <w:p w14:paraId="5EB59C58">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资格审查是指开标后，采购人或采购代理机构将依据法律法规和招标文件的规定对投标人的资格进行审查。</w:t>
            </w:r>
          </w:p>
        </w:tc>
      </w:tr>
      <w:tr w14:paraId="799FC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2B4884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5</w:t>
            </w:r>
          </w:p>
        </w:tc>
        <w:tc>
          <w:tcPr>
            <w:tcW w:w="1800" w:type="dxa"/>
            <w:noWrap w:val="0"/>
            <w:vAlign w:val="center"/>
          </w:tcPr>
          <w:p w14:paraId="08735D3F">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踏勘现场</w:t>
            </w:r>
          </w:p>
        </w:tc>
        <w:tc>
          <w:tcPr>
            <w:tcW w:w="6682" w:type="dxa"/>
            <w:noWrap w:val="0"/>
            <w:vAlign w:val="center"/>
          </w:tcPr>
          <w:p w14:paraId="1473E203">
            <w:pPr>
              <w:keepNext w:val="0"/>
              <w:keepLines w:val="0"/>
              <w:suppressLineNumbers w:val="0"/>
              <w:snapToGrid w:val="0"/>
              <w:spacing w:before="0" w:beforeAutospacing="0" w:after="0" w:afterAutospacing="0" w:line="360" w:lineRule="exact"/>
              <w:ind w:left="0" w:right="0" w:firstLine="422" w:firstLineChars="200"/>
              <w:rPr>
                <w:rFonts w:hint="eastAsia" w:ascii="宋体" w:hAnsi="宋体" w:eastAsia="宋体" w:cs="宋体"/>
                <w:snapToGrid w:val="0"/>
                <w:color w:val="auto"/>
                <w:kern w:val="0"/>
                <w:sz w:val="21"/>
                <w:highlight w:val="none"/>
              </w:rPr>
            </w:pPr>
            <w:r>
              <w:rPr>
                <w:rFonts w:hint="eastAsia" w:ascii="宋体" w:hAnsi="宋体" w:eastAsia="宋体" w:cs="宋体"/>
                <w:b/>
                <w:snapToGrid w:val="0"/>
                <w:color w:val="auto"/>
                <w:kern w:val="0"/>
                <w:sz w:val="21"/>
                <w:highlight w:val="none"/>
              </w:rPr>
              <w:t>本项目不组织现场踏勘</w:t>
            </w:r>
          </w:p>
        </w:tc>
      </w:tr>
      <w:tr w14:paraId="2CE37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42609D2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6</w:t>
            </w:r>
          </w:p>
        </w:tc>
        <w:tc>
          <w:tcPr>
            <w:tcW w:w="1800" w:type="dxa"/>
            <w:noWrap w:val="0"/>
            <w:vAlign w:val="center"/>
          </w:tcPr>
          <w:p w14:paraId="30CB9963">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询问</w:t>
            </w:r>
          </w:p>
        </w:tc>
        <w:tc>
          <w:tcPr>
            <w:tcW w:w="6682" w:type="dxa"/>
            <w:noWrap w:val="0"/>
            <w:vAlign w:val="center"/>
          </w:tcPr>
          <w:p w14:paraId="620D9EBF">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供应商对国企采购活动事项有疑问的，可以向采购机构提出询问，采购人或者招标代理机构应当在3个工作日内对供应商依法提出的询问作出答复，但答复的内容不得涉及商业秘密。</w:t>
            </w:r>
          </w:p>
        </w:tc>
      </w:tr>
      <w:tr w14:paraId="43384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05" w:hRule="atLeast"/>
          <w:jc w:val="center"/>
        </w:trPr>
        <w:tc>
          <w:tcPr>
            <w:tcW w:w="648" w:type="dxa"/>
            <w:noWrap w:val="0"/>
            <w:vAlign w:val="center"/>
          </w:tcPr>
          <w:p w14:paraId="6029768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7</w:t>
            </w:r>
          </w:p>
        </w:tc>
        <w:tc>
          <w:tcPr>
            <w:tcW w:w="1800" w:type="dxa"/>
            <w:noWrap w:val="0"/>
            <w:vAlign w:val="center"/>
          </w:tcPr>
          <w:p w14:paraId="0C26737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招标文件的澄清与修改</w:t>
            </w:r>
          </w:p>
        </w:tc>
        <w:tc>
          <w:tcPr>
            <w:tcW w:w="6682" w:type="dxa"/>
            <w:noWrap w:val="0"/>
            <w:vAlign w:val="center"/>
          </w:tcPr>
          <w:p w14:paraId="2CA73D9F">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14:paraId="67D92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14B234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8</w:t>
            </w:r>
          </w:p>
        </w:tc>
        <w:tc>
          <w:tcPr>
            <w:tcW w:w="1800" w:type="dxa"/>
            <w:noWrap w:val="0"/>
            <w:vAlign w:val="center"/>
          </w:tcPr>
          <w:p w14:paraId="08B5091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投标文件组成</w:t>
            </w:r>
          </w:p>
        </w:tc>
        <w:tc>
          <w:tcPr>
            <w:tcW w:w="6682" w:type="dxa"/>
            <w:noWrap w:val="0"/>
            <w:vAlign w:val="center"/>
          </w:tcPr>
          <w:p w14:paraId="5CA1F568">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sz w:val="21"/>
                <w:highlight w:val="none"/>
              </w:rPr>
              <w:t>投标人向采购人递交的投标文件由资格文件、商务文件、技术文件、报价文件四部分组成。</w:t>
            </w:r>
          </w:p>
        </w:tc>
      </w:tr>
      <w:tr w14:paraId="641187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28C201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9</w:t>
            </w:r>
          </w:p>
        </w:tc>
        <w:tc>
          <w:tcPr>
            <w:tcW w:w="1800" w:type="dxa"/>
            <w:noWrap w:val="0"/>
            <w:vAlign w:val="center"/>
          </w:tcPr>
          <w:p w14:paraId="2EE4CB29">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评标办法</w:t>
            </w:r>
          </w:p>
        </w:tc>
        <w:tc>
          <w:tcPr>
            <w:tcW w:w="6682" w:type="dxa"/>
            <w:noWrap w:val="0"/>
            <w:vAlign w:val="center"/>
          </w:tcPr>
          <w:p w14:paraId="1FB5DF5E">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综合评分法</w:t>
            </w:r>
          </w:p>
        </w:tc>
      </w:tr>
      <w:tr w14:paraId="0E565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00C172AF">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10</w:t>
            </w:r>
          </w:p>
        </w:tc>
        <w:tc>
          <w:tcPr>
            <w:tcW w:w="1800" w:type="dxa"/>
            <w:noWrap w:val="0"/>
            <w:vAlign w:val="center"/>
          </w:tcPr>
          <w:p w14:paraId="2E692F8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投标文件递交地址及截止时间</w:t>
            </w:r>
          </w:p>
        </w:tc>
        <w:tc>
          <w:tcPr>
            <w:tcW w:w="6682" w:type="dxa"/>
            <w:noWrap w:val="0"/>
            <w:vAlign w:val="center"/>
          </w:tcPr>
          <w:p w14:paraId="35B2494B">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color w:val="auto"/>
                <w:kern w:val="0"/>
                <w:sz w:val="21"/>
                <w:highlight w:val="none"/>
              </w:rPr>
            </w:pPr>
            <w:r>
              <w:rPr>
                <w:rFonts w:hint="eastAsia" w:ascii="宋体" w:hAnsi="宋体" w:eastAsia="宋体" w:cs="宋体"/>
                <w:snapToGrid w:val="0"/>
                <w:color w:val="auto"/>
                <w:kern w:val="0"/>
                <w:sz w:val="21"/>
                <w:highlight w:val="none"/>
              </w:rPr>
              <w:t>详见招标公告</w:t>
            </w:r>
          </w:p>
        </w:tc>
      </w:tr>
      <w:tr w14:paraId="1B57BD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768152D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11</w:t>
            </w:r>
          </w:p>
        </w:tc>
        <w:tc>
          <w:tcPr>
            <w:tcW w:w="1800" w:type="dxa"/>
            <w:noWrap w:val="0"/>
            <w:vAlign w:val="center"/>
          </w:tcPr>
          <w:p w14:paraId="1948164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开标时间、地点</w:t>
            </w:r>
          </w:p>
        </w:tc>
        <w:tc>
          <w:tcPr>
            <w:tcW w:w="6682" w:type="dxa"/>
            <w:noWrap w:val="0"/>
            <w:vAlign w:val="center"/>
          </w:tcPr>
          <w:p w14:paraId="2849BDCA">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开标时间：</w:t>
            </w:r>
            <w:r>
              <w:rPr>
                <w:rFonts w:hint="eastAsia" w:ascii="宋体" w:hAnsi="宋体" w:eastAsia="宋体" w:cs="宋体"/>
                <w:color w:val="auto"/>
                <w:kern w:val="0"/>
                <w:sz w:val="21"/>
                <w:highlight w:val="none"/>
              </w:rPr>
              <w:t>详见招标公告</w:t>
            </w:r>
          </w:p>
          <w:p w14:paraId="34D4A5E6">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color w:val="auto"/>
                <w:kern w:val="0"/>
                <w:sz w:val="21"/>
                <w:highlight w:val="none"/>
              </w:rPr>
            </w:pPr>
            <w:r>
              <w:rPr>
                <w:rFonts w:hint="eastAsia" w:ascii="宋体" w:hAnsi="宋体" w:eastAsia="宋体" w:cs="宋体"/>
                <w:snapToGrid w:val="0"/>
                <w:color w:val="auto"/>
                <w:kern w:val="0"/>
                <w:sz w:val="21"/>
                <w:highlight w:val="none"/>
              </w:rPr>
              <w:t>开标地点：</w:t>
            </w:r>
            <w:r>
              <w:rPr>
                <w:rFonts w:hint="eastAsia" w:ascii="宋体" w:hAnsi="宋体" w:eastAsia="宋体" w:cs="宋体"/>
                <w:color w:val="auto"/>
                <w:kern w:val="0"/>
                <w:sz w:val="21"/>
                <w:highlight w:val="none"/>
              </w:rPr>
              <w:t>详见招标公告</w:t>
            </w:r>
          </w:p>
        </w:tc>
      </w:tr>
      <w:tr w14:paraId="7A555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60C4458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12</w:t>
            </w:r>
          </w:p>
        </w:tc>
        <w:tc>
          <w:tcPr>
            <w:tcW w:w="1800" w:type="dxa"/>
            <w:noWrap w:val="0"/>
            <w:vAlign w:val="center"/>
          </w:tcPr>
          <w:p w14:paraId="08C96F41">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投标有效期</w:t>
            </w:r>
          </w:p>
        </w:tc>
        <w:tc>
          <w:tcPr>
            <w:tcW w:w="6682" w:type="dxa"/>
            <w:noWrap w:val="0"/>
            <w:vAlign w:val="center"/>
          </w:tcPr>
          <w:p w14:paraId="42AA67AC">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投标有效期为从提交投标文件的截止之日起90天。投标人的投标文件中承诺的投标有效期少于招标文件中载明的投标有效期的，投标无效。</w:t>
            </w:r>
          </w:p>
        </w:tc>
      </w:tr>
      <w:tr w14:paraId="7939C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1EA0089">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13</w:t>
            </w:r>
          </w:p>
        </w:tc>
        <w:tc>
          <w:tcPr>
            <w:tcW w:w="1800" w:type="dxa"/>
            <w:noWrap w:val="0"/>
            <w:vAlign w:val="center"/>
          </w:tcPr>
          <w:p w14:paraId="3202F3B5">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投标保证金</w:t>
            </w:r>
          </w:p>
        </w:tc>
        <w:tc>
          <w:tcPr>
            <w:tcW w:w="6682" w:type="dxa"/>
            <w:noWrap w:val="0"/>
            <w:vAlign w:val="center"/>
          </w:tcPr>
          <w:p w14:paraId="28D25D8A">
            <w:pPr>
              <w:keepNext w:val="0"/>
              <w:keepLines w:val="0"/>
              <w:suppressLineNumbers w:val="0"/>
              <w:adjustRightInd w:val="0"/>
              <w:spacing w:before="0" w:beforeAutospacing="0" w:after="0" w:afterAutospacing="0" w:line="360" w:lineRule="auto"/>
              <w:ind w:left="0" w:right="0" w:firstLine="420" w:firstLineChars="200"/>
              <w:rPr>
                <w:rFonts w:hint="eastAsia" w:ascii="宋体" w:hAnsi="宋体" w:eastAsia="宋体" w:cs="宋体"/>
                <w:color w:val="auto"/>
                <w:kern w:val="0"/>
                <w:sz w:val="21"/>
                <w:highlight w:val="none"/>
              </w:rPr>
            </w:pPr>
            <w:r>
              <w:rPr>
                <w:rFonts w:hint="eastAsia" w:ascii="宋体" w:hAnsi="宋体" w:eastAsia="宋体" w:cs="宋体"/>
                <w:color w:val="auto"/>
                <w:sz w:val="21"/>
                <w:highlight w:val="none"/>
              </w:rPr>
              <w:t>投标保证金：本项目不设置投标保证金。</w:t>
            </w:r>
          </w:p>
        </w:tc>
      </w:tr>
      <w:tr w14:paraId="12DD23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C26C1B8">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14</w:t>
            </w:r>
          </w:p>
        </w:tc>
        <w:tc>
          <w:tcPr>
            <w:tcW w:w="1800" w:type="dxa"/>
            <w:noWrap w:val="0"/>
            <w:vAlign w:val="center"/>
          </w:tcPr>
          <w:p w14:paraId="4EE0708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履约保证金</w:t>
            </w:r>
          </w:p>
        </w:tc>
        <w:tc>
          <w:tcPr>
            <w:tcW w:w="6682" w:type="dxa"/>
            <w:noWrap w:val="0"/>
            <w:vAlign w:val="center"/>
          </w:tcPr>
          <w:p w14:paraId="2B14C2DD">
            <w:pPr>
              <w:pStyle w:val="9"/>
              <w:keepNext w:val="0"/>
              <w:keepLines w:val="0"/>
              <w:suppressLineNumbers w:val="0"/>
              <w:snapToGrid w:val="0"/>
              <w:spacing w:before="0" w:beforeAutospacing="0" w:after="62" w:afterLines="20" w:afterAutospacing="0" w:line="240" w:lineRule="auto"/>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中标人在收到中标通知书后，需向采购人提供合同总价　1　%的履约保证金，在中标人与采购人签订合同前递交。（投标人应当以支票、汇票、本票或者金融机构、保险公司、担保机构出具的保函等非现金形式提交）</w:t>
            </w:r>
          </w:p>
          <w:p w14:paraId="7DEE8B22">
            <w:pPr>
              <w:pStyle w:val="9"/>
              <w:keepNext w:val="0"/>
              <w:keepLines w:val="0"/>
              <w:suppressLineNumbers w:val="0"/>
              <w:snapToGrid w:val="0"/>
              <w:spacing w:before="0" w:beforeAutospacing="0" w:after="62" w:afterLines="20" w:afterAutospacing="0" w:line="240" w:lineRule="auto"/>
              <w:ind w:left="0" w:right="0" w:firstLine="422"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sz w:val="21"/>
                <w:szCs w:val="21"/>
                <w:highlight w:val="none"/>
              </w:rPr>
              <w:t xml:space="preserve"> 履约保证金在合同期满后一次性无息退还</w:t>
            </w:r>
            <w:r>
              <w:rPr>
                <w:rFonts w:hint="eastAsia"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采用保函形式的，在验收合格后且无异议情况下自动解除</w:t>
            </w:r>
            <w:r>
              <w:rPr>
                <w:rFonts w:hint="eastAsia" w:ascii="宋体"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eastAsia="zh-CN"/>
              </w:rPr>
              <w:t>。</w:t>
            </w:r>
          </w:p>
        </w:tc>
      </w:tr>
      <w:tr w14:paraId="2CD4E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00D651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15</w:t>
            </w:r>
          </w:p>
        </w:tc>
        <w:tc>
          <w:tcPr>
            <w:tcW w:w="1800" w:type="dxa"/>
            <w:noWrap w:val="0"/>
            <w:vAlign w:val="center"/>
          </w:tcPr>
          <w:p w14:paraId="696DF3B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采购及中标公告发布媒体</w:t>
            </w:r>
          </w:p>
        </w:tc>
        <w:tc>
          <w:tcPr>
            <w:tcW w:w="6682" w:type="dxa"/>
            <w:noWrap w:val="0"/>
            <w:vAlign w:val="center"/>
          </w:tcPr>
          <w:p w14:paraId="7E1A5F15">
            <w:pPr>
              <w:pStyle w:val="9"/>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浙江政府采购网、绍兴市上虞区公共资源交易中心网站</w:t>
            </w:r>
          </w:p>
        </w:tc>
      </w:tr>
      <w:tr w14:paraId="43C1B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6BD27A6">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16</w:t>
            </w:r>
          </w:p>
        </w:tc>
        <w:tc>
          <w:tcPr>
            <w:tcW w:w="1800" w:type="dxa"/>
            <w:noWrap w:val="0"/>
            <w:vAlign w:val="center"/>
          </w:tcPr>
          <w:p w14:paraId="3DFB259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质疑</w:t>
            </w:r>
          </w:p>
        </w:tc>
        <w:tc>
          <w:tcPr>
            <w:tcW w:w="6682" w:type="dxa"/>
            <w:noWrap w:val="0"/>
            <w:vAlign w:val="center"/>
          </w:tcPr>
          <w:p w14:paraId="54C250FC">
            <w:pPr>
              <w:pStyle w:val="18"/>
              <w:keepNext w:val="0"/>
              <w:keepLines w:val="0"/>
              <w:suppressLineNumbers w:val="0"/>
              <w:spacing w:before="0" w:beforeAutospacing="0" w:after="0" w:afterAutospacing="0"/>
              <w:ind w:left="0" w:leftChars="0" w:right="0" w:firstLine="48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14:paraId="4B70BBFE">
            <w:pPr>
              <w:pStyle w:val="18"/>
              <w:keepNext w:val="0"/>
              <w:keepLines w:val="0"/>
              <w:suppressLineNumbers w:val="0"/>
              <w:spacing w:before="0" w:beforeAutospacing="0" w:after="0" w:afterAutospacing="0"/>
              <w:ind w:left="0" w:leftChars="0" w:right="0" w:firstLine="480"/>
              <w:rPr>
                <w:rFonts w:hint="eastAsia" w:ascii="宋体" w:hAnsi="宋体" w:eastAsia="宋体" w:cs="宋体"/>
                <w:snapToGrid w:val="0"/>
                <w:color w:val="auto"/>
                <w:kern w:val="0"/>
                <w:sz w:val="21"/>
                <w:highlight w:val="none"/>
                <w:lang w:val="en-US" w:eastAsia="zh-CN"/>
              </w:rPr>
            </w:pPr>
            <w:r>
              <w:rPr>
                <w:rFonts w:hint="eastAsia" w:ascii="宋体" w:hAnsi="宋体" w:eastAsia="宋体" w:cs="宋体"/>
                <w:color w:val="auto"/>
                <w:sz w:val="21"/>
                <w:highlight w:val="none"/>
                <w:lang w:val="en-US" w:eastAsia="zh-CN"/>
              </w:rPr>
              <w:t>《上虞区区属国有企业货物和服务采购管理办法》第四十九条规定的供应商应知其权益受到损害之日，是指：（一）对可以质疑的采购文件提出质疑的，为收到采购文件之日或者采购文件公告期限届满之日（公告期限届满后获取采购文件的，以公告期限届满之日为准）；（二）对采购过程提出质疑的，为各采购程序环节结束之日；（三）对中标或者成交结果提出质疑的，为中标或者成交结果公告期限届满之日。</w:t>
            </w:r>
          </w:p>
        </w:tc>
      </w:tr>
      <w:tr w14:paraId="10F20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4427CAD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17</w:t>
            </w:r>
          </w:p>
        </w:tc>
        <w:tc>
          <w:tcPr>
            <w:tcW w:w="1800" w:type="dxa"/>
            <w:noWrap w:val="0"/>
            <w:vAlign w:val="center"/>
          </w:tcPr>
          <w:p w14:paraId="1F71323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投诉</w:t>
            </w:r>
          </w:p>
        </w:tc>
        <w:tc>
          <w:tcPr>
            <w:tcW w:w="6682" w:type="dxa"/>
            <w:noWrap w:val="0"/>
            <w:vAlign w:val="center"/>
          </w:tcPr>
          <w:p w14:paraId="59F15B67">
            <w:pPr>
              <w:keepNext w:val="0"/>
              <w:keepLines w:val="0"/>
              <w:suppressLineNumbers w:val="0"/>
              <w:snapToGrid w:val="0"/>
              <w:spacing w:before="0" w:beforeAutospacing="0" w:after="0" w:afterAutospacing="0"/>
              <w:ind w:left="0" w:right="0" w:firstLine="420" w:firstLineChars="200"/>
              <w:jc w:val="left"/>
              <w:rPr>
                <w:rFonts w:hint="eastAsia" w:ascii="宋体" w:hAnsi="宋体" w:eastAsia="宋体" w:cs="宋体"/>
                <w:snapToGrid w:val="0"/>
                <w:color w:val="auto"/>
                <w:kern w:val="0"/>
                <w:sz w:val="21"/>
                <w:highlight w:val="none"/>
              </w:rPr>
            </w:pPr>
            <w:r>
              <w:rPr>
                <w:rFonts w:hint="eastAsia" w:eastAsia="宋体" w:cs="宋体"/>
                <w:snapToGrid w:val="0"/>
                <w:color w:val="auto"/>
                <w:kern w:val="0"/>
                <w:sz w:val="21"/>
                <w:highlight w:val="none"/>
                <w:lang w:eastAsia="zh-CN"/>
              </w:rPr>
              <w:t>参照</w:t>
            </w:r>
            <w:r>
              <w:rPr>
                <w:rFonts w:hint="eastAsia" w:ascii="宋体" w:hAnsi="宋体" w:eastAsia="宋体" w:cs="宋体"/>
                <w:snapToGrid w:val="0"/>
                <w:color w:val="auto"/>
                <w:kern w:val="0"/>
                <w:sz w:val="21"/>
                <w:highlight w:val="none"/>
              </w:rPr>
              <w:t>《上虞区区属国有企业货物和服务采购管理办法》第五十条的规定：</w:t>
            </w:r>
          </w:p>
          <w:p w14:paraId="4864F23E">
            <w:pPr>
              <w:pStyle w:val="18"/>
              <w:keepNext w:val="0"/>
              <w:keepLines w:val="0"/>
              <w:suppressLineNumbers w:val="0"/>
              <w:spacing w:before="0" w:beforeAutospacing="0" w:after="0" w:afterAutospacing="0"/>
              <w:ind w:left="0" w:leftChars="0" w:right="0" w:firstLine="48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14:paraId="79E7A402">
            <w:pPr>
              <w:pStyle w:val="18"/>
              <w:keepNext w:val="0"/>
              <w:keepLines w:val="0"/>
              <w:suppressLineNumbers w:val="0"/>
              <w:spacing w:before="0" w:beforeAutospacing="0" w:after="0" w:afterAutospacing="0"/>
              <w:ind w:left="0" w:leftChars="0" w:right="0" w:firstLine="480"/>
              <w:rPr>
                <w:rFonts w:hint="eastAsia" w:ascii="宋体" w:hAnsi="宋体" w:eastAsia="宋体" w:cs="宋体"/>
                <w:snapToGrid w:val="0"/>
                <w:color w:val="auto"/>
                <w:kern w:val="0"/>
                <w:sz w:val="21"/>
                <w:highlight w:val="none"/>
                <w:lang w:val="en-US" w:eastAsia="zh-CN"/>
              </w:rPr>
            </w:pPr>
            <w:r>
              <w:rPr>
                <w:rFonts w:hint="eastAsia" w:ascii="宋体" w:hAnsi="宋体" w:eastAsia="宋体" w:cs="宋体"/>
                <w:color w:val="auto"/>
                <w:sz w:val="21"/>
                <w:highlight w:val="none"/>
                <w:lang w:val="en-US" w:eastAsia="zh-CN"/>
              </w:rPr>
              <w:t>投诉人提交投诉件时，应当提供相关书面证据、依据和其他有关材料。</w:t>
            </w:r>
          </w:p>
        </w:tc>
      </w:tr>
      <w:tr w14:paraId="6E4C73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5AB3BCC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18</w:t>
            </w:r>
          </w:p>
        </w:tc>
        <w:tc>
          <w:tcPr>
            <w:tcW w:w="1800" w:type="dxa"/>
            <w:noWrap w:val="0"/>
            <w:vAlign w:val="center"/>
          </w:tcPr>
          <w:p w14:paraId="545A1D6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特别说明</w:t>
            </w:r>
          </w:p>
        </w:tc>
        <w:tc>
          <w:tcPr>
            <w:tcW w:w="6682" w:type="dxa"/>
            <w:noWrap w:val="0"/>
            <w:vAlign w:val="center"/>
          </w:tcPr>
          <w:p w14:paraId="35E04241">
            <w:pPr>
              <w:pStyle w:val="9"/>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无条件地、认真仔细地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1E7E1516">
            <w:pPr>
              <w:pStyle w:val="9"/>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38FD374A">
            <w:pPr>
              <w:pStyle w:val="9"/>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招标文件中凡标注“</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”的条款均为实质性要求，不响应的投标文件将作无效标处理。</w:t>
            </w:r>
          </w:p>
        </w:tc>
      </w:tr>
      <w:tr w14:paraId="23B880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25CAED68">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19</w:t>
            </w:r>
          </w:p>
        </w:tc>
        <w:tc>
          <w:tcPr>
            <w:tcW w:w="1800" w:type="dxa"/>
            <w:noWrap w:val="0"/>
            <w:vAlign w:val="center"/>
          </w:tcPr>
          <w:p w14:paraId="5D791B7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招标代理服务费</w:t>
            </w:r>
          </w:p>
        </w:tc>
        <w:tc>
          <w:tcPr>
            <w:tcW w:w="6682" w:type="dxa"/>
            <w:noWrap w:val="0"/>
            <w:vAlign w:val="center"/>
          </w:tcPr>
          <w:p w14:paraId="39237434">
            <w:pPr>
              <w:keepNext w:val="0"/>
              <w:keepLines w:val="0"/>
              <w:suppressLineNumbers w:val="0"/>
              <w:spacing w:before="0" w:beforeAutospacing="0" w:after="0" w:afterAutospacing="0" w:line="340" w:lineRule="exact"/>
              <w:ind w:left="0" w:right="0" w:firstLine="420" w:firstLineChars="20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招标代理服务费由中标人支付，费用按</w:t>
            </w:r>
            <w:r>
              <w:rPr>
                <w:rFonts w:hint="eastAsia" w:ascii="宋体" w:hAnsi="宋体" w:eastAsia="宋体" w:cs="宋体"/>
                <w:snapToGrid w:val="0"/>
                <w:color w:val="auto"/>
                <w:kern w:val="0"/>
                <w:sz w:val="21"/>
                <w:highlight w:val="none"/>
                <w:lang w:val="en-US" w:eastAsia="zh-CN"/>
              </w:rPr>
              <w:t>城建集团</w:t>
            </w:r>
            <w:r>
              <w:rPr>
                <w:rFonts w:hint="eastAsia" w:ascii="宋体" w:hAnsi="宋体" w:eastAsia="宋体" w:cs="宋体"/>
                <w:snapToGrid w:val="0"/>
                <w:color w:val="auto"/>
                <w:kern w:val="0"/>
                <w:sz w:val="21"/>
                <w:highlight w:val="none"/>
              </w:rPr>
              <w:t>招标代理年度入围收费标准计取。</w:t>
            </w:r>
          </w:p>
          <w:p w14:paraId="3DF5FF84">
            <w:pPr>
              <w:keepNext w:val="0"/>
              <w:keepLines w:val="0"/>
              <w:suppressLineNumbers w:val="0"/>
              <w:spacing w:before="0" w:beforeAutospacing="0" w:after="0" w:afterAutospacing="0" w:line="340" w:lineRule="exact"/>
              <w:ind w:left="0" w:right="0"/>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结算方式及时间为：在领取中标通知书前由中标人一次性向采购代理机构付清。</w:t>
            </w:r>
          </w:p>
        </w:tc>
      </w:tr>
      <w:tr w14:paraId="3DFE9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48" w:type="dxa"/>
            <w:noWrap w:val="0"/>
            <w:vAlign w:val="center"/>
          </w:tcPr>
          <w:p w14:paraId="61CBD419">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20</w:t>
            </w:r>
          </w:p>
        </w:tc>
        <w:tc>
          <w:tcPr>
            <w:tcW w:w="1800" w:type="dxa"/>
            <w:noWrap w:val="0"/>
            <w:vAlign w:val="center"/>
          </w:tcPr>
          <w:p w14:paraId="5EEAECC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是否允许分包</w:t>
            </w:r>
          </w:p>
        </w:tc>
        <w:tc>
          <w:tcPr>
            <w:tcW w:w="6682" w:type="dxa"/>
            <w:noWrap w:val="0"/>
            <w:vAlign w:val="center"/>
          </w:tcPr>
          <w:p w14:paraId="7399DC17">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color w:val="auto"/>
                <w:sz w:val="21"/>
                <w:szCs w:val="21"/>
                <w:highlight w:val="none"/>
              </w:rPr>
              <w:t>本项目</w:t>
            </w:r>
            <w:r>
              <w:rPr>
                <w:rFonts w:hint="eastAsia" w:ascii="宋体" w:hAnsi="宋体"/>
                <w:color w:val="auto"/>
                <w:sz w:val="21"/>
                <w:szCs w:val="21"/>
                <w:highlight w:val="none"/>
                <w:u w:val="single"/>
              </w:rPr>
              <w:t>不允许</w:t>
            </w:r>
            <w:r>
              <w:rPr>
                <w:rFonts w:hint="eastAsia" w:ascii="宋体" w:hAnsi="宋体"/>
                <w:color w:val="auto"/>
                <w:sz w:val="21"/>
                <w:szCs w:val="21"/>
                <w:highlight w:val="none"/>
              </w:rPr>
              <w:t>分包</w:t>
            </w:r>
            <w:r>
              <w:rPr>
                <w:rFonts w:hint="eastAsia" w:ascii="宋体" w:hAnsi="宋体" w:eastAsia="宋体" w:cs="宋体"/>
                <w:color w:val="auto"/>
                <w:sz w:val="21"/>
                <w:highlight w:val="none"/>
              </w:rPr>
              <w:t>。</w:t>
            </w:r>
          </w:p>
        </w:tc>
      </w:tr>
      <w:tr w14:paraId="0DB36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48" w:type="dxa"/>
            <w:noWrap w:val="0"/>
            <w:vAlign w:val="center"/>
          </w:tcPr>
          <w:p w14:paraId="5212518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21</w:t>
            </w:r>
          </w:p>
        </w:tc>
        <w:tc>
          <w:tcPr>
            <w:tcW w:w="1800" w:type="dxa"/>
            <w:tcBorders>
              <w:top w:val="single" w:color="auto" w:sz="4" w:space="0"/>
            </w:tcBorders>
            <w:noWrap w:val="0"/>
            <w:vAlign w:val="center"/>
          </w:tcPr>
          <w:p w14:paraId="69F092A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是否提供样品</w:t>
            </w:r>
          </w:p>
        </w:tc>
        <w:tc>
          <w:tcPr>
            <w:tcW w:w="6682" w:type="dxa"/>
            <w:tcBorders>
              <w:top w:val="single" w:color="auto" w:sz="4" w:space="0"/>
            </w:tcBorders>
            <w:noWrap w:val="0"/>
            <w:vAlign w:val="center"/>
          </w:tcPr>
          <w:p w14:paraId="1DE534F3">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w:t>
            </w:r>
            <w:r>
              <w:rPr>
                <w:rFonts w:hint="eastAsia" w:ascii="宋体" w:hAnsi="宋体" w:eastAsia="宋体" w:cs="宋体"/>
                <w:color w:val="auto"/>
                <w:sz w:val="21"/>
                <w:highlight w:val="none"/>
                <w:u w:val="single"/>
              </w:rPr>
              <w:t>不需要</w:t>
            </w:r>
            <w:r>
              <w:rPr>
                <w:rFonts w:hint="eastAsia" w:ascii="宋体" w:hAnsi="宋体" w:eastAsia="宋体" w:cs="宋体"/>
                <w:color w:val="auto"/>
                <w:sz w:val="21"/>
                <w:highlight w:val="none"/>
              </w:rPr>
              <w:t>提供样品。</w:t>
            </w:r>
          </w:p>
        </w:tc>
      </w:tr>
      <w:tr w14:paraId="3C61CC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192DCAE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22</w:t>
            </w:r>
          </w:p>
        </w:tc>
        <w:tc>
          <w:tcPr>
            <w:tcW w:w="1800" w:type="dxa"/>
            <w:noWrap w:val="0"/>
            <w:vAlign w:val="center"/>
          </w:tcPr>
          <w:p w14:paraId="38C4886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是否提供演示</w:t>
            </w:r>
          </w:p>
        </w:tc>
        <w:tc>
          <w:tcPr>
            <w:tcW w:w="6682" w:type="dxa"/>
            <w:noWrap w:val="0"/>
            <w:vAlign w:val="center"/>
          </w:tcPr>
          <w:p w14:paraId="7F3E2783">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w:t>
            </w:r>
            <w:r>
              <w:rPr>
                <w:rFonts w:hint="eastAsia" w:ascii="宋体" w:hAnsi="宋体" w:eastAsia="宋体" w:cs="宋体"/>
                <w:color w:val="auto"/>
                <w:sz w:val="21"/>
                <w:highlight w:val="none"/>
                <w:u w:val="single"/>
              </w:rPr>
              <w:t>需要</w:t>
            </w:r>
            <w:r>
              <w:rPr>
                <w:rFonts w:hint="eastAsia" w:ascii="宋体" w:hAnsi="宋体" w:eastAsia="宋体" w:cs="宋体"/>
                <w:color w:val="auto"/>
                <w:sz w:val="21"/>
                <w:highlight w:val="none"/>
              </w:rPr>
              <w:t>提供演示。</w:t>
            </w:r>
          </w:p>
          <w:p w14:paraId="68F74B95">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（备注：1.将演示内容做视频放入U盘中，U盘作为技术文件组成部分，单独密封在密封袋中（快递袋不能作为密封袋）；</w:t>
            </w:r>
          </w:p>
          <w:p w14:paraId="0110C30F">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2.视频要求：</w:t>
            </w:r>
          </w:p>
          <w:p w14:paraId="3DAC19BC">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格式为常规视频格式，电脑录屏，播放时间不得超过</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分钟，密封袋内U盘表面及演示视频内容不得显示投标单位名称或做其他特殊标识使专家提前获知投标供应商信息；</w:t>
            </w:r>
          </w:p>
          <w:p w14:paraId="1F77427E">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3．封皮要求：</w:t>
            </w:r>
          </w:p>
          <w:p w14:paraId="0241581B">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在封皮上标注：“项目名称、采购编号”等内容并且标注“演示视频、202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分开标，此时间以前不得开封”等字样；</w:t>
            </w:r>
          </w:p>
          <w:p w14:paraId="60F0BC1E">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4．递交时间：</w:t>
            </w:r>
          </w:p>
          <w:p w14:paraId="75513EBE">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在投标截止时间前递交至具体收件地址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绍兴市上虞区颖泰大厦7楼（浙江广正）</w:t>
            </w:r>
            <w:r>
              <w:rPr>
                <w:rFonts w:hint="eastAsia" w:ascii="宋体" w:hAnsi="宋体" w:eastAsia="宋体" w:cs="宋体"/>
                <w:color w:val="auto"/>
                <w:sz w:val="21"/>
                <w:szCs w:val="21"/>
                <w:highlight w:val="none"/>
              </w:rPr>
              <w:t>，具体收件人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王</w:t>
            </w:r>
            <w:r>
              <w:rPr>
                <w:rFonts w:hint="eastAsia" w:ascii="宋体" w:hAnsi="宋体" w:eastAsia="宋体" w:cs="宋体"/>
                <w:color w:val="auto"/>
                <w:sz w:val="21"/>
                <w:szCs w:val="21"/>
                <w:highlight w:val="none"/>
              </w:rPr>
              <w:t>先生（收），联系号码：</w:t>
            </w:r>
            <w:r>
              <w:rPr>
                <w:rFonts w:hint="eastAsia" w:ascii="宋体" w:hAnsi="宋体" w:eastAsia="宋体" w:cs="宋体"/>
                <w:color w:val="auto"/>
                <w:sz w:val="21"/>
                <w:szCs w:val="21"/>
                <w:highlight w:val="none"/>
                <w:lang w:val="en-US" w:eastAsia="zh-CN"/>
              </w:rPr>
              <w:t>13484381976</w:t>
            </w:r>
            <w:r>
              <w:rPr>
                <w:rFonts w:hint="eastAsia" w:ascii="宋体" w:hAnsi="宋体" w:eastAsia="宋体" w:cs="宋体"/>
                <w:color w:val="auto"/>
                <w:sz w:val="21"/>
                <w:szCs w:val="21"/>
                <w:highlight w:val="none"/>
              </w:rPr>
              <w:t>；</w:t>
            </w:r>
          </w:p>
          <w:p w14:paraId="04D3A4A6">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快递袋内另附纸注明：“项目名称、采购编号、投标供应商名称、项目负责人、联系方式”等内容，并加盖公章。若不符合演示视频文件包装要求，代理机构将据此联系投标供应商。因未附纸导致代理机构无法及时联系投标供应商补正修改的，责任由供应商自负；</w:t>
            </w:r>
          </w:p>
          <w:p w14:paraId="0621A993">
            <w:pPr>
              <w:pStyle w:val="3"/>
              <w:keepLines w:val="0"/>
              <w:suppressLineNumbers w:val="0"/>
              <w:spacing w:before="0" w:beforeAutospacing="0" w:after="0" w:afterAutospacing="0"/>
              <w:ind w:left="0" w:right="0"/>
              <w:rPr>
                <w:rFonts w:hint="default" w:ascii="宋体" w:hAnsi="宋体" w:eastAsia="宋体" w:cs="宋体"/>
                <w:color w:val="auto"/>
                <w:sz w:val="28"/>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特别提醒：建议合理安排邮寄时间，以顺丰邮件形式邮寄，显示签收后第一时间电话联系收件人，确保在投标截止时间前使采购代理机构确认签收，供应商应在快递单中备注项目名称，因未备注或邮寄途中造成的提前启封等情形的，责任由供应商自负；递交的演示文件在投标截止时间后启封，按登记顺序（匿名）由评审专家进行打分。</w:t>
            </w:r>
            <w:r>
              <w:rPr>
                <w:rFonts w:hint="eastAsia" w:ascii="宋体" w:hAnsi="宋体" w:eastAsia="宋体" w:cs="宋体"/>
                <w:color w:val="auto"/>
                <w:sz w:val="21"/>
                <w:szCs w:val="21"/>
                <w:highlight w:val="none"/>
                <w:lang w:eastAsia="zh-CN"/>
              </w:rPr>
              <w:t>）</w:t>
            </w:r>
          </w:p>
        </w:tc>
      </w:tr>
      <w:tr w14:paraId="70EE6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1C9ACA1">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23</w:t>
            </w:r>
          </w:p>
        </w:tc>
        <w:tc>
          <w:tcPr>
            <w:tcW w:w="1800" w:type="dxa"/>
            <w:noWrap w:val="0"/>
            <w:vAlign w:val="center"/>
          </w:tcPr>
          <w:p w14:paraId="0E0A4FC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投标人信用信息查询渠道及截止时点、信用信息查询记录和证据留存的具体方式、信用信息的使用规则</w:t>
            </w:r>
          </w:p>
        </w:tc>
        <w:tc>
          <w:tcPr>
            <w:tcW w:w="6682" w:type="dxa"/>
            <w:noWrap w:val="0"/>
            <w:vAlign w:val="center"/>
          </w:tcPr>
          <w:p w14:paraId="4955BA15">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1、查询渠道：信用中国（网址：http://www.creditchina.gov.cn）、中国政府采购网（网址：http://www.ccgp.gov.cn）。</w:t>
            </w:r>
          </w:p>
          <w:p w14:paraId="6E020C1F">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2、截止时点：开标后评标前。</w:t>
            </w:r>
          </w:p>
          <w:p w14:paraId="74EF11FA">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3、信用信息查询记录和证据留存的具体方式：由采购组织机构在规定查询时间内打印信用信息查询记录并归入项目档案。</w:t>
            </w:r>
          </w:p>
          <w:p w14:paraId="2A71201C">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4、使用规则：对列入失信被执行人、重大税收违法案件当事人名单、政府采购严重违法失信行为记录名单及其他不符合《虞国资委〔2021〕42 号》第十八条规定条件的供应商，将被拒绝其参与采购活动。</w:t>
            </w:r>
          </w:p>
        </w:tc>
      </w:tr>
      <w:tr w14:paraId="7308D9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14:paraId="3939416B">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24</w:t>
            </w:r>
          </w:p>
        </w:tc>
        <w:tc>
          <w:tcPr>
            <w:tcW w:w="1800" w:type="dxa"/>
            <w:noWrap w:val="0"/>
            <w:vAlign w:val="center"/>
          </w:tcPr>
          <w:p w14:paraId="4700B9B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其他</w:t>
            </w:r>
          </w:p>
        </w:tc>
        <w:tc>
          <w:tcPr>
            <w:tcW w:w="6682" w:type="dxa"/>
            <w:noWrap w:val="0"/>
            <w:vAlign w:val="center"/>
          </w:tcPr>
          <w:p w14:paraId="248AA6B0">
            <w:pPr>
              <w:keepNext w:val="0"/>
              <w:keepLines w:val="0"/>
              <w:numPr>
                <w:ilvl w:val="0"/>
                <w:numId w:val="6"/>
              </w:numPr>
              <w:suppressLineNumbers w:val="0"/>
              <w:spacing w:before="0" w:beforeAutospacing="0" w:after="0" w:afterAutospacing="0"/>
              <w:ind w:left="0" w:right="0"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本招标文件要求提供的身份证复印件皆需提供正反面，否则按不提供处理。</w:t>
            </w:r>
          </w:p>
          <w:p w14:paraId="46D04EFD">
            <w:pPr>
              <w:pStyle w:val="3"/>
              <w:keepLines w:val="0"/>
              <w:suppressLineNumbers w:val="0"/>
              <w:spacing w:before="0" w:beforeAutospacing="0" w:after="0" w:afterAutospacing="0"/>
              <w:ind w:left="0" w:right="0"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2、本项目货物如涉及柴油动力移动源，柴油动力移动源应当符合低排放要求。</w:t>
            </w:r>
          </w:p>
        </w:tc>
      </w:tr>
    </w:tbl>
    <w:p w14:paraId="00405915">
      <w:pPr>
        <w:pStyle w:val="23"/>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注：以上内容如有变化将另行通知。如通知其中某一内容发生变化，其余未提及的将不作变动。</w:t>
      </w:r>
    </w:p>
    <w:p w14:paraId="176894E2">
      <w:pPr>
        <w:pStyle w:val="23"/>
        <w:spacing w:before="0"/>
        <w:ind w:firstLine="420"/>
        <w:rPr>
          <w:rFonts w:hint="eastAsia" w:ascii="宋体" w:hAnsi="宋体" w:eastAsia="宋体" w:cs="宋体"/>
          <w:color w:val="auto"/>
          <w:sz w:val="21"/>
          <w:szCs w:val="21"/>
          <w:highlight w:val="none"/>
        </w:rPr>
      </w:pPr>
    </w:p>
    <w:p w14:paraId="0502BB97">
      <w:pPr>
        <w:snapToGrid w:val="0"/>
        <w:spacing w:line="360" w:lineRule="auto"/>
        <w:jc w:val="center"/>
        <w:outlineLvl w:val="1"/>
        <w:rPr>
          <w:rFonts w:hint="eastAsia" w:ascii="宋体" w:hAnsi="宋体" w:eastAsia="宋体" w:cs="宋体"/>
          <w:b/>
          <w:color w:val="auto"/>
          <w:sz w:val="32"/>
          <w:highlight w:val="none"/>
        </w:rPr>
      </w:pPr>
      <w:bookmarkStart w:id="14" w:name="_Toc20147"/>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一、总则</w:t>
      </w:r>
      <w:bookmarkEnd w:id="9"/>
      <w:bookmarkEnd w:id="14"/>
    </w:p>
    <w:p w14:paraId="6D1E503A">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15" w:name="_Hlt74714665"/>
      <w:bookmarkEnd w:id="15"/>
      <w:bookmarkStart w:id="16" w:name="_Hlt74730295"/>
      <w:bookmarkEnd w:id="16"/>
      <w:bookmarkStart w:id="17" w:name="_Toc91899872"/>
      <w:bookmarkStart w:id="18" w:name="_Hlt74730208"/>
      <w:bookmarkStart w:id="19" w:name="_Hlt74730112"/>
      <w:r>
        <w:rPr>
          <w:rFonts w:hint="eastAsia" w:ascii="宋体" w:hAnsi="宋体" w:eastAsia="宋体" w:cs="宋体"/>
          <w:b/>
          <w:color w:val="auto"/>
          <w:sz w:val="24"/>
          <w:szCs w:val="24"/>
          <w:highlight w:val="none"/>
        </w:rPr>
        <w:t>项目说明</w:t>
      </w:r>
      <w:bookmarkEnd w:id="17"/>
    </w:p>
    <w:bookmarkEnd w:id="18"/>
    <w:bookmarkEnd w:id="19"/>
    <w:p w14:paraId="28E9EEBB">
      <w:pPr>
        <w:pStyle w:val="23"/>
        <w:numPr>
          <w:ilvl w:val="0"/>
          <w:numId w:val="8"/>
        </w:numPr>
        <w:tabs>
          <w:tab w:val="left" w:pos="0"/>
        </w:tabs>
        <w:spacing w:before="0"/>
        <w:ind w:firstLine="480"/>
        <w:rPr>
          <w:rFonts w:hint="eastAsia" w:ascii="宋体" w:hAnsi="宋体" w:eastAsia="宋体" w:cs="宋体"/>
          <w:color w:val="auto"/>
          <w:szCs w:val="24"/>
          <w:highlight w:val="none"/>
        </w:rPr>
      </w:pPr>
      <w:bookmarkStart w:id="20" w:name="_Hlt75236290"/>
      <w:bookmarkEnd w:id="20"/>
      <w:bookmarkStart w:id="21" w:name="_Hlt68072990"/>
      <w:bookmarkEnd w:id="21"/>
      <w:bookmarkStart w:id="22" w:name="_Hlt74707468"/>
      <w:bookmarkEnd w:id="22"/>
      <w:bookmarkStart w:id="23" w:name="_Hlt68057669"/>
      <w:bookmarkEnd w:id="23"/>
      <w:bookmarkStart w:id="24" w:name="_Hlt74729768"/>
      <w:bookmarkEnd w:id="24"/>
      <w:bookmarkStart w:id="25" w:name="_Toc91899879"/>
      <w:r>
        <w:rPr>
          <w:rFonts w:hint="eastAsia" w:ascii="宋体" w:hAnsi="宋体" w:eastAsia="宋体" w:cs="宋体"/>
          <w:color w:val="auto"/>
          <w:szCs w:val="24"/>
          <w:highlight w:val="none"/>
        </w:rPr>
        <w:t>项目说明见前附表所述。投标人一旦参与本次招标活动，即被视为接受了本招标文件的所有内容，如有任何异议，均已在法定时间内提出。</w:t>
      </w:r>
    </w:p>
    <w:p w14:paraId="7A966AD2">
      <w:pPr>
        <w:pStyle w:val="23"/>
        <w:numPr>
          <w:ilvl w:val="0"/>
          <w:numId w:val="8"/>
        </w:numPr>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须对所投方案、技术、服务等拥有合法的占有和处置权，并对涉及项目的所有内容可能的侵权行为指控负责，保证不损害采购人的利益。在法律范围内，如果出现文字、图片、商标和技术等侵权行为而造成的纠纷和产生的一切费用，采购人概不负责，由此给采购人造成损失的，</w:t>
      </w:r>
      <w:r>
        <w:rPr>
          <w:rFonts w:hint="eastAsia" w:ascii="宋体" w:hAnsi="宋体" w:eastAsia="宋体" w:cs="宋体"/>
          <w:color w:val="auto"/>
          <w:szCs w:val="24"/>
          <w:highlight w:val="none"/>
          <w:lang w:val="zh-CN"/>
        </w:rPr>
        <w:t>供应商</w:t>
      </w:r>
      <w:r>
        <w:rPr>
          <w:rFonts w:hint="eastAsia" w:ascii="宋体" w:hAnsi="宋体" w:eastAsia="宋体" w:cs="宋体"/>
          <w:color w:val="auto"/>
          <w:szCs w:val="24"/>
          <w:highlight w:val="none"/>
        </w:rPr>
        <w:t>应承担相应后果，</w:t>
      </w:r>
      <w:r>
        <w:rPr>
          <w:rFonts w:hint="eastAsia" w:ascii="宋体" w:hAnsi="宋体" w:eastAsia="宋体" w:cs="宋体"/>
          <w:color w:val="auto"/>
          <w:szCs w:val="24"/>
          <w:highlight w:val="none"/>
          <w:lang w:val="zh-CN"/>
        </w:rPr>
        <w:t>并负责赔偿。</w:t>
      </w:r>
      <w:r>
        <w:rPr>
          <w:rFonts w:hint="eastAsia" w:ascii="宋体" w:hAnsi="宋体" w:eastAsia="宋体" w:cs="宋体"/>
          <w:color w:val="auto"/>
          <w:szCs w:val="24"/>
          <w:highlight w:val="none"/>
        </w:rPr>
        <w:t>供应商为执行本项目合同而提供的技术资料等归采购人所有。</w:t>
      </w:r>
    </w:p>
    <w:p w14:paraId="0D7381F4">
      <w:pPr>
        <w:snapToGrid w:val="0"/>
        <w:spacing w:line="440" w:lineRule="exact"/>
        <w:ind w:firstLine="480" w:firstLineChars="200"/>
        <w:jc w:val="left"/>
        <w:rPr>
          <w:rFonts w:hint="eastAsia" w:ascii="宋体" w:hAnsi="宋体" w:eastAsia="宋体" w:cs="宋体"/>
          <w:color w:val="auto"/>
          <w:sz w:val="24"/>
          <w:highlight w:val="none"/>
        </w:rPr>
      </w:pPr>
      <w:bookmarkStart w:id="26" w:name="_Toc91899873"/>
      <w:r>
        <w:rPr>
          <w:rFonts w:hint="eastAsia" w:ascii="宋体" w:hAnsi="宋体" w:eastAsia="宋体" w:cs="宋体"/>
          <w:color w:val="auto"/>
          <w:sz w:val="24"/>
          <w:highlight w:val="none"/>
        </w:rPr>
        <w:t>1.3本招标文件所称公章是指单位法定名称章或者冠以单位法定名称的电子公章。</w:t>
      </w:r>
    </w:p>
    <w:p w14:paraId="68826EA0">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1.4公开招标数额标准以上的采购项目，投标截止后投标人不足3家或者通过资格审查或符合性审查的投标人不足3家的，除采购任务取消情形外，按照以下方式处理：</w:t>
      </w:r>
    </w:p>
    <w:p w14:paraId="74697848">
      <w:pPr>
        <w:pStyle w:val="23"/>
        <w:numPr>
          <w:ilvl w:val="0"/>
          <w:numId w:val="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招标文件存在不合理条款或者招标程序不符合规定的，采购人、采购代理机构改正后依法重新招标；</w:t>
      </w:r>
    </w:p>
    <w:p w14:paraId="3E49AE04">
      <w:pPr>
        <w:pStyle w:val="23"/>
        <w:numPr>
          <w:ilvl w:val="0"/>
          <w:numId w:val="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招标文件没有不合理条款、招标程序符合规定，需要采用其他采购方式采购的，采购人应当依法报财政部门批准。</w:t>
      </w:r>
    </w:p>
    <w:p w14:paraId="14D5E4F7">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采购方式</w:t>
      </w:r>
      <w:bookmarkEnd w:id="26"/>
    </w:p>
    <w:p w14:paraId="35BA4329">
      <w:pPr>
        <w:tabs>
          <w:tab w:val="left" w:pos="37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Start w:id="27" w:name="_Hlt74388212"/>
      <w:bookmarkEnd w:id="27"/>
      <w:bookmarkStart w:id="28" w:name="_Hlt68516771"/>
      <w:bookmarkEnd w:id="28"/>
    </w:p>
    <w:p w14:paraId="3CE026CB">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29" w:name="_Toc91899877"/>
      <w:bookmarkStart w:id="30" w:name="_Hlt74730303"/>
      <w:r>
        <w:rPr>
          <w:rFonts w:hint="eastAsia" w:ascii="宋体" w:hAnsi="宋体" w:eastAsia="宋体" w:cs="宋体"/>
          <w:b/>
          <w:color w:val="auto"/>
          <w:sz w:val="24"/>
          <w:szCs w:val="24"/>
          <w:highlight w:val="none"/>
        </w:rPr>
        <w:t>投标费用</w:t>
      </w:r>
      <w:bookmarkEnd w:id="29"/>
    </w:p>
    <w:bookmarkEnd w:id="30"/>
    <w:p w14:paraId="25BD8038">
      <w:pPr>
        <w:autoSpaceDE w:val="0"/>
        <w:autoSpaceDN w:val="0"/>
        <w:spacing w:line="360" w:lineRule="auto"/>
        <w:ind w:firstLine="523" w:firstLineChars="21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投标人需自行承担涉及投标的一切费用（招标文件有其他相反规定除外）。</w:t>
      </w:r>
    </w:p>
    <w:p w14:paraId="3E65D382">
      <w:pPr>
        <w:spacing w:line="360" w:lineRule="auto"/>
        <w:jc w:val="center"/>
        <w:rPr>
          <w:rFonts w:hint="eastAsia" w:ascii="宋体" w:hAnsi="宋体" w:eastAsia="宋体" w:cs="宋体"/>
          <w:b/>
          <w:color w:val="auto"/>
          <w:sz w:val="24"/>
          <w:highlight w:val="none"/>
        </w:rPr>
      </w:pPr>
    </w:p>
    <w:p w14:paraId="0EF62F5A">
      <w:pPr>
        <w:snapToGrid w:val="0"/>
        <w:spacing w:line="360" w:lineRule="auto"/>
        <w:jc w:val="center"/>
        <w:outlineLvl w:val="1"/>
        <w:rPr>
          <w:rFonts w:hint="eastAsia" w:ascii="宋体" w:hAnsi="宋体" w:eastAsia="宋体" w:cs="宋体"/>
          <w:b/>
          <w:color w:val="auto"/>
          <w:sz w:val="32"/>
          <w:highlight w:val="none"/>
        </w:rPr>
      </w:pPr>
      <w:bookmarkStart w:id="31" w:name="_Toc2304"/>
      <w:r>
        <w:rPr>
          <w:rFonts w:hint="eastAsia" w:ascii="宋体" w:hAnsi="宋体" w:eastAsia="宋体" w:cs="宋体"/>
          <w:b/>
          <w:color w:val="auto"/>
          <w:sz w:val="32"/>
          <w:highlight w:val="none"/>
        </w:rPr>
        <w:t>二、招标文件</w:t>
      </w:r>
      <w:bookmarkEnd w:id="25"/>
      <w:bookmarkEnd w:id="31"/>
    </w:p>
    <w:p w14:paraId="3FC7A230">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32" w:name="_Toc91899880"/>
      <w:bookmarkStart w:id="33" w:name="_Hlt74730307"/>
      <w:r>
        <w:rPr>
          <w:rFonts w:hint="eastAsia" w:ascii="宋体" w:hAnsi="宋体" w:eastAsia="宋体" w:cs="宋体"/>
          <w:b/>
          <w:color w:val="auto"/>
          <w:sz w:val="24"/>
          <w:szCs w:val="24"/>
          <w:highlight w:val="none"/>
        </w:rPr>
        <w:t>招标文件的构成</w:t>
      </w:r>
      <w:bookmarkEnd w:id="32"/>
    </w:p>
    <w:bookmarkEnd w:id="33"/>
    <w:p w14:paraId="4AAD2251">
      <w:pPr>
        <w:pStyle w:val="23"/>
        <w:numPr>
          <w:ilvl w:val="0"/>
          <w:numId w:val="10"/>
        </w:numPr>
        <w:spacing w:before="0"/>
        <w:ind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招标文件包括下列文件及附件</w:t>
      </w:r>
    </w:p>
    <w:p w14:paraId="2040351C">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第一部分 招标公告</w:t>
      </w:r>
    </w:p>
    <w:p w14:paraId="196BBBEE">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第二部分 投标须知</w:t>
      </w:r>
    </w:p>
    <w:p w14:paraId="4DF5D1C1">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第三部分 评标办法及评分标准</w:t>
      </w:r>
    </w:p>
    <w:p w14:paraId="5A99269E">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第四部分 采购需求</w:t>
      </w:r>
    </w:p>
    <w:p w14:paraId="54C6A651">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第五部分 采购合同的一般和特殊条款</w:t>
      </w:r>
    </w:p>
    <w:p w14:paraId="7E4C1D25">
      <w:pPr>
        <w:pStyle w:val="23"/>
        <w:numPr>
          <w:ilvl w:val="0"/>
          <w:numId w:val="11"/>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第六部分 应提交的有关格式范例</w:t>
      </w:r>
    </w:p>
    <w:p w14:paraId="081BADEF">
      <w:pPr>
        <w:pStyle w:val="23"/>
        <w:numPr>
          <w:ilvl w:val="0"/>
          <w:numId w:val="10"/>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14:paraId="7B2AE1C5">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招标文件的解释</w:t>
      </w:r>
    </w:p>
    <w:p w14:paraId="5393E534">
      <w:pPr>
        <w:pStyle w:val="23"/>
        <w:numPr>
          <w:ilvl w:val="0"/>
          <w:numId w:val="1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3818457B">
      <w:pPr>
        <w:pStyle w:val="23"/>
        <w:numPr>
          <w:ilvl w:val="0"/>
          <w:numId w:val="1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14:paraId="7C7A8B3A">
      <w:pPr>
        <w:pStyle w:val="23"/>
        <w:numPr>
          <w:ilvl w:val="0"/>
          <w:numId w:val="1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不论采购代理机构向投标人发送的资料文件，还是投标人提出的问题，均采用书面形式。</w:t>
      </w:r>
    </w:p>
    <w:p w14:paraId="33DB057E">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招标文件的修改、澄清</w:t>
      </w:r>
    </w:p>
    <w:p w14:paraId="367E8BF8">
      <w:pPr>
        <w:pStyle w:val="23"/>
        <w:numPr>
          <w:ilvl w:val="0"/>
          <w:numId w:val="1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7497F870">
      <w:pPr>
        <w:pStyle w:val="23"/>
        <w:numPr>
          <w:ilvl w:val="0"/>
          <w:numId w:val="1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对投标文件中含义不明、表述不一致或有明显计算错误等内容，评标委员会将对投标人进行询标，并要求投标人作电子澄清（询标由专家在</w:t>
      </w:r>
      <w:r>
        <w:rPr>
          <w:rFonts w:hint="eastAsia" w:ascii="宋体" w:hAnsi="宋体" w:eastAsia="宋体" w:cs="宋体"/>
          <w:color w:val="auto"/>
          <w:szCs w:val="24"/>
          <w:highlight w:val="none"/>
          <w:lang w:eastAsia="zh-CN"/>
        </w:rPr>
        <w:t>乐采</w:t>
      </w:r>
      <w:r>
        <w:rPr>
          <w:rFonts w:hint="eastAsia" w:ascii="宋体" w:hAnsi="宋体" w:eastAsia="宋体" w:cs="宋体"/>
          <w:color w:val="auto"/>
          <w:szCs w:val="24"/>
          <w:highlight w:val="none"/>
        </w:rPr>
        <w:t>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1701D644">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p>
    <w:p w14:paraId="455898DA">
      <w:pPr>
        <w:pStyle w:val="23"/>
        <w:numPr>
          <w:ilvl w:val="0"/>
          <w:numId w:val="14"/>
        </w:numPr>
        <w:tabs>
          <w:tab w:val="clear" w:pos="0"/>
        </w:tabs>
        <w:snapToGrid w:val="0"/>
        <w:spacing w:before="0"/>
        <w:ind w:left="0" w:firstLine="482"/>
        <w:rPr>
          <w:rFonts w:hint="eastAsia" w:ascii="宋体" w:hAnsi="宋体" w:eastAsia="宋体" w:cs="宋体"/>
          <w:b/>
          <w:color w:val="auto"/>
          <w:highlight w:val="none"/>
        </w:rPr>
      </w:pPr>
      <w:r>
        <w:rPr>
          <w:rFonts w:hint="eastAsia" w:ascii="宋体" w:hAnsi="宋体" w:eastAsia="宋体" w:cs="宋体"/>
          <w:b/>
          <w:color w:val="auto"/>
          <w:highlight w:val="none"/>
        </w:rPr>
        <w:t>投标报价统一为人民币计价，投标报价统一</w:t>
      </w:r>
      <w:r>
        <w:rPr>
          <w:rFonts w:hint="eastAsia" w:ascii="宋体" w:hAnsi="宋体" w:eastAsia="宋体" w:cs="宋体"/>
          <w:b/>
          <w:color w:val="auto"/>
          <w:highlight w:val="none"/>
          <w:lang w:val="en-US" w:eastAsia="zh-CN"/>
        </w:rPr>
        <w:t>包含但不限于</w:t>
      </w:r>
      <w:r>
        <w:rPr>
          <w:rFonts w:hint="eastAsia" w:ascii="宋体" w:hAnsi="宋体" w:eastAsia="宋体" w:cs="宋体"/>
          <w:b/>
          <w:color w:val="auto"/>
          <w:highlight w:val="none"/>
        </w:rPr>
        <w:t>人员工资（包括加班费、按规定缴纳的各类保险、福利、奖金</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过节费、高温费、伙食费、住宿费等）、前介费、</w:t>
      </w:r>
      <w:r>
        <w:rPr>
          <w:rFonts w:hint="eastAsia" w:ascii="宋体" w:hAnsi="宋体" w:eastAsia="宋体" w:cs="宋体"/>
          <w:b/>
          <w:color w:val="auto"/>
          <w:highlight w:val="none"/>
          <w:lang w:val="en-US" w:eastAsia="zh-CN"/>
        </w:rPr>
        <w:t>信息系统对接费、</w:t>
      </w:r>
      <w:r>
        <w:rPr>
          <w:rFonts w:hint="eastAsia" w:ascii="宋体" w:hAnsi="宋体" w:eastAsia="宋体" w:cs="宋体"/>
          <w:b/>
          <w:color w:val="auto"/>
          <w:highlight w:val="none"/>
        </w:rPr>
        <w:t>交接费、福利费、管理费用、税费、办公用品、维修工具、服装费、安保器材、垃圾分类、</w:t>
      </w:r>
      <w:r>
        <w:rPr>
          <w:rFonts w:hint="eastAsia" w:ascii="宋体" w:hAnsi="宋体" w:eastAsia="宋体" w:cs="宋体"/>
          <w:b/>
          <w:color w:val="auto"/>
          <w:highlight w:val="none"/>
          <w:lang w:val="en-US" w:eastAsia="zh-CN"/>
        </w:rPr>
        <w:t>社</w:t>
      </w:r>
      <w:r>
        <w:rPr>
          <w:rFonts w:hint="default" w:ascii="宋体" w:hAnsi="宋体" w:cs="宋体"/>
          <w:b/>
          <w:color w:val="auto"/>
          <w:highlight w:val="none"/>
          <w:lang w:eastAsia="zh-CN"/>
        </w:rPr>
        <w:t>群</w:t>
      </w:r>
      <w:r>
        <w:rPr>
          <w:rFonts w:hint="eastAsia" w:ascii="宋体" w:hAnsi="宋体" w:eastAsia="宋体" w:cs="宋体"/>
          <w:b/>
          <w:color w:val="auto"/>
          <w:highlight w:val="none"/>
          <w:lang w:val="en-US" w:eastAsia="zh-CN"/>
        </w:rPr>
        <w:t>活动费、</w:t>
      </w:r>
      <w:r>
        <w:rPr>
          <w:rFonts w:hint="default" w:ascii="宋体" w:hAnsi="宋体" w:cs="宋体"/>
          <w:b/>
          <w:color w:val="auto"/>
          <w:szCs w:val="21"/>
          <w:highlight w:val="none"/>
          <w:lang w:eastAsia="zh-CN"/>
        </w:rPr>
        <w:t>公区装饰（氛围提升）费</w:t>
      </w:r>
      <w:r>
        <w:rPr>
          <w:rFonts w:hint="eastAsia" w:ascii="宋体" w:hAnsi="宋体" w:eastAsia="宋体" w:cs="宋体"/>
          <w:b/>
          <w:color w:val="auto"/>
          <w:highlight w:val="none"/>
          <w:lang w:val="en-US" w:eastAsia="zh-CN"/>
        </w:rPr>
        <w:t>、系统使用费、公众责任险等保险费、</w:t>
      </w:r>
      <w:r>
        <w:rPr>
          <w:rFonts w:hint="eastAsia" w:ascii="宋体" w:hAnsi="宋体" w:eastAsia="宋体" w:cs="宋体"/>
          <w:b/>
          <w:color w:val="auto"/>
          <w:highlight w:val="none"/>
        </w:rPr>
        <w:t>保洁耗材（公共卫生间洗手液、擦手纸、卫生纸、灭“四害”药物、蚊香、垃圾袋等）、日常耗材（灯泡，灯具，电线，门锁，把手，锁芯，水龙头，生料带，胶布，玻璃胶，插座，三角阀，软管，开关，安全出口指示牌等）等所有材料及易耗品费用。其他合同中明示或暗示的所有一般风险、责任和义务等整个项目的总报价，如有漏项，视同已包含在本报价中。</w:t>
      </w:r>
    </w:p>
    <w:p w14:paraId="55C5CE16">
      <w:pPr>
        <w:pStyle w:val="23"/>
        <w:numPr>
          <w:ilvl w:val="0"/>
          <w:numId w:val="14"/>
        </w:numPr>
        <w:spacing w:before="0"/>
        <w:ind w:left="0"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其他费用处理</w:t>
      </w:r>
    </w:p>
    <w:p w14:paraId="7E5D4D16">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招标文件未列明，而投标人认为必需的费用也需列入报价。</w:t>
      </w:r>
    </w:p>
    <w:p w14:paraId="0B348318">
      <w:pPr>
        <w:pStyle w:val="23"/>
        <w:numPr>
          <w:ilvl w:val="0"/>
          <w:numId w:val="14"/>
        </w:numPr>
        <w:spacing w:before="0"/>
        <w:ind w:left="0"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投标货币</w:t>
      </w:r>
    </w:p>
    <w:p w14:paraId="3E36B593">
      <w:pPr>
        <w:pStyle w:val="2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投标文件中价格全部采用人民币报价。报价应是唯一的， 采购代理机构将不接受有选择的报价。</w:t>
      </w:r>
    </w:p>
    <w:p w14:paraId="18B965F9">
      <w:pPr>
        <w:pStyle w:val="7"/>
        <w:snapToGrid w:val="0"/>
        <w:ind w:firstLine="480" w:firstLineChars="200"/>
        <w:rPr>
          <w:rFonts w:hint="eastAsia" w:ascii="宋体" w:hAnsi="宋体" w:eastAsia="宋体" w:cs="宋体"/>
          <w:color w:val="auto"/>
          <w:szCs w:val="24"/>
          <w:highlight w:val="none"/>
        </w:rPr>
      </w:pPr>
    </w:p>
    <w:p w14:paraId="18985E5B">
      <w:pPr>
        <w:snapToGrid w:val="0"/>
        <w:spacing w:line="360" w:lineRule="auto"/>
        <w:jc w:val="center"/>
        <w:outlineLvl w:val="1"/>
        <w:rPr>
          <w:rFonts w:hint="eastAsia" w:ascii="宋体" w:hAnsi="宋体" w:eastAsia="宋体" w:cs="宋体"/>
          <w:b/>
          <w:color w:val="auto"/>
          <w:sz w:val="32"/>
          <w:highlight w:val="none"/>
        </w:rPr>
      </w:pPr>
      <w:bookmarkStart w:id="34" w:name="_Hlt75236011"/>
      <w:bookmarkEnd w:id="34"/>
      <w:bookmarkStart w:id="35" w:name="_Toc91899884"/>
      <w:bookmarkStart w:id="36" w:name="_Toc23869"/>
      <w:r>
        <w:rPr>
          <w:rFonts w:hint="eastAsia" w:ascii="宋体" w:hAnsi="宋体" w:eastAsia="宋体" w:cs="宋体"/>
          <w:b/>
          <w:color w:val="auto"/>
          <w:sz w:val="32"/>
          <w:highlight w:val="none"/>
        </w:rPr>
        <w:t>三、投标文件的编制</w:t>
      </w:r>
      <w:bookmarkEnd w:id="35"/>
      <w:bookmarkEnd w:id="36"/>
    </w:p>
    <w:p w14:paraId="48E31F90">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37" w:name="_Toc86216991"/>
      <w:bookmarkStart w:id="38" w:name="_Toc91899892"/>
      <w:r>
        <w:rPr>
          <w:rFonts w:hint="eastAsia" w:ascii="宋体" w:hAnsi="宋体" w:eastAsia="宋体" w:cs="宋体"/>
          <w:b/>
          <w:color w:val="auto"/>
          <w:sz w:val="24"/>
          <w:szCs w:val="24"/>
          <w:highlight w:val="none"/>
        </w:rPr>
        <w:t>投标文件的语言</w:t>
      </w:r>
    </w:p>
    <w:p w14:paraId="2BB48D5D">
      <w:pPr>
        <w:pStyle w:val="23"/>
        <w:tabs>
          <w:tab w:val="left" w:pos="0"/>
        </w:tabs>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投标文件及投标人与采购有关的来往通知、函件和文件均应使用中文。</w:t>
      </w:r>
    </w:p>
    <w:p w14:paraId="134C8837">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投标文件的组成</w:t>
      </w:r>
    </w:p>
    <w:p w14:paraId="1BF4B227">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投标文件应当包括以下主要内容：资格文件、技术文件、商务文件、报价文件。</w:t>
      </w:r>
    </w:p>
    <w:p w14:paraId="6E0EA6EF">
      <w:pPr>
        <w:pStyle w:val="23"/>
        <w:numPr>
          <w:ilvl w:val="0"/>
          <w:numId w:val="15"/>
        </w:numPr>
        <w:spacing w:before="0"/>
        <w:ind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资格文件包括以下内容：</w:t>
      </w:r>
    </w:p>
    <w:p w14:paraId="69469094">
      <w:pPr>
        <w:pStyle w:val="23"/>
        <w:numPr>
          <w:ilvl w:val="0"/>
          <w:numId w:val="1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056B60C7">
      <w:pPr>
        <w:pStyle w:val="23"/>
        <w:numPr>
          <w:ilvl w:val="0"/>
          <w:numId w:val="1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75E86A11">
      <w:pPr>
        <w:pStyle w:val="2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FC08DCF">
      <w:pPr>
        <w:pStyle w:val="23"/>
        <w:numPr>
          <w:ilvl w:val="0"/>
          <w:numId w:val="1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具有履行合同所必需的产品和专业技术能力的承诺函；</w:t>
      </w:r>
    </w:p>
    <w:p w14:paraId="71842B5B">
      <w:pPr>
        <w:pStyle w:val="23"/>
        <w:numPr>
          <w:ilvl w:val="0"/>
          <w:numId w:val="1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投标人承诺函（格式见附件）。</w:t>
      </w:r>
    </w:p>
    <w:p w14:paraId="07FFC182">
      <w:pPr>
        <w:pStyle w:val="23"/>
        <w:spacing w:before="0"/>
        <w:ind w:left="400" w:leftChars="20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9.2技术文件，本次招标需要投标人提供以下所列的技术文件</w:t>
      </w:r>
    </w:p>
    <w:p w14:paraId="1B4B857F">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评分对应表（格式见附件，主要用于评委对应评分内容）；</w:t>
      </w:r>
    </w:p>
    <w:p w14:paraId="4616B456">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投标项目明细清单（格式见附件）；</w:t>
      </w:r>
    </w:p>
    <w:p w14:paraId="5232B4AB">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技术响应及建议表（格式见附件）；</w:t>
      </w:r>
    </w:p>
    <w:p w14:paraId="384074CD">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项目运营重难点分析；</w:t>
      </w:r>
    </w:p>
    <w:p w14:paraId="51494BE2">
      <w:pPr>
        <w:pStyle w:val="23"/>
        <w:numPr>
          <w:ilvl w:val="0"/>
          <w:numId w:val="17"/>
        </w:numPr>
        <w:spacing w:before="0"/>
        <w:ind w:firstLine="480"/>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eastAsia="zh-CN" w:bidi="ar"/>
        </w:rPr>
        <w:t>社群活动</w:t>
      </w:r>
      <w:r>
        <w:rPr>
          <w:rFonts w:hint="eastAsia" w:ascii="宋体" w:hAnsi="宋体" w:eastAsia="宋体" w:cs="宋体"/>
          <w:color w:val="auto"/>
          <w:szCs w:val="24"/>
          <w:highlight w:val="none"/>
          <w:lang w:bidi="ar"/>
        </w:rPr>
        <w:t>方案</w:t>
      </w:r>
      <w:r>
        <w:rPr>
          <w:rFonts w:hint="eastAsia" w:ascii="宋体" w:hAnsi="宋体" w:eastAsia="宋体" w:cs="宋体"/>
          <w:color w:val="auto"/>
          <w:szCs w:val="24"/>
          <w:highlight w:val="none"/>
          <w:lang w:eastAsia="zh-CN" w:bidi="ar"/>
        </w:rPr>
        <w:t>；</w:t>
      </w:r>
    </w:p>
    <w:p w14:paraId="376D11F2">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lang w:bidi="ar"/>
        </w:rPr>
        <w:t>运营前期介入服务实施方案；</w:t>
      </w:r>
    </w:p>
    <w:p w14:paraId="3D3EC840">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运营管理实施方案</w:t>
      </w:r>
      <w:r>
        <w:rPr>
          <w:rFonts w:hint="eastAsia" w:ascii="宋体" w:hAnsi="宋体" w:eastAsia="宋体" w:cs="宋体"/>
          <w:color w:val="auto"/>
          <w:highlight w:val="none"/>
        </w:rPr>
        <w:t>；</w:t>
      </w:r>
    </w:p>
    <w:p w14:paraId="35E6952B">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物业管理实施方案；</w:t>
      </w:r>
    </w:p>
    <w:p w14:paraId="35E1C74F">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lang w:val="en-US" w:eastAsia="zh-CN"/>
        </w:rPr>
        <w:t>人员配置</w:t>
      </w:r>
      <w:r>
        <w:rPr>
          <w:rFonts w:hint="eastAsia" w:ascii="宋体" w:hAnsi="宋体" w:eastAsia="宋体" w:cs="宋体"/>
          <w:color w:val="auto"/>
          <w:highlight w:val="none"/>
          <w:lang w:eastAsia="zh-CN"/>
        </w:rPr>
        <w:t>；</w:t>
      </w:r>
    </w:p>
    <w:p w14:paraId="6E4A3212">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lang w:eastAsia="zh-CN"/>
        </w:rPr>
        <w:t>数字化服务</w:t>
      </w:r>
      <w:r>
        <w:rPr>
          <w:rFonts w:hint="eastAsia" w:ascii="宋体" w:hAnsi="宋体" w:eastAsia="宋体" w:cs="宋体"/>
          <w:color w:val="auto"/>
          <w:highlight w:val="none"/>
          <w:lang w:val="en-US" w:eastAsia="zh-CN"/>
        </w:rPr>
        <w:t>演示</w:t>
      </w:r>
      <w:r>
        <w:rPr>
          <w:rFonts w:hint="eastAsia" w:ascii="宋体" w:hAnsi="宋体" w:eastAsia="宋体" w:cs="宋体"/>
          <w:color w:val="auto"/>
          <w:highlight w:val="none"/>
        </w:rPr>
        <w:t>；</w:t>
      </w:r>
    </w:p>
    <w:p w14:paraId="43A56B10">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eastAsia="zh-CN"/>
        </w:rPr>
        <w:t>稳定员工队伍的措施；</w:t>
      </w:r>
    </w:p>
    <w:p w14:paraId="31C54459">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应急预案</w:t>
      </w:r>
      <w:r>
        <w:rPr>
          <w:rFonts w:hint="eastAsia" w:ascii="宋体" w:hAnsi="宋体" w:eastAsia="宋体" w:cs="宋体"/>
          <w:color w:val="auto"/>
          <w:szCs w:val="24"/>
          <w:highlight w:val="none"/>
          <w:lang w:eastAsia="zh-CN"/>
        </w:rPr>
        <w:t>；</w:t>
      </w:r>
    </w:p>
    <w:p w14:paraId="0BB58B2F">
      <w:pPr>
        <w:pStyle w:val="23"/>
        <w:numPr>
          <w:ilvl w:val="0"/>
          <w:numId w:val="17"/>
        </w:numPr>
        <w:spacing w:before="0"/>
        <w:ind w:firstLine="480"/>
        <w:rPr>
          <w:rFonts w:hint="eastAsia" w:ascii="宋体" w:hAnsi="宋体" w:eastAsia="宋体" w:cs="宋体"/>
          <w:color w:val="auto"/>
          <w:szCs w:val="24"/>
          <w:highlight w:val="none"/>
        </w:rPr>
      </w:pPr>
      <w:r>
        <w:rPr>
          <w:rFonts w:hint="eastAsia" w:ascii="宋体" w:hAnsi="宋体" w:cs="宋体"/>
          <w:color w:val="auto"/>
          <w:spacing w:val="-6"/>
          <w:sz w:val="24"/>
          <w:highlight w:val="none"/>
        </w:rPr>
        <w:t>增值服务</w:t>
      </w:r>
      <w:r>
        <w:rPr>
          <w:rFonts w:hint="eastAsia" w:ascii="宋体" w:hAnsi="宋体" w:cs="宋体"/>
          <w:color w:val="auto"/>
          <w:spacing w:val="-6"/>
          <w:sz w:val="24"/>
          <w:highlight w:val="none"/>
          <w:lang w:eastAsia="zh-CN"/>
        </w:rPr>
        <w:t>；</w:t>
      </w:r>
    </w:p>
    <w:p w14:paraId="461E0C90">
      <w:pPr>
        <w:pStyle w:val="23"/>
        <w:numPr>
          <w:ilvl w:val="0"/>
          <w:numId w:val="1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投标人认为需要的其他文件资料。</w:t>
      </w:r>
    </w:p>
    <w:p w14:paraId="6819601F">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7523BFD7">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如果本项目涉及软件采购，还需提供相关完整配置方案（软件名称、品牌、规格型号、数量、主要技术参数等），提供主要投标产品的技术参数证明材料（如官网截图、产品彩页、技术说明等），明确表示该项指标所涉及的软件是标准配置还是选择配置。</w:t>
      </w:r>
    </w:p>
    <w:p w14:paraId="4A787B39">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eastAsia="宋体" w:cs="宋体"/>
          <w:b/>
          <w:bCs/>
          <w:color w:val="auto"/>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3E3C2175">
      <w:pPr>
        <w:pStyle w:val="23"/>
        <w:tabs>
          <w:tab w:val="left" w:pos="0"/>
        </w:tabs>
        <w:spacing w:before="0"/>
        <w:ind w:left="400" w:leftChars="20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9.3商务文件，本次招标需要投标人提供以下项所列的商务文件：</w:t>
      </w:r>
    </w:p>
    <w:p w14:paraId="1BB34323">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供应商商务技术文件中资信分自评表（格式见附件）；</w:t>
      </w:r>
    </w:p>
    <w:p w14:paraId="76EB230D">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商务响应表（格式见附件）；</w:t>
      </w:r>
    </w:p>
    <w:p w14:paraId="70D80EA4">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业绩；</w:t>
      </w:r>
    </w:p>
    <w:p w14:paraId="4E0F1367">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荣誉</w:t>
      </w:r>
      <w:r>
        <w:rPr>
          <w:rFonts w:hint="eastAsia" w:ascii="宋体" w:hAnsi="宋体" w:eastAsia="宋体" w:cs="宋体"/>
          <w:color w:val="auto"/>
          <w:highlight w:val="none"/>
        </w:rPr>
        <w:t>；</w:t>
      </w:r>
    </w:p>
    <w:p w14:paraId="7E8D5794">
      <w:pPr>
        <w:pStyle w:val="23"/>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投标人认为需要的其他文件资料。</w:t>
      </w:r>
    </w:p>
    <w:p w14:paraId="39FB5D4D">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639E11CF">
      <w:pPr>
        <w:pStyle w:val="23"/>
        <w:tabs>
          <w:tab w:val="left" w:pos="0"/>
        </w:tabs>
        <w:spacing w:before="0"/>
        <w:ind w:left="400" w:leftChars="200" w:firstLine="0" w:firstLineChars="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9.4报价文件包括以下内容：</w:t>
      </w:r>
    </w:p>
    <w:p w14:paraId="28DF8725">
      <w:pPr>
        <w:pStyle w:val="23"/>
        <w:numPr>
          <w:ilvl w:val="0"/>
          <w:numId w:val="1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投标函（格式见附件）；</w:t>
      </w:r>
    </w:p>
    <w:p w14:paraId="37EC975E">
      <w:pPr>
        <w:pStyle w:val="23"/>
        <w:numPr>
          <w:ilvl w:val="0"/>
          <w:numId w:val="1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开标一览表（格式见附件）；</w:t>
      </w:r>
    </w:p>
    <w:p w14:paraId="5F9562FD">
      <w:pPr>
        <w:pStyle w:val="23"/>
        <w:numPr>
          <w:ilvl w:val="0"/>
          <w:numId w:val="1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投标报价明细表（格式见附件）。</w:t>
      </w:r>
    </w:p>
    <w:p w14:paraId="2E7BA733">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39" w:name="_Toc91899887"/>
      <w:r>
        <w:rPr>
          <w:rFonts w:hint="eastAsia" w:ascii="宋体" w:hAnsi="宋体" w:eastAsia="宋体" w:cs="宋体"/>
          <w:b/>
          <w:color w:val="auto"/>
          <w:sz w:val="24"/>
          <w:szCs w:val="24"/>
          <w:highlight w:val="none"/>
        </w:rPr>
        <w:t>投标有效期</w:t>
      </w:r>
    </w:p>
    <w:p w14:paraId="2A3E4370">
      <w:pPr>
        <w:pStyle w:val="23"/>
        <w:numPr>
          <w:ilvl w:val="0"/>
          <w:numId w:val="20"/>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投标文件未在投标截止时间前完成传输的或者未按时解密的，视为放弃投标；投标文件解密失败后未提供备份文件或者备份文件也出现异常情况无法进行评审的，亦视为放弃投标。</w:t>
      </w:r>
    </w:p>
    <w:p w14:paraId="42C296A7">
      <w:pPr>
        <w:pStyle w:val="23"/>
        <w:numPr>
          <w:ilvl w:val="0"/>
          <w:numId w:val="20"/>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投标文件上传后，自投标截止日期起，在前附表所列的投标有效期内有效。</w:t>
      </w:r>
    </w:p>
    <w:p w14:paraId="0505882F">
      <w:pPr>
        <w:pStyle w:val="23"/>
        <w:numPr>
          <w:ilvl w:val="0"/>
          <w:numId w:val="20"/>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在原定投标有效期满之前，如果出现特殊情况，采购代理机构可以以书面形式通知投标人延长投标有效期。</w:t>
      </w:r>
    </w:p>
    <w:p w14:paraId="5FE51F09">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投标人如有下列情况之一者列入不良行为记录：</w:t>
      </w:r>
    </w:p>
    <w:p w14:paraId="5F21CC21">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投标人在投标有效期内撤回投标的；</w:t>
      </w:r>
    </w:p>
    <w:p w14:paraId="1F388C3D">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中标人或中标候选人放弃中标或中标候选人资格的；</w:t>
      </w:r>
    </w:p>
    <w:p w14:paraId="3A467BF8">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擅自修改或拒绝接受已经确认的条款；</w:t>
      </w:r>
    </w:p>
    <w:p w14:paraId="4C846E7C">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中标人未按规定与采购人签订合同；</w:t>
      </w:r>
    </w:p>
    <w:p w14:paraId="2DF741A9">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未按规定提供履约保证金；</w:t>
      </w:r>
    </w:p>
    <w:p w14:paraId="2CE8BB40">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投标人采取提供虚假资料等不正当手段的；</w:t>
      </w:r>
    </w:p>
    <w:p w14:paraId="28369AE7">
      <w:pPr>
        <w:pStyle w:val="23"/>
        <w:numPr>
          <w:ilvl w:val="0"/>
          <w:numId w:val="21"/>
        </w:numPr>
        <w:spacing w:before="0" w:line="336"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投标人在投标过程中串通投标的。</w:t>
      </w:r>
    </w:p>
    <w:p w14:paraId="7FAEF113">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投标文件的编制和签署</w:t>
      </w:r>
    </w:p>
    <w:bookmarkEnd w:id="39"/>
    <w:p w14:paraId="30BC07CB">
      <w:pPr>
        <w:pStyle w:val="23"/>
        <w:numPr>
          <w:ilvl w:val="0"/>
          <w:numId w:val="2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按招标文件9.1条、9.2条、9.3条、9.4条要求提供的各种文件，投标文件分为资格文件、商务文件、技术文件和报价文件四部分。</w:t>
      </w:r>
    </w:p>
    <w:p w14:paraId="0AE4158D">
      <w:pPr>
        <w:pStyle w:val="23"/>
        <w:numPr>
          <w:ilvl w:val="0"/>
          <w:numId w:val="2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投标文件须按附件格式要求进行电子签章，投标人应写全称。（电子投标文件中所需加盖公章部分均应采用电子签章）。</w:t>
      </w:r>
    </w:p>
    <w:p w14:paraId="259A1E45">
      <w:pPr>
        <w:pStyle w:val="23"/>
        <w:numPr>
          <w:ilvl w:val="0"/>
          <w:numId w:val="22"/>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全套投标文件应无涂改和行间插字，除非这些删改是根据采购代理机构要求进行，或者是投标人造成的必须修改的错误。所修改处应由法定代表人或其授权代表签字盖章予以确认。</w:t>
      </w:r>
    </w:p>
    <w:p w14:paraId="20E16132">
      <w:pPr>
        <w:pStyle w:val="23"/>
        <w:numPr>
          <w:ilvl w:val="0"/>
          <w:numId w:val="22"/>
        </w:numPr>
        <w:spacing w:before="0"/>
        <w:ind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由于字迹模糊或表达不清引起的后果由投标人负责。</w:t>
      </w:r>
    </w:p>
    <w:p w14:paraId="5BE65904">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投标文件的形式</w:t>
      </w:r>
    </w:p>
    <w:p w14:paraId="50E39C17">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投标文件为电子投标文件，电子投标文件按“</w:t>
      </w:r>
      <w:r>
        <w:rPr>
          <w:rFonts w:hint="eastAsia" w:ascii="宋体" w:hAnsi="宋体" w:eastAsia="宋体" w:cs="宋体"/>
          <w:color w:val="auto"/>
          <w:sz w:val="24"/>
          <w:szCs w:val="21"/>
          <w:highlight w:val="none"/>
          <w:lang w:eastAsia="zh-CN"/>
        </w:rPr>
        <w:t>乐</w:t>
      </w:r>
      <w:r>
        <w:rPr>
          <w:rFonts w:hint="eastAsia" w:ascii="宋体" w:hAnsi="宋体" w:eastAsia="宋体" w:cs="宋体"/>
          <w:color w:val="auto"/>
          <w:sz w:val="24"/>
          <w:szCs w:val="21"/>
          <w:highlight w:val="none"/>
        </w:rPr>
        <w:t>采云供应商项目采购－电子招投标操作指南”及本招标文件要求制作、加密传输。</w:t>
      </w:r>
      <w:r>
        <w:rPr>
          <w:rFonts w:hint="eastAsia" w:ascii="宋体" w:hAnsi="宋体" w:eastAsia="宋体" w:cs="宋体"/>
          <w:color w:val="auto"/>
          <w:sz w:val="24"/>
          <w:highlight w:val="none"/>
        </w:rPr>
        <w:t xml:space="preserve"> </w:t>
      </w:r>
    </w:p>
    <w:p w14:paraId="37D6A93B">
      <w:pPr>
        <w:spacing w:line="360" w:lineRule="auto"/>
        <w:jc w:val="center"/>
        <w:rPr>
          <w:rFonts w:hint="eastAsia" w:ascii="宋体" w:hAnsi="宋体" w:eastAsia="宋体" w:cs="宋体"/>
          <w:b/>
          <w:color w:val="auto"/>
          <w:sz w:val="24"/>
          <w:highlight w:val="none"/>
        </w:rPr>
      </w:pPr>
    </w:p>
    <w:p w14:paraId="36FBA303">
      <w:pPr>
        <w:snapToGrid w:val="0"/>
        <w:spacing w:line="360" w:lineRule="auto"/>
        <w:jc w:val="center"/>
        <w:outlineLvl w:val="1"/>
        <w:rPr>
          <w:rFonts w:hint="eastAsia" w:ascii="宋体" w:hAnsi="宋体" w:eastAsia="宋体" w:cs="宋体"/>
          <w:b/>
          <w:color w:val="auto"/>
          <w:sz w:val="32"/>
          <w:highlight w:val="none"/>
        </w:rPr>
      </w:pPr>
      <w:bookmarkStart w:id="40" w:name="_Toc24393"/>
      <w:r>
        <w:rPr>
          <w:rFonts w:hint="eastAsia" w:ascii="宋体" w:hAnsi="宋体" w:eastAsia="宋体" w:cs="宋体"/>
          <w:b/>
          <w:color w:val="auto"/>
          <w:sz w:val="32"/>
          <w:highlight w:val="none"/>
        </w:rPr>
        <w:t>四、投标文件的递交</w:t>
      </w:r>
      <w:bookmarkEnd w:id="37"/>
      <w:bookmarkEnd w:id="40"/>
    </w:p>
    <w:bookmarkEnd w:id="38"/>
    <w:p w14:paraId="40B6F599">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41" w:name="_Toc164416483"/>
      <w:bookmarkStart w:id="42" w:name="第三部分"/>
      <w:r>
        <w:rPr>
          <w:rFonts w:hint="eastAsia" w:ascii="宋体" w:hAnsi="宋体" w:eastAsia="宋体" w:cs="宋体"/>
          <w:b/>
          <w:color w:val="auto"/>
          <w:sz w:val="24"/>
          <w:szCs w:val="24"/>
          <w:highlight w:val="none"/>
        </w:rPr>
        <w:t>投标截止期</w:t>
      </w:r>
    </w:p>
    <w:p w14:paraId="1FB785C2">
      <w:pPr>
        <w:pStyle w:val="23"/>
        <w:numPr>
          <w:ilvl w:val="0"/>
          <w:numId w:val="2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投标文件必须在规定的投标截止时间前在</w:t>
      </w:r>
      <w:r>
        <w:rPr>
          <w:rFonts w:hint="eastAsia" w:ascii="宋体" w:hAnsi="宋体" w:eastAsia="宋体" w:cs="宋体"/>
          <w:color w:val="auto"/>
          <w:highlight w:val="none"/>
          <w:lang w:eastAsia="zh-CN"/>
        </w:rPr>
        <w:t>乐</w:t>
      </w:r>
      <w:r>
        <w:rPr>
          <w:rFonts w:hint="eastAsia" w:ascii="宋体" w:hAnsi="宋体" w:eastAsia="宋体" w:cs="宋体"/>
          <w:color w:val="auto"/>
          <w:highlight w:val="none"/>
        </w:rPr>
        <w:t>采云系统内完成传输，以纸质、电报、电话、传真形式的投标概不接受。为应对投标文件解密失败等异常情况，投标人可指派授权代表在投标截止时间之前到达开标地点提交备份文件。</w:t>
      </w:r>
    </w:p>
    <w:p w14:paraId="5E7E762E">
      <w:pPr>
        <w:pStyle w:val="23"/>
        <w:numPr>
          <w:ilvl w:val="0"/>
          <w:numId w:val="23"/>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采购人因故推迟投标截止时间，将以公告形式通知。在这种情况下，采购人和投标人的权利和义务将受到新的截止时间的约束。</w:t>
      </w:r>
    </w:p>
    <w:p w14:paraId="49B639D4">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投标文件的修改、撤销</w:t>
      </w:r>
    </w:p>
    <w:p w14:paraId="48DE976D">
      <w:pPr>
        <w:pStyle w:val="9"/>
        <w:spacing w:line="360" w:lineRule="auto"/>
        <w:ind w:firstLine="480" w:firstLineChars="200"/>
        <w:rPr>
          <w:rFonts w:hint="eastAsia" w:ascii="宋体" w:hAnsi="宋体" w:eastAsia="宋体" w:cs="宋体"/>
          <w:color w:val="auto"/>
          <w:sz w:val="24"/>
          <w:highlight w:val="none"/>
        </w:rPr>
      </w:pPr>
      <w:bookmarkStart w:id="43" w:name="_Toc91899897"/>
      <w:r>
        <w:rPr>
          <w:rFonts w:hint="eastAsia" w:ascii="宋体" w:hAnsi="宋体" w:eastAsia="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1ADC0D1F">
      <w:pPr>
        <w:snapToGrid w:val="0"/>
        <w:spacing w:line="360" w:lineRule="auto"/>
        <w:jc w:val="center"/>
        <w:outlineLvl w:val="1"/>
        <w:rPr>
          <w:rFonts w:hint="eastAsia" w:ascii="宋体" w:hAnsi="宋体" w:eastAsia="宋体" w:cs="宋体"/>
          <w:b/>
          <w:color w:val="auto"/>
          <w:sz w:val="32"/>
          <w:highlight w:val="none"/>
        </w:rPr>
      </w:pPr>
      <w:bookmarkStart w:id="44" w:name="_Toc1101"/>
      <w:r>
        <w:rPr>
          <w:rFonts w:hint="eastAsia" w:ascii="宋体" w:hAnsi="宋体" w:eastAsia="宋体" w:cs="宋体"/>
          <w:b/>
          <w:color w:val="auto"/>
          <w:sz w:val="32"/>
          <w:highlight w:val="none"/>
        </w:rPr>
        <w:t>五、开标</w:t>
      </w:r>
      <w:bookmarkEnd w:id="43"/>
      <w:bookmarkEnd w:id="44"/>
    </w:p>
    <w:p w14:paraId="0A63BA26">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w:t>
      </w:r>
    </w:p>
    <w:p w14:paraId="20EAB475">
      <w:pPr>
        <w:pStyle w:val="9"/>
        <w:numPr>
          <w:ilvl w:val="0"/>
          <w:numId w:val="2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在投标截止时间前按规定提交投标文件的投标人在三家（含）以上的，由采购人或采购代理机构组织进行开标。</w:t>
      </w:r>
    </w:p>
    <w:p w14:paraId="1F4AE77A">
      <w:pPr>
        <w:widowControl w:val="0"/>
        <w:numPr>
          <w:ilvl w:val="0"/>
          <w:numId w:val="24"/>
        </w:numPr>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1"/>
          <w:highlight w:val="none"/>
          <w:lang w:val="en-US" w:eastAsia="zh-CN" w:bidi="ar-SA"/>
        </w:rPr>
        <w:t>投标人登录乐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ascii="宋体" w:hAnsi="宋体" w:eastAsia="宋体" w:cs="宋体"/>
          <w:color w:val="auto"/>
          <w:kern w:val="2"/>
          <w:sz w:val="24"/>
          <w:szCs w:val="24"/>
          <w:highlight w:val="none"/>
          <w:lang w:val="en-US" w:eastAsia="zh-CN" w:bidi="ar-SA"/>
        </w:rPr>
        <w:t>备份文件（后缀名为.bfbs）须存储在U盘中，与上传的电子投标文件一致，用信封进行密封并盖章，由授权代表在投标截止时间前递交至开标地点</w:t>
      </w:r>
      <w:r>
        <w:rPr>
          <w:rFonts w:hint="eastAsia" w:ascii="宋体" w:hAnsi="宋体" w:eastAsia="宋体" w:cs="宋体"/>
          <w:color w:val="auto"/>
          <w:sz w:val="24"/>
          <w:szCs w:val="24"/>
          <w:highlight w:val="none"/>
        </w:rPr>
        <w:t>。</w:t>
      </w:r>
    </w:p>
    <w:p w14:paraId="76706658">
      <w:pPr>
        <w:pStyle w:val="9"/>
        <w:numPr>
          <w:ilvl w:val="0"/>
          <w:numId w:val="2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采购人按招标文件规定的时间、地点公开开标。开标仪式由采购人或采购代理机构主持及有关人员参加。</w:t>
      </w:r>
    </w:p>
    <w:p w14:paraId="4D6518AB">
      <w:pPr>
        <w:pStyle w:val="23"/>
        <w:numPr>
          <w:ilvl w:val="0"/>
          <w:numId w:val="24"/>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14:paraId="2F1CF2F3">
      <w:pPr>
        <w:pStyle w:val="23"/>
        <w:numPr>
          <w:ilvl w:val="0"/>
          <w:numId w:val="24"/>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4C23CB71">
      <w:pPr>
        <w:spacing w:line="360" w:lineRule="auto"/>
        <w:jc w:val="center"/>
        <w:rPr>
          <w:rFonts w:hint="eastAsia" w:ascii="宋体" w:hAnsi="宋体" w:eastAsia="宋体" w:cs="宋体"/>
          <w:b/>
          <w:color w:val="auto"/>
          <w:sz w:val="24"/>
          <w:highlight w:val="none"/>
        </w:rPr>
      </w:pPr>
    </w:p>
    <w:p w14:paraId="2BE985C5">
      <w:pPr>
        <w:snapToGrid w:val="0"/>
        <w:spacing w:line="360" w:lineRule="auto"/>
        <w:jc w:val="center"/>
        <w:outlineLvl w:val="1"/>
        <w:rPr>
          <w:rFonts w:hint="eastAsia" w:ascii="宋体" w:hAnsi="宋体" w:eastAsia="宋体" w:cs="宋体"/>
          <w:b/>
          <w:color w:val="auto"/>
          <w:sz w:val="32"/>
          <w:highlight w:val="none"/>
        </w:rPr>
      </w:pPr>
      <w:bookmarkStart w:id="45" w:name="_Toc23932"/>
      <w:r>
        <w:rPr>
          <w:rFonts w:hint="eastAsia" w:ascii="宋体" w:hAnsi="宋体" w:eastAsia="宋体" w:cs="宋体"/>
          <w:b/>
          <w:color w:val="auto"/>
          <w:sz w:val="32"/>
          <w:highlight w:val="none"/>
        </w:rPr>
        <w:t>六、资格审查</w:t>
      </w:r>
      <w:bookmarkEnd w:id="45"/>
    </w:p>
    <w:p w14:paraId="107674AC">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w:t>
      </w:r>
    </w:p>
    <w:p w14:paraId="1A2BD7E5">
      <w:pPr>
        <w:pStyle w:val="23"/>
        <w:numPr>
          <w:ilvl w:val="0"/>
          <w:numId w:val="25"/>
        </w:numPr>
        <w:spacing w:before="0"/>
        <w:ind w:firstLine="480"/>
        <w:rPr>
          <w:rFonts w:hint="eastAsia" w:ascii="宋体" w:hAnsi="宋体" w:eastAsia="宋体" w:cs="宋体"/>
          <w:color w:val="auto"/>
          <w:szCs w:val="24"/>
          <w:highlight w:val="none"/>
        </w:rPr>
      </w:pPr>
      <w:bookmarkStart w:id="46" w:name="_Hlt75236101"/>
      <w:bookmarkEnd w:id="46"/>
      <w:bookmarkStart w:id="47" w:name="_Toc91899902"/>
      <w:r>
        <w:rPr>
          <w:rFonts w:hint="eastAsia" w:ascii="宋体" w:hAnsi="宋体" w:eastAsia="宋体" w:cs="宋体"/>
          <w:color w:val="auto"/>
          <w:szCs w:val="24"/>
          <w:highlight w:val="none"/>
        </w:rPr>
        <w:t>开标后，采购人或采购代理机构将依法对投标人的资格进行审查。</w:t>
      </w:r>
    </w:p>
    <w:p w14:paraId="53C580C8">
      <w:pPr>
        <w:pStyle w:val="23"/>
        <w:numPr>
          <w:ilvl w:val="0"/>
          <w:numId w:val="2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采购人或采购代理机构依据法律法规和招标文件的规定，对投标人的基本资格条件、特定资格条件进行审查。</w:t>
      </w:r>
    </w:p>
    <w:p w14:paraId="554F80E1">
      <w:pPr>
        <w:pStyle w:val="23"/>
        <w:numPr>
          <w:ilvl w:val="0"/>
          <w:numId w:val="2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或采购代理机构将通过“信用中国”网站（www.creditchina.gov.cn）、中国政府采购网（www.ccgp.gov.cn）渠道查询投标人开标后评标前的信用记录，经查询投标人列入失信被执行人名单、重大税收违法案件当事人名单、政府采购严重违法失信行为记录名单的，其投标无效。</w:t>
      </w:r>
    </w:p>
    <w:p w14:paraId="4CD123EC">
      <w:pPr>
        <w:pStyle w:val="23"/>
        <w:numPr>
          <w:ilvl w:val="0"/>
          <w:numId w:val="2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458F3B5A">
      <w:pPr>
        <w:spacing w:line="360" w:lineRule="auto"/>
        <w:jc w:val="center"/>
        <w:rPr>
          <w:rFonts w:hint="eastAsia" w:ascii="宋体" w:hAnsi="宋体" w:eastAsia="宋体" w:cs="宋体"/>
          <w:b/>
          <w:color w:val="auto"/>
          <w:sz w:val="24"/>
          <w:highlight w:val="none"/>
        </w:rPr>
      </w:pPr>
    </w:p>
    <w:p w14:paraId="6EA75F3C">
      <w:pPr>
        <w:snapToGrid w:val="0"/>
        <w:spacing w:line="360" w:lineRule="auto"/>
        <w:jc w:val="center"/>
        <w:outlineLvl w:val="1"/>
        <w:rPr>
          <w:rFonts w:hint="eastAsia" w:ascii="宋体" w:hAnsi="宋体" w:eastAsia="宋体" w:cs="宋体"/>
          <w:b/>
          <w:color w:val="auto"/>
          <w:sz w:val="32"/>
          <w:highlight w:val="none"/>
        </w:rPr>
      </w:pPr>
      <w:bookmarkStart w:id="48" w:name="_Toc23596"/>
      <w:r>
        <w:rPr>
          <w:rFonts w:hint="eastAsia" w:ascii="宋体" w:hAnsi="宋体" w:eastAsia="宋体" w:cs="宋体"/>
          <w:b/>
          <w:color w:val="auto"/>
          <w:sz w:val="32"/>
          <w:highlight w:val="none"/>
        </w:rPr>
        <w:t>七、评标</w:t>
      </w:r>
      <w:bookmarkEnd w:id="47"/>
      <w:bookmarkEnd w:id="48"/>
    </w:p>
    <w:p w14:paraId="222BCA4B">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bookmarkStart w:id="49" w:name="_Toc91899903"/>
      <w:r>
        <w:rPr>
          <w:rFonts w:hint="eastAsia" w:ascii="宋体" w:hAnsi="宋体" w:eastAsia="宋体" w:cs="宋体"/>
          <w:b/>
          <w:color w:val="auto"/>
          <w:sz w:val="24"/>
          <w:szCs w:val="24"/>
          <w:highlight w:val="none"/>
        </w:rPr>
        <w:t>评标原则</w:t>
      </w:r>
    </w:p>
    <w:p w14:paraId="65FC6641">
      <w:pPr>
        <w:pStyle w:val="23"/>
        <w:numPr>
          <w:ilvl w:val="0"/>
          <w:numId w:val="2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竞争优选；</w:t>
      </w:r>
    </w:p>
    <w:p w14:paraId="3136AEE2">
      <w:pPr>
        <w:pStyle w:val="23"/>
        <w:numPr>
          <w:ilvl w:val="0"/>
          <w:numId w:val="26"/>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坚持公开</w:t>
      </w:r>
      <w:r>
        <w:rPr>
          <w:rFonts w:hint="eastAsia" w:ascii="宋体" w:hAnsi="宋体" w:eastAsia="宋体" w:cs="宋体"/>
          <w:color w:val="auto"/>
          <w:szCs w:val="24"/>
          <w:highlight w:val="none"/>
        </w:rPr>
        <w:t>、公平、公正、科学合理</w:t>
      </w:r>
      <w:r>
        <w:rPr>
          <w:rFonts w:hint="eastAsia" w:ascii="宋体" w:hAnsi="宋体" w:eastAsia="宋体" w:cs="宋体"/>
          <w:color w:val="auto"/>
          <w:szCs w:val="24"/>
          <w:highlight w:val="none"/>
          <w:lang w:val="zh-CN"/>
        </w:rPr>
        <w:t>的原则；</w:t>
      </w:r>
    </w:p>
    <w:p w14:paraId="2E562248">
      <w:pPr>
        <w:pStyle w:val="23"/>
        <w:numPr>
          <w:ilvl w:val="0"/>
          <w:numId w:val="26"/>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价格合理，方案、产品先进可行；</w:t>
      </w:r>
    </w:p>
    <w:p w14:paraId="03A811FF">
      <w:pPr>
        <w:pStyle w:val="23"/>
        <w:numPr>
          <w:ilvl w:val="0"/>
          <w:numId w:val="26"/>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反对不正当竞争。</w:t>
      </w:r>
    </w:p>
    <w:p w14:paraId="16D0E1FF">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评标组织</w:t>
      </w:r>
    </w:p>
    <w:p w14:paraId="1DDE875D">
      <w:pPr>
        <w:pStyle w:val="23"/>
        <w:numPr>
          <w:ilvl w:val="0"/>
          <w:numId w:val="27"/>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评标委员会由采购人代表和评审专家组成，成员人数应当为</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人以上单数，其中评审专家不得少于成员总数的三分之二；</w:t>
      </w:r>
    </w:p>
    <w:p w14:paraId="57D40DE4">
      <w:pPr>
        <w:pStyle w:val="23"/>
        <w:numPr>
          <w:ilvl w:val="0"/>
          <w:numId w:val="27"/>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评标工作由评标委员会负责，并推选产生的组长主持；</w:t>
      </w:r>
    </w:p>
    <w:p w14:paraId="7ADE73B1">
      <w:pPr>
        <w:pStyle w:val="23"/>
        <w:numPr>
          <w:ilvl w:val="0"/>
          <w:numId w:val="27"/>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本次评标为在线评标。</w:t>
      </w:r>
    </w:p>
    <w:p w14:paraId="5DD67A8E">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w:t>
      </w:r>
    </w:p>
    <w:p w14:paraId="59C2C062">
      <w:pPr>
        <w:spacing w:line="360" w:lineRule="auto"/>
        <w:ind w:firstLine="467" w:firstLineChars="194"/>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本项目评标办法是综合评分法，具体评标内容及评分标准等详见招标文件第三部分。</w:t>
      </w:r>
    </w:p>
    <w:p w14:paraId="2CE34C42">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投标文件符合性审查</w:t>
      </w:r>
    </w:p>
    <w:p w14:paraId="41744C2B">
      <w:pPr>
        <w:pStyle w:val="23"/>
        <w:numPr>
          <w:ilvl w:val="0"/>
          <w:numId w:val="28"/>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14:paraId="088673DD">
      <w:pPr>
        <w:pStyle w:val="23"/>
        <w:numPr>
          <w:ilvl w:val="0"/>
          <w:numId w:val="28"/>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62C2AF84">
      <w:pPr>
        <w:pStyle w:val="23"/>
        <w:numPr>
          <w:ilvl w:val="0"/>
          <w:numId w:val="28"/>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14:paraId="4D1A9893">
      <w:pPr>
        <w:pStyle w:val="23"/>
        <w:numPr>
          <w:ilvl w:val="0"/>
          <w:numId w:val="28"/>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即按《评分标准》确定的标准，以经审查合格的投标文件进行资信、技术和商务评估，并综合进行比较与评价。参照《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025D72BE">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修正原则</w:t>
      </w:r>
    </w:p>
    <w:p w14:paraId="357B27F8">
      <w:pPr>
        <w:pStyle w:val="23"/>
        <w:spacing w:before="0"/>
        <w:ind w:left="400" w:leftChars="200"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投标文件报价出现前后不一致的，按照下列规定修正：</w:t>
      </w:r>
    </w:p>
    <w:p w14:paraId="0DE5A512">
      <w:pPr>
        <w:pStyle w:val="23"/>
        <w:numPr>
          <w:ilvl w:val="0"/>
          <w:numId w:val="29"/>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投标文件中投标（开标）一览表内容与投标文件中相应内容不一致的，以投标（开标）一览表为准；</w:t>
      </w:r>
    </w:p>
    <w:p w14:paraId="4E7614A7">
      <w:pPr>
        <w:pStyle w:val="23"/>
        <w:numPr>
          <w:ilvl w:val="0"/>
          <w:numId w:val="29"/>
        </w:numPr>
        <w:spacing w:before="0"/>
        <w:ind w:firstLine="480"/>
        <w:outlineLvl w:val="3"/>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大写金额和小写金额不一致的，以大写金额为准；</w:t>
      </w:r>
    </w:p>
    <w:p w14:paraId="71A0912E">
      <w:pPr>
        <w:pStyle w:val="23"/>
        <w:numPr>
          <w:ilvl w:val="0"/>
          <w:numId w:val="29"/>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单价金额小数点或者百分比有明显错位的，以投标（开标）一览表的总价为准，并修改单价；</w:t>
      </w:r>
    </w:p>
    <w:p w14:paraId="4B4A72F9">
      <w:pPr>
        <w:pStyle w:val="23"/>
        <w:numPr>
          <w:ilvl w:val="0"/>
          <w:numId w:val="29"/>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总价金额与按单价汇总金额不一致的，以单价金额计算结果为准。</w:t>
      </w:r>
    </w:p>
    <w:p w14:paraId="17152539">
      <w:pPr>
        <w:pStyle w:val="23"/>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同时出现两种以上不一致的，按照前款规定的顺序修正。修正后的报价按照财政部公布第87号令 《政府采购</w:t>
      </w:r>
      <w:r>
        <w:rPr>
          <w:rFonts w:hint="eastAsia" w:ascii="宋体" w:hAnsi="宋体" w:eastAsia="宋体" w:cs="宋体"/>
          <w:color w:val="auto"/>
          <w:szCs w:val="24"/>
          <w:highlight w:val="none"/>
        </w:rPr>
        <w:t>货物</w:t>
      </w:r>
      <w:r>
        <w:rPr>
          <w:rFonts w:hint="eastAsia" w:ascii="宋体" w:hAnsi="宋体" w:eastAsia="宋体" w:cs="宋体"/>
          <w:color w:val="auto"/>
          <w:szCs w:val="24"/>
          <w:highlight w:val="none"/>
          <w:lang w:val="zh-CN"/>
        </w:rPr>
        <w:t>和服务招标投标管理办法》第五十一条第二款的规定经投标人确认后产生约束力，投标人不确认的，其投标无效。</w:t>
      </w:r>
    </w:p>
    <w:p w14:paraId="35B94232">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投标文件的澄清</w:t>
      </w:r>
    </w:p>
    <w:p w14:paraId="005C53A9">
      <w:pPr>
        <w:pStyle w:val="23"/>
        <w:numPr>
          <w:ilvl w:val="0"/>
          <w:numId w:val="30"/>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审中因投标文件含义不明、表述不一致或有明显计算错误等内容需要供应商作出澄清、说明或者补正的，评标委员会和供应商应当通过乐采云平台交换数据电文，给予供应商提交澄清说明或补正的时间不少于半小时，供应商已经明确表示澄清说明或补正完毕的除外。</w:t>
      </w:r>
    </w:p>
    <w:p w14:paraId="33A25C8D">
      <w:pPr>
        <w:pStyle w:val="23"/>
        <w:numPr>
          <w:ilvl w:val="0"/>
          <w:numId w:val="30"/>
        </w:numPr>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供应商通过乐采云平台交换的数据电文必须进行电子签章。</w:t>
      </w:r>
    </w:p>
    <w:p w14:paraId="4C2C2346">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无效投标</w:t>
      </w:r>
    </w:p>
    <w:p w14:paraId="3311F0E6">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经过审查，凡不符合有关规定，不响应招标文件的实质性条款，存在以下重大偏离之一的，经评标委员会认定，将因未通过资格性或符合性审查而被作为无效投标处理：</w:t>
      </w:r>
    </w:p>
    <w:p w14:paraId="22525DEC">
      <w:pPr>
        <w:numPr>
          <w:ilvl w:val="0"/>
          <w:numId w:val="31"/>
        </w:numPr>
        <w:spacing w:line="336"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未按照招标文件规定要求签署、盖章的；</w:t>
      </w:r>
    </w:p>
    <w:p w14:paraId="3784F344">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《法定代表人授权书》填写不全、错误、未加盖投标人公章（公章和签字或盖章缺一不可）； </w:t>
      </w:r>
    </w:p>
    <w:p w14:paraId="517E6BAC">
      <w:pPr>
        <w:numPr>
          <w:ilvl w:val="0"/>
          <w:numId w:val="31"/>
        </w:numPr>
        <w:spacing w:line="336"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个体工商户的身份证明与营业执照不一致的；</w:t>
      </w:r>
    </w:p>
    <w:p w14:paraId="35C4B022">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投标文件中的投标函未加盖投标人的企业公章或填写不全的；</w:t>
      </w:r>
    </w:p>
    <w:p w14:paraId="5A0641E7">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报价一经涂改，未在涂改处加盖投标单位公章或者未经法定代表人或其授权代表签字或盖章的；</w:t>
      </w:r>
    </w:p>
    <w:p w14:paraId="7A8AECAD">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因未按规定的格式填写，内容不全或主要实质性内容字迹模糊辨认不清，经评标委员会认定为无法评审的；</w:t>
      </w:r>
    </w:p>
    <w:p w14:paraId="2482A66D">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出现同一标的物或本次招标产品（服务）内的主要产品（重要组成部分）出现技术、商务描述不一致或前后描述不一致，经评标委员会认定后为无法评审的；</w:t>
      </w:r>
    </w:p>
    <w:p w14:paraId="66F83584">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投标详细配置清单响应表不真实填写或弄虚作假的；改变招标文件提供的清单中的计量单位、工程数量；</w:t>
      </w:r>
    </w:p>
    <w:p w14:paraId="393F7A7C">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对招标产品技术规格未详细应答，致使其技术文件无法评审的；</w:t>
      </w:r>
    </w:p>
    <w:p w14:paraId="076AD5F9">
      <w:pPr>
        <w:numPr>
          <w:ilvl w:val="0"/>
          <w:numId w:val="31"/>
        </w:numPr>
        <w:spacing w:line="336"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投标文件有招标方不能接受的条件；</w:t>
      </w:r>
    </w:p>
    <w:p w14:paraId="10E1ABA5">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评标委员会认为投标人的报价明显低于其他通过符合性审查的投标人的报价，有可能影响产品质量或者不能诚信履约的，应当要求其在评标现场合理的时间内通过</w:t>
      </w:r>
      <w:r>
        <w:rPr>
          <w:rFonts w:hint="eastAsia" w:ascii="宋体" w:hAnsi="宋体" w:eastAsia="宋体" w:cs="宋体"/>
          <w:b/>
          <w:bCs/>
          <w:color w:val="auto"/>
          <w:sz w:val="24"/>
          <w:highlight w:val="none"/>
          <w:lang w:eastAsia="zh-CN"/>
        </w:rPr>
        <w:t>乐</w:t>
      </w:r>
      <w:r>
        <w:rPr>
          <w:rFonts w:hint="eastAsia" w:ascii="宋体" w:hAnsi="宋体" w:eastAsia="宋体" w:cs="宋体"/>
          <w:b/>
          <w:bCs/>
          <w:color w:val="auto"/>
          <w:sz w:val="24"/>
          <w:highlight w:val="none"/>
        </w:rPr>
        <w:t>采云平台提供线上说明，必要时提交相关证明材料</w:t>
      </w:r>
      <w:r>
        <w:rPr>
          <w:rFonts w:hint="eastAsia" w:eastAsia="宋体" w:cs="宋体"/>
          <w:b/>
          <w:bCs/>
          <w:color w:val="auto"/>
          <w:sz w:val="24"/>
          <w:highlight w:val="none"/>
          <w:lang w:eastAsia="zh-CN"/>
        </w:rPr>
        <w:t>；</w:t>
      </w:r>
    </w:p>
    <w:p w14:paraId="310CF31C">
      <w:pPr>
        <w:numPr>
          <w:ilvl w:val="0"/>
          <w:numId w:val="31"/>
        </w:numPr>
        <w:spacing w:line="336"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投标报价超过预算金额或最高限价的；</w:t>
      </w:r>
    </w:p>
    <w:p w14:paraId="1042727D">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投标文件“商务技术文件资料”部分中出现《开标一览表》或《投标报价明细表》相关内容的；</w:t>
      </w:r>
    </w:p>
    <w:p w14:paraId="34DEB5D0">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1"/>
          <w:highlight w:val="none"/>
        </w:rPr>
        <w:t>评标委员会认定有重大偏差或实质性不响应招标文件要求的，即“★”的关键性指标及技术参数要求负偏离或缺漏</w:t>
      </w:r>
      <w:r>
        <w:rPr>
          <w:rFonts w:hint="eastAsia" w:ascii="宋体" w:hAnsi="宋体" w:eastAsia="宋体" w:cs="宋体"/>
          <w:b/>
          <w:bCs/>
          <w:color w:val="auto"/>
          <w:sz w:val="24"/>
          <w:highlight w:val="none"/>
        </w:rPr>
        <w:t>；</w:t>
      </w:r>
    </w:p>
    <w:p w14:paraId="0425DE45">
      <w:pPr>
        <w:numPr>
          <w:ilvl w:val="0"/>
          <w:numId w:val="31"/>
        </w:numPr>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有下列情形之一的，视为投标人串通投标，其投标无效：</w:t>
      </w:r>
    </w:p>
    <w:p w14:paraId="7BABD560">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24.16.1不同投标人的投标文件由同一单位或者个人编制；</w:t>
      </w:r>
    </w:p>
    <w:p w14:paraId="707E595F">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24.16.2不同投标人委托同一单位或者个人办理投标事宜；</w:t>
      </w:r>
    </w:p>
    <w:p w14:paraId="38B50A11">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24.16.3不同投标人的投标文件载明的项目管理成员或者联系人员为同一人；</w:t>
      </w:r>
    </w:p>
    <w:p w14:paraId="4D248823">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24.16.4不同投标人的投标文件异常一致或者投标报价呈规律性差异；</w:t>
      </w:r>
    </w:p>
    <w:p w14:paraId="4D3B281F">
      <w:pPr>
        <w:tabs>
          <w:tab w:val="left" w:pos="0"/>
        </w:tabs>
        <w:spacing w:line="336"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24.16.5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7D048596">
      <w:pPr>
        <w:tabs>
          <w:tab w:val="left" w:pos="0"/>
        </w:tabs>
        <w:spacing w:line="360" w:lineRule="auto"/>
        <w:ind w:firstLine="482" w:firstLineChars="200"/>
        <w:outlineLvl w:val="3"/>
        <w:rPr>
          <w:rFonts w:hint="eastAsia" w:ascii="宋体" w:hAnsi="宋体" w:eastAsia="宋体" w:cs="宋体"/>
          <w:color w:val="auto"/>
          <w:highlight w:val="none"/>
        </w:rPr>
      </w:pPr>
      <w:r>
        <w:rPr>
          <w:rFonts w:hint="eastAsia" w:ascii="宋体" w:hAnsi="宋体" w:eastAsia="宋体" w:cs="宋体"/>
          <w:b/>
          <w:color w:val="auto"/>
          <w:sz w:val="24"/>
          <w:szCs w:val="21"/>
          <w:highlight w:val="none"/>
        </w:rPr>
        <w:t>24.17</w:t>
      </w:r>
      <w:r>
        <w:rPr>
          <w:rFonts w:hint="eastAsia" w:ascii="宋体" w:hAnsi="宋体" w:eastAsia="宋体" w:cs="宋体"/>
          <w:b/>
          <w:bCs/>
          <w:color w:val="auto"/>
          <w:sz w:val="24"/>
          <w:szCs w:val="32"/>
          <w:highlight w:val="none"/>
        </w:rPr>
        <w:t>其他违反法律法规的情形。</w:t>
      </w:r>
    </w:p>
    <w:p w14:paraId="18D06C86">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废标</w:t>
      </w:r>
    </w:p>
    <w:p w14:paraId="3347BBA5">
      <w:pPr>
        <w:spacing w:line="360" w:lineRule="auto"/>
        <w:ind w:firstLine="480" w:firstLineChars="200"/>
        <w:rPr>
          <w:rFonts w:hint="eastAsia" w:ascii="宋体" w:hAnsi="宋体" w:eastAsia="宋体" w:cs="宋体"/>
          <w:color w:val="auto"/>
          <w:sz w:val="24"/>
          <w:szCs w:val="21"/>
          <w:highlight w:val="none"/>
        </w:rPr>
      </w:pPr>
      <w:r>
        <w:rPr>
          <w:rFonts w:hint="eastAsia" w:eastAsia="宋体" w:cs="宋体"/>
          <w:color w:val="auto"/>
          <w:sz w:val="24"/>
          <w:szCs w:val="21"/>
          <w:highlight w:val="none"/>
          <w:lang w:eastAsia="zh-CN"/>
        </w:rPr>
        <w:t>参照</w:t>
      </w:r>
      <w:r>
        <w:rPr>
          <w:rFonts w:hint="eastAsia" w:ascii="宋体" w:hAnsi="宋体" w:eastAsia="宋体" w:cs="宋体"/>
          <w:color w:val="auto"/>
          <w:sz w:val="24"/>
          <w:szCs w:val="21"/>
          <w:highlight w:val="none"/>
        </w:rPr>
        <w:t>《上虞区区属国有企业货物和服务采购管理办法》第四十二条之规定，在公开招标采购中，出现下列情形之一的，应予终止采购程序或废标：</w:t>
      </w:r>
    </w:p>
    <w:p w14:paraId="112AD35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25.1 符合专业条件的供应商或者对采购文件做实质响应的供应商不足 3 家；</w:t>
      </w:r>
    </w:p>
    <w:p w14:paraId="107E3BF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25.2 出现影响采购公正的违法、违规行为的；</w:t>
      </w:r>
    </w:p>
    <w:p w14:paraId="30CF7763">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25.3 投标人的报价均超过了采购预算；</w:t>
      </w:r>
    </w:p>
    <w:p w14:paraId="6E1B5687">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25.4 因重大变故，采购任务取消的。</w:t>
      </w:r>
    </w:p>
    <w:p w14:paraId="7A1E65E2">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废标后，采购代理机构应当将废标理由通知所有投标人。</w:t>
      </w:r>
    </w:p>
    <w:p w14:paraId="66071562">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color w:val="auto"/>
          <w:sz w:val="24"/>
          <w:szCs w:val="24"/>
          <w:highlight w:val="none"/>
        </w:rPr>
        <w:t>重新组织采购</w:t>
      </w:r>
    </w:p>
    <w:p w14:paraId="6F7B73B8">
      <w:pPr>
        <w:pStyle w:val="23"/>
        <w:tabs>
          <w:tab w:val="left" w:pos="0"/>
        </w:tabs>
        <w:spacing w:before="0"/>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26.1</w:t>
      </w:r>
      <w:r>
        <w:rPr>
          <w:rFonts w:hint="eastAsia" w:ascii="宋体" w:hAnsi="宋体" w:eastAsia="宋体" w:cs="宋体"/>
          <w:color w:val="auto"/>
          <w:szCs w:val="24"/>
          <w:highlight w:val="none"/>
          <w:lang w:val="zh-CN"/>
        </w:rPr>
        <w:t>采购过程中出现以下情形，导致电子交易平台无法正常运行，或者无法保证电子交易的公平、公正和安全时，采购组织机构可中止电子交易活动：</w:t>
      </w:r>
    </w:p>
    <w:p w14:paraId="380CBAAD">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电子交易平台发生故障而无法登录访问的； </w:t>
      </w:r>
    </w:p>
    <w:p w14:paraId="32CF0027">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电子交易平台应用或数据库出现错误，不能进行正常操作的；</w:t>
      </w:r>
    </w:p>
    <w:p w14:paraId="5DD1293F">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电子交易平台发现严重安全漏洞，有潜在泄密危险的；</w:t>
      </w:r>
    </w:p>
    <w:p w14:paraId="228F76D1">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病毒发作导致不能进行正常操作的； </w:t>
      </w:r>
    </w:p>
    <w:p w14:paraId="0AD4ABBC">
      <w:pPr>
        <w:numPr>
          <w:ilvl w:val="0"/>
          <w:numId w:val="32"/>
        </w:numPr>
        <w:tabs>
          <w:tab w:val="left" w:pos="0"/>
        </w:tabs>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其他无法保证电子交易的公平、公正和安全的情况。</w:t>
      </w:r>
    </w:p>
    <w:p w14:paraId="53BE2936">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3E8E2F">
      <w:pPr>
        <w:pStyle w:val="9"/>
        <w:numPr>
          <w:ilvl w:val="0"/>
          <w:numId w:val="7"/>
        </w:numPr>
        <w:spacing w:line="360" w:lineRule="auto"/>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保密及其他注意事项</w:t>
      </w:r>
    </w:p>
    <w:p w14:paraId="13671947">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评标是招标工作的重要环节，评标工作由评标委员会独立进行。评标委员会将遵照评标原则，公正、平等地对待所有投标人；</w:t>
      </w:r>
    </w:p>
    <w:p w14:paraId="64ED91D3">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14:paraId="1BA31BF6">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为保证定标的公正性，在评标过程中，评委不得与投标人私下交换意见。在招标工作结束后，凡与评标情况有接触的任何人，不得也不应将评标情况扩散出评委人员之外；</w:t>
      </w:r>
    </w:p>
    <w:p w14:paraId="3C8F5C18">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投标人相互之间，或与采购人相互不得串通投标，不得排挤其他投标人的公平竞争，损害采购人或者其他投标人的合法权益；</w:t>
      </w:r>
    </w:p>
    <w:p w14:paraId="77656E97">
      <w:pPr>
        <w:pStyle w:val="23"/>
        <w:numPr>
          <w:ilvl w:val="0"/>
          <w:numId w:val="33"/>
        </w:numPr>
        <w:spacing w:before="0"/>
        <w:ind w:firstLine="480"/>
        <w:outlineLvl w:val="3"/>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评标委员会不向投标人解释未中标的原因；</w:t>
      </w:r>
    </w:p>
    <w:p w14:paraId="6457422D">
      <w:pPr>
        <w:pStyle w:val="23"/>
        <w:numPr>
          <w:ilvl w:val="0"/>
          <w:numId w:val="33"/>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特别说明：</w:t>
      </w:r>
      <w:r>
        <w:rPr>
          <w:rFonts w:hint="eastAsia" w:ascii="宋体" w:hAnsi="宋体" w:eastAsia="宋体" w:cs="宋体"/>
          <w:color w:val="auto"/>
          <w:szCs w:val="24"/>
          <w:highlight w:val="none"/>
          <w:lang w:eastAsia="zh-CN"/>
        </w:rPr>
        <w:t>乐</w:t>
      </w:r>
      <w:r>
        <w:rPr>
          <w:rFonts w:hint="eastAsia" w:ascii="宋体" w:hAnsi="宋体" w:eastAsia="宋体" w:cs="宋体"/>
          <w:color w:val="auto"/>
          <w:szCs w:val="24"/>
          <w:highlight w:val="none"/>
        </w:rPr>
        <w:t>采云公司如对电子化开标及评审程序有调整的，按调整后的程序操作。</w:t>
      </w:r>
    </w:p>
    <w:p w14:paraId="54448CFD">
      <w:pPr>
        <w:spacing w:line="360" w:lineRule="auto"/>
        <w:ind w:firstLine="420"/>
        <w:jc w:val="center"/>
        <w:rPr>
          <w:rFonts w:hint="eastAsia" w:ascii="宋体" w:hAnsi="宋体" w:eastAsia="宋体" w:cs="宋体"/>
          <w:b/>
          <w:color w:val="auto"/>
          <w:sz w:val="24"/>
          <w:highlight w:val="none"/>
        </w:rPr>
      </w:pPr>
    </w:p>
    <w:p w14:paraId="7E0D1BB7">
      <w:pPr>
        <w:snapToGrid w:val="0"/>
        <w:spacing w:line="360" w:lineRule="auto"/>
        <w:jc w:val="center"/>
        <w:outlineLvl w:val="1"/>
        <w:rPr>
          <w:rFonts w:hint="eastAsia" w:ascii="宋体" w:hAnsi="宋体" w:eastAsia="宋体" w:cs="宋体"/>
          <w:b/>
          <w:color w:val="auto"/>
          <w:sz w:val="32"/>
          <w:highlight w:val="none"/>
        </w:rPr>
      </w:pPr>
      <w:bookmarkStart w:id="50" w:name="_Toc22678"/>
      <w:bookmarkStart w:id="51" w:name="_Toc19547"/>
      <w:r>
        <w:rPr>
          <w:rFonts w:hint="eastAsia" w:ascii="宋体" w:hAnsi="宋体" w:eastAsia="宋体" w:cs="宋体"/>
          <w:b/>
          <w:color w:val="auto"/>
          <w:sz w:val="32"/>
          <w:highlight w:val="none"/>
        </w:rPr>
        <w:t>八、定 标</w:t>
      </w:r>
      <w:bookmarkEnd w:id="50"/>
      <w:bookmarkEnd w:id="51"/>
    </w:p>
    <w:p w14:paraId="16094EE2">
      <w:pPr>
        <w:pStyle w:val="23"/>
        <w:tabs>
          <w:tab w:val="left" w:pos="0"/>
        </w:tabs>
        <w:spacing w:before="0"/>
        <w:ind w:firstLine="480"/>
        <w:rPr>
          <w:rFonts w:hint="eastAsia" w:ascii="宋体" w:hAnsi="宋体" w:eastAsia="宋体" w:cs="宋体"/>
          <w:color w:val="auto"/>
          <w:szCs w:val="24"/>
          <w:highlight w:val="none"/>
        </w:rPr>
      </w:pPr>
      <w:bookmarkStart w:id="52" w:name="_Toc15760"/>
      <w:r>
        <w:rPr>
          <w:rFonts w:hint="eastAsia" w:ascii="宋体" w:hAnsi="宋体" w:eastAsia="宋体" w:cs="宋体"/>
          <w:color w:val="auto"/>
          <w:szCs w:val="24"/>
          <w:highlight w:val="none"/>
        </w:rPr>
        <w:t>28.1</w:t>
      </w:r>
      <w:bookmarkEnd w:id="52"/>
      <w:r>
        <w:rPr>
          <w:rFonts w:hint="eastAsia" w:ascii="宋体" w:hAnsi="宋体" w:eastAsia="宋体" w:cs="宋体"/>
          <w:color w:val="auto"/>
          <w:szCs w:val="24"/>
          <w:highlight w:val="none"/>
        </w:rPr>
        <w:t>项目由评标委员会根据第三章《评标办法与评分标准》规定提出中标候选人排序。</w:t>
      </w:r>
    </w:p>
    <w:p w14:paraId="02C6C320">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28.2采购代理机构应当在评标结束后2个工作日内将评标报告送采购人。</w:t>
      </w:r>
    </w:p>
    <w:p w14:paraId="5874ADA1">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71DE48D3">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r>
        <w:rPr>
          <w:rFonts w:hint="eastAsia" w:eastAsia="宋体" w:cs="宋体"/>
          <w:color w:val="auto"/>
          <w:szCs w:val="24"/>
          <w:highlight w:val="none"/>
          <w:lang w:eastAsia="zh-CN"/>
        </w:rPr>
        <w:t>。</w:t>
      </w:r>
    </w:p>
    <w:p w14:paraId="15C6F865">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28.5中标人应携带介绍信自行前往采购代理机构领取中标通知书。</w:t>
      </w:r>
    </w:p>
    <w:p w14:paraId="01D8FD50">
      <w:pPr>
        <w:spacing w:line="360" w:lineRule="auto"/>
        <w:ind w:firstLine="480" w:firstLineChars="200"/>
        <w:rPr>
          <w:rFonts w:hint="eastAsia" w:ascii="宋体" w:hAnsi="宋体" w:eastAsia="宋体" w:cs="宋体"/>
          <w:color w:val="auto"/>
          <w:sz w:val="24"/>
          <w:szCs w:val="32"/>
          <w:highlight w:val="none"/>
        </w:rPr>
      </w:pPr>
      <w:bookmarkStart w:id="53" w:name="_Toc27357"/>
      <w:bookmarkStart w:id="54" w:name="_Toc23365"/>
      <w:r>
        <w:rPr>
          <w:rFonts w:hint="eastAsia" w:ascii="宋体" w:hAnsi="宋体" w:eastAsia="宋体" w:cs="宋体"/>
          <w:color w:val="auto"/>
          <w:sz w:val="24"/>
          <w:szCs w:val="32"/>
          <w:highlight w:val="none"/>
        </w:rPr>
        <w:t>28.6</w:t>
      </w:r>
      <w:bookmarkEnd w:id="53"/>
      <w:bookmarkEnd w:id="54"/>
      <w:r>
        <w:rPr>
          <w:rFonts w:hint="eastAsia" w:ascii="宋体" w:hAnsi="宋体" w:eastAsia="宋体" w:cs="宋体"/>
          <w:color w:val="auto"/>
          <w:sz w:val="24"/>
          <w:highlight w:val="none"/>
        </w:rPr>
        <w:t>中标通知书发出后，采购人不得违法改变中标结果，中标人无正当理由不得放弃中标。中标人无正当理由放弃中标的，不得参加对该项目重新开展的采购活动，采购人及采购人主管部门保留对其依法追究责任的权利。</w:t>
      </w:r>
    </w:p>
    <w:p w14:paraId="40E5E972">
      <w:pPr>
        <w:snapToGrid w:val="0"/>
        <w:spacing w:line="360" w:lineRule="auto"/>
        <w:jc w:val="center"/>
        <w:rPr>
          <w:rFonts w:hint="eastAsia" w:ascii="宋体" w:hAnsi="宋体" w:eastAsia="宋体" w:cs="宋体"/>
          <w:b/>
          <w:color w:val="auto"/>
          <w:sz w:val="32"/>
          <w:highlight w:val="none"/>
        </w:rPr>
      </w:pPr>
    </w:p>
    <w:p w14:paraId="1CD893D3">
      <w:pPr>
        <w:snapToGrid w:val="0"/>
        <w:spacing w:line="360" w:lineRule="auto"/>
        <w:jc w:val="center"/>
        <w:outlineLvl w:val="1"/>
        <w:rPr>
          <w:rFonts w:hint="eastAsia" w:ascii="宋体" w:hAnsi="宋体" w:eastAsia="宋体" w:cs="宋体"/>
          <w:b/>
          <w:color w:val="auto"/>
          <w:sz w:val="32"/>
          <w:highlight w:val="none"/>
        </w:rPr>
      </w:pPr>
      <w:bookmarkStart w:id="55" w:name="_Toc29782"/>
      <w:r>
        <w:rPr>
          <w:rFonts w:hint="eastAsia" w:ascii="宋体" w:hAnsi="宋体" w:eastAsia="宋体" w:cs="宋体"/>
          <w:b/>
          <w:color w:val="auto"/>
          <w:sz w:val="32"/>
          <w:highlight w:val="none"/>
        </w:rPr>
        <w:t>九、合同签订及其他</w:t>
      </w:r>
      <w:bookmarkEnd w:id="55"/>
    </w:p>
    <w:p w14:paraId="72B05C67">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14:paraId="0D8A626A">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 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14:paraId="563D7372">
      <w:pPr>
        <w:pStyle w:val="9"/>
        <w:spacing w:line="360" w:lineRule="auto"/>
        <w:ind w:left="400" w:left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30.履约保证金</w:t>
      </w:r>
    </w:p>
    <w:p w14:paraId="1FD21CD7">
      <w:pPr>
        <w:pStyle w:val="9"/>
        <w:snapToGrid w:val="0"/>
        <w:spacing w:after="62" w:afterLines="20" w:line="312"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中标人在收到中标通知书后，需向采购人提供合同总价</w:t>
      </w:r>
      <w:r>
        <w:rPr>
          <w:rFonts w:hint="eastAsia" w:ascii="宋体" w:hAnsi="宋体" w:eastAsia="宋体" w:cs="宋体"/>
          <w:b/>
          <w:bCs/>
          <w:color w:val="auto"/>
          <w:sz w:val="24"/>
          <w:szCs w:val="24"/>
          <w:highlight w:val="none"/>
          <w:u w:val="single"/>
        </w:rPr>
        <w:t>　1　</w:t>
      </w:r>
      <w:r>
        <w:rPr>
          <w:rFonts w:hint="eastAsia" w:ascii="宋体" w:hAnsi="宋体" w:eastAsia="宋体" w:cs="宋体"/>
          <w:b/>
          <w:bCs/>
          <w:color w:val="auto"/>
          <w:sz w:val="24"/>
          <w:szCs w:val="24"/>
          <w:highlight w:val="none"/>
        </w:rPr>
        <w:t>%的履约保证金，在中标人与采购人签订合同前递交。（投标人应当以支票、汇票、本票或者金融机构、保险公司、担保机构出具的保函等非现金形式提交）</w:t>
      </w:r>
      <w:r>
        <w:rPr>
          <w:rFonts w:hint="eastAsia" w:hAnsi="宋体" w:eastAsia="宋体" w:cs="宋体"/>
          <w:b/>
          <w:bCs/>
          <w:color w:val="auto"/>
          <w:sz w:val="24"/>
          <w:szCs w:val="24"/>
          <w:highlight w:val="none"/>
          <w:lang w:eastAsia="zh-CN"/>
        </w:rPr>
        <w:t>。</w:t>
      </w:r>
    </w:p>
    <w:p w14:paraId="7E58631B">
      <w:pPr>
        <w:pStyle w:val="8"/>
        <w:adjustRightInd w:val="0"/>
        <w:snapToGrid w:val="0"/>
        <w:spacing w:after="0" w:line="360"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履约保证金在项目验收合格后无息返还</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采用保函形式的，在验收合格后且无异议情况下自动解除</w:t>
      </w:r>
      <w:r>
        <w:rPr>
          <w:rFonts w:hint="eastAsia" w:ascii="宋体" w:hAnsi="宋体" w:eastAsia="宋体" w:cs="宋体"/>
          <w:b/>
          <w:bCs/>
          <w:color w:val="auto"/>
          <w:sz w:val="24"/>
          <w:highlight w:val="none"/>
          <w:lang w:eastAsia="zh-CN"/>
        </w:rPr>
        <w:t>）</w:t>
      </w:r>
      <w:r>
        <w:rPr>
          <w:rFonts w:hint="eastAsia" w:eastAsia="宋体" w:cs="宋体"/>
          <w:b/>
          <w:bCs/>
          <w:color w:val="auto"/>
          <w:sz w:val="24"/>
          <w:highlight w:val="none"/>
          <w:lang w:eastAsia="zh-CN"/>
        </w:rPr>
        <w:t>。</w:t>
      </w:r>
    </w:p>
    <w:p w14:paraId="575A13C0">
      <w:pPr>
        <w:pStyle w:val="9"/>
        <w:spacing w:line="360" w:lineRule="auto"/>
        <w:ind w:left="400" w:left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31.验收</w:t>
      </w:r>
    </w:p>
    <w:p w14:paraId="409AAD05">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9D4DC5">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14:paraId="4C6575BA">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31.3采购人负责加强对中标人的履约管理，并按照采购合同约定，及时向中标人支付采购资金。对于中标人违反采购合同约定的行为，采购人应当及时处理，依法追究其违约责任。</w:t>
      </w:r>
    </w:p>
    <w:p w14:paraId="0009A52A">
      <w:pPr>
        <w:pStyle w:val="9"/>
        <w:spacing w:line="360" w:lineRule="auto"/>
        <w:ind w:left="400" w:left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32.货款结算方式</w:t>
      </w:r>
    </w:p>
    <w:p w14:paraId="669E7F64">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付款方式：采购人与中标人依照招标文件规定的付款方式进行项目款项的支付。</w:t>
      </w:r>
    </w:p>
    <w:p w14:paraId="48158AFC">
      <w:pPr>
        <w:pStyle w:val="9"/>
        <w:spacing w:line="360" w:lineRule="auto"/>
        <w:ind w:left="400" w:left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33.售后服务考核</w:t>
      </w:r>
    </w:p>
    <w:p w14:paraId="7311D752">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采购代理机构将配合采购人主管部门不定期对合同的履约情况进行检查，发现弄虚作假，偷工减料，以次充好，达不到国家、行业有关标准和技术文件规定的，一经查实，由有关职能部门给予相应处罚。</w:t>
      </w:r>
    </w:p>
    <w:p w14:paraId="502C0A5A">
      <w:pPr>
        <w:spacing w:line="360" w:lineRule="auto"/>
        <w:jc w:val="center"/>
        <w:rPr>
          <w:rFonts w:hint="eastAsia" w:ascii="宋体" w:hAnsi="宋体" w:eastAsia="宋体" w:cs="宋体"/>
          <w:b/>
          <w:color w:val="auto"/>
          <w:sz w:val="24"/>
          <w:highlight w:val="none"/>
        </w:rPr>
      </w:pPr>
    </w:p>
    <w:p w14:paraId="121B2815">
      <w:pPr>
        <w:snapToGrid w:val="0"/>
        <w:spacing w:line="360" w:lineRule="auto"/>
        <w:jc w:val="center"/>
        <w:outlineLvl w:val="1"/>
        <w:rPr>
          <w:rFonts w:hint="eastAsia" w:ascii="宋体" w:hAnsi="宋体" w:eastAsia="宋体" w:cs="宋体"/>
          <w:b/>
          <w:color w:val="auto"/>
          <w:sz w:val="32"/>
          <w:highlight w:val="none"/>
        </w:rPr>
      </w:pPr>
      <w:bookmarkStart w:id="56" w:name="_Toc10926"/>
      <w:bookmarkStart w:id="57" w:name="_Toc16080"/>
      <w:r>
        <w:rPr>
          <w:rFonts w:hint="eastAsia" w:ascii="宋体" w:hAnsi="宋体" w:eastAsia="宋体" w:cs="宋体"/>
          <w:b/>
          <w:color w:val="auto"/>
          <w:sz w:val="32"/>
          <w:highlight w:val="none"/>
        </w:rPr>
        <w:t>十、质疑与投诉</w:t>
      </w:r>
      <w:bookmarkEnd w:id="56"/>
      <w:bookmarkEnd w:id="57"/>
    </w:p>
    <w:p w14:paraId="1DFE7416">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参照《上虞区区属国有企业货物和服务采购管理办法》的规定，采购供应商可以依法提起质疑和投诉。</w:t>
      </w:r>
    </w:p>
    <w:p w14:paraId="3718FB2D">
      <w:pPr>
        <w:pStyle w:val="9"/>
        <w:spacing w:line="360" w:lineRule="auto"/>
        <w:ind w:left="400" w:leftChars="200"/>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34.</w:t>
      </w:r>
      <w:r>
        <w:rPr>
          <w:rFonts w:hint="eastAsia" w:ascii="宋体" w:hAnsi="宋体" w:eastAsia="宋体" w:cs="宋体"/>
          <w:b/>
          <w:color w:val="auto"/>
          <w:sz w:val="24"/>
          <w:szCs w:val="24"/>
          <w:highlight w:val="none"/>
          <w:lang w:val="zh-CN"/>
        </w:rPr>
        <w:t>供应商询问</w:t>
      </w:r>
    </w:p>
    <w:p w14:paraId="198813A2">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供应商对国企采购活动事项有疑问的，可以向采购代理机构提出询问，采购代理机构将对供应商依法提出的询问作出答复，但答复的内容不得涉及商业秘密。</w:t>
      </w:r>
    </w:p>
    <w:p w14:paraId="7B2DA4D6">
      <w:pPr>
        <w:pStyle w:val="9"/>
        <w:numPr>
          <w:ilvl w:val="0"/>
          <w:numId w:val="34"/>
        </w:numPr>
        <w:spacing w:line="360" w:lineRule="auto"/>
        <w:ind w:left="400" w:leftChars="200"/>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供应商质疑</w:t>
      </w:r>
    </w:p>
    <w:p w14:paraId="3B78AD80">
      <w:pPr>
        <w:spacing w:line="360" w:lineRule="auto"/>
        <w:ind w:firstLine="482" w:firstLineChars="200"/>
        <w:outlineLvl w:val="3"/>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参照</w:t>
      </w:r>
      <w:r>
        <w:rPr>
          <w:rFonts w:hint="eastAsia" w:ascii="宋体" w:hAnsi="宋体" w:eastAsia="宋体" w:cs="宋体"/>
          <w:b/>
          <w:color w:val="auto"/>
          <w:sz w:val="24"/>
          <w:highlight w:val="none"/>
          <w:lang w:val="zh-CN"/>
        </w:rPr>
        <w:t>《上虞区区属国有企业货物和服务采购管理办法》第四十九条</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val="zh-CN"/>
        </w:rPr>
        <w:t>规定</w:t>
      </w:r>
    </w:p>
    <w:p w14:paraId="09D5EDCF">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35.1</w:t>
      </w:r>
      <w:r>
        <w:rPr>
          <w:rFonts w:hint="eastAsia" w:ascii="宋体" w:hAnsi="宋体" w:eastAsia="宋体" w:cs="宋体"/>
          <w:color w:val="auto"/>
          <w:highlight w:val="none"/>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14:paraId="34123FE1">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上虞区区属国有企业货物和服务采购管理办法》第四十九条规定的供应商应知其权益受到损害之日，是指：（一）对可以质疑的采购文件提出质疑的，为收到采购文件之日或者采购文件公告期限届满之日（公告期限届满后获取采购文件的，以公告期限届满之日为准）；（二）对采购过程提出质疑的，为各采购程序环节结束之日；（三）对中标或者成交结果提出质疑的，为中标或者成交结果公告期限届满之日。</w:t>
      </w:r>
    </w:p>
    <w:p w14:paraId="6E612B36">
      <w:pPr>
        <w:pStyle w:val="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采购评审专家（评标委员会、采购小组）应当协助采购人或者采购代理机构答复供应商的询问和质疑。</w:t>
      </w:r>
    </w:p>
    <w:p w14:paraId="5188B168">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35.2供应商提交的质疑书需一式三份，由法定代表人签字（或盖章）并加盖单位公章。质疑书至少应包括下列主要内容：</w:t>
      </w:r>
    </w:p>
    <w:p w14:paraId="2CA6A517">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质疑人的名称、地址、邮政编码、联系人、联系电话，以及被质疑人名称及联系方式；</w:t>
      </w:r>
    </w:p>
    <w:p w14:paraId="49B173C2">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被质疑采购项目名称、编号及采购内容；</w:t>
      </w:r>
    </w:p>
    <w:p w14:paraId="65C4779D">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具体的质疑事项及事实依据；</w:t>
      </w:r>
    </w:p>
    <w:p w14:paraId="2545E723">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认为自己合法权益受到损害或可能受到损害的相关证据材料；</w:t>
      </w:r>
    </w:p>
    <w:p w14:paraId="0A35AAAB">
      <w:pPr>
        <w:pStyle w:val="9"/>
        <w:numPr>
          <w:ilvl w:val="0"/>
          <w:numId w:val="35"/>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提出质疑的日期。</w:t>
      </w:r>
    </w:p>
    <w:p w14:paraId="6216486B">
      <w:pPr>
        <w:pStyle w:val="9"/>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未按上述内容填写的质疑书将不予受理。</w:t>
      </w:r>
    </w:p>
    <w:p w14:paraId="42F18389">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35.3采购代理机构应当在收到供应商的书面质疑后七个工作日内作出答复，并以书面形式通知质疑供应商和其他与质疑处理结果有利害关系的国企采购当事人，但答复的内容不得涉及商业秘密。</w:t>
      </w:r>
    </w:p>
    <w:p w14:paraId="3C2FEA2D">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35.4询问或者质疑事项可能影响采购结果的，采购人应当暂停签订合同，已经签订合同的，应当中止履行合同。</w:t>
      </w:r>
    </w:p>
    <w:p w14:paraId="6E84145A">
      <w:pPr>
        <w:pStyle w:val="9"/>
        <w:spacing w:line="360" w:lineRule="auto"/>
        <w:ind w:left="400" w:leftChars="200"/>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36</w:t>
      </w:r>
      <w:r>
        <w:rPr>
          <w:rFonts w:hint="eastAsia" w:ascii="宋体" w:hAnsi="宋体" w:eastAsia="宋体" w:cs="宋体"/>
          <w:b/>
          <w:color w:val="auto"/>
          <w:sz w:val="24"/>
          <w:szCs w:val="24"/>
          <w:highlight w:val="none"/>
          <w:lang w:val="zh-CN"/>
        </w:rPr>
        <w:t>供应商投诉</w:t>
      </w:r>
    </w:p>
    <w:p w14:paraId="5811543F">
      <w:pPr>
        <w:pStyle w:val="9"/>
        <w:spacing w:line="360" w:lineRule="auto"/>
        <w:ind w:left="400" w:leftChars="200"/>
        <w:outlineLvl w:val="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参照</w:t>
      </w:r>
      <w:r>
        <w:rPr>
          <w:rFonts w:hint="eastAsia" w:ascii="宋体" w:hAnsi="宋体" w:eastAsia="宋体" w:cs="宋体"/>
          <w:b/>
          <w:color w:val="auto"/>
          <w:sz w:val="24"/>
          <w:szCs w:val="24"/>
          <w:highlight w:val="none"/>
          <w:lang w:val="zh-CN"/>
        </w:rPr>
        <w:t>《上虞区区属国有企业货物和服务采购管理办法》第五十条的规定</w:t>
      </w:r>
    </w:p>
    <w:p w14:paraId="0CA40033">
      <w:pPr>
        <w:pStyle w:val="23"/>
        <w:tabs>
          <w:tab w:val="left" w:pos="0"/>
        </w:tabs>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36.1质疑供应商对质疑的答复不满意，或者采购人或采购代理机构未在规定时间内答复的，可以在收到答复之日或者答复期满后15个工作日内依法向采购人主管部门投诉。采购人主管部门应当在30个工作日内调查并回应。投诉事项调查期间，采购人主管部门应当通知采购人暂停采购活动。</w:t>
      </w:r>
    </w:p>
    <w:p w14:paraId="771D500D">
      <w:pPr>
        <w:pStyle w:val="23"/>
        <w:tabs>
          <w:tab w:val="left" w:pos="0"/>
        </w:tabs>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36.2投诉人提交投诉件时，应当提供相关书面证据、依据和其他有关材料。</w:t>
      </w:r>
    </w:p>
    <w:p w14:paraId="6FCB2EC8">
      <w:pPr>
        <w:pStyle w:val="23"/>
        <w:tabs>
          <w:tab w:val="left" w:pos="0"/>
        </w:tabs>
        <w:spacing w:before="0"/>
        <w:ind w:firstLine="482"/>
        <w:rPr>
          <w:rFonts w:hint="eastAsia" w:ascii="宋体" w:hAnsi="宋体" w:eastAsia="宋体" w:cs="宋体"/>
          <w:b/>
          <w:color w:val="auto"/>
          <w:highlight w:val="none"/>
        </w:rPr>
      </w:pPr>
    </w:p>
    <w:bookmarkEnd w:id="49"/>
    <w:p w14:paraId="6F209D76">
      <w:pPr>
        <w:spacing w:after="156" w:afterLines="50"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sz w:val="24"/>
          <w:szCs w:val="20"/>
          <w:highlight w:val="none"/>
        </w:rPr>
        <w:br w:type="page"/>
      </w:r>
      <w:bookmarkStart w:id="58" w:name="_Toc21538"/>
      <w:r>
        <w:rPr>
          <w:rFonts w:hint="eastAsia" w:ascii="宋体" w:hAnsi="宋体" w:eastAsia="宋体" w:cs="宋体"/>
          <w:b/>
          <w:color w:val="auto"/>
          <w:sz w:val="36"/>
          <w:szCs w:val="36"/>
          <w:highlight w:val="none"/>
        </w:rPr>
        <w:t>第三部分</w:t>
      </w:r>
      <w:bookmarkEnd w:id="41"/>
      <w:bookmarkEnd w:id="42"/>
      <w:bookmarkStart w:id="59" w:name="_Toc184312111"/>
      <w:bookmarkEnd w:id="59"/>
      <w:bookmarkStart w:id="60" w:name="_Toc184312069"/>
      <w:bookmarkEnd w:id="60"/>
      <w:bookmarkStart w:id="61" w:name="_Toc184314430"/>
      <w:bookmarkEnd w:id="61"/>
      <w:bookmarkStart w:id="62" w:name="_Toc184313270"/>
      <w:bookmarkEnd w:id="62"/>
      <w:bookmarkStart w:id="63" w:name="_Toc184314416"/>
      <w:bookmarkEnd w:id="63"/>
      <w:bookmarkStart w:id="64" w:name="_Toc184308066"/>
      <w:bookmarkEnd w:id="64"/>
      <w:bookmarkStart w:id="65" w:name="_Toc184310303"/>
      <w:bookmarkEnd w:id="65"/>
      <w:bookmarkStart w:id="66" w:name="_Toc184312112"/>
      <w:bookmarkEnd w:id="66"/>
      <w:bookmarkStart w:id="67" w:name="_Toc184310329"/>
      <w:bookmarkEnd w:id="67"/>
      <w:bookmarkStart w:id="68" w:name="_Toc184308057"/>
      <w:bookmarkEnd w:id="68"/>
      <w:bookmarkStart w:id="69" w:name="_Toc184308059"/>
      <w:bookmarkEnd w:id="69"/>
      <w:bookmarkStart w:id="70" w:name="_Toc184313264"/>
      <w:bookmarkEnd w:id="70"/>
      <w:bookmarkStart w:id="71" w:name="_Toc184314443"/>
      <w:bookmarkEnd w:id="71"/>
      <w:bookmarkStart w:id="72" w:name="_Toc184313284"/>
      <w:bookmarkEnd w:id="72"/>
      <w:bookmarkStart w:id="73" w:name="_Toc184313267"/>
      <w:bookmarkEnd w:id="73"/>
      <w:bookmarkStart w:id="74" w:name="_Toc184313301"/>
      <w:bookmarkEnd w:id="74"/>
      <w:bookmarkStart w:id="75" w:name="_Toc184310332"/>
      <w:bookmarkEnd w:id="75"/>
      <w:bookmarkStart w:id="76" w:name="_Toc184308049"/>
      <w:bookmarkEnd w:id="76"/>
      <w:bookmarkStart w:id="77" w:name="_Toc184308078"/>
      <w:bookmarkEnd w:id="77"/>
      <w:bookmarkStart w:id="78" w:name="_Toc184313299"/>
      <w:bookmarkEnd w:id="78"/>
      <w:bookmarkStart w:id="79" w:name="_Toc184310292"/>
      <w:bookmarkEnd w:id="79"/>
      <w:bookmarkStart w:id="80" w:name="_Toc184314418"/>
      <w:bookmarkEnd w:id="80"/>
      <w:bookmarkStart w:id="81" w:name="_Toc184314439"/>
      <w:bookmarkEnd w:id="81"/>
      <w:bookmarkStart w:id="82" w:name="_Toc184308042"/>
      <w:bookmarkEnd w:id="82"/>
      <w:bookmarkStart w:id="83" w:name="_Toc184313249"/>
      <w:bookmarkEnd w:id="83"/>
      <w:bookmarkStart w:id="84" w:name="_Toc184312121"/>
      <w:bookmarkEnd w:id="84"/>
      <w:bookmarkStart w:id="85" w:name="_Toc184314450"/>
      <w:bookmarkEnd w:id="85"/>
      <w:bookmarkStart w:id="86" w:name="_Toc184310343"/>
      <w:bookmarkEnd w:id="86"/>
      <w:bookmarkStart w:id="87" w:name="_Toc184313293"/>
      <w:bookmarkEnd w:id="87"/>
      <w:bookmarkStart w:id="88" w:name="_Toc184310336"/>
      <w:bookmarkEnd w:id="88"/>
      <w:bookmarkStart w:id="89" w:name="_Toc184312072"/>
      <w:bookmarkEnd w:id="89"/>
      <w:bookmarkStart w:id="90" w:name="_Toc184314476"/>
      <w:bookmarkEnd w:id="90"/>
      <w:bookmarkStart w:id="91" w:name="_Toc184308044"/>
      <w:bookmarkEnd w:id="91"/>
      <w:bookmarkStart w:id="92" w:name="_Toc184312081"/>
      <w:bookmarkEnd w:id="92"/>
      <w:bookmarkStart w:id="93" w:name="_Toc184308086"/>
      <w:bookmarkEnd w:id="93"/>
      <w:bookmarkStart w:id="94" w:name="_Toc184314437"/>
      <w:bookmarkEnd w:id="94"/>
      <w:bookmarkStart w:id="95" w:name="_Toc184308082"/>
      <w:bookmarkEnd w:id="95"/>
      <w:bookmarkStart w:id="96" w:name="_Toc184313244"/>
      <w:bookmarkEnd w:id="96"/>
      <w:bookmarkStart w:id="97" w:name="_Toc184312097"/>
      <w:bookmarkEnd w:id="97"/>
      <w:bookmarkStart w:id="98" w:name="_Toc184308094"/>
      <w:bookmarkEnd w:id="98"/>
      <w:bookmarkStart w:id="99" w:name="_Toc184308054"/>
      <w:bookmarkEnd w:id="99"/>
      <w:bookmarkStart w:id="100" w:name="_Toc184312084"/>
      <w:bookmarkEnd w:id="100"/>
      <w:bookmarkStart w:id="101" w:name="_Toc184314419"/>
      <w:bookmarkEnd w:id="101"/>
      <w:bookmarkStart w:id="102" w:name="_Toc184308041"/>
      <w:bookmarkEnd w:id="102"/>
      <w:bookmarkStart w:id="103" w:name="_Toc184308080"/>
      <w:bookmarkEnd w:id="103"/>
      <w:bookmarkStart w:id="104" w:name="_Toc184314420"/>
      <w:bookmarkEnd w:id="104"/>
      <w:bookmarkStart w:id="105" w:name="_Toc184310340"/>
      <w:bookmarkEnd w:id="105"/>
      <w:bookmarkStart w:id="106" w:name="_Toc184313252"/>
      <w:bookmarkEnd w:id="106"/>
      <w:bookmarkStart w:id="107" w:name="_Toc184310328"/>
      <w:bookmarkEnd w:id="107"/>
      <w:bookmarkStart w:id="108" w:name="_Toc184310280"/>
      <w:bookmarkEnd w:id="108"/>
      <w:bookmarkStart w:id="109" w:name="_Toc184314428"/>
      <w:bookmarkEnd w:id="109"/>
      <w:bookmarkStart w:id="110" w:name="_Toc184308060"/>
      <w:bookmarkEnd w:id="110"/>
      <w:bookmarkStart w:id="111" w:name="_Toc184313238"/>
      <w:bookmarkEnd w:id="111"/>
      <w:bookmarkStart w:id="112" w:name="_Toc184308040"/>
      <w:bookmarkEnd w:id="112"/>
      <w:bookmarkStart w:id="113" w:name="_Toc184308081"/>
      <w:bookmarkEnd w:id="113"/>
      <w:bookmarkStart w:id="114" w:name="_Toc184310314"/>
      <w:bookmarkEnd w:id="114"/>
      <w:bookmarkStart w:id="115" w:name="_Toc184312091"/>
      <w:bookmarkEnd w:id="115"/>
      <w:bookmarkStart w:id="116" w:name="_Toc184314446"/>
      <w:bookmarkEnd w:id="116"/>
      <w:bookmarkStart w:id="117" w:name="_Toc184310330"/>
      <w:bookmarkEnd w:id="117"/>
      <w:bookmarkStart w:id="118" w:name="_Toc184314466"/>
      <w:bookmarkEnd w:id="118"/>
      <w:bookmarkStart w:id="119" w:name="_Toc184310291"/>
      <w:bookmarkEnd w:id="119"/>
      <w:bookmarkStart w:id="120" w:name="_Toc184310290"/>
      <w:bookmarkEnd w:id="120"/>
      <w:bookmarkStart w:id="121" w:name="_Toc184308075"/>
      <w:bookmarkEnd w:id="121"/>
      <w:bookmarkStart w:id="122" w:name="_Toc184310306"/>
      <w:bookmarkEnd w:id="122"/>
      <w:bookmarkStart w:id="123" w:name="_Toc184314410"/>
      <w:bookmarkEnd w:id="123"/>
      <w:bookmarkStart w:id="124" w:name="_Toc184312131"/>
      <w:bookmarkEnd w:id="124"/>
      <w:bookmarkStart w:id="125" w:name="_Toc184314458"/>
      <w:bookmarkEnd w:id="125"/>
      <w:bookmarkStart w:id="126" w:name="_Toc184313310"/>
      <w:bookmarkEnd w:id="126"/>
      <w:bookmarkStart w:id="127" w:name="_Toc184313295"/>
      <w:bookmarkEnd w:id="127"/>
      <w:bookmarkStart w:id="128" w:name="_Toc184314454"/>
      <w:bookmarkEnd w:id="128"/>
      <w:bookmarkStart w:id="129" w:name="_Toc184313305"/>
      <w:bookmarkEnd w:id="129"/>
      <w:bookmarkStart w:id="130" w:name="_Toc184308071"/>
      <w:bookmarkEnd w:id="130"/>
      <w:bookmarkStart w:id="131" w:name="_Toc184310294"/>
      <w:bookmarkEnd w:id="131"/>
      <w:bookmarkStart w:id="132" w:name="_Toc184308076"/>
      <w:bookmarkEnd w:id="132"/>
      <w:bookmarkStart w:id="133" w:name="_Toc184312080"/>
      <w:bookmarkEnd w:id="133"/>
      <w:bookmarkStart w:id="134" w:name="_Toc184312075"/>
      <w:bookmarkEnd w:id="134"/>
      <w:bookmarkStart w:id="135" w:name="_Toc184313263"/>
      <w:bookmarkEnd w:id="135"/>
      <w:bookmarkStart w:id="136" w:name="_Toc184313285"/>
      <w:bookmarkEnd w:id="136"/>
      <w:bookmarkStart w:id="137" w:name="_Toc184313309"/>
      <w:bookmarkEnd w:id="137"/>
      <w:bookmarkStart w:id="138" w:name="_Toc184308068"/>
      <w:bookmarkEnd w:id="138"/>
      <w:bookmarkStart w:id="139" w:name="_Toc184314447"/>
      <w:bookmarkEnd w:id="139"/>
      <w:bookmarkStart w:id="140" w:name="_Toc184314473"/>
      <w:bookmarkEnd w:id="140"/>
      <w:bookmarkStart w:id="141" w:name="_Toc184313287"/>
      <w:bookmarkEnd w:id="141"/>
      <w:bookmarkStart w:id="142" w:name="_Toc184310338"/>
      <w:bookmarkEnd w:id="142"/>
      <w:bookmarkStart w:id="143" w:name="_Toc184313247"/>
      <w:bookmarkEnd w:id="143"/>
      <w:bookmarkStart w:id="144" w:name="_Toc184313276"/>
      <w:bookmarkEnd w:id="144"/>
      <w:bookmarkStart w:id="145" w:name="_Toc184310282"/>
      <w:bookmarkEnd w:id="145"/>
      <w:bookmarkStart w:id="146" w:name="_Toc184314451"/>
      <w:bookmarkEnd w:id="146"/>
      <w:bookmarkStart w:id="147" w:name="_Toc184312087"/>
      <w:bookmarkEnd w:id="147"/>
      <w:bookmarkStart w:id="148" w:name="_Toc184313246"/>
      <w:bookmarkEnd w:id="148"/>
      <w:bookmarkStart w:id="149" w:name="_Toc184314463"/>
      <w:bookmarkEnd w:id="149"/>
      <w:bookmarkStart w:id="150" w:name="_Toc184314482"/>
      <w:bookmarkEnd w:id="150"/>
      <w:bookmarkStart w:id="151" w:name="_Toc184312116"/>
      <w:bookmarkEnd w:id="151"/>
      <w:bookmarkStart w:id="152" w:name="_Toc184313239"/>
      <w:bookmarkEnd w:id="152"/>
      <w:bookmarkStart w:id="153" w:name="_Toc184308064"/>
      <w:bookmarkEnd w:id="153"/>
      <w:bookmarkStart w:id="154" w:name="_Toc184313260"/>
      <w:bookmarkEnd w:id="154"/>
      <w:bookmarkStart w:id="155" w:name="_Toc184313262"/>
      <w:bookmarkEnd w:id="155"/>
      <w:bookmarkStart w:id="156" w:name="_Toc184314461"/>
      <w:bookmarkEnd w:id="156"/>
      <w:bookmarkStart w:id="157" w:name="_Toc184314481"/>
      <w:bookmarkEnd w:id="157"/>
      <w:bookmarkStart w:id="158" w:name="_Toc184313294"/>
      <w:bookmarkEnd w:id="158"/>
      <w:bookmarkStart w:id="159" w:name="_Toc184312127"/>
      <w:bookmarkEnd w:id="159"/>
      <w:bookmarkStart w:id="160" w:name="_Toc184310302"/>
      <w:bookmarkEnd w:id="160"/>
      <w:bookmarkStart w:id="161" w:name="_Toc184313278"/>
      <w:bookmarkEnd w:id="161"/>
      <w:bookmarkStart w:id="162" w:name="_Toc184314477"/>
      <w:bookmarkEnd w:id="162"/>
      <w:bookmarkStart w:id="163" w:name="_Toc184312128"/>
      <w:bookmarkEnd w:id="163"/>
      <w:bookmarkStart w:id="164" w:name="_Toc184314448"/>
      <w:bookmarkEnd w:id="164"/>
      <w:bookmarkStart w:id="165" w:name="_Toc184308039"/>
      <w:bookmarkEnd w:id="165"/>
      <w:bookmarkStart w:id="166" w:name="_Toc184308095"/>
      <w:bookmarkEnd w:id="166"/>
      <w:bookmarkStart w:id="167" w:name="_Toc184314441"/>
      <w:bookmarkEnd w:id="167"/>
      <w:bookmarkStart w:id="168" w:name="_Toc184312070"/>
      <w:bookmarkEnd w:id="168"/>
      <w:bookmarkStart w:id="169" w:name="_Toc184314459"/>
      <w:bookmarkEnd w:id="169"/>
      <w:bookmarkStart w:id="170" w:name="_Toc184310272"/>
      <w:bookmarkEnd w:id="170"/>
      <w:bookmarkStart w:id="171" w:name="_Toc184314434"/>
      <w:bookmarkEnd w:id="171"/>
      <w:bookmarkStart w:id="172" w:name="_Toc184308062"/>
      <w:bookmarkEnd w:id="172"/>
      <w:bookmarkStart w:id="173" w:name="_Toc184310344"/>
      <w:bookmarkEnd w:id="173"/>
      <w:bookmarkStart w:id="174" w:name="_Toc184313308"/>
      <w:bookmarkEnd w:id="174"/>
      <w:bookmarkStart w:id="175" w:name="_Toc184312077"/>
      <w:bookmarkEnd w:id="175"/>
      <w:bookmarkStart w:id="176" w:name="_Toc184310333"/>
      <w:bookmarkEnd w:id="176"/>
      <w:bookmarkStart w:id="177" w:name="_Toc184313266"/>
      <w:bookmarkEnd w:id="177"/>
      <w:bookmarkStart w:id="178" w:name="_Toc184313275"/>
      <w:bookmarkEnd w:id="178"/>
      <w:bookmarkStart w:id="179" w:name="_Toc184310284"/>
      <w:bookmarkEnd w:id="179"/>
      <w:bookmarkStart w:id="180" w:name="_Toc184312118"/>
      <w:bookmarkEnd w:id="180"/>
      <w:bookmarkStart w:id="181" w:name="_Toc184310341"/>
      <w:bookmarkEnd w:id="181"/>
      <w:bookmarkStart w:id="182" w:name="_Toc184313245"/>
      <w:bookmarkEnd w:id="182"/>
      <w:bookmarkStart w:id="183" w:name="_Toc184312134"/>
      <w:bookmarkEnd w:id="183"/>
      <w:bookmarkStart w:id="184" w:name="_Toc184310275"/>
      <w:bookmarkEnd w:id="184"/>
      <w:bookmarkStart w:id="185" w:name="_Toc184313269"/>
      <w:bookmarkEnd w:id="185"/>
      <w:bookmarkStart w:id="186" w:name="_Toc184312113"/>
      <w:bookmarkEnd w:id="186"/>
      <w:bookmarkStart w:id="187" w:name="_Toc184314436"/>
      <w:bookmarkEnd w:id="187"/>
      <w:bookmarkStart w:id="188" w:name="_Toc184308058"/>
      <w:bookmarkEnd w:id="188"/>
      <w:bookmarkStart w:id="189" w:name="_Toc184308047"/>
      <w:bookmarkEnd w:id="189"/>
      <w:bookmarkStart w:id="190" w:name="_Toc184312102"/>
      <w:bookmarkEnd w:id="190"/>
      <w:bookmarkStart w:id="191" w:name="_Toc184312136"/>
      <w:bookmarkEnd w:id="191"/>
      <w:bookmarkStart w:id="192" w:name="_Toc184313307"/>
      <w:bookmarkEnd w:id="192"/>
      <w:bookmarkStart w:id="193" w:name="_Toc184312115"/>
      <w:bookmarkEnd w:id="193"/>
      <w:bookmarkStart w:id="194" w:name="_Toc184310274"/>
      <w:bookmarkEnd w:id="194"/>
      <w:bookmarkStart w:id="195" w:name="_Toc184308037"/>
      <w:bookmarkEnd w:id="195"/>
      <w:bookmarkStart w:id="196" w:name="_Toc184314475"/>
      <w:bookmarkEnd w:id="196"/>
      <w:bookmarkStart w:id="197" w:name="_Toc184314423"/>
      <w:bookmarkEnd w:id="197"/>
      <w:bookmarkStart w:id="198" w:name="_Toc184312096"/>
      <w:bookmarkEnd w:id="198"/>
      <w:bookmarkStart w:id="199" w:name="_Toc184308098"/>
      <w:bookmarkEnd w:id="199"/>
      <w:bookmarkStart w:id="200" w:name="_Toc184312123"/>
      <w:bookmarkEnd w:id="200"/>
      <w:bookmarkStart w:id="201" w:name="_Toc184314412"/>
      <w:bookmarkEnd w:id="201"/>
      <w:bookmarkStart w:id="202" w:name="_Toc184308108"/>
      <w:bookmarkEnd w:id="202"/>
      <w:bookmarkStart w:id="203" w:name="_Toc184310301"/>
      <w:bookmarkEnd w:id="203"/>
      <w:bookmarkStart w:id="204" w:name="_Toc184314474"/>
      <w:bookmarkEnd w:id="204"/>
      <w:bookmarkStart w:id="205" w:name="_Toc184310305"/>
      <w:bookmarkEnd w:id="205"/>
      <w:bookmarkStart w:id="206" w:name="_Toc184312105"/>
      <w:bookmarkEnd w:id="206"/>
      <w:bookmarkStart w:id="207" w:name="_Toc184313303"/>
      <w:bookmarkEnd w:id="207"/>
      <w:bookmarkStart w:id="208" w:name="_Toc184312078"/>
      <w:bookmarkEnd w:id="208"/>
      <w:bookmarkStart w:id="209" w:name="_Toc184310339"/>
      <w:bookmarkEnd w:id="209"/>
      <w:bookmarkStart w:id="210" w:name="_Toc184312139"/>
      <w:bookmarkEnd w:id="210"/>
      <w:bookmarkStart w:id="211" w:name="_Toc184308067"/>
      <w:bookmarkEnd w:id="211"/>
      <w:bookmarkStart w:id="212" w:name="_Toc184314468"/>
      <w:bookmarkEnd w:id="212"/>
      <w:bookmarkStart w:id="213" w:name="_Toc184308103"/>
      <w:bookmarkEnd w:id="213"/>
      <w:bookmarkStart w:id="214" w:name="_Toc184310285"/>
      <w:bookmarkEnd w:id="214"/>
      <w:bookmarkStart w:id="215" w:name="_Toc184310297"/>
      <w:bookmarkEnd w:id="215"/>
      <w:bookmarkStart w:id="216" w:name="_Toc184312125"/>
      <w:bookmarkEnd w:id="216"/>
      <w:bookmarkStart w:id="217" w:name="_Toc184308043"/>
      <w:bookmarkEnd w:id="217"/>
      <w:bookmarkStart w:id="218" w:name="_Toc184314470"/>
      <w:bookmarkEnd w:id="218"/>
      <w:bookmarkStart w:id="219" w:name="_Toc184314460"/>
      <w:bookmarkEnd w:id="219"/>
      <w:bookmarkStart w:id="220" w:name="_Toc184312110"/>
      <w:bookmarkEnd w:id="220"/>
      <w:bookmarkStart w:id="221" w:name="_Toc184312090"/>
      <w:bookmarkEnd w:id="221"/>
      <w:bookmarkStart w:id="222" w:name="_Toc184314445"/>
      <w:bookmarkEnd w:id="222"/>
      <w:bookmarkStart w:id="223" w:name="_Toc184313250"/>
      <w:bookmarkEnd w:id="223"/>
      <w:bookmarkStart w:id="224" w:name="_Toc184308101"/>
      <w:bookmarkEnd w:id="224"/>
      <w:bookmarkStart w:id="225" w:name="_Toc184312095"/>
      <w:bookmarkEnd w:id="225"/>
      <w:bookmarkStart w:id="226" w:name="_Toc184308093"/>
      <w:bookmarkEnd w:id="226"/>
      <w:bookmarkStart w:id="227" w:name="_Toc184310311"/>
      <w:bookmarkEnd w:id="227"/>
      <w:bookmarkStart w:id="228" w:name="_Toc184308038"/>
      <w:bookmarkEnd w:id="228"/>
      <w:bookmarkStart w:id="229" w:name="_Toc184310342"/>
      <w:bookmarkEnd w:id="229"/>
      <w:bookmarkStart w:id="230" w:name="_Toc184313251"/>
      <w:bookmarkEnd w:id="230"/>
      <w:bookmarkStart w:id="231" w:name="_Toc184314480"/>
      <w:bookmarkEnd w:id="231"/>
      <w:bookmarkStart w:id="232" w:name="_Toc184314433"/>
      <w:bookmarkEnd w:id="232"/>
      <w:bookmarkStart w:id="233" w:name="_Toc184314422"/>
      <w:bookmarkEnd w:id="233"/>
      <w:bookmarkStart w:id="234" w:name="_Toc184310309"/>
      <w:bookmarkEnd w:id="234"/>
      <w:bookmarkStart w:id="235" w:name="_Toc184314432"/>
      <w:bookmarkEnd w:id="235"/>
      <w:bookmarkStart w:id="236" w:name="_Toc184313289"/>
      <w:bookmarkEnd w:id="236"/>
      <w:bookmarkStart w:id="237" w:name="_Toc184310273"/>
      <w:bookmarkEnd w:id="237"/>
      <w:bookmarkStart w:id="238" w:name="_Toc184310295"/>
      <w:bookmarkEnd w:id="238"/>
      <w:bookmarkStart w:id="239" w:name="_Toc184312119"/>
      <w:bookmarkEnd w:id="239"/>
      <w:bookmarkStart w:id="240" w:name="_Toc184312068"/>
      <w:bookmarkEnd w:id="240"/>
      <w:bookmarkStart w:id="241" w:name="_Toc184312133"/>
      <w:bookmarkEnd w:id="241"/>
      <w:bookmarkStart w:id="242" w:name="_Toc184314427"/>
      <w:bookmarkEnd w:id="242"/>
      <w:bookmarkStart w:id="243" w:name="_Toc184314413"/>
      <w:bookmarkEnd w:id="243"/>
      <w:bookmarkStart w:id="244" w:name="_Toc184313255"/>
      <w:bookmarkEnd w:id="244"/>
      <w:bookmarkStart w:id="245" w:name="_Toc184312120"/>
      <w:bookmarkEnd w:id="245"/>
      <w:bookmarkStart w:id="246" w:name="_Toc184312082"/>
      <w:bookmarkEnd w:id="246"/>
      <w:bookmarkStart w:id="247" w:name="_Toc184313256"/>
      <w:bookmarkEnd w:id="247"/>
      <w:bookmarkStart w:id="248" w:name="_Toc184314457"/>
      <w:bookmarkEnd w:id="248"/>
      <w:bookmarkStart w:id="249" w:name="_Toc184314449"/>
      <w:bookmarkEnd w:id="249"/>
      <w:bookmarkStart w:id="250" w:name="_Toc184313279"/>
      <w:bookmarkEnd w:id="250"/>
      <w:bookmarkStart w:id="251" w:name="_Toc184312093"/>
      <w:bookmarkEnd w:id="251"/>
      <w:bookmarkStart w:id="252" w:name="_Toc184313277"/>
      <w:bookmarkEnd w:id="252"/>
      <w:bookmarkStart w:id="253" w:name="_Toc184310307"/>
      <w:bookmarkEnd w:id="253"/>
      <w:bookmarkStart w:id="254" w:name="_Toc184308100"/>
      <w:bookmarkEnd w:id="254"/>
      <w:bookmarkStart w:id="255" w:name="_Toc184314415"/>
      <w:bookmarkEnd w:id="255"/>
      <w:bookmarkStart w:id="256" w:name="_Toc184312067"/>
      <w:bookmarkEnd w:id="256"/>
      <w:bookmarkStart w:id="257" w:name="_Toc184308061"/>
      <w:bookmarkEnd w:id="257"/>
      <w:bookmarkStart w:id="258" w:name="_Toc184310327"/>
      <w:bookmarkEnd w:id="258"/>
      <w:bookmarkStart w:id="259" w:name="_Toc184314438"/>
      <w:bookmarkEnd w:id="259"/>
      <w:bookmarkStart w:id="260" w:name="_Toc184308051"/>
      <w:bookmarkEnd w:id="260"/>
      <w:bookmarkStart w:id="261" w:name="_Toc184314469"/>
      <w:bookmarkEnd w:id="261"/>
      <w:bookmarkStart w:id="262" w:name="_Toc184310296"/>
      <w:bookmarkEnd w:id="262"/>
      <w:bookmarkStart w:id="263" w:name="_Toc184314471"/>
      <w:bookmarkEnd w:id="263"/>
      <w:bookmarkStart w:id="264" w:name="_Toc184312079"/>
      <w:bookmarkEnd w:id="264"/>
      <w:bookmarkStart w:id="265" w:name="_Toc184314455"/>
      <w:bookmarkEnd w:id="265"/>
      <w:bookmarkStart w:id="266" w:name="_Toc184310312"/>
      <w:bookmarkEnd w:id="266"/>
      <w:bookmarkStart w:id="267" w:name="_Toc184314424"/>
      <w:bookmarkEnd w:id="267"/>
      <w:bookmarkStart w:id="268" w:name="_Toc184310308"/>
      <w:bookmarkEnd w:id="268"/>
      <w:bookmarkStart w:id="269" w:name="_Toc184308089"/>
      <w:bookmarkEnd w:id="269"/>
      <w:bookmarkStart w:id="270" w:name="_Toc184308092"/>
      <w:bookmarkEnd w:id="270"/>
      <w:bookmarkStart w:id="271" w:name="_Toc184308048"/>
      <w:bookmarkEnd w:id="271"/>
      <w:bookmarkStart w:id="272" w:name="_Toc184312129"/>
      <w:bookmarkEnd w:id="272"/>
      <w:bookmarkStart w:id="273" w:name="_Toc184313257"/>
      <w:bookmarkEnd w:id="273"/>
      <w:bookmarkStart w:id="274" w:name="_Toc184310276"/>
      <w:bookmarkEnd w:id="274"/>
      <w:bookmarkStart w:id="275" w:name="_Toc184313261"/>
      <w:bookmarkEnd w:id="275"/>
      <w:bookmarkStart w:id="276" w:name="_Toc184313273"/>
      <w:bookmarkEnd w:id="276"/>
      <w:bookmarkStart w:id="277" w:name="_Toc184312076"/>
      <w:bookmarkEnd w:id="277"/>
      <w:bookmarkStart w:id="278" w:name="_Toc184314453"/>
      <w:bookmarkEnd w:id="278"/>
      <w:bookmarkStart w:id="279" w:name="_Toc184313271"/>
      <w:bookmarkEnd w:id="279"/>
      <w:bookmarkStart w:id="280" w:name="_Toc184313253"/>
      <w:bookmarkEnd w:id="280"/>
      <w:bookmarkStart w:id="281" w:name="_Toc184313283"/>
      <w:bookmarkEnd w:id="281"/>
      <w:bookmarkStart w:id="282" w:name="_Toc184314456"/>
      <w:bookmarkEnd w:id="282"/>
      <w:bookmarkStart w:id="283" w:name="_Toc184308099"/>
      <w:bookmarkEnd w:id="283"/>
      <w:bookmarkStart w:id="284" w:name="_Toc184310322"/>
      <w:bookmarkEnd w:id="284"/>
      <w:bookmarkStart w:id="285" w:name="_Toc184313242"/>
      <w:bookmarkEnd w:id="285"/>
      <w:bookmarkStart w:id="286" w:name="_Toc184310320"/>
      <w:bookmarkEnd w:id="286"/>
      <w:bookmarkStart w:id="287" w:name="_Toc184312138"/>
      <w:bookmarkEnd w:id="287"/>
      <w:bookmarkStart w:id="288" w:name="_Toc184312092"/>
      <w:bookmarkEnd w:id="288"/>
      <w:bookmarkStart w:id="289" w:name="_Toc184308097"/>
      <w:bookmarkEnd w:id="289"/>
      <w:bookmarkStart w:id="290" w:name="_Toc184314425"/>
      <w:bookmarkEnd w:id="290"/>
      <w:bookmarkStart w:id="291" w:name="_Toc184313254"/>
      <w:bookmarkEnd w:id="291"/>
      <w:bookmarkStart w:id="292" w:name="_Toc184308104"/>
      <w:bookmarkEnd w:id="292"/>
      <w:bookmarkStart w:id="293" w:name="_Toc184314442"/>
      <w:bookmarkEnd w:id="293"/>
      <w:bookmarkStart w:id="294" w:name="_Toc184308065"/>
      <w:bookmarkEnd w:id="294"/>
      <w:bookmarkStart w:id="295" w:name="_Toc184313288"/>
      <w:bookmarkEnd w:id="295"/>
      <w:bookmarkStart w:id="296" w:name="_Toc184313286"/>
      <w:bookmarkEnd w:id="296"/>
      <w:bookmarkStart w:id="297" w:name="_Toc184308102"/>
      <w:bookmarkEnd w:id="297"/>
      <w:bookmarkStart w:id="298" w:name="_Toc184314462"/>
      <w:bookmarkEnd w:id="298"/>
      <w:bookmarkStart w:id="299" w:name="_Toc184314464"/>
      <w:bookmarkEnd w:id="299"/>
      <w:bookmarkStart w:id="300" w:name="_Toc184312073"/>
      <w:bookmarkEnd w:id="300"/>
      <w:bookmarkStart w:id="301" w:name="_Toc184314479"/>
      <w:bookmarkEnd w:id="301"/>
      <w:bookmarkStart w:id="302" w:name="_Toc184313274"/>
      <w:bookmarkEnd w:id="302"/>
      <w:bookmarkStart w:id="303" w:name="_Toc184312107"/>
      <w:bookmarkEnd w:id="303"/>
      <w:bookmarkStart w:id="304" w:name="_Toc184308083"/>
      <w:bookmarkEnd w:id="304"/>
      <w:bookmarkStart w:id="305" w:name="_Toc184312085"/>
      <w:bookmarkEnd w:id="305"/>
      <w:bookmarkStart w:id="306" w:name="_Toc184308107"/>
      <w:bookmarkEnd w:id="306"/>
      <w:bookmarkStart w:id="307" w:name="_Toc184314431"/>
      <w:bookmarkEnd w:id="307"/>
      <w:bookmarkStart w:id="308" w:name="_Toc184312100"/>
      <w:bookmarkEnd w:id="308"/>
      <w:bookmarkStart w:id="309" w:name="_Toc184308106"/>
      <w:bookmarkEnd w:id="309"/>
      <w:bookmarkStart w:id="310" w:name="_Toc184313281"/>
      <w:bookmarkEnd w:id="310"/>
      <w:bookmarkStart w:id="311" w:name="_Toc184314414"/>
      <w:bookmarkEnd w:id="311"/>
      <w:bookmarkStart w:id="312" w:name="_Toc184312083"/>
      <w:bookmarkEnd w:id="312"/>
      <w:bookmarkStart w:id="313" w:name="_Toc184314467"/>
      <w:bookmarkEnd w:id="313"/>
      <w:bookmarkStart w:id="314" w:name="_Toc184312089"/>
      <w:bookmarkEnd w:id="314"/>
      <w:bookmarkStart w:id="315" w:name="_Toc184313240"/>
      <w:bookmarkEnd w:id="315"/>
      <w:bookmarkStart w:id="316" w:name="_Toc184312108"/>
      <w:bookmarkEnd w:id="316"/>
      <w:bookmarkStart w:id="317" w:name="_Toc184310316"/>
      <w:bookmarkEnd w:id="317"/>
      <w:bookmarkStart w:id="318" w:name="_Toc184308053"/>
      <w:bookmarkEnd w:id="318"/>
      <w:bookmarkStart w:id="319" w:name="_Toc184313300"/>
      <w:bookmarkEnd w:id="319"/>
      <w:bookmarkStart w:id="320" w:name="_Toc184313268"/>
      <w:bookmarkEnd w:id="320"/>
      <w:bookmarkStart w:id="321" w:name="_Toc184312098"/>
      <w:bookmarkEnd w:id="321"/>
      <w:bookmarkStart w:id="322" w:name="_Toc184312132"/>
      <w:bookmarkEnd w:id="322"/>
      <w:bookmarkStart w:id="323" w:name="_Toc184308052"/>
      <w:bookmarkEnd w:id="323"/>
      <w:bookmarkStart w:id="324" w:name="_Toc184310334"/>
      <w:bookmarkEnd w:id="324"/>
      <w:bookmarkStart w:id="325" w:name="_Toc184314478"/>
      <w:bookmarkEnd w:id="325"/>
      <w:bookmarkStart w:id="326" w:name="_Toc184310286"/>
      <w:bookmarkEnd w:id="326"/>
      <w:bookmarkStart w:id="327" w:name="_Toc184313272"/>
      <w:bookmarkEnd w:id="327"/>
      <w:bookmarkStart w:id="328" w:name="_Toc184310325"/>
      <w:bookmarkEnd w:id="328"/>
      <w:bookmarkStart w:id="329" w:name="_Toc184308046"/>
      <w:bookmarkEnd w:id="329"/>
      <w:bookmarkStart w:id="330" w:name="_Toc184310289"/>
      <w:bookmarkEnd w:id="330"/>
      <w:bookmarkStart w:id="331" w:name="_Toc184308096"/>
      <w:bookmarkEnd w:id="331"/>
      <w:bookmarkStart w:id="332" w:name="_Toc184310337"/>
      <w:bookmarkEnd w:id="332"/>
      <w:bookmarkStart w:id="333" w:name="_Toc184308079"/>
      <w:bookmarkEnd w:id="333"/>
      <w:bookmarkStart w:id="334" w:name="_Toc184312122"/>
      <w:bookmarkEnd w:id="334"/>
      <w:bookmarkStart w:id="335" w:name="_Toc184310287"/>
      <w:bookmarkEnd w:id="335"/>
      <w:bookmarkStart w:id="336" w:name="_Toc184313248"/>
      <w:bookmarkEnd w:id="336"/>
      <w:bookmarkStart w:id="337" w:name="_Toc184308088"/>
      <w:bookmarkEnd w:id="337"/>
      <w:bookmarkStart w:id="338" w:name="_Toc184314452"/>
      <w:bookmarkEnd w:id="338"/>
      <w:bookmarkStart w:id="339" w:name="_Toc184313243"/>
      <w:bookmarkEnd w:id="339"/>
      <w:bookmarkStart w:id="340" w:name="_Toc184310324"/>
      <w:bookmarkEnd w:id="340"/>
      <w:bookmarkStart w:id="341" w:name="_Toc184308070"/>
      <w:bookmarkEnd w:id="341"/>
      <w:bookmarkStart w:id="342" w:name="_Toc184313292"/>
      <w:bookmarkEnd w:id="342"/>
      <w:bookmarkStart w:id="343" w:name="_Toc184308077"/>
      <w:bookmarkEnd w:id="343"/>
      <w:bookmarkStart w:id="344" w:name="_Toc184313282"/>
      <w:bookmarkEnd w:id="344"/>
      <w:bookmarkStart w:id="345" w:name="_Toc184313259"/>
      <w:bookmarkEnd w:id="345"/>
      <w:bookmarkStart w:id="346" w:name="_Toc184308036"/>
      <w:bookmarkEnd w:id="346"/>
      <w:bookmarkStart w:id="347" w:name="_Toc184314472"/>
      <w:bookmarkEnd w:id="347"/>
      <w:bookmarkStart w:id="348" w:name="_Toc184312094"/>
      <w:bookmarkEnd w:id="348"/>
      <w:bookmarkStart w:id="349" w:name="_Toc184310288"/>
      <w:bookmarkEnd w:id="349"/>
      <w:bookmarkStart w:id="350" w:name="_Toc184314435"/>
      <w:bookmarkEnd w:id="350"/>
      <w:bookmarkStart w:id="351" w:name="_Toc184310317"/>
      <w:bookmarkEnd w:id="351"/>
      <w:bookmarkStart w:id="352" w:name="_Toc184308105"/>
      <w:bookmarkEnd w:id="352"/>
      <w:bookmarkStart w:id="353" w:name="_Toc184314444"/>
      <w:bookmarkEnd w:id="353"/>
      <w:bookmarkStart w:id="354" w:name="_Toc184314429"/>
      <w:bookmarkEnd w:id="354"/>
      <w:bookmarkStart w:id="355" w:name="_Toc184310277"/>
      <w:bookmarkEnd w:id="355"/>
      <w:bookmarkStart w:id="356" w:name="_Toc184313296"/>
      <w:bookmarkEnd w:id="356"/>
      <w:bookmarkStart w:id="357" w:name="_Toc184313302"/>
      <w:bookmarkEnd w:id="357"/>
      <w:bookmarkStart w:id="358" w:name="_Toc184310281"/>
      <w:bookmarkEnd w:id="358"/>
      <w:bookmarkStart w:id="359" w:name="_Toc184310300"/>
      <w:bookmarkEnd w:id="359"/>
      <w:bookmarkStart w:id="360" w:name="_Toc184313265"/>
      <w:bookmarkEnd w:id="360"/>
      <w:bookmarkStart w:id="361" w:name="_Toc184310310"/>
      <w:bookmarkEnd w:id="361"/>
      <w:bookmarkStart w:id="362" w:name="_Toc184312101"/>
      <w:bookmarkEnd w:id="362"/>
      <w:bookmarkStart w:id="363" w:name="_Toc184308072"/>
      <w:bookmarkEnd w:id="363"/>
      <w:bookmarkStart w:id="364" w:name="_Toc184314465"/>
      <w:bookmarkEnd w:id="364"/>
      <w:bookmarkStart w:id="365" w:name="_Toc184310335"/>
      <w:bookmarkEnd w:id="365"/>
      <w:bookmarkStart w:id="366" w:name="_Toc184313297"/>
      <w:bookmarkEnd w:id="366"/>
      <w:bookmarkStart w:id="367" w:name="_Toc184308084"/>
      <w:bookmarkEnd w:id="367"/>
      <w:bookmarkStart w:id="368" w:name="_Toc184312074"/>
      <w:bookmarkEnd w:id="368"/>
      <w:bookmarkStart w:id="369" w:name="_Toc184308055"/>
      <w:bookmarkEnd w:id="369"/>
      <w:bookmarkStart w:id="370" w:name="_Toc184312135"/>
      <w:bookmarkEnd w:id="370"/>
      <w:bookmarkStart w:id="371" w:name="_Toc184310315"/>
      <w:bookmarkEnd w:id="371"/>
      <w:bookmarkStart w:id="372" w:name="_Toc184308090"/>
      <w:bookmarkEnd w:id="372"/>
      <w:bookmarkStart w:id="373" w:name="_Toc184312117"/>
      <w:bookmarkEnd w:id="373"/>
      <w:bookmarkStart w:id="374" w:name="_Toc184308056"/>
      <w:bookmarkEnd w:id="374"/>
      <w:bookmarkStart w:id="375" w:name="_Toc184310326"/>
      <w:bookmarkEnd w:id="375"/>
      <w:bookmarkStart w:id="376" w:name="_Toc184312137"/>
      <w:bookmarkEnd w:id="376"/>
      <w:bookmarkStart w:id="377" w:name="_Toc184310304"/>
      <w:bookmarkEnd w:id="377"/>
      <w:bookmarkStart w:id="378" w:name="_Toc184308087"/>
      <w:bookmarkEnd w:id="378"/>
      <w:bookmarkStart w:id="379" w:name="_Toc184313304"/>
      <w:bookmarkEnd w:id="379"/>
      <w:bookmarkStart w:id="380" w:name="_Toc184312114"/>
      <w:bookmarkEnd w:id="380"/>
      <w:bookmarkStart w:id="381" w:name="_Toc184312106"/>
      <w:bookmarkEnd w:id="381"/>
      <w:bookmarkStart w:id="382" w:name="_Toc184313306"/>
      <w:bookmarkEnd w:id="382"/>
      <w:bookmarkStart w:id="383" w:name="_Toc184314411"/>
      <w:bookmarkEnd w:id="383"/>
      <w:bookmarkStart w:id="384" w:name="_Toc184312124"/>
      <w:bookmarkEnd w:id="384"/>
      <w:bookmarkStart w:id="385" w:name="_Toc184313258"/>
      <w:bookmarkEnd w:id="385"/>
      <w:bookmarkStart w:id="386" w:name="_Toc184312130"/>
      <w:bookmarkEnd w:id="386"/>
      <w:bookmarkStart w:id="387" w:name="_Toc184312086"/>
      <w:bookmarkEnd w:id="387"/>
      <w:bookmarkStart w:id="388" w:name="_Toc184313280"/>
      <w:bookmarkEnd w:id="388"/>
      <w:bookmarkStart w:id="389" w:name="_Toc184313290"/>
      <w:bookmarkEnd w:id="389"/>
      <w:bookmarkStart w:id="390" w:name="_Toc184310278"/>
      <w:bookmarkEnd w:id="390"/>
      <w:bookmarkStart w:id="391" w:name="_Toc184312109"/>
      <w:bookmarkEnd w:id="391"/>
      <w:bookmarkStart w:id="392" w:name="_Toc184308091"/>
      <w:bookmarkEnd w:id="392"/>
      <w:bookmarkStart w:id="393" w:name="_Toc184310293"/>
      <w:bookmarkEnd w:id="393"/>
      <w:bookmarkStart w:id="394" w:name="_Toc184310331"/>
      <w:bookmarkEnd w:id="394"/>
      <w:bookmarkStart w:id="395" w:name="_Toc184310313"/>
      <w:bookmarkEnd w:id="395"/>
      <w:bookmarkStart w:id="396" w:name="_Toc184310299"/>
      <w:bookmarkEnd w:id="396"/>
      <w:bookmarkStart w:id="397" w:name="_Toc184308050"/>
      <w:bookmarkEnd w:id="397"/>
      <w:bookmarkStart w:id="398" w:name="_Toc184312088"/>
      <w:bookmarkEnd w:id="398"/>
      <w:bookmarkStart w:id="399" w:name="_Toc184310323"/>
      <w:bookmarkEnd w:id="399"/>
      <w:bookmarkStart w:id="400" w:name="_Toc184308069"/>
      <w:bookmarkEnd w:id="400"/>
      <w:bookmarkStart w:id="401" w:name="_Toc184308074"/>
      <w:bookmarkEnd w:id="401"/>
      <w:bookmarkStart w:id="402" w:name="_Toc184314421"/>
      <w:bookmarkEnd w:id="402"/>
      <w:bookmarkStart w:id="403" w:name="_Toc184308073"/>
      <w:bookmarkEnd w:id="403"/>
      <w:bookmarkStart w:id="404" w:name="_Toc184314426"/>
      <w:bookmarkEnd w:id="404"/>
      <w:bookmarkStart w:id="405" w:name="_Toc184313298"/>
      <w:bookmarkEnd w:id="405"/>
      <w:bookmarkStart w:id="406" w:name="_Toc184313241"/>
      <w:bookmarkEnd w:id="406"/>
      <w:bookmarkStart w:id="407" w:name="_Toc184314417"/>
      <w:bookmarkEnd w:id="407"/>
      <w:bookmarkStart w:id="408" w:name="_Toc184310318"/>
      <w:bookmarkEnd w:id="408"/>
      <w:bookmarkStart w:id="409" w:name="_Toc184312103"/>
      <w:bookmarkEnd w:id="409"/>
      <w:bookmarkStart w:id="410" w:name="_Toc184312071"/>
      <w:bookmarkEnd w:id="410"/>
      <w:bookmarkStart w:id="411" w:name="_Toc184308085"/>
      <w:bookmarkEnd w:id="411"/>
      <w:bookmarkStart w:id="412" w:name="_Toc184314440"/>
      <w:bookmarkEnd w:id="412"/>
      <w:bookmarkStart w:id="413" w:name="_Toc184312104"/>
      <w:bookmarkEnd w:id="413"/>
      <w:bookmarkStart w:id="414" w:name="_Toc184313291"/>
      <w:bookmarkEnd w:id="414"/>
      <w:bookmarkStart w:id="415" w:name="_Toc184310298"/>
      <w:bookmarkEnd w:id="415"/>
      <w:bookmarkStart w:id="416" w:name="_Toc184310319"/>
      <w:bookmarkEnd w:id="416"/>
      <w:bookmarkStart w:id="417" w:name="_Toc184308045"/>
      <w:bookmarkEnd w:id="417"/>
      <w:bookmarkStart w:id="418" w:name="_Toc184310279"/>
      <w:bookmarkEnd w:id="418"/>
      <w:bookmarkStart w:id="419" w:name="_Toc184308063"/>
      <w:bookmarkEnd w:id="419"/>
      <w:bookmarkStart w:id="420" w:name="_Toc184312099"/>
      <w:bookmarkEnd w:id="420"/>
      <w:bookmarkStart w:id="421" w:name="_Toc184312126"/>
      <w:bookmarkEnd w:id="421"/>
      <w:bookmarkStart w:id="422" w:name="_Toc184310321"/>
      <w:bookmarkEnd w:id="422"/>
      <w:bookmarkStart w:id="423" w:name="_Toc184310283"/>
      <w:bookmarkEnd w:id="423"/>
      <w:bookmarkStart w:id="424" w:name="第四部分"/>
      <w:r>
        <w:rPr>
          <w:rFonts w:hint="eastAsia" w:ascii="宋体" w:hAnsi="宋体" w:eastAsia="宋体" w:cs="宋体"/>
          <w:b/>
          <w:color w:val="auto"/>
          <w:sz w:val="36"/>
          <w:szCs w:val="36"/>
          <w:highlight w:val="none"/>
        </w:rPr>
        <w:t xml:space="preserve"> 评标办法及评分标准</w:t>
      </w:r>
      <w:bookmarkEnd w:id="58"/>
    </w:p>
    <w:p w14:paraId="17DA8A86">
      <w:pPr>
        <w:pStyle w:val="3"/>
        <w:spacing w:line="360" w:lineRule="auto"/>
        <w:jc w:val="center"/>
        <w:rPr>
          <w:rFonts w:hint="eastAsia" w:ascii="宋体" w:hAnsi="宋体" w:eastAsia="宋体" w:cs="宋体"/>
          <w:bCs/>
          <w:color w:val="auto"/>
          <w:highlight w:val="none"/>
        </w:rPr>
      </w:pPr>
      <w:bookmarkStart w:id="425" w:name="_Toc1764"/>
      <w:r>
        <w:rPr>
          <w:rFonts w:hint="eastAsia" w:ascii="宋体" w:hAnsi="宋体" w:eastAsia="宋体" w:cs="宋体"/>
          <w:bCs/>
          <w:color w:val="auto"/>
          <w:highlight w:val="none"/>
        </w:rPr>
        <w:t>第一章　评标办法</w:t>
      </w:r>
      <w:bookmarkEnd w:id="425"/>
    </w:p>
    <w:p w14:paraId="03D9140D">
      <w:pPr>
        <w:spacing w:line="360" w:lineRule="auto"/>
        <w:ind w:firstLine="482" w:firstLineChars="200"/>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一、本次招标将按下列第</w:t>
      </w:r>
      <w:r>
        <w:rPr>
          <w:rFonts w:hint="eastAsia" w:ascii="宋体" w:hAnsi="宋体" w:eastAsia="宋体" w:cs="宋体"/>
          <w:b/>
          <w:bCs/>
          <w:color w:val="auto"/>
          <w:sz w:val="24"/>
          <w:highlight w:val="none"/>
          <w:u w:val="single"/>
        </w:rPr>
        <w:t>　1　</w:t>
      </w:r>
      <w:r>
        <w:rPr>
          <w:rFonts w:hint="eastAsia" w:ascii="宋体" w:hAnsi="宋体" w:eastAsia="宋体" w:cs="宋体"/>
          <w:b/>
          <w:bCs/>
          <w:color w:val="auto"/>
          <w:sz w:val="24"/>
          <w:highlight w:val="none"/>
        </w:rPr>
        <w:t>种评标办法进行评标：</w:t>
      </w:r>
    </w:p>
    <w:p w14:paraId="131E14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1、综合评分法。即在最大限度地满足招标文件实质性要求的前提下，按照《评分标准》规定的评分因素对各投标人的投标文件进行综合评审，以报价分、技术分、商务分总得分最高的投标人作为中标候选人。如最高总得分相同的，以报价低者作为中标候选人。如最高总得分且报价相同的，以技术指标优者作为中标候选人；无法确定技术指标优劣的，则抽签确定中标候选人</w:t>
      </w:r>
      <w:r>
        <w:rPr>
          <w:rFonts w:hint="eastAsia" w:ascii="宋体" w:hAnsi="宋体" w:eastAsia="宋体" w:cs="宋体"/>
          <w:color w:val="auto"/>
          <w:sz w:val="24"/>
          <w:highlight w:val="none"/>
        </w:rPr>
        <w:t>。</w:t>
      </w:r>
    </w:p>
    <w:p w14:paraId="436138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14:paraId="36E7202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cs="宋体"/>
          <w:color w:val="auto"/>
          <w:sz w:val="24"/>
          <w:szCs w:val="21"/>
          <w:highlight w:val="none"/>
        </w:rPr>
        <w:t>二、</w:t>
      </w:r>
      <w:r>
        <w:rPr>
          <w:rFonts w:hint="eastAsia" w:ascii="宋体" w:hAnsi="宋体" w:eastAsia="宋体" w:cs="宋体"/>
          <w:color w:val="auto"/>
          <w:sz w:val="24"/>
          <w:highlight w:val="none"/>
        </w:rPr>
        <w:t>本次评标采用百分制计分，计算时四舍五入保留到小数点后两位。</w:t>
      </w:r>
    </w:p>
    <w:p w14:paraId="2F0C9882">
      <w:pPr>
        <w:spacing w:line="360" w:lineRule="auto"/>
        <w:ind w:firstLine="480" w:firstLineChars="200"/>
        <w:rPr>
          <w:rFonts w:hint="eastAsia" w:ascii="宋体" w:hAnsi="宋体" w:eastAsia="宋体" w:cs="宋体"/>
          <w:color w:val="auto"/>
          <w:sz w:val="24"/>
          <w:szCs w:val="21"/>
          <w:highlight w:val="none"/>
        </w:rPr>
      </w:pPr>
    </w:p>
    <w:p w14:paraId="617A60EA">
      <w:pPr>
        <w:pStyle w:val="3"/>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第二章　评分标准</w:t>
      </w:r>
    </w:p>
    <w:p w14:paraId="134437B6">
      <w:pPr>
        <w:spacing w:line="360" w:lineRule="auto"/>
        <w:ind w:firstLine="482" w:firstLineChars="200"/>
        <w:outlineLvl w:val="2"/>
        <w:rPr>
          <w:rFonts w:hint="eastAsia" w:ascii="宋体" w:hAnsi="宋体" w:eastAsia="宋体" w:cs="宋体"/>
          <w:b/>
          <w:bCs/>
          <w:color w:val="auto"/>
          <w:sz w:val="24"/>
          <w:highlight w:val="none"/>
        </w:rPr>
      </w:pPr>
      <w:bookmarkStart w:id="426" w:name="_Toc151026256"/>
      <w:r>
        <w:rPr>
          <w:rFonts w:hint="eastAsia" w:ascii="宋体" w:hAnsi="宋体" w:eastAsia="宋体" w:cs="宋体"/>
          <w:b/>
          <w:bCs/>
          <w:color w:val="auto"/>
          <w:sz w:val="24"/>
          <w:highlight w:val="none"/>
        </w:rPr>
        <w:t>一、报价文件评分标准（</w:t>
      </w:r>
      <w:r>
        <w:rPr>
          <w:rFonts w:hint="eastAsia" w:eastAsia="宋体" w:cs="宋体"/>
          <w:b/>
          <w:bCs/>
          <w:color w:val="auto"/>
          <w:sz w:val="24"/>
          <w:highlight w:val="none"/>
          <w:lang w:val="en-US" w:eastAsia="zh-CN"/>
        </w:rPr>
        <w:t>20</w:t>
      </w:r>
      <w:r>
        <w:rPr>
          <w:rFonts w:hint="eastAsia" w:ascii="宋体" w:hAnsi="宋体" w:eastAsia="宋体" w:cs="宋体"/>
          <w:b/>
          <w:bCs/>
          <w:color w:val="auto"/>
          <w:sz w:val="24"/>
          <w:highlight w:val="none"/>
        </w:rPr>
        <w:t>分）</w:t>
      </w:r>
      <w:bookmarkEnd w:id="426"/>
    </w:p>
    <w:p w14:paraId="5D3CBA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报价文件主要是对投标人的有效报价进行评议，其评分标准及分值设置规则如下：</w:t>
      </w:r>
    </w:p>
    <w:p w14:paraId="25513D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1、本次招标最高限价规定如下：详见投标须知前附表。</w:t>
      </w:r>
    </w:p>
    <w:p w14:paraId="05685F01">
      <w:pPr>
        <w:numPr>
          <w:ilvl w:val="0"/>
          <w:numId w:val="6"/>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供应商的报价在最高限价内的，为有效报价。</w:t>
      </w:r>
    </w:p>
    <w:tbl>
      <w:tblPr>
        <w:tblStyle w:val="19"/>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491"/>
        <w:gridCol w:w="858"/>
      </w:tblGrid>
      <w:tr w14:paraId="1645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10" w:type="dxa"/>
            <w:noWrap w:val="0"/>
            <w:vAlign w:val="center"/>
          </w:tcPr>
          <w:p w14:paraId="0ED7B526">
            <w:pPr>
              <w:keepNext w:val="0"/>
              <w:keepLines w:val="0"/>
              <w:suppressLineNumbers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评分项目</w:t>
            </w:r>
          </w:p>
        </w:tc>
        <w:tc>
          <w:tcPr>
            <w:tcW w:w="6491" w:type="dxa"/>
            <w:noWrap w:val="0"/>
            <w:vAlign w:val="center"/>
          </w:tcPr>
          <w:p w14:paraId="095D7A9F">
            <w:pPr>
              <w:keepNext w:val="0"/>
              <w:keepLines w:val="0"/>
              <w:suppressLineNumbers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评分细则</w:t>
            </w:r>
          </w:p>
        </w:tc>
        <w:tc>
          <w:tcPr>
            <w:tcW w:w="858" w:type="dxa"/>
            <w:noWrap w:val="0"/>
            <w:vAlign w:val="center"/>
          </w:tcPr>
          <w:p w14:paraId="296E4A5F">
            <w:pPr>
              <w:keepNext w:val="0"/>
              <w:keepLines w:val="0"/>
              <w:suppressLineNumbers w:val="0"/>
              <w:spacing w:before="0" w:beforeAutospacing="0" w:after="0" w:afterAutospacing="0" w:line="360" w:lineRule="auto"/>
              <w:ind w:left="0" w:right="0"/>
              <w:jc w:val="center"/>
              <w:rPr>
                <w:rFonts w:hint="default"/>
                <w:color w:val="auto"/>
                <w:kern w:val="2"/>
                <w:sz w:val="24"/>
                <w:szCs w:val="24"/>
                <w:highlight w:val="none"/>
              </w:rPr>
            </w:pPr>
            <w:r>
              <w:rPr>
                <w:rFonts w:hint="eastAsia"/>
                <w:color w:val="auto"/>
                <w:kern w:val="2"/>
                <w:sz w:val="24"/>
                <w:szCs w:val="24"/>
                <w:highlight w:val="none"/>
              </w:rPr>
              <w:t>分值</w:t>
            </w:r>
          </w:p>
        </w:tc>
      </w:tr>
      <w:tr w14:paraId="363E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10" w:type="dxa"/>
            <w:noWrap w:val="0"/>
            <w:vAlign w:val="center"/>
          </w:tcPr>
          <w:p w14:paraId="7240B1E9">
            <w:pPr>
              <w:keepNext w:val="0"/>
              <w:keepLines w:val="0"/>
              <w:suppressLineNumbers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lang w:val="en-US" w:eastAsia="zh-CN"/>
              </w:rPr>
              <w:t>前期介入服务费</w:t>
            </w:r>
          </w:p>
        </w:tc>
        <w:tc>
          <w:tcPr>
            <w:tcW w:w="6491" w:type="dxa"/>
            <w:noWrap w:val="0"/>
            <w:vAlign w:val="center"/>
          </w:tcPr>
          <w:p w14:paraId="07ABDC2B">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（1）</w:t>
            </w:r>
            <w:r>
              <w:rPr>
                <w:rFonts w:hint="eastAsia"/>
                <w:color w:val="auto"/>
                <w:kern w:val="2"/>
                <w:sz w:val="24"/>
                <w:szCs w:val="24"/>
                <w:highlight w:val="none"/>
                <w:lang w:val="en-US" w:eastAsia="zh-CN"/>
              </w:rPr>
              <w:t>前期介入服务</w:t>
            </w:r>
            <w:r>
              <w:rPr>
                <w:rFonts w:hint="eastAsia"/>
                <w:color w:val="auto"/>
                <w:kern w:val="2"/>
                <w:sz w:val="24"/>
                <w:szCs w:val="24"/>
                <w:highlight w:val="none"/>
              </w:rPr>
              <w:t>费有效报价得分记为A。</w:t>
            </w:r>
          </w:p>
          <w:p w14:paraId="3EDAFBA3">
            <w:pPr>
              <w:keepNext w:val="0"/>
              <w:keepLines w:val="0"/>
              <w:suppressLineNumbers w:val="0"/>
              <w:spacing w:before="0" w:beforeAutospacing="0" w:after="0" w:afterAutospacing="0" w:line="360" w:lineRule="auto"/>
              <w:ind w:left="0" w:right="0"/>
              <w:jc w:val="left"/>
              <w:rPr>
                <w:rFonts w:hint="eastAsia" w:eastAsia="宋体"/>
                <w:color w:val="auto"/>
                <w:kern w:val="2"/>
                <w:sz w:val="24"/>
                <w:szCs w:val="24"/>
                <w:highlight w:val="none"/>
                <w:lang w:eastAsia="zh-CN"/>
              </w:rPr>
            </w:pPr>
            <w:r>
              <w:rPr>
                <w:rFonts w:hint="eastAsia"/>
                <w:color w:val="auto"/>
                <w:kern w:val="2"/>
                <w:sz w:val="24"/>
                <w:szCs w:val="24"/>
                <w:highlight w:val="none"/>
              </w:rPr>
              <w:t>（2）A=（</w:t>
            </w:r>
            <w:r>
              <w:rPr>
                <w:rFonts w:hint="eastAsia"/>
                <w:color w:val="auto"/>
                <w:kern w:val="2"/>
                <w:sz w:val="24"/>
                <w:szCs w:val="24"/>
                <w:highlight w:val="none"/>
                <w:lang w:val="en-US" w:eastAsia="zh-CN"/>
              </w:rPr>
              <w:t>前期介入服务费</w:t>
            </w:r>
            <w:r>
              <w:rPr>
                <w:rFonts w:hint="eastAsia"/>
                <w:color w:val="auto"/>
                <w:kern w:val="2"/>
                <w:sz w:val="24"/>
                <w:szCs w:val="24"/>
                <w:highlight w:val="none"/>
              </w:rPr>
              <w:t>最佳报价/</w:t>
            </w:r>
            <w:r>
              <w:rPr>
                <w:rFonts w:hint="eastAsia"/>
                <w:color w:val="auto"/>
                <w:kern w:val="2"/>
                <w:sz w:val="24"/>
                <w:szCs w:val="24"/>
                <w:highlight w:val="none"/>
                <w:lang w:val="en-US" w:eastAsia="zh-CN"/>
              </w:rPr>
              <w:t>前期介入服务费</w:t>
            </w:r>
            <w:r>
              <w:rPr>
                <w:rFonts w:hint="eastAsia"/>
                <w:color w:val="auto"/>
                <w:kern w:val="2"/>
                <w:sz w:val="24"/>
                <w:szCs w:val="24"/>
                <w:highlight w:val="none"/>
              </w:rPr>
              <w:t>有效报价）×</w:t>
            </w:r>
            <w:r>
              <w:rPr>
                <w:rFonts w:hint="eastAsia"/>
                <w:color w:val="auto"/>
                <w:kern w:val="2"/>
                <w:sz w:val="24"/>
                <w:szCs w:val="24"/>
                <w:highlight w:val="none"/>
                <w:lang w:val="en-US" w:eastAsia="zh-CN"/>
              </w:rPr>
              <w:t>5</w:t>
            </w:r>
          </w:p>
          <w:p w14:paraId="4987CADE">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（3）以所有</w:t>
            </w:r>
            <w:r>
              <w:rPr>
                <w:rFonts w:hint="eastAsia"/>
                <w:color w:val="auto"/>
                <w:kern w:val="2"/>
                <w:sz w:val="24"/>
                <w:szCs w:val="24"/>
                <w:highlight w:val="none"/>
                <w:lang w:val="en-US" w:eastAsia="zh-CN"/>
              </w:rPr>
              <w:t>前期介入服务费</w:t>
            </w:r>
            <w:r>
              <w:rPr>
                <w:rFonts w:hint="eastAsia"/>
                <w:color w:val="auto"/>
                <w:kern w:val="2"/>
                <w:sz w:val="24"/>
                <w:szCs w:val="24"/>
                <w:highlight w:val="none"/>
              </w:rPr>
              <w:t>有效报价中最低的报价为最佳报价。</w:t>
            </w:r>
          </w:p>
        </w:tc>
        <w:tc>
          <w:tcPr>
            <w:tcW w:w="858" w:type="dxa"/>
            <w:noWrap w:val="0"/>
            <w:vAlign w:val="center"/>
          </w:tcPr>
          <w:p w14:paraId="64E4074F">
            <w:pPr>
              <w:keepNext w:val="0"/>
              <w:keepLines w:val="0"/>
              <w:suppressLineNumbers w:val="0"/>
              <w:spacing w:before="0" w:beforeAutospacing="0" w:after="0" w:afterAutospacing="0" w:line="360" w:lineRule="auto"/>
              <w:ind w:left="0" w:right="0"/>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5</w:t>
            </w:r>
          </w:p>
        </w:tc>
      </w:tr>
      <w:tr w14:paraId="4975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710" w:type="dxa"/>
            <w:noWrap w:val="0"/>
            <w:vAlign w:val="center"/>
          </w:tcPr>
          <w:p w14:paraId="5AEED623">
            <w:pPr>
              <w:keepNext w:val="0"/>
              <w:keepLines w:val="0"/>
              <w:suppressLineNumbers w:val="0"/>
              <w:spacing w:before="0" w:beforeAutospacing="0" w:after="0" w:afterAutospacing="0" w:line="360" w:lineRule="auto"/>
              <w:ind w:left="0" w:right="0"/>
              <w:jc w:val="center"/>
              <w:rPr>
                <w:rFonts w:hint="eastAsia" w:eastAsia="宋体"/>
                <w:color w:val="auto"/>
                <w:kern w:val="2"/>
                <w:sz w:val="24"/>
                <w:szCs w:val="24"/>
                <w:highlight w:val="none"/>
                <w:lang w:eastAsia="zh-CN"/>
              </w:rPr>
            </w:pPr>
            <w:r>
              <w:rPr>
                <w:rFonts w:hint="eastAsia" w:eastAsia="宋体"/>
                <w:color w:val="auto"/>
                <w:kern w:val="2"/>
                <w:sz w:val="24"/>
                <w:szCs w:val="24"/>
                <w:highlight w:val="none"/>
                <w:lang w:val="en-US" w:eastAsia="zh-CN"/>
              </w:rPr>
              <w:t>运营服务费</w:t>
            </w:r>
          </w:p>
        </w:tc>
        <w:tc>
          <w:tcPr>
            <w:tcW w:w="6491" w:type="dxa"/>
            <w:noWrap w:val="0"/>
            <w:vAlign w:val="center"/>
          </w:tcPr>
          <w:p w14:paraId="0A8285BA">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（1）</w:t>
            </w:r>
            <w:r>
              <w:rPr>
                <w:rFonts w:hint="eastAsia"/>
                <w:color w:val="auto"/>
                <w:kern w:val="2"/>
                <w:sz w:val="24"/>
                <w:szCs w:val="24"/>
                <w:highlight w:val="none"/>
                <w:lang w:val="en-US" w:eastAsia="zh-CN"/>
              </w:rPr>
              <w:t>运营服务费</w:t>
            </w:r>
            <w:r>
              <w:rPr>
                <w:rFonts w:hint="eastAsia"/>
                <w:color w:val="auto"/>
                <w:kern w:val="2"/>
                <w:sz w:val="24"/>
                <w:szCs w:val="24"/>
                <w:highlight w:val="none"/>
              </w:rPr>
              <w:t>有效报价得分记为B。</w:t>
            </w:r>
          </w:p>
          <w:p w14:paraId="4E15C70A">
            <w:pPr>
              <w:keepNext w:val="0"/>
              <w:keepLines w:val="0"/>
              <w:suppressLineNumbers w:val="0"/>
              <w:spacing w:before="0" w:beforeAutospacing="0" w:after="0" w:afterAutospacing="0" w:line="360" w:lineRule="auto"/>
              <w:ind w:left="0" w:right="0"/>
              <w:jc w:val="left"/>
              <w:rPr>
                <w:rFonts w:hint="eastAsia" w:eastAsia="宋体"/>
                <w:color w:val="auto"/>
                <w:kern w:val="2"/>
                <w:sz w:val="24"/>
                <w:szCs w:val="24"/>
                <w:highlight w:val="none"/>
                <w:lang w:val="en-US" w:eastAsia="zh-CN"/>
              </w:rPr>
            </w:pPr>
            <w:r>
              <w:rPr>
                <w:rFonts w:hint="eastAsia"/>
                <w:color w:val="auto"/>
                <w:kern w:val="2"/>
                <w:sz w:val="24"/>
                <w:szCs w:val="24"/>
                <w:highlight w:val="none"/>
              </w:rPr>
              <w:t>（2）B=（</w:t>
            </w:r>
            <w:r>
              <w:rPr>
                <w:rFonts w:hint="eastAsia"/>
                <w:color w:val="auto"/>
                <w:kern w:val="2"/>
                <w:sz w:val="24"/>
                <w:szCs w:val="24"/>
                <w:highlight w:val="none"/>
                <w:lang w:val="en-US" w:eastAsia="zh-CN"/>
              </w:rPr>
              <w:t>运营服务费</w:t>
            </w:r>
            <w:r>
              <w:rPr>
                <w:rFonts w:hint="default"/>
                <w:color w:val="auto"/>
                <w:kern w:val="2"/>
                <w:sz w:val="24"/>
                <w:szCs w:val="24"/>
                <w:highlight w:val="none"/>
              </w:rPr>
              <w:t>最佳报价</w:t>
            </w:r>
            <w:r>
              <w:rPr>
                <w:rFonts w:hint="eastAsia"/>
                <w:color w:val="auto"/>
                <w:kern w:val="2"/>
                <w:sz w:val="24"/>
                <w:szCs w:val="24"/>
                <w:highlight w:val="none"/>
              </w:rPr>
              <w:t>/</w:t>
            </w:r>
            <w:r>
              <w:rPr>
                <w:rFonts w:hint="eastAsia"/>
                <w:color w:val="auto"/>
                <w:kern w:val="2"/>
                <w:sz w:val="24"/>
                <w:szCs w:val="24"/>
                <w:highlight w:val="none"/>
                <w:lang w:val="en-US" w:eastAsia="zh-CN"/>
              </w:rPr>
              <w:t>运营服务费</w:t>
            </w:r>
            <w:r>
              <w:rPr>
                <w:rFonts w:hint="default"/>
                <w:color w:val="auto"/>
                <w:kern w:val="2"/>
                <w:sz w:val="24"/>
                <w:szCs w:val="24"/>
                <w:highlight w:val="none"/>
              </w:rPr>
              <w:t>有效报价</w:t>
            </w:r>
            <w:r>
              <w:rPr>
                <w:rFonts w:hint="eastAsia"/>
                <w:color w:val="auto"/>
                <w:kern w:val="2"/>
                <w:sz w:val="24"/>
                <w:szCs w:val="24"/>
                <w:highlight w:val="none"/>
              </w:rPr>
              <w:t>）×</w:t>
            </w:r>
            <w:r>
              <w:rPr>
                <w:rFonts w:hint="default"/>
                <w:color w:val="auto"/>
                <w:kern w:val="2"/>
                <w:sz w:val="24"/>
                <w:szCs w:val="24"/>
                <w:highlight w:val="none"/>
              </w:rPr>
              <w:t>1</w:t>
            </w:r>
            <w:r>
              <w:rPr>
                <w:rFonts w:hint="eastAsia"/>
                <w:color w:val="auto"/>
                <w:kern w:val="2"/>
                <w:sz w:val="24"/>
                <w:szCs w:val="24"/>
                <w:highlight w:val="none"/>
                <w:lang w:val="en-US" w:eastAsia="zh-CN"/>
              </w:rPr>
              <w:t>0</w:t>
            </w:r>
          </w:p>
          <w:p w14:paraId="5C40CEE6">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（3）以所有</w:t>
            </w:r>
            <w:r>
              <w:rPr>
                <w:rFonts w:hint="eastAsia"/>
                <w:color w:val="auto"/>
                <w:kern w:val="2"/>
                <w:sz w:val="24"/>
                <w:szCs w:val="24"/>
                <w:highlight w:val="none"/>
                <w:lang w:val="en-US" w:eastAsia="zh-CN"/>
              </w:rPr>
              <w:t>运营服务费</w:t>
            </w:r>
            <w:r>
              <w:rPr>
                <w:rFonts w:hint="default"/>
                <w:color w:val="auto"/>
                <w:kern w:val="2"/>
                <w:sz w:val="24"/>
                <w:szCs w:val="24"/>
                <w:highlight w:val="none"/>
              </w:rPr>
              <w:t>有效报价</w:t>
            </w:r>
            <w:r>
              <w:rPr>
                <w:rFonts w:hint="eastAsia"/>
                <w:color w:val="auto"/>
                <w:kern w:val="2"/>
                <w:sz w:val="24"/>
                <w:szCs w:val="24"/>
                <w:highlight w:val="none"/>
              </w:rPr>
              <w:t>中最低的</w:t>
            </w:r>
            <w:r>
              <w:rPr>
                <w:rFonts w:hint="default"/>
                <w:color w:val="auto"/>
                <w:kern w:val="2"/>
                <w:sz w:val="24"/>
                <w:szCs w:val="24"/>
                <w:highlight w:val="none"/>
              </w:rPr>
              <w:t>报价</w:t>
            </w:r>
            <w:r>
              <w:rPr>
                <w:rFonts w:hint="eastAsia"/>
                <w:color w:val="auto"/>
                <w:kern w:val="2"/>
                <w:sz w:val="24"/>
                <w:szCs w:val="24"/>
                <w:highlight w:val="none"/>
              </w:rPr>
              <w:t>为最佳</w:t>
            </w:r>
            <w:r>
              <w:rPr>
                <w:rFonts w:hint="default"/>
                <w:color w:val="auto"/>
                <w:kern w:val="2"/>
                <w:sz w:val="24"/>
                <w:szCs w:val="24"/>
                <w:highlight w:val="none"/>
              </w:rPr>
              <w:t>报价</w:t>
            </w:r>
            <w:r>
              <w:rPr>
                <w:rFonts w:hint="eastAsia"/>
                <w:color w:val="auto"/>
                <w:kern w:val="2"/>
                <w:sz w:val="24"/>
                <w:szCs w:val="24"/>
                <w:highlight w:val="none"/>
              </w:rPr>
              <w:t>。</w:t>
            </w:r>
          </w:p>
        </w:tc>
        <w:tc>
          <w:tcPr>
            <w:tcW w:w="858" w:type="dxa"/>
            <w:noWrap w:val="0"/>
            <w:vAlign w:val="center"/>
          </w:tcPr>
          <w:p w14:paraId="1288A03D">
            <w:pPr>
              <w:keepNext w:val="0"/>
              <w:keepLines w:val="0"/>
              <w:suppressLineNumbers w:val="0"/>
              <w:tabs>
                <w:tab w:val="center" w:pos="461"/>
              </w:tabs>
              <w:spacing w:before="0" w:beforeAutospacing="0" w:after="0" w:afterAutospacing="0" w:line="360" w:lineRule="auto"/>
              <w:ind w:left="0" w:right="0"/>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10</w:t>
            </w:r>
          </w:p>
        </w:tc>
      </w:tr>
      <w:tr w14:paraId="3DD7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710" w:type="dxa"/>
            <w:noWrap w:val="0"/>
            <w:vAlign w:val="center"/>
          </w:tcPr>
          <w:p w14:paraId="1230D319">
            <w:pPr>
              <w:keepNext w:val="0"/>
              <w:keepLines w:val="0"/>
              <w:suppressLineNumbers w:val="0"/>
              <w:spacing w:before="0" w:beforeAutospacing="0" w:after="0" w:afterAutospacing="0" w:line="360" w:lineRule="auto"/>
              <w:ind w:left="0" w:right="0"/>
              <w:jc w:val="center"/>
              <w:rPr>
                <w:rFonts w:hint="eastAsia"/>
                <w:color w:val="auto"/>
                <w:kern w:val="2"/>
                <w:sz w:val="24"/>
                <w:szCs w:val="24"/>
                <w:highlight w:val="none"/>
              </w:rPr>
            </w:pPr>
            <w:r>
              <w:rPr>
                <w:rFonts w:hint="eastAsia"/>
                <w:color w:val="auto"/>
                <w:kern w:val="2"/>
                <w:sz w:val="24"/>
                <w:szCs w:val="24"/>
                <w:highlight w:val="none"/>
              </w:rPr>
              <w:t>运营管理费</w:t>
            </w:r>
          </w:p>
        </w:tc>
        <w:tc>
          <w:tcPr>
            <w:tcW w:w="6491" w:type="dxa"/>
            <w:noWrap w:val="0"/>
            <w:vAlign w:val="center"/>
          </w:tcPr>
          <w:p w14:paraId="18D6DA1B">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（1）运营管理费有效报价得分记为</w:t>
            </w:r>
            <w:r>
              <w:rPr>
                <w:rFonts w:hint="default"/>
                <w:color w:val="auto"/>
                <w:kern w:val="2"/>
                <w:sz w:val="24"/>
                <w:szCs w:val="24"/>
                <w:highlight w:val="none"/>
              </w:rPr>
              <w:t>C</w:t>
            </w:r>
            <w:r>
              <w:rPr>
                <w:rFonts w:hint="eastAsia"/>
                <w:color w:val="auto"/>
                <w:kern w:val="2"/>
                <w:sz w:val="24"/>
                <w:szCs w:val="24"/>
                <w:highlight w:val="none"/>
              </w:rPr>
              <w:t>。</w:t>
            </w:r>
          </w:p>
          <w:p w14:paraId="09505878">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（2）</w:t>
            </w:r>
            <w:r>
              <w:rPr>
                <w:rFonts w:hint="default"/>
                <w:color w:val="auto"/>
                <w:kern w:val="2"/>
                <w:sz w:val="24"/>
                <w:szCs w:val="24"/>
                <w:highlight w:val="none"/>
              </w:rPr>
              <w:t>C</w:t>
            </w:r>
            <w:r>
              <w:rPr>
                <w:rFonts w:hint="eastAsia"/>
                <w:color w:val="auto"/>
                <w:kern w:val="2"/>
                <w:sz w:val="24"/>
                <w:szCs w:val="24"/>
                <w:highlight w:val="none"/>
              </w:rPr>
              <w:t>=（运营管理费最佳报价/运营管理费有效报价）×</w:t>
            </w:r>
            <w:r>
              <w:rPr>
                <w:rFonts w:hint="eastAsia"/>
                <w:color w:val="auto"/>
                <w:kern w:val="2"/>
                <w:sz w:val="24"/>
                <w:szCs w:val="24"/>
                <w:highlight w:val="none"/>
                <w:lang w:val="en-US" w:eastAsia="zh-CN"/>
              </w:rPr>
              <w:t>5</w:t>
            </w:r>
            <w:r>
              <w:rPr>
                <w:rFonts w:hint="eastAsia"/>
                <w:color w:val="auto"/>
                <w:kern w:val="2"/>
                <w:sz w:val="24"/>
                <w:szCs w:val="24"/>
                <w:highlight w:val="none"/>
              </w:rPr>
              <w:t>。</w:t>
            </w:r>
          </w:p>
          <w:p w14:paraId="2CFE5D7B">
            <w:pPr>
              <w:keepNext w:val="0"/>
              <w:keepLines w:val="0"/>
              <w:suppressLineNumbers w:val="0"/>
              <w:spacing w:before="0" w:beforeAutospacing="0" w:after="0" w:afterAutospacing="0" w:line="360" w:lineRule="auto"/>
              <w:ind w:left="0" w:right="0"/>
              <w:jc w:val="left"/>
              <w:rPr>
                <w:rFonts w:hint="eastAsia"/>
                <w:color w:val="auto"/>
                <w:kern w:val="2"/>
                <w:sz w:val="24"/>
                <w:szCs w:val="24"/>
                <w:highlight w:val="none"/>
              </w:rPr>
            </w:pPr>
            <w:r>
              <w:rPr>
                <w:rFonts w:hint="eastAsia"/>
                <w:color w:val="auto"/>
                <w:kern w:val="2"/>
                <w:sz w:val="24"/>
                <w:szCs w:val="24"/>
                <w:highlight w:val="none"/>
              </w:rPr>
              <w:t>（3）以所有运营管理费有效报价中最低的报价为最佳报价。</w:t>
            </w:r>
          </w:p>
        </w:tc>
        <w:tc>
          <w:tcPr>
            <w:tcW w:w="858" w:type="dxa"/>
            <w:noWrap w:val="0"/>
            <w:vAlign w:val="center"/>
          </w:tcPr>
          <w:p w14:paraId="29996D34">
            <w:pPr>
              <w:keepNext w:val="0"/>
              <w:keepLines w:val="0"/>
              <w:suppressLineNumbers w:val="0"/>
              <w:tabs>
                <w:tab w:val="center" w:pos="461"/>
              </w:tabs>
              <w:spacing w:before="0" w:beforeAutospacing="0" w:after="0" w:afterAutospacing="0" w:line="360" w:lineRule="auto"/>
              <w:ind w:left="0" w:right="0"/>
              <w:jc w:val="center"/>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5</w:t>
            </w:r>
          </w:p>
        </w:tc>
      </w:tr>
      <w:tr w14:paraId="2B82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59" w:type="dxa"/>
            <w:gridSpan w:val="3"/>
            <w:noWrap w:val="0"/>
            <w:vAlign w:val="center"/>
          </w:tcPr>
          <w:p w14:paraId="75E72999">
            <w:pPr>
              <w:keepNext w:val="0"/>
              <w:keepLines w:val="0"/>
              <w:suppressLineNumbers w:val="0"/>
              <w:tabs>
                <w:tab w:val="left" w:pos="2550"/>
              </w:tabs>
              <w:spacing w:before="0" w:beforeAutospacing="0" w:after="0" w:afterAutospacing="0" w:line="360" w:lineRule="auto"/>
              <w:ind w:left="0" w:right="0"/>
              <w:rPr>
                <w:rFonts w:hint="default"/>
                <w:color w:val="auto"/>
                <w:kern w:val="2"/>
                <w:sz w:val="24"/>
                <w:szCs w:val="24"/>
                <w:highlight w:val="none"/>
              </w:rPr>
            </w:pPr>
            <w:r>
              <w:rPr>
                <w:rFonts w:hint="eastAsia"/>
                <w:b/>
                <w:bCs/>
                <w:color w:val="auto"/>
                <w:kern w:val="2"/>
                <w:sz w:val="24"/>
                <w:szCs w:val="24"/>
                <w:highlight w:val="none"/>
              </w:rPr>
              <w:t>说明：每个评分项目单独计算其得分，报价总得分=A+B+C。</w:t>
            </w:r>
          </w:p>
        </w:tc>
      </w:tr>
    </w:tbl>
    <w:p w14:paraId="0B217238">
      <w:pPr>
        <w:pStyle w:val="17"/>
        <w:numPr>
          <w:ilvl w:val="0"/>
          <w:numId w:val="0"/>
        </w:numPr>
        <w:ind w:firstLine="0" w:firstLineChars="0"/>
        <w:rPr>
          <w:rFonts w:hint="eastAsia"/>
          <w:color w:val="auto"/>
        </w:rPr>
      </w:pPr>
    </w:p>
    <w:p w14:paraId="540B9749">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5、当报价一览表与</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报价明细表报价不一致</w:t>
      </w:r>
      <w:r>
        <w:rPr>
          <w:rFonts w:hint="eastAsia" w:ascii="宋体" w:hAnsi="宋体" w:eastAsia="宋体" w:cs="宋体"/>
          <w:color w:val="auto"/>
          <w:sz w:val="24"/>
          <w:highlight w:val="none"/>
          <w:u w:val="none"/>
        </w:rPr>
        <w:t>时，以报价一览表为准，</w:t>
      </w:r>
      <w:r>
        <w:rPr>
          <w:rFonts w:hint="eastAsia" w:ascii="宋体" w:hAnsi="宋体" w:eastAsia="宋体" w:cs="宋体"/>
          <w:color w:val="auto"/>
          <w:sz w:val="24"/>
          <w:highlight w:val="none"/>
          <w:u w:val="none"/>
          <w:lang w:val="en-US" w:eastAsia="zh-CN"/>
        </w:rPr>
        <w:t>投标</w:t>
      </w:r>
      <w:r>
        <w:rPr>
          <w:rFonts w:hint="eastAsia" w:ascii="宋体" w:hAnsi="宋体" w:eastAsia="宋体" w:cs="宋体"/>
          <w:color w:val="auto"/>
          <w:sz w:val="24"/>
          <w:highlight w:val="none"/>
          <w:u w:val="none"/>
        </w:rPr>
        <w:t>报价明细表报价予以修正并由授权代表签字确认，拒绝修正或确认的，则做无效标处理。</w:t>
      </w:r>
    </w:p>
    <w:p w14:paraId="73685FE3">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w:t>
      </w:r>
      <w:r>
        <w:rPr>
          <w:rFonts w:hint="eastAsia" w:ascii="宋体" w:hAnsi="宋体" w:eastAsia="宋体" w:cs="宋体"/>
          <w:color w:val="auto"/>
          <w:sz w:val="24"/>
          <w:highlight w:val="none"/>
          <w:u w:val="none"/>
          <w:lang w:val="en-US" w:eastAsia="zh-CN"/>
        </w:rPr>
        <w:t>投标</w:t>
      </w:r>
      <w:r>
        <w:rPr>
          <w:rFonts w:hint="eastAsia" w:ascii="宋体" w:hAnsi="宋体" w:eastAsia="宋体" w:cs="宋体"/>
          <w:color w:val="auto"/>
          <w:sz w:val="24"/>
          <w:highlight w:val="none"/>
          <w:u w:val="none"/>
        </w:rPr>
        <w:t>文件只允许有一个报价，</w:t>
      </w:r>
      <w:r>
        <w:rPr>
          <w:rFonts w:hint="eastAsia" w:ascii="宋体" w:hAnsi="宋体" w:eastAsia="宋体" w:cs="宋体"/>
          <w:color w:val="auto"/>
          <w:sz w:val="24"/>
          <w:highlight w:val="none"/>
          <w:u w:val="none"/>
          <w:lang w:val="en-US" w:eastAsia="zh-CN"/>
        </w:rPr>
        <w:t>投标</w:t>
      </w:r>
      <w:r>
        <w:rPr>
          <w:rFonts w:hint="eastAsia" w:ascii="宋体" w:hAnsi="宋体" w:eastAsia="宋体" w:cs="宋体"/>
          <w:color w:val="auto"/>
          <w:sz w:val="24"/>
          <w:highlight w:val="none"/>
          <w:u w:val="none"/>
        </w:rPr>
        <w:t>报价应按</w:t>
      </w:r>
      <w:r>
        <w:rPr>
          <w:rFonts w:hint="eastAsia" w:ascii="宋体" w:hAnsi="宋体" w:eastAsia="宋体" w:cs="宋体"/>
          <w:color w:val="auto"/>
          <w:sz w:val="24"/>
          <w:highlight w:val="none"/>
          <w:u w:val="none"/>
          <w:lang w:val="en-US" w:eastAsia="zh-CN"/>
        </w:rPr>
        <w:t>招标</w:t>
      </w:r>
      <w:r>
        <w:rPr>
          <w:rFonts w:hint="eastAsia" w:ascii="宋体" w:hAnsi="宋体" w:eastAsia="宋体" w:cs="宋体"/>
          <w:color w:val="auto"/>
          <w:sz w:val="24"/>
          <w:highlight w:val="none"/>
          <w:u w:val="none"/>
        </w:rPr>
        <w:t>文件中相关附表格式填报，该</w:t>
      </w:r>
      <w:r>
        <w:rPr>
          <w:rFonts w:hint="eastAsia" w:ascii="宋体" w:hAnsi="宋体" w:eastAsia="宋体" w:cs="宋体"/>
          <w:color w:val="auto"/>
          <w:sz w:val="24"/>
          <w:highlight w:val="none"/>
          <w:u w:val="none"/>
          <w:lang w:val="en-US" w:eastAsia="zh-CN"/>
        </w:rPr>
        <w:t>投标</w:t>
      </w:r>
      <w:r>
        <w:rPr>
          <w:rFonts w:hint="eastAsia" w:ascii="宋体" w:hAnsi="宋体" w:eastAsia="宋体" w:cs="宋体"/>
          <w:color w:val="auto"/>
          <w:sz w:val="24"/>
          <w:highlight w:val="none"/>
          <w:u w:val="none"/>
        </w:rPr>
        <w:t>报价应与明细报价汇总相等，且不允许出现报价优惠、赠送等字样（明细出现“0”元，视同赠送），如出现则做</w:t>
      </w:r>
      <w:r>
        <w:rPr>
          <w:rFonts w:hint="eastAsia" w:ascii="宋体" w:hAnsi="宋体" w:eastAsia="宋体" w:cs="宋体"/>
          <w:b/>
          <w:bCs/>
          <w:color w:val="auto"/>
          <w:sz w:val="24"/>
          <w:highlight w:val="none"/>
          <w:u w:val="none"/>
        </w:rPr>
        <w:t>无效响应</w:t>
      </w:r>
      <w:r>
        <w:rPr>
          <w:rFonts w:hint="eastAsia" w:ascii="宋体" w:hAnsi="宋体" w:eastAsia="宋体" w:cs="宋体"/>
          <w:color w:val="auto"/>
          <w:sz w:val="24"/>
          <w:highlight w:val="none"/>
          <w:u w:val="none"/>
        </w:rPr>
        <w:t>处理。</w:t>
      </w:r>
    </w:p>
    <w:p w14:paraId="3ABDD0D7">
      <w:pPr>
        <w:autoSpaceDE w:val="0"/>
        <w:autoSpaceDN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bCs/>
          <w:color w:val="auto"/>
          <w:sz w:val="24"/>
          <w:highlight w:val="none"/>
        </w:rPr>
        <w:t>投标价格的合理性</w:t>
      </w:r>
      <w:r>
        <w:rPr>
          <w:rFonts w:hint="eastAsia" w:ascii="宋体" w:hAnsi="宋体" w:eastAsia="宋体" w:cs="宋体"/>
          <w:color w:val="auto"/>
          <w:sz w:val="24"/>
          <w:highlight w:val="none"/>
        </w:rPr>
        <w:t>：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8E36856">
      <w:pPr>
        <w:spacing w:line="360" w:lineRule="auto"/>
        <w:outlineLvl w:val="2"/>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w:t>
      </w:r>
      <w:r>
        <w:rPr>
          <w:rFonts w:hint="eastAsia" w:ascii="宋体" w:hAnsi="宋体" w:cs="宋体"/>
          <w:b/>
          <w:bCs/>
          <w:color w:val="auto"/>
          <w:sz w:val="24"/>
          <w:highlight w:val="none"/>
        </w:rPr>
        <w:t>技术文件评标内容及标准</w:t>
      </w:r>
      <w:r>
        <w:rPr>
          <w:rFonts w:hint="eastAsia" w:ascii="宋体" w:hAnsi="宋体" w:eastAsia="宋体" w:cs="宋体"/>
          <w:b/>
          <w:bCs/>
          <w:color w:val="auto"/>
          <w:sz w:val="24"/>
          <w:szCs w:val="21"/>
          <w:highlight w:val="none"/>
        </w:rPr>
        <w:t>（7</w:t>
      </w:r>
      <w:r>
        <w:rPr>
          <w:rFonts w:hint="eastAsia" w:cs="宋体"/>
          <w:b/>
          <w:bCs/>
          <w:color w:val="auto"/>
          <w:sz w:val="24"/>
          <w:szCs w:val="21"/>
          <w:highlight w:val="none"/>
          <w:lang w:val="en-US" w:eastAsia="zh-CN"/>
        </w:rPr>
        <w:t>2</w:t>
      </w:r>
      <w:r>
        <w:rPr>
          <w:rFonts w:hint="eastAsia" w:ascii="宋体" w:hAnsi="宋体" w:eastAsia="宋体" w:cs="宋体"/>
          <w:b/>
          <w:bCs/>
          <w:color w:val="auto"/>
          <w:sz w:val="24"/>
          <w:szCs w:val="21"/>
          <w:highlight w:val="none"/>
        </w:rPr>
        <w:t>分）</w:t>
      </w:r>
    </w:p>
    <w:p w14:paraId="40DD0484">
      <w:pPr>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highlight w:val="none"/>
        </w:rPr>
        <w:t>1、技术文件评分细则</w:t>
      </w:r>
    </w:p>
    <w:tbl>
      <w:tblPr>
        <w:tblStyle w:val="19"/>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6867"/>
        <w:gridCol w:w="873"/>
      </w:tblGrid>
      <w:tr w14:paraId="522D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tcBorders>
              <w:top w:val="single" w:color="auto" w:sz="4" w:space="0"/>
              <w:left w:val="single" w:color="auto" w:sz="4" w:space="0"/>
              <w:bottom w:val="single" w:color="auto" w:sz="4" w:space="0"/>
              <w:right w:val="single" w:color="auto" w:sz="4" w:space="0"/>
            </w:tcBorders>
            <w:noWrap w:val="0"/>
            <w:vAlign w:val="center"/>
          </w:tcPr>
          <w:p w14:paraId="0050275E">
            <w:pPr>
              <w:keepNext w:val="0"/>
              <w:keepLines w:val="0"/>
              <w:suppressLineNumbers w:val="0"/>
              <w:adjustRightInd w:val="0"/>
              <w:spacing w:before="156" w:beforeLines="5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192C8B2C">
            <w:pPr>
              <w:keepNext w:val="0"/>
              <w:keepLines w:val="0"/>
              <w:suppressLineNumbers w:val="0"/>
              <w:adjustRightInd w:val="0"/>
              <w:spacing w:before="156" w:beforeLines="5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评分标准说明</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17A0F5A">
            <w:pPr>
              <w:keepNext w:val="0"/>
              <w:keepLines w:val="0"/>
              <w:suppressLineNumbers w:val="0"/>
              <w:adjustRightInd w:val="0"/>
              <w:spacing w:before="156" w:beforeLines="5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w:t>
            </w:r>
          </w:p>
        </w:tc>
      </w:tr>
      <w:tr w14:paraId="1BFC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477" w:type="dxa"/>
            <w:tcBorders>
              <w:top w:val="single" w:color="auto" w:sz="4" w:space="0"/>
              <w:left w:val="single" w:color="auto" w:sz="4" w:space="0"/>
              <w:bottom w:val="single" w:color="auto" w:sz="4" w:space="0"/>
              <w:right w:val="single" w:color="auto" w:sz="4" w:space="0"/>
            </w:tcBorders>
            <w:noWrap w:val="0"/>
            <w:vAlign w:val="center"/>
          </w:tcPr>
          <w:p w14:paraId="554177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项目运营重难点分析</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1473CD3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评委</w:t>
            </w:r>
            <w:r>
              <w:rPr>
                <w:rFonts w:hint="eastAsia" w:ascii="宋体" w:hAnsi="宋体" w:cs="宋体"/>
                <w:color w:val="auto"/>
                <w:sz w:val="24"/>
                <w:highlight w:val="none"/>
              </w:rPr>
              <w:t>根据投标人对本项目采购内容和要求的理解，对本项目运营服务的重难点进行分析，并针对重难点提出可行的解决方案。对重难点分析是否到位，解决方案是否可行等</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74AD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r>
      <w:tr w14:paraId="44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77" w:type="dxa"/>
            <w:tcBorders>
              <w:left w:val="single" w:color="auto" w:sz="4" w:space="0"/>
              <w:bottom w:val="single" w:color="auto" w:sz="4" w:space="0"/>
              <w:right w:val="single" w:color="auto" w:sz="4" w:space="0"/>
            </w:tcBorders>
            <w:noWrap w:val="0"/>
            <w:vAlign w:val="center"/>
          </w:tcPr>
          <w:p w14:paraId="45004D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社群活动</w:t>
            </w:r>
            <w:r>
              <w:rPr>
                <w:rFonts w:hint="eastAsia" w:ascii="宋体" w:hAnsi="宋体" w:eastAsia="宋体" w:cs="宋体"/>
                <w:color w:val="auto"/>
                <w:sz w:val="24"/>
                <w:highlight w:val="none"/>
              </w:rPr>
              <w:t>方案</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4006383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根据投标人提供的社群活动方案的计划、思路、目标进行评分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ADDB21">
            <w:pPr>
              <w:pStyle w:val="23"/>
              <w:keepNext w:val="0"/>
              <w:keepLines w:val="0"/>
              <w:suppressLineNumbers w:val="0"/>
              <w:spacing w:before="0" w:beforeAutospacing="0" w:afterAutospacing="0"/>
              <w:ind w:left="0" w:right="0"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eastAsia="宋体" w:cs="宋体"/>
                <w:color w:val="auto"/>
                <w:spacing w:val="-6"/>
                <w:szCs w:val="24"/>
                <w:highlight w:val="none"/>
                <w:lang w:val="en-US" w:eastAsia="zh-CN"/>
              </w:rPr>
              <w:t>0-5</w:t>
            </w:r>
          </w:p>
        </w:tc>
      </w:tr>
      <w:tr w14:paraId="7248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477" w:type="dxa"/>
            <w:tcBorders>
              <w:left w:val="single" w:color="auto" w:sz="4" w:space="0"/>
              <w:bottom w:val="single" w:color="auto" w:sz="4" w:space="0"/>
              <w:right w:val="single" w:color="auto" w:sz="4" w:space="0"/>
            </w:tcBorders>
            <w:noWrap w:val="0"/>
            <w:vAlign w:val="center"/>
          </w:tcPr>
          <w:p w14:paraId="23F748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运营前期介入服务实施方案</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2C91476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根据前期介入服务内容和要求，提供详细的运营前期介入服务实施方案，对实施方案的创新性、针对性、可实施性等进行打分。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807BC9">
            <w:pPr>
              <w:pStyle w:val="23"/>
              <w:keepNext w:val="0"/>
              <w:keepLines w:val="0"/>
              <w:suppressLineNumbers w:val="0"/>
              <w:spacing w:before="0" w:beforeAutospacing="0" w:afterAutospacing="0"/>
              <w:ind w:left="0" w:right="0"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eastAsia="宋体" w:cs="宋体"/>
                <w:color w:val="auto"/>
                <w:spacing w:val="-6"/>
                <w:szCs w:val="24"/>
                <w:highlight w:val="none"/>
                <w:lang w:val="en-US" w:eastAsia="zh-CN"/>
              </w:rPr>
              <w:t>0-5</w:t>
            </w:r>
          </w:p>
        </w:tc>
      </w:tr>
      <w:tr w14:paraId="54A6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77" w:type="dxa"/>
            <w:vMerge w:val="restart"/>
            <w:tcBorders>
              <w:left w:val="single" w:color="auto" w:sz="4" w:space="0"/>
              <w:right w:val="single" w:color="auto" w:sz="4" w:space="0"/>
            </w:tcBorders>
            <w:noWrap w:val="0"/>
            <w:vAlign w:val="center"/>
          </w:tcPr>
          <w:p w14:paraId="099D12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运营管理</w:t>
            </w:r>
          </w:p>
          <w:p w14:paraId="0E5A7C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实施方案</w:t>
            </w:r>
          </w:p>
          <w:p w14:paraId="6A490C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7EF2B96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根据投标人针对本项目提出的总体运营计划、思路、目标进行评分。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95DF49E">
            <w:pPr>
              <w:pStyle w:val="23"/>
              <w:keepNext w:val="0"/>
              <w:keepLines w:val="0"/>
              <w:suppressLineNumbers w:val="0"/>
              <w:spacing w:before="0" w:beforeAutospacing="0" w:afterAutospacing="0"/>
              <w:ind w:left="0" w:right="0" w:firstLine="0" w:firstLineChars="0"/>
              <w:jc w:val="center"/>
              <w:rPr>
                <w:rFonts w:hint="eastAsia" w:ascii="宋体" w:hAnsi="宋体" w:cs="宋体"/>
                <w:color w:val="auto"/>
                <w:spacing w:val="-6"/>
                <w:szCs w:val="24"/>
                <w:highlight w:val="none"/>
              </w:rPr>
            </w:pPr>
            <w:r>
              <w:rPr>
                <w:rFonts w:hint="eastAsia" w:ascii="宋体" w:hAnsi="宋体" w:cs="宋体"/>
                <w:color w:val="auto"/>
                <w:spacing w:val="-6"/>
                <w:szCs w:val="24"/>
                <w:highlight w:val="none"/>
                <w:lang w:val="en-US" w:eastAsia="zh-CN"/>
              </w:rPr>
              <w:t>0-6</w:t>
            </w:r>
          </w:p>
        </w:tc>
      </w:tr>
      <w:tr w14:paraId="6C16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vMerge w:val="continue"/>
            <w:tcBorders>
              <w:left w:val="single" w:color="auto" w:sz="4" w:space="0"/>
              <w:right w:val="single" w:color="auto" w:sz="4" w:space="0"/>
            </w:tcBorders>
            <w:noWrap w:val="0"/>
            <w:vAlign w:val="center"/>
          </w:tcPr>
          <w:p w14:paraId="3F40D6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0EF6490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根据投标人针对本项目提出的运营管理项目定位(价值定位、风格定位、 管理定位等)进行评分。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6CFAD56">
            <w:pPr>
              <w:pStyle w:val="23"/>
              <w:keepNext w:val="0"/>
              <w:keepLines w:val="0"/>
              <w:suppressLineNumbers w:val="0"/>
              <w:spacing w:before="0" w:beforeAutospacing="0" w:afterAutospacing="0"/>
              <w:ind w:left="0" w:right="0" w:firstLine="0" w:firstLineChars="0"/>
              <w:jc w:val="center"/>
              <w:rPr>
                <w:rFonts w:hint="eastAsia" w:ascii="宋体" w:hAnsi="宋体" w:cs="宋体"/>
                <w:color w:val="auto"/>
                <w:spacing w:val="-6"/>
                <w:szCs w:val="24"/>
                <w:highlight w:val="none"/>
              </w:rPr>
            </w:pPr>
            <w:r>
              <w:rPr>
                <w:rFonts w:hint="eastAsia" w:ascii="宋体" w:hAnsi="宋体" w:cs="宋体"/>
                <w:color w:val="auto"/>
                <w:spacing w:val="-6"/>
                <w:szCs w:val="24"/>
                <w:highlight w:val="none"/>
                <w:lang w:val="en-US" w:eastAsia="zh-CN"/>
              </w:rPr>
              <w:t>0-4</w:t>
            </w:r>
          </w:p>
        </w:tc>
      </w:tr>
      <w:tr w14:paraId="191F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vMerge w:val="continue"/>
            <w:tcBorders>
              <w:left w:val="single" w:color="auto" w:sz="4" w:space="0"/>
              <w:right w:val="single" w:color="auto" w:sz="4" w:space="0"/>
            </w:tcBorders>
            <w:noWrap w:val="0"/>
            <w:vAlign w:val="center"/>
          </w:tcPr>
          <w:p w14:paraId="195360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07A3661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根据投标人针对本项目编制的运营方案实施细则的针对性、科学性、有效 性、完善程度进行评分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40172F">
            <w:pPr>
              <w:pStyle w:val="23"/>
              <w:keepNext w:val="0"/>
              <w:keepLines w:val="0"/>
              <w:suppressLineNumbers w:val="0"/>
              <w:spacing w:before="0" w:beforeAutospacing="0" w:afterAutospacing="0"/>
              <w:ind w:left="0" w:right="0" w:firstLine="0" w:firstLineChars="0"/>
              <w:jc w:val="center"/>
              <w:rPr>
                <w:rFonts w:hint="eastAsia" w:ascii="宋体" w:hAnsi="宋体" w:cs="宋体"/>
                <w:color w:val="auto"/>
                <w:spacing w:val="-6"/>
                <w:szCs w:val="24"/>
                <w:highlight w:val="none"/>
              </w:rPr>
            </w:pPr>
            <w:r>
              <w:rPr>
                <w:rFonts w:hint="eastAsia" w:ascii="宋体" w:hAnsi="宋体" w:cs="宋体"/>
                <w:color w:val="auto"/>
                <w:spacing w:val="-6"/>
                <w:szCs w:val="24"/>
                <w:highlight w:val="none"/>
                <w:lang w:val="en-US" w:eastAsia="zh-CN"/>
              </w:rPr>
              <w:t>0-4</w:t>
            </w:r>
          </w:p>
        </w:tc>
      </w:tr>
      <w:tr w14:paraId="75FB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vMerge w:val="restart"/>
            <w:tcBorders>
              <w:left w:val="single" w:color="auto" w:sz="4" w:space="0"/>
              <w:right w:val="single" w:color="auto" w:sz="4" w:space="0"/>
            </w:tcBorders>
            <w:noWrap w:val="0"/>
            <w:vAlign w:val="center"/>
          </w:tcPr>
          <w:p w14:paraId="4B11D5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物业管理实施方案</w:t>
            </w:r>
          </w:p>
        </w:tc>
        <w:tc>
          <w:tcPr>
            <w:tcW w:w="6867" w:type="dxa"/>
            <w:tcBorders>
              <w:top w:val="single" w:color="auto" w:sz="4" w:space="0"/>
              <w:left w:val="single" w:color="auto" w:sz="4" w:space="0"/>
              <w:bottom w:val="single" w:color="auto" w:sz="4" w:space="0"/>
              <w:right w:val="single" w:color="auto" w:sz="4" w:space="0"/>
            </w:tcBorders>
            <w:noWrap w:val="0"/>
            <w:vAlign w:val="top"/>
          </w:tcPr>
          <w:p w14:paraId="79AE296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根据投标人针对本项目提供的安保工作管理方案(包括但不限于安保人员配置、工作时间安排，以及重大接待、消防安全监控管理、入户安全检查等服务保障方案)的针对性、完整性、可行性进行评分。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F30D872">
            <w:pPr>
              <w:pStyle w:val="23"/>
              <w:keepNext w:val="0"/>
              <w:keepLines w:val="0"/>
              <w:suppressLineNumbers w:val="0"/>
              <w:spacing w:before="0" w:beforeAutospacing="0" w:afterAutospacing="0"/>
              <w:ind w:left="0" w:right="0"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0-6</w:t>
            </w:r>
          </w:p>
        </w:tc>
      </w:tr>
      <w:tr w14:paraId="7150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77" w:type="dxa"/>
            <w:vMerge w:val="continue"/>
            <w:tcBorders>
              <w:left w:val="single" w:color="auto" w:sz="4" w:space="0"/>
              <w:right w:val="single" w:color="auto" w:sz="4" w:space="0"/>
            </w:tcBorders>
            <w:noWrap w:val="0"/>
            <w:vAlign w:val="center"/>
          </w:tcPr>
          <w:p w14:paraId="13AE97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67A9DAE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根据投标人针对本项目提供的卫生保洁管理方案(包括但不限于保洁人员配置、区域划分、工作时间安排、操作规程、卫生标准及 质量检查标准)的针对性、完整性、可行性进行评分。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68D171E">
            <w:pPr>
              <w:pStyle w:val="23"/>
              <w:keepNext w:val="0"/>
              <w:keepLines w:val="0"/>
              <w:suppressLineNumbers w:val="0"/>
              <w:spacing w:before="0" w:beforeAutospacing="0" w:afterAutospacing="0"/>
              <w:ind w:left="0" w:right="0" w:firstLine="0" w:firstLineChars="0"/>
              <w:jc w:val="center"/>
              <w:rPr>
                <w:rFonts w:hint="default" w:ascii="宋体" w:hAnsi="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0-6</w:t>
            </w:r>
          </w:p>
        </w:tc>
      </w:tr>
      <w:tr w14:paraId="4DD1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08811E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p>
        </w:tc>
        <w:tc>
          <w:tcPr>
            <w:tcW w:w="6867" w:type="dxa"/>
            <w:tcBorders>
              <w:top w:val="single" w:color="auto" w:sz="4" w:space="0"/>
              <w:left w:val="single" w:color="auto" w:sz="4" w:space="0"/>
              <w:bottom w:val="single" w:color="auto" w:sz="4" w:space="0"/>
              <w:right w:val="single" w:color="auto" w:sz="4" w:space="0"/>
            </w:tcBorders>
            <w:noWrap w:val="0"/>
            <w:vAlign w:val="top"/>
          </w:tcPr>
          <w:p w14:paraId="290D86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根据投标人针对本项目提供的设备维保服务方案(包括但不限于维保人员 配置、岗位职责、维保制度、定期检修、响应时间)的针对性、完整性、可行性 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88FACC">
            <w:pPr>
              <w:pStyle w:val="23"/>
              <w:keepNext w:val="0"/>
              <w:keepLines w:val="0"/>
              <w:suppressLineNumbers w:val="0"/>
              <w:spacing w:before="0" w:beforeAutospacing="0" w:afterAutospacing="0"/>
              <w:ind w:left="0" w:right="0" w:firstLine="0" w:firstLineChars="0"/>
              <w:jc w:val="center"/>
              <w:rPr>
                <w:rFonts w:hint="default" w:ascii="宋体" w:hAnsi="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0-4</w:t>
            </w:r>
          </w:p>
        </w:tc>
      </w:tr>
      <w:tr w14:paraId="748A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477" w:type="dxa"/>
            <w:vMerge w:val="restart"/>
            <w:tcBorders>
              <w:left w:val="single" w:color="auto" w:sz="4" w:space="0"/>
              <w:right w:val="single" w:color="auto" w:sz="4" w:space="0"/>
            </w:tcBorders>
            <w:noWrap w:val="0"/>
            <w:vAlign w:val="center"/>
          </w:tcPr>
          <w:p w14:paraId="3A9095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人员配置</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06FC645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0"/>
                <w:highlight w:val="none"/>
                <w:lang w:val="en-US" w:eastAsia="zh-CN"/>
              </w:rPr>
            </w:pPr>
            <w:r>
              <w:rPr>
                <w:rFonts w:hint="eastAsia" w:ascii="宋体" w:hAnsi="宋体" w:cs="宋体"/>
                <w:color w:val="auto"/>
                <w:sz w:val="24"/>
                <w:highlight w:val="none"/>
                <w:lang w:val="en-US" w:eastAsia="zh-CN"/>
              </w:rPr>
              <w:t>评委根据投标人拟投入本项目整体团队人员的分工合理性、职责明确性进行打分。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2ADFDD">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pacing w:val="-6"/>
                <w:sz w:val="20"/>
                <w:szCs w:val="24"/>
                <w:highlight w:val="none"/>
                <w:lang w:val="en-US" w:eastAsia="zh-CN"/>
              </w:rPr>
            </w:pPr>
            <w:r>
              <w:rPr>
                <w:rFonts w:hint="eastAsia" w:ascii="宋体" w:hAnsi="宋体" w:cs="宋体"/>
                <w:bCs/>
                <w:color w:val="auto"/>
                <w:sz w:val="24"/>
                <w:highlight w:val="none"/>
                <w:lang w:val="en-US" w:eastAsia="zh-CN"/>
              </w:rPr>
              <w:t>0-</w:t>
            </w:r>
            <w:r>
              <w:rPr>
                <w:rFonts w:hint="eastAsia" w:ascii="宋体" w:hAnsi="宋体" w:cs="宋体"/>
                <w:color w:val="auto"/>
                <w:sz w:val="24"/>
                <w:highlight w:val="none"/>
                <w:lang w:val="en-US" w:eastAsia="zh-CN"/>
              </w:rPr>
              <w:t>3</w:t>
            </w:r>
          </w:p>
        </w:tc>
      </w:tr>
      <w:tr w14:paraId="3AB4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477" w:type="dxa"/>
            <w:vMerge w:val="continue"/>
            <w:tcBorders>
              <w:left w:val="single" w:color="auto" w:sz="4" w:space="0"/>
              <w:right w:val="single" w:color="auto" w:sz="4" w:space="0"/>
            </w:tcBorders>
            <w:noWrap w:val="0"/>
            <w:vAlign w:val="center"/>
          </w:tcPr>
          <w:p w14:paraId="46B3AA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val="en-US" w:eastAsia="zh-CN"/>
              </w:rPr>
            </w:pPr>
          </w:p>
        </w:tc>
        <w:tc>
          <w:tcPr>
            <w:tcW w:w="6867" w:type="dxa"/>
            <w:tcBorders>
              <w:top w:val="single" w:color="auto" w:sz="4" w:space="0"/>
              <w:left w:val="single" w:color="auto" w:sz="4" w:space="0"/>
              <w:bottom w:val="single" w:color="auto" w:sz="4" w:space="0"/>
              <w:right w:val="single" w:color="auto" w:sz="4" w:space="0"/>
            </w:tcBorders>
            <w:noWrap w:val="0"/>
            <w:vAlign w:val="center"/>
          </w:tcPr>
          <w:p w14:paraId="57855A6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0"/>
                <w:highlight w:val="none"/>
                <w:lang w:val="en-US" w:eastAsia="zh-CN"/>
              </w:rPr>
            </w:pPr>
            <w:r>
              <w:rPr>
                <w:rFonts w:hint="eastAsia" w:ascii="宋体" w:hAnsi="宋体" w:cs="宋体"/>
                <w:color w:val="auto"/>
                <w:sz w:val="24"/>
                <w:highlight w:val="none"/>
                <w:lang w:val="en-US" w:eastAsia="zh-CN"/>
              </w:rPr>
              <w:t>评委根据投标人拟投入拟派项目</w:t>
            </w:r>
            <w:r>
              <w:rPr>
                <w:rFonts w:hint="eastAsia" w:cs="宋体"/>
                <w:color w:val="auto"/>
                <w:sz w:val="24"/>
                <w:highlight w:val="none"/>
                <w:lang w:val="en-US" w:eastAsia="zh-CN"/>
              </w:rPr>
              <w:t>店长</w:t>
            </w:r>
            <w:r>
              <w:rPr>
                <w:rFonts w:hint="eastAsia" w:ascii="宋体" w:hAnsi="宋体" w:cs="宋体"/>
                <w:color w:val="auto"/>
                <w:sz w:val="24"/>
                <w:highlight w:val="none"/>
                <w:lang w:val="en-US" w:eastAsia="zh-CN"/>
              </w:rPr>
              <w:t>是否具类似本项目的工作经验、文化程度等综合实力进行打分。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92F014">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pacing w:val="-6"/>
                <w:sz w:val="20"/>
                <w:szCs w:val="24"/>
                <w:highlight w:val="none"/>
                <w:lang w:val="en-US" w:eastAsia="zh-CN"/>
              </w:rPr>
            </w:pPr>
            <w:r>
              <w:rPr>
                <w:rFonts w:hint="eastAsia" w:ascii="宋体" w:hAnsi="宋体" w:cs="宋体"/>
                <w:bCs/>
                <w:color w:val="auto"/>
                <w:sz w:val="24"/>
                <w:highlight w:val="none"/>
                <w:lang w:val="en-US" w:eastAsia="zh-CN"/>
              </w:rPr>
              <w:t>0-</w:t>
            </w:r>
            <w:r>
              <w:rPr>
                <w:rFonts w:hint="eastAsia" w:ascii="宋体" w:hAnsi="宋体" w:cs="宋体"/>
                <w:color w:val="auto"/>
                <w:sz w:val="24"/>
                <w:highlight w:val="none"/>
                <w:lang w:val="en-US" w:eastAsia="zh-CN"/>
              </w:rPr>
              <w:t>3</w:t>
            </w:r>
          </w:p>
        </w:tc>
      </w:tr>
      <w:tr w14:paraId="45F5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04E1DA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val="en-US" w:eastAsia="zh-CN"/>
              </w:rPr>
            </w:pPr>
          </w:p>
        </w:tc>
        <w:tc>
          <w:tcPr>
            <w:tcW w:w="6867" w:type="dxa"/>
            <w:tcBorders>
              <w:top w:val="single" w:color="auto" w:sz="4" w:space="0"/>
              <w:left w:val="single" w:color="auto" w:sz="4" w:space="0"/>
              <w:bottom w:val="single" w:color="auto" w:sz="4" w:space="0"/>
              <w:right w:val="single" w:color="auto" w:sz="4" w:space="0"/>
            </w:tcBorders>
            <w:noWrap w:val="0"/>
            <w:vAlign w:val="center"/>
          </w:tcPr>
          <w:p w14:paraId="2289861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default" w:ascii="宋体" w:hAnsi="宋体" w:cs="宋体"/>
                <w:color w:val="auto"/>
                <w:sz w:val="20"/>
                <w:highlight w:val="none"/>
                <w:lang w:val="en-US" w:eastAsia="zh-CN"/>
              </w:rPr>
            </w:pPr>
            <w:r>
              <w:rPr>
                <w:rFonts w:hint="default" w:ascii="宋体" w:hAnsi="宋体" w:cs="宋体"/>
                <w:color w:val="auto"/>
                <w:sz w:val="24"/>
                <w:highlight w:val="none"/>
                <w:lang w:val="en-US" w:eastAsia="zh-CN"/>
              </w:rPr>
              <w:t>根据投标人拟投入本项目的</w:t>
            </w:r>
            <w:r>
              <w:rPr>
                <w:rFonts w:hint="eastAsia" w:cs="宋体"/>
                <w:color w:val="auto"/>
                <w:sz w:val="24"/>
                <w:highlight w:val="none"/>
                <w:lang w:val="en-US" w:eastAsia="zh-CN"/>
              </w:rPr>
              <w:t>主管、管家</w:t>
            </w:r>
            <w:r>
              <w:rPr>
                <w:rFonts w:hint="default" w:ascii="宋体" w:hAnsi="宋体" w:cs="宋体"/>
                <w:color w:val="auto"/>
                <w:sz w:val="24"/>
                <w:highlight w:val="none"/>
                <w:lang w:val="en-US" w:eastAsia="zh-CN"/>
              </w:rPr>
              <w:t>（除</w:t>
            </w:r>
            <w:r>
              <w:rPr>
                <w:rFonts w:hint="eastAsia" w:cs="宋体"/>
                <w:color w:val="auto"/>
                <w:sz w:val="24"/>
                <w:highlight w:val="none"/>
                <w:lang w:val="en-US" w:eastAsia="zh-CN"/>
              </w:rPr>
              <w:t>店长</w:t>
            </w:r>
            <w:r>
              <w:rPr>
                <w:rFonts w:hint="default" w:ascii="宋体" w:hAnsi="宋体" w:cs="宋体"/>
                <w:color w:val="auto"/>
                <w:sz w:val="24"/>
                <w:highlight w:val="none"/>
                <w:lang w:val="en-US" w:eastAsia="zh-CN"/>
              </w:rPr>
              <w:t>）的数量、素质、专业、</w:t>
            </w:r>
            <w:r>
              <w:rPr>
                <w:rFonts w:hint="eastAsia" w:cs="宋体"/>
                <w:color w:val="auto"/>
                <w:sz w:val="24"/>
                <w:highlight w:val="none"/>
                <w:lang w:val="en-US" w:eastAsia="zh-CN"/>
              </w:rPr>
              <w:t>工作</w:t>
            </w:r>
            <w:r>
              <w:rPr>
                <w:rFonts w:hint="default" w:ascii="宋体" w:hAnsi="宋体" w:cs="宋体"/>
                <w:color w:val="auto"/>
                <w:sz w:val="24"/>
                <w:highlight w:val="none"/>
                <w:lang w:val="en-US" w:eastAsia="zh-CN"/>
              </w:rPr>
              <w:t>经验等情况进行打分。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B2EF8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pacing w:val="-6"/>
                <w:sz w:val="20"/>
                <w:szCs w:val="24"/>
                <w:highlight w:val="none"/>
                <w:lang w:val="en-US" w:eastAsia="zh-CN"/>
              </w:rPr>
            </w:pPr>
            <w:r>
              <w:rPr>
                <w:rFonts w:hint="eastAsia" w:ascii="宋体" w:hAnsi="宋体" w:cs="宋体"/>
                <w:bCs/>
                <w:color w:val="auto"/>
                <w:sz w:val="24"/>
                <w:highlight w:val="none"/>
                <w:lang w:val="en-US" w:eastAsia="zh-CN"/>
              </w:rPr>
              <w:t>0-</w:t>
            </w:r>
            <w:r>
              <w:rPr>
                <w:rFonts w:hint="eastAsia" w:ascii="宋体" w:hAnsi="宋体" w:cs="宋体"/>
                <w:color w:val="auto"/>
                <w:sz w:val="24"/>
                <w:highlight w:val="none"/>
                <w:lang w:val="en-US" w:eastAsia="zh-CN"/>
              </w:rPr>
              <w:t>3</w:t>
            </w:r>
          </w:p>
        </w:tc>
      </w:tr>
      <w:tr w14:paraId="5035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vMerge w:val="restart"/>
            <w:tcBorders>
              <w:left w:val="single" w:color="auto" w:sz="4" w:space="0"/>
              <w:right w:val="single" w:color="auto" w:sz="4" w:space="0"/>
            </w:tcBorders>
            <w:noWrap w:val="0"/>
            <w:vAlign w:val="center"/>
          </w:tcPr>
          <w:p w14:paraId="01BF37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数字化服务</w:t>
            </w:r>
            <w:r>
              <w:rPr>
                <w:rFonts w:hint="eastAsia" w:ascii="宋体" w:hAnsi="宋体" w:eastAsia="宋体" w:cs="宋体"/>
                <w:color w:val="auto"/>
                <w:sz w:val="24"/>
                <w:highlight w:val="none"/>
                <w:lang w:val="en-US" w:eastAsia="zh-CN"/>
              </w:rPr>
              <w:t>演示</w:t>
            </w:r>
          </w:p>
        </w:tc>
        <w:tc>
          <w:tcPr>
            <w:tcW w:w="7740" w:type="dxa"/>
            <w:gridSpan w:val="2"/>
            <w:tcBorders>
              <w:top w:val="single" w:color="auto" w:sz="4" w:space="0"/>
              <w:left w:val="single" w:color="auto" w:sz="4" w:space="0"/>
              <w:bottom w:val="single" w:color="auto" w:sz="4" w:space="0"/>
              <w:right w:val="single" w:color="auto" w:sz="4" w:space="0"/>
            </w:tcBorders>
            <w:noWrap w:val="0"/>
            <w:vAlign w:val="top"/>
          </w:tcPr>
          <w:p w14:paraId="77B9DDCC">
            <w:pPr>
              <w:pStyle w:val="23"/>
              <w:keepNext w:val="0"/>
              <w:keepLines w:val="0"/>
              <w:suppressLineNumbers w:val="0"/>
              <w:spacing w:before="0" w:beforeAutospacing="0" w:afterAutospacing="0"/>
              <w:ind w:left="0" w:right="0" w:firstLine="480" w:firstLineChars="200"/>
              <w:jc w:val="both"/>
              <w:rPr>
                <w:rFonts w:hint="eastAsia" w:ascii="宋体" w:hAnsi="宋体" w:cs="宋体"/>
                <w:color w:val="auto"/>
                <w:spacing w:val="-6"/>
                <w:szCs w:val="24"/>
                <w:highlight w:val="none"/>
                <w:lang w:val="en-US" w:eastAsia="zh-CN"/>
              </w:rPr>
            </w:pPr>
            <w:r>
              <w:rPr>
                <w:rFonts w:hint="eastAsia" w:ascii="宋体" w:hAnsi="宋体" w:cs="宋体"/>
                <w:color w:val="auto"/>
                <w:sz w:val="24"/>
                <w:szCs w:val="24"/>
                <w:highlight w:val="none"/>
              </w:rPr>
              <w:t>随投标文件单独提供APP软件或微信小程序掌中一键解决功能</w:t>
            </w:r>
            <w:r>
              <w:rPr>
                <w:rFonts w:hint="eastAsia" w:ascii="宋体" w:hAnsi="宋体" w:cs="宋体"/>
                <w:color w:val="auto"/>
                <w:sz w:val="24"/>
                <w:szCs w:val="24"/>
                <w:highlight w:val="none"/>
                <w:lang w:eastAsia="zh-CN"/>
              </w:rPr>
              <w:t>、房源展示</w:t>
            </w:r>
            <w:r>
              <w:rPr>
                <w:rFonts w:hint="eastAsia" w:ascii="宋体" w:hAnsi="宋体" w:cs="宋体"/>
                <w:color w:val="auto"/>
                <w:sz w:val="24"/>
                <w:szCs w:val="24"/>
                <w:highlight w:val="none"/>
                <w:lang w:val="en-US" w:eastAsia="zh-CN"/>
              </w:rPr>
              <w:t>功能</w:t>
            </w:r>
            <w:r>
              <w:rPr>
                <w:rFonts w:hint="eastAsia" w:ascii="宋体" w:hAnsi="宋体" w:cs="宋体"/>
                <w:color w:val="auto"/>
                <w:sz w:val="24"/>
                <w:szCs w:val="24"/>
                <w:highlight w:val="none"/>
              </w:rPr>
              <w:t>模块的功能点演示U盘，</w:t>
            </w:r>
            <w:r>
              <w:rPr>
                <w:rFonts w:hint="eastAsia" w:ascii="宋体" w:hAnsi="宋体" w:cs="宋体"/>
                <w:color w:val="auto"/>
                <w:sz w:val="24"/>
                <w:szCs w:val="24"/>
                <w:highlight w:val="none"/>
                <w:lang w:val="en-US" w:eastAsia="zh-CN"/>
              </w:rPr>
              <w:t>递交的演示文件在投标截止时间后启封并随机排序，按顺序（匿名）由评审专家进行打分。</w:t>
            </w:r>
            <w:r>
              <w:rPr>
                <w:rFonts w:hint="eastAsia" w:ascii="宋体" w:hAnsi="宋体" w:cs="宋体"/>
                <w:color w:val="auto"/>
                <w:sz w:val="24"/>
                <w:szCs w:val="24"/>
                <w:highlight w:val="none"/>
              </w:rPr>
              <w:t>格式为常规视频格式，</w:t>
            </w:r>
            <w:r>
              <w:rPr>
                <w:rFonts w:hint="eastAsia" w:ascii="宋体" w:hAnsi="宋体" w:cs="宋体"/>
                <w:color w:val="auto"/>
                <w:sz w:val="24"/>
                <w:szCs w:val="24"/>
                <w:highlight w:val="none"/>
                <w:lang w:eastAsia="zh-CN"/>
              </w:rPr>
              <w:t>电脑录屏，播放时间不得超过1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分钟，密封袋内U盘表面及演示视频内容不得显示投标单位名称或做其他特殊标识使专家提前获知投标供应商信息</w:t>
            </w:r>
            <w:r>
              <w:rPr>
                <w:rFonts w:hint="eastAsia" w:ascii="宋体" w:hAnsi="宋体" w:cs="宋体"/>
                <w:color w:val="auto"/>
                <w:sz w:val="24"/>
                <w:szCs w:val="24"/>
                <w:highlight w:val="none"/>
              </w:rPr>
              <w:t>。演示内容需介绍“掌中一键解决功能</w:t>
            </w:r>
            <w:r>
              <w:rPr>
                <w:rFonts w:hint="eastAsia" w:ascii="宋体" w:hAnsi="宋体" w:cs="宋体"/>
                <w:color w:val="auto"/>
                <w:sz w:val="24"/>
                <w:szCs w:val="24"/>
                <w:highlight w:val="none"/>
                <w:lang w:eastAsia="zh-CN"/>
              </w:rPr>
              <w:t>、房源展示</w:t>
            </w:r>
            <w:r>
              <w:rPr>
                <w:rFonts w:hint="eastAsia" w:ascii="宋体" w:hAnsi="宋体" w:cs="宋体"/>
                <w:color w:val="auto"/>
                <w:sz w:val="24"/>
                <w:szCs w:val="24"/>
                <w:highlight w:val="none"/>
                <w:lang w:val="en-US" w:eastAsia="zh-CN"/>
              </w:rPr>
              <w:t>功能</w:t>
            </w:r>
            <w:r>
              <w:rPr>
                <w:rFonts w:hint="eastAsia" w:ascii="宋体" w:hAnsi="宋体" w:cs="宋体"/>
                <w:color w:val="auto"/>
                <w:sz w:val="24"/>
                <w:szCs w:val="24"/>
                <w:highlight w:val="none"/>
              </w:rPr>
              <w:t>模块”的相关功能点，演示格式需要能在WINDOWS 最新操作系统下用较为普及的软件进行展示。</w:t>
            </w:r>
          </w:p>
        </w:tc>
      </w:tr>
      <w:tr w14:paraId="677A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77" w:type="dxa"/>
            <w:vMerge w:val="continue"/>
            <w:tcBorders>
              <w:left w:val="single" w:color="auto" w:sz="4" w:space="0"/>
              <w:right w:val="single" w:color="auto" w:sz="4" w:space="0"/>
            </w:tcBorders>
            <w:noWrap w:val="0"/>
            <w:vAlign w:val="center"/>
          </w:tcPr>
          <w:p w14:paraId="3A094C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eastAsia="zh-CN"/>
              </w:rPr>
            </w:pPr>
          </w:p>
        </w:tc>
        <w:tc>
          <w:tcPr>
            <w:tcW w:w="6867" w:type="dxa"/>
            <w:tcBorders>
              <w:top w:val="single" w:color="auto" w:sz="4" w:space="0"/>
              <w:left w:val="single" w:color="auto" w:sz="4" w:space="0"/>
              <w:bottom w:val="single" w:color="auto" w:sz="4" w:space="0"/>
              <w:right w:val="single" w:color="auto" w:sz="4" w:space="0"/>
            </w:tcBorders>
            <w:noWrap w:val="0"/>
            <w:vAlign w:val="center"/>
          </w:tcPr>
          <w:p w14:paraId="74743C9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具备签约、缴费、报修、投诉等掌中一键解决功能</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7A65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cs="宋体"/>
                <w:color w:val="auto"/>
                <w:spacing w:val="-6"/>
                <w:sz w:val="20"/>
                <w:szCs w:val="24"/>
                <w:highlight w:val="none"/>
                <w:lang w:val="en-US" w:eastAsia="zh-CN"/>
              </w:rPr>
            </w:pPr>
            <w:r>
              <w:rPr>
                <w:rFonts w:hint="eastAsia" w:ascii="宋体" w:hAnsi="宋体" w:eastAsia="宋体" w:cs="宋体"/>
                <w:color w:val="auto"/>
                <w:sz w:val="24"/>
                <w:szCs w:val="24"/>
                <w:highlight w:val="none"/>
                <w:lang w:val="en-US" w:eastAsia="zh-CN"/>
              </w:rPr>
              <w:t>0-4</w:t>
            </w:r>
          </w:p>
        </w:tc>
      </w:tr>
      <w:tr w14:paraId="5D83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665989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lang w:eastAsia="zh-CN"/>
              </w:rPr>
            </w:pPr>
          </w:p>
        </w:tc>
        <w:tc>
          <w:tcPr>
            <w:tcW w:w="6867" w:type="dxa"/>
            <w:tcBorders>
              <w:top w:val="single" w:color="auto" w:sz="4" w:space="0"/>
              <w:left w:val="single" w:color="auto" w:sz="4" w:space="0"/>
              <w:bottom w:val="single" w:color="auto" w:sz="4" w:space="0"/>
              <w:right w:val="single" w:color="auto" w:sz="4" w:space="0"/>
            </w:tcBorders>
            <w:noWrap w:val="0"/>
            <w:vAlign w:val="center"/>
          </w:tcPr>
          <w:p w14:paraId="2FE126F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签约备案，资金收付、报修评价，信息报送等流程功能</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719E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cs="宋体"/>
                <w:color w:val="auto"/>
                <w:spacing w:val="-6"/>
                <w:sz w:val="20"/>
                <w:szCs w:val="24"/>
                <w:highlight w:val="none"/>
                <w:lang w:val="en-US" w:eastAsia="zh-CN"/>
              </w:rPr>
            </w:pPr>
            <w:r>
              <w:rPr>
                <w:rFonts w:hint="eastAsia" w:ascii="宋体" w:hAnsi="宋体" w:eastAsia="宋体" w:cs="宋体"/>
                <w:color w:val="auto"/>
                <w:sz w:val="24"/>
                <w:szCs w:val="24"/>
                <w:highlight w:val="none"/>
                <w:lang w:val="en-US" w:eastAsia="zh-CN"/>
              </w:rPr>
              <w:t>0-4</w:t>
            </w:r>
          </w:p>
        </w:tc>
      </w:tr>
      <w:tr w14:paraId="4598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tcBorders>
              <w:left w:val="single" w:color="auto" w:sz="4" w:space="0"/>
              <w:bottom w:val="single" w:color="auto" w:sz="4" w:space="0"/>
              <w:right w:val="single" w:color="auto" w:sz="4" w:space="0"/>
            </w:tcBorders>
            <w:noWrap w:val="0"/>
            <w:vAlign w:val="center"/>
          </w:tcPr>
          <w:p w14:paraId="5BEB89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应急预案</w:t>
            </w:r>
          </w:p>
        </w:tc>
        <w:tc>
          <w:tcPr>
            <w:tcW w:w="6867" w:type="dxa"/>
            <w:tcBorders>
              <w:top w:val="single" w:color="auto" w:sz="4" w:space="0"/>
              <w:left w:val="single" w:color="auto" w:sz="4" w:space="0"/>
              <w:bottom w:val="single" w:color="auto" w:sz="4" w:space="0"/>
              <w:right w:val="single" w:color="auto" w:sz="4" w:space="0"/>
            </w:tcBorders>
            <w:noWrap w:val="0"/>
            <w:vAlign w:val="top"/>
          </w:tcPr>
          <w:p w14:paraId="33AEE63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根据投标人针对本项目提供的应急预案(包括但不限于安全事故的预防、应急处 理程序、突发事故应急措施)的针对性、完整性、可行性进行评分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974C74A">
            <w:pPr>
              <w:pStyle w:val="23"/>
              <w:keepNext w:val="0"/>
              <w:keepLines w:val="0"/>
              <w:suppressLineNumbers w:val="0"/>
              <w:spacing w:before="0" w:beforeAutospacing="0" w:afterAutospacing="0"/>
              <w:ind w:left="0" w:right="0" w:firstLine="0" w:firstLineChars="0"/>
              <w:jc w:val="center"/>
              <w:rPr>
                <w:rFonts w:hint="eastAsia" w:ascii="宋体" w:hAnsi="宋体" w:cs="宋体"/>
                <w:color w:val="auto"/>
                <w:spacing w:val="-6"/>
                <w:szCs w:val="24"/>
                <w:highlight w:val="none"/>
              </w:rPr>
            </w:pPr>
            <w:r>
              <w:rPr>
                <w:rFonts w:hint="eastAsia" w:ascii="宋体" w:hAnsi="宋体" w:cs="宋体"/>
                <w:color w:val="auto"/>
                <w:spacing w:val="-6"/>
                <w:szCs w:val="24"/>
                <w:highlight w:val="none"/>
                <w:lang w:val="en-US" w:eastAsia="zh-CN"/>
              </w:rPr>
              <w:t>0-5</w:t>
            </w:r>
          </w:p>
        </w:tc>
      </w:tr>
      <w:tr w14:paraId="63FC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7" w:type="dxa"/>
            <w:tcBorders>
              <w:left w:val="single" w:color="auto" w:sz="4" w:space="0"/>
              <w:right w:val="single" w:color="auto" w:sz="4" w:space="0"/>
            </w:tcBorders>
            <w:noWrap w:val="0"/>
            <w:vAlign w:val="center"/>
          </w:tcPr>
          <w:p w14:paraId="01AFF7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增值服务</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6E3FBE1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根据投标人提供的增值服务是否符合采购人需求、是否有创意、是否突出本项目 的特性等方面进行评分。</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7EAE1A">
            <w:pPr>
              <w:pStyle w:val="23"/>
              <w:keepNext w:val="0"/>
              <w:keepLines w:val="0"/>
              <w:suppressLineNumbers w:val="0"/>
              <w:spacing w:before="0" w:beforeAutospacing="0" w:afterAutospacing="0"/>
              <w:ind w:left="0" w:right="0" w:firstLine="0" w:firstLineChars="0"/>
              <w:jc w:val="center"/>
              <w:rPr>
                <w:rFonts w:hint="default" w:ascii="宋体" w:hAnsi="宋体" w:eastAsia="宋体" w:cs="宋体"/>
                <w:color w:val="auto"/>
                <w:spacing w:val="-6"/>
                <w:szCs w:val="24"/>
                <w:highlight w:val="none"/>
                <w:lang w:val="en-US" w:eastAsia="zh-CN"/>
              </w:rPr>
            </w:pPr>
            <w:r>
              <w:rPr>
                <w:rFonts w:hint="eastAsia" w:ascii="宋体" w:hAnsi="宋体" w:cs="宋体"/>
                <w:color w:val="auto"/>
                <w:spacing w:val="-6"/>
                <w:szCs w:val="24"/>
                <w:highlight w:val="none"/>
                <w:lang w:val="en-US" w:eastAsia="zh-CN"/>
              </w:rPr>
              <w:t>0-5</w:t>
            </w:r>
          </w:p>
        </w:tc>
      </w:tr>
    </w:tbl>
    <w:p w14:paraId="1B01B8B9">
      <w:pPr>
        <w:spacing w:line="360" w:lineRule="auto"/>
        <w:ind w:firstLine="482" w:firstLineChars="200"/>
        <w:rPr>
          <w:rFonts w:hint="eastAsia" w:ascii="宋体" w:hAnsi="宋体" w:eastAsia="宋体" w:cs="宋体"/>
          <w:b/>
          <w:bCs/>
          <w:color w:val="auto"/>
          <w:sz w:val="24"/>
          <w:highlight w:val="none"/>
        </w:rPr>
      </w:pPr>
    </w:p>
    <w:p w14:paraId="5951A0B6">
      <w:pPr>
        <w:spacing w:line="360" w:lineRule="auto"/>
        <w:ind w:firstLine="482" w:firstLineChars="200"/>
        <w:rPr>
          <w:rFonts w:ascii="Times New Roman" w:hAnsi="Times New Roman" w:eastAsia="宋体" w:cs="Times New Roman"/>
          <w:color w:val="auto"/>
          <w:highlight w:val="none"/>
        </w:rPr>
      </w:pPr>
      <w:r>
        <w:rPr>
          <w:rFonts w:hint="eastAsia" w:ascii="宋体" w:hAnsi="宋体" w:eastAsia="宋体" w:cs="宋体"/>
          <w:b/>
          <w:bCs/>
          <w:color w:val="auto"/>
          <w:sz w:val="24"/>
          <w:highlight w:val="none"/>
        </w:rPr>
        <w:t>三、商务文件评标内容及标准（</w:t>
      </w:r>
      <w:r>
        <w:rPr>
          <w:rFonts w:ascii="宋体" w:hAnsi="宋体" w:eastAsia="宋体" w:cs="宋体"/>
          <w:b/>
          <w:bCs/>
          <w:color w:val="auto"/>
          <w:sz w:val="24"/>
          <w:highlight w:val="none"/>
          <w:u w:val="single"/>
        </w:rPr>
        <w:t xml:space="preserve"> </w:t>
      </w:r>
      <w:r>
        <w:rPr>
          <w:rFonts w:hint="eastAsia" w:cs="宋体"/>
          <w:b/>
          <w:bCs/>
          <w:color w:val="auto"/>
          <w:sz w:val="24"/>
          <w:highlight w:val="none"/>
          <w:u w:val="single"/>
          <w:lang w:val="en-US" w:eastAsia="zh-CN"/>
        </w:rPr>
        <w:t>8</w:t>
      </w:r>
      <w:r>
        <w:rPr>
          <w:rFonts w:hint="eastAsia" w:ascii="宋体" w:hAnsi="宋体" w:eastAsia="宋体" w:cs="宋体"/>
          <w:b/>
          <w:bCs/>
          <w:color w:val="auto"/>
          <w:sz w:val="24"/>
          <w:highlight w:val="none"/>
        </w:rPr>
        <w:t>分）</w:t>
      </w:r>
    </w:p>
    <w:p w14:paraId="76D8890C">
      <w:pPr>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1、商务文件评分细则</w:t>
      </w:r>
    </w:p>
    <w:tbl>
      <w:tblPr>
        <w:tblStyle w:val="19"/>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6852"/>
        <w:gridCol w:w="888"/>
      </w:tblGrid>
      <w:tr w14:paraId="3301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315" w:type="dxa"/>
            <w:tcBorders>
              <w:left w:val="single" w:color="auto" w:sz="4" w:space="0"/>
              <w:right w:val="single" w:color="auto" w:sz="4" w:space="0"/>
            </w:tcBorders>
            <w:noWrap w:val="0"/>
            <w:vAlign w:val="center"/>
          </w:tcPr>
          <w:p w14:paraId="43E3256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6852" w:type="dxa"/>
            <w:tcBorders>
              <w:top w:val="single" w:color="auto" w:sz="4" w:space="0"/>
              <w:left w:val="single" w:color="auto" w:sz="4" w:space="0"/>
              <w:right w:val="single" w:color="auto" w:sz="4" w:space="0"/>
            </w:tcBorders>
            <w:noWrap w:val="0"/>
            <w:vAlign w:val="center"/>
          </w:tcPr>
          <w:p w14:paraId="42AF716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投标人自2021年1月1日以来(以合同签订时间为准),运营过客房数量在100间以上(含100间)类似公寓的运营项目业绩，每个得1分，最高得2分。</w:t>
            </w:r>
          </w:p>
          <w:p w14:paraId="376C851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须提供有效合同复印件[如合同中未能体现业绩特征的，则另须提供业主单位出具的证明(需盖业主单位公章)]并加盖供投标人公章。</w:t>
            </w:r>
          </w:p>
        </w:tc>
        <w:tc>
          <w:tcPr>
            <w:tcW w:w="888" w:type="dxa"/>
            <w:tcBorders>
              <w:left w:val="single" w:color="auto" w:sz="4" w:space="0"/>
              <w:right w:val="single" w:color="auto" w:sz="4" w:space="0"/>
            </w:tcBorders>
            <w:noWrap w:val="0"/>
            <w:vAlign w:val="center"/>
          </w:tcPr>
          <w:p w14:paraId="2BFDBCC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rPr>
            </w:pPr>
            <w:r>
              <w:rPr>
                <w:rFonts w:hint="eastAsia"/>
                <w:bCs/>
                <w:color w:val="auto"/>
                <w:kern w:val="2"/>
                <w:sz w:val="24"/>
                <w:szCs w:val="24"/>
                <w:highlight w:val="none"/>
                <w:lang w:val="en-US" w:eastAsia="zh-CN"/>
              </w:rPr>
              <w:t>2</w:t>
            </w:r>
          </w:p>
        </w:tc>
      </w:tr>
      <w:tr w14:paraId="79ED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315" w:type="dxa"/>
            <w:tcBorders>
              <w:left w:val="single" w:color="auto" w:sz="4" w:space="0"/>
              <w:right w:val="single" w:color="auto" w:sz="4" w:space="0"/>
            </w:tcBorders>
            <w:noWrap w:val="0"/>
            <w:vAlign w:val="center"/>
          </w:tcPr>
          <w:p w14:paraId="33895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s="宋体"/>
                <w:color w:val="auto"/>
                <w:kern w:val="2"/>
                <w:sz w:val="24"/>
                <w:highlight w:val="none"/>
                <w:lang w:eastAsia="zh-CN"/>
              </w:rPr>
            </w:pPr>
            <w:r>
              <w:rPr>
                <w:rFonts w:hint="eastAsia" w:cs="宋体"/>
                <w:color w:val="auto"/>
                <w:kern w:val="2"/>
                <w:sz w:val="24"/>
                <w:highlight w:val="none"/>
                <w:lang w:eastAsia="zh-CN"/>
              </w:rPr>
              <w:t>企业荣誉</w:t>
            </w:r>
          </w:p>
        </w:tc>
        <w:tc>
          <w:tcPr>
            <w:tcW w:w="6852" w:type="dxa"/>
            <w:tcBorders>
              <w:top w:val="single" w:color="auto" w:sz="4" w:space="0"/>
              <w:left w:val="single" w:color="auto" w:sz="4" w:space="0"/>
              <w:right w:val="single" w:color="auto" w:sz="4" w:space="0"/>
            </w:tcBorders>
            <w:noWrap w:val="0"/>
            <w:vAlign w:val="top"/>
          </w:tcPr>
          <w:p w14:paraId="09E8EF59">
            <w:pPr>
              <w:pStyle w:val="24"/>
              <w:spacing w:before="90" w:line="216" w:lineRule="auto"/>
              <w:ind w:left="5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投标人自2020年1月1日以来(时间以证书或文件落款日期为准),</w:t>
            </w:r>
            <w:r>
              <w:rPr>
                <w:rFonts w:hint="eastAsia"/>
                <w:color w:val="auto"/>
                <w:sz w:val="21"/>
                <w:szCs w:val="21"/>
                <w:lang w:val="en-US" w:eastAsia="zh-CN"/>
              </w:rPr>
              <w:t>获得过</w:t>
            </w:r>
            <w:r>
              <w:rPr>
                <w:rFonts w:hint="eastAsia"/>
                <w:color w:val="auto"/>
                <w:spacing w:val="-9"/>
                <w:sz w:val="21"/>
                <w:szCs w:val="21"/>
                <w:lang w:val="en-US" w:eastAsia="zh-CN"/>
              </w:rPr>
              <w:t>相关行政主管部门</w:t>
            </w:r>
            <w:r>
              <w:rPr>
                <w:color w:val="auto"/>
                <w:spacing w:val="-9"/>
                <w:sz w:val="21"/>
                <w:szCs w:val="21"/>
              </w:rPr>
              <w:t>或行业协会</w:t>
            </w:r>
            <w:r>
              <w:rPr>
                <w:rFonts w:hint="eastAsia"/>
                <w:color w:val="auto"/>
                <w:spacing w:val="-9"/>
                <w:sz w:val="21"/>
                <w:szCs w:val="21"/>
                <w:lang w:val="en-US" w:eastAsia="zh-CN"/>
              </w:rPr>
              <w:t>颁发</w:t>
            </w:r>
            <w:r>
              <w:rPr>
                <w:color w:val="auto"/>
                <w:spacing w:val="-9"/>
                <w:sz w:val="21"/>
                <w:szCs w:val="21"/>
              </w:rPr>
              <w:t>的有关公寓</w:t>
            </w:r>
            <w:r>
              <w:rPr>
                <w:rFonts w:hint="eastAsia"/>
                <w:color w:val="auto"/>
                <w:spacing w:val="-9"/>
                <w:sz w:val="21"/>
                <w:szCs w:val="21"/>
                <w:lang w:val="en-US" w:eastAsia="zh-CN"/>
              </w:rPr>
              <w:t>运营</w:t>
            </w:r>
            <w:r>
              <w:rPr>
                <w:color w:val="auto"/>
                <w:spacing w:val="-9"/>
                <w:sz w:val="21"/>
                <w:szCs w:val="21"/>
              </w:rPr>
              <w:t>的荣誉奖项</w:t>
            </w:r>
            <w:r>
              <w:rPr>
                <w:rFonts w:hint="eastAsia"/>
                <w:color w:val="auto"/>
                <w:spacing w:val="-9"/>
                <w:sz w:val="21"/>
                <w:szCs w:val="21"/>
                <w:lang w:eastAsia="zh-CN"/>
              </w:rPr>
              <w:t>，</w:t>
            </w:r>
            <w:r>
              <w:rPr>
                <w:rFonts w:hint="eastAsia" w:ascii="宋体" w:hAnsi="宋体" w:cs="宋体"/>
                <w:color w:val="auto"/>
                <w:sz w:val="24"/>
                <w:highlight w:val="none"/>
                <w:lang w:val="en-US" w:eastAsia="zh-CN"/>
              </w:rPr>
              <w:t>每提供一个得</w:t>
            </w:r>
            <w:r>
              <w:rPr>
                <w:rFonts w:hint="eastAsia" w:cs="宋体"/>
                <w:color w:val="auto"/>
                <w:sz w:val="24"/>
                <w:highlight w:val="none"/>
                <w:lang w:val="en-US" w:eastAsia="zh-CN"/>
              </w:rPr>
              <w:t>3</w:t>
            </w:r>
            <w:r>
              <w:rPr>
                <w:rFonts w:hint="eastAsia" w:ascii="宋体" w:hAnsi="宋体" w:cs="宋体"/>
                <w:color w:val="auto"/>
                <w:sz w:val="24"/>
                <w:highlight w:val="none"/>
                <w:lang w:val="en-US" w:eastAsia="zh-CN"/>
              </w:rPr>
              <w:t>分，最高得</w:t>
            </w:r>
            <w:r>
              <w:rPr>
                <w:rFonts w:hint="eastAsia" w:cs="宋体"/>
                <w:color w:val="auto"/>
                <w:sz w:val="24"/>
                <w:highlight w:val="none"/>
                <w:lang w:val="en-US" w:eastAsia="zh-CN"/>
              </w:rPr>
              <w:t>6</w:t>
            </w:r>
            <w:r>
              <w:rPr>
                <w:rFonts w:hint="eastAsia" w:ascii="宋体" w:hAnsi="宋体" w:cs="宋体"/>
                <w:color w:val="auto"/>
                <w:sz w:val="24"/>
                <w:highlight w:val="none"/>
                <w:lang w:val="en-US" w:eastAsia="zh-CN"/>
              </w:rPr>
              <w:t>分。</w:t>
            </w:r>
          </w:p>
          <w:p w14:paraId="4EFD2CE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须提供有效荣誉证书或证明文件复印件并加盖单位公章。</w:t>
            </w:r>
          </w:p>
        </w:tc>
        <w:tc>
          <w:tcPr>
            <w:tcW w:w="888" w:type="dxa"/>
            <w:tcBorders>
              <w:left w:val="single" w:color="auto" w:sz="4" w:space="0"/>
              <w:right w:val="single" w:color="auto" w:sz="4" w:space="0"/>
            </w:tcBorders>
            <w:noWrap w:val="0"/>
            <w:vAlign w:val="center"/>
          </w:tcPr>
          <w:p w14:paraId="2C7D5706">
            <w:pPr>
              <w:keepNext w:val="0"/>
              <w:keepLines w:val="0"/>
              <w:pageBreakBefore w:val="0"/>
              <w:suppressLineNumbers w:val="0"/>
              <w:tabs>
                <w:tab w:val="left" w:pos="772"/>
              </w:tabs>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6</w:t>
            </w:r>
          </w:p>
        </w:tc>
      </w:tr>
    </w:tbl>
    <w:p w14:paraId="6F8EDE88">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1"/>
          <w:highlight w:val="none"/>
        </w:rPr>
        <w:t>注：</w:t>
      </w:r>
    </w:p>
    <w:p w14:paraId="142F9ABB">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1.评标委员会各成员应当独立对每个投标人的投标文件进行评价，并汇总每个投标人的得分。资信分为客观分，也需独立进行评价并核对分值，最终分值需一致。</w:t>
      </w:r>
    </w:p>
    <w:p w14:paraId="2B1A5E65">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2.所有文件、合同、证书、资质等需要真实有效。中标人在中标后签订合同时需提供以上证明文件原件，若发现资料作假的取消中标资格。</w:t>
      </w:r>
    </w:p>
    <w:p w14:paraId="4A8537F7">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3、投标人技术部分得分和商务资信部分得分为评标委员会各成员汇总得分的算数平均值。</w:t>
      </w:r>
    </w:p>
    <w:p w14:paraId="4FDB73B7">
      <w:pPr>
        <w:spacing w:after="156" w:afterLines="50"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br w:type="page"/>
      </w:r>
      <w:bookmarkEnd w:id="424"/>
      <w:bookmarkStart w:id="427" w:name="_Toc30926"/>
      <w:bookmarkStart w:id="428" w:name="_Toc3099"/>
      <w:bookmarkStart w:id="429" w:name="_Toc14208"/>
      <w:bookmarkStart w:id="430" w:name="_Toc20764"/>
      <w:bookmarkStart w:id="431" w:name="_Toc18470"/>
      <w:bookmarkStart w:id="432" w:name="_Toc6373"/>
      <w:bookmarkStart w:id="433" w:name="_Toc29482"/>
      <w:bookmarkStart w:id="434" w:name="_Toc27332"/>
      <w:bookmarkStart w:id="435" w:name="第五部分"/>
      <w:bookmarkStart w:id="436" w:name="_Toc86217003"/>
      <w:r>
        <w:rPr>
          <w:rStyle w:val="25"/>
          <w:rFonts w:hint="eastAsia" w:ascii="宋体" w:hAnsi="宋体" w:eastAsia="宋体" w:cs="宋体"/>
          <w:color w:val="auto"/>
          <w:sz w:val="32"/>
          <w:szCs w:val="28"/>
          <w:highlight w:val="none"/>
        </w:rPr>
        <w:t>第四部分 采购需求</w:t>
      </w:r>
      <w:bookmarkEnd w:id="427"/>
      <w:bookmarkEnd w:id="428"/>
    </w:p>
    <w:bookmarkEnd w:id="429"/>
    <w:bookmarkEnd w:id="430"/>
    <w:bookmarkEnd w:id="431"/>
    <w:bookmarkEnd w:id="432"/>
    <w:bookmarkEnd w:id="433"/>
    <w:bookmarkEnd w:id="434"/>
    <w:p w14:paraId="08D79CFB">
      <w:pPr>
        <w:pStyle w:val="3"/>
        <w:spacing w:line="360" w:lineRule="auto"/>
        <w:jc w:val="center"/>
        <w:rPr>
          <w:rFonts w:cs="宋体"/>
          <w:bCs/>
          <w:color w:val="auto"/>
          <w:sz w:val="30"/>
          <w:szCs w:val="30"/>
          <w:highlight w:val="none"/>
        </w:rPr>
      </w:pPr>
      <w:bookmarkStart w:id="437" w:name="_Toc24842"/>
      <w:bookmarkStart w:id="438" w:name="_Toc479776256"/>
      <w:bookmarkStart w:id="439" w:name="_Toc466302736"/>
      <w:bookmarkStart w:id="440" w:name="_Toc425408130"/>
      <w:bookmarkStart w:id="441" w:name="_Toc25162757"/>
      <w:bookmarkStart w:id="442" w:name="_Toc477707121"/>
      <w:bookmarkStart w:id="443" w:name="_Toc21782579"/>
      <w:bookmarkStart w:id="444" w:name="_Toc11091"/>
      <w:bookmarkStart w:id="445" w:name="_Toc28762"/>
      <w:bookmarkStart w:id="446" w:name="_Toc6216"/>
      <w:bookmarkStart w:id="447" w:name="_Toc24114"/>
      <w:bookmarkStart w:id="448" w:name="_Toc25162762"/>
      <w:bookmarkStart w:id="449" w:name="_Toc31735"/>
      <w:bookmarkStart w:id="450" w:name="_Toc25469"/>
      <w:bookmarkStart w:id="451" w:name="_Toc506107121"/>
      <w:bookmarkStart w:id="452" w:name="_Toc15473"/>
      <w:r>
        <w:rPr>
          <w:rFonts w:cs="宋体"/>
          <w:bCs/>
          <w:color w:val="auto"/>
          <w:sz w:val="30"/>
          <w:szCs w:val="30"/>
          <w:highlight w:val="none"/>
        </w:rPr>
        <w:t>第一章  总则</w:t>
      </w:r>
      <w:bookmarkEnd w:id="437"/>
    </w:p>
    <w:p w14:paraId="352EA8E7">
      <w:pPr>
        <w:numPr>
          <w:ilvl w:val="0"/>
          <w:numId w:val="36"/>
        </w:num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部分要求提出了内容、流程、人员等方面的最低限度的技术要求，但未对所有活动细节作要求，故投标供应商有责任根据所提供设计方案的实际情况对本项目进行更合理的优化设计及实施方案，并对所提供服务的落地效果、活动安全等负责。</w:t>
      </w:r>
    </w:p>
    <w:p w14:paraId="1A6BBC29">
      <w:pPr>
        <w:numPr>
          <w:ilvl w:val="0"/>
          <w:numId w:val="36"/>
        </w:num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投标供应商必须对全部招标内容进行投标，不允许只对其中部分内容进行投标，谢绝联合投标。</w:t>
      </w:r>
    </w:p>
    <w:p w14:paraId="151DB582">
      <w:pPr>
        <w:numPr>
          <w:ilvl w:val="0"/>
          <w:numId w:val="36"/>
        </w:numPr>
        <w:autoSpaceDE w:val="0"/>
        <w:autoSpaceDN w:val="0"/>
        <w:adjustRightInd w:val="0"/>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投标方案与项目要求如有偏差，业主将有权要求投标供应商调整方案，并不改变投标价格。</w:t>
      </w:r>
    </w:p>
    <w:p w14:paraId="3BAE7A03">
      <w:pPr>
        <w:pStyle w:val="3"/>
        <w:spacing w:line="360" w:lineRule="auto"/>
        <w:jc w:val="center"/>
        <w:rPr>
          <w:rFonts w:cs="宋体"/>
          <w:bCs/>
          <w:color w:val="auto"/>
          <w:sz w:val="30"/>
          <w:szCs w:val="30"/>
          <w:highlight w:val="none"/>
        </w:rPr>
      </w:pPr>
      <w:r>
        <w:rPr>
          <w:rFonts w:cs="宋体"/>
          <w:bCs/>
          <w:color w:val="auto"/>
          <w:sz w:val="30"/>
          <w:szCs w:val="30"/>
          <w:highlight w:val="none"/>
        </w:rPr>
        <w:t xml:space="preserve"> </w:t>
      </w:r>
      <w:bookmarkStart w:id="453" w:name="_Toc36207051"/>
      <w:bookmarkStart w:id="454" w:name="_Toc8995"/>
      <w:bookmarkStart w:id="455" w:name="_Toc506107120"/>
      <w:r>
        <w:rPr>
          <w:rFonts w:cs="宋体"/>
          <w:bCs/>
          <w:color w:val="auto"/>
          <w:sz w:val="30"/>
          <w:szCs w:val="30"/>
          <w:highlight w:val="none"/>
        </w:rPr>
        <w:t>第二章  采购内容及要求</w:t>
      </w:r>
      <w:bookmarkEnd w:id="453"/>
      <w:bookmarkEnd w:id="454"/>
      <w:bookmarkEnd w:id="455"/>
    </w:p>
    <w:p w14:paraId="03758DC8">
      <w:pPr>
        <w:numPr>
          <w:ilvl w:val="0"/>
          <w:numId w:val="37"/>
        </w:numPr>
        <w:autoSpaceDE w:val="0"/>
        <w:autoSpaceDN w:val="0"/>
        <w:adjustRightIn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基本情况</w:t>
      </w:r>
    </w:p>
    <w:p w14:paraId="4D82D31D">
      <w:pPr>
        <w:numPr>
          <w:ilvl w:val="0"/>
          <w:numId w:val="38"/>
        </w:numPr>
        <w:autoSpaceDE w:val="0"/>
        <w:autoSpaceDN w:val="0"/>
        <w:adjustRightInd w:val="0"/>
        <w:spacing w:line="360" w:lineRule="auto"/>
        <w:ind w:left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项目概况</w:t>
      </w:r>
    </w:p>
    <w:p w14:paraId="623B6B43">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项目位于鸿雁未来社区1号楼鸿雁未来大厦，建筑面积约27000平方米。运营区域范围：大厦1层大厅、5层公共空间、6-27层共516套人才公寓，其中</w:t>
      </w:r>
      <w:r>
        <w:rPr>
          <w:rFonts w:hint="eastAsia" w:ascii="宋体" w:hAnsi="宋体" w:eastAsia="宋体" w:cs="宋体"/>
          <w:color w:val="auto"/>
          <w:sz w:val="24"/>
          <w:highlight w:val="none"/>
          <w:lang w:val="en-US" w:eastAsia="zh-CN"/>
        </w:rPr>
        <w:t>非市场化运营</w:t>
      </w:r>
      <w:r>
        <w:rPr>
          <w:rFonts w:hint="eastAsia" w:ascii="宋体" w:hAnsi="宋体" w:eastAsia="宋体" w:cs="宋体"/>
          <w:color w:val="auto"/>
          <w:sz w:val="24"/>
          <w:highlight w:val="none"/>
        </w:rPr>
        <w:t>人才公寓120套，市场化运营公寓396套（其中日租房约72套，长租房约324套，可根据运营情况可适当调节不同类型的房间数量）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包括但不限于保洁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保安</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运营</w:t>
      </w:r>
      <w:r>
        <w:rPr>
          <w:rFonts w:hint="eastAsia" w:ascii="宋体" w:hAnsi="宋体" w:eastAsia="宋体" w:cs="宋体"/>
          <w:color w:val="auto"/>
          <w:sz w:val="24"/>
          <w:highlight w:val="none"/>
          <w:lang w:eastAsia="zh-CN"/>
        </w:rPr>
        <w:t>服务、</w:t>
      </w:r>
      <w:r>
        <w:rPr>
          <w:rFonts w:hint="eastAsia" w:ascii="宋体" w:hAnsi="宋体" w:eastAsia="宋体" w:cs="宋体"/>
          <w:b w:val="0"/>
          <w:bCs w:val="0"/>
          <w:color w:val="auto"/>
          <w:sz w:val="24"/>
          <w:szCs w:val="24"/>
          <w:highlight w:val="none"/>
        </w:rPr>
        <w:t>公区装饰（氛围提升）服务</w:t>
      </w:r>
      <w:r>
        <w:rPr>
          <w:rFonts w:hint="default" w:cs="宋体"/>
          <w:b w:val="0"/>
          <w:bCs w:val="0"/>
          <w:color w:val="auto"/>
          <w:sz w:val="24"/>
          <w:szCs w:val="24"/>
          <w:highlight w:val="none"/>
        </w:rPr>
        <w:t>、</w:t>
      </w:r>
      <w:r>
        <w:rPr>
          <w:rFonts w:hint="eastAsia" w:ascii="宋体" w:hAnsi="宋体" w:eastAsia="宋体" w:cs="宋体"/>
          <w:color w:val="auto"/>
          <w:sz w:val="24"/>
          <w:highlight w:val="none"/>
          <w:lang w:val="en-US" w:eastAsia="zh-CN"/>
        </w:rPr>
        <w:t>维修服务、社群服务、商业服务、数字化服务、升级服务、前期介入服务的相关服务等</w:t>
      </w:r>
      <w:r>
        <w:rPr>
          <w:rFonts w:hint="eastAsia" w:ascii="宋体" w:hAnsi="宋体" w:eastAsia="宋体" w:cs="宋体"/>
          <w:color w:val="auto"/>
          <w:sz w:val="24"/>
          <w:highlight w:val="none"/>
        </w:rPr>
        <w:t>。</w:t>
      </w:r>
    </w:p>
    <w:p w14:paraId="609A911F">
      <w:pPr>
        <w:pStyle w:val="4"/>
        <w:numPr>
          <w:ilvl w:val="0"/>
          <w:numId w:val="0"/>
        </w:numPr>
        <w:spacing w:line="360" w:lineRule="auto"/>
        <w:ind w:leftChars="200"/>
        <w:rPr>
          <w:rFonts w:hint="eastAsia"/>
          <w:b/>
          <w:bCs/>
          <w:color w:val="auto"/>
          <w:sz w:val="24"/>
          <w:szCs w:val="24"/>
          <w:highlight w:val="none"/>
        </w:rPr>
      </w:pPr>
      <w:r>
        <w:rPr>
          <w:rFonts w:hint="eastAsia"/>
          <w:b/>
          <w:bCs/>
          <w:color w:val="auto"/>
          <w:sz w:val="24"/>
          <w:szCs w:val="24"/>
          <w:highlight w:val="none"/>
          <w:lang w:val="en-US" w:eastAsia="zh-CN"/>
        </w:rPr>
        <w:t>二、</w:t>
      </w:r>
      <w:r>
        <w:rPr>
          <w:rFonts w:hint="eastAsia"/>
          <w:b/>
          <w:bCs/>
          <w:color w:val="auto"/>
          <w:sz w:val="24"/>
          <w:szCs w:val="24"/>
          <w:highlight w:val="none"/>
        </w:rPr>
        <w:t>服务年限</w:t>
      </w:r>
    </w:p>
    <w:p w14:paraId="6A527861">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highlight w:val="none"/>
          <w:lang w:val="en-US" w:eastAsia="zh-CN"/>
        </w:rPr>
        <w:t>前期介入服务期</w:t>
      </w:r>
      <w:r>
        <w:rPr>
          <w:rFonts w:hint="eastAsia" w:ascii="宋体" w:hAnsi="宋体" w:eastAsia="宋体" w:cs="宋体"/>
          <w:color w:val="auto"/>
          <w:sz w:val="24"/>
          <w:szCs w:val="21"/>
          <w:highlight w:val="none"/>
        </w:rPr>
        <w:t>期限：自合同生效日起至</w:t>
      </w:r>
      <w:r>
        <w:rPr>
          <w:rFonts w:hint="eastAsia" w:ascii="宋体" w:hAnsi="宋体" w:eastAsia="宋体" w:cs="宋体"/>
          <w:color w:val="auto"/>
          <w:sz w:val="24"/>
          <w:szCs w:val="21"/>
          <w:highlight w:val="none"/>
          <w:lang w:val="en-US" w:eastAsia="zh-CN"/>
        </w:rPr>
        <w:t>公寓</w:t>
      </w:r>
      <w:r>
        <w:rPr>
          <w:rFonts w:hint="eastAsia" w:ascii="宋体" w:hAnsi="宋体" w:eastAsia="宋体" w:cs="宋体"/>
          <w:color w:val="auto"/>
          <w:sz w:val="24"/>
          <w:szCs w:val="21"/>
          <w:highlight w:val="none"/>
        </w:rPr>
        <w:t>正式</w:t>
      </w:r>
      <w:r>
        <w:rPr>
          <w:rFonts w:hint="eastAsia" w:ascii="宋体" w:hAnsi="宋体" w:eastAsia="宋体" w:cs="宋体"/>
          <w:color w:val="auto"/>
          <w:sz w:val="24"/>
          <w:szCs w:val="21"/>
          <w:highlight w:val="none"/>
          <w:lang w:val="en-US" w:eastAsia="zh-CN"/>
        </w:rPr>
        <w:t>营业</w:t>
      </w:r>
      <w:r>
        <w:rPr>
          <w:rFonts w:hint="eastAsia" w:ascii="宋体" w:hAnsi="宋体" w:eastAsia="宋体" w:cs="宋体"/>
          <w:color w:val="auto"/>
          <w:sz w:val="24"/>
          <w:szCs w:val="21"/>
          <w:highlight w:val="none"/>
        </w:rPr>
        <w:t>止。正式开业时间以双方约定为准</w:t>
      </w:r>
      <w:r>
        <w:rPr>
          <w:rFonts w:hint="eastAsia" w:ascii="宋体" w:hAnsi="宋体" w:eastAsia="宋体" w:cs="宋体"/>
          <w:color w:val="auto"/>
          <w:sz w:val="24"/>
          <w:szCs w:val="21"/>
          <w:highlight w:val="none"/>
          <w:lang w:eastAsia="zh-CN"/>
        </w:rPr>
        <w:t>。</w:t>
      </w:r>
    </w:p>
    <w:p w14:paraId="2EFD94DA">
      <w:pPr>
        <w:autoSpaceDE w:val="0"/>
        <w:autoSpaceDN w:val="0"/>
        <w:adjustRightInd w:val="0"/>
        <w:spacing w:line="360" w:lineRule="auto"/>
        <w:ind w:firstLine="480" w:firstLineChars="200"/>
        <w:jc w:val="lef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运营服务及管理期限</w:t>
      </w:r>
      <w:r>
        <w:rPr>
          <w:rFonts w:hint="eastAsia" w:ascii="宋体" w:hAnsi="宋体" w:eastAsia="宋体" w:cs="宋体"/>
          <w:color w:val="auto"/>
          <w:sz w:val="24"/>
          <w:szCs w:val="21"/>
          <w:highlight w:val="none"/>
        </w:rPr>
        <w:t>自</w:t>
      </w:r>
      <w:r>
        <w:rPr>
          <w:rFonts w:hint="eastAsia" w:ascii="宋体" w:hAnsi="宋体" w:eastAsia="宋体" w:cs="宋体"/>
          <w:color w:val="auto"/>
          <w:sz w:val="24"/>
          <w:szCs w:val="21"/>
          <w:highlight w:val="none"/>
          <w:lang w:val="en-US" w:eastAsia="zh-CN"/>
        </w:rPr>
        <w:t>公寓</w:t>
      </w:r>
      <w:r>
        <w:rPr>
          <w:rFonts w:hint="eastAsia" w:ascii="宋体" w:hAnsi="宋体" w:eastAsia="宋体" w:cs="宋体"/>
          <w:color w:val="auto"/>
          <w:sz w:val="24"/>
          <w:szCs w:val="21"/>
          <w:highlight w:val="none"/>
        </w:rPr>
        <w:t>正式</w:t>
      </w:r>
      <w:r>
        <w:rPr>
          <w:rFonts w:hint="eastAsia" w:ascii="宋体" w:hAnsi="宋体" w:eastAsia="宋体" w:cs="宋体"/>
          <w:color w:val="auto"/>
          <w:sz w:val="24"/>
          <w:szCs w:val="21"/>
          <w:highlight w:val="none"/>
          <w:lang w:val="en-US" w:eastAsia="zh-CN"/>
        </w:rPr>
        <w:t>营业</w:t>
      </w:r>
      <w:r>
        <w:rPr>
          <w:rFonts w:hint="eastAsia" w:ascii="宋体" w:hAnsi="宋体" w:eastAsia="宋体" w:cs="宋体"/>
          <w:color w:val="auto"/>
          <w:sz w:val="24"/>
          <w:szCs w:val="21"/>
          <w:highlight w:val="none"/>
        </w:rPr>
        <w:t>之日起</w:t>
      </w:r>
      <w:r>
        <w:rPr>
          <w:rFonts w:hint="eastAsia" w:ascii="宋体" w:hAnsi="宋体" w:eastAsia="宋体" w:cs="宋体"/>
          <w:i w:val="0"/>
          <w:iCs w:val="0"/>
          <w:caps w:val="0"/>
          <w:color w:val="auto"/>
          <w:spacing w:val="0"/>
          <w:sz w:val="24"/>
          <w:szCs w:val="21"/>
          <w:highlight w:val="none"/>
          <w:shd w:val="clear" w:color="auto" w:fill="auto"/>
        </w:rPr>
        <w:t>3年，从第2个会计年度起，</w:t>
      </w:r>
      <w:r>
        <w:rPr>
          <w:rFonts w:hint="eastAsia" w:cs="宋体"/>
          <w:i w:val="0"/>
          <w:iCs w:val="0"/>
          <w:caps w:val="0"/>
          <w:color w:val="auto"/>
          <w:spacing w:val="0"/>
          <w:sz w:val="24"/>
          <w:szCs w:val="21"/>
          <w:highlight w:val="none"/>
          <w:shd w:val="clear" w:color="auto" w:fill="auto"/>
          <w:lang w:val="en-US" w:eastAsia="zh-CN"/>
        </w:rPr>
        <w:t>市场化出租</w:t>
      </w:r>
      <w:r>
        <w:rPr>
          <w:rFonts w:hint="eastAsia" w:ascii="宋体" w:hAnsi="宋体" w:eastAsia="宋体" w:cs="宋体"/>
          <w:i w:val="0"/>
          <w:iCs w:val="0"/>
          <w:caps w:val="0"/>
          <w:color w:val="auto"/>
          <w:spacing w:val="0"/>
          <w:sz w:val="24"/>
          <w:szCs w:val="21"/>
          <w:highlight w:val="none"/>
          <w:shd w:val="clear" w:color="auto" w:fill="auto"/>
        </w:rPr>
        <w:t>连续两年每年的</w:t>
      </w:r>
      <w:r>
        <w:rPr>
          <w:rFonts w:hint="eastAsia" w:cs="宋体"/>
          <w:i w:val="0"/>
          <w:iCs w:val="0"/>
          <w:caps w:val="0"/>
          <w:color w:val="auto"/>
          <w:spacing w:val="0"/>
          <w:sz w:val="24"/>
          <w:szCs w:val="21"/>
          <w:highlight w:val="none"/>
          <w:shd w:val="clear" w:color="auto" w:fill="auto"/>
          <w:lang w:val="en-US" w:eastAsia="zh-CN"/>
        </w:rPr>
        <w:t>年均</w:t>
      </w:r>
      <w:r>
        <w:rPr>
          <w:rFonts w:hint="eastAsia" w:ascii="宋体" w:hAnsi="宋体" w:eastAsia="宋体" w:cs="宋体"/>
          <w:i w:val="0"/>
          <w:iCs w:val="0"/>
          <w:caps w:val="0"/>
          <w:color w:val="auto"/>
          <w:spacing w:val="0"/>
          <w:sz w:val="24"/>
          <w:szCs w:val="21"/>
          <w:highlight w:val="none"/>
          <w:shd w:val="clear" w:color="auto" w:fill="auto"/>
        </w:rPr>
        <w:t>出租率达到80%以上则合同期限可以延续2年</w:t>
      </w:r>
      <w:r>
        <w:rPr>
          <w:rFonts w:hint="eastAsia" w:ascii="宋体" w:hAnsi="宋体" w:eastAsia="宋体" w:cs="宋体"/>
          <w:color w:val="auto"/>
          <w:sz w:val="24"/>
          <w:szCs w:val="21"/>
          <w:highlight w:val="none"/>
          <w:lang w:eastAsia="zh-CN"/>
        </w:rPr>
        <w:t>。</w:t>
      </w:r>
    </w:p>
    <w:p w14:paraId="641DAFFC">
      <w:pPr>
        <w:pStyle w:val="4"/>
        <w:numPr>
          <w:ilvl w:val="0"/>
          <w:numId w:val="0"/>
        </w:numPr>
        <w:spacing w:line="360" w:lineRule="auto"/>
        <w:ind w:leftChars="200"/>
        <w:rPr>
          <w:rFonts w:hint="eastAsia"/>
          <w:b/>
          <w:bCs/>
          <w:color w:val="auto"/>
          <w:sz w:val="24"/>
          <w:szCs w:val="24"/>
          <w:highlight w:val="none"/>
        </w:rPr>
      </w:pPr>
      <w:r>
        <w:rPr>
          <w:rFonts w:hint="eastAsia"/>
          <w:b/>
          <w:bCs/>
          <w:color w:val="auto"/>
          <w:sz w:val="24"/>
          <w:szCs w:val="24"/>
          <w:highlight w:val="none"/>
          <w:lang w:val="en-US" w:eastAsia="zh-CN"/>
        </w:rPr>
        <w:t>三、</w:t>
      </w:r>
      <w:r>
        <w:rPr>
          <w:rFonts w:hint="eastAsia"/>
          <w:b/>
          <w:bCs/>
          <w:color w:val="auto"/>
          <w:sz w:val="24"/>
          <w:szCs w:val="24"/>
          <w:highlight w:val="none"/>
        </w:rPr>
        <w:t>岗位要求</w:t>
      </w:r>
    </w:p>
    <w:p w14:paraId="68485AA0">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供应商应按本次招标的范围及内容，并结合自身的实际情况，按</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配备相关的人员。</w:t>
      </w:r>
    </w:p>
    <w:p w14:paraId="783B29C9">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lang w:eastAsia="zh-CN"/>
        </w:rPr>
        <w:t>岗位职责要求表</w:t>
      </w:r>
    </w:p>
    <w:tbl>
      <w:tblPr>
        <w:tblStyle w:val="1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300"/>
        <w:gridCol w:w="5617"/>
        <w:gridCol w:w="990"/>
      </w:tblGrid>
      <w:tr w14:paraId="5F5A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12" w:type="dxa"/>
            <w:noWrap w:val="0"/>
            <w:vAlign w:val="center"/>
          </w:tcPr>
          <w:p w14:paraId="02423140">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300" w:type="dxa"/>
            <w:noWrap w:val="0"/>
            <w:vAlign w:val="center"/>
          </w:tcPr>
          <w:p w14:paraId="6F7D68EB">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highlight w:val="none"/>
              </w:rPr>
            </w:pPr>
            <w:r>
              <w:rPr>
                <w:rFonts w:hint="eastAsia" w:ascii="宋体" w:hAnsi="宋体" w:cs="宋体"/>
                <w:b/>
                <w:bCs/>
                <w:color w:val="auto"/>
                <w:sz w:val="24"/>
                <w:highlight w:val="none"/>
              </w:rPr>
              <w:t>岗位</w:t>
            </w:r>
          </w:p>
        </w:tc>
        <w:tc>
          <w:tcPr>
            <w:tcW w:w="5617" w:type="dxa"/>
            <w:noWrap w:val="0"/>
            <w:vAlign w:val="center"/>
          </w:tcPr>
          <w:p w14:paraId="346DA60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岗位职责</w:t>
            </w:r>
            <w:r>
              <w:rPr>
                <w:rFonts w:hint="eastAsia" w:ascii="宋体" w:hAnsi="宋体" w:cs="宋体"/>
                <w:b/>
                <w:bCs/>
                <w:color w:val="auto"/>
                <w:sz w:val="24"/>
                <w:highlight w:val="none"/>
                <w:lang w:eastAsia="zh-CN"/>
              </w:rPr>
              <w:t>要求</w:t>
            </w:r>
          </w:p>
        </w:tc>
        <w:tc>
          <w:tcPr>
            <w:tcW w:w="990" w:type="dxa"/>
            <w:noWrap w:val="0"/>
            <w:vAlign w:val="center"/>
          </w:tcPr>
          <w:p w14:paraId="68949E78">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备注</w:t>
            </w:r>
          </w:p>
        </w:tc>
      </w:tr>
      <w:tr w14:paraId="69CC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2" w:type="dxa"/>
            <w:noWrap w:val="0"/>
            <w:vAlign w:val="center"/>
          </w:tcPr>
          <w:p w14:paraId="34C4E5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00" w:type="dxa"/>
            <w:noWrap w:val="0"/>
            <w:vAlign w:val="center"/>
          </w:tcPr>
          <w:p w14:paraId="04450E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店长</w:t>
            </w:r>
          </w:p>
        </w:tc>
        <w:tc>
          <w:tcPr>
            <w:tcW w:w="5617" w:type="dxa"/>
            <w:noWrap w:val="0"/>
            <w:vAlign w:val="center"/>
          </w:tcPr>
          <w:p w14:paraId="243AEEF5">
            <w:pPr>
              <w:keepNext w:val="0"/>
              <w:keepLines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负责本项目的运营服务工作，全面负责</w:t>
            </w:r>
            <w:r>
              <w:rPr>
                <w:rFonts w:hint="default"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安全管理、经营指标、服务质量、员工的培训、管理考核、工作安排及与采购人的对接工作等。</w:t>
            </w:r>
          </w:p>
        </w:tc>
        <w:tc>
          <w:tcPr>
            <w:tcW w:w="990" w:type="dxa"/>
            <w:noWrap w:val="0"/>
            <w:vAlign w:val="center"/>
          </w:tcPr>
          <w:p w14:paraId="39F34105">
            <w:pPr>
              <w:keepNext w:val="0"/>
              <w:keepLines w:val="0"/>
              <w:suppressLineNumbers w:val="0"/>
              <w:spacing w:before="0" w:beforeAutospacing="0" w:after="0" w:afterAutospacing="0" w:line="360" w:lineRule="auto"/>
              <w:ind w:left="0" w:right="0" w:firstLine="480" w:firstLineChars="200"/>
              <w:jc w:val="both"/>
              <w:rPr>
                <w:rFonts w:hint="default" w:eastAsia="宋体"/>
                <w:color w:val="auto"/>
                <w:sz w:val="24"/>
                <w:highlight w:val="none"/>
                <w:lang w:val="en-US" w:eastAsia="zh-CN"/>
              </w:rPr>
            </w:pPr>
          </w:p>
        </w:tc>
      </w:tr>
      <w:tr w14:paraId="341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12" w:type="dxa"/>
            <w:noWrap w:val="0"/>
            <w:vAlign w:val="center"/>
          </w:tcPr>
          <w:p w14:paraId="0E387E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300" w:type="dxa"/>
            <w:noWrap w:val="0"/>
            <w:vAlign w:val="center"/>
          </w:tcPr>
          <w:p w14:paraId="786ADCD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主管</w:t>
            </w:r>
          </w:p>
        </w:tc>
        <w:tc>
          <w:tcPr>
            <w:tcW w:w="5617" w:type="dxa"/>
            <w:noWrap w:val="0"/>
            <w:vAlign w:val="center"/>
          </w:tcPr>
          <w:p w14:paraId="6BA94A99">
            <w:pPr>
              <w:keepNext w:val="0"/>
              <w:keepLines w:val="0"/>
              <w:suppressLineNumbers w:val="0"/>
              <w:spacing w:before="0" w:beforeAutospacing="0" w:after="0" w:afterAutospacing="0" w:line="360" w:lineRule="auto"/>
              <w:ind w:left="0" w:right="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配合店长运营服务工作，负责</w:t>
            </w:r>
            <w:r>
              <w:rPr>
                <w:rFonts w:hint="default"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安全管理、经营指标、服务质量、员工的培训、管理考核、工作安排及与采购人的对接工作等。</w:t>
            </w:r>
          </w:p>
        </w:tc>
        <w:tc>
          <w:tcPr>
            <w:tcW w:w="990" w:type="dxa"/>
            <w:noWrap w:val="0"/>
            <w:vAlign w:val="center"/>
          </w:tcPr>
          <w:p w14:paraId="46DD9890">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val="en-US" w:eastAsia="zh-CN"/>
              </w:rPr>
            </w:pPr>
          </w:p>
        </w:tc>
      </w:tr>
      <w:tr w14:paraId="74A8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2" w:type="dxa"/>
            <w:noWrap w:val="0"/>
            <w:vAlign w:val="center"/>
          </w:tcPr>
          <w:p w14:paraId="4ABC57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00" w:type="dxa"/>
            <w:noWrap w:val="0"/>
            <w:vAlign w:val="center"/>
          </w:tcPr>
          <w:p w14:paraId="5A3FD8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管家</w:t>
            </w:r>
          </w:p>
        </w:tc>
        <w:tc>
          <w:tcPr>
            <w:tcW w:w="5617" w:type="dxa"/>
            <w:noWrap w:val="0"/>
            <w:vAlign w:val="center"/>
          </w:tcPr>
          <w:p w14:paraId="52450C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负责本项目</w:t>
            </w:r>
            <w:r>
              <w:rPr>
                <w:rFonts w:hint="eastAsia" w:ascii="宋体" w:hAnsi="宋体" w:eastAsia="宋体" w:cs="宋体"/>
                <w:color w:val="auto"/>
                <w:sz w:val="24"/>
                <w:szCs w:val="24"/>
              </w:rPr>
              <w:t>销售管理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行政财务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物业管理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文化建设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日常运营</w:t>
            </w:r>
            <w:r>
              <w:rPr>
                <w:rFonts w:hint="eastAsia" w:ascii="宋体" w:hAnsi="宋体" w:eastAsia="宋体" w:cs="宋体"/>
                <w:color w:val="auto"/>
                <w:sz w:val="24"/>
                <w:szCs w:val="24"/>
                <w:lang w:val="en-US" w:eastAsia="zh-CN"/>
              </w:rPr>
              <w:t>等工作</w:t>
            </w:r>
          </w:p>
        </w:tc>
        <w:tc>
          <w:tcPr>
            <w:tcW w:w="990" w:type="dxa"/>
            <w:noWrap w:val="0"/>
            <w:vAlign w:val="center"/>
          </w:tcPr>
          <w:p w14:paraId="32CAADAC">
            <w:pPr>
              <w:keepNext w:val="0"/>
              <w:keepLines w:val="0"/>
              <w:suppressLineNumbers w:val="0"/>
              <w:spacing w:before="0" w:beforeAutospacing="0" w:after="0" w:afterAutospacing="0" w:line="360" w:lineRule="auto"/>
              <w:ind w:left="0" w:right="0"/>
              <w:jc w:val="left"/>
              <w:rPr>
                <w:rFonts w:hint="eastAsia" w:ascii="宋体" w:hAnsi="宋体" w:cs="宋体"/>
                <w:color w:val="auto"/>
                <w:sz w:val="24"/>
                <w:highlight w:val="none"/>
                <w:lang w:val="en-US" w:eastAsia="zh-CN"/>
              </w:rPr>
            </w:pPr>
          </w:p>
        </w:tc>
      </w:tr>
      <w:tr w14:paraId="56F1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12" w:type="dxa"/>
            <w:noWrap w:val="0"/>
            <w:vAlign w:val="center"/>
          </w:tcPr>
          <w:p w14:paraId="64BE97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00" w:type="dxa"/>
            <w:noWrap w:val="0"/>
            <w:vAlign w:val="center"/>
          </w:tcPr>
          <w:p w14:paraId="4DA6C6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维修人员</w:t>
            </w:r>
          </w:p>
        </w:tc>
        <w:tc>
          <w:tcPr>
            <w:tcW w:w="5617" w:type="dxa"/>
            <w:noWrap w:val="0"/>
            <w:vAlign w:val="center"/>
          </w:tcPr>
          <w:p w14:paraId="44E92B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负责设备维修保养、安全操作、物料管理、运行管理、能源管理、</w:t>
            </w:r>
            <w:r>
              <w:rPr>
                <w:rFonts w:hint="eastAsia" w:ascii="宋体" w:hAnsi="宋体" w:eastAsia="宋体" w:cs="宋体"/>
                <w:color w:val="auto"/>
                <w:sz w:val="24"/>
                <w:szCs w:val="24"/>
              </w:rPr>
              <w:t>日常</w:t>
            </w:r>
            <w:r>
              <w:rPr>
                <w:rFonts w:hint="eastAsia" w:ascii="宋体" w:hAnsi="宋体" w:eastAsia="宋体" w:cs="宋体"/>
                <w:color w:val="auto"/>
                <w:sz w:val="24"/>
                <w:szCs w:val="24"/>
                <w:lang w:val="en-US" w:eastAsia="zh-CN"/>
              </w:rPr>
              <w:t xml:space="preserve">保修服务。 </w:t>
            </w:r>
          </w:p>
        </w:tc>
        <w:tc>
          <w:tcPr>
            <w:tcW w:w="990" w:type="dxa"/>
            <w:noWrap w:val="0"/>
            <w:vAlign w:val="center"/>
          </w:tcPr>
          <w:p w14:paraId="4F15C214">
            <w:pPr>
              <w:keepNext w:val="0"/>
              <w:keepLines w:val="0"/>
              <w:suppressLineNumbers w:val="0"/>
              <w:spacing w:before="0" w:beforeAutospacing="0" w:after="0" w:afterAutospacing="0" w:line="360" w:lineRule="auto"/>
              <w:ind w:left="0" w:right="0"/>
              <w:jc w:val="left"/>
              <w:rPr>
                <w:rFonts w:hint="eastAsia" w:ascii="宋体" w:hAnsi="宋体" w:cs="宋体"/>
                <w:color w:val="auto"/>
                <w:sz w:val="24"/>
                <w:highlight w:val="none"/>
                <w:lang w:val="en-US" w:eastAsia="zh-CN"/>
              </w:rPr>
            </w:pPr>
          </w:p>
        </w:tc>
      </w:tr>
      <w:tr w14:paraId="262C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12" w:type="dxa"/>
            <w:noWrap w:val="0"/>
            <w:vAlign w:val="center"/>
          </w:tcPr>
          <w:p w14:paraId="207836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300" w:type="dxa"/>
            <w:noWrap w:val="0"/>
            <w:vAlign w:val="center"/>
          </w:tcPr>
          <w:p w14:paraId="67BA7A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保安</w:t>
            </w:r>
          </w:p>
        </w:tc>
        <w:tc>
          <w:tcPr>
            <w:tcW w:w="5617" w:type="dxa"/>
            <w:noWrap w:val="0"/>
            <w:vAlign w:val="center"/>
          </w:tcPr>
          <w:p w14:paraId="62E811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负责噪音管控、清洁卫生、安全巡视、安全管控、能源控制、</w:t>
            </w:r>
            <w:r>
              <w:rPr>
                <w:rFonts w:hint="eastAsia" w:ascii="宋体" w:hAnsi="宋体" w:eastAsia="宋体" w:cs="宋体"/>
                <w:color w:val="auto"/>
                <w:sz w:val="24"/>
                <w:szCs w:val="24"/>
              </w:rPr>
              <w:t>团队协作</w:t>
            </w:r>
            <w:r>
              <w:rPr>
                <w:rFonts w:hint="eastAsia" w:ascii="宋体" w:hAnsi="宋体" w:eastAsia="宋体" w:cs="宋体"/>
                <w:color w:val="auto"/>
                <w:sz w:val="24"/>
                <w:szCs w:val="24"/>
                <w:lang w:val="en-US" w:eastAsia="zh-CN"/>
              </w:rPr>
              <w:t>等服务</w:t>
            </w:r>
          </w:p>
        </w:tc>
        <w:tc>
          <w:tcPr>
            <w:tcW w:w="990" w:type="dxa"/>
            <w:noWrap w:val="0"/>
            <w:vAlign w:val="center"/>
          </w:tcPr>
          <w:p w14:paraId="7A9B89D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highlight w:val="none"/>
                <w:lang w:val="en-US" w:eastAsia="zh-CN"/>
              </w:rPr>
            </w:pPr>
          </w:p>
        </w:tc>
      </w:tr>
      <w:tr w14:paraId="7DC0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12" w:type="dxa"/>
            <w:noWrap w:val="0"/>
            <w:vAlign w:val="center"/>
          </w:tcPr>
          <w:p w14:paraId="790D96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00" w:type="dxa"/>
            <w:noWrap w:val="0"/>
            <w:vAlign w:val="center"/>
          </w:tcPr>
          <w:p w14:paraId="684970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w:t>
            </w:r>
          </w:p>
        </w:tc>
        <w:tc>
          <w:tcPr>
            <w:tcW w:w="5617" w:type="dxa"/>
            <w:noWrap w:val="0"/>
            <w:vAlign w:val="center"/>
          </w:tcPr>
          <w:p w14:paraId="6D4945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负责日常工作、月工作等服务</w:t>
            </w:r>
          </w:p>
        </w:tc>
        <w:tc>
          <w:tcPr>
            <w:tcW w:w="990" w:type="dxa"/>
            <w:noWrap w:val="0"/>
            <w:vAlign w:val="center"/>
          </w:tcPr>
          <w:p w14:paraId="6FBE3A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100BC3DD">
      <w:pPr>
        <w:pStyle w:val="8"/>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注:1.除招标文件有明确要求外，有时间交叉的岗位之间不可兼任，根据岗位职责和工作要求在工作时间外安排好值班、加班。</w:t>
      </w:r>
    </w:p>
    <w:p w14:paraId="1085C604">
      <w:pPr>
        <w:pStyle w:val="4"/>
        <w:numPr>
          <w:ilvl w:val="0"/>
          <w:numId w:val="0"/>
        </w:numPr>
        <w:spacing w:line="360" w:lineRule="auto"/>
        <w:ind w:leftChars="200"/>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四、人员要求</w:t>
      </w:r>
    </w:p>
    <w:p w14:paraId="31225BCC">
      <w:pPr>
        <w:numPr>
          <w:ilvl w:val="0"/>
          <w:numId w:val="39"/>
        </w:numPr>
        <w:autoSpaceDE w:val="0"/>
        <w:autoSpaceDN w:val="0"/>
        <w:adjustRightIn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人员基本要求</w:t>
      </w:r>
    </w:p>
    <w:p w14:paraId="3DCD554C">
      <w:pPr>
        <w:numPr>
          <w:ilvl w:val="0"/>
          <w:numId w:val="40"/>
        </w:numPr>
        <w:spacing w:line="360" w:lineRule="auto"/>
        <w:ind w:firstLine="480" w:firstLineChars="200"/>
        <w:rPr>
          <w:rFonts w:hint="eastAsia"/>
          <w:color w:val="auto"/>
        </w:rPr>
      </w:pPr>
      <w:r>
        <w:rPr>
          <w:rFonts w:hint="eastAsia" w:ascii="宋体" w:hAnsi="宋体" w:eastAsia="宋体" w:cs="宋体"/>
          <w:color w:val="auto"/>
          <w:sz w:val="24"/>
          <w:szCs w:val="24"/>
          <w:highlight w:val="none"/>
        </w:rPr>
        <w:t>所有</w:t>
      </w:r>
      <w:r>
        <w:rPr>
          <w:rFonts w:hint="eastAsia" w:ascii="宋体" w:hAnsi="宋体" w:eastAsia="宋体" w:cs="宋体"/>
          <w:color w:val="auto"/>
          <w:sz w:val="24"/>
          <w:szCs w:val="24"/>
          <w:highlight w:val="none"/>
          <w:lang w:val="en-US" w:eastAsia="zh-CN"/>
        </w:rPr>
        <w:t>运营服务</w:t>
      </w:r>
      <w:r>
        <w:rPr>
          <w:rFonts w:hint="eastAsia" w:ascii="宋体" w:hAnsi="宋体" w:eastAsia="宋体" w:cs="宋体"/>
          <w:color w:val="auto"/>
          <w:sz w:val="24"/>
          <w:szCs w:val="24"/>
          <w:highlight w:val="none"/>
        </w:rPr>
        <w:t>人员应身体健康，形象端正，具有一定的政治文化素养，基本的服务素质和相应的服务技能。所有人员要求政治上可靠，身体素质好，无不良行为记录。在入职前必须进行体检，要求身体健康。</w:t>
      </w:r>
      <w:r>
        <w:rPr>
          <w:rFonts w:hint="eastAsia" w:ascii="宋体" w:hAnsi="宋体" w:eastAsia="宋体" w:cs="宋体"/>
          <w:color w:val="auto"/>
          <w:sz w:val="24"/>
          <w:szCs w:val="24"/>
          <w:highlight w:val="none"/>
          <w:lang w:eastAsia="zh-CN"/>
        </w:rPr>
        <w:t>做好相关保密工作。</w:t>
      </w:r>
    </w:p>
    <w:p w14:paraId="613CCFB3">
      <w:pPr>
        <w:numPr>
          <w:ilvl w:val="0"/>
          <w:numId w:val="40"/>
        </w:numPr>
        <w:spacing w:line="360" w:lineRule="auto"/>
        <w:ind w:firstLine="480" w:firstLineChars="200"/>
        <w:rPr>
          <w:rFonts w:hint="eastAsia"/>
          <w:color w:val="auto"/>
        </w:rPr>
      </w:pPr>
      <w:r>
        <w:rPr>
          <w:rFonts w:hint="eastAsia" w:ascii="宋体" w:hAnsi="宋体" w:eastAsia="宋体" w:cs="宋体"/>
          <w:color w:val="auto"/>
          <w:sz w:val="24"/>
          <w:szCs w:val="24"/>
          <w:highlight w:val="none"/>
        </w:rPr>
        <w:t>店长、主管、管家开业前2个月到岗，其他人员开业前1个月到岗，具体人数和时间可根据项目实际需要进行调整，费用按实结算。</w:t>
      </w:r>
    </w:p>
    <w:p w14:paraId="15B48970">
      <w:pPr>
        <w:numPr>
          <w:ilvl w:val="0"/>
          <w:numId w:val="4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店长1名，</w:t>
      </w:r>
      <w:r>
        <w:rPr>
          <w:rFonts w:hint="eastAsia" w:ascii="宋体" w:hAnsi="宋体" w:eastAsia="宋体" w:cs="宋体"/>
          <w:color w:val="auto"/>
          <w:sz w:val="24"/>
          <w:szCs w:val="24"/>
          <w:highlight w:val="none"/>
          <w:lang w:val="en-US" w:eastAsia="zh-CN"/>
        </w:rPr>
        <w:t>主管1名，</w:t>
      </w:r>
      <w:r>
        <w:rPr>
          <w:rFonts w:hint="eastAsia" w:ascii="宋体" w:hAnsi="宋体" w:eastAsia="宋体" w:cs="宋体"/>
          <w:color w:val="auto"/>
          <w:sz w:val="24"/>
          <w:szCs w:val="24"/>
          <w:highlight w:val="none"/>
        </w:rPr>
        <w:t>管家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名，保洁5名，保安3名，工程维修1名，不少于15人。</w:t>
      </w:r>
    </w:p>
    <w:p w14:paraId="757A3EF9">
      <w:pPr>
        <w:numPr>
          <w:ilvl w:val="0"/>
          <w:numId w:val="4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岗位基本要求：店长岗位年龄在45周岁以下</w:t>
      </w:r>
      <w:r>
        <w:rPr>
          <w:rFonts w:hint="eastAsia" w:cs="宋体"/>
          <w:color w:val="auto"/>
          <w:sz w:val="24"/>
          <w:szCs w:val="24"/>
          <w:highlight w:val="none"/>
          <w:lang w:eastAsia="zh-CN"/>
        </w:rPr>
        <w:t>（</w:t>
      </w:r>
      <w:r>
        <w:rPr>
          <w:rFonts w:hint="eastAsia" w:cs="宋体"/>
          <w:color w:val="auto"/>
          <w:sz w:val="24"/>
          <w:szCs w:val="24"/>
          <w:highlight w:val="none"/>
          <w:lang w:val="en-US" w:eastAsia="zh-CN"/>
        </w:rPr>
        <w:t>具备2年及以上公寓运营管理经验）</w:t>
      </w:r>
      <w:r>
        <w:rPr>
          <w:rFonts w:hint="eastAsia" w:ascii="宋体" w:hAnsi="宋体" w:eastAsia="宋体" w:cs="宋体"/>
          <w:color w:val="auto"/>
          <w:sz w:val="24"/>
          <w:szCs w:val="24"/>
          <w:highlight w:val="none"/>
        </w:rPr>
        <w:t>，主管岗位年龄在35周岁以下</w:t>
      </w:r>
      <w:r>
        <w:rPr>
          <w:rFonts w:hint="eastAsia" w:cs="宋体"/>
          <w:color w:val="auto"/>
          <w:sz w:val="24"/>
          <w:szCs w:val="24"/>
          <w:highlight w:val="none"/>
          <w:lang w:eastAsia="zh-CN"/>
        </w:rPr>
        <w:t>（</w:t>
      </w:r>
      <w:r>
        <w:rPr>
          <w:rFonts w:hint="eastAsia" w:cs="宋体"/>
          <w:color w:val="auto"/>
          <w:sz w:val="24"/>
          <w:szCs w:val="24"/>
          <w:highlight w:val="none"/>
          <w:lang w:val="en-US" w:eastAsia="zh-CN"/>
        </w:rPr>
        <w:t>具备1年及以上公寓运营管理经验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管家岗位年龄在35周岁以下；保安、保洁、维修岗位年龄在55周岁以下；店长、主管、管家岗位全日制大专及以上学历；岗位需要持特定技能及证书上岗的，必须持有相关操作技能和证书。中标人须在上岗前做好相关培训工作。</w:t>
      </w:r>
    </w:p>
    <w:p w14:paraId="3B6BE946">
      <w:pPr>
        <w:numPr>
          <w:ilvl w:val="0"/>
          <w:numId w:val="4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保持员工队伍相对稳定，调动</w:t>
      </w:r>
      <w:r>
        <w:rPr>
          <w:rFonts w:hint="eastAsia" w:ascii="宋体" w:hAnsi="宋体" w:eastAsia="宋体" w:cs="宋体"/>
          <w:color w:val="auto"/>
          <w:sz w:val="24"/>
          <w:szCs w:val="24"/>
          <w:highlight w:val="none"/>
          <w:lang w:val="en-US" w:eastAsia="zh-CN"/>
        </w:rPr>
        <w:t>店长及主管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提前告知采购人。按招标、投标文件岗位配置配足员工，不得擅自减少、变更</w:t>
      </w:r>
      <w:r>
        <w:rPr>
          <w:rFonts w:hint="eastAsia" w:ascii="宋体" w:hAnsi="宋体" w:eastAsia="宋体" w:cs="宋体"/>
          <w:color w:val="auto"/>
          <w:sz w:val="24"/>
          <w:szCs w:val="24"/>
          <w:highlight w:val="none"/>
          <w:lang w:val="en-US" w:eastAsia="zh-CN"/>
        </w:rPr>
        <w:t>店长</w:t>
      </w:r>
      <w:r>
        <w:rPr>
          <w:rFonts w:hint="eastAsia" w:ascii="宋体" w:hAnsi="宋体" w:eastAsia="宋体" w:cs="宋体"/>
          <w:color w:val="auto"/>
          <w:sz w:val="24"/>
          <w:szCs w:val="24"/>
          <w:highlight w:val="none"/>
        </w:rPr>
        <w:t>和其他管理人员。</w:t>
      </w:r>
    </w:p>
    <w:p w14:paraId="71C23137">
      <w:pPr>
        <w:numPr>
          <w:ilvl w:val="0"/>
          <w:numId w:val="4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所有工作人员在工作时间必须根据不同岗位分别穿着工作服。 </w:t>
      </w:r>
    </w:p>
    <w:p w14:paraId="612EAA83">
      <w:pPr>
        <w:numPr>
          <w:ilvl w:val="0"/>
          <w:numId w:val="39"/>
        </w:numPr>
        <w:autoSpaceDE w:val="0"/>
        <w:autoSpaceDN w:val="0"/>
        <w:adjustRightIn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人力资源要求：</w:t>
      </w:r>
    </w:p>
    <w:p w14:paraId="177BADA7">
      <w:pPr>
        <w:numPr>
          <w:ilvl w:val="0"/>
          <w:numId w:val="4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采购人有权委派业主代表至项目工作，所任岗位由采购人和中标人双方协商确定。业主代表对项目的经营管理工作、财务制度执行情况等进行监督。中标人对业主代表提出的监督意见建议应当予以书面反馈</w:t>
      </w:r>
      <w:r>
        <w:rPr>
          <w:rFonts w:hint="eastAsia" w:cs="宋体"/>
          <w:color w:val="auto"/>
          <w:sz w:val="24"/>
          <w:szCs w:val="24"/>
          <w:highlight w:val="none"/>
          <w:lang w:val="en-US" w:eastAsia="zh-CN"/>
        </w:rPr>
        <w:t>并及时整改</w:t>
      </w:r>
      <w:r>
        <w:rPr>
          <w:rFonts w:hint="eastAsia" w:ascii="宋体" w:hAnsi="宋体" w:eastAsia="宋体" w:cs="宋体"/>
          <w:color w:val="auto"/>
          <w:sz w:val="24"/>
          <w:szCs w:val="24"/>
          <w:highlight w:val="none"/>
        </w:rPr>
        <w:t>。</w:t>
      </w:r>
    </w:p>
    <w:p w14:paraId="71513E4B">
      <w:pPr>
        <w:numPr>
          <w:ilvl w:val="0"/>
          <w:numId w:val="4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采购人须参于中标人运营团队招聘工作，招录的工作人员须经过采购人同意后上岗。</w:t>
      </w:r>
    </w:p>
    <w:p w14:paraId="17C200C9">
      <w:pPr>
        <w:numPr>
          <w:ilvl w:val="0"/>
          <w:numId w:val="41"/>
        </w:numPr>
        <w:spacing w:line="360" w:lineRule="auto"/>
        <w:ind w:firstLine="480" w:firstLineChars="200"/>
        <w:rPr>
          <w:rFonts w:hint="default"/>
          <w:color w:val="auto"/>
          <w:lang w:val="en-US" w:eastAsia="zh-CN"/>
        </w:rPr>
      </w:pPr>
      <w:r>
        <w:rPr>
          <w:rFonts w:hint="eastAsia" w:ascii="宋体" w:hAnsi="宋体" w:eastAsia="宋体" w:cs="宋体"/>
          <w:color w:val="auto"/>
          <w:sz w:val="24"/>
          <w:szCs w:val="24"/>
          <w:highlight w:val="none"/>
        </w:rPr>
        <w:t>中标人应充分尊重采购人对项目运营管理团队的看法和意见，须遵照在采购人的管控体系下开展工作，如采购人对其服务不满意或达不到采购人单位服务要求的，有权随时提出变更的意见，中标人应在收到通知后15个工作日内无条件配合提供更好人选进行调整（更换人选要求不低于原人员的资格、业绩等），若因中标人原因导致店长需更换的，需提前一个月报备，经采购人同意后，方可更换。擅自更换的，支付违约金10万元/人。违约金在当期进度款支付前向采购人缴纳，如中标人未缴纳，采购人有权在当期进度款中直接扣取。若采购人要求更换店长，中标人拒绝更换的，按照擅自更换承担违约责任。</w:t>
      </w:r>
    </w:p>
    <w:p w14:paraId="565E5617">
      <w:pPr>
        <w:numPr>
          <w:ilvl w:val="0"/>
          <w:numId w:val="39"/>
        </w:numPr>
        <w:autoSpaceDE w:val="0"/>
        <w:autoSpaceDN w:val="0"/>
        <w:adjustRightIn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工作时间要求（除招标文件有特殊要求外）</w:t>
      </w:r>
    </w:p>
    <w:p w14:paraId="571DAEE5">
      <w:pPr>
        <w:numPr>
          <w:ilvl w:val="0"/>
          <w:numId w:val="0"/>
        </w:num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根据岗位班制要求执行，国家法定节假日、双休日根据实际需求值班。如遇大型活动或排练演出、</w:t>
      </w:r>
      <w:r>
        <w:rPr>
          <w:rFonts w:hint="eastAsia" w:ascii="宋体" w:hAnsi="宋体" w:eastAsia="宋体" w:cs="宋体"/>
          <w:color w:val="auto"/>
          <w:sz w:val="24"/>
          <w:szCs w:val="24"/>
          <w:highlight w:val="none"/>
          <w:lang w:val="en-US" w:eastAsia="zh-CN"/>
        </w:rPr>
        <w:t>演练、</w:t>
      </w:r>
      <w:r>
        <w:rPr>
          <w:rFonts w:hint="eastAsia" w:ascii="宋体" w:hAnsi="宋体" w:eastAsia="宋体" w:cs="宋体"/>
          <w:color w:val="auto"/>
          <w:sz w:val="24"/>
          <w:szCs w:val="24"/>
          <w:highlight w:val="none"/>
        </w:rPr>
        <w:t>一级响应等情况，需自行调配工作时间，满足采购人需求。如遇抗台及灾害性天气、特殊事件等情况发生，必须及时到场服务。</w:t>
      </w:r>
    </w:p>
    <w:p w14:paraId="54988BB6">
      <w:pPr>
        <w:pStyle w:val="4"/>
        <w:numPr>
          <w:ilvl w:val="0"/>
          <w:numId w:val="0"/>
        </w:numPr>
        <w:spacing w:line="360" w:lineRule="auto"/>
        <w:ind w:leftChars="200"/>
        <w:rPr>
          <w:rFonts w:hint="eastAsia" w:ascii="宋体" w:hAnsi="宋体" w:eastAsia="宋体" w:cs="宋体"/>
          <w:b/>
          <w:bCs/>
          <w:color w:val="auto"/>
          <w:sz w:val="24"/>
          <w:szCs w:val="24"/>
          <w:highlight w:val="none"/>
          <w:lang w:val="en-US" w:eastAsia="zh-CN"/>
        </w:rPr>
      </w:pPr>
    </w:p>
    <w:p w14:paraId="4CD2F211">
      <w:pPr>
        <w:pStyle w:val="4"/>
        <w:numPr>
          <w:ilvl w:val="0"/>
          <w:numId w:val="0"/>
        </w:numPr>
        <w:spacing w:line="360" w:lineRule="auto"/>
        <w:ind w:left="400" w:leftChars="200" w:firstLineChars="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五、服务范围及要求</w:t>
      </w:r>
    </w:p>
    <w:p w14:paraId="067BA713">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保洁服务：按卫生计划对运营区域进行高质量保洁，确保环境整洁、有序、舒适；可提供入户保洁增值服务，维护舒适卫生环境。及时做好日租公寓布草洗涤等卫生管理。</w:t>
      </w:r>
    </w:p>
    <w:p w14:paraId="63153B28">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保服务：全面布防、全员防范，充分利用数字化技术设备，做到人防和技防结合的安保措施，确保正常有序地运营，制定全面的应急预案，确保各类突发事件能得到有效的处置。对外来人员进行登记管理，公共区域安全巡查等，顺畅对接公安报备。</w:t>
      </w:r>
    </w:p>
    <w:p w14:paraId="6875ABDE">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运营</w:t>
      </w:r>
      <w:r>
        <w:rPr>
          <w:rFonts w:hint="eastAsia" w:ascii="宋体" w:hAnsi="宋体" w:eastAsia="宋体" w:cs="宋体"/>
          <w:b w:val="0"/>
          <w:bCs w:val="0"/>
          <w:color w:val="auto"/>
          <w:sz w:val="24"/>
          <w:szCs w:val="24"/>
          <w:highlight w:val="none"/>
        </w:rPr>
        <w:t>服务：对申请入住人员审核、完成配租，并进行实名登记等信息化管理，防止出现转租、长期空置等情况的发生，对已发生转租等不合规的人员进行上报清退处理；对入住人员进行实名记并定期核查身份现场全程配备管家，为租客便捷办理住、退、转、换、续手续，及时回复解决租住问题：负责水、电、房租、网络等费用的及时收缴以及其他所有物业相关服务。</w:t>
      </w:r>
    </w:p>
    <w:p w14:paraId="4688DC28">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公区装饰（氛围提升）服务：日常</w:t>
      </w:r>
      <w:r>
        <w:rPr>
          <w:rFonts w:hint="default" w:ascii="宋体" w:hAnsi="宋体" w:eastAsia="宋体" w:cs="宋体"/>
          <w:b w:val="0"/>
          <w:bCs w:val="0"/>
          <w:color w:val="auto"/>
          <w:sz w:val="24"/>
          <w:szCs w:val="24"/>
          <w:highlight w:val="none"/>
        </w:rPr>
        <w:t>及</w:t>
      </w:r>
      <w:r>
        <w:rPr>
          <w:rFonts w:hint="eastAsia" w:ascii="宋体" w:hAnsi="宋体" w:eastAsia="宋体" w:cs="宋体"/>
          <w:b w:val="0"/>
          <w:bCs w:val="0"/>
          <w:color w:val="auto"/>
          <w:sz w:val="24"/>
          <w:szCs w:val="24"/>
          <w:highlight w:val="none"/>
        </w:rPr>
        <w:t>新年、春节、</w:t>
      </w:r>
      <w:r>
        <w:rPr>
          <w:rFonts w:hint="default" w:ascii="宋体" w:hAnsi="宋体" w:eastAsia="宋体" w:cs="宋体"/>
          <w:b w:val="0"/>
          <w:bCs w:val="0"/>
          <w:color w:val="auto"/>
          <w:sz w:val="24"/>
          <w:szCs w:val="24"/>
          <w:highlight w:val="none"/>
        </w:rPr>
        <w:t>元宵节、</w:t>
      </w:r>
      <w:r>
        <w:rPr>
          <w:rFonts w:hint="eastAsia" w:ascii="宋体" w:hAnsi="宋体" w:eastAsia="宋体" w:cs="宋体"/>
          <w:b w:val="0"/>
          <w:bCs w:val="0"/>
          <w:color w:val="auto"/>
          <w:sz w:val="24"/>
          <w:szCs w:val="24"/>
          <w:highlight w:val="none"/>
        </w:rPr>
        <w:t>七夕节、</w:t>
      </w:r>
      <w:r>
        <w:rPr>
          <w:rFonts w:hint="default" w:ascii="宋体" w:hAnsi="宋体" w:eastAsia="宋体" w:cs="宋体"/>
          <w:b w:val="0"/>
          <w:bCs w:val="0"/>
          <w:color w:val="auto"/>
          <w:sz w:val="24"/>
          <w:szCs w:val="24"/>
          <w:highlight w:val="none"/>
        </w:rPr>
        <w:t>端午节、</w:t>
      </w:r>
      <w:r>
        <w:rPr>
          <w:rFonts w:hint="eastAsia" w:ascii="宋体" w:hAnsi="宋体" w:eastAsia="宋体" w:cs="宋体"/>
          <w:b w:val="0"/>
          <w:bCs w:val="0"/>
          <w:color w:val="auto"/>
          <w:sz w:val="24"/>
          <w:szCs w:val="24"/>
          <w:highlight w:val="none"/>
        </w:rPr>
        <w:t>中秋节、国庆节、圣诞节</w:t>
      </w:r>
      <w:r>
        <w:rPr>
          <w:rFonts w:hint="default" w:ascii="宋体" w:hAnsi="宋体" w:eastAsia="宋体" w:cs="宋体"/>
          <w:b w:val="0"/>
          <w:bCs w:val="0"/>
          <w:color w:val="auto"/>
          <w:sz w:val="24"/>
          <w:szCs w:val="24"/>
          <w:highlight w:val="none"/>
        </w:rPr>
        <w:t>、腊八节</w:t>
      </w:r>
      <w:r>
        <w:rPr>
          <w:rFonts w:hint="eastAsia" w:ascii="宋体" w:hAnsi="宋体" w:eastAsia="宋体" w:cs="宋体"/>
          <w:b w:val="0"/>
          <w:bCs w:val="0"/>
          <w:color w:val="auto"/>
          <w:sz w:val="24"/>
          <w:szCs w:val="24"/>
          <w:highlight w:val="none"/>
        </w:rPr>
        <w:t>等节日布置</w:t>
      </w:r>
      <w:r>
        <w:rPr>
          <w:rFonts w:hint="default" w:cs="宋体"/>
          <w:b w:val="0"/>
          <w:bCs w:val="0"/>
          <w:color w:val="auto"/>
          <w:sz w:val="24"/>
          <w:szCs w:val="24"/>
          <w:highlight w:val="none"/>
        </w:rPr>
        <w:t>、绿植摆放</w:t>
      </w:r>
      <w:r>
        <w:rPr>
          <w:rFonts w:hint="eastAsia" w:ascii="宋体" w:hAnsi="宋体" w:eastAsia="宋体" w:cs="宋体"/>
          <w:b w:val="0"/>
          <w:bCs w:val="0"/>
          <w:color w:val="auto"/>
          <w:sz w:val="24"/>
          <w:szCs w:val="24"/>
          <w:highlight w:val="none"/>
        </w:rPr>
        <w:t>等</w:t>
      </w:r>
      <w:r>
        <w:rPr>
          <w:rFonts w:hint="default" w:ascii="宋体" w:hAnsi="宋体" w:eastAsia="宋体" w:cs="宋体"/>
          <w:b w:val="0"/>
          <w:bCs w:val="0"/>
          <w:color w:val="auto"/>
          <w:sz w:val="24"/>
          <w:szCs w:val="24"/>
          <w:highlight w:val="none"/>
        </w:rPr>
        <w:t>。</w:t>
      </w:r>
    </w:p>
    <w:p w14:paraId="674579D8">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维修服务：做好公共设施设备的日常维护、具体维修实施工作等工作。(包括消防管理、绿化养护、安全</w:t>
      </w:r>
      <w:r>
        <w:rPr>
          <w:rFonts w:hint="default" w:cs="宋体"/>
          <w:b w:val="0"/>
          <w:bCs w:val="0"/>
          <w:color w:val="auto"/>
          <w:sz w:val="24"/>
          <w:szCs w:val="24"/>
          <w:highlight w:val="none"/>
        </w:rPr>
        <w:t>管理</w:t>
      </w:r>
      <w:r>
        <w:rPr>
          <w:rFonts w:hint="eastAsia" w:ascii="宋体" w:hAnsi="宋体" w:eastAsia="宋体" w:cs="宋体"/>
          <w:b w:val="0"/>
          <w:bCs w:val="0"/>
          <w:color w:val="auto"/>
          <w:sz w:val="24"/>
          <w:szCs w:val="24"/>
          <w:highlight w:val="none"/>
        </w:rPr>
        <w:t>、文明</w:t>
      </w:r>
      <w:r>
        <w:rPr>
          <w:rFonts w:hint="default" w:cs="宋体"/>
          <w:b w:val="0"/>
          <w:bCs w:val="0"/>
          <w:color w:val="auto"/>
          <w:sz w:val="24"/>
          <w:szCs w:val="24"/>
          <w:highlight w:val="none"/>
        </w:rPr>
        <w:t>管理</w:t>
      </w:r>
      <w:r>
        <w:rPr>
          <w:rFonts w:hint="eastAsia" w:ascii="宋体" w:hAnsi="宋体" w:eastAsia="宋体" w:cs="宋体"/>
          <w:b w:val="0"/>
          <w:bCs w:val="0"/>
          <w:color w:val="auto"/>
          <w:sz w:val="24"/>
          <w:szCs w:val="24"/>
          <w:highlight w:val="none"/>
        </w:rPr>
        <w:t>、次序管理、公寓报修管理、雨污水管道、雨污水井的畅通等)。定期上门检修，对家具家电进行维护；提供24小时的维修服务，通过小程序或服务号的报修24小时内响应服务。</w:t>
      </w:r>
    </w:p>
    <w:p w14:paraId="7D5B3A3E">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营销服务：做好市场化出租公寓的市场化营销服务工作，采取多渠道、多销售模式开展业务，充分打通线上平台、线下机构、周边企业、C端散客等业务渠道。 从而达到采购人对公寓出租率的要求。</w:t>
      </w:r>
    </w:p>
    <w:p w14:paraId="71290AEE">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社群</w:t>
      </w:r>
      <w:r>
        <w:rPr>
          <w:rFonts w:hint="eastAsia" w:ascii="宋体" w:hAnsi="宋体" w:eastAsia="宋体" w:cs="宋体"/>
          <w:b w:val="0"/>
          <w:bCs w:val="0"/>
          <w:color w:val="auto"/>
          <w:sz w:val="24"/>
          <w:szCs w:val="24"/>
          <w:highlight w:val="none"/>
          <w:lang w:val="en-US" w:eastAsia="zh-CN"/>
        </w:rPr>
        <w:t>活动</w:t>
      </w:r>
      <w:r>
        <w:rPr>
          <w:rFonts w:hint="eastAsia" w:ascii="宋体" w:hAnsi="宋体" w:eastAsia="宋体" w:cs="宋体"/>
          <w:b w:val="0"/>
          <w:bCs w:val="0"/>
          <w:color w:val="auto"/>
          <w:sz w:val="24"/>
          <w:szCs w:val="24"/>
          <w:highlight w:val="none"/>
        </w:rPr>
        <w:t>服务：结合家访建立和完善住户标签，建立各种形式的社团，定期（</w:t>
      </w:r>
      <w:r>
        <w:rPr>
          <w:rFonts w:hint="eastAsia" w:ascii="宋体" w:hAnsi="宋体" w:eastAsia="宋体" w:cs="宋体"/>
          <w:b w:val="0"/>
          <w:bCs w:val="0"/>
          <w:color w:val="auto"/>
          <w:sz w:val="24"/>
          <w:szCs w:val="24"/>
          <w:highlight w:val="none"/>
          <w:lang w:val="en-US" w:eastAsia="zh-CN"/>
        </w:rPr>
        <w:t>至少</w:t>
      </w:r>
      <w:r>
        <w:rPr>
          <w:rFonts w:hint="eastAsia" w:ascii="宋体" w:hAnsi="宋体" w:eastAsia="宋体" w:cs="宋体"/>
          <w:b w:val="0"/>
          <w:bCs w:val="0"/>
          <w:color w:val="auto"/>
          <w:sz w:val="24"/>
          <w:szCs w:val="24"/>
          <w:highlight w:val="none"/>
        </w:rPr>
        <w:t>每周）举办各种形式的社群活动；链接共同兴趣爱好。共同目标的住户，构建相互信任，舒适温暖的邻里关系。</w:t>
      </w:r>
    </w:p>
    <w:p w14:paraId="6E6A1AE0">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商业服务：结合实际运营需要，适时引入契合年轻人的便利店，咖啡书坊、健身房等商业品牌，并积极配合做好相关公区运营，联合打造城市年轻人具有年轻力的生活方式。</w:t>
      </w:r>
    </w:p>
    <w:p w14:paraId="087C94F4">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字化服务：需提供该项目定制专属的个性化房屋租货线上APP软件或微信小程序并实时运维，具备签约、缴费、报修、投诉等掌中一键解决功能，满足未来级生活环境，相关APP或小程序需具备房源展示，签约备案，资金收付、报修评价，信息报送等流程。智能水电表、智能门锁等设备接入系统平台一站式管理，人脸识别，监控一体化安全防范，经营动态实时监测统计，真正达到数字化和智能化管理要求，并做好与鸿雁未来社区智慧管理平台以及集团驾驶舱平台对接的工作。</w:t>
      </w:r>
    </w:p>
    <w:p w14:paraId="64093D83">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升级服务：宣发方面，</w:t>
      </w:r>
      <w:r>
        <w:rPr>
          <w:rFonts w:hint="eastAsia" w:cs="宋体"/>
          <w:b w:val="0"/>
          <w:bCs w:val="0"/>
          <w:color w:val="auto"/>
          <w:sz w:val="24"/>
          <w:szCs w:val="24"/>
          <w:highlight w:val="none"/>
          <w:lang w:val="en-US" w:eastAsia="zh-CN"/>
        </w:rPr>
        <w:t>每月报送采购人一篇信息通报，</w:t>
      </w:r>
      <w:r>
        <w:rPr>
          <w:rFonts w:hint="eastAsia" w:ascii="宋体" w:hAnsi="宋体" w:eastAsia="宋体" w:cs="宋体"/>
          <w:b w:val="0"/>
          <w:bCs w:val="0"/>
          <w:color w:val="auto"/>
          <w:sz w:val="24"/>
          <w:szCs w:val="24"/>
          <w:highlight w:val="none"/>
        </w:rPr>
        <w:t>开通运营两微一抖等新媒体平台的官方账号，实现</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更；定期开展短视频、墙绘等赛事活动，营造社区氛围并积极扩大影响力：结合开业，周年庆等重要节点制作宣传视频。教育文化方面，定期（每月）举办孵化创业交流活动，开设兴趣社团培训。</w:t>
      </w:r>
    </w:p>
    <w:p w14:paraId="6233F228">
      <w:pPr>
        <w:numPr>
          <w:ilvl w:val="0"/>
          <w:numId w:val="42"/>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前期介入服务（包括但不限于）：</w:t>
      </w:r>
    </w:p>
    <w:p w14:paraId="582FD97B">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对接：施工单位质保期对接，家具厂家质保期对接，家电厂家质保期对接，运营商、智能化施工方对接，停车场的服务对接，大厅及样板间对接，商业引进，大厅部分合作引进，快递柜位置确认及签约，外卖柜位置确认及签约，水电表、门锁对接等；</w:t>
      </w:r>
    </w:p>
    <w:p w14:paraId="26EC3D7F">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团队搭建：人员架构、编制、绩效等的确定，运营团队招聘和组建，培训计划制定及实施等；</w:t>
      </w:r>
    </w:p>
    <w:p w14:paraId="315AE50E">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市场调研：周边公寓竞品摸底调查，项目周边企业摸底调查，市场调查报告撰写，初步房价研讨制定，最终定价并交采购人审批执行，开业及营销活动方案制定等；</w:t>
      </w:r>
    </w:p>
    <w:p w14:paraId="6E654FC2">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营销推广：内部设施、户型摸底，样板间及配套设施美化，</w:t>
      </w:r>
      <w:r>
        <w:rPr>
          <w:rFonts w:hint="default" w:cs="宋体"/>
          <w:color w:val="auto"/>
          <w:sz w:val="24"/>
          <w:szCs w:val="24"/>
          <w:highlight w:val="none"/>
        </w:rPr>
        <w:t>本项目</w:t>
      </w:r>
      <w:r>
        <w:rPr>
          <w:rFonts w:hint="eastAsia" w:ascii="宋体" w:hAnsi="宋体" w:eastAsia="宋体" w:cs="宋体"/>
          <w:color w:val="auto"/>
          <w:sz w:val="24"/>
          <w:szCs w:val="24"/>
          <w:highlight w:val="none"/>
        </w:rPr>
        <w:t>主题确定、房间命名编号，项目导视制作完成，公区、样板房拍摄、精修，优惠折扣选项及使用规则确定，制定营销推广方案并交采购方审批后执行，线上平台内容撰写发布，推广宣传物料设计及制作，周边大企业推广，开业推广等</w:t>
      </w:r>
    </w:p>
    <w:p w14:paraId="66D8DDB9">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开业准备：房间物品清单制作，租赁合同编写交采购人审批并完成信息与系统更新上线，房间软装选配包选项内容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房间</w:t>
      </w:r>
      <w:r>
        <w:rPr>
          <w:rFonts w:hint="eastAsia" w:ascii="宋体" w:hAnsi="宋体" w:eastAsia="宋体" w:cs="宋体"/>
          <w:color w:val="auto"/>
          <w:sz w:val="24"/>
          <w:szCs w:val="24"/>
          <w:highlight w:val="none"/>
        </w:rPr>
        <w:t>价格设置，房间验收，垃圾清运签约，协助采购人项目移交，地标申请（各大地图平台），网络检测，制定开荒计划，房间开荒，大厅开荒，完成空气检测并制定除甲醛计划，绿植摆放，前台各种用品，表单摆放，开业检查等。</w:t>
      </w:r>
    </w:p>
    <w:p w14:paraId="53D1EF22">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各项管理制度和运营服务及物资采购计划制定，并交采购人审批后执行。</w:t>
      </w:r>
    </w:p>
    <w:p w14:paraId="412CCCD7">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协助采购人办理项目开业所需的各项审批手续，取得项目经营所需的各项证照。</w:t>
      </w:r>
    </w:p>
    <w:p w14:paraId="3D7B7F51">
      <w:pPr>
        <w:numPr>
          <w:ilvl w:val="0"/>
          <w:numId w:val="4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协助采购人安排项目设施试运行、设施验收等工作。</w:t>
      </w:r>
    </w:p>
    <w:p w14:paraId="3D0534EB">
      <w:pPr>
        <w:pStyle w:val="4"/>
        <w:numPr>
          <w:ilvl w:val="0"/>
          <w:numId w:val="0"/>
        </w:numPr>
        <w:spacing w:line="360" w:lineRule="auto"/>
        <w:ind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14:paraId="22CEFCD6">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中标人责任</w:t>
      </w:r>
      <w:r>
        <w:rPr>
          <w:rFonts w:hint="eastAsia" w:ascii="宋体" w:hAnsi="宋体" w:eastAsia="宋体" w:cs="宋体"/>
          <w:color w:val="auto"/>
          <w:sz w:val="24"/>
          <w:szCs w:val="24"/>
          <w:highlight w:val="none"/>
        </w:rPr>
        <w:t>要加强对员工的培训、教育，爱护公共财物，确保工作和上下班安全，杜绝各类事故。</w:t>
      </w:r>
    </w:p>
    <w:p w14:paraId="04DE3A00">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的日常管理及人身安全等均由中标人管理和承担。</w:t>
      </w:r>
    </w:p>
    <w:p w14:paraId="63922C36">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应自觉接受配合采购人的考核。</w:t>
      </w:r>
    </w:p>
    <w:p w14:paraId="7C465512">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应按投标时提交的</w:t>
      </w:r>
      <w:r>
        <w:rPr>
          <w:rFonts w:hint="eastAsia" w:ascii="宋体" w:hAnsi="宋体" w:eastAsia="宋体" w:cs="宋体"/>
          <w:color w:val="auto"/>
          <w:sz w:val="24"/>
          <w:szCs w:val="24"/>
          <w:highlight w:val="none"/>
          <w:lang w:val="en-US" w:eastAsia="zh-CN"/>
        </w:rPr>
        <w:t>运营服务</w:t>
      </w:r>
      <w:r>
        <w:rPr>
          <w:rFonts w:hint="eastAsia" w:ascii="宋体" w:hAnsi="宋体" w:eastAsia="宋体" w:cs="宋体"/>
          <w:color w:val="auto"/>
          <w:sz w:val="24"/>
          <w:szCs w:val="24"/>
          <w:highlight w:val="none"/>
        </w:rPr>
        <w:t>方案，吸纳采购人提出的相关要求后严格组织实施。</w:t>
      </w:r>
    </w:p>
    <w:p w14:paraId="100AE78A">
      <w:pPr>
        <w:numPr>
          <w:ilvl w:val="0"/>
          <w:numId w:val="4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本项目合同期终止时，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必须向采购人移交全部</w:t>
      </w:r>
      <w:r>
        <w:rPr>
          <w:rFonts w:hint="eastAsia" w:ascii="宋体" w:hAnsi="宋体" w:eastAsia="宋体" w:cs="宋体"/>
          <w:color w:val="auto"/>
          <w:sz w:val="24"/>
          <w:szCs w:val="24"/>
          <w:highlight w:val="none"/>
          <w:lang w:val="en-US" w:eastAsia="zh-CN"/>
        </w:rPr>
        <w:t>运营服务资料</w:t>
      </w:r>
      <w:r>
        <w:rPr>
          <w:rFonts w:hint="eastAsia" w:ascii="宋体" w:hAnsi="宋体" w:eastAsia="宋体" w:cs="宋体"/>
          <w:color w:val="auto"/>
          <w:sz w:val="24"/>
          <w:szCs w:val="24"/>
          <w:highlight w:val="none"/>
        </w:rPr>
        <w:t>。</w:t>
      </w:r>
    </w:p>
    <w:p w14:paraId="545DBB89">
      <w:pPr>
        <w:numPr>
          <w:ilvl w:val="0"/>
          <w:numId w:val="44"/>
        </w:numPr>
        <w:ind w:firstLine="480" w:firstLineChars="200"/>
        <w:jc w:val="left"/>
        <w:rPr>
          <w:rFonts w:hint="eastAsia"/>
          <w:color w:val="auto"/>
          <w:highlight w:val="none"/>
        </w:rPr>
      </w:pPr>
      <w:r>
        <w:rPr>
          <w:rFonts w:hint="default"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lang w:val="en-US" w:eastAsia="zh-CN"/>
        </w:rPr>
        <w:t>中标人</w:t>
      </w:r>
      <w:r>
        <w:rPr>
          <w:rFonts w:hint="default" w:ascii="宋体" w:hAnsi="宋体" w:eastAsia="宋体" w:cs="宋体"/>
          <w:color w:val="auto"/>
          <w:sz w:val="24"/>
          <w:szCs w:val="24"/>
          <w:highlight w:val="none"/>
          <w:lang w:val="en-US" w:eastAsia="zh-CN"/>
        </w:rPr>
        <w:t>非本地单位，</w:t>
      </w:r>
      <w:r>
        <w:rPr>
          <w:rFonts w:hint="eastAsia" w:ascii="宋体" w:hAnsi="宋体" w:eastAsia="宋体" w:cs="宋体"/>
          <w:color w:val="auto"/>
          <w:sz w:val="24"/>
          <w:szCs w:val="24"/>
          <w:highlight w:val="none"/>
          <w:lang w:val="en-US" w:eastAsia="zh-CN"/>
        </w:rPr>
        <w:t>为保证服务便利，应在</w:t>
      </w:r>
      <w:r>
        <w:rPr>
          <w:rFonts w:hint="default" w:ascii="宋体" w:hAnsi="宋体" w:eastAsia="宋体" w:cs="宋体"/>
          <w:color w:val="auto"/>
          <w:sz w:val="24"/>
          <w:szCs w:val="24"/>
          <w:highlight w:val="none"/>
          <w:lang w:val="en-US" w:eastAsia="zh-CN"/>
        </w:rPr>
        <w:t>项目所在地设立分支机构或分公司。</w:t>
      </w:r>
    </w:p>
    <w:p w14:paraId="222DED7C">
      <w:pPr>
        <w:pStyle w:val="17"/>
        <w:rPr>
          <w:rFonts w:hint="eastAsia"/>
          <w:color w:val="auto"/>
        </w:rPr>
      </w:pPr>
    </w:p>
    <w:p w14:paraId="463A1991">
      <w:pPr>
        <w:pStyle w:val="4"/>
        <w:numPr>
          <w:ilvl w:val="0"/>
          <w:numId w:val="0"/>
        </w:numPr>
        <w:spacing w:line="360" w:lineRule="auto"/>
        <w:ind w:left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七、财务制度要求：</w:t>
      </w:r>
    </w:p>
    <w:p w14:paraId="5FC9A2D2">
      <w:pPr>
        <w:numPr>
          <w:ilvl w:val="0"/>
          <w:numId w:val="0"/>
        </w:numPr>
        <w:autoSpaceDE w:val="0"/>
        <w:autoSpaceDN w:val="0"/>
        <w:adjustRightInd w:val="0"/>
        <w:spacing w:line="360" w:lineRule="auto"/>
        <w:ind w:leftChars="20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按照采购人的财务管理制度及相应的财务要求执行</w:t>
      </w:r>
      <w:r>
        <w:rPr>
          <w:rFonts w:hint="eastAsia" w:cs="宋体"/>
          <w:color w:val="auto"/>
          <w:sz w:val="24"/>
          <w:szCs w:val="24"/>
          <w:highlight w:val="none"/>
          <w:lang w:val="en-US" w:eastAsia="zh-CN"/>
        </w:rPr>
        <w:t>。</w:t>
      </w:r>
    </w:p>
    <w:p w14:paraId="215B2935">
      <w:pPr>
        <w:pStyle w:val="4"/>
        <w:numPr>
          <w:ilvl w:val="0"/>
          <w:numId w:val="0"/>
        </w:numPr>
        <w:spacing w:line="360" w:lineRule="auto"/>
        <w:ind w:leftChars="200"/>
        <w:rPr>
          <w:rFonts w:hint="eastAsia" w:ascii="宋体" w:hAnsi="宋体" w:eastAsia="宋体" w:cs="宋体"/>
          <w:b/>
          <w:bCs/>
          <w:color w:val="auto"/>
          <w:sz w:val="24"/>
          <w:szCs w:val="24"/>
          <w:highlight w:val="none"/>
        </w:rPr>
      </w:pPr>
      <w:bookmarkStart w:id="456" w:name="_Toc18854"/>
      <w:bookmarkStart w:id="457" w:name="_Toc2927"/>
      <w:bookmarkStart w:id="458" w:name="_Toc538"/>
      <w:bookmarkStart w:id="459" w:name="_Toc24458"/>
      <w:bookmarkStart w:id="460" w:name="_Toc3574"/>
      <w:bookmarkStart w:id="461" w:name="_Toc15025"/>
      <w:bookmarkStart w:id="462" w:name="_Toc2083"/>
      <w:bookmarkStart w:id="463" w:name="_Toc2844"/>
      <w:r>
        <w:rPr>
          <w:rFonts w:hint="eastAsia" w:ascii="宋体" w:hAnsi="宋体" w:eastAsia="宋体" w:cs="宋体"/>
          <w:b/>
          <w:bCs/>
          <w:color w:val="auto"/>
          <w:sz w:val="24"/>
          <w:szCs w:val="24"/>
          <w:highlight w:val="none"/>
          <w:lang w:val="en-US" w:eastAsia="zh-CN"/>
        </w:rPr>
        <w:t>八、设备、保洁耗材</w:t>
      </w:r>
      <w:r>
        <w:rPr>
          <w:rFonts w:hint="eastAsia" w:ascii="宋体" w:hAnsi="宋体" w:eastAsia="宋体" w:cs="宋体"/>
          <w:b/>
          <w:bCs/>
          <w:color w:val="auto"/>
          <w:sz w:val="24"/>
          <w:szCs w:val="24"/>
          <w:highlight w:val="none"/>
        </w:rPr>
        <w:t>要求</w:t>
      </w:r>
    </w:p>
    <w:p w14:paraId="358E61DE">
      <w:pPr>
        <w:numPr>
          <w:ilvl w:val="0"/>
          <w:numId w:val="45"/>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为保证本项目顺利实施，该项目运营所需的设施设备、保洁耗材由中标人根据实际需要自行配备</w:t>
      </w:r>
      <w:r>
        <w:rPr>
          <w:rFonts w:hint="eastAsia" w:ascii="宋体" w:hAnsi="宋体" w:eastAsia="宋体" w:cs="宋体"/>
          <w:color w:val="auto"/>
          <w:sz w:val="24"/>
          <w:szCs w:val="24"/>
          <w:highlight w:val="none"/>
          <w:lang w:val="en-US" w:eastAsia="zh-CN"/>
        </w:rPr>
        <w:t>，包括但不限于：工程维修设备工具（如梯子、高低配绝缘套装、液压钳、电动镐、排水泵、气焊枪、电锤、电钻、空调测温仪、万用表、管道疏通机、气泵等）、保洁工具（如水管、高压水枪、抛光机、吸尘器、擦玻璃器具、个人清洁用具等）、保安用具（如警棍、强光手电、反光背心、对讲机等）、保洁耗材。</w:t>
      </w:r>
    </w:p>
    <w:p w14:paraId="00445029">
      <w:pPr>
        <w:numPr>
          <w:ilvl w:val="0"/>
          <w:numId w:val="45"/>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w:t>
      </w:r>
      <w:bookmarkStart w:id="464" w:name="_Toc9824"/>
      <w:r>
        <w:rPr>
          <w:rFonts w:hint="eastAsia" w:ascii="宋体" w:hAnsi="宋体" w:eastAsia="宋体" w:cs="宋体"/>
          <w:b w:val="0"/>
          <w:bCs w:val="0"/>
          <w:color w:val="auto"/>
          <w:sz w:val="24"/>
          <w:szCs w:val="24"/>
          <w:highlight w:val="none"/>
          <w:lang w:val="en-US" w:eastAsia="zh-CN"/>
        </w:rPr>
        <w:t>同期内设施设备包含在投标报价中，在本项目合同期满后，归中标人所有。</w:t>
      </w:r>
    </w:p>
    <w:p w14:paraId="592A8902">
      <w:pPr>
        <w:pStyle w:val="3"/>
        <w:spacing w:line="360" w:lineRule="auto"/>
        <w:jc w:val="center"/>
        <w:rPr>
          <w:rFonts w:hint="eastAsia" w:ascii="宋体" w:hAnsi="Times New Roman" w:eastAsia="宋体" w:cs="宋体"/>
          <w:b/>
          <w:bCs/>
          <w:color w:val="auto"/>
          <w:sz w:val="30"/>
          <w:szCs w:val="30"/>
          <w:highlight w:val="none"/>
        </w:rPr>
      </w:pPr>
      <w:r>
        <w:rPr>
          <w:rFonts w:hint="eastAsia" w:ascii="宋体" w:hAnsi="Times New Roman" w:eastAsia="宋体" w:cs="宋体"/>
          <w:b/>
          <w:bCs/>
          <w:color w:val="auto"/>
          <w:sz w:val="30"/>
          <w:szCs w:val="30"/>
          <w:highlight w:val="none"/>
          <w:lang w:val="en-US" w:eastAsia="zh-CN"/>
        </w:rPr>
        <w:t>第三</w:t>
      </w:r>
      <w:r>
        <w:rPr>
          <w:rFonts w:hint="eastAsia" w:ascii="宋体" w:hAnsi="Times New Roman" w:eastAsia="宋体" w:cs="宋体"/>
          <w:b/>
          <w:bCs/>
          <w:color w:val="auto"/>
          <w:sz w:val="30"/>
          <w:szCs w:val="30"/>
          <w:highlight w:val="none"/>
        </w:rPr>
        <w:t>章 考核及其他要求</w:t>
      </w:r>
      <w:bookmarkEnd w:id="456"/>
      <w:bookmarkEnd w:id="457"/>
      <w:bookmarkEnd w:id="464"/>
    </w:p>
    <w:bookmarkEnd w:id="458"/>
    <w:bookmarkEnd w:id="459"/>
    <w:bookmarkEnd w:id="460"/>
    <w:bookmarkEnd w:id="461"/>
    <w:bookmarkEnd w:id="462"/>
    <w:bookmarkEnd w:id="463"/>
    <w:p w14:paraId="1E279165">
      <w:pPr>
        <w:pStyle w:val="4"/>
        <w:numPr>
          <w:ilvl w:val="0"/>
          <w:numId w:val="46"/>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退出机制</w:t>
      </w:r>
    </w:p>
    <w:p w14:paraId="23170CB3">
      <w:pPr>
        <w:numPr>
          <w:ilvl w:val="0"/>
          <w:numId w:val="47"/>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合同期内，</w:t>
      </w:r>
      <w:r>
        <w:rPr>
          <w:rFonts w:hint="eastAsia" w:ascii="宋体" w:hAnsi="宋体" w:eastAsia="宋体" w:cs="宋体"/>
          <w:color w:val="auto"/>
          <w:sz w:val="24"/>
          <w:szCs w:val="24"/>
          <w:highlight w:val="none"/>
          <w:lang w:val="en-US" w:eastAsia="zh-CN"/>
        </w:rPr>
        <w:t>因中标人管理原因出现安全重大事故的（标准：造成1人及以上死亡或2人及以上重伤（专业机构出具鉴定报告），或造成采购人重大经济损失100万以上），采购人有权要求终止协议，由此造成的损失由中标人承担。</w:t>
      </w:r>
    </w:p>
    <w:p w14:paraId="5CD96D2A">
      <w:pPr>
        <w:numPr>
          <w:ilvl w:val="0"/>
          <w:numId w:val="47"/>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中标人连续</w:t>
      </w:r>
      <w:r>
        <w:rPr>
          <w:rFonts w:hint="eastAsia"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个会计年度，年出租率均低于60%，采购人有权要求提前终止协议；除不可抗力因素和经采购人同意的因素除外。</w:t>
      </w:r>
    </w:p>
    <w:p w14:paraId="3F5DE393">
      <w:pPr>
        <w:pStyle w:val="4"/>
        <w:numPr>
          <w:ilvl w:val="0"/>
          <w:numId w:val="46"/>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运营管理费考核：</w:t>
      </w:r>
    </w:p>
    <w:p w14:paraId="7CD0E013">
      <w:pPr>
        <w:keepNext w:val="0"/>
        <w:keepLines w:val="0"/>
        <w:pageBreakBefore w:val="0"/>
        <w:widowControl w:val="0"/>
        <w:numPr>
          <w:ilvl w:val="0"/>
          <w:numId w:val="48"/>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运营管理费按照以下规则计提，正式营业后：</w:t>
      </w:r>
    </w:p>
    <w:p w14:paraId="7F7D553E">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会计年度，当完成年度出租率90%及以上，运营管理费按中标报价计算；当完成年度出租率80%（含）以上不到90%，运营管理费按中标报价80%计算；当完成年度出租率70%（含）以上不到80%，运营管理费按中标报价70%计算；当完成年度出租率60%（含）以上不到70%，基本管理费按中标报价60%计算；当完成年度出租率60%以下的，基本管理费按中标报价0%计算。</w:t>
      </w:r>
    </w:p>
    <w:p w14:paraId="535BBBA5">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出租率与管理费折扣关系表：</w:t>
      </w:r>
    </w:p>
    <w:tbl>
      <w:tblPr>
        <w:tblStyle w:val="2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4047"/>
        <w:gridCol w:w="3148"/>
      </w:tblGrid>
      <w:tr w14:paraId="3A27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7C2958B3">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序号</w:t>
            </w:r>
          </w:p>
        </w:tc>
        <w:tc>
          <w:tcPr>
            <w:tcW w:w="4047" w:type="dxa"/>
            <w:noWrap w:val="0"/>
            <w:vAlign w:val="top"/>
          </w:tcPr>
          <w:p w14:paraId="090A9358">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r>
              <w:rPr>
                <w:rFonts w:hint="eastAsia"/>
                <w:color w:val="auto"/>
                <w:sz w:val="24"/>
                <w:szCs w:val="24"/>
                <w:highlight w:val="none"/>
              </w:rPr>
              <w:t>年出租率</w:t>
            </w:r>
          </w:p>
        </w:tc>
        <w:tc>
          <w:tcPr>
            <w:tcW w:w="3148" w:type="dxa"/>
            <w:noWrap w:val="0"/>
            <w:vAlign w:val="top"/>
          </w:tcPr>
          <w:p w14:paraId="1E22E0E4">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highlight w:val="none"/>
              </w:rPr>
            </w:pPr>
            <w:r>
              <w:rPr>
                <w:rFonts w:hint="eastAsia"/>
                <w:color w:val="auto"/>
                <w:sz w:val="24"/>
                <w:szCs w:val="24"/>
                <w:highlight w:val="none"/>
              </w:rPr>
              <w:t>管理费折扣率</w:t>
            </w:r>
          </w:p>
        </w:tc>
      </w:tr>
      <w:tr w14:paraId="0F3B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5D98D95D">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1</w:t>
            </w:r>
          </w:p>
        </w:tc>
        <w:tc>
          <w:tcPr>
            <w:tcW w:w="4047" w:type="dxa"/>
            <w:noWrap w:val="0"/>
            <w:vAlign w:val="top"/>
          </w:tcPr>
          <w:p w14:paraId="35E553C7">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出租率≥90%</w:t>
            </w:r>
          </w:p>
        </w:tc>
        <w:tc>
          <w:tcPr>
            <w:tcW w:w="3148" w:type="dxa"/>
            <w:noWrap w:val="0"/>
            <w:vAlign w:val="top"/>
          </w:tcPr>
          <w:p w14:paraId="2C54E101">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100%</w:t>
            </w:r>
          </w:p>
        </w:tc>
      </w:tr>
      <w:tr w14:paraId="498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06417403">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2</w:t>
            </w:r>
          </w:p>
        </w:tc>
        <w:tc>
          <w:tcPr>
            <w:tcW w:w="4047" w:type="dxa"/>
            <w:noWrap w:val="0"/>
            <w:vAlign w:val="top"/>
          </w:tcPr>
          <w:p w14:paraId="4DD848A1">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80%≤出租率&lt;90%</w:t>
            </w:r>
          </w:p>
        </w:tc>
        <w:tc>
          <w:tcPr>
            <w:tcW w:w="3148" w:type="dxa"/>
            <w:noWrap w:val="0"/>
            <w:vAlign w:val="top"/>
          </w:tcPr>
          <w:p w14:paraId="51EE35B1">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80%</w:t>
            </w:r>
          </w:p>
        </w:tc>
      </w:tr>
      <w:tr w14:paraId="097D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658F8B44">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3</w:t>
            </w:r>
          </w:p>
        </w:tc>
        <w:tc>
          <w:tcPr>
            <w:tcW w:w="4047" w:type="dxa"/>
            <w:noWrap w:val="0"/>
            <w:vAlign w:val="top"/>
          </w:tcPr>
          <w:p w14:paraId="75D502B6">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70%≤出租率&lt;80%</w:t>
            </w:r>
          </w:p>
        </w:tc>
        <w:tc>
          <w:tcPr>
            <w:tcW w:w="3148" w:type="dxa"/>
            <w:noWrap w:val="0"/>
            <w:vAlign w:val="top"/>
          </w:tcPr>
          <w:p w14:paraId="0E640EA6">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70%</w:t>
            </w:r>
          </w:p>
        </w:tc>
      </w:tr>
      <w:tr w14:paraId="19EC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0C96DE2C">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4</w:t>
            </w:r>
          </w:p>
        </w:tc>
        <w:tc>
          <w:tcPr>
            <w:tcW w:w="4047" w:type="dxa"/>
            <w:noWrap w:val="0"/>
            <w:vAlign w:val="top"/>
          </w:tcPr>
          <w:p w14:paraId="1DF13C8F">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60%≤出租率&lt;70%</w:t>
            </w:r>
          </w:p>
        </w:tc>
        <w:tc>
          <w:tcPr>
            <w:tcW w:w="3148" w:type="dxa"/>
            <w:noWrap w:val="0"/>
            <w:vAlign w:val="top"/>
          </w:tcPr>
          <w:p w14:paraId="47950D14">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60%</w:t>
            </w:r>
          </w:p>
        </w:tc>
      </w:tr>
      <w:tr w14:paraId="3FF6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noWrap w:val="0"/>
            <w:vAlign w:val="top"/>
          </w:tcPr>
          <w:p w14:paraId="0BB5778C">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5</w:t>
            </w:r>
          </w:p>
        </w:tc>
        <w:tc>
          <w:tcPr>
            <w:tcW w:w="4047" w:type="dxa"/>
            <w:noWrap w:val="0"/>
            <w:vAlign w:val="top"/>
          </w:tcPr>
          <w:p w14:paraId="72FC7AE1">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出租率小于60%</w:t>
            </w:r>
          </w:p>
        </w:tc>
        <w:tc>
          <w:tcPr>
            <w:tcW w:w="3148" w:type="dxa"/>
            <w:noWrap w:val="0"/>
            <w:vAlign w:val="top"/>
          </w:tcPr>
          <w:p w14:paraId="60161160">
            <w:pPr>
              <w:pStyle w:val="9"/>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default"/>
                <w:color w:val="auto"/>
                <w:sz w:val="24"/>
                <w:szCs w:val="24"/>
              </w:rPr>
            </w:pPr>
            <w:r>
              <w:rPr>
                <w:rFonts w:hint="eastAsia"/>
                <w:color w:val="auto"/>
                <w:sz w:val="24"/>
                <w:szCs w:val="24"/>
              </w:rPr>
              <w:t>0%</w:t>
            </w:r>
          </w:p>
        </w:tc>
      </w:tr>
    </w:tbl>
    <w:p w14:paraId="3728C959">
      <w:pPr>
        <w:pStyle w:val="5"/>
        <w:rPr>
          <w:rFonts w:hint="eastAsia"/>
          <w:color w:val="auto"/>
        </w:rPr>
      </w:pPr>
    </w:p>
    <w:p w14:paraId="3E4E10AD">
      <w:pPr>
        <w:pStyle w:val="4"/>
        <w:numPr>
          <w:ilvl w:val="0"/>
          <w:numId w:val="46"/>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运营服务费考核：</w:t>
      </w:r>
    </w:p>
    <w:p w14:paraId="6AC383F5">
      <w:pPr>
        <w:numPr>
          <w:ilvl w:val="0"/>
          <w:numId w:val="49"/>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按季度进行考核，年末按照四个季度考核的平均分作为年度考核分。中标人年度考核分在90分(含)以上，采购人支付当年全额运营服务费；80(含)分-90分，扣除当年运营服务费的5%;70分(含)-80分，扣除当年运营服务费的10%; 60分(含)-70分，扣除当年运营服务费的20%，60分以下，扣除当年运营服务费，且采购人有权要求提前终止协议。</w:t>
      </w:r>
    </w:p>
    <w:p w14:paraId="7FFEA013">
      <w:pPr>
        <w:numPr>
          <w:ilvl w:val="0"/>
          <w:numId w:val="49"/>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采购人发现中标人在运营过程中服务人员数量不满足招标文件要求，每发现</w:t>
      </w:r>
      <w:r>
        <w:rPr>
          <w:rFonts w:hint="default" w:cs="宋体"/>
          <w:b w:val="0"/>
          <w:bCs w:val="0"/>
          <w:color w:val="auto"/>
          <w:sz w:val="24"/>
          <w:szCs w:val="24"/>
          <w:highlight w:val="none"/>
          <w:lang w:eastAsia="zh-CN"/>
        </w:rPr>
        <w:t>1次</w:t>
      </w:r>
      <w:r>
        <w:rPr>
          <w:rFonts w:hint="eastAsia" w:ascii="宋体" w:hAnsi="宋体" w:eastAsia="宋体" w:cs="宋体"/>
          <w:b w:val="0"/>
          <w:bCs w:val="0"/>
          <w:color w:val="auto"/>
          <w:sz w:val="24"/>
          <w:szCs w:val="24"/>
          <w:highlight w:val="none"/>
          <w:lang w:val="en-US" w:eastAsia="zh-CN"/>
        </w:rPr>
        <w:t>扣2万元每人，</w:t>
      </w:r>
      <w:r>
        <w:rPr>
          <w:rFonts w:hint="default" w:cs="宋体"/>
          <w:b w:val="0"/>
          <w:bCs w:val="0"/>
          <w:color w:val="auto"/>
          <w:sz w:val="24"/>
          <w:szCs w:val="24"/>
          <w:highlight w:val="none"/>
          <w:lang w:eastAsia="zh-CN"/>
        </w:rPr>
        <w:t>累计</w:t>
      </w:r>
      <w:r>
        <w:rPr>
          <w:rFonts w:hint="eastAsia" w:ascii="宋体" w:hAnsi="宋体" w:eastAsia="宋体" w:cs="宋体"/>
          <w:b w:val="0"/>
          <w:bCs w:val="0"/>
          <w:color w:val="auto"/>
          <w:sz w:val="24"/>
          <w:szCs w:val="24"/>
          <w:highlight w:val="none"/>
          <w:lang w:val="en-US" w:eastAsia="zh-CN"/>
        </w:rPr>
        <w:t>发现2次扣除当月服务费</w:t>
      </w:r>
      <w:r>
        <w:rPr>
          <w:rFonts w:hint="default"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在</w:t>
      </w:r>
      <w:r>
        <w:rPr>
          <w:rFonts w:hint="eastAsia" w:cs="宋体"/>
          <w:b w:val="0"/>
          <w:bCs w:val="0"/>
          <w:color w:val="auto"/>
          <w:sz w:val="24"/>
          <w:szCs w:val="24"/>
          <w:highlight w:val="none"/>
          <w:lang w:val="en-US" w:eastAsia="zh-CN"/>
        </w:rPr>
        <w:t>当期</w:t>
      </w:r>
      <w:r>
        <w:rPr>
          <w:rFonts w:hint="eastAsia" w:ascii="宋体" w:hAnsi="宋体" w:eastAsia="宋体" w:cs="宋体"/>
          <w:b w:val="0"/>
          <w:bCs w:val="0"/>
          <w:color w:val="auto"/>
          <w:sz w:val="24"/>
          <w:szCs w:val="24"/>
          <w:highlight w:val="none"/>
          <w:lang w:val="en-US" w:eastAsia="zh-CN"/>
        </w:rPr>
        <w:t>进度款</w:t>
      </w:r>
      <w:r>
        <w:rPr>
          <w:rFonts w:hint="default" w:cs="宋体"/>
          <w:b w:val="0"/>
          <w:bCs w:val="0"/>
          <w:color w:val="auto"/>
          <w:sz w:val="24"/>
          <w:szCs w:val="24"/>
          <w:highlight w:val="none"/>
          <w:lang w:eastAsia="zh-CN"/>
        </w:rPr>
        <w:t>支付中</w:t>
      </w:r>
      <w:r>
        <w:rPr>
          <w:rFonts w:hint="eastAsia" w:ascii="宋体" w:hAnsi="宋体" w:eastAsia="宋体" w:cs="宋体"/>
          <w:b w:val="0"/>
          <w:bCs w:val="0"/>
          <w:color w:val="auto"/>
          <w:sz w:val="24"/>
          <w:szCs w:val="24"/>
          <w:highlight w:val="none"/>
          <w:lang w:val="en-US" w:eastAsia="zh-CN"/>
        </w:rPr>
        <w:t>进行扣除，</w:t>
      </w:r>
      <w:r>
        <w:rPr>
          <w:rFonts w:hint="default" w:cs="宋体"/>
          <w:b w:val="0"/>
          <w:bCs w:val="0"/>
          <w:color w:val="auto"/>
          <w:sz w:val="24"/>
          <w:szCs w:val="24"/>
          <w:highlight w:val="none"/>
          <w:lang w:eastAsia="zh-CN"/>
        </w:rPr>
        <w:t>累计</w:t>
      </w:r>
      <w:r>
        <w:rPr>
          <w:rFonts w:hint="eastAsia" w:ascii="宋体" w:hAnsi="宋体" w:eastAsia="宋体" w:cs="宋体"/>
          <w:b w:val="0"/>
          <w:bCs w:val="0"/>
          <w:color w:val="auto"/>
          <w:sz w:val="24"/>
          <w:szCs w:val="24"/>
          <w:highlight w:val="none"/>
          <w:lang w:val="en-US" w:eastAsia="zh-CN"/>
        </w:rPr>
        <w:t>发现3次及以上采购人有权要求提前终止协议，并扣除履约保证</w:t>
      </w:r>
      <w:r>
        <w:rPr>
          <w:rFonts w:hint="default" w:cs="宋体"/>
          <w:b w:val="0"/>
          <w:bCs w:val="0"/>
          <w:color w:val="auto"/>
          <w:sz w:val="24"/>
          <w:szCs w:val="24"/>
          <w:highlight w:val="none"/>
          <w:lang w:eastAsia="zh-CN"/>
        </w:rPr>
        <w:t>金</w:t>
      </w:r>
      <w:r>
        <w:rPr>
          <w:rFonts w:hint="eastAsia" w:ascii="宋体" w:hAnsi="宋体" w:eastAsia="宋体" w:cs="宋体"/>
          <w:b w:val="0"/>
          <w:bCs w:val="0"/>
          <w:color w:val="auto"/>
          <w:sz w:val="24"/>
          <w:szCs w:val="24"/>
          <w:highlight w:val="none"/>
          <w:lang w:val="en-US" w:eastAsia="zh-CN"/>
        </w:rPr>
        <w:t>。</w:t>
      </w:r>
    </w:p>
    <w:p w14:paraId="45311BF0">
      <w:pPr>
        <w:pStyle w:val="9"/>
        <w:rPr>
          <w:rFonts w:hint="eastAsia" w:hAnsi="宋体" w:cs="宋体"/>
          <w:color w:val="auto"/>
          <w:sz w:val="24"/>
          <w:szCs w:val="24"/>
        </w:rPr>
      </w:pPr>
    </w:p>
    <w:p w14:paraId="2C35069D">
      <w:pPr>
        <w:pStyle w:val="9"/>
        <w:jc w:val="center"/>
        <w:rPr>
          <w:rFonts w:hint="eastAsia" w:hAnsi="宋体" w:cs="宋体"/>
          <w:color w:val="auto"/>
          <w:sz w:val="36"/>
          <w:szCs w:val="36"/>
        </w:rPr>
      </w:pPr>
    </w:p>
    <w:p w14:paraId="008EB301">
      <w:pPr>
        <w:pStyle w:val="9"/>
        <w:jc w:val="center"/>
        <w:rPr>
          <w:rFonts w:hint="eastAsia" w:hAnsi="宋体" w:cs="宋体"/>
          <w:color w:val="auto"/>
          <w:sz w:val="36"/>
          <w:szCs w:val="36"/>
        </w:rPr>
      </w:pPr>
    </w:p>
    <w:p w14:paraId="01664046">
      <w:pPr>
        <w:pStyle w:val="9"/>
        <w:jc w:val="center"/>
        <w:rPr>
          <w:color w:val="auto"/>
          <w:sz w:val="36"/>
          <w:szCs w:val="36"/>
        </w:rPr>
      </w:pPr>
      <w:r>
        <w:rPr>
          <w:rFonts w:hint="eastAsia" w:hAnsi="宋体" w:cs="宋体"/>
          <w:color w:val="auto"/>
          <w:sz w:val="36"/>
          <w:szCs w:val="36"/>
        </w:rPr>
        <w:t>运营服务考核评分表</w:t>
      </w:r>
    </w:p>
    <w:tbl>
      <w:tblPr>
        <w:tblStyle w:val="26"/>
        <w:tblW w:w="92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81"/>
        <w:gridCol w:w="2863"/>
        <w:gridCol w:w="1831"/>
        <w:gridCol w:w="1058"/>
        <w:gridCol w:w="607"/>
        <w:gridCol w:w="1045"/>
      </w:tblGrid>
      <w:tr w14:paraId="74242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25" w:type="dxa"/>
            <w:gridSpan w:val="2"/>
            <w:noWrap w:val="0"/>
            <w:vAlign w:val="center"/>
          </w:tcPr>
          <w:p w14:paraId="093D9F11">
            <w:pPr>
              <w:pStyle w:val="24"/>
              <w:spacing w:before="94" w:line="220" w:lineRule="auto"/>
              <w:ind w:left="0"/>
              <w:jc w:val="center"/>
              <w:rPr>
                <w:color w:val="auto"/>
                <w:sz w:val="21"/>
                <w:szCs w:val="21"/>
                <w:lang w:val="en-US" w:bidi="ar-SA"/>
              </w:rPr>
            </w:pPr>
            <w:r>
              <w:rPr>
                <w:color w:val="auto"/>
                <w:spacing w:val="2"/>
                <w:sz w:val="21"/>
                <w:szCs w:val="21"/>
                <w:lang w:val="en-US" w:bidi="ar-SA"/>
              </w:rPr>
              <w:t>单位名称</w:t>
            </w:r>
          </w:p>
        </w:tc>
        <w:tc>
          <w:tcPr>
            <w:tcW w:w="7404" w:type="dxa"/>
            <w:gridSpan w:val="5"/>
            <w:noWrap w:val="0"/>
            <w:vAlign w:val="center"/>
          </w:tcPr>
          <w:p w14:paraId="58E498EB">
            <w:pPr>
              <w:jc w:val="center"/>
              <w:rPr>
                <w:rFonts w:ascii="Arial"/>
                <w:color w:val="auto"/>
                <w:sz w:val="21"/>
                <w:szCs w:val="21"/>
                <w:lang w:val="en-US" w:eastAsia="zh-CN" w:bidi="ar-SA"/>
              </w:rPr>
            </w:pPr>
          </w:p>
        </w:tc>
      </w:tr>
      <w:tr w14:paraId="05BF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6" w:hRule="atLeast"/>
        </w:trPr>
        <w:tc>
          <w:tcPr>
            <w:tcW w:w="1825" w:type="dxa"/>
            <w:gridSpan w:val="2"/>
            <w:noWrap w:val="0"/>
            <w:vAlign w:val="center"/>
          </w:tcPr>
          <w:p w14:paraId="2A21750C">
            <w:pPr>
              <w:pStyle w:val="24"/>
              <w:spacing w:before="109" w:line="219" w:lineRule="auto"/>
              <w:ind w:left="0"/>
              <w:jc w:val="center"/>
              <w:rPr>
                <w:color w:val="auto"/>
                <w:sz w:val="21"/>
                <w:szCs w:val="21"/>
                <w:lang w:val="en-US" w:bidi="ar-SA"/>
              </w:rPr>
            </w:pPr>
            <w:r>
              <w:rPr>
                <w:color w:val="auto"/>
                <w:spacing w:val="5"/>
                <w:sz w:val="21"/>
                <w:szCs w:val="21"/>
                <w:lang w:val="en-US" w:bidi="ar-SA"/>
              </w:rPr>
              <w:t>考核单位(部门)</w:t>
            </w:r>
          </w:p>
        </w:tc>
        <w:tc>
          <w:tcPr>
            <w:tcW w:w="7404" w:type="dxa"/>
            <w:gridSpan w:val="5"/>
            <w:noWrap w:val="0"/>
            <w:vAlign w:val="center"/>
          </w:tcPr>
          <w:p w14:paraId="40604669">
            <w:pPr>
              <w:jc w:val="center"/>
              <w:rPr>
                <w:rFonts w:ascii="Arial"/>
                <w:color w:val="auto"/>
                <w:sz w:val="21"/>
                <w:szCs w:val="21"/>
                <w:lang w:val="en-US" w:eastAsia="zh-CN" w:bidi="ar-SA"/>
              </w:rPr>
            </w:pPr>
          </w:p>
        </w:tc>
      </w:tr>
      <w:tr w14:paraId="7A5F8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44" w:type="dxa"/>
            <w:noWrap w:val="0"/>
            <w:vAlign w:val="center"/>
          </w:tcPr>
          <w:p w14:paraId="74A7A69A">
            <w:pPr>
              <w:pStyle w:val="24"/>
              <w:spacing w:before="152" w:line="199" w:lineRule="auto"/>
              <w:jc w:val="center"/>
              <w:rPr>
                <w:color w:val="auto"/>
                <w:sz w:val="21"/>
                <w:szCs w:val="21"/>
                <w:lang w:val="en-US" w:bidi="ar-SA"/>
              </w:rPr>
            </w:pPr>
            <w:r>
              <w:rPr>
                <w:color w:val="auto"/>
                <w:spacing w:val="-4"/>
                <w:sz w:val="21"/>
                <w:szCs w:val="21"/>
                <w:lang w:val="en-US" w:bidi="ar-SA"/>
              </w:rPr>
              <w:t>序号</w:t>
            </w:r>
          </w:p>
        </w:tc>
        <w:tc>
          <w:tcPr>
            <w:tcW w:w="1181" w:type="dxa"/>
            <w:noWrap w:val="0"/>
            <w:vAlign w:val="center"/>
          </w:tcPr>
          <w:p w14:paraId="33F2BB6B">
            <w:pPr>
              <w:pStyle w:val="24"/>
              <w:spacing w:before="158" w:line="218" w:lineRule="auto"/>
              <w:jc w:val="center"/>
              <w:rPr>
                <w:color w:val="auto"/>
                <w:sz w:val="21"/>
                <w:szCs w:val="21"/>
                <w:lang w:val="en-US" w:bidi="ar-SA"/>
              </w:rPr>
            </w:pPr>
            <w:r>
              <w:rPr>
                <w:color w:val="auto"/>
                <w:spacing w:val="-2"/>
                <w:sz w:val="21"/>
                <w:szCs w:val="21"/>
                <w:lang w:val="en-US" w:bidi="ar-SA"/>
              </w:rPr>
              <w:t>评价内容</w:t>
            </w:r>
          </w:p>
        </w:tc>
        <w:tc>
          <w:tcPr>
            <w:tcW w:w="4694" w:type="dxa"/>
            <w:gridSpan w:val="2"/>
            <w:noWrap w:val="0"/>
            <w:vAlign w:val="center"/>
          </w:tcPr>
          <w:p w14:paraId="521160AC">
            <w:pPr>
              <w:pStyle w:val="24"/>
              <w:spacing w:before="155" w:line="218" w:lineRule="auto"/>
              <w:ind w:left="0"/>
              <w:jc w:val="center"/>
              <w:rPr>
                <w:color w:val="auto"/>
                <w:sz w:val="21"/>
                <w:szCs w:val="21"/>
                <w:lang w:val="en-US" w:bidi="ar-SA"/>
              </w:rPr>
            </w:pPr>
            <w:r>
              <w:rPr>
                <w:b/>
                <w:bCs/>
                <w:color w:val="auto"/>
                <w:sz w:val="21"/>
                <w:szCs w:val="21"/>
                <w:lang w:val="en-US" w:bidi="ar-SA"/>
              </w:rPr>
              <w:t>评价细则</w:t>
            </w:r>
          </w:p>
        </w:tc>
        <w:tc>
          <w:tcPr>
            <w:tcW w:w="1058" w:type="dxa"/>
            <w:noWrap w:val="0"/>
            <w:vAlign w:val="center"/>
          </w:tcPr>
          <w:p w14:paraId="4563468C">
            <w:pPr>
              <w:pStyle w:val="24"/>
              <w:spacing w:before="158" w:line="218" w:lineRule="auto"/>
              <w:ind w:left="0"/>
              <w:jc w:val="center"/>
              <w:rPr>
                <w:color w:val="auto"/>
                <w:sz w:val="21"/>
                <w:szCs w:val="21"/>
                <w:lang w:val="en-US" w:bidi="ar-SA"/>
              </w:rPr>
            </w:pPr>
            <w:r>
              <w:rPr>
                <w:color w:val="auto"/>
                <w:spacing w:val="-2"/>
                <w:sz w:val="21"/>
                <w:szCs w:val="21"/>
                <w:lang w:val="en-US" w:bidi="ar-SA"/>
              </w:rPr>
              <w:t>评价结果</w:t>
            </w:r>
          </w:p>
        </w:tc>
        <w:tc>
          <w:tcPr>
            <w:tcW w:w="607" w:type="dxa"/>
            <w:noWrap w:val="0"/>
            <w:vAlign w:val="center"/>
          </w:tcPr>
          <w:p w14:paraId="1E7E9B22">
            <w:pPr>
              <w:pStyle w:val="24"/>
              <w:spacing w:before="160" w:line="219" w:lineRule="auto"/>
              <w:ind w:left="0"/>
              <w:jc w:val="center"/>
              <w:rPr>
                <w:color w:val="auto"/>
                <w:sz w:val="21"/>
                <w:szCs w:val="21"/>
                <w:lang w:val="en-US" w:bidi="ar-SA"/>
              </w:rPr>
            </w:pPr>
            <w:r>
              <w:rPr>
                <w:color w:val="auto"/>
                <w:spacing w:val="-2"/>
                <w:sz w:val="21"/>
                <w:szCs w:val="21"/>
                <w:lang w:val="en-US" w:bidi="ar-SA"/>
              </w:rPr>
              <w:t>权重</w:t>
            </w:r>
          </w:p>
        </w:tc>
        <w:tc>
          <w:tcPr>
            <w:tcW w:w="1045" w:type="dxa"/>
            <w:noWrap w:val="0"/>
            <w:vAlign w:val="center"/>
          </w:tcPr>
          <w:p w14:paraId="1657F6D5">
            <w:pPr>
              <w:pStyle w:val="24"/>
              <w:spacing w:before="161" w:line="221" w:lineRule="auto"/>
              <w:ind w:left="0"/>
              <w:jc w:val="center"/>
              <w:rPr>
                <w:color w:val="auto"/>
                <w:sz w:val="21"/>
                <w:szCs w:val="21"/>
                <w:lang w:val="en-US" w:bidi="ar-SA"/>
              </w:rPr>
            </w:pPr>
            <w:r>
              <w:rPr>
                <w:color w:val="auto"/>
                <w:spacing w:val="5"/>
                <w:sz w:val="21"/>
                <w:szCs w:val="21"/>
                <w:lang w:val="en-US" w:bidi="ar-SA"/>
              </w:rPr>
              <w:t>备注</w:t>
            </w:r>
          </w:p>
        </w:tc>
      </w:tr>
      <w:tr w14:paraId="0E547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44" w:type="dxa"/>
            <w:vMerge w:val="restart"/>
            <w:tcBorders>
              <w:bottom w:val="nil"/>
            </w:tcBorders>
            <w:noWrap w:val="0"/>
            <w:vAlign w:val="center"/>
          </w:tcPr>
          <w:p w14:paraId="5BC82449">
            <w:pPr>
              <w:spacing w:line="301" w:lineRule="auto"/>
              <w:jc w:val="center"/>
              <w:rPr>
                <w:rFonts w:ascii="Arial"/>
                <w:color w:val="auto"/>
                <w:sz w:val="21"/>
                <w:szCs w:val="21"/>
                <w:lang w:val="en-US" w:eastAsia="zh-CN" w:bidi="ar-SA"/>
              </w:rPr>
            </w:pPr>
          </w:p>
          <w:p w14:paraId="41F99F0B">
            <w:pPr>
              <w:rPr>
                <w:color w:val="auto"/>
                <w:lang w:val="en-US" w:eastAsia="zh-CN" w:bidi="ar-SA"/>
              </w:rPr>
            </w:pPr>
          </w:p>
          <w:p w14:paraId="7AA8DBAC">
            <w:pPr>
              <w:pStyle w:val="24"/>
              <w:spacing w:before="68" w:line="184" w:lineRule="auto"/>
              <w:ind w:left="0"/>
              <w:jc w:val="center"/>
              <w:rPr>
                <w:color w:val="auto"/>
                <w:sz w:val="21"/>
                <w:szCs w:val="21"/>
                <w:lang w:val="en-US" w:bidi="ar-SA"/>
              </w:rPr>
            </w:pPr>
            <w:r>
              <w:rPr>
                <w:color w:val="auto"/>
                <w:sz w:val="21"/>
                <w:szCs w:val="21"/>
                <w:lang w:val="en-US" w:bidi="ar-SA"/>
              </w:rPr>
              <w:t>1</w:t>
            </w:r>
          </w:p>
        </w:tc>
        <w:tc>
          <w:tcPr>
            <w:tcW w:w="1181" w:type="dxa"/>
            <w:vMerge w:val="restart"/>
            <w:tcBorders>
              <w:bottom w:val="nil"/>
            </w:tcBorders>
            <w:noWrap w:val="0"/>
            <w:vAlign w:val="center"/>
          </w:tcPr>
          <w:p w14:paraId="4B100067">
            <w:pPr>
              <w:rPr>
                <w:color w:val="auto"/>
                <w:lang w:val="en-US" w:eastAsia="zh-CN" w:bidi="ar-SA"/>
              </w:rPr>
            </w:pPr>
          </w:p>
          <w:p w14:paraId="50760F7B">
            <w:pPr>
              <w:pStyle w:val="24"/>
              <w:spacing w:before="68" w:line="219" w:lineRule="auto"/>
              <w:jc w:val="center"/>
              <w:rPr>
                <w:color w:val="auto"/>
                <w:sz w:val="21"/>
                <w:szCs w:val="21"/>
                <w:lang w:val="en-US" w:bidi="ar-SA"/>
              </w:rPr>
            </w:pPr>
            <w:r>
              <w:rPr>
                <w:color w:val="auto"/>
                <w:spacing w:val="-2"/>
                <w:sz w:val="21"/>
                <w:szCs w:val="21"/>
                <w:lang w:val="en-US" w:bidi="ar-SA"/>
              </w:rPr>
              <w:t>租金收缴率</w:t>
            </w:r>
          </w:p>
        </w:tc>
        <w:tc>
          <w:tcPr>
            <w:tcW w:w="4694" w:type="dxa"/>
            <w:gridSpan w:val="2"/>
            <w:noWrap w:val="0"/>
            <w:vAlign w:val="center"/>
          </w:tcPr>
          <w:p w14:paraId="2497AD40">
            <w:pPr>
              <w:pStyle w:val="24"/>
              <w:spacing w:before="81" w:line="219" w:lineRule="auto"/>
              <w:ind w:left="0"/>
              <w:jc w:val="center"/>
              <w:rPr>
                <w:color w:val="auto"/>
                <w:sz w:val="21"/>
                <w:szCs w:val="21"/>
                <w:lang w:val="en-US" w:bidi="ar-SA"/>
              </w:rPr>
            </w:pPr>
            <w:r>
              <w:rPr>
                <w:color w:val="auto"/>
                <w:spacing w:val="1"/>
                <w:sz w:val="21"/>
                <w:szCs w:val="21"/>
                <w:lang w:val="en-US" w:bidi="ar-SA"/>
              </w:rPr>
              <w:t>收缴率97%(含)以上</w:t>
            </w:r>
          </w:p>
        </w:tc>
        <w:tc>
          <w:tcPr>
            <w:tcW w:w="1058" w:type="dxa"/>
            <w:noWrap w:val="0"/>
            <w:vAlign w:val="center"/>
          </w:tcPr>
          <w:p w14:paraId="4CBEDD7C">
            <w:pPr>
              <w:pStyle w:val="24"/>
              <w:spacing w:before="134" w:line="184" w:lineRule="auto"/>
              <w:ind w:left="0"/>
              <w:jc w:val="center"/>
              <w:rPr>
                <w:color w:val="auto"/>
                <w:sz w:val="21"/>
                <w:szCs w:val="21"/>
                <w:lang w:val="en-US" w:bidi="ar-SA"/>
              </w:rPr>
            </w:pPr>
            <w:r>
              <w:rPr>
                <w:color w:val="auto"/>
                <w:spacing w:val="-6"/>
                <w:sz w:val="21"/>
                <w:szCs w:val="21"/>
                <w:lang w:val="en-US" w:bidi="ar-SA"/>
              </w:rPr>
              <w:t>100</w:t>
            </w:r>
          </w:p>
        </w:tc>
        <w:tc>
          <w:tcPr>
            <w:tcW w:w="607" w:type="dxa"/>
            <w:vMerge w:val="restart"/>
            <w:tcBorders>
              <w:bottom w:val="nil"/>
            </w:tcBorders>
            <w:noWrap w:val="0"/>
            <w:vAlign w:val="center"/>
          </w:tcPr>
          <w:p w14:paraId="1A99F172">
            <w:pPr>
              <w:spacing w:line="301" w:lineRule="auto"/>
              <w:jc w:val="center"/>
              <w:rPr>
                <w:rFonts w:ascii="Arial"/>
                <w:color w:val="auto"/>
                <w:sz w:val="21"/>
                <w:szCs w:val="21"/>
                <w:lang w:val="en-US" w:eastAsia="zh-CN" w:bidi="ar-SA"/>
              </w:rPr>
            </w:pPr>
          </w:p>
          <w:p w14:paraId="6CC83ABF">
            <w:pPr>
              <w:spacing w:line="301" w:lineRule="auto"/>
              <w:jc w:val="center"/>
              <w:rPr>
                <w:rFonts w:ascii="Arial"/>
                <w:color w:val="auto"/>
                <w:sz w:val="21"/>
                <w:szCs w:val="21"/>
                <w:lang w:val="en-US" w:eastAsia="zh-CN" w:bidi="ar-SA"/>
              </w:rPr>
            </w:pPr>
          </w:p>
          <w:p w14:paraId="76D9EBA0">
            <w:pPr>
              <w:pStyle w:val="24"/>
              <w:spacing w:before="68" w:line="184" w:lineRule="auto"/>
              <w:ind w:left="0"/>
              <w:jc w:val="center"/>
              <w:rPr>
                <w:color w:val="auto"/>
                <w:sz w:val="21"/>
                <w:szCs w:val="21"/>
                <w:lang w:val="en-US" w:bidi="ar-SA"/>
              </w:rPr>
            </w:pPr>
            <w:r>
              <w:rPr>
                <w:color w:val="auto"/>
                <w:spacing w:val="-6"/>
                <w:sz w:val="21"/>
                <w:szCs w:val="21"/>
                <w:lang w:val="en-US" w:bidi="ar-SA"/>
              </w:rPr>
              <w:t>15%</w:t>
            </w:r>
          </w:p>
        </w:tc>
        <w:tc>
          <w:tcPr>
            <w:tcW w:w="1045" w:type="dxa"/>
            <w:vMerge w:val="restart"/>
            <w:tcBorders>
              <w:bottom w:val="nil"/>
            </w:tcBorders>
            <w:noWrap w:val="0"/>
            <w:vAlign w:val="center"/>
          </w:tcPr>
          <w:p w14:paraId="1AA1C699">
            <w:pPr>
              <w:pStyle w:val="24"/>
              <w:spacing w:before="91" w:line="219" w:lineRule="auto"/>
              <w:ind w:left="0"/>
              <w:jc w:val="center"/>
              <w:rPr>
                <w:color w:val="auto"/>
                <w:sz w:val="21"/>
                <w:szCs w:val="21"/>
                <w:lang w:val="en-US" w:eastAsia="zh-CN" w:bidi="ar-SA"/>
              </w:rPr>
            </w:pPr>
            <w:r>
              <w:rPr>
                <w:rFonts w:hint="eastAsia"/>
                <w:color w:val="auto"/>
                <w:spacing w:val="1"/>
                <w:sz w:val="21"/>
                <w:szCs w:val="21"/>
                <w:lang w:val="en-US" w:eastAsia="zh-CN" w:bidi="ar-SA"/>
              </w:rPr>
              <w:t>空房</w:t>
            </w:r>
            <w:r>
              <w:rPr>
                <w:color w:val="auto"/>
                <w:spacing w:val="1"/>
                <w:sz w:val="21"/>
                <w:szCs w:val="21"/>
                <w:lang w:val="en-US" w:eastAsia="zh-CN" w:bidi="ar-SA"/>
              </w:rPr>
              <w:t>不列入收缴率考核</w:t>
            </w:r>
          </w:p>
        </w:tc>
      </w:tr>
      <w:tr w14:paraId="2FBD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4" w:type="dxa"/>
            <w:vMerge w:val="continue"/>
            <w:tcBorders>
              <w:top w:val="nil"/>
              <w:bottom w:val="nil"/>
            </w:tcBorders>
            <w:noWrap w:val="0"/>
            <w:vAlign w:val="center"/>
          </w:tcPr>
          <w:p w14:paraId="26AEFD9A">
            <w:pPr>
              <w:jc w:val="center"/>
              <w:rPr>
                <w:rFonts w:ascii="Arial"/>
                <w:color w:val="auto"/>
                <w:sz w:val="21"/>
                <w:szCs w:val="21"/>
                <w:lang w:val="en-US" w:eastAsia="zh-CN" w:bidi="ar-SA"/>
              </w:rPr>
            </w:pPr>
          </w:p>
        </w:tc>
        <w:tc>
          <w:tcPr>
            <w:tcW w:w="1181" w:type="dxa"/>
            <w:vMerge w:val="continue"/>
            <w:tcBorders>
              <w:top w:val="nil"/>
              <w:bottom w:val="nil"/>
            </w:tcBorders>
            <w:noWrap w:val="0"/>
            <w:vAlign w:val="center"/>
          </w:tcPr>
          <w:p w14:paraId="6B6D2C70">
            <w:pPr>
              <w:jc w:val="center"/>
              <w:rPr>
                <w:rFonts w:ascii="Arial"/>
                <w:color w:val="auto"/>
                <w:sz w:val="21"/>
                <w:szCs w:val="21"/>
                <w:lang w:val="en-US" w:eastAsia="zh-CN" w:bidi="ar-SA"/>
              </w:rPr>
            </w:pPr>
          </w:p>
        </w:tc>
        <w:tc>
          <w:tcPr>
            <w:tcW w:w="4694" w:type="dxa"/>
            <w:gridSpan w:val="2"/>
            <w:noWrap w:val="0"/>
            <w:vAlign w:val="center"/>
          </w:tcPr>
          <w:p w14:paraId="2ED23690">
            <w:pPr>
              <w:pStyle w:val="24"/>
              <w:spacing w:before="72" w:line="219" w:lineRule="auto"/>
              <w:ind w:left="0"/>
              <w:jc w:val="center"/>
              <w:rPr>
                <w:color w:val="auto"/>
                <w:sz w:val="21"/>
                <w:szCs w:val="21"/>
                <w:lang w:val="en-US" w:bidi="ar-SA"/>
              </w:rPr>
            </w:pPr>
            <w:r>
              <w:rPr>
                <w:color w:val="auto"/>
                <w:sz w:val="21"/>
                <w:szCs w:val="21"/>
                <w:lang w:val="en-US" w:bidi="ar-SA"/>
              </w:rPr>
              <w:t>收缴率93%(含)-97%</w:t>
            </w:r>
          </w:p>
        </w:tc>
        <w:tc>
          <w:tcPr>
            <w:tcW w:w="1058" w:type="dxa"/>
            <w:noWrap w:val="0"/>
            <w:vAlign w:val="center"/>
          </w:tcPr>
          <w:p w14:paraId="377CA4BD">
            <w:pPr>
              <w:pStyle w:val="24"/>
              <w:spacing w:before="126" w:line="179" w:lineRule="auto"/>
              <w:ind w:left="0"/>
              <w:jc w:val="center"/>
              <w:rPr>
                <w:color w:val="auto"/>
                <w:sz w:val="21"/>
                <w:szCs w:val="21"/>
                <w:lang w:val="en-US" w:bidi="ar-SA"/>
              </w:rPr>
            </w:pPr>
            <w:r>
              <w:rPr>
                <w:color w:val="auto"/>
                <w:spacing w:val="-3"/>
                <w:sz w:val="21"/>
                <w:szCs w:val="21"/>
                <w:lang w:val="en-US" w:bidi="ar-SA"/>
              </w:rPr>
              <w:t>90</w:t>
            </w:r>
          </w:p>
        </w:tc>
        <w:tc>
          <w:tcPr>
            <w:tcW w:w="607" w:type="dxa"/>
            <w:vMerge w:val="continue"/>
            <w:tcBorders>
              <w:top w:val="nil"/>
              <w:bottom w:val="nil"/>
            </w:tcBorders>
            <w:noWrap w:val="0"/>
            <w:vAlign w:val="center"/>
          </w:tcPr>
          <w:p w14:paraId="4A8BC3C6">
            <w:pPr>
              <w:jc w:val="center"/>
              <w:rPr>
                <w:rFonts w:ascii="Arial"/>
                <w:color w:val="auto"/>
                <w:sz w:val="21"/>
                <w:szCs w:val="21"/>
                <w:lang w:val="en-US" w:eastAsia="zh-CN" w:bidi="ar-SA"/>
              </w:rPr>
            </w:pPr>
          </w:p>
        </w:tc>
        <w:tc>
          <w:tcPr>
            <w:tcW w:w="1045" w:type="dxa"/>
            <w:vMerge w:val="continue"/>
            <w:tcBorders>
              <w:top w:val="nil"/>
              <w:bottom w:val="nil"/>
            </w:tcBorders>
            <w:noWrap w:val="0"/>
            <w:vAlign w:val="center"/>
          </w:tcPr>
          <w:p w14:paraId="63A86524">
            <w:pPr>
              <w:jc w:val="center"/>
              <w:rPr>
                <w:rFonts w:ascii="Arial"/>
                <w:color w:val="auto"/>
                <w:sz w:val="21"/>
                <w:szCs w:val="21"/>
                <w:lang w:val="en-US" w:eastAsia="zh-CN" w:bidi="ar-SA"/>
              </w:rPr>
            </w:pPr>
          </w:p>
        </w:tc>
      </w:tr>
      <w:tr w14:paraId="2985B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4" w:type="dxa"/>
            <w:vMerge w:val="continue"/>
            <w:tcBorders>
              <w:top w:val="nil"/>
              <w:bottom w:val="nil"/>
            </w:tcBorders>
            <w:noWrap w:val="0"/>
            <w:vAlign w:val="center"/>
          </w:tcPr>
          <w:p w14:paraId="3D2539DB">
            <w:pPr>
              <w:jc w:val="center"/>
              <w:rPr>
                <w:rFonts w:ascii="Arial"/>
                <w:color w:val="auto"/>
                <w:sz w:val="21"/>
                <w:szCs w:val="21"/>
                <w:lang w:val="en-US" w:eastAsia="zh-CN" w:bidi="ar-SA"/>
              </w:rPr>
            </w:pPr>
          </w:p>
        </w:tc>
        <w:tc>
          <w:tcPr>
            <w:tcW w:w="1181" w:type="dxa"/>
            <w:vMerge w:val="continue"/>
            <w:tcBorders>
              <w:top w:val="nil"/>
              <w:bottom w:val="nil"/>
            </w:tcBorders>
            <w:noWrap w:val="0"/>
            <w:vAlign w:val="center"/>
          </w:tcPr>
          <w:p w14:paraId="0A805577">
            <w:pPr>
              <w:jc w:val="center"/>
              <w:rPr>
                <w:rFonts w:ascii="Arial"/>
                <w:color w:val="auto"/>
                <w:sz w:val="21"/>
                <w:szCs w:val="21"/>
                <w:lang w:val="en-US" w:eastAsia="zh-CN" w:bidi="ar-SA"/>
              </w:rPr>
            </w:pPr>
          </w:p>
        </w:tc>
        <w:tc>
          <w:tcPr>
            <w:tcW w:w="4694" w:type="dxa"/>
            <w:gridSpan w:val="2"/>
            <w:noWrap w:val="0"/>
            <w:vAlign w:val="center"/>
          </w:tcPr>
          <w:p w14:paraId="5221B935">
            <w:pPr>
              <w:pStyle w:val="24"/>
              <w:spacing w:before="72" w:line="219" w:lineRule="auto"/>
              <w:ind w:left="0"/>
              <w:jc w:val="center"/>
              <w:rPr>
                <w:color w:val="auto"/>
                <w:sz w:val="21"/>
                <w:szCs w:val="21"/>
                <w:lang w:val="en-US" w:bidi="ar-SA"/>
              </w:rPr>
            </w:pPr>
            <w:r>
              <w:rPr>
                <w:color w:val="auto"/>
                <w:sz w:val="21"/>
                <w:szCs w:val="21"/>
                <w:lang w:val="en-US" w:bidi="ar-SA"/>
              </w:rPr>
              <w:t>收缴率90%(含)-93%</w:t>
            </w:r>
          </w:p>
        </w:tc>
        <w:tc>
          <w:tcPr>
            <w:tcW w:w="1058" w:type="dxa"/>
            <w:noWrap w:val="0"/>
            <w:vAlign w:val="center"/>
          </w:tcPr>
          <w:p w14:paraId="43BAD1CE">
            <w:pPr>
              <w:pStyle w:val="24"/>
              <w:spacing w:before="126" w:line="183" w:lineRule="auto"/>
              <w:ind w:left="0"/>
              <w:jc w:val="center"/>
              <w:rPr>
                <w:color w:val="auto"/>
                <w:sz w:val="21"/>
                <w:szCs w:val="21"/>
                <w:lang w:val="en-US" w:bidi="ar-SA"/>
              </w:rPr>
            </w:pPr>
            <w:r>
              <w:rPr>
                <w:color w:val="auto"/>
                <w:spacing w:val="-3"/>
                <w:sz w:val="21"/>
                <w:szCs w:val="21"/>
                <w:lang w:val="en-US" w:bidi="ar-SA"/>
              </w:rPr>
              <w:t>80</w:t>
            </w:r>
          </w:p>
        </w:tc>
        <w:tc>
          <w:tcPr>
            <w:tcW w:w="607" w:type="dxa"/>
            <w:vMerge w:val="continue"/>
            <w:tcBorders>
              <w:top w:val="nil"/>
              <w:bottom w:val="nil"/>
            </w:tcBorders>
            <w:noWrap w:val="0"/>
            <w:vAlign w:val="center"/>
          </w:tcPr>
          <w:p w14:paraId="7ED9095D">
            <w:pPr>
              <w:jc w:val="center"/>
              <w:rPr>
                <w:rFonts w:ascii="Arial"/>
                <w:color w:val="auto"/>
                <w:sz w:val="21"/>
                <w:szCs w:val="21"/>
                <w:lang w:val="en-US" w:eastAsia="zh-CN" w:bidi="ar-SA"/>
              </w:rPr>
            </w:pPr>
          </w:p>
        </w:tc>
        <w:tc>
          <w:tcPr>
            <w:tcW w:w="1045" w:type="dxa"/>
            <w:vMerge w:val="continue"/>
            <w:tcBorders>
              <w:top w:val="nil"/>
              <w:bottom w:val="nil"/>
            </w:tcBorders>
            <w:noWrap w:val="0"/>
            <w:vAlign w:val="center"/>
          </w:tcPr>
          <w:p w14:paraId="3B846921">
            <w:pPr>
              <w:jc w:val="center"/>
              <w:rPr>
                <w:rFonts w:ascii="Arial"/>
                <w:color w:val="auto"/>
                <w:sz w:val="21"/>
                <w:szCs w:val="21"/>
                <w:lang w:val="en-US" w:eastAsia="zh-CN" w:bidi="ar-SA"/>
              </w:rPr>
            </w:pPr>
          </w:p>
        </w:tc>
      </w:tr>
      <w:tr w14:paraId="5A1C6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44" w:type="dxa"/>
            <w:vMerge w:val="continue"/>
            <w:tcBorders>
              <w:top w:val="nil"/>
            </w:tcBorders>
            <w:noWrap w:val="0"/>
            <w:vAlign w:val="center"/>
          </w:tcPr>
          <w:p w14:paraId="6247A275">
            <w:pPr>
              <w:jc w:val="center"/>
              <w:rPr>
                <w:rFonts w:ascii="Arial"/>
                <w:color w:val="auto"/>
                <w:sz w:val="21"/>
                <w:szCs w:val="21"/>
                <w:lang w:val="en-US" w:eastAsia="zh-CN" w:bidi="ar-SA"/>
              </w:rPr>
            </w:pPr>
          </w:p>
        </w:tc>
        <w:tc>
          <w:tcPr>
            <w:tcW w:w="1181" w:type="dxa"/>
            <w:vMerge w:val="continue"/>
            <w:tcBorders>
              <w:top w:val="nil"/>
            </w:tcBorders>
            <w:noWrap w:val="0"/>
            <w:vAlign w:val="center"/>
          </w:tcPr>
          <w:p w14:paraId="27A83DA8">
            <w:pPr>
              <w:jc w:val="center"/>
              <w:rPr>
                <w:rFonts w:ascii="Arial"/>
                <w:color w:val="auto"/>
                <w:sz w:val="21"/>
                <w:szCs w:val="21"/>
                <w:lang w:val="en-US" w:eastAsia="zh-CN" w:bidi="ar-SA"/>
              </w:rPr>
            </w:pPr>
          </w:p>
        </w:tc>
        <w:tc>
          <w:tcPr>
            <w:tcW w:w="4694" w:type="dxa"/>
            <w:gridSpan w:val="2"/>
            <w:noWrap w:val="0"/>
            <w:vAlign w:val="center"/>
          </w:tcPr>
          <w:p w14:paraId="1F190070">
            <w:pPr>
              <w:pStyle w:val="24"/>
              <w:spacing w:before="73" w:line="219" w:lineRule="auto"/>
              <w:ind w:left="0"/>
              <w:jc w:val="center"/>
              <w:rPr>
                <w:color w:val="auto"/>
                <w:sz w:val="21"/>
                <w:szCs w:val="21"/>
                <w:lang w:val="en-US" w:bidi="ar-SA"/>
              </w:rPr>
            </w:pPr>
            <w:r>
              <w:rPr>
                <w:color w:val="auto"/>
                <w:spacing w:val="2"/>
                <w:sz w:val="21"/>
                <w:szCs w:val="21"/>
                <w:lang w:val="en-US" w:bidi="ar-SA"/>
              </w:rPr>
              <w:t>收缴率90%以下</w:t>
            </w:r>
          </w:p>
        </w:tc>
        <w:tc>
          <w:tcPr>
            <w:tcW w:w="1058" w:type="dxa"/>
            <w:noWrap w:val="0"/>
            <w:vAlign w:val="center"/>
          </w:tcPr>
          <w:p w14:paraId="7EB59E30">
            <w:pPr>
              <w:pStyle w:val="24"/>
              <w:spacing w:before="127" w:line="183" w:lineRule="auto"/>
              <w:ind w:left="0"/>
              <w:jc w:val="center"/>
              <w:rPr>
                <w:rFonts w:hint="eastAsia"/>
                <w:color w:val="auto"/>
                <w:sz w:val="21"/>
                <w:szCs w:val="21"/>
                <w:lang w:val="en-US" w:eastAsia="zh-CN" w:bidi="ar-SA"/>
              </w:rPr>
            </w:pPr>
            <w:r>
              <w:rPr>
                <w:rFonts w:hint="eastAsia"/>
                <w:color w:val="auto"/>
                <w:spacing w:val="-3"/>
                <w:sz w:val="21"/>
                <w:szCs w:val="21"/>
                <w:lang w:val="en-US" w:eastAsia="zh-CN" w:bidi="ar-SA"/>
              </w:rPr>
              <w:t>60</w:t>
            </w:r>
          </w:p>
        </w:tc>
        <w:tc>
          <w:tcPr>
            <w:tcW w:w="607" w:type="dxa"/>
            <w:vMerge w:val="continue"/>
            <w:tcBorders>
              <w:top w:val="nil"/>
            </w:tcBorders>
            <w:noWrap w:val="0"/>
            <w:vAlign w:val="center"/>
          </w:tcPr>
          <w:p w14:paraId="0DA8AE27">
            <w:pPr>
              <w:jc w:val="center"/>
              <w:rPr>
                <w:rFonts w:ascii="Arial"/>
                <w:color w:val="auto"/>
                <w:sz w:val="21"/>
                <w:szCs w:val="21"/>
                <w:lang w:val="en-US" w:eastAsia="zh-CN" w:bidi="ar-SA"/>
              </w:rPr>
            </w:pPr>
          </w:p>
        </w:tc>
        <w:tc>
          <w:tcPr>
            <w:tcW w:w="1045" w:type="dxa"/>
            <w:vMerge w:val="continue"/>
            <w:tcBorders>
              <w:top w:val="nil"/>
            </w:tcBorders>
            <w:noWrap w:val="0"/>
            <w:vAlign w:val="center"/>
          </w:tcPr>
          <w:p w14:paraId="79850E03">
            <w:pPr>
              <w:jc w:val="center"/>
              <w:rPr>
                <w:rFonts w:ascii="Arial"/>
                <w:color w:val="auto"/>
                <w:sz w:val="21"/>
                <w:szCs w:val="21"/>
                <w:lang w:val="en-US" w:eastAsia="zh-CN" w:bidi="ar-SA"/>
              </w:rPr>
            </w:pPr>
          </w:p>
        </w:tc>
      </w:tr>
      <w:tr w14:paraId="02D6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44" w:type="dxa"/>
            <w:vMerge w:val="restart"/>
            <w:tcBorders>
              <w:bottom w:val="nil"/>
            </w:tcBorders>
            <w:noWrap w:val="0"/>
            <w:vAlign w:val="center"/>
          </w:tcPr>
          <w:p w14:paraId="66FB962B">
            <w:pPr>
              <w:rPr>
                <w:color w:val="auto"/>
                <w:lang w:val="en-US" w:eastAsia="zh-CN" w:bidi="ar-SA"/>
              </w:rPr>
            </w:pPr>
          </w:p>
          <w:p w14:paraId="717DD775">
            <w:pPr>
              <w:rPr>
                <w:color w:val="auto"/>
                <w:lang w:val="en-US" w:eastAsia="zh-CN" w:bidi="ar-SA"/>
              </w:rPr>
            </w:pPr>
          </w:p>
          <w:p w14:paraId="26DC0CA3">
            <w:pPr>
              <w:rPr>
                <w:color w:val="auto"/>
                <w:lang w:val="en-US" w:eastAsia="zh-CN" w:bidi="ar-SA"/>
              </w:rPr>
            </w:pPr>
          </w:p>
          <w:p w14:paraId="6253D6B3">
            <w:pPr>
              <w:pStyle w:val="24"/>
              <w:spacing w:before="68" w:line="183" w:lineRule="auto"/>
              <w:ind w:left="0"/>
              <w:jc w:val="center"/>
              <w:rPr>
                <w:color w:val="auto"/>
                <w:sz w:val="21"/>
                <w:szCs w:val="21"/>
                <w:lang w:val="en-US" w:bidi="ar-SA"/>
              </w:rPr>
            </w:pPr>
            <w:r>
              <w:rPr>
                <w:color w:val="auto"/>
                <w:sz w:val="21"/>
                <w:szCs w:val="21"/>
                <w:lang w:val="en-US" w:bidi="ar-SA"/>
              </w:rPr>
              <w:t>2</w:t>
            </w:r>
          </w:p>
        </w:tc>
        <w:tc>
          <w:tcPr>
            <w:tcW w:w="1181" w:type="dxa"/>
            <w:vMerge w:val="restart"/>
            <w:tcBorders>
              <w:bottom w:val="nil"/>
            </w:tcBorders>
            <w:noWrap w:val="0"/>
            <w:vAlign w:val="center"/>
          </w:tcPr>
          <w:p w14:paraId="683382E4">
            <w:pPr>
              <w:spacing w:line="351" w:lineRule="auto"/>
              <w:jc w:val="center"/>
              <w:rPr>
                <w:rFonts w:ascii="Arial"/>
                <w:color w:val="auto"/>
                <w:sz w:val="21"/>
                <w:szCs w:val="21"/>
                <w:lang w:val="en-US" w:eastAsia="zh-CN" w:bidi="ar-SA"/>
              </w:rPr>
            </w:pPr>
          </w:p>
          <w:p w14:paraId="5C450753">
            <w:pPr>
              <w:spacing w:line="351" w:lineRule="auto"/>
              <w:jc w:val="center"/>
              <w:rPr>
                <w:rFonts w:ascii="Arial"/>
                <w:color w:val="auto"/>
                <w:sz w:val="21"/>
                <w:szCs w:val="21"/>
                <w:lang w:val="en-US" w:eastAsia="zh-CN" w:bidi="ar-SA"/>
              </w:rPr>
            </w:pPr>
          </w:p>
          <w:p w14:paraId="3D575DAB">
            <w:pPr>
              <w:pStyle w:val="24"/>
              <w:spacing w:before="68" w:line="228" w:lineRule="auto"/>
              <w:ind w:left="0" w:right="56" w:firstLine="0"/>
              <w:jc w:val="center"/>
              <w:rPr>
                <w:color w:val="auto"/>
                <w:sz w:val="21"/>
                <w:szCs w:val="21"/>
                <w:lang w:val="en-US" w:bidi="ar-SA"/>
              </w:rPr>
            </w:pPr>
            <w:r>
              <w:rPr>
                <w:color w:val="auto"/>
                <w:spacing w:val="2"/>
                <w:sz w:val="21"/>
                <w:szCs w:val="21"/>
                <w:lang w:val="en-US" w:bidi="ar-SA"/>
              </w:rPr>
              <w:t>房源实际入住</w:t>
            </w:r>
            <w:r>
              <w:rPr>
                <w:color w:val="auto"/>
                <w:spacing w:val="-3"/>
                <w:sz w:val="21"/>
                <w:szCs w:val="21"/>
                <w:lang w:val="en-US" w:bidi="ar-SA"/>
              </w:rPr>
              <w:t>率管理</w:t>
            </w:r>
          </w:p>
        </w:tc>
        <w:tc>
          <w:tcPr>
            <w:tcW w:w="2863" w:type="dxa"/>
            <w:vMerge w:val="restart"/>
            <w:tcBorders>
              <w:bottom w:val="nil"/>
            </w:tcBorders>
            <w:noWrap w:val="0"/>
            <w:vAlign w:val="center"/>
          </w:tcPr>
          <w:p w14:paraId="546E06A6">
            <w:pPr>
              <w:pStyle w:val="24"/>
              <w:spacing w:before="233" w:line="235" w:lineRule="auto"/>
              <w:ind w:left="0" w:right="82"/>
              <w:jc w:val="center"/>
              <w:rPr>
                <w:color w:val="auto"/>
                <w:sz w:val="21"/>
                <w:szCs w:val="21"/>
                <w:lang w:val="en-US" w:eastAsia="zh-CN" w:bidi="ar-SA"/>
              </w:rPr>
            </w:pPr>
            <w:r>
              <w:rPr>
                <w:color w:val="auto"/>
                <w:sz w:val="21"/>
                <w:szCs w:val="21"/>
                <w:lang w:val="en-US" w:eastAsia="zh-CN" w:bidi="ar-SA"/>
              </w:rPr>
              <w:t>每季度核查配租人员实际入住</w:t>
            </w:r>
            <w:r>
              <w:rPr>
                <w:color w:val="auto"/>
                <w:spacing w:val="-1"/>
                <w:sz w:val="21"/>
                <w:szCs w:val="21"/>
                <w:lang w:val="en-US" w:eastAsia="zh-CN" w:bidi="ar-SA"/>
              </w:rPr>
              <w:t>情况，存在未入住或长期闲置</w:t>
            </w:r>
            <w:r>
              <w:rPr>
                <w:color w:val="auto"/>
                <w:spacing w:val="2"/>
                <w:sz w:val="21"/>
                <w:szCs w:val="21"/>
                <w:lang w:val="en-US" w:eastAsia="zh-CN" w:bidi="ar-SA"/>
              </w:rPr>
              <w:t xml:space="preserve"> </w:t>
            </w:r>
            <w:r>
              <w:rPr>
                <w:color w:val="auto"/>
                <w:spacing w:val="4"/>
                <w:sz w:val="21"/>
                <w:szCs w:val="21"/>
                <w:lang w:val="en-US" w:eastAsia="zh-CN" w:bidi="ar-SA"/>
              </w:rPr>
              <w:t>(1个月以上)的，要求限期整</w:t>
            </w:r>
            <w:r>
              <w:rPr>
                <w:color w:val="auto"/>
                <w:spacing w:val="8"/>
                <w:sz w:val="21"/>
                <w:szCs w:val="21"/>
                <w:lang w:val="en-US" w:eastAsia="zh-CN" w:bidi="ar-SA"/>
              </w:rPr>
              <w:t xml:space="preserve"> </w:t>
            </w:r>
            <w:r>
              <w:rPr>
                <w:color w:val="auto"/>
                <w:sz w:val="21"/>
                <w:szCs w:val="21"/>
                <w:lang w:val="en-US" w:eastAsia="zh-CN" w:bidi="ar-SA"/>
              </w:rPr>
              <w:t>改或腾退重新分配。房源实际</w:t>
            </w:r>
            <w:r>
              <w:rPr>
                <w:color w:val="auto"/>
                <w:spacing w:val="8"/>
                <w:sz w:val="21"/>
                <w:szCs w:val="21"/>
                <w:lang w:val="en-US" w:eastAsia="zh-CN" w:bidi="ar-SA"/>
              </w:rPr>
              <w:t xml:space="preserve"> </w:t>
            </w:r>
            <w:r>
              <w:rPr>
                <w:color w:val="auto"/>
                <w:spacing w:val="-1"/>
                <w:sz w:val="21"/>
                <w:szCs w:val="21"/>
                <w:lang w:val="en-US" w:eastAsia="zh-CN" w:bidi="ar-SA"/>
              </w:rPr>
              <w:t>入住率=实际入住人员/审批通</w:t>
            </w:r>
            <w:r>
              <w:rPr>
                <w:color w:val="auto"/>
                <w:spacing w:val="5"/>
                <w:sz w:val="21"/>
                <w:szCs w:val="21"/>
                <w:lang w:val="en-US" w:eastAsia="zh-CN" w:bidi="ar-SA"/>
              </w:rPr>
              <w:t xml:space="preserve"> </w:t>
            </w:r>
            <w:r>
              <w:rPr>
                <w:color w:val="auto"/>
                <w:spacing w:val="-2"/>
                <w:sz w:val="21"/>
                <w:szCs w:val="21"/>
                <w:lang w:val="en-US" w:eastAsia="zh-CN" w:bidi="ar-SA"/>
              </w:rPr>
              <w:t>过人员*100%</w:t>
            </w:r>
          </w:p>
        </w:tc>
        <w:tc>
          <w:tcPr>
            <w:tcW w:w="1831" w:type="dxa"/>
            <w:noWrap w:val="0"/>
            <w:vAlign w:val="center"/>
          </w:tcPr>
          <w:p w14:paraId="1A49813D">
            <w:pPr>
              <w:pStyle w:val="24"/>
              <w:spacing w:before="144" w:line="219" w:lineRule="auto"/>
              <w:ind w:left="0"/>
              <w:jc w:val="center"/>
              <w:rPr>
                <w:color w:val="auto"/>
                <w:sz w:val="21"/>
                <w:szCs w:val="21"/>
                <w:lang w:val="en-US" w:bidi="ar-SA"/>
              </w:rPr>
            </w:pPr>
            <w:r>
              <w:rPr>
                <w:color w:val="auto"/>
                <w:spacing w:val="-1"/>
                <w:sz w:val="21"/>
                <w:szCs w:val="21"/>
                <w:lang w:val="en-US" w:bidi="ar-SA"/>
              </w:rPr>
              <w:t>97%(含)以上</w:t>
            </w:r>
          </w:p>
        </w:tc>
        <w:tc>
          <w:tcPr>
            <w:tcW w:w="1058" w:type="dxa"/>
            <w:noWrap w:val="0"/>
            <w:vAlign w:val="center"/>
          </w:tcPr>
          <w:p w14:paraId="57632D03">
            <w:pPr>
              <w:pStyle w:val="24"/>
              <w:spacing w:before="197" w:line="184" w:lineRule="auto"/>
              <w:ind w:left="0"/>
              <w:jc w:val="center"/>
              <w:rPr>
                <w:color w:val="auto"/>
                <w:sz w:val="21"/>
                <w:szCs w:val="21"/>
                <w:lang w:val="en-US" w:bidi="ar-SA"/>
              </w:rPr>
            </w:pPr>
            <w:r>
              <w:rPr>
                <w:color w:val="auto"/>
                <w:spacing w:val="-6"/>
                <w:sz w:val="21"/>
                <w:szCs w:val="21"/>
                <w:lang w:val="en-US" w:bidi="ar-SA"/>
              </w:rPr>
              <w:t>100</w:t>
            </w:r>
          </w:p>
        </w:tc>
        <w:tc>
          <w:tcPr>
            <w:tcW w:w="607" w:type="dxa"/>
            <w:vMerge w:val="restart"/>
            <w:tcBorders>
              <w:bottom w:val="nil"/>
            </w:tcBorders>
            <w:noWrap w:val="0"/>
            <w:vAlign w:val="center"/>
          </w:tcPr>
          <w:p w14:paraId="68C72946">
            <w:pPr>
              <w:rPr>
                <w:color w:val="auto"/>
                <w:lang w:val="en-US" w:eastAsia="zh-CN" w:bidi="ar-SA"/>
              </w:rPr>
            </w:pPr>
          </w:p>
          <w:p w14:paraId="78F81B31">
            <w:pPr>
              <w:rPr>
                <w:color w:val="auto"/>
                <w:lang w:val="en-US" w:eastAsia="zh-CN" w:bidi="ar-SA"/>
              </w:rPr>
            </w:pPr>
          </w:p>
          <w:p w14:paraId="50E2D5F0">
            <w:pPr>
              <w:rPr>
                <w:color w:val="auto"/>
                <w:lang w:val="en-US" w:eastAsia="zh-CN" w:bidi="ar-SA"/>
              </w:rPr>
            </w:pPr>
          </w:p>
          <w:p w14:paraId="7F615EB2">
            <w:pPr>
              <w:pStyle w:val="24"/>
              <w:spacing w:before="68" w:line="183" w:lineRule="auto"/>
              <w:ind w:left="0"/>
              <w:jc w:val="center"/>
              <w:rPr>
                <w:color w:val="auto"/>
                <w:sz w:val="21"/>
                <w:szCs w:val="21"/>
                <w:lang w:val="en-US" w:bidi="ar-SA"/>
              </w:rPr>
            </w:pPr>
            <w:r>
              <w:rPr>
                <w:color w:val="auto"/>
                <w:spacing w:val="-4"/>
                <w:sz w:val="21"/>
                <w:szCs w:val="21"/>
                <w:lang w:val="en-US" w:bidi="ar-SA"/>
              </w:rPr>
              <w:t>5%</w:t>
            </w:r>
          </w:p>
        </w:tc>
        <w:tc>
          <w:tcPr>
            <w:tcW w:w="1045" w:type="dxa"/>
            <w:vMerge w:val="restart"/>
            <w:tcBorders>
              <w:bottom w:val="nil"/>
            </w:tcBorders>
            <w:noWrap w:val="0"/>
            <w:vAlign w:val="center"/>
          </w:tcPr>
          <w:p w14:paraId="085E0788">
            <w:pPr>
              <w:pStyle w:val="24"/>
              <w:spacing w:before="9" w:line="219" w:lineRule="auto"/>
              <w:ind w:left="0"/>
              <w:jc w:val="center"/>
              <w:rPr>
                <w:color w:val="auto"/>
                <w:sz w:val="21"/>
                <w:szCs w:val="21"/>
                <w:lang w:val="en-US" w:bidi="ar-SA"/>
              </w:rPr>
            </w:pPr>
            <w:r>
              <w:rPr>
                <w:rFonts w:hint="eastAsia"/>
                <w:color w:val="auto"/>
                <w:spacing w:val="1"/>
                <w:sz w:val="21"/>
                <w:szCs w:val="21"/>
                <w:lang w:val="en-US" w:eastAsia="zh-CN" w:bidi="ar-SA"/>
              </w:rPr>
              <w:t>空房</w:t>
            </w:r>
            <w:r>
              <w:rPr>
                <w:color w:val="auto"/>
                <w:spacing w:val="1"/>
                <w:sz w:val="21"/>
                <w:szCs w:val="21"/>
                <w:lang w:val="en-US" w:eastAsia="zh-CN" w:bidi="ar-SA"/>
              </w:rPr>
              <w:t>不列入实际入住率考核</w:t>
            </w:r>
          </w:p>
        </w:tc>
      </w:tr>
      <w:tr w14:paraId="411EA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44" w:type="dxa"/>
            <w:vMerge w:val="continue"/>
            <w:tcBorders>
              <w:top w:val="nil"/>
              <w:bottom w:val="nil"/>
            </w:tcBorders>
            <w:noWrap w:val="0"/>
            <w:vAlign w:val="center"/>
          </w:tcPr>
          <w:p w14:paraId="62054E18">
            <w:pPr>
              <w:jc w:val="center"/>
              <w:rPr>
                <w:rFonts w:ascii="Arial"/>
                <w:color w:val="auto"/>
                <w:sz w:val="21"/>
                <w:szCs w:val="21"/>
                <w:lang w:val="en-US" w:eastAsia="zh-CN" w:bidi="ar-SA"/>
              </w:rPr>
            </w:pPr>
          </w:p>
        </w:tc>
        <w:tc>
          <w:tcPr>
            <w:tcW w:w="1181" w:type="dxa"/>
            <w:vMerge w:val="continue"/>
            <w:tcBorders>
              <w:top w:val="nil"/>
              <w:bottom w:val="nil"/>
            </w:tcBorders>
            <w:noWrap w:val="0"/>
            <w:vAlign w:val="center"/>
          </w:tcPr>
          <w:p w14:paraId="15B5D634">
            <w:pPr>
              <w:jc w:val="center"/>
              <w:rPr>
                <w:rFonts w:ascii="Arial"/>
                <w:color w:val="auto"/>
                <w:sz w:val="21"/>
                <w:szCs w:val="21"/>
                <w:lang w:val="en-US" w:eastAsia="zh-CN" w:bidi="ar-SA"/>
              </w:rPr>
            </w:pPr>
          </w:p>
        </w:tc>
        <w:tc>
          <w:tcPr>
            <w:tcW w:w="2863" w:type="dxa"/>
            <w:vMerge w:val="continue"/>
            <w:tcBorders>
              <w:top w:val="nil"/>
              <w:bottom w:val="nil"/>
            </w:tcBorders>
            <w:noWrap w:val="0"/>
            <w:vAlign w:val="center"/>
          </w:tcPr>
          <w:p w14:paraId="69AE5889">
            <w:pPr>
              <w:jc w:val="center"/>
              <w:rPr>
                <w:rFonts w:ascii="Arial"/>
                <w:color w:val="auto"/>
                <w:sz w:val="21"/>
                <w:szCs w:val="21"/>
                <w:lang w:val="en-US" w:eastAsia="zh-CN" w:bidi="ar-SA"/>
              </w:rPr>
            </w:pPr>
          </w:p>
        </w:tc>
        <w:tc>
          <w:tcPr>
            <w:tcW w:w="1831" w:type="dxa"/>
            <w:noWrap w:val="0"/>
            <w:vAlign w:val="center"/>
          </w:tcPr>
          <w:p w14:paraId="1B768415">
            <w:pPr>
              <w:pStyle w:val="24"/>
              <w:spacing w:before="145" w:line="219" w:lineRule="auto"/>
              <w:ind w:left="0"/>
              <w:jc w:val="center"/>
              <w:rPr>
                <w:color w:val="auto"/>
                <w:sz w:val="21"/>
                <w:szCs w:val="21"/>
                <w:lang w:val="en-US" w:bidi="ar-SA"/>
              </w:rPr>
            </w:pPr>
            <w:r>
              <w:rPr>
                <w:color w:val="auto"/>
                <w:spacing w:val="-1"/>
                <w:sz w:val="21"/>
                <w:szCs w:val="21"/>
                <w:lang w:val="en-US" w:bidi="ar-SA"/>
              </w:rPr>
              <w:t>93%(含)-97%</w:t>
            </w:r>
          </w:p>
        </w:tc>
        <w:tc>
          <w:tcPr>
            <w:tcW w:w="1058" w:type="dxa"/>
            <w:noWrap w:val="0"/>
            <w:vAlign w:val="center"/>
          </w:tcPr>
          <w:p w14:paraId="64BACF9C">
            <w:pPr>
              <w:pStyle w:val="24"/>
              <w:spacing w:before="199" w:line="183" w:lineRule="auto"/>
              <w:ind w:left="0"/>
              <w:jc w:val="center"/>
              <w:rPr>
                <w:color w:val="auto"/>
                <w:sz w:val="21"/>
                <w:szCs w:val="21"/>
                <w:lang w:val="en-US" w:bidi="ar-SA"/>
              </w:rPr>
            </w:pPr>
            <w:r>
              <w:rPr>
                <w:color w:val="auto"/>
                <w:spacing w:val="-3"/>
                <w:sz w:val="21"/>
                <w:szCs w:val="21"/>
                <w:lang w:val="en-US" w:bidi="ar-SA"/>
              </w:rPr>
              <w:t>90</w:t>
            </w:r>
          </w:p>
        </w:tc>
        <w:tc>
          <w:tcPr>
            <w:tcW w:w="607" w:type="dxa"/>
            <w:vMerge w:val="continue"/>
            <w:tcBorders>
              <w:top w:val="nil"/>
              <w:bottom w:val="nil"/>
            </w:tcBorders>
            <w:noWrap w:val="0"/>
            <w:vAlign w:val="center"/>
          </w:tcPr>
          <w:p w14:paraId="0B8A8673">
            <w:pPr>
              <w:jc w:val="center"/>
              <w:rPr>
                <w:rFonts w:ascii="Arial"/>
                <w:color w:val="auto"/>
                <w:sz w:val="21"/>
                <w:szCs w:val="21"/>
                <w:lang w:val="en-US" w:eastAsia="zh-CN" w:bidi="ar-SA"/>
              </w:rPr>
            </w:pPr>
          </w:p>
        </w:tc>
        <w:tc>
          <w:tcPr>
            <w:tcW w:w="1045" w:type="dxa"/>
            <w:vMerge w:val="continue"/>
            <w:tcBorders>
              <w:top w:val="nil"/>
              <w:bottom w:val="nil"/>
            </w:tcBorders>
            <w:noWrap w:val="0"/>
            <w:vAlign w:val="center"/>
          </w:tcPr>
          <w:p w14:paraId="64CCDACA">
            <w:pPr>
              <w:jc w:val="center"/>
              <w:rPr>
                <w:rFonts w:ascii="Arial"/>
                <w:color w:val="auto"/>
                <w:sz w:val="21"/>
                <w:szCs w:val="21"/>
                <w:lang w:val="en-US" w:eastAsia="zh-CN" w:bidi="ar-SA"/>
              </w:rPr>
            </w:pPr>
          </w:p>
        </w:tc>
      </w:tr>
      <w:tr w14:paraId="3836F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trPr>
        <w:tc>
          <w:tcPr>
            <w:tcW w:w="644" w:type="dxa"/>
            <w:vMerge w:val="continue"/>
            <w:tcBorders>
              <w:top w:val="nil"/>
              <w:bottom w:val="nil"/>
            </w:tcBorders>
            <w:noWrap w:val="0"/>
            <w:vAlign w:val="center"/>
          </w:tcPr>
          <w:p w14:paraId="41643EDE">
            <w:pPr>
              <w:jc w:val="center"/>
              <w:rPr>
                <w:rFonts w:ascii="Arial"/>
                <w:color w:val="auto"/>
                <w:sz w:val="21"/>
                <w:szCs w:val="21"/>
                <w:lang w:val="en-US" w:eastAsia="zh-CN" w:bidi="ar-SA"/>
              </w:rPr>
            </w:pPr>
          </w:p>
        </w:tc>
        <w:tc>
          <w:tcPr>
            <w:tcW w:w="1181" w:type="dxa"/>
            <w:vMerge w:val="continue"/>
            <w:tcBorders>
              <w:top w:val="nil"/>
              <w:bottom w:val="nil"/>
            </w:tcBorders>
            <w:noWrap w:val="0"/>
            <w:vAlign w:val="center"/>
          </w:tcPr>
          <w:p w14:paraId="5C08A575">
            <w:pPr>
              <w:jc w:val="center"/>
              <w:rPr>
                <w:rFonts w:ascii="Arial"/>
                <w:color w:val="auto"/>
                <w:sz w:val="21"/>
                <w:szCs w:val="21"/>
                <w:lang w:val="en-US" w:eastAsia="zh-CN" w:bidi="ar-SA"/>
              </w:rPr>
            </w:pPr>
          </w:p>
        </w:tc>
        <w:tc>
          <w:tcPr>
            <w:tcW w:w="2863" w:type="dxa"/>
            <w:vMerge w:val="continue"/>
            <w:tcBorders>
              <w:top w:val="nil"/>
              <w:bottom w:val="nil"/>
            </w:tcBorders>
            <w:noWrap w:val="0"/>
            <w:vAlign w:val="center"/>
          </w:tcPr>
          <w:p w14:paraId="226868FB">
            <w:pPr>
              <w:jc w:val="center"/>
              <w:rPr>
                <w:rFonts w:ascii="Arial"/>
                <w:color w:val="auto"/>
                <w:sz w:val="21"/>
                <w:szCs w:val="21"/>
                <w:lang w:val="en-US" w:eastAsia="zh-CN" w:bidi="ar-SA"/>
              </w:rPr>
            </w:pPr>
          </w:p>
        </w:tc>
        <w:tc>
          <w:tcPr>
            <w:tcW w:w="1831" w:type="dxa"/>
            <w:noWrap w:val="0"/>
            <w:vAlign w:val="center"/>
          </w:tcPr>
          <w:p w14:paraId="29D24F78">
            <w:pPr>
              <w:pStyle w:val="24"/>
              <w:spacing w:before="146" w:line="219" w:lineRule="auto"/>
              <w:ind w:left="0"/>
              <w:jc w:val="center"/>
              <w:rPr>
                <w:color w:val="auto"/>
                <w:sz w:val="21"/>
                <w:szCs w:val="21"/>
                <w:lang w:val="en-US" w:bidi="ar-SA"/>
              </w:rPr>
            </w:pPr>
            <w:r>
              <w:rPr>
                <w:color w:val="auto"/>
                <w:spacing w:val="-1"/>
                <w:sz w:val="21"/>
                <w:szCs w:val="21"/>
                <w:lang w:val="en-US" w:bidi="ar-SA"/>
              </w:rPr>
              <w:t>90%(含)-93%</w:t>
            </w:r>
          </w:p>
        </w:tc>
        <w:tc>
          <w:tcPr>
            <w:tcW w:w="1058" w:type="dxa"/>
            <w:noWrap w:val="0"/>
            <w:vAlign w:val="center"/>
          </w:tcPr>
          <w:p w14:paraId="453B5445">
            <w:pPr>
              <w:pStyle w:val="24"/>
              <w:spacing w:before="200" w:line="183" w:lineRule="auto"/>
              <w:ind w:left="0"/>
              <w:jc w:val="center"/>
              <w:rPr>
                <w:color w:val="auto"/>
                <w:sz w:val="21"/>
                <w:szCs w:val="21"/>
                <w:lang w:val="en-US" w:bidi="ar-SA"/>
              </w:rPr>
            </w:pPr>
            <w:r>
              <w:rPr>
                <w:color w:val="auto"/>
                <w:spacing w:val="-3"/>
                <w:sz w:val="21"/>
                <w:szCs w:val="21"/>
                <w:lang w:val="en-US" w:bidi="ar-SA"/>
              </w:rPr>
              <w:t>80</w:t>
            </w:r>
          </w:p>
        </w:tc>
        <w:tc>
          <w:tcPr>
            <w:tcW w:w="607" w:type="dxa"/>
            <w:vMerge w:val="continue"/>
            <w:tcBorders>
              <w:top w:val="nil"/>
              <w:bottom w:val="nil"/>
            </w:tcBorders>
            <w:noWrap w:val="0"/>
            <w:vAlign w:val="center"/>
          </w:tcPr>
          <w:p w14:paraId="4EB91C16">
            <w:pPr>
              <w:jc w:val="center"/>
              <w:rPr>
                <w:rFonts w:ascii="Arial"/>
                <w:color w:val="auto"/>
                <w:sz w:val="21"/>
                <w:szCs w:val="21"/>
                <w:lang w:val="en-US" w:eastAsia="zh-CN" w:bidi="ar-SA"/>
              </w:rPr>
            </w:pPr>
          </w:p>
        </w:tc>
        <w:tc>
          <w:tcPr>
            <w:tcW w:w="1045" w:type="dxa"/>
            <w:vMerge w:val="continue"/>
            <w:tcBorders>
              <w:top w:val="nil"/>
              <w:bottom w:val="nil"/>
            </w:tcBorders>
            <w:noWrap w:val="0"/>
            <w:vAlign w:val="center"/>
          </w:tcPr>
          <w:p w14:paraId="489740D7">
            <w:pPr>
              <w:jc w:val="center"/>
              <w:rPr>
                <w:rFonts w:ascii="Arial"/>
                <w:color w:val="auto"/>
                <w:sz w:val="21"/>
                <w:szCs w:val="21"/>
                <w:lang w:val="en-US" w:eastAsia="zh-CN" w:bidi="ar-SA"/>
              </w:rPr>
            </w:pPr>
          </w:p>
        </w:tc>
      </w:tr>
      <w:tr w14:paraId="32A7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644" w:type="dxa"/>
            <w:vMerge w:val="continue"/>
            <w:tcBorders>
              <w:top w:val="nil"/>
            </w:tcBorders>
            <w:noWrap w:val="0"/>
            <w:vAlign w:val="center"/>
          </w:tcPr>
          <w:p w14:paraId="7E5E2D29">
            <w:pPr>
              <w:jc w:val="center"/>
              <w:rPr>
                <w:rFonts w:ascii="Arial"/>
                <w:color w:val="auto"/>
                <w:sz w:val="21"/>
                <w:szCs w:val="21"/>
                <w:lang w:val="en-US" w:eastAsia="zh-CN" w:bidi="ar-SA"/>
              </w:rPr>
            </w:pPr>
          </w:p>
        </w:tc>
        <w:tc>
          <w:tcPr>
            <w:tcW w:w="1181" w:type="dxa"/>
            <w:vMerge w:val="continue"/>
            <w:tcBorders>
              <w:top w:val="nil"/>
            </w:tcBorders>
            <w:noWrap w:val="0"/>
            <w:vAlign w:val="center"/>
          </w:tcPr>
          <w:p w14:paraId="6B202C15">
            <w:pPr>
              <w:jc w:val="center"/>
              <w:rPr>
                <w:rFonts w:ascii="Arial"/>
                <w:color w:val="auto"/>
                <w:sz w:val="21"/>
                <w:szCs w:val="21"/>
                <w:lang w:val="en-US" w:eastAsia="zh-CN" w:bidi="ar-SA"/>
              </w:rPr>
            </w:pPr>
          </w:p>
        </w:tc>
        <w:tc>
          <w:tcPr>
            <w:tcW w:w="2863" w:type="dxa"/>
            <w:vMerge w:val="continue"/>
            <w:tcBorders>
              <w:top w:val="nil"/>
            </w:tcBorders>
            <w:noWrap w:val="0"/>
            <w:vAlign w:val="center"/>
          </w:tcPr>
          <w:p w14:paraId="49CE11D3">
            <w:pPr>
              <w:jc w:val="center"/>
              <w:rPr>
                <w:rFonts w:ascii="Arial"/>
                <w:color w:val="auto"/>
                <w:sz w:val="21"/>
                <w:szCs w:val="21"/>
                <w:lang w:val="en-US" w:eastAsia="zh-CN" w:bidi="ar-SA"/>
              </w:rPr>
            </w:pPr>
          </w:p>
        </w:tc>
        <w:tc>
          <w:tcPr>
            <w:tcW w:w="1831" w:type="dxa"/>
            <w:noWrap w:val="0"/>
            <w:vAlign w:val="center"/>
          </w:tcPr>
          <w:p w14:paraId="387FD281">
            <w:pPr>
              <w:pStyle w:val="24"/>
              <w:spacing w:before="158" w:line="221" w:lineRule="auto"/>
              <w:ind w:left="0"/>
              <w:jc w:val="center"/>
              <w:rPr>
                <w:color w:val="auto"/>
                <w:sz w:val="21"/>
                <w:szCs w:val="21"/>
                <w:lang w:val="en-US" w:bidi="ar-SA"/>
              </w:rPr>
            </w:pPr>
            <w:r>
              <w:rPr>
                <w:color w:val="auto"/>
                <w:spacing w:val="-2"/>
                <w:sz w:val="21"/>
                <w:szCs w:val="21"/>
                <w:lang w:val="en-US" w:bidi="ar-SA"/>
              </w:rPr>
              <w:t>90%以下</w:t>
            </w:r>
          </w:p>
        </w:tc>
        <w:tc>
          <w:tcPr>
            <w:tcW w:w="1058" w:type="dxa"/>
            <w:noWrap w:val="0"/>
            <w:vAlign w:val="center"/>
          </w:tcPr>
          <w:p w14:paraId="5BABAC42">
            <w:pPr>
              <w:pStyle w:val="24"/>
              <w:spacing w:before="211" w:line="183" w:lineRule="auto"/>
              <w:ind w:left="0"/>
              <w:jc w:val="center"/>
              <w:rPr>
                <w:color w:val="auto"/>
                <w:sz w:val="21"/>
                <w:szCs w:val="21"/>
                <w:lang w:val="en-US" w:bidi="ar-SA"/>
              </w:rPr>
            </w:pPr>
            <w:r>
              <w:rPr>
                <w:color w:val="auto"/>
                <w:spacing w:val="-3"/>
                <w:sz w:val="21"/>
                <w:szCs w:val="21"/>
                <w:lang w:val="en-US" w:bidi="ar-SA"/>
              </w:rPr>
              <w:t>25</w:t>
            </w:r>
          </w:p>
        </w:tc>
        <w:tc>
          <w:tcPr>
            <w:tcW w:w="607" w:type="dxa"/>
            <w:vMerge w:val="continue"/>
            <w:tcBorders>
              <w:top w:val="nil"/>
            </w:tcBorders>
            <w:noWrap w:val="0"/>
            <w:vAlign w:val="center"/>
          </w:tcPr>
          <w:p w14:paraId="69521F6C">
            <w:pPr>
              <w:jc w:val="center"/>
              <w:rPr>
                <w:rFonts w:ascii="Arial"/>
                <w:color w:val="auto"/>
                <w:sz w:val="21"/>
                <w:szCs w:val="21"/>
                <w:lang w:val="en-US" w:eastAsia="zh-CN" w:bidi="ar-SA"/>
              </w:rPr>
            </w:pPr>
          </w:p>
        </w:tc>
        <w:tc>
          <w:tcPr>
            <w:tcW w:w="1045" w:type="dxa"/>
            <w:vMerge w:val="continue"/>
            <w:tcBorders>
              <w:top w:val="nil"/>
            </w:tcBorders>
            <w:noWrap w:val="0"/>
            <w:vAlign w:val="center"/>
          </w:tcPr>
          <w:p w14:paraId="5B45F43F">
            <w:pPr>
              <w:jc w:val="center"/>
              <w:rPr>
                <w:rFonts w:ascii="Arial"/>
                <w:color w:val="auto"/>
                <w:sz w:val="21"/>
                <w:szCs w:val="21"/>
                <w:lang w:val="en-US" w:eastAsia="zh-CN" w:bidi="ar-SA"/>
              </w:rPr>
            </w:pPr>
          </w:p>
        </w:tc>
      </w:tr>
      <w:tr w14:paraId="08BF7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1" w:hRule="atLeast"/>
        </w:trPr>
        <w:tc>
          <w:tcPr>
            <w:tcW w:w="644" w:type="dxa"/>
            <w:noWrap w:val="0"/>
            <w:vAlign w:val="center"/>
          </w:tcPr>
          <w:p w14:paraId="25AA2A00">
            <w:pPr>
              <w:rPr>
                <w:color w:val="auto"/>
                <w:lang w:val="en-US" w:eastAsia="zh-CN" w:bidi="ar-SA"/>
              </w:rPr>
            </w:pPr>
          </w:p>
          <w:p w14:paraId="2AD54070">
            <w:pPr>
              <w:pStyle w:val="24"/>
              <w:spacing w:before="68" w:line="183" w:lineRule="auto"/>
              <w:ind w:left="0"/>
              <w:jc w:val="center"/>
              <w:rPr>
                <w:color w:val="auto"/>
                <w:sz w:val="21"/>
                <w:szCs w:val="21"/>
                <w:lang w:val="en-US" w:bidi="ar-SA"/>
              </w:rPr>
            </w:pPr>
            <w:r>
              <w:rPr>
                <w:color w:val="auto"/>
                <w:sz w:val="21"/>
                <w:szCs w:val="21"/>
                <w:lang w:val="en-US" w:bidi="ar-SA"/>
              </w:rPr>
              <w:t>3</w:t>
            </w:r>
          </w:p>
        </w:tc>
        <w:tc>
          <w:tcPr>
            <w:tcW w:w="1181" w:type="dxa"/>
            <w:noWrap w:val="0"/>
            <w:vAlign w:val="center"/>
          </w:tcPr>
          <w:p w14:paraId="0AEE113E">
            <w:pPr>
              <w:rPr>
                <w:color w:val="auto"/>
                <w:lang w:val="en-US" w:eastAsia="zh-CN" w:bidi="ar-SA"/>
              </w:rPr>
            </w:pPr>
          </w:p>
          <w:p w14:paraId="2FF6BA2A">
            <w:pPr>
              <w:pStyle w:val="24"/>
              <w:spacing w:before="68" w:line="219" w:lineRule="auto"/>
              <w:jc w:val="center"/>
              <w:rPr>
                <w:color w:val="auto"/>
                <w:sz w:val="21"/>
                <w:szCs w:val="21"/>
                <w:lang w:val="en-US" w:bidi="ar-SA"/>
              </w:rPr>
            </w:pPr>
            <w:r>
              <w:rPr>
                <w:color w:val="auto"/>
                <w:spacing w:val="-2"/>
                <w:sz w:val="21"/>
                <w:szCs w:val="21"/>
                <w:lang w:val="en-US" w:bidi="ar-SA"/>
              </w:rPr>
              <w:t>物业管理</w:t>
            </w:r>
          </w:p>
        </w:tc>
        <w:tc>
          <w:tcPr>
            <w:tcW w:w="4694" w:type="dxa"/>
            <w:gridSpan w:val="2"/>
            <w:noWrap w:val="0"/>
            <w:vAlign w:val="center"/>
          </w:tcPr>
          <w:p w14:paraId="0F9D3521">
            <w:pPr>
              <w:pStyle w:val="24"/>
              <w:spacing w:before="69" w:line="234" w:lineRule="auto"/>
              <w:ind w:left="0" w:right="8" w:firstLine="0"/>
              <w:jc w:val="center"/>
              <w:rPr>
                <w:color w:val="auto"/>
                <w:sz w:val="21"/>
                <w:szCs w:val="21"/>
                <w:lang w:val="en-US" w:eastAsia="zh-CN" w:bidi="ar-SA"/>
              </w:rPr>
            </w:pPr>
            <w:r>
              <w:rPr>
                <w:color w:val="auto"/>
                <w:spacing w:val="-1"/>
                <w:sz w:val="21"/>
                <w:szCs w:val="21"/>
                <w:lang w:val="en-US" w:eastAsia="zh-CN" w:bidi="ar-SA"/>
              </w:rPr>
              <w:t>做好日常保洁、安保及公共设施设备维护等工作，</w:t>
            </w:r>
            <w:r>
              <w:rPr>
                <w:color w:val="auto"/>
                <w:spacing w:val="15"/>
                <w:sz w:val="21"/>
                <w:szCs w:val="21"/>
                <w:lang w:val="en-US" w:eastAsia="zh-CN" w:bidi="ar-SA"/>
              </w:rPr>
              <w:t xml:space="preserve"> </w:t>
            </w:r>
            <w:r>
              <w:rPr>
                <w:color w:val="auto"/>
                <w:spacing w:val="-1"/>
                <w:sz w:val="21"/>
                <w:szCs w:val="21"/>
                <w:lang w:val="en-US" w:eastAsia="zh-CN" w:bidi="ar-SA"/>
              </w:rPr>
              <w:t>协助做好治安、消防、食品及安全生产管理，不发</w:t>
            </w:r>
            <w:r>
              <w:rPr>
                <w:color w:val="auto"/>
                <w:spacing w:val="5"/>
                <w:sz w:val="21"/>
                <w:szCs w:val="21"/>
                <w:lang w:val="en-US" w:eastAsia="zh-CN" w:bidi="ar-SA"/>
              </w:rPr>
              <w:t>生重大公共安全事故</w:t>
            </w:r>
          </w:p>
        </w:tc>
        <w:tc>
          <w:tcPr>
            <w:tcW w:w="1058" w:type="dxa"/>
            <w:noWrap w:val="0"/>
            <w:vAlign w:val="center"/>
          </w:tcPr>
          <w:p w14:paraId="6EF8941C">
            <w:pPr>
              <w:rPr>
                <w:color w:val="auto"/>
                <w:lang w:val="en-US" w:eastAsia="zh-CN" w:bidi="ar-SA"/>
              </w:rPr>
            </w:pPr>
          </w:p>
          <w:p w14:paraId="1E6C9E8B">
            <w:pPr>
              <w:pStyle w:val="24"/>
              <w:spacing w:before="68"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1ABBF9C3">
            <w:pPr>
              <w:rPr>
                <w:color w:val="auto"/>
                <w:lang w:val="en-US" w:eastAsia="zh-CN" w:bidi="ar-SA"/>
              </w:rPr>
            </w:pPr>
          </w:p>
          <w:p w14:paraId="640975C5">
            <w:pPr>
              <w:pStyle w:val="24"/>
              <w:spacing w:before="68" w:line="183" w:lineRule="auto"/>
              <w:ind w:left="0"/>
              <w:jc w:val="center"/>
              <w:rPr>
                <w:color w:val="auto"/>
                <w:sz w:val="21"/>
                <w:szCs w:val="21"/>
                <w:lang w:val="en-US" w:bidi="ar-SA"/>
              </w:rPr>
            </w:pPr>
            <w:r>
              <w:rPr>
                <w:color w:val="auto"/>
                <w:spacing w:val="-3"/>
                <w:sz w:val="21"/>
                <w:szCs w:val="21"/>
                <w:lang w:val="en-US" w:bidi="ar-SA"/>
              </w:rPr>
              <w:t>20%</w:t>
            </w:r>
          </w:p>
        </w:tc>
        <w:tc>
          <w:tcPr>
            <w:tcW w:w="1045" w:type="dxa"/>
            <w:noWrap w:val="0"/>
            <w:vAlign w:val="center"/>
          </w:tcPr>
          <w:p w14:paraId="69A35C64">
            <w:pPr>
              <w:pStyle w:val="24"/>
              <w:spacing w:before="68" w:line="219" w:lineRule="auto"/>
              <w:ind w:left="0"/>
              <w:jc w:val="center"/>
              <w:rPr>
                <w:color w:val="auto"/>
                <w:sz w:val="21"/>
                <w:szCs w:val="21"/>
                <w:lang w:val="en-US" w:eastAsia="zh-CN" w:bidi="ar-SA"/>
              </w:rPr>
            </w:pPr>
            <w:r>
              <w:rPr>
                <w:color w:val="auto"/>
                <w:spacing w:val="-2"/>
                <w:sz w:val="21"/>
                <w:szCs w:val="21"/>
                <w:lang w:val="en-US" w:eastAsia="zh-CN" w:bidi="ar-SA"/>
              </w:rPr>
              <w:t>物业管理考</w:t>
            </w:r>
            <w:r>
              <w:rPr>
                <w:color w:val="auto"/>
                <w:spacing w:val="2"/>
                <w:sz w:val="21"/>
                <w:szCs w:val="21"/>
                <w:lang w:val="en-US" w:eastAsia="zh-CN" w:bidi="ar-SA"/>
              </w:rPr>
              <w:t>核办法详见</w:t>
            </w:r>
            <w:r>
              <w:rPr>
                <w:rFonts w:hint="eastAsia"/>
                <w:color w:val="auto"/>
                <w:spacing w:val="2"/>
                <w:sz w:val="21"/>
                <w:szCs w:val="21"/>
                <w:lang w:val="en-US" w:eastAsia="zh-CN" w:bidi="ar-SA"/>
              </w:rPr>
              <w:t xml:space="preserve"> </w:t>
            </w:r>
            <w:r>
              <w:rPr>
                <w:color w:val="auto"/>
                <w:spacing w:val="8"/>
                <w:sz w:val="21"/>
                <w:szCs w:val="21"/>
                <w:lang w:val="en-US" w:eastAsia="zh-CN" w:bidi="ar-SA"/>
              </w:rPr>
              <w:t>附表1</w:t>
            </w:r>
          </w:p>
        </w:tc>
      </w:tr>
      <w:tr w14:paraId="566FA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44" w:type="dxa"/>
            <w:noWrap w:val="0"/>
            <w:vAlign w:val="center"/>
          </w:tcPr>
          <w:p w14:paraId="5060686A">
            <w:pPr>
              <w:pStyle w:val="24"/>
              <w:spacing w:before="65" w:line="183" w:lineRule="auto"/>
              <w:ind w:left="0"/>
              <w:jc w:val="center"/>
              <w:rPr>
                <w:rFonts w:hint="default"/>
                <w:color w:val="auto"/>
                <w:sz w:val="21"/>
                <w:szCs w:val="21"/>
                <w:lang w:val="en-US" w:eastAsia="zh-CN" w:bidi="ar-SA"/>
              </w:rPr>
            </w:pPr>
            <w:r>
              <w:rPr>
                <w:rFonts w:hint="eastAsia"/>
                <w:color w:val="auto"/>
                <w:sz w:val="21"/>
                <w:szCs w:val="21"/>
                <w:lang w:val="en-US" w:eastAsia="zh-CN" w:bidi="ar-SA"/>
              </w:rPr>
              <w:t>4</w:t>
            </w:r>
          </w:p>
        </w:tc>
        <w:tc>
          <w:tcPr>
            <w:tcW w:w="1181" w:type="dxa"/>
            <w:noWrap w:val="0"/>
            <w:vAlign w:val="center"/>
          </w:tcPr>
          <w:p w14:paraId="5DB10AA6">
            <w:pPr>
              <w:rPr>
                <w:color w:val="auto"/>
                <w:lang w:val="en-US" w:eastAsia="zh-CN" w:bidi="ar-SA"/>
              </w:rPr>
            </w:pPr>
          </w:p>
          <w:p w14:paraId="57ADAA9D">
            <w:pPr>
              <w:pStyle w:val="24"/>
              <w:spacing w:before="65" w:line="219" w:lineRule="auto"/>
              <w:ind w:left="0"/>
              <w:jc w:val="center"/>
              <w:rPr>
                <w:color w:val="auto"/>
                <w:sz w:val="21"/>
                <w:szCs w:val="21"/>
                <w:lang w:val="en-US" w:bidi="ar-SA"/>
              </w:rPr>
            </w:pPr>
            <w:r>
              <w:rPr>
                <w:color w:val="auto"/>
                <w:spacing w:val="-2"/>
                <w:sz w:val="21"/>
                <w:szCs w:val="21"/>
                <w:lang w:val="en-US" w:bidi="ar-SA"/>
              </w:rPr>
              <w:t>信息化管理</w:t>
            </w:r>
          </w:p>
        </w:tc>
        <w:tc>
          <w:tcPr>
            <w:tcW w:w="4694" w:type="dxa"/>
            <w:gridSpan w:val="2"/>
            <w:noWrap w:val="0"/>
            <w:vAlign w:val="center"/>
          </w:tcPr>
          <w:p w14:paraId="699B2853">
            <w:pPr>
              <w:pStyle w:val="24"/>
              <w:spacing w:before="204" w:line="220" w:lineRule="auto"/>
              <w:ind w:left="0" w:right="79" w:firstLine="0"/>
              <w:jc w:val="center"/>
              <w:rPr>
                <w:color w:val="auto"/>
                <w:sz w:val="21"/>
                <w:szCs w:val="21"/>
                <w:lang w:val="en-US" w:eastAsia="zh-CN" w:bidi="ar-SA"/>
              </w:rPr>
            </w:pPr>
            <w:r>
              <w:rPr>
                <w:color w:val="auto"/>
                <w:spacing w:val="-1"/>
                <w:sz w:val="21"/>
                <w:szCs w:val="21"/>
                <w:lang w:val="en-US" w:eastAsia="zh-CN" w:bidi="ar-SA"/>
              </w:rPr>
              <w:t>对申请入住人员审核，完成配租，并进行实名登记</w:t>
            </w:r>
            <w:r>
              <w:rPr>
                <w:color w:val="auto"/>
                <w:spacing w:val="13"/>
                <w:sz w:val="21"/>
                <w:szCs w:val="21"/>
                <w:lang w:val="en-US" w:eastAsia="zh-CN" w:bidi="ar-SA"/>
              </w:rPr>
              <w:t xml:space="preserve"> </w:t>
            </w:r>
            <w:r>
              <w:rPr>
                <w:color w:val="auto"/>
                <w:spacing w:val="-1"/>
                <w:sz w:val="21"/>
                <w:szCs w:val="21"/>
                <w:lang w:val="en-US" w:eastAsia="zh-CN" w:bidi="ar-SA"/>
              </w:rPr>
              <w:t>等信息化管理：对小程序、APP等线上平台的维运</w:t>
            </w:r>
          </w:p>
        </w:tc>
        <w:tc>
          <w:tcPr>
            <w:tcW w:w="1058" w:type="dxa"/>
            <w:noWrap w:val="0"/>
            <w:vAlign w:val="center"/>
          </w:tcPr>
          <w:p w14:paraId="503EBF9D">
            <w:pPr>
              <w:rPr>
                <w:color w:val="auto"/>
                <w:lang w:val="en-US" w:eastAsia="zh-CN" w:bidi="ar-SA"/>
              </w:rPr>
            </w:pPr>
          </w:p>
          <w:p w14:paraId="4CB80515">
            <w:pPr>
              <w:pStyle w:val="24"/>
              <w:spacing w:before="65"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054CE964">
            <w:pPr>
              <w:rPr>
                <w:color w:val="auto"/>
                <w:lang w:val="en-US" w:eastAsia="zh-CN" w:bidi="ar-SA"/>
              </w:rPr>
            </w:pPr>
          </w:p>
          <w:p w14:paraId="147FEE93">
            <w:pPr>
              <w:pStyle w:val="24"/>
              <w:spacing w:before="65" w:line="184" w:lineRule="auto"/>
              <w:ind w:left="0"/>
              <w:jc w:val="center"/>
              <w:rPr>
                <w:color w:val="auto"/>
                <w:sz w:val="21"/>
                <w:szCs w:val="21"/>
                <w:lang w:val="en-US" w:bidi="ar-SA"/>
              </w:rPr>
            </w:pPr>
            <w:r>
              <w:rPr>
                <w:rFonts w:hint="eastAsia"/>
                <w:color w:val="auto"/>
                <w:spacing w:val="-6"/>
                <w:sz w:val="21"/>
                <w:szCs w:val="21"/>
                <w:lang w:val="en-US" w:eastAsia="zh-CN" w:bidi="ar-SA"/>
              </w:rPr>
              <w:t>5</w:t>
            </w:r>
            <w:r>
              <w:rPr>
                <w:color w:val="auto"/>
                <w:spacing w:val="-6"/>
                <w:sz w:val="21"/>
                <w:szCs w:val="21"/>
                <w:lang w:val="en-US" w:bidi="ar-SA"/>
              </w:rPr>
              <w:t>%</w:t>
            </w:r>
          </w:p>
        </w:tc>
        <w:tc>
          <w:tcPr>
            <w:tcW w:w="1045" w:type="dxa"/>
            <w:noWrap w:val="0"/>
            <w:vAlign w:val="center"/>
          </w:tcPr>
          <w:p w14:paraId="33BD8951">
            <w:pPr>
              <w:jc w:val="center"/>
              <w:rPr>
                <w:rFonts w:ascii="Arial"/>
                <w:color w:val="auto"/>
                <w:sz w:val="21"/>
                <w:szCs w:val="21"/>
                <w:lang w:val="en-US" w:eastAsia="zh-CN" w:bidi="ar-SA"/>
              </w:rPr>
            </w:pPr>
          </w:p>
        </w:tc>
      </w:tr>
      <w:tr w14:paraId="0977F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44" w:type="dxa"/>
            <w:noWrap w:val="0"/>
            <w:vAlign w:val="center"/>
          </w:tcPr>
          <w:p w14:paraId="0CCA7753">
            <w:pPr>
              <w:pStyle w:val="24"/>
              <w:spacing w:before="202" w:line="182" w:lineRule="auto"/>
              <w:ind w:left="0"/>
              <w:jc w:val="center"/>
              <w:rPr>
                <w:color w:val="auto"/>
                <w:sz w:val="21"/>
                <w:szCs w:val="21"/>
                <w:lang w:val="en-US" w:bidi="ar-SA"/>
              </w:rPr>
            </w:pPr>
            <w:r>
              <w:rPr>
                <w:color w:val="auto"/>
                <w:sz w:val="21"/>
                <w:szCs w:val="21"/>
                <w:lang w:val="en-US" w:bidi="ar-SA"/>
              </w:rPr>
              <w:t>5</w:t>
            </w:r>
          </w:p>
        </w:tc>
        <w:tc>
          <w:tcPr>
            <w:tcW w:w="1181" w:type="dxa"/>
            <w:noWrap w:val="0"/>
            <w:vAlign w:val="center"/>
          </w:tcPr>
          <w:p w14:paraId="5F899F57">
            <w:pPr>
              <w:pStyle w:val="24"/>
              <w:spacing w:before="149" w:line="219" w:lineRule="auto"/>
              <w:ind w:left="0"/>
              <w:jc w:val="center"/>
              <w:rPr>
                <w:color w:val="auto"/>
                <w:sz w:val="21"/>
                <w:szCs w:val="21"/>
                <w:lang w:val="en-US" w:bidi="ar-SA"/>
              </w:rPr>
            </w:pPr>
            <w:r>
              <w:rPr>
                <w:color w:val="auto"/>
                <w:spacing w:val="1"/>
                <w:sz w:val="21"/>
                <w:szCs w:val="21"/>
                <w:lang w:val="en-US" w:bidi="ar-SA"/>
              </w:rPr>
              <w:t>员工管理</w:t>
            </w:r>
          </w:p>
        </w:tc>
        <w:tc>
          <w:tcPr>
            <w:tcW w:w="4694" w:type="dxa"/>
            <w:gridSpan w:val="2"/>
            <w:noWrap w:val="0"/>
            <w:vAlign w:val="center"/>
          </w:tcPr>
          <w:p w14:paraId="769BDCE0">
            <w:pPr>
              <w:pStyle w:val="24"/>
              <w:spacing w:before="149" w:line="219" w:lineRule="auto"/>
              <w:ind w:left="0"/>
              <w:jc w:val="center"/>
              <w:rPr>
                <w:color w:val="auto"/>
                <w:sz w:val="21"/>
                <w:szCs w:val="21"/>
                <w:lang w:val="en-US" w:eastAsia="zh-CN" w:bidi="ar-SA"/>
              </w:rPr>
            </w:pPr>
            <w:r>
              <w:rPr>
                <w:color w:val="auto"/>
                <w:spacing w:val="-1"/>
                <w:sz w:val="21"/>
                <w:szCs w:val="21"/>
                <w:lang w:val="en-US" w:eastAsia="zh-CN" w:bidi="ar-SA"/>
              </w:rPr>
              <w:t>服务质量好、服务团队稳定，公租房整体形象提升</w:t>
            </w:r>
          </w:p>
        </w:tc>
        <w:tc>
          <w:tcPr>
            <w:tcW w:w="1058" w:type="dxa"/>
            <w:noWrap w:val="0"/>
            <w:vAlign w:val="center"/>
          </w:tcPr>
          <w:p w14:paraId="7CE291BF">
            <w:pPr>
              <w:pStyle w:val="24"/>
              <w:spacing w:before="199"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78859845">
            <w:pPr>
              <w:pStyle w:val="24"/>
              <w:spacing w:before="200" w:line="183" w:lineRule="auto"/>
              <w:jc w:val="center"/>
              <w:rPr>
                <w:color w:val="auto"/>
                <w:sz w:val="21"/>
                <w:szCs w:val="21"/>
                <w:lang w:val="en-US" w:bidi="ar-SA"/>
              </w:rPr>
            </w:pPr>
            <w:r>
              <w:rPr>
                <w:rFonts w:hint="eastAsia"/>
                <w:color w:val="auto"/>
                <w:spacing w:val="-3"/>
                <w:sz w:val="21"/>
                <w:szCs w:val="21"/>
                <w:lang w:val="en-US" w:eastAsia="zh-CN" w:bidi="ar-SA"/>
              </w:rPr>
              <w:t>10</w:t>
            </w:r>
            <w:r>
              <w:rPr>
                <w:color w:val="auto"/>
                <w:spacing w:val="-3"/>
                <w:sz w:val="21"/>
                <w:szCs w:val="21"/>
                <w:lang w:val="en-US" w:bidi="ar-SA"/>
              </w:rPr>
              <w:t>%</w:t>
            </w:r>
          </w:p>
        </w:tc>
        <w:tc>
          <w:tcPr>
            <w:tcW w:w="1045" w:type="dxa"/>
            <w:noWrap w:val="0"/>
            <w:vAlign w:val="center"/>
          </w:tcPr>
          <w:p w14:paraId="17A3D13C">
            <w:pPr>
              <w:jc w:val="center"/>
              <w:rPr>
                <w:rFonts w:ascii="Arial"/>
                <w:color w:val="auto"/>
                <w:sz w:val="21"/>
                <w:szCs w:val="21"/>
                <w:lang w:val="en-US" w:eastAsia="zh-CN" w:bidi="ar-SA"/>
              </w:rPr>
            </w:pPr>
          </w:p>
        </w:tc>
      </w:tr>
      <w:tr w14:paraId="68880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644" w:type="dxa"/>
            <w:noWrap w:val="0"/>
            <w:vAlign w:val="center"/>
          </w:tcPr>
          <w:p w14:paraId="491A9473">
            <w:pPr>
              <w:rPr>
                <w:color w:val="auto"/>
                <w:lang w:val="en-US" w:eastAsia="zh-CN" w:bidi="ar-SA"/>
              </w:rPr>
            </w:pPr>
          </w:p>
          <w:p w14:paraId="7E2C1509">
            <w:pPr>
              <w:pStyle w:val="24"/>
              <w:spacing w:before="65" w:line="183" w:lineRule="auto"/>
              <w:ind w:left="0"/>
              <w:jc w:val="center"/>
              <w:rPr>
                <w:color w:val="auto"/>
                <w:sz w:val="21"/>
                <w:szCs w:val="21"/>
                <w:lang w:val="en-US" w:bidi="ar-SA"/>
              </w:rPr>
            </w:pPr>
            <w:r>
              <w:rPr>
                <w:color w:val="auto"/>
                <w:sz w:val="21"/>
                <w:szCs w:val="21"/>
                <w:lang w:val="en-US" w:bidi="ar-SA"/>
              </w:rPr>
              <w:t>6</w:t>
            </w:r>
          </w:p>
        </w:tc>
        <w:tc>
          <w:tcPr>
            <w:tcW w:w="1181" w:type="dxa"/>
            <w:noWrap w:val="0"/>
            <w:vAlign w:val="center"/>
          </w:tcPr>
          <w:p w14:paraId="1C1B9579">
            <w:pPr>
              <w:pStyle w:val="24"/>
              <w:spacing w:before="289" w:line="219" w:lineRule="auto"/>
              <w:ind w:left="0"/>
              <w:jc w:val="center"/>
              <w:rPr>
                <w:color w:val="auto"/>
                <w:sz w:val="21"/>
                <w:szCs w:val="21"/>
                <w:lang w:val="en-US" w:bidi="ar-SA"/>
              </w:rPr>
            </w:pPr>
            <w:r>
              <w:rPr>
                <w:color w:val="auto"/>
                <w:spacing w:val="3"/>
                <w:sz w:val="21"/>
                <w:szCs w:val="21"/>
                <w:lang w:val="en-US" w:bidi="ar-SA"/>
              </w:rPr>
              <w:t>社群活动</w:t>
            </w:r>
          </w:p>
        </w:tc>
        <w:tc>
          <w:tcPr>
            <w:tcW w:w="4694" w:type="dxa"/>
            <w:gridSpan w:val="2"/>
            <w:noWrap w:val="0"/>
            <w:vAlign w:val="center"/>
          </w:tcPr>
          <w:p w14:paraId="157D0836">
            <w:pPr>
              <w:pStyle w:val="24"/>
              <w:spacing w:before="37" w:line="222" w:lineRule="auto"/>
              <w:ind w:left="0" w:right="94"/>
              <w:jc w:val="center"/>
              <w:rPr>
                <w:color w:val="auto"/>
                <w:sz w:val="21"/>
                <w:szCs w:val="21"/>
                <w:lang w:val="en-US" w:eastAsia="zh-CN" w:bidi="ar-SA"/>
              </w:rPr>
            </w:pPr>
            <w:r>
              <w:rPr>
                <w:color w:val="auto"/>
                <w:sz w:val="21"/>
                <w:szCs w:val="21"/>
                <w:lang w:val="en-US" w:eastAsia="zh-CN" w:bidi="ar-SA"/>
              </w:rPr>
              <w:t>定期组织策划社群团建、孵化创业交流等活动，并</w:t>
            </w:r>
            <w:r>
              <w:rPr>
                <w:color w:val="auto"/>
                <w:spacing w:val="-1"/>
                <w:sz w:val="21"/>
                <w:szCs w:val="21"/>
                <w:lang w:val="en-US" w:eastAsia="zh-CN" w:bidi="ar-SA"/>
              </w:rPr>
              <w:t>做好宣传，实现周周有活动、月月有主题、季季有亮点，增强社群粘性和杜群文化</w:t>
            </w:r>
          </w:p>
        </w:tc>
        <w:tc>
          <w:tcPr>
            <w:tcW w:w="1058" w:type="dxa"/>
            <w:noWrap w:val="0"/>
            <w:vAlign w:val="center"/>
          </w:tcPr>
          <w:p w14:paraId="0E5652B3">
            <w:pPr>
              <w:rPr>
                <w:color w:val="auto"/>
                <w:lang w:val="en-US" w:eastAsia="zh-CN" w:bidi="ar-SA"/>
              </w:rPr>
            </w:pPr>
          </w:p>
          <w:p w14:paraId="3D77D0CD">
            <w:pPr>
              <w:pStyle w:val="24"/>
              <w:spacing w:before="65"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67EDF662">
            <w:pPr>
              <w:rPr>
                <w:color w:val="auto"/>
                <w:lang w:val="en-US" w:eastAsia="zh-CN" w:bidi="ar-SA"/>
              </w:rPr>
            </w:pPr>
          </w:p>
          <w:p w14:paraId="1EDCF554">
            <w:pPr>
              <w:pStyle w:val="24"/>
              <w:spacing w:before="65" w:line="184" w:lineRule="auto"/>
              <w:ind w:left="0"/>
              <w:jc w:val="center"/>
              <w:rPr>
                <w:color w:val="auto"/>
                <w:sz w:val="21"/>
                <w:szCs w:val="21"/>
                <w:lang w:val="en-US" w:bidi="ar-SA"/>
              </w:rPr>
            </w:pPr>
            <w:r>
              <w:rPr>
                <w:rFonts w:hint="eastAsia"/>
                <w:color w:val="auto"/>
                <w:spacing w:val="-6"/>
                <w:sz w:val="21"/>
                <w:szCs w:val="21"/>
                <w:lang w:val="en-US" w:eastAsia="zh-CN" w:bidi="ar-SA"/>
              </w:rPr>
              <w:t>15</w:t>
            </w:r>
            <w:r>
              <w:rPr>
                <w:color w:val="auto"/>
                <w:spacing w:val="-6"/>
                <w:sz w:val="21"/>
                <w:szCs w:val="21"/>
                <w:lang w:val="en-US" w:bidi="ar-SA"/>
              </w:rPr>
              <w:t>%</w:t>
            </w:r>
          </w:p>
        </w:tc>
        <w:tc>
          <w:tcPr>
            <w:tcW w:w="1045" w:type="dxa"/>
            <w:noWrap w:val="0"/>
            <w:vAlign w:val="center"/>
          </w:tcPr>
          <w:p w14:paraId="49B01B28">
            <w:pPr>
              <w:jc w:val="center"/>
              <w:rPr>
                <w:rFonts w:ascii="Arial"/>
                <w:color w:val="auto"/>
                <w:sz w:val="21"/>
                <w:szCs w:val="21"/>
                <w:lang w:val="en-US" w:eastAsia="zh-CN" w:bidi="ar-SA"/>
              </w:rPr>
            </w:pPr>
          </w:p>
        </w:tc>
      </w:tr>
      <w:tr w14:paraId="0B35F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44" w:type="dxa"/>
            <w:noWrap w:val="0"/>
            <w:vAlign w:val="center"/>
          </w:tcPr>
          <w:p w14:paraId="0D67A2E1">
            <w:pPr>
              <w:pStyle w:val="24"/>
              <w:spacing w:before="212" w:line="182" w:lineRule="auto"/>
              <w:ind w:left="0"/>
              <w:jc w:val="center"/>
              <w:rPr>
                <w:color w:val="auto"/>
                <w:sz w:val="21"/>
                <w:szCs w:val="21"/>
                <w:lang w:val="en-US" w:bidi="ar-SA"/>
              </w:rPr>
            </w:pPr>
            <w:r>
              <w:rPr>
                <w:color w:val="auto"/>
                <w:sz w:val="21"/>
                <w:szCs w:val="21"/>
                <w:lang w:val="en-US" w:bidi="ar-SA"/>
              </w:rPr>
              <w:t>7</w:t>
            </w:r>
          </w:p>
        </w:tc>
        <w:tc>
          <w:tcPr>
            <w:tcW w:w="1181" w:type="dxa"/>
            <w:noWrap w:val="0"/>
            <w:vAlign w:val="center"/>
          </w:tcPr>
          <w:p w14:paraId="13B338E1">
            <w:pPr>
              <w:pStyle w:val="24"/>
              <w:spacing w:before="160" w:line="220" w:lineRule="auto"/>
              <w:ind w:left="0"/>
              <w:jc w:val="center"/>
              <w:rPr>
                <w:color w:val="auto"/>
                <w:sz w:val="21"/>
                <w:szCs w:val="21"/>
                <w:lang w:val="en-US" w:bidi="ar-SA"/>
              </w:rPr>
            </w:pPr>
            <w:r>
              <w:rPr>
                <w:color w:val="auto"/>
                <w:spacing w:val="3"/>
                <w:sz w:val="21"/>
                <w:szCs w:val="21"/>
                <w:lang w:val="en-US" w:bidi="ar-SA"/>
              </w:rPr>
              <w:t>宣发推广</w:t>
            </w:r>
          </w:p>
        </w:tc>
        <w:tc>
          <w:tcPr>
            <w:tcW w:w="4694" w:type="dxa"/>
            <w:gridSpan w:val="2"/>
            <w:noWrap w:val="0"/>
            <w:vAlign w:val="center"/>
          </w:tcPr>
          <w:p w14:paraId="31580486">
            <w:pPr>
              <w:pStyle w:val="24"/>
              <w:spacing w:before="30" w:line="221" w:lineRule="auto"/>
              <w:ind w:left="0" w:right="89" w:firstLine="0"/>
              <w:jc w:val="center"/>
              <w:rPr>
                <w:color w:val="auto"/>
                <w:sz w:val="21"/>
                <w:szCs w:val="21"/>
                <w:lang w:val="en-US" w:eastAsia="zh-CN" w:bidi="ar-SA"/>
              </w:rPr>
            </w:pPr>
            <w:r>
              <w:rPr>
                <w:color w:val="auto"/>
                <w:spacing w:val="-1"/>
                <w:sz w:val="21"/>
                <w:szCs w:val="21"/>
                <w:lang w:val="en-US" w:eastAsia="zh-CN" w:bidi="ar-SA"/>
              </w:rPr>
              <w:t>及时做好两微一抖等新媒体平台维运，制作更新宣</w:t>
            </w:r>
            <w:r>
              <w:rPr>
                <w:color w:val="auto"/>
                <w:sz w:val="21"/>
                <w:szCs w:val="21"/>
                <w:lang w:val="en-US" w:eastAsia="zh-CN" w:bidi="ar-SA"/>
              </w:rPr>
              <w:t>传视频、宣传平面等，不断提升影响力、传播力</w:t>
            </w:r>
            <w:r>
              <w:rPr>
                <w:rFonts w:hint="eastAsia"/>
                <w:color w:val="auto"/>
                <w:sz w:val="21"/>
                <w:szCs w:val="21"/>
                <w:lang w:val="en-US" w:eastAsia="zh-CN" w:bidi="ar-SA"/>
              </w:rPr>
              <w:t>，每月报送采购人一篇信息通报</w:t>
            </w:r>
          </w:p>
        </w:tc>
        <w:tc>
          <w:tcPr>
            <w:tcW w:w="1058" w:type="dxa"/>
            <w:noWrap w:val="0"/>
            <w:vAlign w:val="center"/>
          </w:tcPr>
          <w:p w14:paraId="5C01EB1D">
            <w:pPr>
              <w:pStyle w:val="24"/>
              <w:spacing w:before="210"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549F9822">
            <w:pPr>
              <w:pStyle w:val="24"/>
              <w:spacing w:before="210" w:line="184" w:lineRule="auto"/>
              <w:ind w:left="0"/>
              <w:jc w:val="center"/>
              <w:rPr>
                <w:color w:val="auto"/>
                <w:sz w:val="21"/>
                <w:szCs w:val="21"/>
                <w:lang w:val="en-US" w:bidi="ar-SA"/>
              </w:rPr>
            </w:pPr>
            <w:r>
              <w:rPr>
                <w:color w:val="auto"/>
                <w:spacing w:val="-6"/>
                <w:sz w:val="21"/>
                <w:szCs w:val="21"/>
                <w:lang w:val="en-US" w:bidi="ar-SA"/>
              </w:rPr>
              <w:t>10%</w:t>
            </w:r>
          </w:p>
        </w:tc>
        <w:tc>
          <w:tcPr>
            <w:tcW w:w="1045" w:type="dxa"/>
            <w:noWrap w:val="0"/>
            <w:vAlign w:val="center"/>
          </w:tcPr>
          <w:p w14:paraId="45FF91D6">
            <w:pPr>
              <w:jc w:val="center"/>
              <w:rPr>
                <w:rFonts w:ascii="Arial"/>
                <w:color w:val="auto"/>
                <w:sz w:val="21"/>
                <w:szCs w:val="21"/>
                <w:lang w:val="en-US" w:eastAsia="zh-CN" w:bidi="ar-SA"/>
              </w:rPr>
            </w:pPr>
          </w:p>
        </w:tc>
      </w:tr>
      <w:tr w14:paraId="7FCF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44" w:type="dxa"/>
            <w:noWrap w:val="0"/>
            <w:vAlign w:val="center"/>
          </w:tcPr>
          <w:p w14:paraId="0D31D2B1">
            <w:pPr>
              <w:pStyle w:val="24"/>
              <w:spacing w:before="212" w:line="182" w:lineRule="auto"/>
              <w:ind w:left="0"/>
              <w:jc w:val="center"/>
              <w:rPr>
                <w:rFonts w:hint="eastAsia" w:eastAsia="宋体"/>
                <w:color w:val="auto"/>
                <w:sz w:val="21"/>
                <w:szCs w:val="21"/>
                <w:lang w:val="en-US" w:eastAsia="zh-CN" w:bidi="ar-SA"/>
              </w:rPr>
            </w:pPr>
            <w:r>
              <w:rPr>
                <w:rFonts w:hint="eastAsia"/>
                <w:color w:val="auto"/>
                <w:sz w:val="21"/>
                <w:szCs w:val="21"/>
                <w:lang w:val="en-US" w:eastAsia="zh-CN" w:bidi="ar-SA"/>
              </w:rPr>
              <w:t>8</w:t>
            </w:r>
          </w:p>
        </w:tc>
        <w:tc>
          <w:tcPr>
            <w:tcW w:w="1181" w:type="dxa"/>
            <w:noWrap w:val="0"/>
            <w:vAlign w:val="center"/>
          </w:tcPr>
          <w:p w14:paraId="7BB9966C">
            <w:pPr>
              <w:pStyle w:val="24"/>
              <w:spacing w:before="160" w:line="220" w:lineRule="auto"/>
              <w:ind w:left="0"/>
              <w:jc w:val="center"/>
              <w:rPr>
                <w:color w:val="auto"/>
                <w:spacing w:val="3"/>
                <w:sz w:val="21"/>
                <w:szCs w:val="21"/>
                <w:lang w:val="en-US" w:bidi="ar-SA"/>
              </w:rPr>
            </w:pPr>
            <w:r>
              <w:rPr>
                <w:rFonts w:hint="eastAsia"/>
                <w:color w:val="auto"/>
                <w:spacing w:val="3"/>
                <w:sz w:val="21"/>
                <w:szCs w:val="21"/>
                <w:lang w:val="en-US" w:bidi="ar-SA"/>
              </w:rPr>
              <w:t>监督意见</w:t>
            </w:r>
          </w:p>
        </w:tc>
        <w:tc>
          <w:tcPr>
            <w:tcW w:w="4694" w:type="dxa"/>
            <w:gridSpan w:val="2"/>
            <w:noWrap w:val="0"/>
            <w:vAlign w:val="center"/>
          </w:tcPr>
          <w:p w14:paraId="43F38531">
            <w:pPr>
              <w:pStyle w:val="24"/>
              <w:spacing w:before="30" w:line="221" w:lineRule="auto"/>
              <w:ind w:left="0" w:right="89" w:firstLine="0"/>
              <w:jc w:val="both"/>
              <w:rPr>
                <w:color w:val="auto"/>
                <w:spacing w:val="-1"/>
                <w:sz w:val="21"/>
                <w:szCs w:val="21"/>
                <w:lang w:val="en-US" w:eastAsia="zh-CN" w:bidi="ar-SA"/>
              </w:rPr>
            </w:pPr>
            <w:r>
              <w:rPr>
                <w:rFonts w:hint="eastAsia"/>
                <w:color w:val="auto"/>
                <w:spacing w:val="-1"/>
                <w:sz w:val="21"/>
                <w:szCs w:val="21"/>
                <w:lang w:val="en-US" w:eastAsia="zh-CN" w:bidi="ar-SA"/>
              </w:rPr>
              <w:t>对业主代表提出的监督意见建议应当予以书面反馈并及时整改</w:t>
            </w:r>
          </w:p>
        </w:tc>
        <w:tc>
          <w:tcPr>
            <w:tcW w:w="1058" w:type="dxa"/>
            <w:noWrap w:val="0"/>
            <w:vAlign w:val="center"/>
          </w:tcPr>
          <w:p w14:paraId="73F4E775">
            <w:pPr>
              <w:pStyle w:val="24"/>
              <w:spacing w:before="210" w:line="184" w:lineRule="auto"/>
              <w:ind w:left="0"/>
              <w:jc w:val="center"/>
              <w:rPr>
                <w:rFonts w:hint="default" w:eastAsia="宋体"/>
                <w:color w:val="auto"/>
                <w:spacing w:val="-2"/>
                <w:sz w:val="21"/>
                <w:szCs w:val="21"/>
                <w:lang w:val="en-US" w:eastAsia="zh-CN" w:bidi="ar-SA"/>
              </w:rPr>
            </w:pPr>
            <w:r>
              <w:rPr>
                <w:rFonts w:hint="eastAsia"/>
                <w:color w:val="auto"/>
                <w:spacing w:val="-2"/>
                <w:sz w:val="21"/>
                <w:szCs w:val="21"/>
                <w:lang w:val="en-US" w:eastAsia="zh-CN" w:bidi="ar-SA"/>
              </w:rPr>
              <w:t>0-100</w:t>
            </w:r>
          </w:p>
        </w:tc>
        <w:tc>
          <w:tcPr>
            <w:tcW w:w="607" w:type="dxa"/>
            <w:noWrap w:val="0"/>
            <w:vAlign w:val="center"/>
          </w:tcPr>
          <w:p w14:paraId="52C44594">
            <w:pPr>
              <w:pStyle w:val="24"/>
              <w:spacing w:before="210" w:line="184" w:lineRule="auto"/>
              <w:ind w:left="0"/>
              <w:jc w:val="center"/>
              <w:rPr>
                <w:rFonts w:hint="default" w:eastAsia="宋体"/>
                <w:color w:val="auto"/>
                <w:spacing w:val="-6"/>
                <w:sz w:val="21"/>
                <w:szCs w:val="21"/>
                <w:lang w:val="en-US" w:eastAsia="zh-CN" w:bidi="ar-SA"/>
              </w:rPr>
            </w:pPr>
            <w:r>
              <w:rPr>
                <w:rFonts w:hint="eastAsia"/>
                <w:color w:val="auto"/>
                <w:spacing w:val="-6"/>
                <w:sz w:val="21"/>
                <w:szCs w:val="21"/>
                <w:lang w:val="en-US" w:eastAsia="zh-CN" w:bidi="ar-SA"/>
              </w:rPr>
              <w:t>10%</w:t>
            </w:r>
          </w:p>
        </w:tc>
        <w:tc>
          <w:tcPr>
            <w:tcW w:w="1045" w:type="dxa"/>
            <w:noWrap w:val="0"/>
            <w:vAlign w:val="center"/>
          </w:tcPr>
          <w:p w14:paraId="7DD539E2">
            <w:pPr>
              <w:jc w:val="center"/>
              <w:rPr>
                <w:rFonts w:ascii="Arial"/>
                <w:color w:val="auto"/>
                <w:sz w:val="21"/>
                <w:szCs w:val="21"/>
                <w:lang w:val="en-US" w:eastAsia="zh-CN" w:bidi="ar-SA"/>
              </w:rPr>
            </w:pPr>
          </w:p>
        </w:tc>
      </w:tr>
      <w:tr w14:paraId="6C21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644" w:type="dxa"/>
            <w:noWrap w:val="0"/>
            <w:vAlign w:val="center"/>
          </w:tcPr>
          <w:p w14:paraId="359CF72B">
            <w:pPr>
              <w:pStyle w:val="24"/>
              <w:spacing w:before="223" w:line="183" w:lineRule="auto"/>
              <w:ind w:left="0"/>
              <w:jc w:val="center"/>
              <w:rPr>
                <w:rFonts w:hint="eastAsia"/>
                <w:color w:val="auto"/>
                <w:sz w:val="21"/>
                <w:szCs w:val="21"/>
                <w:lang w:val="en-US" w:eastAsia="zh-CN" w:bidi="ar-SA"/>
              </w:rPr>
            </w:pPr>
            <w:r>
              <w:rPr>
                <w:rFonts w:hint="eastAsia"/>
                <w:color w:val="auto"/>
                <w:sz w:val="21"/>
                <w:szCs w:val="21"/>
                <w:lang w:val="en-US" w:eastAsia="zh-CN" w:bidi="ar-SA"/>
              </w:rPr>
              <w:t>9</w:t>
            </w:r>
          </w:p>
        </w:tc>
        <w:tc>
          <w:tcPr>
            <w:tcW w:w="1181" w:type="dxa"/>
            <w:noWrap w:val="0"/>
            <w:vAlign w:val="center"/>
          </w:tcPr>
          <w:p w14:paraId="20E64F04">
            <w:pPr>
              <w:pStyle w:val="24"/>
              <w:spacing w:before="53" w:line="214" w:lineRule="auto"/>
              <w:ind w:left="0" w:right="127" w:firstLine="0"/>
              <w:jc w:val="center"/>
              <w:rPr>
                <w:color w:val="auto"/>
                <w:sz w:val="21"/>
                <w:szCs w:val="21"/>
                <w:lang w:val="en-US" w:bidi="ar-SA"/>
              </w:rPr>
            </w:pPr>
            <w:r>
              <w:rPr>
                <w:color w:val="auto"/>
                <w:spacing w:val="-2"/>
                <w:sz w:val="21"/>
                <w:szCs w:val="21"/>
                <w:lang w:val="en-US" w:bidi="ar-SA"/>
              </w:rPr>
              <w:t>用户满意度评</w:t>
            </w:r>
            <w:r>
              <w:rPr>
                <w:color w:val="auto"/>
                <w:sz w:val="21"/>
                <w:szCs w:val="21"/>
                <w:lang w:val="en-US" w:bidi="ar-SA"/>
              </w:rPr>
              <w:t>价</w:t>
            </w:r>
          </w:p>
        </w:tc>
        <w:tc>
          <w:tcPr>
            <w:tcW w:w="4694" w:type="dxa"/>
            <w:gridSpan w:val="2"/>
            <w:noWrap w:val="0"/>
            <w:vAlign w:val="center"/>
          </w:tcPr>
          <w:p w14:paraId="29EF87E0">
            <w:pPr>
              <w:pStyle w:val="24"/>
              <w:spacing w:before="172" w:line="219" w:lineRule="auto"/>
              <w:ind w:left="0"/>
              <w:jc w:val="center"/>
              <w:rPr>
                <w:color w:val="auto"/>
                <w:sz w:val="21"/>
                <w:szCs w:val="21"/>
                <w:lang w:val="en-US" w:eastAsia="zh-CN" w:bidi="ar-SA"/>
              </w:rPr>
            </w:pPr>
            <w:r>
              <w:rPr>
                <w:color w:val="auto"/>
                <w:spacing w:val="-1"/>
                <w:sz w:val="21"/>
                <w:szCs w:val="21"/>
                <w:lang w:val="en-US" w:eastAsia="zh-CN" w:bidi="ar-SA"/>
              </w:rPr>
              <w:t>用户对物业、安保、环境等各方面进行综合评分</w:t>
            </w:r>
          </w:p>
        </w:tc>
        <w:tc>
          <w:tcPr>
            <w:tcW w:w="1058" w:type="dxa"/>
            <w:noWrap w:val="0"/>
            <w:vAlign w:val="center"/>
          </w:tcPr>
          <w:p w14:paraId="2B472156">
            <w:pPr>
              <w:pStyle w:val="24"/>
              <w:spacing w:before="222" w:line="184" w:lineRule="auto"/>
              <w:ind w:left="0"/>
              <w:jc w:val="center"/>
              <w:rPr>
                <w:color w:val="auto"/>
                <w:sz w:val="21"/>
                <w:szCs w:val="21"/>
                <w:lang w:val="en-US" w:bidi="ar-SA"/>
              </w:rPr>
            </w:pPr>
            <w:r>
              <w:rPr>
                <w:color w:val="auto"/>
                <w:spacing w:val="-2"/>
                <w:sz w:val="21"/>
                <w:szCs w:val="21"/>
                <w:lang w:val="en-US" w:bidi="ar-SA"/>
              </w:rPr>
              <w:t>0-100</w:t>
            </w:r>
          </w:p>
        </w:tc>
        <w:tc>
          <w:tcPr>
            <w:tcW w:w="607" w:type="dxa"/>
            <w:noWrap w:val="0"/>
            <w:vAlign w:val="center"/>
          </w:tcPr>
          <w:p w14:paraId="4FB69E50">
            <w:pPr>
              <w:pStyle w:val="24"/>
              <w:spacing w:before="222" w:line="184" w:lineRule="auto"/>
              <w:ind w:left="0"/>
              <w:jc w:val="center"/>
              <w:rPr>
                <w:color w:val="auto"/>
                <w:sz w:val="21"/>
                <w:szCs w:val="21"/>
                <w:lang w:val="en-US" w:bidi="ar-SA"/>
              </w:rPr>
            </w:pPr>
            <w:r>
              <w:rPr>
                <w:color w:val="auto"/>
                <w:spacing w:val="-6"/>
                <w:sz w:val="21"/>
                <w:szCs w:val="21"/>
                <w:lang w:val="en-US" w:bidi="ar-SA"/>
              </w:rPr>
              <w:t>10%</w:t>
            </w:r>
          </w:p>
        </w:tc>
        <w:tc>
          <w:tcPr>
            <w:tcW w:w="1045" w:type="dxa"/>
            <w:noWrap w:val="0"/>
            <w:vAlign w:val="center"/>
          </w:tcPr>
          <w:p w14:paraId="0AA35545">
            <w:pPr>
              <w:jc w:val="center"/>
              <w:rPr>
                <w:rFonts w:ascii="Arial"/>
                <w:color w:val="auto"/>
                <w:sz w:val="21"/>
                <w:szCs w:val="21"/>
                <w:lang w:val="en-US" w:eastAsia="zh-CN" w:bidi="ar-SA"/>
              </w:rPr>
            </w:pPr>
          </w:p>
        </w:tc>
      </w:tr>
      <w:tr w14:paraId="0DB82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44" w:type="dxa"/>
            <w:noWrap w:val="0"/>
            <w:vAlign w:val="center"/>
          </w:tcPr>
          <w:p w14:paraId="42B9D1A1">
            <w:pPr>
              <w:pStyle w:val="24"/>
              <w:spacing w:before="223" w:line="184" w:lineRule="auto"/>
              <w:ind w:left="0"/>
              <w:jc w:val="center"/>
              <w:rPr>
                <w:rFonts w:hint="default"/>
                <w:color w:val="auto"/>
                <w:sz w:val="21"/>
                <w:szCs w:val="21"/>
                <w:lang w:val="en-US" w:eastAsia="zh-CN" w:bidi="ar-SA"/>
              </w:rPr>
            </w:pPr>
            <w:r>
              <w:rPr>
                <w:rFonts w:hint="eastAsia"/>
                <w:color w:val="auto"/>
                <w:spacing w:val="-6"/>
                <w:sz w:val="21"/>
                <w:szCs w:val="21"/>
                <w:lang w:val="en-US" w:eastAsia="zh-CN" w:bidi="ar-SA"/>
              </w:rPr>
              <w:t>10</w:t>
            </w:r>
          </w:p>
        </w:tc>
        <w:tc>
          <w:tcPr>
            <w:tcW w:w="1181" w:type="dxa"/>
            <w:noWrap w:val="0"/>
            <w:vAlign w:val="center"/>
          </w:tcPr>
          <w:p w14:paraId="1CC0EFBE">
            <w:pPr>
              <w:pStyle w:val="24"/>
              <w:spacing w:before="173" w:line="220" w:lineRule="auto"/>
              <w:ind w:left="0"/>
              <w:jc w:val="center"/>
              <w:rPr>
                <w:color w:val="auto"/>
                <w:sz w:val="21"/>
                <w:szCs w:val="21"/>
                <w:lang w:val="en-US" w:bidi="ar-SA"/>
              </w:rPr>
            </w:pPr>
            <w:r>
              <w:rPr>
                <w:color w:val="auto"/>
                <w:spacing w:val="4"/>
                <w:sz w:val="21"/>
                <w:szCs w:val="21"/>
                <w:lang w:val="en-US" w:bidi="ar-SA"/>
              </w:rPr>
              <w:t>加分项</w:t>
            </w:r>
          </w:p>
        </w:tc>
        <w:tc>
          <w:tcPr>
            <w:tcW w:w="4694" w:type="dxa"/>
            <w:gridSpan w:val="2"/>
            <w:noWrap w:val="0"/>
            <w:vAlign w:val="center"/>
          </w:tcPr>
          <w:p w14:paraId="37B69B6D">
            <w:pPr>
              <w:pStyle w:val="24"/>
              <w:spacing w:before="173" w:line="219" w:lineRule="auto"/>
              <w:ind w:left="0"/>
              <w:jc w:val="center"/>
              <w:rPr>
                <w:color w:val="auto"/>
                <w:sz w:val="21"/>
                <w:szCs w:val="21"/>
                <w:lang w:val="en-US" w:eastAsia="zh-CN" w:bidi="ar-SA"/>
              </w:rPr>
            </w:pPr>
            <w:r>
              <w:rPr>
                <w:color w:val="auto"/>
                <w:sz w:val="21"/>
                <w:szCs w:val="21"/>
                <w:lang w:val="en-US" w:eastAsia="zh-CN" w:bidi="ar-SA"/>
              </w:rPr>
              <w:t>获行政主管部门表扬或获行业组织表扬</w:t>
            </w:r>
          </w:p>
        </w:tc>
        <w:tc>
          <w:tcPr>
            <w:tcW w:w="1058" w:type="dxa"/>
            <w:noWrap w:val="0"/>
            <w:vAlign w:val="center"/>
          </w:tcPr>
          <w:p w14:paraId="64A414C5">
            <w:pPr>
              <w:pStyle w:val="24"/>
              <w:spacing w:before="223" w:line="184" w:lineRule="auto"/>
              <w:ind w:left="0"/>
              <w:jc w:val="center"/>
              <w:rPr>
                <w:color w:val="auto"/>
                <w:sz w:val="21"/>
                <w:szCs w:val="21"/>
                <w:lang w:val="en-US" w:bidi="ar-SA"/>
              </w:rPr>
            </w:pPr>
            <w:r>
              <w:rPr>
                <w:color w:val="auto"/>
                <w:spacing w:val="-3"/>
                <w:sz w:val="21"/>
                <w:szCs w:val="21"/>
                <w:lang w:val="en-US" w:bidi="ar-SA"/>
              </w:rPr>
              <w:t>0-10</w:t>
            </w:r>
          </w:p>
        </w:tc>
        <w:tc>
          <w:tcPr>
            <w:tcW w:w="607" w:type="dxa"/>
            <w:noWrap w:val="0"/>
            <w:vAlign w:val="center"/>
          </w:tcPr>
          <w:p w14:paraId="422E6ED6">
            <w:pPr>
              <w:pStyle w:val="24"/>
              <w:spacing w:before="179" w:line="224" w:lineRule="auto"/>
              <w:ind w:left="0"/>
              <w:jc w:val="center"/>
              <w:rPr>
                <w:color w:val="auto"/>
                <w:sz w:val="21"/>
                <w:szCs w:val="21"/>
                <w:lang w:val="en-US" w:bidi="ar-SA"/>
              </w:rPr>
            </w:pPr>
            <w:r>
              <w:rPr>
                <w:color w:val="auto"/>
                <w:sz w:val="21"/>
                <w:szCs w:val="21"/>
                <w:lang w:val="en-US" w:bidi="ar-SA"/>
              </w:rPr>
              <w:t>/</w:t>
            </w:r>
          </w:p>
        </w:tc>
        <w:tc>
          <w:tcPr>
            <w:tcW w:w="1045" w:type="dxa"/>
            <w:vMerge w:val="restart"/>
            <w:tcBorders>
              <w:bottom w:val="nil"/>
            </w:tcBorders>
            <w:noWrap w:val="0"/>
            <w:vAlign w:val="center"/>
          </w:tcPr>
          <w:p w14:paraId="53F4220E">
            <w:pPr>
              <w:rPr>
                <w:color w:val="auto"/>
                <w:sz w:val="21"/>
                <w:szCs w:val="21"/>
                <w:lang w:val="en-US" w:eastAsia="zh-CN" w:bidi="ar-SA"/>
              </w:rPr>
            </w:pPr>
            <w:r>
              <w:rPr>
                <w:color w:val="auto"/>
                <w:spacing w:val="2"/>
                <w:sz w:val="21"/>
                <w:szCs w:val="21"/>
                <w:lang w:val="en-US" w:eastAsia="zh-CN" w:bidi="ar-SA"/>
              </w:rPr>
              <w:t>每符合一项</w:t>
            </w:r>
            <w:r>
              <w:rPr>
                <w:color w:val="auto"/>
                <w:spacing w:val="-1"/>
                <w:sz w:val="21"/>
                <w:szCs w:val="21"/>
                <w:lang w:val="en-US" w:eastAsia="zh-CN" w:bidi="ar-SA"/>
              </w:rPr>
              <w:t>加/扣2分，</w:t>
            </w:r>
            <w:r>
              <w:rPr>
                <w:color w:val="auto"/>
                <w:spacing w:val="3"/>
                <w:sz w:val="21"/>
                <w:szCs w:val="21"/>
                <w:lang w:val="en-US" w:eastAsia="zh-CN" w:bidi="ar-SA"/>
              </w:rPr>
              <w:t>最高加/扣</w:t>
            </w:r>
            <w:r>
              <w:rPr>
                <w:color w:val="auto"/>
                <w:spacing w:val="2"/>
                <w:sz w:val="21"/>
                <w:szCs w:val="21"/>
                <w:lang w:val="en-US" w:eastAsia="zh-CN" w:bidi="ar-SA"/>
              </w:rPr>
              <w:t>10分</w:t>
            </w:r>
          </w:p>
        </w:tc>
      </w:tr>
      <w:tr w14:paraId="6AD3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trPr>
        <w:tc>
          <w:tcPr>
            <w:tcW w:w="644" w:type="dxa"/>
            <w:noWrap w:val="0"/>
            <w:vAlign w:val="center"/>
          </w:tcPr>
          <w:p w14:paraId="765DA9DF">
            <w:pPr>
              <w:pStyle w:val="24"/>
              <w:spacing w:before="224" w:line="184" w:lineRule="auto"/>
              <w:ind w:left="0"/>
              <w:jc w:val="center"/>
              <w:rPr>
                <w:rFonts w:hint="default"/>
                <w:color w:val="auto"/>
                <w:sz w:val="21"/>
                <w:szCs w:val="21"/>
                <w:lang w:val="en-US" w:eastAsia="zh-CN" w:bidi="ar-SA"/>
              </w:rPr>
            </w:pPr>
            <w:r>
              <w:rPr>
                <w:rFonts w:hint="eastAsia"/>
                <w:color w:val="auto"/>
                <w:spacing w:val="-6"/>
                <w:sz w:val="21"/>
                <w:szCs w:val="21"/>
                <w:lang w:val="en-US" w:eastAsia="zh-CN" w:bidi="ar-SA"/>
              </w:rPr>
              <w:t>11</w:t>
            </w:r>
          </w:p>
        </w:tc>
        <w:tc>
          <w:tcPr>
            <w:tcW w:w="1181" w:type="dxa"/>
            <w:noWrap w:val="0"/>
            <w:vAlign w:val="center"/>
          </w:tcPr>
          <w:p w14:paraId="1B086253">
            <w:pPr>
              <w:pStyle w:val="24"/>
              <w:spacing w:before="174" w:line="220" w:lineRule="auto"/>
              <w:ind w:left="0"/>
              <w:jc w:val="center"/>
              <w:rPr>
                <w:color w:val="auto"/>
                <w:sz w:val="21"/>
                <w:szCs w:val="21"/>
                <w:lang w:val="en-US" w:bidi="ar-SA"/>
              </w:rPr>
            </w:pPr>
            <w:r>
              <w:rPr>
                <w:color w:val="auto"/>
                <w:spacing w:val="4"/>
                <w:sz w:val="21"/>
                <w:szCs w:val="21"/>
                <w:lang w:val="en-US" w:bidi="ar-SA"/>
              </w:rPr>
              <w:t>扣分项</w:t>
            </w:r>
          </w:p>
        </w:tc>
        <w:tc>
          <w:tcPr>
            <w:tcW w:w="4694" w:type="dxa"/>
            <w:gridSpan w:val="2"/>
            <w:noWrap w:val="0"/>
            <w:vAlign w:val="center"/>
          </w:tcPr>
          <w:p w14:paraId="566BBE39">
            <w:pPr>
              <w:pStyle w:val="24"/>
              <w:spacing w:before="53" w:line="215" w:lineRule="auto"/>
              <w:ind w:left="0" w:right="75"/>
              <w:jc w:val="center"/>
              <w:rPr>
                <w:color w:val="auto"/>
                <w:sz w:val="21"/>
                <w:szCs w:val="21"/>
                <w:lang w:val="en-US" w:eastAsia="zh-CN" w:bidi="ar-SA"/>
              </w:rPr>
            </w:pPr>
            <w:r>
              <w:rPr>
                <w:color w:val="auto"/>
                <w:spacing w:val="1"/>
                <w:sz w:val="21"/>
                <w:szCs w:val="21"/>
                <w:lang w:val="en-US" w:eastAsia="zh-CN" w:bidi="ar-SA"/>
              </w:rPr>
              <w:t>受到行政主管部门通报批评或行政处罚；受到租户</w:t>
            </w:r>
            <w:r>
              <w:rPr>
                <w:color w:val="auto"/>
                <w:spacing w:val="-1"/>
                <w:sz w:val="21"/>
                <w:szCs w:val="21"/>
                <w:lang w:val="en-US" w:eastAsia="zh-CN" w:bidi="ar-SA"/>
              </w:rPr>
              <w:t>投诉或受到12345投诉信息，经核实确实真实。</w:t>
            </w:r>
          </w:p>
        </w:tc>
        <w:tc>
          <w:tcPr>
            <w:tcW w:w="1058" w:type="dxa"/>
            <w:noWrap w:val="0"/>
            <w:vAlign w:val="center"/>
          </w:tcPr>
          <w:p w14:paraId="5D661CD1">
            <w:pPr>
              <w:pStyle w:val="24"/>
              <w:spacing w:before="224" w:line="184" w:lineRule="auto"/>
              <w:ind w:left="0"/>
              <w:jc w:val="center"/>
              <w:rPr>
                <w:color w:val="auto"/>
                <w:sz w:val="21"/>
                <w:szCs w:val="21"/>
                <w:lang w:val="en-US" w:bidi="ar-SA"/>
              </w:rPr>
            </w:pPr>
            <w:r>
              <w:rPr>
                <w:color w:val="auto"/>
                <w:spacing w:val="-3"/>
                <w:sz w:val="21"/>
                <w:szCs w:val="21"/>
                <w:lang w:val="en-US" w:bidi="ar-SA"/>
              </w:rPr>
              <w:t>0-10</w:t>
            </w:r>
          </w:p>
        </w:tc>
        <w:tc>
          <w:tcPr>
            <w:tcW w:w="607" w:type="dxa"/>
            <w:noWrap w:val="0"/>
            <w:vAlign w:val="center"/>
          </w:tcPr>
          <w:p w14:paraId="4198BFE8">
            <w:pPr>
              <w:pStyle w:val="24"/>
              <w:spacing w:before="180" w:line="224" w:lineRule="auto"/>
              <w:ind w:left="0"/>
              <w:jc w:val="center"/>
              <w:rPr>
                <w:color w:val="auto"/>
                <w:sz w:val="21"/>
                <w:szCs w:val="21"/>
                <w:lang w:val="en-US" w:bidi="ar-SA"/>
              </w:rPr>
            </w:pPr>
            <w:r>
              <w:rPr>
                <w:color w:val="auto"/>
                <w:sz w:val="21"/>
                <w:szCs w:val="21"/>
                <w:lang w:val="en-US" w:bidi="ar-SA"/>
              </w:rPr>
              <w:t>/</w:t>
            </w:r>
          </w:p>
        </w:tc>
        <w:tc>
          <w:tcPr>
            <w:tcW w:w="1045" w:type="dxa"/>
            <w:vMerge w:val="continue"/>
            <w:tcBorders>
              <w:top w:val="nil"/>
            </w:tcBorders>
            <w:noWrap w:val="0"/>
            <w:vAlign w:val="center"/>
          </w:tcPr>
          <w:p w14:paraId="0DBB0D1C">
            <w:pPr>
              <w:jc w:val="center"/>
              <w:rPr>
                <w:rFonts w:ascii="Arial"/>
                <w:color w:val="auto"/>
                <w:sz w:val="21"/>
                <w:szCs w:val="21"/>
                <w:lang w:val="en-US" w:eastAsia="zh-CN" w:bidi="ar-SA"/>
              </w:rPr>
            </w:pPr>
          </w:p>
        </w:tc>
      </w:tr>
      <w:tr w14:paraId="3D6AA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644" w:type="dxa"/>
            <w:noWrap w:val="0"/>
            <w:vAlign w:val="center"/>
          </w:tcPr>
          <w:p w14:paraId="45C01A87">
            <w:pPr>
              <w:spacing w:line="263" w:lineRule="auto"/>
              <w:jc w:val="center"/>
              <w:rPr>
                <w:rFonts w:ascii="Arial"/>
                <w:color w:val="auto"/>
                <w:sz w:val="21"/>
                <w:szCs w:val="21"/>
                <w:lang w:val="en-US" w:eastAsia="zh-CN" w:bidi="ar-SA"/>
              </w:rPr>
            </w:pPr>
          </w:p>
          <w:p w14:paraId="20DFAF74">
            <w:pPr>
              <w:rPr>
                <w:color w:val="auto"/>
                <w:lang w:val="en-US" w:eastAsia="zh-CN" w:bidi="ar-SA"/>
              </w:rPr>
            </w:pPr>
          </w:p>
          <w:p w14:paraId="4F4BF143">
            <w:pPr>
              <w:pStyle w:val="24"/>
              <w:spacing w:before="65" w:line="184" w:lineRule="auto"/>
              <w:ind w:left="0"/>
              <w:jc w:val="center"/>
              <w:rPr>
                <w:rFonts w:hint="eastAsia"/>
                <w:color w:val="auto"/>
                <w:sz w:val="21"/>
                <w:szCs w:val="21"/>
                <w:lang w:val="en-US" w:eastAsia="zh-CN" w:bidi="ar-SA"/>
              </w:rPr>
            </w:pPr>
            <w:r>
              <w:rPr>
                <w:color w:val="auto"/>
                <w:spacing w:val="-6"/>
                <w:sz w:val="21"/>
                <w:szCs w:val="21"/>
                <w:lang w:val="en-US" w:bidi="ar-SA"/>
              </w:rPr>
              <w:t>1</w:t>
            </w:r>
            <w:r>
              <w:rPr>
                <w:rFonts w:hint="eastAsia"/>
                <w:color w:val="auto"/>
                <w:spacing w:val="-6"/>
                <w:sz w:val="21"/>
                <w:szCs w:val="21"/>
                <w:lang w:val="en-US" w:eastAsia="zh-CN" w:bidi="ar-SA"/>
              </w:rPr>
              <w:t>2</w:t>
            </w:r>
          </w:p>
        </w:tc>
        <w:tc>
          <w:tcPr>
            <w:tcW w:w="1181" w:type="dxa"/>
            <w:noWrap w:val="0"/>
            <w:vAlign w:val="center"/>
          </w:tcPr>
          <w:p w14:paraId="0CCD53E5">
            <w:pPr>
              <w:rPr>
                <w:color w:val="auto"/>
                <w:lang w:val="en-US" w:eastAsia="zh-CN" w:bidi="ar-SA"/>
              </w:rPr>
            </w:pPr>
          </w:p>
          <w:p w14:paraId="16D5AC0F">
            <w:pPr>
              <w:rPr>
                <w:color w:val="auto"/>
                <w:lang w:val="en-US" w:eastAsia="zh-CN" w:bidi="ar-SA"/>
              </w:rPr>
            </w:pPr>
            <w:r>
              <w:rPr>
                <w:color w:val="auto"/>
                <w:spacing w:val="2"/>
                <w:sz w:val="21"/>
                <w:szCs w:val="21"/>
                <w:lang w:val="en-US" w:eastAsia="zh-CN" w:bidi="ar-SA"/>
              </w:rPr>
              <w:t>直接判定不</w:t>
            </w:r>
          </w:p>
          <w:p w14:paraId="5916B7FB">
            <w:pPr>
              <w:pStyle w:val="24"/>
              <w:spacing w:before="65" w:line="220" w:lineRule="auto"/>
              <w:ind w:left="0"/>
              <w:jc w:val="center"/>
              <w:rPr>
                <w:color w:val="auto"/>
                <w:sz w:val="21"/>
                <w:szCs w:val="21"/>
                <w:lang w:val="en-US" w:bidi="ar-SA"/>
              </w:rPr>
            </w:pPr>
            <w:r>
              <w:rPr>
                <w:color w:val="auto"/>
                <w:spacing w:val="-2"/>
                <w:sz w:val="21"/>
                <w:szCs w:val="21"/>
                <w:lang w:val="en-US" w:bidi="ar-SA"/>
              </w:rPr>
              <w:t>合格行为</w:t>
            </w:r>
          </w:p>
        </w:tc>
        <w:tc>
          <w:tcPr>
            <w:tcW w:w="4694" w:type="dxa"/>
            <w:gridSpan w:val="2"/>
            <w:noWrap w:val="0"/>
            <w:vAlign w:val="center"/>
          </w:tcPr>
          <w:p w14:paraId="634B6594">
            <w:pPr>
              <w:pStyle w:val="24"/>
              <w:spacing w:before="43" w:line="226" w:lineRule="auto"/>
              <w:ind w:left="0" w:right="84" w:firstLine="0"/>
              <w:jc w:val="center"/>
              <w:rPr>
                <w:color w:val="auto"/>
                <w:sz w:val="21"/>
                <w:szCs w:val="21"/>
                <w:lang w:val="en-US" w:eastAsia="zh-CN" w:bidi="ar-SA"/>
              </w:rPr>
            </w:pPr>
            <w:r>
              <w:rPr>
                <w:color w:val="auto"/>
                <w:spacing w:val="1"/>
                <w:sz w:val="21"/>
                <w:szCs w:val="21"/>
                <w:lang w:val="en-US" w:eastAsia="zh-CN" w:bidi="ar-SA"/>
              </w:rPr>
              <w:t>利用工作便利为亲属或特定关系人谋取不正当</w:t>
            </w:r>
            <w:r>
              <w:rPr>
                <w:color w:val="auto"/>
                <w:spacing w:val="-1"/>
                <w:sz w:val="21"/>
                <w:szCs w:val="21"/>
                <w:lang w:val="en-US" w:eastAsia="zh-CN" w:bidi="ar-SA"/>
              </w:rPr>
              <w:t>利益的</w:t>
            </w:r>
            <w:r>
              <w:rPr>
                <w:color w:val="auto"/>
                <w:sz w:val="21"/>
                <w:szCs w:val="21"/>
                <w:lang w:val="en-US" w:eastAsia="zh-CN" w:bidi="ar-SA"/>
              </w:rPr>
              <w:t>；在履行其义务时，违反国家法律和行政法规的等情况</w:t>
            </w:r>
          </w:p>
        </w:tc>
        <w:tc>
          <w:tcPr>
            <w:tcW w:w="1058" w:type="dxa"/>
            <w:noWrap w:val="0"/>
            <w:vAlign w:val="center"/>
          </w:tcPr>
          <w:p w14:paraId="3DA1635C">
            <w:pPr>
              <w:rPr>
                <w:color w:val="auto"/>
                <w:lang w:val="en-US" w:eastAsia="zh-CN" w:bidi="ar-SA"/>
              </w:rPr>
            </w:pPr>
          </w:p>
          <w:p w14:paraId="3AE5FF95">
            <w:pPr>
              <w:rPr>
                <w:color w:val="auto"/>
                <w:lang w:val="en-US" w:eastAsia="zh-CN" w:bidi="ar-SA"/>
              </w:rPr>
            </w:pPr>
          </w:p>
          <w:p w14:paraId="7D0979DA">
            <w:pPr>
              <w:pStyle w:val="24"/>
              <w:spacing w:before="65" w:line="224" w:lineRule="auto"/>
              <w:ind w:left="0"/>
              <w:jc w:val="center"/>
              <w:rPr>
                <w:color w:val="auto"/>
                <w:sz w:val="21"/>
                <w:szCs w:val="21"/>
                <w:lang w:val="en-US" w:bidi="ar-SA"/>
              </w:rPr>
            </w:pPr>
            <w:r>
              <w:rPr>
                <w:color w:val="auto"/>
                <w:sz w:val="21"/>
                <w:szCs w:val="21"/>
                <w:lang w:val="en-US" w:bidi="ar-SA"/>
              </w:rPr>
              <w:t>/</w:t>
            </w:r>
          </w:p>
        </w:tc>
        <w:tc>
          <w:tcPr>
            <w:tcW w:w="607" w:type="dxa"/>
            <w:noWrap w:val="0"/>
            <w:vAlign w:val="center"/>
          </w:tcPr>
          <w:p w14:paraId="5D0DAAFB">
            <w:pPr>
              <w:spacing w:line="241" w:lineRule="auto"/>
              <w:jc w:val="center"/>
              <w:rPr>
                <w:rFonts w:ascii="Arial"/>
                <w:color w:val="auto"/>
                <w:sz w:val="21"/>
                <w:szCs w:val="21"/>
                <w:lang w:val="en-US" w:eastAsia="zh-CN" w:bidi="ar-SA"/>
              </w:rPr>
            </w:pPr>
          </w:p>
          <w:p w14:paraId="32F1AF86">
            <w:pPr>
              <w:rPr>
                <w:color w:val="auto"/>
                <w:lang w:val="en-US" w:eastAsia="zh-CN" w:bidi="ar-SA"/>
              </w:rPr>
            </w:pPr>
          </w:p>
          <w:p w14:paraId="06CD5234">
            <w:pPr>
              <w:pStyle w:val="24"/>
              <w:spacing w:before="65" w:line="224" w:lineRule="auto"/>
              <w:ind w:left="0"/>
              <w:jc w:val="center"/>
              <w:rPr>
                <w:color w:val="auto"/>
                <w:sz w:val="21"/>
                <w:szCs w:val="21"/>
                <w:lang w:val="en-US" w:bidi="ar-SA"/>
              </w:rPr>
            </w:pPr>
            <w:r>
              <w:rPr>
                <w:color w:val="auto"/>
                <w:sz w:val="21"/>
                <w:szCs w:val="21"/>
                <w:lang w:val="en-US" w:bidi="ar-SA"/>
              </w:rPr>
              <w:t>/</w:t>
            </w:r>
          </w:p>
        </w:tc>
        <w:tc>
          <w:tcPr>
            <w:tcW w:w="1045" w:type="dxa"/>
            <w:noWrap w:val="0"/>
            <w:vAlign w:val="center"/>
          </w:tcPr>
          <w:p w14:paraId="248496F2">
            <w:pPr>
              <w:pStyle w:val="24"/>
              <w:spacing w:before="165" w:line="219" w:lineRule="auto"/>
              <w:ind w:left="0"/>
              <w:jc w:val="center"/>
              <w:rPr>
                <w:color w:val="auto"/>
                <w:sz w:val="21"/>
                <w:szCs w:val="21"/>
                <w:lang w:val="en-US" w:eastAsia="zh-CN" w:bidi="ar-SA"/>
              </w:rPr>
            </w:pPr>
            <w:r>
              <w:rPr>
                <w:color w:val="auto"/>
                <w:spacing w:val="-2"/>
                <w:sz w:val="21"/>
                <w:szCs w:val="21"/>
                <w:lang w:val="en-US" w:eastAsia="zh-CN" w:bidi="ar-SA"/>
              </w:rPr>
              <w:t>有其中任何</w:t>
            </w:r>
            <w:r>
              <w:rPr>
                <w:color w:val="auto"/>
                <w:sz w:val="21"/>
                <w:szCs w:val="21"/>
                <w:lang w:val="en-US" w:eastAsia="zh-CN" w:bidi="ar-SA"/>
              </w:rPr>
              <w:t>一则行为，</w:t>
            </w:r>
            <w:r>
              <w:rPr>
                <w:color w:val="auto"/>
                <w:spacing w:val="-2"/>
                <w:sz w:val="21"/>
                <w:szCs w:val="21"/>
                <w:lang w:val="en-US" w:eastAsia="zh-CN" w:bidi="ar-SA"/>
              </w:rPr>
              <w:t>直接评为60</w:t>
            </w:r>
          </w:p>
          <w:p w14:paraId="3B149B3B">
            <w:pPr>
              <w:pStyle w:val="24"/>
              <w:spacing w:before="11" w:line="220" w:lineRule="auto"/>
              <w:jc w:val="center"/>
              <w:rPr>
                <w:color w:val="auto"/>
                <w:sz w:val="21"/>
                <w:szCs w:val="21"/>
                <w:lang w:val="en-US" w:bidi="ar-SA"/>
              </w:rPr>
            </w:pPr>
            <w:r>
              <w:rPr>
                <w:color w:val="auto"/>
                <w:spacing w:val="4"/>
                <w:sz w:val="21"/>
                <w:szCs w:val="21"/>
                <w:lang w:val="en-US" w:bidi="ar-SA"/>
              </w:rPr>
              <w:t>分以下</w:t>
            </w:r>
          </w:p>
        </w:tc>
      </w:tr>
      <w:tr w14:paraId="0C594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519" w:type="dxa"/>
            <w:gridSpan w:val="4"/>
            <w:noWrap w:val="0"/>
            <w:vAlign w:val="center"/>
          </w:tcPr>
          <w:p w14:paraId="05B474EB">
            <w:pPr>
              <w:pStyle w:val="24"/>
              <w:spacing w:before="147" w:line="220" w:lineRule="auto"/>
              <w:ind w:left="0"/>
              <w:jc w:val="center"/>
              <w:rPr>
                <w:color w:val="auto"/>
                <w:sz w:val="21"/>
                <w:szCs w:val="21"/>
                <w:lang w:val="en-US" w:bidi="ar-SA"/>
              </w:rPr>
            </w:pPr>
            <w:r>
              <w:rPr>
                <w:color w:val="auto"/>
                <w:spacing w:val="4"/>
                <w:sz w:val="21"/>
                <w:szCs w:val="21"/>
                <w:lang w:val="en-US" w:bidi="ar-SA"/>
              </w:rPr>
              <w:t>总分</w:t>
            </w:r>
          </w:p>
        </w:tc>
        <w:tc>
          <w:tcPr>
            <w:tcW w:w="1058" w:type="dxa"/>
            <w:noWrap w:val="0"/>
            <w:vAlign w:val="center"/>
          </w:tcPr>
          <w:p w14:paraId="38714922">
            <w:pPr>
              <w:pStyle w:val="24"/>
              <w:spacing w:before="197" w:line="184" w:lineRule="auto"/>
              <w:ind w:left="0"/>
              <w:jc w:val="center"/>
              <w:rPr>
                <w:color w:val="auto"/>
                <w:sz w:val="21"/>
                <w:szCs w:val="21"/>
                <w:lang w:val="en-US" w:bidi="ar-SA"/>
              </w:rPr>
            </w:pPr>
            <w:r>
              <w:rPr>
                <w:color w:val="auto"/>
                <w:spacing w:val="-2"/>
                <w:sz w:val="21"/>
                <w:szCs w:val="21"/>
                <w:lang w:val="en-US" w:bidi="ar-SA"/>
              </w:rPr>
              <w:t>0-</w:t>
            </w:r>
            <w:r>
              <w:rPr>
                <w:rFonts w:hint="eastAsia"/>
                <w:color w:val="auto"/>
                <w:spacing w:val="-2"/>
                <w:sz w:val="21"/>
                <w:szCs w:val="21"/>
                <w:lang w:val="en-US" w:eastAsia="zh-CN" w:bidi="ar-SA"/>
              </w:rPr>
              <w:t>12</w:t>
            </w:r>
            <w:r>
              <w:rPr>
                <w:color w:val="auto"/>
                <w:spacing w:val="-2"/>
                <w:sz w:val="21"/>
                <w:szCs w:val="21"/>
                <w:lang w:val="en-US" w:bidi="ar-SA"/>
              </w:rPr>
              <w:t>0</w:t>
            </w:r>
          </w:p>
        </w:tc>
        <w:tc>
          <w:tcPr>
            <w:tcW w:w="607" w:type="dxa"/>
            <w:noWrap w:val="0"/>
            <w:vAlign w:val="center"/>
          </w:tcPr>
          <w:p w14:paraId="4A7AC23B">
            <w:pPr>
              <w:pStyle w:val="24"/>
              <w:spacing w:before="153" w:line="224" w:lineRule="auto"/>
              <w:ind w:left="278"/>
              <w:jc w:val="center"/>
              <w:rPr>
                <w:color w:val="auto"/>
                <w:sz w:val="21"/>
                <w:szCs w:val="21"/>
                <w:lang w:val="en-US" w:bidi="ar-SA"/>
              </w:rPr>
            </w:pPr>
            <w:r>
              <w:rPr>
                <w:color w:val="auto"/>
                <w:sz w:val="21"/>
                <w:szCs w:val="21"/>
                <w:lang w:val="en-US" w:bidi="ar-SA"/>
              </w:rPr>
              <w:t>/</w:t>
            </w:r>
          </w:p>
        </w:tc>
        <w:tc>
          <w:tcPr>
            <w:tcW w:w="1045" w:type="dxa"/>
            <w:noWrap w:val="0"/>
            <w:vAlign w:val="center"/>
          </w:tcPr>
          <w:p w14:paraId="69E3D283">
            <w:pPr>
              <w:jc w:val="center"/>
              <w:rPr>
                <w:rFonts w:ascii="Arial"/>
                <w:color w:val="auto"/>
                <w:sz w:val="21"/>
                <w:szCs w:val="21"/>
                <w:lang w:val="en-US" w:eastAsia="zh-CN" w:bidi="ar-SA"/>
              </w:rPr>
            </w:pPr>
          </w:p>
        </w:tc>
      </w:tr>
      <w:tr w14:paraId="25ACA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229" w:type="dxa"/>
            <w:gridSpan w:val="7"/>
            <w:noWrap w:val="0"/>
            <w:vAlign w:val="top"/>
          </w:tcPr>
          <w:p w14:paraId="4ECF32BA">
            <w:pPr>
              <w:pStyle w:val="24"/>
              <w:rPr>
                <w:color w:val="auto"/>
                <w:spacing w:val="-1"/>
                <w:sz w:val="21"/>
                <w:szCs w:val="21"/>
                <w:lang w:val="en-US" w:eastAsia="zh-CN" w:bidi="ar-SA"/>
              </w:rPr>
            </w:pPr>
            <w:r>
              <w:rPr>
                <w:color w:val="auto"/>
                <w:spacing w:val="-1"/>
                <w:sz w:val="21"/>
                <w:szCs w:val="21"/>
                <w:lang w:val="en-US" w:eastAsia="zh-CN" w:bidi="ar-SA"/>
              </w:rPr>
              <w:t>您</w:t>
            </w:r>
            <w:r>
              <w:rPr>
                <w:rFonts w:hint="eastAsia"/>
                <w:color w:val="auto"/>
                <w:spacing w:val="-1"/>
                <w:sz w:val="21"/>
                <w:szCs w:val="21"/>
                <w:lang w:val="en-US" w:eastAsia="zh-CN" w:bidi="ar-SA"/>
              </w:rPr>
              <w:t>的</w:t>
            </w:r>
            <w:r>
              <w:rPr>
                <w:color w:val="auto"/>
                <w:spacing w:val="-1"/>
                <w:sz w:val="21"/>
                <w:szCs w:val="21"/>
                <w:lang w:val="en-US" w:eastAsia="zh-CN" w:bidi="ar-SA"/>
              </w:rPr>
              <w:t xml:space="preserve">建议或意见： </w:t>
            </w:r>
          </w:p>
          <w:p w14:paraId="7FF75037">
            <w:pPr>
              <w:pStyle w:val="24"/>
              <w:rPr>
                <w:color w:val="auto"/>
                <w:sz w:val="21"/>
                <w:szCs w:val="21"/>
                <w:lang w:val="en-US" w:eastAsia="zh-CN" w:bidi="ar-SA"/>
              </w:rPr>
            </w:pPr>
            <w:r>
              <w:rPr>
                <w:color w:val="auto"/>
                <w:spacing w:val="-1"/>
                <w:sz w:val="21"/>
                <w:szCs w:val="21"/>
                <w:lang w:val="en-US" w:eastAsia="zh-CN" w:bidi="ar-SA"/>
              </w:rPr>
              <w:t>评价人(签宇):</w:t>
            </w:r>
          </w:p>
        </w:tc>
      </w:tr>
    </w:tbl>
    <w:p w14:paraId="487E13BD">
      <w:pPr>
        <w:spacing w:before="72" w:line="221" w:lineRule="auto"/>
        <w:rPr>
          <w:rFonts w:ascii="仿宋" w:hAnsi="仿宋" w:eastAsia="仿宋" w:cs="仿宋"/>
          <w:b/>
          <w:bCs/>
          <w:color w:val="auto"/>
          <w:spacing w:val="4"/>
          <w:sz w:val="22"/>
          <w:szCs w:val="22"/>
        </w:rPr>
      </w:pPr>
    </w:p>
    <w:p w14:paraId="68A459BF">
      <w:pPr>
        <w:spacing w:before="72" w:line="221" w:lineRule="auto"/>
        <w:rPr>
          <w:rFonts w:ascii="仿宋" w:hAnsi="仿宋" w:eastAsia="仿宋" w:cs="仿宋"/>
          <w:b/>
          <w:bCs/>
          <w:color w:val="auto"/>
          <w:spacing w:val="4"/>
          <w:sz w:val="22"/>
          <w:szCs w:val="22"/>
        </w:rPr>
      </w:pPr>
    </w:p>
    <w:p w14:paraId="2067E9E9">
      <w:pPr>
        <w:spacing w:before="72" w:line="221" w:lineRule="auto"/>
        <w:rPr>
          <w:rFonts w:ascii="仿宋" w:hAnsi="仿宋" w:eastAsia="仿宋" w:cs="仿宋"/>
          <w:b/>
          <w:bCs/>
          <w:color w:val="auto"/>
          <w:spacing w:val="4"/>
          <w:sz w:val="22"/>
          <w:szCs w:val="22"/>
        </w:rPr>
      </w:pPr>
    </w:p>
    <w:p w14:paraId="59BD607B">
      <w:pPr>
        <w:spacing w:before="72" w:line="221" w:lineRule="auto"/>
        <w:rPr>
          <w:rFonts w:ascii="仿宋" w:hAnsi="仿宋" w:eastAsia="仿宋" w:cs="仿宋"/>
          <w:b/>
          <w:bCs/>
          <w:color w:val="auto"/>
          <w:spacing w:val="4"/>
          <w:sz w:val="22"/>
          <w:szCs w:val="22"/>
        </w:rPr>
      </w:pPr>
    </w:p>
    <w:p w14:paraId="01581AA7">
      <w:pPr>
        <w:spacing w:before="72" w:line="221" w:lineRule="auto"/>
        <w:rPr>
          <w:rFonts w:ascii="仿宋" w:hAnsi="仿宋" w:eastAsia="仿宋" w:cs="仿宋"/>
          <w:b/>
          <w:bCs/>
          <w:color w:val="auto"/>
          <w:spacing w:val="4"/>
          <w:sz w:val="22"/>
          <w:szCs w:val="22"/>
        </w:rPr>
      </w:pPr>
    </w:p>
    <w:p w14:paraId="3372F310">
      <w:pPr>
        <w:spacing w:before="72" w:line="221" w:lineRule="auto"/>
        <w:rPr>
          <w:rFonts w:ascii="仿宋" w:hAnsi="仿宋" w:eastAsia="仿宋" w:cs="仿宋"/>
          <w:b/>
          <w:bCs/>
          <w:color w:val="auto"/>
          <w:spacing w:val="4"/>
          <w:sz w:val="22"/>
          <w:szCs w:val="22"/>
        </w:rPr>
      </w:pPr>
    </w:p>
    <w:p w14:paraId="59CB3759">
      <w:pPr>
        <w:spacing w:before="72" w:line="221" w:lineRule="auto"/>
        <w:rPr>
          <w:rFonts w:ascii="仿宋" w:hAnsi="仿宋" w:eastAsia="仿宋" w:cs="仿宋"/>
          <w:b/>
          <w:bCs/>
          <w:color w:val="auto"/>
          <w:spacing w:val="4"/>
          <w:sz w:val="22"/>
          <w:szCs w:val="22"/>
        </w:rPr>
      </w:pPr>
    </w:p>
    <w:p w14:paraId="16BC5E7D">
      <w:pPr>
        <w:spacing w:before="72" w:line="221" w:lineRule="auto"/>
        <w:rPr>
          <w:rFonts w:ascii="仿宋" w:hAnsi="仿宋" w:eastAsia="仿宋" w:cs="仿宋"/>
          <w:b/>
          <w:bCs/>
          <w:color w:val="auto"/>
          <w:spacing w:val="4"/>
          <w:sz w:val="22"/>
          <w:szCs w:val="22"/>
        </w:rPr>
      </w:pPr>
    </w:p>
    <w:p w14:paraId="3A4DBBD7">
      <w:pPr>
        <w:spacing w:before="72" w:line="221" w:lineRule="auto"/>
        <w:rPr>
          <w:rFonts w:ascii="仿宋" w:hAnsi="仿宋" w:eastAsia="仿宋" w:cs="仿宋"/>
          <w:b/>
          <w:bCs/>
          <w:color w:val="auto"/>
          <w:spacing w:val="4"/>
          <w:sz w:val="22"/>
          <w:szCs w:val="22"/>
        </w:rPr>
      </w:pPr>
    </w:p>
    <w:p w14:paraId="0B1F6156">
      <w:pPr>
        <w:spacing w:before="72" w:line="221" w:lineRule="auto"/>
        <w:rPr>
          <w:rFonts w:ascii="仿宋" w:hAnsi="仿宋" w:eastAsia="仿宋" w:cs="仿宋"/>
          <w:b/>
          <w:bCs/>
          <w:color w:val="auto"/>
          <w:spacing w:val="4"/>
          <w:sz w:val="22"/>
          <w:szCs w:val="22"/>
        </w:rPr>
      </w:pPr>
    </w:p>
    <w:p w14:paraId="7B8CBEE3">
      <w:pPr>
        <w:spacing w:before="72" w:line="221" w:lineRule="auto"/>
        <w:rPr>
          <w:rFonts w:ascii="仿宋" w:hAnsi="仿宋" w:eastAsia="仿宋" w:cs="仿宋"/>
          <w:b/>
          <w:bCs/>
          <w:color w:val="auto"/>
          <w:spacing w:val="4"/>
          <w:sz w:val="22"/>
          <w:szCs w:val="22"/>
        </w:rPr>
      </w:pPr>
    </w:p>
    <w:p w14:paraId="430D0EF2">
      <w:pPr>
        <w:spacing w:before="72" w:line="221" w:lineRule="auto"/>
        <w:rPr>
          <w:rFonts w:ascii="仿宋" w:hAnsi="仿宋" w:eastAsia="仿宋" w:cs="仿宋"/>
          <w:b/>
          <w:bCs/>
          <w:color w:val="auto"/>
          <w:spacing w:val="4"/>
          <w:sz w:val="22"/>
          <w:szCs w:val="22"/>
        </w:rPr>
      </w:pPr>
    </w:p>
    <w:p w14:paraId="4077E49A">
      <w:pPr>
        <w:pStyle w:val="9"/>
        <w:spacing w:before="72" w:line="221" w:lineRule="auto"/>
        <w:rPr>
          <w:rFonts w:hint="eastAsia" w:ascii="宋体" w:hAnsi="宋体" w:eastAsia="宋体" w:cs="宋体"/>
          <w:b w:val="0"/>
          <w:bCs w:val="0"/>
          <w:color w:val="auto"/>
          <w:spacing w:val="0"/>
          <w:sz w:val="24"/>
          <w:szCs w:val="24"/>
        </w:rPr>
      </w:pPr>
    </w:p>
    <w:p w14:paraId="2636A11B">
      <w:pPr>
        <w:pStyle w:val="9"/>
        <w:spacing w:before="72" w:line="221" w:lineRule="auto"/>
        <w:rPr>
          <w:rFonts w:hint="eastAsia" w:ascii="宋体" w:hAnsi="宋体" w:eastAsia="宋体" w:cs="宋体"/>
          <w:b w:val="0"/>
          <w:bCs w:val="0"/>
          <w:color w:val="auto"/>
          <w:spacing w:val="0"/>
          <w:sz w:val="24"/>
          <w:szCs w:val="24"/>
        </w:rPr>
      </w:pPr>
    </w:p>
    <w:p w14:paraId="0E624ABA">
      <w:pPr>
        <w:pStyle w:val="9"/>
        <w:spacing w:before="72" w:line="221" w:lineRule="auto"/>
        <w:rPr>
          <w:rFonts w:hint="eastAsia" w:ascii="宋体" w:hAnsi="宋体" w:eastAsia="宋体" w:cs="宋体"/>
          <w:b w:val="0"/>
          <w:bCs w:val="0"/>
          <w:color w:val="auto"/>
          <w:spacing w:val="0"/>
          <w:sz w:val="24"/>
          <w:szCs w:val="24"/>
        </w:rPr>
      </w:pPr>
    </w:p>
    <w:p w14:paraId="261BFF95">
      <w:pPr>
        <w:pStyle w:val="9"/>
        <w:spacing w:before="72" w:line="221" w:lineRule="auto"/>
        <w:rPr>
          <w:rFonts w:hint="eastAsia" w:ascii="宋体" w:hAnsi="宋体" w:eastAsia="宋体" w:cs="宋体"/>
          <w:b w:val="0"/>
          <w:bCs w:val="0"/>
          <w:color w:val="auto"/>
          <w:spacing w:val="0"/>
          <w:sz w:val="24"/>
          <w:szCs w:val="24"/>
        </w:rPr>
      </w:pPr>
    </w:p>
    <w:p w14:paraId="10D59290">
      <w:pPr>
        <w:pStyle w:val="9"/>
        <w:spacing w:before="72" w:line="221" w:lineRule="auto"/>
        <w:rPr>
          <w:rFonts w:hint="eastAsia" w:ascii="宋体" w:hAnsi="宋体" w:eastAsia="宋体" w:cs="宋体"/>
          <w:color w:val="auto"/>
          <w:sz w:val="24"/>
          <w:szCs w:val="24"/>
        </w:rPr>
      </w:pPr>
      <w:r>
        <w:rPr>
          <w:rFonts w:hint="eastAsia" w:ascii="宋体" w:hAnsi="宋体" w:eastAsia="宋体" w:cs="宋体"/>
          <w:b w:val="0"/>
          <w:bCs w:val="0"/>
          <w:color w:val="auto"/>
          <w:spacing w:val="0"/>
          <w:sz w:val="24"/>
          <w:szCs w:val="24"/>
        </w:rPr>
        <w:t>附表1物业管理细则(满分100分)</w:t>
      </w:r>
    </w:p>
    <w:p w14:paraId="73EA330A">
      <w:pPr>
        <w:spacing w:line="109" w:lineRule="exact"/>
        <w:rPr>
          <w:color w:val="auto"/>
        </w:rPr>
      </w:pPr>
    </w:p>
    <w:tbl>
      <w:tblPr>
        <w:tblStyle w:val="26"/>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650"/>
        <w:gridCol w:w="5485"/>
        <w:gridCol w:w="1899"/>
      </w:tblGrid>
      <w:tr w14:paraId="799B7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74" w:type="dxa"/>
            <w:noWrap w:val="0"/>
            <w:vAlign w:val="center"/>
          </w:tcPr>
          <w:p w14:paraId="43A117F1">
            <w:pPr>
              <w:pStyle w:val="24"/>
              <w:spacing w:before="44" w:line="213" w:lineRule="auto"/>
              <w:ind w:left="0"/>
              <w:jc w:val="center"/>
              <w:rPr>
                <w:color w:val="auto"/>
                <w:sz w:val="20"/>
                <w:szCs w:val="20"/>
                <w:lang w:val="en-US" w:bidi="ar-SA"/>
              </w:rPr>
            </w:pPr>
            <w:r>
              <w:rPr>
                <w:color w:val="auto"/>
                <w:spacing w:val="-2"/>
                <w:sz w:val="20"/>
                <w:szCs w:val="20"/>
                <w:lang w:val="en-US" w:bidi="ar-SA"/>
              </w:rPr>
              <w:t>序号</w:t>
            </w:r>
          </w:p>
        </w:tc>
        <w:tc>
          <w:tcPr>
            <w:tcW w:w="6135" w:type="dxa"/>
            <w:gridSpan w:val="2"/>
            <w:noWrap w:val="0"/>
            <w:vAlign w:val="center"/>
          </w:tcPr>
          <w:p w14:paraId="6E9A3445">
            <w:pPr>
              <w:pStyle w:val="24"/>
              <w:spacing w:before="43" w:line="214" w:lineRule="auto"/>
              <w:ind w:left="0"/>
              <w:jc w:val="center"/>
              <w:rPr>
                <w:color w:val="auto"/>
                <w:sz w:val="20"/>
                <w:szCs w:val="20"/>
                <w:lang w:val="en-US" w:bidi="ar-SA"/>
              </w:rPr>
            </w:pPr>
            <w:r>
              <w:rPr>
                <w:color w:val="auto"/>
                <w:spacing w:val="-6"/>
                <w:sz w:val="20"/>
                <w:szCs w:val="20"/>
                <w:lang w:val="en-US" w:bidi="ar-SA"/>
              </w:rPr>
              <w:t>检 查</w:t>
            </w:r>
            <w:r>
              <w:rPr>
                <w:color w:val="auto"/>
                <w:spacing w:val="6"/>
                <w:sz w:val="20"/>
                <w:szCs w:val="20"/>
                <w:lang w:val="en-US" w:bidi="ar-SA"/>
              </w:rPr>
              <w:t xml:space="preserve"> </w:t>
            </w:r>
            <w:r>
              <w:rPr>
                <w:color w:val="auto"/>
                <w:spacing w:val="-6"/>
                <w:sz w:val="20"/>
                <w:szCs w:val="20"/>
                <w:lang w:val="en-US" w:bidi="ar-SA"/>
              </w:rPr>
              <w:t>考</w:t>
            </w:r>
            <w:r>
              <w:rPr>
                <w:color w:val="auto"/>
                <w:spacing w:val="7"/>
                <w:sz w:val="20"/>
                <w:szCs w:val="20"/>
                <w:lang w:val="en-US" w:bidi="ar-SA"/>
              </w:rPr>
              <w:t xml:space="preserve"> </w:t>
            </w:r>
            <w:r>
              <w:rPr>
                <w:color w:val="auto"/>
                <w:spacing w:val="-6"/>
                <w:sz w:val="20"/>
                <w:szCs w:val="20"/>
                <w:lang w:val="en-US" w:bidi="ar-SA"/>
              </w:rPr>
              <w:t>核</w:t>
            </w:r>
            <w:r>
              <w:rPr>
                <w:color w:val="auto"/>
                <w:spacing w:val="9"/>
                <w:sz w:val="20"/>
                <w:szCs w:val="20"/>
                <w:lang w:val="en-US" w:bidi="ar-SA"/>
              </w:rPr>
              <w:t xml:space="preserve"> </w:t>
            </w:r>
            <w:r>
              <w:rPr>
                <w:color w:val="auto"/>
                <w:spacing w:val="-6"/>
                <w:sz w:val="20"/>
                <w:szCs w:val="20"/>
                <w:lang w:val="en-US" w:bidi="ar-SA"/>
              </w:rPr>
              <w:t>项</w:t>
            </w:r>
            <w:r>
              <w:rPr>
                <w:color w:val="auto"/>
                <w:spacing w:val="43"/>
                <w:sz w:val="20"/>
                <w:szCs w:val="20"/>
                <w:lang w:val="en-US" w:bidi="ar-SA"/>
              </w:rPr>
              <w:t xml:space="preserve"> </w:t>
            </w:r>
            <w:r>
              <w:rPr>
                <w:color w:val="auto"/>
                <w:spacing w:val="-6"/>
                <w:sz w:val="20"/>
                <w:szCs w:val="20"/>
                <w:lang w:val="en-US" w:bidi="ar-SA"/>
              </w:rPr>
              <w:t>目</w:t>
            </w:r>
          </w:p>
        </w:tc>
        <w:tc>
          <w:tcPr>
            <w:tcW w:w="1899" w:type="dxa"/>
            <w:noWrap w:val="0"/>
            <w:vAlign w:val="center"/>
          </w:tcPr>
          <w:p w14:paraId="54D2DEC4">
            <w:pPr>
              <w:pStyle w:val="24"/>
              <w:spacing w:before="44" w:line="213" w:lineRule="auto"/>
              <w:ind w:left="0"/>
              <w:jc w:val="center"/>
              <w:rPr>
                <w:color w:val="auto"/>
                <w:sz w:val="20"/>
                <w:szCs w:val="20"/>
                <w:lang w:val="en-US" w:bidi="ar-SA"/>
              </w:rPr>
            </w:pPr>
            <w:r>
              <w:rPr>
                <w:color w:val="auto"/>
                <w:spacing w:val="-2"/>
                <w:sz w:val="20"/>
                <w:szCs w:val="20"/>
                <w:lang w:val="en-US" w:bidi="ar-SA"/>
              </w:rPr>
              <w:t>评分标准</w:t>
            </w:r>
          </w:p>
        </w:tc>
      </w:tr>
      <w:tr w14:paraId="3CC3A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74" w:type="dxa"/>
            <w:noWrap w:val="0"/>
            <w:vAlign w:val="center"/>
          </w:tcPr>
          <w:p w14:paraId="346FA370">
            <w:pPr>
              <w:pStyle w:val="24"/>
              <w:spacing w:before="208" w:line="184" w:lineRule="auto"/>
              <w:ind w:left="0"/>
              <w:jc w:val="center"/>
              <w:rPr>
                <w:color w:val="auto"/>
                <w:sz w:val="20"/>
                <w:szCs w:val="20"/>
                <w:lang w:val="en-US" w:bidi="ar-SA"/>
              </w:rPr>
            </w:pPr>
            <w:r>
              <w:rPr>
                <w:color w:val="auto"/>
                <w:sz w:val="20"/>
                <w:szCs w:val="20"/>
                <w:lang w:val="en-US" w:bidi="ar-SA"/>
              </w:rPr>
              <w:t>1</w:t>
            </w:r>
          </w:p>
        </w:tc>
        <w:tc>
          <w:tcPr>
            <w:tcW w:w="650" w:type="dxa"/>
            <w:vMerge w:val="restart"/>
            <w:tcBorders>
              <w:bottom w:val="nil"/>
            </w:tcBorders>
            <w:noWrap w:val="0"/>
            <w:vAlign w:val="center"/>
          </w:tcPr>
          <w:p w14:paraId="48AFAE7F">
            <w:pPr>
              <w:rPr>
                <w:color w:val="auto"/>
                <w:lang w:val="en-US" w:eastAsia="zh-CN" w:bidi="ar-SA"/>
              </w:rPr>
            </w:pPr>
          </w:p>
          <w:p w14:paraId="67EDA09C">
            <w:pPr>
              <w:rPr>
                <w:color w:val="auto"/>
                <w:lang w:val="en-US" w:eastAsia="zh-CN" w:bidi="ar-SA"/>
              </w:rPr>
            </w:pPr>
          </w:p>
          <w:p w14:paraId="461E5323">
            <w:pPr>
              <w:rPr>
                <w:color w:val="auto"/>
                <w:lang w:val="en-US" w:eastAsia="zh-CN" w:bidi="ar-SA"/>
              </w:rPr>
            </w:pPr>
          </w:p>
          <w:p w14:paraId="30B9E6D8">
            <w:pPr>
              <w:rPr>
                <w:color w:val="auto"/>
                <w:lang w:val="en-US" w:eastAsia="zh-CN" w:bidi="ar-SA"/>
              </w:rPr>
            </w:pPr>
          </w:p>
          <w:p w14:paraId="6BAE0DBF">
            <w:pPr>
              <w:pStyle w:val="24"/>
              <w:jc w:val="center"/>
              <w:rPr>
                <w:color w:val="auto"/>
                <w:sz w:val="20"/>
                <w:szCs w:val="20"/>
                <w:lang w:val="en-US" w:bidi="ar-SA"/>
              </w:rPr>
            </w:pPr>
            <w:r>
              <w:rPr>
                <w:color w:val="auto"/>
                <w:spacing w:val="4"/>
                <w:sz w:val="20"/>
                <w:szCs w:val="20"/>
                <w:lang w:val="en-US" w:bidi="ar-SA"/>
              </w:rPr>
              <w:t>总体</w:t>
            </w:r>
            <w:r>
              <w:rPr>
                <w:color w:val="auto"/>
                <w:sz w:val="20"/>
                <w:szCs w:val="20"/>
                <w:lang w:val="en-US" w:bidi="ar-SA"/>
              </w:rPr>
              <w:t xml:space="preserve"> </w:t>
            </w:r>
            <w:r>
              <w:rPr>
                <w:color w:val="auto"/>
                <w:spacing w:val="9"/>
                <w:sz w:val="20"/>
                <w:szCs w:val="20"/>
                <w:lang w:val="en-US" w:bidi="ar-SA"/>
              </w:rPr>
              <w:t>外围</w:t>
            </w:r>
          </w:p>
        </w:tc>
        <w:tc>
          <w:tcPr>
            <w:tcW w:w="5485" w:type="dxa"/>
            <w:noWrap w:val="0"/>
            <w:vAlign w:val="top"/>
          </w:tcPr>
          <w:p w14:paraId="1CBFCECF">
            <w:pPr>
              <w:pStyle w:val="24"/>
              <w:spacing w:before="38" w:line="217" w:lineRule="auto"/>
              <w:ind w:left="100" w:hanging="39"/>
              <w:rPr>
                <w:color w:val="auto"/>
                <w:sz w:val="20"/>
                <w:szCs w:val="20"/>
                <w:lang w:val="en-US" w:eastAsia="zh-CN" w:bidi="ar-SA"/>
              </w:rPr>
            </w:pPr>
            <w:r>
              <w:rPr>
                <w:color w:val="auto"/>
                <w:spacing w:val="-6"/>
                <w:sz w:val="20"/>
                <w:szCs w:val="20"/>
                <w:lang w:val="en-US" w:eastAsia="zh-CN" w:bidi="ar-SA"/>
              </w:rPr>
              <w:t>地面清扫、收集垃圾、水力冲洗，达到无垃圾、烟头、杂物、明</w:t>
            </w:r>
            <w:r>
              <w:rPr>
                <w:color w:val="auto"/>
                <w:spacing w:val="9"/>
                <w:sz w:val="20"/>
                <w:szCs w:val="20"/>
                <w:lang w:val="en-US" w:eastAsia="zh-CN" w:bidi="ar-SA"/>
              </w:rPr>
              <w:t xml:space="preserve"> </w:t>
            </w:r>
            <w:r>
              <w:rPr>
                <w:color w:val="auto"/>
                <w:spacing w:val="3"/>
                <w:sz w:val="20"/>
                <w:szCs w:val="20"/>
                <w:lang w:val="en-US" w:eastAsia="zh-CN" w:bidi="ar-SA"/>
              </w:rPr>
              <w:t>显泥沙</w:t>
            </w:r>
          </w:p>
        </w:tc>
        <w:tc>
          <w:tcPr>
            <w:tcW w:w="1899" w:type="dxa"/>
            <w:noWrap w:val="0"/>
            <w:vAlign w:val="top"/>
          </w:tcPr>
          <w:p w14:paraId="4D4C648B">
            <w:pPr>
              <w:pStyle w:val="24"/>
              <w:spacing w:before="158" w:line="219" w:lineRule="auto"/>
              <w:ind w:left="148"/>
              <w:rPr>
                <w:color w:val="auto"/>
                <w:sz w:val="20"/>
                <w:szCs w:val="20"/>
                <w:lang w:val="en-US" w:bidi="ar-SA"/>
              </w:rPr>
            </w:pPr>
            <w:r>
              <w:rPr>
                <w:color w:val="auto"/>
                <w:spacing w:val="-1"/>
                <w:sz w:val="20"/>
                <w:szCs w:val="20"/>
                <w:lang w:val="en-US" w:bidi="ar-SA"/>
              </w:rPr>
              <w:t>不满足1处扣0.5分</w:t>
            </w:r>
          </w:p>
        </w:tc>
      </w:tr>
      <w:tr w14:paraId="4D15D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7AC703AE">
            <w:pPr>
              <w:pStyle w:val="24"/>
              <w:spacing w:before="91" w:line="165" w:lineRule="auto"/>
              <w:ind w:left="0"/>
              <w:jc w:val="center"/>
              <w:rPr>
                <w:color w:val="auto"/>
                <w:sz w:val="20"/>
                <w:szCs w:val="20"/>
                <w:lang w:val="en-US" w:bidi="ar-SA"/>
              </w:rPr>
            </w:pPr>
            <w:r>
              <w:rPr>
                <w:color w:val="auto"/>
                <w:sz w:val="20"/>
                <w:szCs w:val="20"/>
                <w:lang w:val="en-US" w:bidi="ar-SA"/>
              </w:rPr>
              <w:t>2</w:t>
            </w:r>
          </w:p>
        </w:tc>
        <w:tc>
          <w:tcPr>
            <w:tcW w:w="650" w:type="dxa"/>
            <w:vMerge w:val="continue"/>
            <w:tcBorders>
              <w:top w:val="nil"/>
              <w:bottom w:val="nil"/>
            </w:tcBorders>
            <w:noWrap w:val="0"/>
            <w:vAlign w:val="center"/>
          </w:tcPr>
          <w:p w14:paraId="4D031951">
            <w:pPr>
              <w:jc w:val="center"/>
              <w:rPr>
                <w:rFonts w:ascii="Arial"/>
                <w:color w:val="auto"/>
                <w:lang w:val="en-US" w:eastAsia="zh-CN" w:bidi="ar-SA"/>
              </w:rPr>
            </w:pPr>
          </w:p>
        </w:tc>
        <w:tc>
          <w:tcPr>
            <w:tcW w:w="5485" w:type="dxa"/>
            <w:noWrap w:val="0"/>
            <w:vAlign w:val="top"/>
          </w:tcPr>
          <w:p w14:paraId="6529A609">
            <w:pPr>
              <w:pStyle w:val="24"/>
              <w:spacing w:before="39" w:line="213" w:lineRule="auto"/>
              <w:ind w:left="101"/>
              <w:rPr>
                <w:color w:val="auto"/>
                <w:sz w:val="20"/>
                <w:szCs w:val="20"/>
                <w:lang w:val="en-US" w:eastAsia="zh-CN" w:bidi="ar-SA"/>
              </w:rPr>
            </w:pPr>
            <w:r>
              <w:rPr>
                <w:color w:val="auto"/>
                <w:spacing w:val="-1"/>
                <w:sz w:val="20"/>
                <w:szCs w:val="20"/>
                <w:lang w:val="en-US" w:eastAsia="zh-CN" w:bidi="ar-SA"/>
              </w:rPr>
              <w:t>标志牌清洁，达到无积灰</w:t>
            </w:r>
          </w:p>
        </w:tc>
        <w:tc>
          <w:tcPr>
            <w:tcW w:w="1899" w:type="dxa"/>
            <w:noWrap w:val="0"/>
            <w:vAlign w:val="top"/>
          </w:tcPr>
          <w:p w14:paraId="048D9C9C">
            <w:pPr>
              <w:pStyle w:val="24"/>
              <w:spacing w:before="39" w:line="213" w:lineRule="auto"/>
              <w:ind w:left="148"/>
              <w:rPr>
                <w:color w:val="auto"/>
                <w:sz w:val="20"/>
                <w:szCs w:val="20"/>
                <w:lang w:val="en-US" w:bidi="ar-SA"/>
              </w:rPr>
            </w:pPr>
            <w:r>
              <w:rPr>
                <w:color w:val="auto"/>
                <w:spacing w:val="-1"/>
                <w:sz w:val="20"/>
                <w:szCs w:val="20"/>
                <w:lang w:val="en-US" w:bidi="ar-SA"/>
              </w:rPr>
              <w:t>不满足1处扣0.5分</w:t>
            </w:r>
          </w:p>
        </w:tc>
      </w:tr>
      <w:tr w14:paraId="03853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74" w:type="dxa"/>
            <w:noWrap w:val="0"/>
            <w:vAlign w:val="center"/>
          </w:tcPr>
          <w:p w14:paraId="22ADC2E6">
            <w:pPr>
              <w:pStyle w:val="24"/>
              <w:spacing w:before="130" w:line="183" w:lineRule="auto"/>
              <w:ind w:left="0"/>
              <w:jc w:val="center"/>
              <w:rPr>
                <w:color w:val="auto"/>
                <w:sz w:val="20"/>
                <w:szCs w:val="20"/>
                <w:lang w:val="en-US" w:bidi="ar-SA"/>
              </w:rPr>
            </w:pPr>
            <w:r>
              <w:rPr>
                <w:color w:val="auto"/>
                <w:sz w:val="20"/>
                <w:szCs w:val="20"/>
                <w:lang w:val="en-US" w:bidi="ar-SA"/>
              </w:rPr>
              <w:t>3</w:t>
            </w:r>
          </w:p>
        </w:tc>
        <w:tc>
          <w:tcPr>
            <w:tcW w:w="650" w:type="dxa"/>
            <w:vMerge w:val="continue"/>
            <w:tcBorders>
              <w:top w:val="nil"/>
              <w:bottom w:val="nil"/>
            </w:tcBorders>
            <w:noWrap w:val="0"/>
            <w:vAlign w:val="center"/>
          </w:tcPr>
          <w:p w14:paraId="60191514">
            <w:pPr>
              <w:jc w:val="center"/>
              <w:rPr>
                <w:rFonts w:ascii="Arial"/>
                <w:color w:val="auto"/>
                <w:lang w:val="en-US" w:eastAsia="zh-CN" w:bidi="ar-SA"/>
              </w:rPr>
            </w:pPr>
          </w:p>
        </w:tc>
        <w:tc>
          <w:tcPr>
            <w:tcW w:w="5485" w:type="dxa"/>
            <w:noWrap w:val="0"/>
            <w:vAlign w:val="top"/>
          </w:tcPr>
          <w:p w14:paraId="4825124B">
            <w:pPr>
              <w:pStyle w:val="24"/>
              <w:spacing w:before="77" w:line="218" w:lineRule="auto"/>
              <w:ind w:left="101"/>
              <w:rPr>
                <w:color w:val="auto"/>
                <w:sz w:val="20"/>
                <w:szCs w:val="20"/>
                <w:lang w:val="en-US" w:eastAsia="zh-CN" w:bidi="ar-SA"/>
              </w:rPr>
            </w:pPr>
            <w:r>
              <w:rPr>
                <w:color w:val="auto"/>
                <w:sz w:val="20"/>
                <w:szCs w:val="20"/>
                <w:lang w:val="en-US" w:eastAsia="zh-CN" w:bidi="ar-SA"/>
              </w:rPr>
              <w:t>2米以下外墙刷洗，达到无积灰、污渍、无乱贴广告</w:t>
            </w:r>
          </w:p>
        </w:tc>
        <w:tc>
          <w:tcPr>
            <w:tcW w:w="1899" w:type="dxa"/>
            <w:noWrap w:val="0"/>
            <w:vAlign w:val="top"/>
          </w:tcPr>
          <w:p w14:paraId="74F02BF9">
            <w:pPr>
              <w:pStyle w:val="24"/>
              <w:spacing w:before="79" w:line="219" w:lineRule="auto"/>
              <w:ind w:left="148"/>
              <w:rPr>
                <w:color w:val="auto"/>
                <w:sz w:val="20"/>
                <w:szCs w:val="20"/>
                <w:lang w:val="en-US" w:bidi="ar-SA"/>
              </w:rPr>
            </w:pPr>
            <w:r>
              <w:rPr>
                <w:color w:val="auto"/>
                <w:spacing w:val="-1"/>
                <w:sz w:val="20"/>
                <w:szCs w:val="20"/>
                <w:lang w:val="en-US" w:bidi="ar-SA"/>
              </w:rPr>
              <w:t>不满足1处扣0.5分</w:t>
            </w:r>
          </w:p>
        </w:tc>
      </w:tr>
      <w:tr w14:paraId="0A3BD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6CFDFA95">
            <w:pPr>
              <w:pStyle w:val="24"/>
              <w:spacing w:before="92" w:line="164" w:lineRule="auto"/>
              <w:ind w:left="0"/>
              <w:jc w:val="center"/>
              <w:rPr>
                <w:color w:val="auto"/>
                <w:sz w:val="20"/>
                <w:szCs w:val="20"/>
                <w:lang w:val="en-US" w:bidi="ar-SA"/>
              </w:rPr>
            </w:pPr>
            <w:r>
              <w:rPr>
                <w:color w:val="auto"/>
                <w:sz w:val="20"/>
                <w:szCs w:val="20"/>
                <w:lang w:val="en-US" w:bidi="ar-SA"/>
              </w:rPr>
              <w:t>4</w:t>
            </w:r>
          </w:p>
        </w:tc>
        <w:tc>
          <w:tcPr>
            <w:tcW w:w="650" w:type="dxa"/>
            <w:vMerge w:val="continue"/>
            <w:tcBorders>
              <w:top w:val="nil"/>
              <w:bottom w:val="nil"/>
            </w:tcBorders>
            <w:noWrap w:val="0"/>
            <w:vAlign w:val="center"/>
          </w:tcPr>
          <w:p w14:paraId="0837ADFD">
            <w:pPr>
              <w:jc w:val="center"/>
              <w:rPr>
                <w:rFonts w:ascii="Arial"/>
                <w:color w:val="auto"/>
                <w:lang w:val="en-US" w:eastAsia="zh-CN" w:bidi="ar-SA"/>
              </w:rPr>
            </w:pPr>
          </w:p>
        </w:tc>
        <w:tc>
          <w:tcPr>
            <w:tcW w:w="5485" w:type="dxa"/>
            <w:noWrap w:val="0"/>
            <w:vAlign w:val="top"/>
          </w:tcPr>
          <w:p w14:paraId="169A7CD7">
            <w:pPr>
              <w:pStyle w:val="24"/>
              <w:spacing w:before="40" w:line="212" w:lineRule="auto"/>
              <w:ind w:left="101"/>
              <w:rPr>
                <w:color w:val="auto"/>
                <w:sz w:val="20"/>
                <w:szCs w:val="20"/>
                <w:lang w:val="en-US" w:eastAsia="zh-CN" w:bidi="ar-SA"/>
              </w:rPr>
            </w:pPr>
            <w:r>
              <w:rPr>
                <w:color w:val="auto"/>
                <w:spacing w:val="-1"/>
                <w:sz w:val="20"/>
                <w:szCs w:val="20"/>
                <w:lang w:val="en-US" w:eastAsia="zh-CN" w:bidi="ar-SA"/>
              </w:rPr>
              <w:t>监控探头清洁，达到无灰尘</w:t>
            </w:r>
          </w:p>
        </w:tc>
        <w:tc>
          <w:tcPr>
            <w:tcW w:w="1899" w:type="dxa"/>
            <w:noWrap w:val="0"/>
            <w:vAlign w:val="top"/>
          </w:tcPr>
          <w:p w14:paraId="0B33187A">
            <w:pPr>
              <w:pStyle w:val="24"/>
              <w:spacing w:before="40" w:line="212" w:lineRule="auto"/>
              <w:ind w:left="148"/>
              <w:rPr>
                <w:color w:val="auto"/>
                <w:sz w:val="20"/>
                <w:szCs w:val="20"/>
                <w:lang w:val="en-US" w:bidi="ar-SA"/>
              </w:rPr>
            </w:pPr>
            <w:r>
              <w:rPr>
                <w:color w:val="auto"/>
                <w:spacing w:val="-1"/>
                <w:sz w:val="20"/>
                <w:szCs w:val="20"/>
                <w:lang w:val="en-US" w:bidi="ar-SA"/>
              </w:rPr>
              <w:t>不满足1处扣0.5分</w:t>
            </w:r>
          </w:p>
        </w:tc>
      </w:tr>
      <w:tr w14:paraId="2FA1C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74" w:type="dxa"/>
            <w:noWrap w:val="0"/>
            <w:vAlign w:val="center"/>
          </w:tcPr>
          <w:p w14:paraId="61BFA865">
            <w:pPr>
              <w:pStyle w:val="24"/>
              <w:spacing w:before="222" w:line="182" w:lineRule="auto"/>
              <w:ind w:left="0"/>
              <w:jc w:val="center"/>
              <w:rPr>
                <w:color w:val="auto"/>
                <w:sz w:val="20"/>
                <w:szCs w:val="20"/>
                <w:lang w:val="en-US" w:bidi="ar-SA"/>
              </w:rPr>
            </w:pPr>
            <w:r>
              <w:rPr>
                <w:color w:val="auto"/>
                <w:sz w:val="20"/>
                <w:szCs w:val="20"/>
                <w:lang w:val="en-US" w:bidi="ar-SA"/>
              </w:rPr>
              <w:t>5</w:t>
            </w:r>
          </w:p>
        </w:tc>
        <w:tc>
          <w:tcPr>
            <w:tcW w:w="650" w:type="dxa"/>
            <w:vMerge w:val="continue"/>
            <w:tcBorders>
              <w:top w:val="nil"/>
              <w:bottom w:val="nil"/>
            </w:tcBorders>
            <w:noWrap w:val="0"/>
            <w:vAlign w:val="center"/>
          </w:tcPr>
          <w:p w14:paraId="754A447A">
            <w:pPr>
              <w:jc w:val="center"/>
              <w:rPr>
                <w:rFonts w:ascii="Arial"/>
                <w:color w:val="auto"/>
                <w:lang w:val="en-US" w:eastAsia="zh-CN" w:bidi="ar-SA"/>
              </w:rPr>
            </w:pPr>
          </w:p>
        </w:tc>
        <w:tc>
          <w:tcPr>
            <w:tcW w:w="5485" w:type="dxa"/>
            <w:noWrap w:val="0"/>
            <w:vAlign w:val="top"/>
          </w:tcPr>
          <w:p w14:paraId="2FF7C32A">
            <w:pPr>
              <w:pStyle w:val="24"/>
              <w:spacing w:before="51" w:line="216" w:lineRule="auto"/>
              <w:ind w:left="100" w:hanging="39"/>
              <w:rPr>
                <w:color w:val="auto"/>
                <w:sz w:val="20"/>
                <w:szCs w:val="20"/>
                <w:lang w:val="en-US" w:eastAsia="zh-CN" w:bidi="ar-SA"/>
              </w:rPr>
            </w:pPr>
            <w:r>
              <w:rPr>
                <w:color w:val="auto"/>
                <w:spacing w:val="-6"/>
                <w:sz w:val="20"/>
                <w:szCs w:val="20"/>
                <w:lang w:val="en-US" w:eastAsia="zh-CN" w:bidi="ar-SA"/>
              </w:rPr>
              <w:t>明沟清扫、收集垃圾、刷洗，达到无垃圾、杂物、无积水、无苔</w:t>
            </w:r>
            <w:r>
              <w:rPr>
                <w:color w:val="auto"/>
                <w:spacing w:val="9"/>
                <w:sz w:val="20"/>
                <w:szCs w:val="20"/>
                <w:lang w:val="en-US" w:eastAsia="zh-CN" w:bidi="ar-SA"/>
              </w:rPr>
              <w:t xml:space="preserve"> </w:t>
            </w:r>
            <w:r>
              <w:rPr>
                <w:color w:val="auto"/>
                <w:sz w:val="20"/>
                <w:szCs w:val="20"/>
                <w:lang w:val="en-US" w:eastAsia="zh-CN" w:bidi="ar-SA"/>
              </w:rPr>
              <w:t>藓</w:t>
            </w:r>
          </w:p>
        </w:tc>
        <w:tc>
          <w:tcPr>
            <w:tcW w:w="1899" w:type="dxa"/>
            <w:noWrap w:val="0"/>
            <w:vAlign w:val="top"/>
          </w:tcPr>
          <w:p w14:paraId="5E4FAEA2">
            <w:pPr>
              <w:pStyle w:val="24"/>
              <w:spacing w:before="170" w:line="219" w:lineRule="auto"/>
              <w:ind w:left="148"/>
              <w:rPr>
                <w:color w:val="auto"/>
                <w:sz w:val="20"/>
                <w:szCs w:val="20"/>
                <w:lang w:val="en-US" w:bidi="ar-SA"/>
              </w:rPr>
            </w:pPr>
            <w:r>
              <w:rPr>
                <w:color w:val="auto"/>
                <w:spacing w:val="-1"/>
                <w:sz w:val="20"/>
                <w:szCs w:val="20"/>
                <w:lang w:val="en-US" w:bidi="ar-SA"/>
              </w:rPr>
              <w:t>不满足1处扣0.5分</w:t>
            </w:r>
          </w:p>
        </w:tc>
      </w:tr>
      <w:tr w14:paraId="495B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4" w:type="dxa"/>
            <w:noWrap w:val="0"/>
            <w:vAlign w:val="center"/>
          </w:tcPr>
          <w:p w14:paraId="07CB7679">
            <w:pPr>
              <w:pStyle w:val="24"/>
              <w:spacing w:before="152" w:line="183" w:lineRule="auto"/>
              <w:ind w:left="0"/>
              <w:jc w:val="center"/>
              <w:rPr>
                <w:color w:val="auto"/>
                <w:sz w:val="20"/>
                <w:szCs w:val="20"/>
                <w:lang w:val="en-US" w:bidi="ar-SA"/>
              </w:rPr>
            </w:pPr>
            <w:r>
              <w:rPr>
                <w:color w:val="auto"/>
                <w:sz w:val="20"/>
                <w:szCs w:val="20"/>
                <w:lang w:val="en-US" w:bidi="ar-SA"/>
              </w:rPr>
              <w:t>6</w:t>
            </w:r>
          </w:p>
        </w:tc>
        <w:tc>
          <w:tcPr>
            <w:tcW w:w="650" w:type="dxa"/>
            <w:vMerge w:val="continue"/>
            <w:tcBorders>
              <w:top w:val="nil"/>
              <w:bottom w:val="nil"/>
            </w:tcBorders>
            <w:noWrap w:val="0"/>
            <w:vAlign w:val="center"/>
          </w:tcPr>
          <w:p w14:paraId="52EC47FE">
            <w:pPr>
              <w:jc w:val="center"/>
              <w:rPr>
                <w:rFonts w:ascii="Arial"/>
                <w:color w:val="auto"/>
                <w:lang w:val="en-US" w:eastAsia="zh-CN" w:bidi="ar-SA"/>
              </w:rPr>
            </w:pPr>
          </w:p>
        </w:tc>
        <w:tc>
          <w:tcPr>
            <w:tcW w:w="5485" w:type="dxa"/>
            <w:noWrap w:val="0"/>
            <w:vAlign w:val="top"/>
          </w:tcPr>
          <w:p w14:paraId="7D11491B">
            <w:pPr>
              <w:pStyle w:val="24"/>
              <w:spacing w:before="100" w:line="219" w:lineRule="auto"/>
              <w:ind w:left="101"/>
              <w:rPr>
                <w:color w:val="auto"/>
                <w:sz w:val="20"/>
                <w:szCs w:val="20"/>
                <w:lang w:val="en-US" w:eastAsia="zh-CN" w:bidi="ar-SA"/>
              </w:rPr>
            </w:pPr>
            <w:r>
              <w:rPr>
                <w:color w:val="auto"/>
                <w:spacing w:val="-1"/>
                <w:sz w:val="20"/>
                <w:szCs w:val="20"/>
                <w:lang w:val="en-US" w:eastAsia="zh-CN" w:bidi="ar-SA"/>
              </w:rPr>
              <w:t>室外垃圾箱外抹内洗，达到干净明亮</w:t>
            </w:r>
          </w:p>
        </w:tc>
        <w:tc>
          <w:tcPr>
            <w:tcW w:w="1899" w:type="dxa"/>
            <w:noWrap w:val="0"/>
            <w:vAlign w:val="top"/>
          </w:tcPr>
          <w:p w14:paraId="3924ACA1">
            <w:pPr>
              <w:pStyle w:val="24"/>
              <w:spacing w:before="101" w:line="219" w:lineRule="auto"/>
              <w:ind w:left="148"/>
              <w:rPr>
                <w:color w:val="auto"/>
                <w:sz w:val="20"/>
                <w:szCs w:val="20"/>
                <w:lang w:val="en-US" w:bidi="ar-SA"/>
              </w:rPr>
            </w:pPr>
            <w:r>
              <w:rPr>
                <w:color w:val="auto"/>
                <w:spacing w:val="-1"/>
                <w:sz w:val="20"/>
                <w:szCs w:val="20"/>
                <w:lang w:val="en-US" w:bidi="ar-SA"/>
              </w:rPr>
              <w:t>不满足1处扣0.5分</w:t>
            </w:r>
          </w:p>
        </w:tc>
      </w:tr>
      <w:tr w14:paraId="564DB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74" w:type="dxa"/>
            <w:noWrap w:val="0"/>
            <w:vAlign w:val="center"/>
          </w:tcPr>
          <w:p w14:paraId="31B49F5A">
            <w:pPr>
              <w:pStyle w:val="24"/>
              <w:spacing w:before="94" w:line="166" w:lineRule="exact"/>
              <w:ind w:left="0"/>
              <w:jc w:val="center"/>
              <w:rPr>
                <w:color w:val="auto"/>
                <w:sz w:val="20"/>
                <w:szCs w:val="20"/>
                <w:lang w:val="en-US" w:bidi="ar-SA"/>
              </w:rPr>
            </w:pPr>
            <w:r>
              <w:rPr>
                <w:color w:val="auto"/>
                <w:position w:val="-2"/>
                <w:sz w:val="20"/>
                <w:szCs w:val="20"/>
                <w:lang w:val="en-US" w:bidi="ar-SA"/>
              </w:rPr>
              <w:t>7</w:t>
            </w:r>
          </w:p>
        </w:tc>
        <w:tc>
          <w:tcPr>
            <w:tcW w:w="650" w:type="dxa"/>
            <w:vMerge w:val="continue"/>
            <w:tcBorders>
              <w:top w:val="nil"/>
            </w:tcBorders>
            <w:noWrap w:val="0"/>
            <w:vAlign w:val="center"/>
          </w:tcPr>
          <w:p w14:paraId="2326FAA8">
            <w:pPr>
              <w:jc w:val="center"/>
              <w:rPr>
                <w:rFonts w:ascii="Arial"/>
                <w:color w:val="auto"/>
                <w:lang w:val="en-US" w:eastAsia="zh-CN" w:bidi="ar-SA"/>
              </w:rPr>
            </w:pPr>
          </w:p>
        </w:tc>
        <w:tc>
          <w:tcPr>
            <w:tcW w:w="5485" w:type="dxa"/>
            <w:noWrap w:val="0"/>
            <w:vAlign w:val="top"/>
          </w:tcPr>
          <w:p w14:paraId="207AC3B9">
            <w:pPr>
              <w:pStyle w:val="24"/>
              <w:spacing w:before="41" w:line="202" w:lineRule="auto"/>
              <w:ind w:left="101"/>
              <w:rPr>
                <w:color w:val="auto"/>
                <w:sz w:val="20"/>
                <w:szCs w:val="20"/>
                <w:lang w:val="en-US" w:eastAsia="zh-CN" w:bidi="ar-SA"/>
              </w:rPr>
            </w:pPr>
            <w:r>
              <w:rPr>
                <w:color w:val="auto"/>
                <w:spacing w:val="-1"/>
                <w:sz w:val="20"/>
                <w:szCs w:val="20"/>
                <w:lang w:val="en-US" w:eastAsia="zh-CN" w:bidi="ar-SA"/>
              </w:rPr>
              <w:t>绿化、草坪内每天清理垃圾、杂物，达到无异物</w:t>
            </w:r>
          </w:p>
        </w:tc>
        <w:tc>
          <w:tcPr>
            <w:tcW w:w="1899" w:type="dxa"/>
            <w:noWrap w:val="0"/>
            <w:vAlign w:val="top"/>
          </w:tcPr>
          <w:p w14:paraId="27F58450">
            <w:pPr>
              <w:pStyle w:val="24"/>
              <w:spacing w:before="41" w:line="202" w:lineRule="auto"/>
              <w:ind w:left="148"/>
              <w:rPr>
                <w:color w:val="auto"/>
                <w:sz w:val="20"/>
                <w:szCs w:val="20"/>
                <w:lang w:val="en-US" w:bidi="ar-SA"/>
              </w:rPr>
            </w:pPr>
            <w:r>
              <w:rPr>
                <w:color w:val="auto"/>
                <w:spacing w:val="-1"/>
                <w:sz w:val="20"/>
                <w:szCs w:val="20"/>
                <w:lang w:val="en-US" w:bidi="ar-SA"/>
              </w:rPr>
              <w:t>不满足1处扣0.5分</w:t>
            </w:r>
          </w:p>
        </w:tc>
      </w:tr>
      <w:tr w14:paraId="332DD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43160440">
            <w:pPr>
              <w:pStyle w:val="24"/>
              <w:spacing w:before="92" w:line="164" w:lineRule="auto"/>
              <w:ind w:left="0"/>
              <w:jc w:val="center"/>
              <w:rPr>
                <w:color w:val="auto"/>
                <w:sz w:val="20"/>
                <w:szCs w:val="20"/>
                <w:lang w:val="en-US" w:bidi="ar-SA"/>
              </w:rPr>
            </w:pPr>
            <w:r>
              <w:rPr>
                <w:color w:val="auto"/>
                <w:sz w:val="20"/>
                <w:szCs w:val="20"/>
                <w:lang w:val="en-US" w:bidi="ar-SA"/>
              </w:rPr>
              <w:t>8</w:t>
            </w:r>
          </w:p>
        </w:tc>
        <w:tc>
          <w:tcPr>
            <w:tcW w:w="650" w:type="dxa"/>
            <w:vMerge w:val="restart"/>
            <w:tcBorders>
              <w:bottom w:val="nil"/>
            </w:tcBorders>
            <w:noWrap w:val="0"/>
            <w:vAlign w:val="center"/>
          </w:tcPr>
          <w:p w14:paraId="5D24AF26">
            <w:pPr>
              <w:rPr>
                <w:color w:val="auto"/>
                <w:lang w:val="en-US" w:eastAsia="zh-CN" w:bidi="ar-SA"/>
              </w:rPr>
            </w:pPr>
          </w:p>
          <w:p w14:paraId="6D9B1974">
            <w:pPr>
              <w:rPr>
                <w:color w:val="auto"/>
                <w:lang w:val="en-US" w:eastAsia="zh-CN" w:bidi="ar-SA"/>
              </w:rPr>
            </w:pPr>
          </w:p>
          <w:p w14:paraId="52F38C61">
            <w:pPr>
              <w:rPr>
                <w:color w:val="auto"/>
                <w:lang w:val="en-US" w:eastAsia="zh-CN" w:bidi="ar-SA"/>
              </w:rPr>
            </w:pPr>
          </w:p>
          <w:p w14:paraId="2658DB22">
            <w:pPr>
              <w:rPr>
                <w:color w:val="auto"/>
                <w:lang w:val="en-US" w:eastAsia="zh-CN" w:bidi="ar-SA"/>
              </w:rPr>
            </w:pPr>
          </w:p>
          <w:p w14:paraId="2E778321">
            <w:pPr>
              <w:rPr>
                <w:color w:val="auto"/>
                <w:lang w:val="en-US" w:eastAsia="zh-CN" w:bidi="ar-SA"/>
              </w:rPr>
            </w:pPr>
          </w:p>
          <w:p w14:paraId="290B09F7">
            <w:pPr>
              <w:pStyle w:val="24"/>
              <w:spacing w:before="65" w:line="221" w:lineRule="auto"/>
              <w:ind w:left="0" w:right="119"/>
              <w:jc w:val="center"/>
              <w:rPr>
                <w:color w:val="auto"/>
                <w:sz w:val="20"/>
                <w:szCs w:val="20"/>
                <w:lang w:val="en-US" w:bidi="ar-SA"/>
              </w:rPr>
            </w:pPr>
            <w:r>
              <w:rPr>
                <w:color w:val="auto"/>
                <w:spacing w:val="4"/>
                <w:sz w:val="20"/>
                <w:szCs w:val="20"/>
                <w:lang w:val="en-US" w:bidi="ar-SA"/>
              </w:rPr>
              <w:t>公共</w:t>
            </w:r>
            <w:r>
              <w:rPr>
                <w:color w:val="auto"/>
                <w:sz w:val="20"/>
                <w:szCs w:val="20"/>
                <w:lang w:val="en-US" w:bidi="ar-SA"/>
              </w:rPr>
              <w:t xml:space="preserve"> </w:t>
            </w:r>
            <w:r>
              <w:rPr>
                <w:color w:val="auto"/>
                <w:spacing w:val="4"/>
                <w:sz w:val="20"/>
                <w:szCs w:val="20"/>
                <w:lang w:val="en-US" w:bidi="ar-SA"/>
              </w:rPr>
              <w:t>区域</w:t>
            </w:r>
          </w:p>
        </w:tc>
        <w:tc>
          <w:tcPr>
            <w:tcW w:w="5485" w:type="dxa"/>
            <w:noWrap w:val="0"/>
            <w:vAlign w:val="top"/>
          </w:tcPr>
          <w:p w14:paraId="1C64CCAA">
            <w:pPr>
              <w:pStyle w:val="24"/>
              <w:spacing w:before="41" w:line="211" w:lineRule="auto"/>
              <w:ind w:left="101"/>
              <w:rPr>
                <w:color w:val="auto"/>
                <w:sz w:val="20"/>
                <w:szCs w:val="20"/>
                <w:lang w:val="en-US" w:eastAsia="zh-CN" w:bidi="ar-SA"/>
              </w:rPr>
            </w:pPr>
            <w:r>
              <w:rPr>
                <w:color w:val="auto"/>
                <w:spacing w:val="-1"/>
                <w:sz w:val="20"/>
                <w:szCs w:val="20"/>
                <w:lang w:val="en-US" w:eastAsia="zh-CN" w:bidi="ar-SA"/>
              </w:rPr>
              <w:t>地面清洁，达到无灰尘、光亮</w:t>
            </w:r>
          </w:p>
        </w:tc>
        <w:tc>
          <w:tcPr>
            <w:tcW w:w="1899" w:type="dxa"/>
            <w:noWrap w:val="0"/>
            <w:vAlign w:val="top"/>
          </w:tcPr>
          <w:p w14:paraId="7EB73C45">
            <w:pPr>
              <w:pStyle w:val="24"/>
              <w:spacing w:before="41" w:line="211" w:lineRule="auto"/>
              <w:ind w:left="148"/>
              <w:rPr>
                <w:color w:val="auto"/>
                <w:sz w:val="20"/>
                <w:szCs w:val="20"/>
                <w:lang w:val="en-US" w:bidi="ar-SA"/>
              </w:rPr>
            </w:pPr>
            <w:r>
              <w:rPr>
                <w:color w:val="auto"/>
                <w:spacing w:val="-1"/>
                <w:sz w:val="20"/>
                <w:szCs w:val="20"/>
                <w:lang w:val="en-US" w:bidi="ar-SA"/>
              </w:rPr>
              <w:t>不满足1处扣0.5分</w:t>
            </w:r>
          </w:p>
        </w:tc>
      </w:tr>
      <w:tr w14:paraId="42CE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74" w:type="dxa"/>
            <w:noWrap w:val="0"/>
            <w:vAlign w:val="center"/>
          </w:tcPr>
          <w:p w14:paraId="2DADA620">
            <w:pPr>
              <w:pStyle w:val="24"/>
              <w:spacing w:before="171" w:line="184" w:lineRule="auto"/>
              <w:ind w:left="0"/>
              <w:jc w:val="center"/>
              <w:rPr>
                <w:color w:val="auto"/>
                <w:sz w:val="20"/>
                <w:szCs w:val="20"/>
                <w:lang w:val="en-US" w:bidi="ar-SA"/>
              </w:rPr>
            </w:pPr>
            <w:r>
              <w:rPr>
                <w:color w:val="auto"/>
                <w:spacing w:val="-6"/>
                <w:sz w:val="20"/>
                <w:szCs w:val="20"/>
                <w:lang w:val="en-US" w:bidi="ar-SA"/>
              </w:rPr>
              <w:t>10</w:t>
            </w:r>
          </w:p>
        </w:tc>
        <w:tc>
          <w:tcPr>
            <w:tcW w:w="650" w:type="dxa"/>
            <w:vMerge w:val="continue"/>
            <w:tcBorders>
              <w:top w:val="nil"/>
              <w:bottom w:val="nil"/>
            </w:tcBorders>
            <w:noWrap w:val="0"/>
            <w:vAlign w:val="center"/>
          </w:tcPr>
          <w:p w14:paraId="0E94DF78">
            <w:pPr>
              <w:jc w:val="center"/>
              <w:rPr>
                <w:rFonts w:ascii="Arial"/>
                <w:color w:val="auto"/>
                <w:lang w:val="en-US" w:eastAsia="zh-CN" w:bidi="ar-SA"/>
              </w:rPr>
            </w:pPr>
          </w:p>
        </w:tc>
        <w:tc>
          <w:tcPr>
            <w:tcW w:w="5485" w:type="dxa"/>
            <w:noWrap w:val="0"/>
            <w:vAlign w:val="top"/>
          </w:tcPr>
          <w:p w14:paraId="0AAA3BD5">
            <w:pPr>
              <w:pStyle w:val="24"/>
              <w:spacing w:before="121" w:line="219" w:lineRule="auto"/>
              <w:ind w:left="101"/>
              <w:rPr>
                <w:color w:val="auto"/>
                <w:sz w:val="20"/>
                <w:szCs w:val="20"/>
                <w:lang w:val="en-US" w:eastAsia="zh-CN" w:bidi="ar-SA"/>
              </w:rPr>
            </w:pPr>
            <w:r>
              <w:rPr>
                <w:color w:val="auto"/>
                <w:spacing w:val="-1"/>
                <w:sz w:val="20"/>
                <w:szCs w:val="20"/>
                <w:lang w:val="en-US" w:eastAsia="zh-CN" w:bidi="ar-SA"/>
              </w:rPr>
              <w:t>墙面清洁、除尘、抛光，达到无积灰、污渍</w:t>
            </w:r>
          </w:p>
        </w:tc>
        <w:tc>
          <w:tcPr>
            <w:tcW w:w="1899" w:type="dxa"/>
            <w:noWrap w:val="0"/>
            <w:vAlign w:val="top"/>
          </w:tcPr>
          <w:p w14:paraId="38B78272">
            <w:pPr>
              <w:pStyle w:val="24"/>
              <w:spacing w:before="121" w:line="219" w:lineRule="auto"/>
              <w:ind w:left="148"/>
              <w:rPr>
                <w:color w:val="auto"/>
                <w:sz w:val="20"/>
                <w:szCs w:val="20"/>
                <w:lang w:val="en-US" w:bidi="ar-SA"/>
              </w:rPr>
            </w:pPr>
            <w:r>
              <w:rPr>
                <w:color w:val="auto"/>
                <w:spacing w:val="-1"/>
                <w:sz w:val="20"/>
                <w:szCs w:val="20"/>
                <w:lang w:val="en-US" w:bidi="ar-SA"/>
              </w:rPr>
              <w:t>不满足1处扣0.5分</w:t>
            </w:r>
          </w:p>
        </w:tc>
      </w:tr>
      <w:tr w14:paraId="2CDF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74" w:type="dxa"/>
            <w:noWrap w:val="0"/>
            <w:vAlign w:val="center"/>
          </w:tcPr>
          <w:p w14:paraId="407ED2B0">
            <w:pPr>
              <w:pStyle w:val="24"/>
              <w:spacing w:before="93" w:line="167" w:lineRule="exact"/>
              <w:ind w:left="0"/>
              <w:jc w:val="center"/>
              <w:rPr>
                <w:color w:val="auto"/>
                <w:sz w:val="20"/>
                <w:szCs w:val="20"/>
                <w:lang w:val="en-US" w:eastAsia="zh-CN" w:bidi="ar-SA"/>
              </w:rPr>
            </w:pPr>
            <w:r>
              <w:rPr>
                <w:rFonts w:hint="eastAsia"/>
                <w:color w:val="auto"/>
                <w:spacing w:val="-6"/>
                <w:position w:val="-2"/>
                <w:sz w:val="20"/>
                <w:szCs w:val="20"/>
                <w:lang w:val="en-US" w:eastAsia="zh-CN" w:bidi="ar-SA"/>
              </w:rPr>
              <w:t>12</w:t>
            </w:r>
          </w:p>
        </w:tc>
        <w:tc>
          <w:tcPr>
            <w:tcW w:w="650" w:type="dxa"/>
            <w:vMerge w:val="continue"/>
            <w:tcBorders>
              <w:top w:val="nil"/>
              <w:bottom w:val="nil"/>
            </w:tcBorders>
            <w:noWrap w:val="0"/>
            <w:vAlign w:val="center"/>
          </w:tcPr>
          <w:p w14:paraId="1255D93F">
            <w:pPr>
              <w:jc w:val="center"/>
              <w:rPr>
                <w:rFonts w:ascii="Arial"/>
                <w:color w:val="auto"/>
                <w:lang w:val="en-US" w:eastAsia="zh-CN" w:bidi="ar-SA"/>
              </w:rPr>
            </w:pPr>
          </w:p>
        </w:tc>
        <w:tc>
          <w:tcPr>
            <w:tcW w:w="5485" w:type="dxa"/>
            <w:noWrap w:val="0"/>
            <w:vAlign w:val="top"/>
          </w:tcPr>
          <w:p w14:paraId="50C1CB97">
            <w:pPr>
              <w:pStyle w:val="24"/>
              <w:spacing w:before="41" w:line="202" w:lineRule="auto"/>
              <w:ind w:right="186"/>
              <w:jc w:val="right"/>
              <w:rPr>
                <w:color w:val="auto"/>
                <w:sz w:val="20"/>
                <w:szCs w:val="20"/>
                <w:lang w:val="en-US" w:eastAsia="zh-CN" w:bidi="ar-SA"/>
              </w:rPr>
            </w:pPr>
            <w:r>
              <w:rPr>
                <w:color w:val="auto"/>
                <w:spacing w:val="-7"/>
                <w:sz w:val="20"/>
                <w:szCs w:val="20"/>
                <w:lang w:val="en-US" w:eastAsia="zh-CN" w:bidi="ar-SA"/>
              </w:rPr>
              <w:t>墙角、灯箱、灯具清洁、除尘，达到无灰尘、无蜘蛛网、</w:t>
            </w:r>
            <w:r>
              <w:rPr>
                <w:color w:val="auto"/>
                <w:spacing w:val="-8"/>
                <w:sz w:val="20"/>
                <w:szCs w:val="20"/>
                <w:lang w:val="en-US" w:eastAsia="zh-CN" w:bidi="ar-SA"/>
              </w:rPr>
              <w:t>无蚊虫</w:t>
            </w:r>
          </w:p>
        </w:tc>
        <w:tc>
          <w:tcPr>
            <w:tcW w:w="1899" w:type="dxa"/>
            <w:noWrap w:val="0"/>
            <w:vAlign w:val="top"/>
          </w:tcPr>
          <w:p w14:paraId="1B908D4E">
            <w:pPr>
              <w:pStyle w:val="24"/>
              <w:spacing w:before="42" w:line="201" w:lineRule="auto"/>
              <w:ind w:left="148"/>
              <w:rPr>
                <w:color w:val="auto"/>
                <w:sz w:val="20"/>
                <w:szCs w:val="20"/>
                <w:lang w:val="en-US" w:bidi="ar-SA"/>
              </w:rPr>
            </w:pPr>
            <w:r>
              <w:rPr>
                <w:color w:val="auto"/>
                <w:spacing w:val="-1"/>
                <w:sz w:val="20"/>
                <w:szCs w:val="20"/>
                <w:lang w:val="en-US" w:bidi="ar-SA"/>
              </w:rPr>
              <w:t>不满足1处扣0.5分</w:t>
            </w:r>
          </w:p>
        </w:tc>
      </w:tr>
      <w:tr w14:paraId="2BD15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74" w:type="dxa"/>
            <w:noWrap w:val="0"/>
            <w:vAlign w:val="center"/>
          </w:tcPr>
          <w:p w14:paraId="7239608B">
            <w:pPr>
              <w:pStyle w:val="24"/>
              <w:spacing w:before="102" w:line="173"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3</w:t>
            </w:r>
          </w:p>
        </w:tc>
        <w:tc>
          <w:tcPr>
            <w:tcW w:w="650" w:type="dxa"/>
            <w:vMerge w:val="continue"/>
            <w:tcBorders>
              <w:top w:val="nil"/>
              <w:bottom w:val="nil"/>
            </w:tcBorders>
            <w:noWrap w:val="0"/>
            <w:vAlign w:val="center"/>
          </w:tcPr>
          <w:p w14:paraId="2A5B4807">
            <w:pPr>
              <w:jc w:val="center"/>
              <w:rPr>
                <w:rFonts w:ascii="Arial"/>
                <w:color w:val="auto"/>
                <w:lang w:val="en-US" w:eastAsia="zh-CN" w:bidi="ar-SA"/>
              </w:rPr>
            </w:pPr>
          </w:p>
        </w:tc>
        <w:tc>
          <w:tcPr>
            <w:tcW w:w="5485" w:type="dxa"/>
            <w:noWrap w:val="0"/>
            <w:vAlign w:val="top"/>
          </w:tcPr>
          <w:p w14:paraId="2D7A3ADF">
            <w:pPr>
              <w:pStyle w:val="24"/>
              <w:spacing w:before="50" w:line="219" w:lineRule="auto"/>
              <w:ind w:left="101"/>
              <w:rPr>
                <w:color w:val="auto"/>
                <w:sz w:val="20"/>
                <w:szCs w:val="20"/>
                <w:lang w:val="en-US" w:eastAsia="zh-CN" w:bidi="ar-SA"/>
              </w:rPr>
            </w:pPr>
            <w:r>
              <w:rPr>
                <w:color w:val="auto"/>
                <w:spacing w:val="-1"/>
                <w:sz w:val="20"/>
                <w:szCs w:val="20"/>
                <w:lang w:val="en-US" w:eastAsia="zh-CN" w:bidi="ar-SA"/>
              </w:rPr>
              <w:t>踢脚线清洁、除尘，达到无积灰</w:t>
            </w:r>
          </w:p>
        </w:tc>
        <w:tc>
          <w:tcPr>
            <w:tcW w:w="1899" w:type="dxa"/>
            <w:noWrap w:val="0"/>
            <w:vAlign w:val="top"/>
          </w:tcPr>
          <w:p w14:paraId="0A49D3D0">
            <w:pPr>
              <w:pStyle w:val="24"/>
              <w:spacing w:before="52" w:line="219" w:lineRule="auto"/>
              <w:ind w:left="148"/>
              <w:rPr>
                <w:color w:val="auto"/>
                <w:sz w:val="20"/>
                <w:szCs w:val="20"/>
                <w:lang w:val="en-US" w:bidi="ar-SA"/>
              </w:rPr>
            </w:pPr>
            <w:r>
              <w:rPr>
                <w:color w:val="auto"/>
                <w:spacing w:val="-1"/>
                <w:sz w:val="20"/>
                <w:szCs w:val="20"/>
                <w:lang w:val="en-US" w:bidi="ar-SA"/>
              </w:rPr>
              <w:t>不满足1处扣0.5分</w:t>
            </w:r>
          </w:p>
        </w:tc>
      </w:tr>
      <w:tr w14:paraId="74C1F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4" w:type="dxa"/>
            <w:noWrap w:val="0"/>
            <w:vAlign w:val="center"/>
          </w:tcPr>
          <w:p w14:paraId="58BF1241">
            <w:pPr>
              <w:pStyle w:val="24"/>
              <w:spacing w:before="152" w:line="184"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4</w:t>
            </w:r>
          </w:p>
        </w:tc>
        <w:tc>
          <w:tcPr>
            <w:tcW w:w="650" w:type="dxa"/>
            <w:vMerge w:val="continue"/>
            <w:tcBorders>
              <w:top w:val="nil"/>
              <w:bottom w:val="nil"/>
            </w:tcBorders>
            <w:noWrap w:val="0"/>
            <w:vAlign w:val="center"/>
          </w:tcPr>
          <w:p w14:paraId="1B9B32A3">
            <w:pPr>
              <w:jc w:val="center"/>
              <w:rPr>
                <w:rFonts w:ascii="Arial"/>
                <w:color w:val="auto"/>
                <w:lang w:val="en-US" w:eastAsia="zh-CN" w:bidi="ar-SA"/>
              </w:rPr>
            </w:pPr>
          </w:p>
        </w:tc>
        <w:tc>
          <w:tcPr>
            <w:tcW w:w="5485" w:type="dxa"/>
            <w:noWrap w:val="0"/>
            <w:vAlign w:val="top"/>
          </w:tcPr>
          <w:p w14:paraId="51CA5683">
            <w:pPr>
              <w:pStyle w:val="24"/>
              <w:spacing w:before="102" w:line="219" w:lineRule="auto"/>
              <w:ind w:left="101"/>
              <w:rPr>
                <w:color w:val="auto"/>
                <w:sz w:val="20"/>
                <w:szCs w:val="20"/>
                <w:lang w:val="en-US" w:eastAsia="zh-CN" w:bidi="ar-SA"/>
              </w:rPr>
            </w:pPr>
            <w:r>
              <w:rPr>
                <w:color w:val="auto"/>
                <w:spacing w:val="-1"/>
                <w:sz w:val="20"/>
                <w:szCs w:val="20"/>
                <w:lang w:val="en-US" w:eastAsia="zh-CN" w:bidi="ar-SA"/>
              </w:rPr>
              <w:t>通风口清洁、抹尘，达到无积灰</w:t>
            </w:r>
          </w:p>
        </w:tc>
        <w:tc>
          <w:tcPr>
            <w:tcW w:w="1899" w:type="dxa"/>
            <w:noWrap w:val="0"/>
            <w:vAlign w:val="top"/>
          </w:tcPr>
          <w:p w14:paraId="08E3C84F">
            <w:pPr>
              <w:pStyle w:val="24"/>
              <w:spacing w:before="102" w:line="219" w:lineRule="auto"/>
              <w:ind w:left="148"/>
              <w:rPr>
                <w:color w:val="auto"/>
                <w:sz w:val="20"/>
                <w:szCs w:val="20"/>
                <w:lang w:val="en-US" w:bidi="ar-SA"/>
              </w:rPr>
            </w:pPr>
            <w:r>
              <w:rPr>
                <w:color w:val="auto"/>
                <w:spacing w:val="-1"/>
                <w:sz w:val="20"/>
                <w:szCs w:val="20"/>
                <w:lang w:val="en-US" w:bidi="ar-SA"/>
              </w:rPr>
              <w:t>不满足1处扣0.5分</w:t>
            </w:r>
          </w:p>
        </w:tc>
      </w:tr>
      <w:tr w14:paraId="00F6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08D553F8">
            <w:pPr>
              <w:pStyle w:val="24"/>
              <w:spacing w:before="93" w:line="163"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5</w:t>
            </w:r>
          </w:p>
        </w:tc>
        <w:tc>
          <w:tcPr>
            <w:tcW w:w="650" w:type="dxa"/>
            <w:vMerge w:val="continue"/>
            <w:tcBorders>
              <w:top w:val="nil"/>
              <w:bottom w:val="nil"/>
            </w:tcBorders>
            <w:noWrap w:val="0"/>
            <w:vAlign w:val="center"/>
          </w:tcPr>
          <w:p w14:paraId="14ED664F">
            <w:pPr>
              <w:jc w:val="center"/>
              <w:rPr>
                <w:rFonts w:ascii="Arial"/>
                <w:color w:val="auto"/>
                <w:lang w:val="en-US" w:eastAsia="zh-CN" w:bidi="ar-SA"/>
              </w:rPr>
            </w:pPr>
          </w:p>
        </w:tc>
        <w:tc>
          <w:tcPr>
            <w:tcW w:w="5485" w:type="dxa"/>
            <w:noWrap w:val="0"/>
            <w:vAlign w:val="top"/>
          </w:tcPr>
          <w:p w14:paraId="2277CA3F">
            <w:pPr>
              <w:pStyle w:val="24"/>
              <w:spacing w:before="42" w:line="210" w:lineRule="auto"/>
              <w:ind w:left="101"/>
              <w:rPr>
                <w:color w:val="auto"/>
                <w:sz w:val="20"/>
                <w:szCs w:val="20"/>
                <w:lang w:val="en-US" w:eastAsia="zh-CN" w:bidi="ar-SA"/>
              </w:rPr>
            </w:pPr>
            <w:r>
              <w:rPr>
                <w:color w:val="auto"/>
                <w:spacing w:val="-1"/>
                <w:sz w:val="20"/>
                <w:szCs w:val="20"/>
                <w:lang w:val="en-US" w:eastAsia="zh-CN" w:bidi="ar-SA"/>
              </w:rPr>
              <w:t>废物箱清除垃圾、外表抹净，达到无垃圾满溢、无拖挂</w:t>
            </w:r>
          </w:p>
        </w:tc>
        <w:tc>
          <w:tcPr>
            <w:tcW w:w="1899" w:type="dxa"/>
            <w:noWrap w:val="0"/>
            <w:vAlign w:val="top"/>
          </w:tcPr>
          <w:p w14:paraId="7DF6C24A">
            <w:pPr>
              <w:pStyle w:val="24"/>
              <w:spacing w:before="42" w:line="210" w:lineRule="auto"/>
              <w:ind w:left="148"/>
              <w:rPr>
                <w:color w:val="auto"/>
                <w:sz w:val="20"/>
                <w:szCs w:val="20"/>
                <w:lang w:val="en-US" w:bidi="ar-SA"/>
              </w:rPr>
            </w:pPr>
            <w:r>
              <w:rPr>
                <w:color w:val="auto"/>
                <w:spacing w:val="-1"/>
                <w:sz w:val="20"/>
                <w:szCs w:val="20"/>
                <w:lang w:val="en-US" w:bidi="ar-SA"/>
              </w:rPr>
              <w:t>不满足1处扣0.5分</w:t>
            </w:r>
          </w:p>
        </w:tc>
      </w:tr>
      <w:tr w14:paraId="2924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74" w:type="dxa"/>
            <w:noWrap w:val="0"/>
            <w:vAlign w:val="center"/>
          </w:tcPr>
          <w:p w14:paraId="745D0952">
            <w:pPr>
              <w:pStyle w:val="24"/>
              <w:spacing w:before="223" w:line="184"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6</w:t>
            </w:r>
          </w:p>
        </w:tc>
        <w:tc>
          <w:tcPr>
            <w:tcW w:w="650" w:type="dxa"/>
            <w:vMerge w:val="continue"/>
            <w:tcBorders>
              <w:top w:val="nil"/>
              <w:bottom w:val="nil"/>
            </w:tcBorders>
            <w:noWrap w:val="0"/>
            <w:vAlign w:val="center"/>
          </w:tcPr>
          <w:p w14:paraId="1C20CBFC">
            <w:pPr>
              <w:jc w:val="center"/>
              <w:rPr>
                <w:rFonts w:ascii="Arial"/>
                <w:color w:val="auto"/>
                <w:lang w:val="en-US" w:eastAsia="zh-CN" w:bidi="ar-SA"/>
              </w:rPr>
            </w:pPr>
          </w:p>
        </w:tc>
        <w:tc>
          <w:tcPr>
            <w:tcW w:w="5485" w:type="dxa"/>
            <w:noWrap w:val="0"/>
            <w:vAlign w:val="top"/>
          </w:tcPr>
          <w:p w14:paraId="45CE0155">
            <w:pPr>
              <w:pStyle w:val="24"/>
              <w:spacing w:before="173" w:line="219" w:lineRule="auto"/>
              <w:ind w:left="101"/>
              <w:rPr>
                <w:color w:val="auto"/>
                <w:sz w:val="20"/>
                <w:szCs w:val="20"/>
                <w:lang w:val="en-US" w:eastAsia="zh-CN" w:bidi="ar-SA"/>
              </w:rPr>
            </w:pPr>
            <w:r>
              <w:rPr>
                <w:color w:val="auto"/>
                <w:sz w:val="20"/>
                <w:szCs w:val="20"/>
                <w:lang w:val="en-US" w:eastAsia="zh-CN" w:bidi="ar-SA"/>
              </w:rPr>
              <w:t>门框、把手达到无灰尘、无手印、明亮</w:t>
            </w:r>
          </w:p>
        </w:tc>
        <w:tc>
          <w:tcPr>
            <w:tcW w:w="1899" w:type="dxa"/>
            <w:noWrap w:val="0"/>
            <w:vAlign w:val="top"/>
          </w:tcPr>
          <w:p w14:paraId="4DCF7BE3">
            <w:pPr>
              <w:pStyle w:val="24"/>
              <w:spacing w:before="173" w:line="219" w:lineRule="auto"/>
              <w:ind w:left="148"/>
              <w:rPr>
                <w:color w:val="auto"/>
                <w:sz w:val="20"/>
                <w:szCs w:val="20"/>
                <w:lang w:val="en-US" w:bidi="ar-SA"/>
              </w:rPr>
            </w:pPr>
            <w:r>
              <w:rPr>
                <w:color w:val="auto"/>
                <w:spacing w:val="-1"/>
                <w:sz w:val="20"/>
                <w:szCs w:val="20"/>
                <w:lang w:val="en-US" w:bidi="ar-SA"/>
              </w:rPr>
              <w:t>不满足1处扣0.5分</w:t>
            </w:r>
          </w:p>
        </w:tc>
      </w:tr>
      <w:tr w14:paraId="6AE70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noWrap w:val="0"/>
            <w:vAlign w:val="center"/>
          </w:tcPr>
          <w:p w14:paraId="3FCB5754">
            <w:pPr>
              <w:pStyle w:val="24"/>
              <w:spacing w:before="144" w:line="184"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7</w:t>
            </w:r>
          </w:p>
        </w:tc>
        <w:tc>
          <w:tcPr>
            <w:tcW w:w="650" w:type="dxa"/>
            <w:vMerge w:val="continue"/>
            <w:tcBorders>
              <w:top w:val="nil"/>
              <w:bottom w:val="nil"/>
            </w:tcBorders>
            <w:noWrap w:val="0"/>
            <w:vAlign w:val="center"/>
          </w:tcPr>
          <w:p w14:paraId="77ECC946">
            <w:pPr>
              <w:jc w:val="center"/>
              <w:rPr>
                <w:rFonts w:ascii="Arial"/>
                <w:color w:val="auto"/>
                <w:lang w:val="en-US" w:eastAsia="zh-CN" w:bidi="ar-SA"/>
              </w:rPr>
            </w:pPr>
          </w:p>
        </w:tc>
        <w:tc>
          <w:tcPr>
            <w:tcW w:w="5485" w:type="dxa"/>
            <w:noWrap w:val="0"/>
            <w:vAlign w:val="top"/>
          </w:tcPr>
          <w:p w14:paraId="5FB94EB8">
            <w:pPr>
              <w:pStyle w:val="24"/>
              <w:spacing w:before="94" w:line="219" w:lineRule="auto"/>
              <w:ind w:left="101"/>
              <w:rPr>
                <w:color w:val="auto"/>
                <w:sz w:val="20"/>
                <w:szCs w:val="20"/>
                <w:lang w:val="en-US" w:eastAsia="zh-CN" w:bidi="ar-SA"/>
              </w:rPr>
            </w:pPr>
            <w:r>
              <w:rPr>
                <w:color w:val="auto"/>
                <w:spacing w:val="-1"/>
                <w:sz w:val="20"/>
                <w:szCs w:val="20"/>
                <w:lang w:val="en-US" w:eastAsia="zh-CN" w:bidi="ar-SA"/>
              </w:rPr>
              <w:t>抛光砖地面达到无灰尘、污渍</w:t>
            </w:r>
          </w:p>
        </w:tc>
        <w:tc>
          <w:tcPr>
            <w:tcW w:w="1899" w:type="dxa"/>
            <w:noWrap w:val="0"/>
            <w:vAlign w:val="top"/>
          </w:tcPr>
          <w:p w14:paraId="5004885A">
            <w:pPr>
              <w:pStyle w:val="24"/>
              <w:spacing w:before="94" w:line="219" w:lineRule="auto"/>
              <w:ind w:left="148"/>
              <w:rPr>
                <w:color w:val="auto"/>
                <w:sz w:val="20"/>
                <w:szCs w:val="20"/>
                <w:lang w:val="en-US" w:bidi="ar-SA"/>
              </w:rPr>
            </w:pPr>
            <w:r>
              <w:rPr>
                <w:color w:val="auto"/>
                <w:spacing w:val="-1"/>
                <w:sz w:val="20"/>
                <w:szCs w:val="20"/>
                <w:lang w:val="en-US" w:bidi="ar-SA"/>
              </w:rPr>
              <w:t>不满足1处扣0.5分</w:t>
            </w:r>
          </w:p>
        </w:tc>
      </w:tr>
      <w:tr w14:paraId="049FF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5D3B7717">
            <w:pPr>
              <w:pStyle w:val="24"/>
              <w:spacing w:before="94" w:line="162" w:lineRule="auto"/>
              <w:ind w:left="0"/>
              <w:jc w:val="center"/>
              <w:rPr>
                <w:rFonts w:hint="eastAsia" w:eastAsia="宋体"/>
                <w:color w:val="auto"/>
                <w:sz w:val="20"/>
                <w:szCs w:val="20"/>
                <w:lang w:val="en-US" w:eastAsia="zh-CN" w:bidi="ar-SA"/>
              </w:rPr>
            </w:pPr>
            <w:r>
              <w:rPr>
                <w:color w:val="auto"/>
                <w:spacing w:val="-6"/>
                <w:sz w:val="20"/>
                <w:szCs w:val="20"/>
                <w:lang w:val="en-US" w:bidi="ar-SA"/>
              </w:rPr>
              <w:t>1</w:t>
            </w:r>
            <w:r>
              <w:rPr>
                <w:rFonts w:hint="eastAsia"/>
                <w:color w:val="auto"/>
                <w:spacing w:val="-6"/>
                <w:sz w:val="20"/>
                <w:szCs w:val="20"/>
                <w:lang w:val="en-US" w:eastAsia="zh-CN" w:bidi="ar-SA"/>
              </w:rPr>
              <w:t>8</w:t>
            </w:r>
          </w:p>
        </w:tc>
        <w:tc>
          <w:tcPr>
            <w:tcW w:w="650" w:type="dxa"/>
            <w:vMerge w:val="continue"/>
            <w:tcBorders>
              <w:top w:val="nil"/>
              <w:bottom w:val="nil"/>
            </w:tcBorders>
            <w:noWrap w:val="0"/>
            <w:vAlign w:val="center"/>
          </w:tcPr>
          <w:p w14:paraId="7AB506AE">
            <w:pPr>
              <w:jc w:val="center"/>
              <w:rPr>
                <w:rFonts w:ascii="Arial"/>
                <w:color w:val="auto"/>
                <w:lang w:val="en-US" w:eastAsia="zh-CN" w:bidi="ar-SA"/>
              </w:rPr>
            </w:pPr>
          </w:p>
        </w:tc>
        <w:tc>
          <w:tcPr>
            <w:tcW w:w="5485" w:type="dxa"/>
            <w:noWrap w:val="0"/>
            <w:vAlign w:val="top"/>
          </w:tcPr>
          <w:p w14:paraId="1DE630E6">
            <w:pPr>
              <w:pStyle w:val="24"/>
              <w:spacing w:before="43" w:line="209" w:lineRule="auto"/>
              <w:ind w:left="101"/>
              <w:rPr>
                <w:color w:val="auto"/>
                <w:sz w:val="20"/>
                <w:szCs w:val="20"/>
                <w:lang w:val="en-US" w:eastAsia="zh-CN" w:bidi="ar-SA"/>
              </w:rPr>
            </w:pPr>
            <w:r>
              <w:rPr>
                <w:color w:val="auto"/>
                <w:spacing w:val="-1"/>
                <w:sz w:val="20"/>
                <w:szCs w:val="20"/>
                <w:lang w:val="en-US" w:eastAsia="zh-CN" w:bidi="ar-SA"/>
              </w:rPr>
              <w:t>标识牌(各类)抹尘，达到光亮</w:t>
            </w:r>
          </w:p>
        </w:tc>
        <w:tc>
          <w:tcPr>
            <w:tcW w:w="1899" w:type="dxa"/>
            <w:noWrap w:val="0"/>
            <w:vAlign w:val="top"/>
          </w:tcPr>
          <w:p w14:paraId="334B0E9C">
            <w:pPr>
              <w:pStyle w:val="24"/>
              <w:spacing w:before="43" w:line="209" w:lineRule="auto"/>
              <w:ind w:left="148"/>
              <w:rPr>
                <w:color w:val="auto"/>
                <w:sz w:val="20"/>
                <w:szCs w:val="20"/>
                <w:lang w:val="en-US" w:bidi="ar-SA"/>
              </w:rPr>
            </w:pPr>
            <w:r>
              <w:rPr>
                <w:color w:val="auto"/>
                <w:spacing w:val="-1"/>
                <w:sz w:val="20"/>
                <w:szCs w:val="20"/>
                <w:lang w:val="en-US" w:bidi="ar-SA"/>
              </w:rPr>
              <w:t>不满足1处扣0.5分</w:t>
            </w:r>
          </w:p>
        </w:tc>
      </w:tr>
      <w:tr w14:paraId="6DC5A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74" w:type="dxa"/>
            <w:noWrap w:val="0"/>
            <w:vAlign w:val="center"/>
          </w:tcPr>
          <w:p w14:paraId="5B39B2A3">
            <w:pPr>
              <w:pStyle w:val="24"/>
              <w:spacing w:before="84" w:line="166" w:lineRule="exact"/>
              <w:ind w:left="0"/>
              <w:jc w:val="center"/>
              <w:rPr>
                <w:rFonts w:hint="eastAsia" w:eastAsia="宋体"/>
                <w:color w:val="auto"/>
                <w:sz w:val="20"/>
                <w:szCs w:val="20"/>
                <w:lang w:val="en-US" w:eastAsia="zh-CN" w:bidi="ar-SA"/>
              </w:rPr>
            </w:pPr>
            <w:r>
              <w:rPr>
                <w:color w:val="auto"/>
                <w:spacing w:val="-6"/>
                <w:position w:val="-2"/>
                <w:sz w:val="20"/>
                <w:szCs w:val="20"/>
                <w:lang w:val="en-US" w:bidi="ar-SA"/>
              </w:rPr>
              <w:t>1</w:t>
            </w:r>
            <w:r>
              <w:rPr>
                <w:rFonts w:hint="eastAsia"/>
                <w:color w:val="auto"/>
                <w:spacing w:val="-6"/>
                <w:position w:val="-2"/>
                <w:sz w:val="20"/>
                <w:szCs w:val="20"/>
                <w:lang w:val="en-US" w:eastAsia="zh-CN" w:bidi="ar-SA"/>
              </w:rPr>
              <w:t>9</w:t>
            </w:r>
          </w:p>
        </w:tc>
        <w:tc>
          <w:tcPr>
            <w:tcW w:w="650" w:type="dxa"/>
            <w:vMerge w:val="continue"/>
            <w:tcBorders>
              <w:top w:val="nil"/>
              <w:bottom w:val="nil"/>
            </w:tcBorders>
            <w:noWrap w:val="0"/>
            <w:vAlign w:val="center"/>
          </w:tcPr>
          <w:p w14:paraId="0F580F73">
            <w:pPr>
              <w:jc w:val="center"/>
              <w:rPr>
                <w:rFonts w:ascii="Arial"/>
                <w:color w:val="auto"/>
                <w:lang w:val="en-US" w:eastAsia="zh-CN" w:bidi="ar-SA"/>
              </w:rPr>
            </w:pPr>
          </w:p>
        </w:tc>
        <w:tc>
          <w:tcPr>
            <w:tcW w:w="5485" w:type="dxa"/>
            <w:noWrap w:val="0"/>
            <w:vAlign w:val="top"/>
          </w:tcPr>
          <w:p w14:paraId="7885A548">
            <w:pPr>
              <w:pStyle w:val="24"/>
              <w:spacing w:before="34" w:line="199" w:lineRule="auto"/>
              <w:ind w:left="101"/>
              <w:rPr>
                <w:color w:val="auto"/>
                <w:sz w:val="20"/>
                <w:szCs w:val="20"/>
                <w:lang w:val="en-US" w:eastAsia="zh-CN" w:bidi="ar-SA"/>
              </w:rPr>
            </w:pPr>
            <w:r>
              <w:rPr>
                <w:color w:val="auto"/>
                <w:spacing w:val="-1"/>
                <w:sz w:val="20"/>
                <w:szCs w:val="20"/>
                <w:lang w:val="en-US" w:eastAsia="zh-CN" w:bidi="ar-SA"/>
              </w:rPr>
              <w:t>各类消防设施抹尘，达到无灰尘</w:t>
            </w:r>
          </w:p>
        </w:tc>
        <w:tc>
          <w:tcPr>
            <w:tcW w:w="1899" w:type="dxa"/>
            <w:noWrap w:val="0"/>
            <w:vAlign w:val="top"/>
          </w:tcPr>
          <w:p w14:paraId="0549DE1E">
            <w:pPr>
              <w:pStyle w:val="24"/>
              <w:spacing w:before="34" w:line="199" w:lineRule="auto"/>
              <w:ind w:left="148"/>
              <w:rPr>
                <w:color w:val="auto"/>
                <w:sz w:val="20"/>
                <w:szCs w:val="20"/>
                <w:lang w:val="en-US" w:bidi="ar-SA"/>
              </w:rPr>
            </w:pPr>
            <w:r>
              <w:rPr>
                <w:color w:val="auto"/>
                <w:spacing w:val="-1"/>
                <w:sz w:val="20"/>
                <w:szCs w:val="20"/>
                <w:lang w:val="en-US" w:bidi="ar-SA"/>
              </w:rPr>
              <w:t>不满足1处扣0.5分</w:t>
            </w:r>
          </w:p>
        </w:tc>
      </w:tr>
      <w:tr w14:paraId="6B0AE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4" w:type="dxa"/>
            <w:noWrap w:val="0"/>
            <w:vAlign w:val="center"/>
          </w:tcPr>
          <w:p w14:paraId="51BF5357">
            <w:pPr>
              <w:pStyle w:val="24"/>
              <w:spacing w:before="94" w:line="162" w:lineRule="auto"/>
              <w:ind w:left="0"/>
              <w:jc w:val="center"/>
              <w:rPr>
                <w:rFonts w:hint="default" w:eastAsia="宋体"/>
                <w:color w:val="auto"/>
                <w:sz w:val="20"/>
                <w:szCs w:val="20"/>
                <w:lang w:val="en-US" w:eastAsia="zh-CN" w:bidi="ar-SA"/>
              </w:rPr>
            </w:pPr>
            <w:r>
              <w:rPr>
                <w:rFonts w:hint="eastAsia"/>
                <w:color w:val="auto"/>
                <w:spacing w:val="-6"/>
                <w:sz w:val="20"/>
                <w:szCs w:val="20"/>
                <w:lang w:val="en-US" w:eastAsia="zh-CN" w:bidi="ar-SA"/>
              </w:rPr>
              <w:t>20</w:t>
            </w:r>
          </w:p>
        </w:tc>
        <w:tc>
          <w:tcPr>
            <w:tcW w:w="650" w:type="dxa"/>
            <w:vMerge w:val="continue"/>
            <w:tcBorders>
              <w:top w:val="nil"/>
              <w:bottom w:val="nil"/>
            </w:tcBorders>
            <w:noWrap w:val="0"/>
            <w:vAlign w:val="center"/>
          </w:tcPr>
          <w:p w14:paraId="0CB0E264">
            <w:pPr>
              <w:jc w:val="center"/>
              <w:rPr>
                <w:rFonts w:ascii="Arial"/>
                <w:color w:val="auto"/>
                <w:lang w:val="en-US" w:eastAsia="zh-CN" w:bidi="ar-SA"/>
              </w:rPr>
            </w:pPr>
          </w:p>
        </w:tc>
        <w:tc>
          <w:tcPr>
            <w:tcW w:w="5485" w:type="dxa"/>
            <w:noWrap w:val="0"/>
            <w:vAlign w:val="top"/>
          </w:tcPr>
          <w:p w14:paraId="35B94D9E">
            <w:pPr>
              <w:pStyle w:val="24"/>
              <w:spacing w:before="43" w:line="209" w:lineRule="auto"/>
              <w:ind w:left="101"/>
              <w:rPr>
                <w:color w:val="auto"/>
                <w:sz w:val="20"/>
                <w:szCs w:val="20"/>
                <w:lang w:val="en-US" w:eastAsia="zh-CN" w:bidi="ar-SA"/>
              </w:rPr>
            </w:pPr>
            <w:r>
              <w:rPr>
                <w:color w:val="auto"/>
                <w:spacing w:val="1"/>
                <w:sz w:val="20"/>
                <w:szCs w:val="20"/>
                <w:lang w:val="en-US" w:eastAsia="zh-CN" w:bidi="ar-SA"/>
              </w:rPr>
              <w:t>天花板表面目视无污迹、灰尘、蜘蛛网</w:t>
            </w:r>
          </w:p>
        </w:tc>
        <w:tc>
          <w:tcPr>
            <w:tcW w:w="1899" w:type="dxa"/>
            <w:noWrap w:val="0"/>
            <w:vAlign w:val="top"/>
          </w:tcPr>
          <w:p w14:paraId="6713BF64">
            <w:pPr>
              <w:pStyle w:val="24"/>
              <w:spacing w:before="43" w:line="209" w:lineRule="auto"/>
              <w:ind w:left="148"/>
              <w:rPr>
                <w:color w:val="auto"/>
                <w:sz w:val="20"/>
                <w:szCs w:val="20"/>
                <w:lang w:val="en-US" w:bidi="ar-SA"/>
              </w:rPr>
            </w:pPr>
            <w:r>
              <w:rPr>
                <w:color w:val="auto"/>
                <w:spacing w:val="-1"/>
                <w:sz w:val="20"/>
                <w:szCs w:val="20"/>
                <w:lang w:val="en-US" w:bidi="ar-SA"/>
              </w:rPr>
              <w:t>不满足1处扣0.5分</w:t>
            </w:r>
          </w:p>
        </w:tc>
      </w:tr>
      <w:tr w14:paraId="5408A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74" w:type="dxa"/>
            <w:noWrap w:val="0"/>
            <w:vAlign w:val="center"/>
          </w:tcPr>
          <w:p w14:paraId="3EF85E7F">
            <w:pPr>
              <w:pStyle w:val="24"/>
              <w:spacing w:before="85" w:line="165" w:lineRule="exact"/>
              <w:ind w:left="0"/>
              <w:jc w:val="center"/>
              <w:rPr>
                <w:rFonts w:hint="default" w:eastAsia="宋体"/>
                <w:color w:val="auto"/>
                <w:sz w:val="20"/>
                <w:szCs w:val="20"/>
                <w:lang w:val="en-US" w:eastAsia="zh-CN" w:bidi="ar-SA"/>
              </w:rPr>
            </w:pPr>
            <w:r>
              <w:rPr>
                <w:rFonts w:hint="eastAsia"/>
                <w:color w:val="auto"/>
                <w:spacing w:val="-3"/>
                <w:position w:val="-2"/>
                <w:sz w:val="20"/>
                <w:szCs w:val="20"/>
                <w:lang w:val="en-US" w:eastAsia="zh-CN" w:bidi="ar-SA"/>
              </w:rPr>
              <w:t>21</w:t>
            </w:r>
          </w:p>
        </w:tc>
        <w:tc>
          <w:tcPr>
            <w:tcW w:w="650" w:type="dxa"/>
            <w:vMerge w:val="continue"/>
            <w:tcBorders>
              <w:top w:val="nil"/>
            </w:tcBorders>
            <w:noWrap w:val="0"/>
            <w:vAlign w:val="center"/>
          </w:tcPr>
          <w:p w14:paraId="035C73EA">
            <w:pPr>
              <w:jc w:val="center"/>
              <w:rPr>
                <w:rFonts w:ascii="Arial"/>
                <w:color w:val="auto"/>
                <w:lang w:val="en-US" w:eastAsia="zh-CN" w:bidi="ar-SA"/>
              </w:rPr>
            </w:pPr>
          </w:p>
        </w:tc>
        <w:tc>
          <w:tcPr>
            <w:tcW w:w="5485" w:type="dxa"/>
            <w:noWrap w:val="0"/>
            <w:vAlign w:val="top"/>
          </w:tcPr>
          <w:p w14:paraId="0B6FAA60">
            <w:pPr>
              <w:pStyle w:val="24"/>
              <w:spacing w:before="34" w:line="199" w:lineRule="auto"/>
              <w:ind w:right="12"/>
              <w:jc w:val="right"/>
              <w:rPr>
                <w:color w:val="auto"/>
                <w:sz w:val="20"/>
                <w:szCs w:val="20"/>
                <w:lang w:val="en-US" w:eastAsia="zh-CN" w:bidi="ar-SA"/>
              </w:rPr>
            </w:pPr>
            <w:r>
              <w:rPr>
                <w:color w:val="auto"/>
                <w:spacing w:val="-1"/>
                <w:sz w:val="20"/>
                <w:szCs w:val="20"/>
                <w:lang w:val="en-US" w:eastAsia="zh-CN" w:bidi="ar-SA"/>
              </w:rPr>
              <w:t>室内公共区域大玻璃窗内清洗，达到无积灰、无刮刀印、明亮</w:t>
            </w:r>
          </w:p>
        </w:tc>
        <w:tc>
          <w:tcPr>
            <w:tcW w:w="1899" w:type="dxa"/>
            <w:noWrap w:val="0"/>
            <w:vAlign w:val="top"/>
          </w:tcPr>
          <w:p w14:paraId="02820444">
            <w:pPr>
              <w:pStyle w:val="24"/>
              <w:spacing w:before="34" w:line="199" w:lineRule="auto"/>
              <w:ind w:left="148"/>
              <w:rPr>
                <w:color w:val="auto"/>
                <w:sz w:val="20"/>
                <w:szCs w:val="20"/>
                <w:lang w:val="en-US" w:bidi="ar-SA"/>
              </w:rPr>
            </w:pPr>
            <w:r>
              <w:rPr>
                <w:color w:val="auto"/>
                <w:spacing w:val="-1"/>
                <w:sz w:val="20"/>
                <w:szCs w:val="20"/>
                <w:lang w:val="en-US" w:bidi="ar-SA"/>
              </w:rPr>
              <w:t>不满足1处扣0.5分</w:t>
            </w:r>
          </w:p>
        </w:tc>
      </w:tr>
      <w:tr w14:paraId="7CDDA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74" w:type="dxa"/>
            <w:noWrap w:val="0"/>
            <w:vAlign w:val="center"/>
          </w:tcPr>
          <w:p w14:paraId="6CD2E9A9">
            <w:pPr>
              <w:pStyle w:val="24"/>
              <w:spacing w:before="134" w:line="184"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22</w:t>
            </w:r>
          </w:p>
        </w:tc>
        <w:tc>
          <w:tcPr>
            <w:tcW w:w="650" w:type="dxa"/>
            <w:vMerge w:val="restart"/>
            <w:tcBorders>
              <w:bottom w:val="nil"/>
            </w:tcBorders>
            <w:noWrap w:val="0"/>
            <w:vAlign w:val="center"/>
          </w:tcPr>
          <w:p w14:paraId="20C7F703">
            <w:pPr>
              <w:rPr>
                <w:color w:val="auto"/>
                <w:lang w:val="en-US" w:eastAsia="zh-CN" w:bidi="ar-SA"/>
              </w:rPr>
            </w:pPr>
          </w:p>
          <w:p w14:paraId="68459CD4">
            <w:pPr>
              <w:pStyle w:val="24"/>
              <w:jc w:val="center"/>
              <w:rPr>
                <w:color w:val="auto"/>
                <w:sz w:val="20"/>
                <w:szCs w:val="20"/>
                <w:lang w:val="en-US" w:bidi="ar-SA"/>
              </w:rPr>
            </w:pPr>
            <w:r>
              <w:rPr>
                <w:color w:val="auto"/>
                <w:spacing w:val="4"/>
                <w:sz w:val="20"/>
                <w:szCs w:val="20"/>
                <w:lang w:val="en-US" w:bidi="ar-SA"/>
              </w:rPr>
              <w:t>公共</w:t>
            </w:r>
            <w:r>
              <w:rPr>
                <w:color w:val="auto"/>
                <w:sz w:val="20"/>
                <w:szCs w:val="20"/>
                <w:lang w:val="en-US" w:bidi="ar-SA"/>
              </w:rPr>
              <w:t xml:space="preserve"> </w:t>
            </w:r>
            <w:r>
              <w:rPr>
                <w:color w:val="auto"/>
                <w:spacing w:val="-2"/>
                <w:sz w:val="20"/>
                <w:szCs w:val="20"/>
                <w:lang w:val="en-US" w:bidi="ar-SA"/>
              </w:rPr>
              <w:t>通道</w:t>
            </w:r>
          </w:p>
        </w:tc>
        <w:tc>
          <w:tcPr>
            <w:tcW w:w="5485" w:type="dxa"/>
            <w:noWrap w:val="0"/>
            <w:vAlign w:val="top"/>
          </w:tcPr>
          <w:p w14:paraId="147DDA99">
            <w:pPr>
              <w:pStyle w:val="24"/>
              <w:spacing w:before="84" w:line="219" w:lineRule="auto"/>
              <w:ind w:left="101"/>
              <w:rPr>
                <w:color w:val="auto"/>
                <w:sz w:val="20"/>
                <w:szCs w:val="20"/>
                <w:lang w:val="en-US" w:eastAsia="zh-CN" w:bidi="ar-SA"/>
              </w:rPr>
            </w:pPr>
            <w:r>
              <w:rPr>
                <w:color w:val="auto"/>
                <w:spacing w:val="-1"/>
                <w:sz w:val="20"/>
                <w:szCs w:val="20"/>
                <w:lang w:val="en-US" w:eastAsia="zh-CN" w:bidi="ar-SA"/>
              </w:rPr>
              <w:t>大理石清洁、清洗，达到无灰尘、无污渍</w:t>
            </w:r>
          </w:p>
        </w:tc>
        <w:tc>
          <w:tcPr>
            <w:tcW w:w="1899" w:type="dxa"/>
            <w:noWrap w:val="0"/>
            <w:vAlign w:val="top"/>
          </w:tcPr>
          <w:p w14:paraId="2B991753">
            <w:pPr>
              <w:pStyle w:val="24"/>
              <w:spacing w:before="84" w:line="219" w:lineRule="auto"/>
              <w:ind w:left="148"/>
              <w:rPr>
                <w:color w:val="auto"/>
                <w:sz w:val="20"/>
                <w:szCs w:val="20"/>
                <w:lang w:val="en-US" w:bidi="ar-SA"/>
              </w:rPr>
            </w:pPr>
            <w:r>
              <w:rPr>
                <w:color w:val="auto"/>
                <w:spacing w:val="-1"/>
                <w:sz w:val="20"/>
                <w:szCs w:val="20"/>
                <w:lang w:val="en-US" w:bidi="ar-SA"/>
              </w:rPr>
              <w:t>不满足1处扣0.5分</w:t>
            </w:r>
          </w:p>
        </w:tc>
      </w:tr>
      <w:tr w14:paraId="66EC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74" w:type="dxa"/>
            <w:noWrap w:val="0"/>
            <w:vAlign w:val="center"/>
          </w:tcPr>
          <w:p w14:paraId="4A65ADF8">
            <w:pPr>
              <w:pStyle w:val="24"/>
              <w:spacing w:before="215" w:line="183"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23</w:t>
            </w:r>
          </w:p>
        </w:tc>
        <w:tc>
          <w:tcPr>
            <w:tcW w:w="650" w:type="dxa"/>
            <w:vMerge w:val="continue"/>
            <w:tcBorders>
              <w:top w:val="nil"/>
              <w:bottom w:val="nil"/>
            </w:tcBorders>
            <w:noWrap w:val="0"/>
            <w:vAlign w:val="center"/>
          </w:tcPr>
          <w:p w14:paraId="55CFA59D">
            <w:pPr>
              <w:jc w:val="center"/>
              <w:rPr>
                <w:rFonts w:ascii="Arial"/>
                <w:color w:val="auto"/>
                <w:lang w:val="en-US" w:eastAsia="zh-CN" w:bidi="ar-SA"/>
              </w:rPr>
            </w:pPr>
          </w:p>
        </w:tc>
        <w:tc>
          <w:tcPr>
            <w:tcW w:w="5485" w:type="dxa"/>
            <w:noWrap w:val="0"/>
            <w:vAlign w:val="top"/>
          </w:tcPr>
          <w:p w14:paraId="31ED2A9B">
            <w:pPr>
              <w:pStyle w:val="24"/>
              <w:spacing w:before="54" w:line="210" w:lineRule="auto"/>
              <w:ind w:left="100" w:hanging="9"/>
              <w:rPr>
                <w:color w:val="auto"/>
                <w:sz w:val="20"/>
                <w:szCs w:val="20"/>
                <w:lang w:val="en-US" w:eastAsia="zh-CN" w:bidi="ar-SA"/>
              </w:rPr>
            </w:pPr>
            <w:r>
              <w:rPr>
                <w:color w:val="auto"/>
                <w:spacing w:val="-7"/>
                <w:sz w:val="20"/>
                <w:szCs w:val="20"/>
                <w:lang w:val="en-US" w:eastAsia="zh-CN" w:bidi="ar-SA"/>
              </w:rPr>
              <w:t>地面无烟蒂、纸屑、果皮、污迹等杂物，角落无垃圾，做好随时</w:t>
            </w:r>
            <w:r>
              <w:rPr>
                <w:color w:val="auto"/>
                <w:spacing w:val="-3"/>
                <w:sz w:val="20"/>
                <w:szCs w:val="20"/>
                <w:lang w:val="en-US" w:eastAsia="zh-CN" w:bidi="ar-SA"/>
              </w:rPr>
              <w:t>保洁</w:t>
            </w:r>
          </w:p>
        </w:tc>
        <w:tc>
          <w:tcPr>
            <w:tcW w:w="1899" w:type="dxa"/>
            <w:noWrap w:val="0"/>
            <w:vAlign w:val="top"/>
          </w:tcPr>
          <w:p w14:paraId="036316EC">
            <w:pPr>
              <w:pStyle w:val="24"/>
              <w:spacing w:before="164" w:line="219" w:lineRule="auto"/>
              <w:ind w:left="148"/>
              <w:rPr>
                <w:color w:val="auto"/>
                <w:sz w:val="20"/>
                <w:szCs w:val="20"/>
                <w:lang w:val="en-US" w:bidi="ar-SA"/>
              </w:rPr>
            </w:pPr>
            <w:r>
              <w:rPr>
                <w:color w:val="auto"/>
                <w:spacing w:val="-1"/>
                <w:sz w:val="20"/>
                <w:szCs w:val="20"/>
                <w:lang w:val="en-US" w:bidi="ar-SA"/>
              </w:rPr>
              <w:t>不满足1处扣0.5分</w:t>
            </w:r>
          </w:p>
        </w:tc>
      </w:tr>
      <w:tr w14:paraId="2537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74" w:type="dxa"/>
            <w:noWrap w:val="0"/>
            <w:vAlign w:val="center"/>
          </w:tcPr>
          <w:p w14:paraId="68ED88ED">
            <w:pPr>
              <w:pStyle w:val="24"/>
              <w:spacing w:before="156" w:line="183"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24</w:t>
            </w:r>
          </w:p>
        </w:tc>
        <w:tc>
          <w:tcPr>
            <w:tcW w:w="650" w:type="dxa"/>
            <w:vMerge w:val="continue"/>
            <w:tcBorders>
              <w:top w:val="nil"/>
            </w:tcBorders>
            <w:noWrap w:val="0"/>
            <w:vAlign w:val="center"/>
          </w:tcPr>
          <w:p w14:paraId="167CCA9D">
            <w:pPr>
              <w:jc w:val="center"/>
              <w:rPr>
                <w:rFonts w:ascii="Arial"/>
                <w:color w:val="auto"/>
                <w:lang w:val="en-US" w:eastAsia="zh-CN" w:bidi="ar-SA"/>
              </w:rPr>
            </w:pPr>
          </w:p>
        </w:tc>
        <w:tc>
          <w:tcPr>
            <w:tcW w:w="5485" w:type="dxa"/>
            <w:noWrap w:val="0"/>
            <w:vAlign w:val="top"/>
          </w:tcPr>
          <w:p w14:paraId="22DE0F1D">
            <w:pPr>
              <w:pStyle w:val="24"/>
              <w:spacing w:before="103" w:line="219" w:lineRule="auto"/>
              <w:ind w:left="101"/>
              <w:rPr>
                <w:color w:val="auto"/>
                <w:sz w:val="20"/>
                <w:szCs w:val="20"/>
                <w:lang w:val="en-US" w:eastAsia="zh-CN" w:bidi="ar-SA"/>
              </w:rPr>
            </w:pPr>
            <w:r>
              <w:rPr>
                <w:color w:val="auto"/>
                <w:sz w:val="20"/>
                <w:szCs w:val="20"/>
                <w:lang w:val="en-US" w:eastAsia="zh-CN" w:bidi="ar-SA"/>
              </w:rPr>
              <w:t>灯片、天花板及通风口除尘，达到无积灰、无蜘蛛网</w:t>
            </w:r>
          </w:p>
        </w:tc>
        <w:tc>
          <w:tcPr>
            <w:tcW w:w="1899" w:type="dxa"/>
            <w:noWrap w:val="0"/>
            <w:vAlign w:val="top"/>
          </w:tcPr>
          <w:p w14:paraId="076159EA">
            <w:pPr>
              <w:pStyle w:val="24"/>
              <w:spacing w:before="105" w:line="219" w:lineRule="auto"/>
              <w:ind w:left="148"/>
              <w:rPr>
                <w:color w:val="auto"/>
                <w:sz w:val="20"/>
                <w:szCs w:val="20"/>
                <w:lang w:val="en-US" w:bidi="ar-SA"/>
              </w:rPr>
            </w:pPr>
            <w:r>
              <w:rPr>
                <w:color w:val="auto"/>
                <w:spacing w:val="-1"/>
                <w:sz w:val="20"/>
                <w:szCs w:val="20"/>
                <w:lang w:val="en-US" w:bidi="ar-SA"/>
              </w:rPr>
              <w:t>不满足1处扣0.5分</w:t>
            </w:r>
          </w:p>
        </w:tc>
      </w:tr>
      <w:tr w14:paraId="3DC4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4" w:type="dxa"/>
            <w:noWrap w:val="0"/>
            <w:vAlign w:val="center"/>
          </w:tcPr>
          <w:p w14:paraId="0616DF28">
            <w:pPr>
              <w:pStyle w:val="24"/>
              <w:spacing w:before="156" w:line="183"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5</w:t>
            </w:r>
          </w:p>
        </w:tc>
        <w:tc>
          <w:tcPr>
            <w:tcW w:w="650" w:type="dxa"/>
            <w:vMerge w:val="restart"/>
            <w:tcBorders>
              <w:bottom w:val="nil"/>
            </w:tcBorders>
            <w:noWrap w:val="0"/>
            <w:vAlign w:val="center"/>
          </w:tcPr>
          <w:p w14:paraId="60559D0D">
            <w:pPr>
              <w:rPr>
                <w:color w:val="auto"/>
                <w:lang w:val="en-US" w:eastAsia="zh-CN" w:bidi="ar-SA"/>
              </w:rPr>
            </w:pPr>
          </w:p>
          <w:p w14:paraId="18D02E20">
            <w:pPr>
              <w:pStyle w:val="24"/>
              <w:jc w:val="center"/>
              <w:rPr>
                <w:color w:val="auto"/>
                <w:sz w:val="20"/>
                <w:szCs w:val="20"/>
                <w:lang w:val="en-US" w:bidi="ar-SA"/>
              </w:rPr>
            </w:pPr>
            <w:r>
              <w:rPr>
                <w:color w:val="auto"/>
                <w:spacing w:val="5"/>
                <w:sz w:val="20"/>
                <w:szCs w:val="20"/>
                <w:lang w:val="en-US" w:bidi="ar-SA"/>
              </w:rPr>
              <w:t>消防</w:t>
            </w:r>
            <w:r>
              <w:rPr>
                <w:color w:val="auto"/>
                <w:sz w:val="20"/>
                <w:szCs w:val="20"/>
                <w:lang w:val="en-US" w:bidi="ar-SA"/>
              </w:rPr>
              <w:t xml:space="preserve"> </w:t>
            </w:r>
            <w:r>
              <w:rPr>
                <w:color w:val="auto"/>
                <w:spacing w:val="-2"/>
                <w:sz w:val="20"/>
                <w:szCs w:val="20"/>
                <w:lang w:val="en-US" w:bidi="ar-SA"/>
              </w:rPr>
              <w:t>楼梯</w:t>
            </w:r>
          </w:p>
        </w:tc>
        <w:tc>
          <w:tcPr>
            <w:tcW w:w="5485" w:type="dxa"/>
            <w:noWrap w:val="0"/>
            <w:vAlign w:val="top"/>
          </w:tcPr>
          <w:p w14:paraId="66D15FF1">
            <w:pPr>
              <w:pStyle w:val="24"/>
              <w:spacing w:before="105" w:line="219" w:lineRule="auto"/>
              <w:ind w:left="101"/>
              <w:rPr>
                <w:color w:val="auto"/>
                <w:sz w:val="20"/>
                <w:szCs w:val="20"/>
                <w:lang w:val="en-US" w:eastAsia="zh-CN" w:bidi="ar-SA"/>
              </w:rPr>
            </w:pPr>
            <w:r>
              <w:rPr>
                <w:color w:val="auto"/>
                <w:spacing w:val="-1"/>
                <w:sz w:val="20"/>
                <w:szCs w:val="20"/>
                <w:lang w:val="en-US" w:eastAsia="zh-CN" w:bidi="ar-SA"/>
              </w:rPr>
              <w:t>楼梯踏步和平台清扫垃圾、清洗，达到无垃圾、无积灰</w:t>
            </w:r>
          </w:p>
        </w:tc>
        <w:tc>
          <w:tcPr>
            <w:tcW w:w="1899" w:type="dxa"/>
            <w:noWrap w:val="0"/>
            <w:vAlign w:val="top"/>
          </w:tcPr>
          <w:p w14:paraId="674EC136">
            <w:pPr>
              <w:pStyle w:val="24"/>
              <w:spacing w:before="105" w:line="219" w:lineRule="auto"/>
              <w:ind w:left="148"/>
              <w:rPr>
                <w:color w:val="auto"/>
                <w:sz w:val="20"/>
                <w:szCs w:val="20"/>
                <w:lang w:val="en-US" w:bidi="ar-SA"/>
              </w:rPr>
            </w:pPr>
            <w:r>
              <w:rPr>
                <w:color w:val="auto"/>
                <w:spacing w:val="-1"/>
                <w:sz w:val="20"/>
                <w:szCs w:val="20"/>
                <w:lang w:val="en-US" w:bidi="ar-SA"/>
              </w:rPr>
              <w:t>不满足1处扣0.5分</w:t>
            </w:r>
          </w:p>
        </w:tc>
      </w:tr>
      <w:tr w14:paraId="5424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noWrap w:val="0"/>
            <w:vAlign w:val="center"/>
          </w:tcPr>
          <w:p w14:paraId="5231DD95">
            <w:pPr>
              <w:pStyle w:val="24"/>
              <w:spacing w:before="157" w:line="183"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6</w:t>
            </w:r>
          </w:p>
        </w:tc>
        <w:tc>
          <w:tcPr>
            <w:tcW w:w="650" w:type="dxa"/>
            <w:vMerge w:val="continue"/>
            <w:tcBorders>
              <w:top w:val="nil"/>
              <w:bottom w:val="nil"/>
            </w:tcBorders>
            <w:noWrap w:val="0"/>
            <w:vAlign w:val="center"/>
          </w:tcPr>
          <w:p w14:paraId="2EAF751F">
            <w:pPr>
              <w:jc w:val="center"/>
              <w:rPr>
                <w:rFonts w:ascii="Arial"/>
                <w:color w:val="auto"/>
                <w:lang w:val="en-US" w:eastAsia="zh-CN" w:bidi="ar-SA"/>
              </w:rPr>
            </w:pPr>
          </w:p>
        </w:tc>
        <w:tc>
          <w:tcPr>
            <w:tcW w:w="5485" w:type="dxa"/>
            <w:noWrap w:val="0"/>
            <w:vAlign w:val="top"/>
          </w:tcPr>
          <w:p w14:paraId="0F2A6B41">
            <w:pPr>
              <w:pStyle w:val="24"/>
              <w:spacing w:before="103" w:line="216" w:lineRule="auto"/>
              <w:ind w:left="101"/>
              <w:rPr>
                <w:color w:val="auto"/>
                <w:sz w:val="20"/>
                <w:szCs w:val="20"/>
                <w:lang w:val="en-US" w:eastAsia="zh-CN" w:bidi="ar-SA"/>
              </w:rPr>
            </w:pPr>
            <w:r>
              <w:rPr>
                <w:color w:val="auto"/>
                <w:spacing w:val="-1"/>
                <w:sz w:val="20"/>
                <w:szCs w:val="20"/>
                <w:lang w:val="en-US" w:eastAsia="zh-CN" w:bidi="ar-SA"/>
              </w:rPr>
              <w:t>墙面(除尘、抹净)涂料(除尘),达到无灰尘</w:t>
            </w:r>
          </w:p>
        </w:tc>
        <w:tc>
          <w:tcPr>
            <w:tcW w:w="1899" w:type="dxa"/>
            <w:noWrap w:val="0"/>
            <w:vAlign w:val="top"/>
          </w:tcPr>
          <w:p w14:paraId="4794857D">
            <w:pPr>
              <w:pStyle w:val="24"/>
              <w:spacing w:before="106" w:line="219" w:lineRule="auto"/>
              <w:ind w:left="148"/>
              <w:rPr>
                <w:color w:val="auto"/>
                <w:sz w:val="20"/>
                <w:szCs w:val="20"/>
                <w:lang w:val="en-US" w:bidi="ar-SA"/>
              </w:rPr>
            </w:pPr>
            <w:r>
              <w:rPr>
                <w:color w:val="auto"/>
                <w:spacing w:val="-1"/>
                <w:sz w:val="20"/>
                <w:szCs w:val="20"/>
                <w:lang w:val="en-US" w:bidi="ar-SA"/>
              </w:rPr>
              <w:t>不满足1处扣0.5分</w:t>
            </w:r>
          </w:p>
        </w:tc>
      </w:tr>
      <w:tr w14:paraId="03753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74" w:type="dxa"/>
            <w:noWrap w:val="0"/>
            <w:vAlign w:val="center"/>
          </w:tcPr>
          <w:p w14:paraId="43A94310">
            <w:pPr>
              <w:pStyle w:val="24"/>
              <w:spacing w:before="147" w:line="183"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7</w:t>
            </w:r>
          </w:p>
        </w:tc>
        <w:tc>
          <w:tcPr>
            <w:tcW w:w="650" w:type="dxa"/>
            <w:vMerge w:val="continue"/>
            <w:tcBorders>
              <w:top w:val="nil"/>
              <w:bottom w:val="nil"/>
            </w:tcBorders>
            <w:noWrap w:val="0"/>
            <w:vAlign w:val="center"/>
          </w:tcPr>
          <w:p w14:paraId="5D8D440A">
            <w:pPr>
              <w:jc w:val="center"/>
              <w:rPr>
                <w:rFonts w:ascii="Arial"/>
                <w:color w:val="auto"/>
                <w:lang w:val="en-US" w:eastAsia="zh-CN" w:bidi="ar-SA"/>
              </w:rPr>
            </w:pPr>
          </w:p>
        </w:tc>
        <w:tc>
          <w:tcPr>
            <w:tcW w:w="5485" w:type="dxa"/>
            <w:noWrap w:val="0"/>
            <w:vAlign w:val="top"/>
          </w:tcPr>
          <w:p w14:paraId="7DFA581E">
            <w:pPr>
              <w:pStyle w:val="24"/>
              <w:spacing w:before="96" w:line="219" w:lineRule="auto"/>
              <w:ind w:left="101"/>
              <w:rPr>
                <w:color w:val="auto"/>
                <w:sz w:val="20"/>
                <w:szCs w:val="20"/>
                <w:lang w:val="en-US" w:eastAsia="zh-CN" w:bidi="ar-SA"/>
              </w:rPr>
            </w:pPr>
            <w:r>
              <w:rPr>
                <w:color w:val="auto"/>
                <w:sz w:val="20"/>
                <w:szCs w:val="20"/>
                <w:lang w:val="en-US" w:eastAsia="zh-CN" w:bidi="ar-SA"/>
              </w:rPr>
              <w:t>灯具除尘，达到无灰尘、无蜘蛛网、无蚊虫</w:t>
            </w:r>
          </w:p>
        </w:tc>
        <w:tc>
          <w:tcPr>
            <w:tcW w:w="1899" w:type="dxa"/>
            <w:noWrap w:val="0"/>
            <w:vAlign w:val="top"/>
          </w:tcPr>
          <w:p w14:paraId="278DB294">
            <w:pPr>
              <w:pStyle w:val="24"/>
              <w:spacing w:before="96" w:line="219" w:lineRule="auto"/>
              <w:ind w:left="148"/>
              <w:rPr>
                <w:color w:val="auto"/>
                <w:sz w:val="20"/>
                <w:szCs w:val="20"/>
                <w:lang w:val="en-US" w:bidi="ar-SA"/>
              </w:rPr>
            </w:pPr>
            <w:r>
              <w:rPr>
                <w:color w:val="auto"/>
                <w:spacing w:val="-1"/>
                <w:sz w:val="20"/>
                <w:szCs w:val="20"/>
                <w:lang w:val="en-US" w:bidi="ar-SA"/>
              </w:rPr>
              <w:t>不满足1处扣0.5分</w:t>
            </w:r>
          </w:p>
        </w:tc>
      </w:tr>
      <w:tr w14:paraId="2F3A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74" w:type="dxa"/>
            <w:noWrap w:val="0"/>
            <w:vAlign w:val="center"/>
          </w:tcPr>
          <w:p w14:paraId="36D8AA0B">
            <w:pPr>
              <w:pStyle w:val="24"/>
              <w:spacing w:before="157" w:line="183"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8</w:t>
            </w:r>
          </w:p>
        </w:tc>
        <w:tc>
          <w:tcPr>
            <w:tcW w:w="650" w:type="dxa"/>
            <w:vMerge w:val="continue"/>
            <w:tcBorders>
              <w:top w:val="nil"/>
            </w:tcBorders>
            <w:noWrap w:val="0"/>
            <w:vAlign w:val="center"/>
          </w:tcPr>
          <w:p w14:paraId="6DDF52E6">
            <w:pPr>
              <w:jc w:val="center"/>
              <w:rPr>
                <w:rFonts w:ascii="Arial"/>
                <w:color w:val="auto"/>
                <w:lang w:val="en-US" w:eastAsia="zh-CN" w:bidi="ar-SA"/>
              </w:rPr>
            </w:pPr>
          </w:p>
        </w:tc>
        <w:tc>
          <w:tcPr>
            <w:tcW w:w="5485" w:type="dxa"/>
            <w:noWrap w:val="0"/>
            <w:vAlign w:val="top"/>
          </w:tcPr>
          <w:p w14:paraId="00ECBB2C">
            <w:pPr>
              <w:pStyle w:val="24"/>
              <w:spacing w:before="106" w:line="219" w:lineRule="auto"/>
              <w:ind w:left="101"/>
              <w:rPr>
                <w:color w:val="auto"/>
                <w:sz w:val="20"/>
                <w:szCs w:val="20"/>
                <w:lang w:val="en-US" w:eastAsia="zh-CN" w:bidi="ar-SA"/>
              </w:rPr>
            </w:pPr>
            <w:r>
              <w:rPr>
                <w:color w:val="auto"/>
                <w:spacing w:val="-1"/>
                <w:sz w:val="20"/>
                <w:szCs w:val="20"/>
                <w:lang w:val="en-US" w:eastAsia="zh-CN" w:bidi="ar-SA"/>
              </w:rPr>
              <w:t>扶手、栏杆除尘、抹净，达到无灰尘、无污渍</w:t>
            </w:r>
          </w:p>
        </w:tc>
        <w:tc>
          <w:tcPr>
            <w:tcW w:w="1899" w:type="dxa"/>
            <w:noWrap w:val="0"/>
            <w:vAlign w:val="top"/>
          </w:tcPr>
          <w:p w14:paraId="0D971A17">
            <w:pPr>
              <w:pStyle w:val="24"/>
              <w:spacing w:before="106" w:line="219" w:lineRule="auto"/>
              <w:ind w:left="148"/>
              <w:rPr>
                <w:color w:val="auto"/>
                <w:sz w:val="20"/>
                <w:szCs w:val="20"/>
                <w:lang w:val="en-US" w:bidi="ar-SA"/>
              </w:rPr>
            </w:pPr>
            <w:r>
              <w:rPr>
                <w:color w:val="auto"/>
                <w:spacing w:val="-1"/>
                <w:sz w:val="20"/>
                <w:szCs w:val="20"/>
                <w:lang w:val="en-US" w:bidi="ar-SA"/>
              </w:rPr>
              <w:t>不满足1处扣0.5分</w:t>
            </w:r>
          </w:p>
        </w:tc>
      </w:tr>
      <w:tr w14:paraId="4161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74" w:type="dxa"/>
            <w:noWrap w:val="0"/>
            <w:vAlign w:val="center"/>
          </w:tcPr>
          <w:p w14:paraId="2CBC7AA3">
            <w:pPr>
              <w:pStyle w:val="24"/>
              <w:spacing w:before="109" w:line="167" w:lineRule="auto"/>
              <w:ind w:left="0"/>
              <w:jc w:val="center"/>
              <w:rPr>
                <w:rFonts w:hint="eastAsia" w:eastAsia="宋体"/>
                <w:color w:val="auto"/>
                <w:sz w:val="20"/>
                <w:szCs w:val="20"/>
                <w:lang w:val="en-US" w:eastAsia="zh-CN" w:bidi="ar-SA"/>
              </w:rPr>
            </w:pPr>
            <w:r>
              <w:rPr>
                <w:color w:val="auto"/>
                <w:spacing w:val="-3"/>
                <w:sz w:val="20"/>
                <w:szCs w:val="20"/>
                <w:lang w:val="en-US" w:bidi="ar-SA"/>
              </w:rPr>
              <w:t>2</w:t>
            </w:r>
            <w:r>
              <w:rPr>
                <w:rFonts w:hint="eastAsia"/>
                <w:color w:val="auto"/>
                <w:spacing w:val="-3"/>
                <w:sz w:val="20"/>
                <w:szCs w:val="20"/>
                <w:lang w:val="en-US" w:eastAsia="zh-CN" w:bidi="ar-SA"/>
              </w:rPr>
              <w:t>9</w:t>
            </w:r>
          </w:p>
        </w:tc>
        <w:tc>
          <w:tcPr>
            <w:tcW w:w="650" w:type="dxa"/>
            <w:vMerge w:val="restart"/>
            <w:tcBorders>
              <w:bottom w:val="nil"/>
            </w:tcBorders>
            <w:noWrap w:val="0"/>
            <w:vAlign w:val="center"/>
          </w:tcPr>
          <w:p w14:paraId="54C0F9ED">
            <w:pPr>
              <w:rPr>
                <w:color w:val="auto"/>
                <w:lang w:val="en-US" w:eastAsia="zh-CN" w:bidi="ar-SA"/>
              </w:rPr>
            </w:pPr>
          </w:p>
          <w:p w14:paraId="2F0C9994">
            <w:pPr>
              <w:rPr>
                <w:color w:val="auto"/>
                <w:lang w:val="en-US" w:eastAsia="zh-CN" w:bidi="ar-SA"/>
              </w:rPr>
            </w:pPr>
          </w:p>
          <w:p w14:paraId="6A9297F4">
            <w:pPr>
              <w:rPr>
                <w:color w:val="auto"/>
                <w:lang w:val="en-US" w:eastAsia="zh-CN" w:bidi="ar-SA"/>
              </w:rPr>
            </w:pPr>
          </w:p>
          <w:p w14:paraId="4347A77E">
            <w:pPr>
              <w:pStyle w:val="24"/>
              <w:spacing w:before="65" w:line="221" w:lineRule="auto"/>
              <w:ind w:left="0"/>
              <w:jc w:val="center"/>
              <w:rPr>
                <w:color w:val="auto"/>
                <w:sz w:val="20"/>
                <w:szCs w:val="20"/>
                <w:lang w:val="en-US" w:bidi="ar-SA"/>
              </w:rPr>
            </w:pPr>
            <w:r>
              <w:rPr>
                <w:color w:val="auto"/>
                <w:spacing w:val="7"/>
                <w:sz w:val="20"/>
                <w:szCs w:val="20"/>
                <w:lang w:val="en-US" w:bidi="ar-SA"/>
              </w:rPr>
              <w:t>其它</w:t>
            </w:r>
          </w:p>
        </w:tc>
        <w:tc>
          <w:tcPr>
            <w:tcW w:w="5485" w:type="dxa"/>
            <w:noWrap w:val="0"/>
            <w:vAlign w:val="top"/>
          </w:tcPr>
          <w:p w14:paraId="5BDB8B4E">
            <w:pPr>
              <w:pStyle w:val="24"/>
              <w:spacing w:before="57" w:line="215" w:lineRule="auto"/>
              <w:ind w:left="101"/>
              <w:rPr>
                <w:color w:val="auto"/>
                <w:sz w:val="20"/>
                <w:szCs w:val="20"/>
                <w:lang w:val="en-US" w:eastAsia="zh-CN" w:bidi="ar-SA"/>
              </w:rPr>
            </w:pPr>
            <w:r>
              <w:rPr>
                <w:color w:val="auto"/>
                <w:spacing w:val="5"/>
                <w:sz w:val="20"/>
                <w:szCs w:val="20"/>
                <w:lang w:val="en-US" w:eastAsia="zh-CN" w:bidi="ar-SA"/>
              </w:rPr>
              <w:t>保持工作问、储藏室的清洁，整齐有序；</w:t>
            </w:r>
          </w:p>
        </w:tc>
        <w:tc>
          <w:tcPr>
            <w:tcW w:w="1899" w:type="dxa"/>
            <w:noWrap w:val="0"/>
            <w:vAlign w:val="top"/>
          </w:tcPr>
          <w:p w14:paraId="72ACE075">
            <w:pPr>
              <w:pStyle w:val="24"/>
              <w:spacing w:before="57" w:line="215" w:lineRule="auto"/>
              <w:ind w:left="148"/>
              <w:rPr>
                <w:color w:val="auto"/>
                <w:sz w:val="20"/>
                <w:szCs w:val="20"/>
                <w:lang w:val="en-US" w:bidi="ar-SA"/>
              </w:rPr>
            </w:pPr>
            <w:r>
              <w:rPr>
                <w:color w:val="auto"/>
                <w:spacing w:val="-1"/>
                <w:sz w:val="20"/>
                <w:szCs w:val="20"/>
                <w:lang w:val="en-US" w:bidi="ar-SA"/>
              </w:rPr>
              <w:t>不满足1处扣0.5分</w:t>
            </w:r>
          </w:p>
        </w:tc>
      </w:tr>
      <w:tr w14:paraId="113AF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74" w:type="dxa"/>
            <w:noWrap w:val="0"/>
            <w:vAlign w:val="center"/>
          </w:tcPr>
          <w:p w14:paraId="0BFD6487">
            <w:pPr>
              <w:pStyle w:val="24"/>
              <w:spacing w:before="108" w:line="157"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30</w:t>
            </w:r>
          </w:p>
        </w:tc>
        <w:tc>
          <w:tcPr>
            <w:tcW w:w="650" w:type="dxa"/>
            <w:vMerge w:val="continue"/>
            <w:tcBorders>
              <w:top w:val="nil"/>
              <w:bottom w:val="nil"/>
            </w:tcBorders>
            <w:noWrap w:val="0"/>
            <w:vAlign w:val="top"/>
          </w:tcPr>
          <w:p w14:paraId="5FDDFFD0">
            <w:pPr>
              <w:rPr>
                <w:rFonts w:ascii="Arial"/>
                <w:color w:val="auto"/>
                <w:lang w:val="en-US" w:eastAsia="zh-CN" w:bidi="ar-SA"/>
              </w:rPr>
            </w:pPr>
          </w:p>
        </w:tc>
        <w:tc>
          <w:tcPr>
            <w:tcW w:w="5485" w:type="dxa"/>
            <w:noWrap w:val="0"/>
            <w:vAlign w:val="top"/>
          </w:tcPr>
          <w:p w14:paraId="31F146A1">
            <w:pPr>
              <w:pStyle w:val="24"/>
              <w:spacing w:before="56" w:line="205" w:lineRule="auto"/>
              <w:ind w:left="101"/>
              <w:rPr>
                <w:color w:val="auto"/>
                <w:sz w:val="20"/>
                <w:szCs w:val="20"/>
                <w:lang w:val="en-US" w:eastAsia="zh-CN" w:bidi="ar-SA"/>
              </w:rPr>
            </w:pPr>
            <w:r>
              <w:rPr>
                <w:color w:val="auto"/>
                <w:spacing w:val="5"/>
                <w:sz w:val="20"/>
                <w:szCs w:val="20"/>
                <w:lang w:val="en-US" w:eastAsia="zh-CN" w:bidi="ar-SA"/>
              </w:rPr>
              <w:t>定期进行培训，培训记录真实、规范；</w:t>
            </w:r>
          </w:p>
        </w:tc>
        <w:tc>
          <w:tcPr>
            <w:tcW w:w="1899" w:type="dxa"/>
            <w:noWrap w:val="0"/>
            <w:vAlign w:val="top"/>
          </w:tcPr>
          <w:p w14:paraId="6BAB1FCE">
            <w:pPr>
              <w:pStyle w:val="24"/>
              <w:spacing w:before="56" w:line="205" w:lineRule="auto"/>
              <w:ind w:left="148"/>
              <w:rPr>
                <w:color w:val="auto"/>
                <w:sz w:val="20"/>
                <w:szCs w:val="20"/>
                <w:lang w:val="en-US" w:bidi="ar-SA"/>
              </w:rPr>
            </w:pPr>
            <w:r>
              <w:rPr>
                <w:color w:val="auto"/>
                <w:spacing w:val="-1"/>
                <w:sz w:val="20"/>
                <w:szCs w:val="20"/>
                <w:lang w:val="en-US" w:bidi="ar-SA"/>
              </w:rPr>
              <w:t>不满足1处扣0.5分</w:t>
            </w:r>
          </w:p>
        </w:tc>
      </w:tr>
      <w:tr w14:paraId="057F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74" w:type="dxa"/>
            <w:noWrap w:val="0"/>
            <w:vAlign w:val="center"/>
          </w:tcPr>
          <w:p w14:paraId="597B23D1">
            <w:pPr>
              <w:pStyle w:val="24"/>
              <w:spacing w:before="110" w:line="166"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31</w:t>
            </w:r>
          </w:p>
        </w:tc>
        <w:tc>
          <w:tcPr>
            <w:tcW w:w="650" w:type="dxa"/>
            <w:vMerge w:val="continue"/>
            <w:tcBorders>
              <w:top w:val="nil"/>
              <w:bottom w:val="nil"/>
            </w:tcBorders>
            <w:noWrap w:val="0"/>
            <w:vAlign w:val="top"/>
          </w:tcPr>
          <w:p w14:paraId="182D6777">
            <w:pPr>
              <w:rPr>
                <w:rFonts w:ascii="Arial"/>
                <w:color w:val="auto"/>
                <w:lang w:val="en-US" w:eastAsia="zh-CN" w:bidi="ar-SA"/>
              </w:rPr>
            </w:pPr>
          </w:p>
        </w:tc>
        <w:tc>
          <w:tcPr>
            <w:tcW w:w="5485" w:type="dxa"/>
            <w:noWrap w:val="0"/>
            <w:vAlign w:val="top"/>
          </w:tcPr>
          <w:p w14:paraId="676EF7AD">
            <w:pPr>
              <w:pStyle w:val="24"/>
              <w:spacing w:before="58" w:line="214" w:lineRule="auto"/>
              <w:ind w:left="101"/>
              <w:rPr>
                <w:color w:val="auto"/>
                <w:sz w:val="20"/>
                <w:szCs w:val="20"/>
                <w:lang w:val="en-US" w:eastAsia="zh-CN" w:bidi="ar-SA"/>
              </w:rPr>
            </w:pPr>
            <w:r>
              <w:rPr>
                <w:color w:val="auto"/>
                <w:spacing w:val="4"/>
                <w:sz w:val="20"/>
                <w:szCs w:val="20"/>
                <w:lang w:val="en-US" w:eastAsia="zh-CN" w:bidi="ar-SA"/>
              </w:rPr>
              <w:t>各种制度齐全、完善，上墙部份整齐、规范；</w:t>
            </w:r>
          </w:p>
        </w:tc>
        <w:tc>
          <w:tcPr>
            <w:tcW w:w="1899" w:type="dxa"/>
            <w:noWrap w:val="0"/>
            <w:vAlign w:val="top"/>
          </w:tcPr>
          <w:p w14:paraId="4E633C86">
            <w:pPr>
              <w:pStyle w:val="24"/>
              <w:spacing w:before="58" w:line="214" w:lineRule="auto"/>
              <w:ind w:left="148"/>
              <w:rPr>
                <w:color w:val="auto"/>
                <w:sz w:val="20"/>
                <w:szCs w:val="20"/>
                <w:lang w:val="en-US" w:bidi="ar-SA"/>
              </w:rPr>
            </w:pPr>
            <w:r>
              <w:rPr>
                <w:color w:val="auto"/>
                <w:spacing w:val="-1"/>
                <w:sz w:val="20"/>
                <w:szCs w:val="20"/>
                <w:lang w:val="en-US" w:bidi="ar-SA"/>
              </w:rPr>
              <w:t>不满足1处扣0.5分</w:t>
            </w:r>
          </w:p>
        </w:tc>
      </w:tr>
      <w:tr w14:paraId="75320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74" w:type="dxa"/>
            <w:noWrap w:val="0"/>
            <w:vAlign w:val="center"/>
          </w:tcPr>
          <w:p w14:paraId="10AA3CE1">
            <w:pPr>
              <w:pStyle w:val="24"/>
              <w:spacing w:before="108" w:line="158"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32</w:t>
            </w:r>
          </w:p>
        </w:tc>
        <w:tc>
          <w:tcPr>
            <w:tcW w:w="650" w:type="dxa"/>
            <w:vMerge w:val="continue"/>
            <w:tcBorders>
              <w:top w:val="nil"/>
              <w:bottom w:val="nil"/>
            </w:tcBorders>
            <w:noWrap w:val="0"/>
            <w:vAlign w:val="top"/>
          </w:tcPr>
          <w:p w14:paraId="036D0543">
            <w:pPr>
              <w:rPr>
                <w:rFonts w:ascii="Arial"/>
                <w:color w:val="auto"/>
                <w:lang w:val="en-US" w:eastAsia="zh-CN" w:bidi="ar-SA"/>
              </w:rPr>
            </w:pPr>
          </w:p>
        </w:tc>
        <w:tc>
          <w:tcPr>
            <w:tcW w:w="5485" w:type="dxa"/>
            <w:noWrap w:val="0"/>
            <w:vAlign w:val="top"/>
          </w:tcPr>
          <w:p w14:paraId="5F52FD29">
            <w:pPr>
              <w:pStyle w:val="24"/>
              <w:spacing w:before="57" w:line="205" w:lineRule="auto"/>
              <w:ind w:left="101"/>
              <w:rPr>
                <w:color w:val="auto"/>
                <w:sz w:val="20"/>
                <w:szCs w:val="20"/>
                <w:lang w:val="en-US" w:bidi="ar-SA"/>
              </w:rPr>
            </w:pPr>
            <w:r>
              <w:rPr>
                <w:color w:val="auto"/>
                <w:spacing w:val="12"/>
                <w:sz w:val="20"/>
                <w:szCs w:val="20"/>
                <w:lang w:val="en-US" w:bidi="ar-SA"/>
              </w:rPr>
              <w:t>制度的执行情况；</w:t>
            </w:r>
          </w:p>
        </w:tc>
        <w:tc>
          <w:tcPr>
            <w:tcW w:w="1899" w:type="dxa"/>
            <w:noWrap w:val="0"/>
            <w:vAlign w:val="top"/>
          </w:tcPr>
          <w:p w14:paraId="15CD79D8">
            <w:pPr>
              <w:pStyle w:val="24"/>
              <w:spacing w:before="57" w:line="205" w:lineRule="auto"/>
              <w:ind w:left="148"/>
              <w:rPr>
                <w:color w:val="auto"/>
                <w:sz w:val="20"/>
                <w:szCs w:val="20"/>
                <w:lang w:val="en-US" w:bidi="ar-SA"/>
              </w:rPr>
            </w:pPr>
            <w:r>
              <w:rPr>
                <w:color w:val="auto"/>
                <w:spacing w:val="-1"/>
                <w:sz w:val="20"/>
                <w:szCs w:val="20"/>
                <w:lang w:val="en-US" w:bidi="ar-SA"/>
              </w:rPr>
              <w:t>不满足1处扣0.5分</w:t>
            </w:r>
          </w:p>
        </w:tc>
      </w:tr>
      <w:tr w14:paraId="78E70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74" w:type="dxa"/>
            <w:noWrap w:val="0"/>
            <w:vAlign w:val="center"/>
          </w:tcPr>
          <w:p w14:paraId="30CB226D">
            <w:pPr>
              <w:pStyle w:val="24"/>
              <w:spacing w:before="119" w:line="175" w:lineRule="auto"/>
              <w:ind w:left="0"/>
              <w:jc w:val="center"/>
              <w:rPr>
                <w:rFonts w:hint="eastAsia" w:eastAsia="宋体"/>
                <w:color w:val="auto"/>
                <w:sz w:val="20"/>
                <w:szCs w:val="20"/>
                <w:lang w:val="en-US" w:eastAsia="zh-CN" w:bidi="ar-SA"/>
              </w:rPr>
            </w:pPr>
            <w:r>
              <w:rPr>
                <w:color w:val="auto"/>
                <w:spacing w:val="-3"/>
                <w:sz w:val="20"/>
                <w:szCs w:val="20"/>
                <w:lang w:val="en-US" w:bidi="ar-SA"/>
              </w:rPr>
              <w:t>3</w:t>
            </w:r>
            <w:r>
              <w:rPr>
                <w:rFonts w:hint="eastAsia"/>
                <w:color w:val="auto"/>
                <w:spacing w:val="-3"/>
                <w:sz w:val="20"/>
                <w:szCs w:val="20"/>
                <w:lang w:val="en-US" w:eastAsia="zh-CN" w:bidi="ar-SA"/>
              </w:rPr>
              <w:t>3</w:t>
            </w:r>
          </w:p>
        </w:tc>
        <w:tc>
          <w:tcPr>
            <w:tcW w:w="650" w:type="dxa"/>
            <w:vMerge w:val="continue"/>
            <w:tcBorders>
              <w:top w:val="nil"/>
              <w:bottom w:val="nil"/>
            </w:tcBorders>
            <w:noWrap w:val="0"/>
            <w:vAlign w:val="top"/>
          </w:tcPr>
          <w:p w14:paraId="6CEDBB6E">
            <w:pPr>
              <w:rPr>
                <w:rFonts w:ascii="Arial"/>
                <w:color w:val="auto"/>
                <w:lang w:val="en-US" w:eastAsia="zh-CN" w:bidi="ar-SA"/>
              </w:rPr>
            </w:pPr>
          </w:p>
        </w:tc>
        <w:tc>
          <w:tcPr>
            <w:tcW w:w="5485" w:type="dxa"/>
            <w:noWrap w:val="0"/>
            <w:vAlign w:val="top"/>
          </w:tcPr>
          <w:p w14:paraId="472A9CAC">
            <w:pPr>
              <w:pStyle w:val="24"/>
              <w:spacing w:before="68" w:line="220" w:lineRule="auto"/>
              <w:ind w:left="101"/>
              <w:rPr>
                <w:color w:val="auto"/>
                <w:sz w:val="20"/>
                <w:szCs w:val="20"/>
                <w:lang w:val="en-US" w:bidi="ar-SA"/>
              </w:rPr>
            </w:pPr>
            <w:r>
              <w:rPr>
                <w:color w:val="auto"/>
                <w:spacing w:val="12"/>
                <w:sz w:val="20"/>
                <w:szCs w:val="20"/>
                <w:lang w:val="en-US" w:bidi="ar-SA"/>
              </w:rPr>
              <w:t>职责的熟悉情况；</w:t>
            </w:r>
          </w:p>
        </w:tc>
        <w:tc>
          <w:tcPr>
            <w:tcW w:w="1899" w:type="dxa"/>
            <w:noWrap w:val="0"/>
            <w:vAlign w:val="top"/>
          </w:tcPr>
          <w:p w14:paraId="4B7A509D">
            <w:pPr>
              <w:pStyle w:val="24"/>
              <w:spacing w:before="68" w:line="219" w:lineRule="auto"/>
              <w:ind w:left="148"/>
              <w:rPr>
                <w:color w:val="auto"/>
                <w:sz w:val="20"/>
                <w:szCs w:val="20"/>
                <w:lang w:val="en-US" w:bidi="ar-SA"/>
              </w:rPr>
            </w:pPr>
            <w:r>
              <w:rPr>
                <w:color w:val="auto"/>
                <w:spacing w:val="-1"/>
                <w:sz w:val="20"/>
                <w:szCs w:val="20"/>
                <w:lang w:val="en-US" w:bidi="ar-SA"/>
              </w:rPr>
              <w:t>不满足1处扣0.5分</w:t>
            </w:r>
          </w:p>
        </w:tc>
      </w:tr>
      <w:tr w14:paraId="27EBC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74" w:type="dxa"/>
            <w:noWrap w:val="0"/>
            <w:vAlign w:val="center"/>
          </w:tcPr>
          <w:p w14:paraId="50823DDC">
            <w:pPr>
              <w:pStyle w:val="24"/>
              <w:spacing w:before="120" w:line="175"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34</w:t>
            </w:r>
          </w:p>
        </w:tc>
        <w:tc>
          <w:tcPr>
            <w:tcW w:w="650" w:type="dxa"/>
            <w:vMerge w:val="continue"/>
            <w:tcBorders>
              <w:top w:val="nil"/>
              <w:bottom w:val="nil"/>
            </w:tcBorders>
            <w:noWrap w:val="0"/>
            <w:vAlign w:val="top"/>
          </w:tcPr>
          <w:p w14:paraId="51F3D5DF">
            <w:pPr>
              <w:rPr>
                <w:rFonts w:ascii="Arial"/>
                <w:color w:val="auto"/>
                <w:lang w:val="en-US" w:eastAsia="zh-CN" w:bidi="ar-SA"/>
              </w:rPr>
            </w:pPr>
          </w:p>
        </w:tc>
        <w:tc>
          <w:tcPr>
            <w:tcW w:w="5485" w:type="dxa"/>
            <w:noWrap w:val="0"/>
            <w:vAlign w:val="top"/>
          </w:tcPr>
          <w:p w14:paraId="28B1F6A9">
            <w:pPr>
              <w:pStyle w:val="24"/>
              <w:spacing w:before="67" w:line="219" w:lineRule="auto"/>
              <w:ind w:left="101"/>
              <w:rPr>
                <w:color w:val="auto"/>
                <w:sz w:val="20"/>
                <w:szCs w:val="20"/>
                <w:lang w:val="en-US" w:eastAsia="zh-CN" w:bidi="ar-SA"/>
              </w:rPr>
            </w:pPr>
            <w:r>
              <w:rPr>
                <w:color w:val="auto"/>
                <w:spacing w:val="6"/>
                <w:sz w:val="20"/>
                <w:szCs w:val="20"/>
                <w:lang w:val="en-US" w:eastAsia="zh-CN" w:bidi="ar-SA"/>
              </w:rPr>
              <w:t>及时完成采购人交办的临时性任务；</w:t>
            </w:r>
          </w:p>
        </w:tc>
        <w:tc>
          <w:tcPr>
            <w:tcW w:w="1899" w:type="dxa"/>
            <w:noWrap w:val="0"/>
            <w:vAlign w:val="top"/>
          </w:tcPr>
          <w:p w14:paraId="5176B03E">
            <w:pPr>
              <w:pStyle w:val="24"/>
              <w:spacing w:before="69" w:line="219" w:lineRule="auto"/>
              <w:ind w:left="98"/>
              <w:rPr>
                <w:color w:val="auto"/>
                <w:sz w:val="20"/>
                <w:szCs w:val="20"/>
                <w:lang w:val="en-US" w:bidi="ar-SA"/>
              </w:rPr>
            </w:pPr>
            <w:r>
              <w:rPr>
                <w:color w:val="auto"/>
                <w:spacing w:val="-2"/>
                <w:sz w:val="20"/>
                <w:szCs w:val="20"/>
                <w:lang w:val="en-US" w:bidi="ar-SA"/>
              </w:rPr>
              <w:t>不满足1处扣2分</w:t>
            </w:r>
          </w:p>
        </w:tc>
      </w:tr>
      <w:tr w14:paraId="3808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74" w:type="dxa"/>
            <w:noWrap w:val="0"/>
            <w:vAlign w:val="center"/>
          </w:tcPr>
          <w:p w14:paraId="1AFD1B10">
            <w:pPr>
              <w:pStyle w:val="24"/>
              <w:spacing w:before="120" w:line="170" w:lineRule="auto"/>
              <w:ind w:left="0"/>
              <w:jc w:val="center"/>
              <w:rPr>
                <w:rFonts w:hint="default" w:eastAsia="宋体"/>
                <w:color w:val="auto"/>
                <w:sz w:val="20"/>
                <w:szCs w:val="20"/>
                <w:lang w:val="en-US" w:eastAsia="zh-CN" w:bidi="ar-SA"/>
              </w:rPr>
            </w:pPr>
            <w:r>
              <w:rPr>
                <w:rFonts w:hint="eastAsia"/>
                <w:color w:val="auto"/>
                <w:spacing w:val="-3"/>
                <w:sz w:val="20"/>
                <w:szCs w:val="20"/>
                <w:lang w:val="en-US" w:eastAsia="zh-CN" w:bidi="ar-SA"/>
              </w:rPr>
              <w:t>35</w:t>
            </w:r>
          </w:p>
        </w:tc>
        <w:tc>
          <w:tcPr>
            <w:tcW w:w="650" w:type="dxa"/>
            <w:vMerge w:val="continue"/>
            <w:tcBorders>
              <w:top w:val="nil"/>
            </w:tcBorders>
            <w:noWrap w:val="0"/>
            <w:vAlign w:val="top"/>
          </w:tcPr>
          <w:p w14:paraId="12CA8F7D">
            <w:pPr>
              <w:rPr>
                <w:rFonts w:ascii="Arial"/>
                <w:color w:val="auto"/>
                <w:lang w:val="en-US" w:eastAsia="zh-CN" w:bidi="ar-SA"/>
              </w:rPr>
            </w:pPr>
          </w:p>
        </w:tc>
        <w:tc>
          <w:tcPr>
            <w:tcW w:w="5485" w:type="dxa"/>
            <w:noWrap w:val="0"/>
            <w:vAlign w:val="top"/>
          </w:tcPr>
          <w:p w14:paraId="4326FD7C">
            <w:pPr>
              <w:pStyle w:val="24"/>
              <w:spacing w:before="68" w:line="218" w:lineRule="auto"/>
              <w:ind w:left="101"/>
              <w:rPr>
                <w:color w:val="auto"/>
                <w:sz w:val="20"/>
                <w:szCs w:val="20"/>
                <w:lang w:val="en-US" w:eastAsia="zh-CN" w:bidi="ar-SA"/>
              </w:rPr>
            </w:pPr>
            <w:r>
              <w:rPr>
                <w:color w:val="auto"/>
                <w:spacing w:val="-1"/>
                <w:sz w:val="20"/>
                <w:szCs w:val="20"/>
                <w:lang w:val="en-US" w:eastAsia="zh-CN" w:bidi="ar-SA"/>
              </w:rPr>
              <w:t>工作人员无缺勤缺岗情况。</w:t>
            </w:r>
          </w:p>
        </w:tc>
        <w:tc>
          <w:tcPr>
            <w:tcW w:w="1899" w:type="dxa"/>
            <w:noWrap w:val="0"/>
            <w:vAlign w:val="top"/>
          </w:tcPr>
          <w:p w14:paraId="692476BA">
            <w:pPr>
              <w:pStyle w:val="24"/>
              <w:spacing w:before="68" w:line="218" w:lineRule="auto"/>
              <w:ind w:left="197"/>
              <w:rPr>
                <w:color w:val="auto"/>
                <w:sz w:val="20"/>
                <w:szCs w:val="20"/>
                <w:lang w:val="en-US" w:bidi="ar-SA"/>
              </w:rPr>
            </w:pPr>
            <w:r>
              <w:rPr>
                <w:color w:val="auto"/>
                <w:spacing w:val="-2"/>
                <w:sz w:val="20"/>
                <w:szCs w:val="20"/>
                <w:lang w:val="en-US" w:bidi="ar-SA"/>
              </w:rPr>
              <w:t>不满足一项扣3分</w:t>
            </w:r>
          </w:p>
        </w:tc>
      </w:tr>
    </w:tbl>
    <w:p w14:paraId="5A2A772E">
      <w:pPr>
        <w:spacing w:line="360" w:lineRule="auto"/>
        <w:ind w:firstLine="480" w:firstLineChars="200"/>
        <w:rPr>
          <w:rFonts w:hint="eastAsia" w:ascii="宋体" w:hAnsi="宋体" w:eastAsia="宋体" w:cs="宋体"/>
          <w:color w:val="auto"/>
          <w:sz w:val="24"/>
          <w:szCs w:val="24"/>
          <w:highlight w:val="none"/>
        </w:rPr>
      </w:pPr>
    </w:p>
    <w:p w14:paraId="19029AC0">
      <w:pPr>
        <w:pStyle w:val="3"/>
        <w:spacing w:line="360" w:lineRule="auto"/>
        <w:jc w:val="center"/>
        <w:rPr>
          <w:rFonts w:hint="eastAsia" w:ascii="宋体" w:hAnsi="Times New Roman" w:eastAsia="宋体" w:cs="宋体"/>
          <w:b/>
          <w:bCs/>
          <w:color w:val="auto"/>
          <w:sz w:val="30"/>
          <w:szCs w:val="30"/>
          <w:highlight w:val="none"/>
          <w:lang w:val="en-US" w:eastAsia="zh-CN"/>
        </w:rPr>
      </w:pPr>
      <w:bookmarkStart w:id="465" w:name="_Toc23926"/>
      <w:bookmarkStart w:id="466" w:name="_Toc23971"/>
      <w:bookmarkStart w:id="467" w:name="_Toc7229"/>
    </w:p>
    <w:p w14:paraId="28BE26B8">
      <w:pPr>
        <w:pStyle w:val="3"/>
        <w:spacing w:line="360" w:lineRule="auto"/>
        <w:jc w:val="center"/>
        <w:rPr>
          <w:rFonts w:hint="eastAsia" w:ascii="宋体" w:hAnsi="Times New Roman" w:eastAsia="宋体" w:cs="宋体"/>
          <w:b/>
          <w:bCs/>
          <w:color w:val="auto"/>
          <w:sz w:val="30"/>
          <w:szCs w:val="30"/>
          <w:highlight w:val="none"/>
          <w:lang w:val="en-US" w:eastAsia="zh-CN"/>
        </w:rPr>
      </w:pPr>
    </w:p>
    <w:p w14:paraId="584D7C12">
      <w:pPr>
        <w:pStyle w:val="3"/>
        <w:spacing w:line="360" w:lineRule="auto"/>
        <w:jc w:val="both"/>
        <w:rPr>
          <w:rFonts w:hint="eastAsia" w:ascii="宋体" w:hAnsi="Times New Roman" w:eastAsia="宋体" w:cs="宋体"/>
          <w:b/>
          <w:bCs/>
          <w:color w:val="auto"/>
          <w:sz w:val="30"/>
          <w:szCs w:val="30"/>
          <w:highlight w:val="none"/>
          <w:lang w:val="en-US" w:eastAsia="zh-CN"/>
        </w:rPr>
      </w:pPr>
    </w:p>
    <w:p w14:paraId="0DEC3210">
      <w:pPr>
        <w:pStyle w:val="3"/>
        <w:spacing w:line="360" w:lineRule="auto"/>
        <w:jc w:val="center"/>
        <w:rPr>
          <w:rFonts w:hint="eastAsia" w:ascii="宋体" w:hAnsi="Times New Roman" w:eastAsia="宋体" w:cs="宋体"/>
          <w:b/>
          <w:bCs/>
          <w:color w:val="auto"/>
          <w:sz w:val="30"/>
          <w:szCs w:val="30"/>
          <w:highlight w:val="none"/>
          <w:lang w:val="en-US" w:eastAsia="zh-CN"/>
        </w:rPr>
      </w:pPr>
    </w:p>
    <w:p w14:paraId="57F17C06">
      <w:pPr>
        <w:spacing w:line="360" w:lineRule="auto"/>
        <w:jc w:val="center"/>
        <w:rPr>
          <w:rFonts w:hint="default" w:ascii="宋体" w:hAnsi="宋体" w:eastAsia="宋体" w:cs="宋体"/>
          <w:b/>
          <w:bCs w:val="0"/>
          <w:color w:val="auto"/>
          <w:sz w:val="28"/>
          <w:szCs w:val="20"/>
          <w:highlight w:val="none"/>
          <w:lang w:val="en-US" w:eastAsia="zh-CN"/>
        </w:rPr>
      </w:pPr>
    </w:p>
    <w:p w14:paraId="22979F2A">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27156715">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2875D1E8">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20F4BA6">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C1F56AA">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A239F73">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2CA9BE5">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2DE6CF76">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5C5AA73F">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3845EC79">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48482A2">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07F81955">
      <w:pPr>
        <w:pStyle w:val="3"/>
        <w:spacing w:line="360" w:lineRule="auto"/>
        <w:ind w:firstLine="2409" w:firstLineChars="800"/>
        <w:jc w:val="both"/>
        <w:rPr>
          <w:rFonts w:hint="default" w:ascii="宋体" w:hAnsi="Times New Roman" w:eastAsia="宋体" w:cs="宋体"/>
          <w:b/>
          <w:bCs/>
          <w:color w:val="auto"/>
          <w:sz w:val="30"/>
          <w:szCs w:val="30"/>
          <w:highlight w:val="none"/>
          <w:lang w:val="en-US" w:eastAsia="zh-CN"/>
        </w:rPr>
      </w:pPr>
    </w:p>
    <w:p w14:paraId="621A8804">
      <w:pPr>
        <w:bidi w:val="0"/>
        <w:rPr>
          <w:rFonts w:hint="default"/>
          <w:color w:val="auto"/>
          <w:lang w:val="en-US" w:eastAsia="zh-CN"/>
        </w:rPr>
      </w:pPr>
    </w:p>
    <w:p w14:paraId="3177F316">
      <w:pPr>
        <w:bidi w:val="0"/>
        <w:rPr>
          <w:rFonts w:hint="default"/>
          <w:color w:val="auto"/>
          <w:lang w:val="en-US" w:eastAsia="zh-CN"/>
        </w:rPr>
      </w:pPr>
    </w:p>
    <w:p w14:paraId="2F2786B2">
      <w:pPr>
        <w:pStyle w:val="2"/>
        <w:bidi w:val="0"/>
        <w:rPr>
          <w:rFonts w:hint="default"/>
          <w:color w:val="auto"/>
          <w:lang w:val="en-US" w:eastAsia="zh-CN"/>
        </w:rPr>
      </w:pPr>
      <w:r>
        <w:rPr>
          <w:rFonts w:hint="default"/>
          <w:color w:val="auto"/>
          <w:lang w:val="en-US" w:eastAsia="zh-CN"/>
        </w:rPr>
        <w:t>第四章 付款方式及要求</w:t>
      </w:r>
      <w:bookmarkEnd w:id="465"/>
      <w:bookmarkEnd w:id="466"/>
      <w:bookmarkEnd w:id="467"/>
    </w:p>
    <w:p w14:paraId="08D9DEE1">
      <w:pPr>
        <w:pStyle w:val="4"/>
        <w:numPr>
          <w:ilvl w:val="0"/>
          <w:numId w:val="5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p w14:paraId="65540D1A">
      <w:pPr>
        <w:numPr>
          <w:ilvl w:val="0"/>
          <w:numId w:val="0"/>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运营管理费支付：根据考核，会计年度营收（扣除代收代缴费用外）的</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%计提。每个会计年度初，在采购人、中标人确认上一会计年度营收（扣除代收代缴费用外）及年度出租率考核后15个工作日内支付上一会计年度运营管理费。</w:t>
      </w:r>
    </w:p>
    <w:p w14:paraId="389796A6">
      <w:pPr>
        <w:numPr>
          <w:ilvl w:val="0"/>
          <w:numId w:val="0"/>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运营服务费支付：每季度第一个月采购人按季度考核规则进行考核后15个工作日内支付上一季度的服务费既年运营服务费*25%*（100%-考核得分扣除比例），年终根据考核结果进行结算。</w:t>
      </w:r>
    </w:p>
    <w:p w14:paraId="608310CA">
      <w:pPr>
        <w:numPr>
          <w:ilvl w:val="0"/>
          <w:numId w:val="0"/>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前期介入服务费</w:t>
      </w:r>
      <w:r>
        <w:rPr>
          <w:rFonts w:hint="eastAsia" w:ascii="宋体" w:hAnsi="宋体" w:eastAsia="宋体" w:cs="宋体"/>
          <w:b w:val="0"/>
          <w:bCs w:val="0"/>
          <w:color w:val="auto"/>
          <w:sz w:val="24"/>
          <w:szCs w:val="24"/>
          <w:highlight w:val="none"/>
          <w:lang w:val="en-US" w:eastAsia="zh-CN"/>
        </w:rPr>
        <w:t>：合同签订后支付</w:t>
      </w:r>
      <w:r>
        <w:rPr>
          <w:rFonts w:hint="eastAsia" w:ascii="宋体" w:hAnsi="宋体" w:eastAsia="宋体" w:cs="宋体"/>
          <w:b w:val="0"/>
          <w:bCs w:val="0"/>
          <w:color w:val="auto"/>
          <w:sz w:val="24"/>
          <w:szCs w:val="24"/>
          <w:highlight w:val="none"/>
          <w:u w:val="single"/>
          <w:lang w:val="en-US" w:eastAsia="zh-CN"/>
        </w:rPr>
        <w:t xml:space="preserve"> 30 </w:t>
      </w:r>
      <w:r>
        <w:rPr>
          <w:rFonts w:hint="eastAsia" w:ascii="宋体" w:hAnsi="宋体" w:eastAsia="宋体" w:cs="宋体"/>
          <w:b w:val="0"/>
          <w:bCs w:val="0"/>
          <w:color w:val="auto"/>
          <w:sz w:val="24"/>
          <w:szCs w:val="24"/>
          <w:highlight w:val="none"/>
          <w:lang w:val="en-US" w:eastAsia="zh-CN"/>
        </w:rPr>
        <w:t>%，正式开业后15个工作日内支付剩余</w:t>
      </w:r>
      <w:r>
        <w:rPr>
          <w:rFonts w:hint="eastAsia" w:ascii="宋体" w:hAnsi="宋体" w:eastAsia="宋体" w:cs="宋体"/>
          <w:b w:val="0"/>
          <w:bCs w:val="0"/>
          <w:color w:val="auto"/>
          <w:sz w:val="24"/>
          <w:szCs w:val="24"/>
          <w:highlight w:val="none"/>
          <w:u w:val="single"/>
          <w:lang w:val="en-US" w:eastAsia="zh-CN"/>
        </w:rPr>
        <w:t xml:space="preserve"> 70 </w:t>
      </w:r>
      <w:r>
        <w:rPr>
          <w:rFonts w:hint="eastAsia" w:ascii="宋体" w:hAnsi="宋体" w:eastAsia="宋体" w:cs="宋体"/>
          <w:b w:val="0"/>
          <w:bCs w:val="0"/>
          <w:color w:val="auto"/>
          <w:sz w:val="24"/>
          <w:szCs w:val="24"/>
          <w:highlight w:val="none"/>
          <w:lang w:val="en-US" w:eastAsia="zh-CN"/>
        </w:rPr>
        <w:t>%。（根据实际到岗人员和时间结算）。</w:t>
      </w:r>
    </w:p>
    <w:p w14:paraId="345C4CAB">
      <w:pPr>
        <w:pStyle w:val="4"/>
        <w:numPr>
          <w:ilvl w:val="0"/>
          <w:numId w:val="50"/>
        </w:numPr>
        <w:spacing w:line="360" w:lineRule="auto"/>
        <w:rPr>
          <w:rFonts w:hint="eastAsia" w:ascii="宋体" w:hAnsi="宋体" w:eastAsia="宋体" w:cs="宋体"/>
          <w:b/>
          <w:bCs/>
          <w:color w:val="auto"/>
          <w:sz w:val="24"/>
          <w:szCs w:val="24"/>
          <w:highlight w:val="none"/>
        </w:rPr>
      </w:pPr>
      <w:r>
        <w:rPr>
          <w:rFonts w:hint="eastAsia"/>
          <w:color w:val="auto"/>
          <w:highlight w:val="none"/>
          <w:lang w:val="en-US" w:eastAsia="zh-CN"/>
        </w:rPr>
        <w:t xml:space="preserve"> </w:t>
      </w:r>
      <w:r>
        <w:rPr>
          <w:rFonts w:hint="eastAsia" w:ascii="宋体" w:hAnsi="宋体" w:eastAsia="宋体" w:cs="宋体"/>
          <w:b/>
          <w:bCs/>
          <w:color w:val="auto"/>
          <w:sz w:val="24"/>
          <w:szCs w:val="24"/>
          <w:highlight w:val="none"/>
        </w:rPr>
        <w:t>付款要求</w:t>
      </w:r>
    </w:p>
    <w:p w14:paraId="69E9A0AC">
      <w:pPr>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乙方在收款之前，应向甲方提供等额、合法、有效的发票，甲方凭发票付款。如乙方未按约定提供发票的，甲方有权拒绝付款，直至收到乙方提交的相应发票为止，在此情况下，甲方不承担逾期付款违约责任。</w:t>
      </w:r>
    </w:p>
    <w:p w14:paraId="20764E1F">
      <w:pPr>
        <w:spacing w:line="360" w:lineRule="auto"/>
        <w:outlineLvl w:val="2"/>
        <w:rPr>
          <w:rFonts w:hint="eastAsia" w:ascii="宋体" w:hAnsi="宋体" w:eastAsia="宋体" w:cs="宋体"/>
          <w:b/>
          <w:bCs/>
          <w:color w:val="auto"/>
          <w:sz w:val="24"/>
          <w:highlight w:val="none"/>
        </w:rPr>
      </w:pPr>
    </w:p>
    <w:p w14:paraId="39D36E7E">
      <w:pPr>
        <w:spacing w:line="360" w:lineRule="auto"/>
        <w:ind w:firstLine="482" w:firstLineChars="200"/>
        <w:outlineLvl w:val="2"/>
        <w:rPr>
          <w:rFonts w:hint="eastAsia" w:ascii="宋体" w:hAnsi="宋体" w:eastAsia="宋体" w:cs="宋体"/>
          <w:b/>
          <w:bCs/>
          <w:color w:val="auto"/>
          <w:sz w:val="24"/>
          <w:highlight w:val="none"/>
        </w:rPr>
      </w:pPr>
    </w:p>
    <w:p w14:paraId="446B88DB">
      <w:pPr>
        <w:spacing w:line="360" w:lineRule="auto"/>
        <w:ind w:firstLine="482" w:firstLineChars="200"/>
        <w:outlineLvl w:val="2"/>
        <w:rPr>
          <w:rFonts w:hint="eastAsia" w:ascii="宋体" w:hAnsi="宋体" w:eastAsia="宋体" w:cs="宋体"/>
          <w:b/>
          <w:bCs/>
          <w:color w:val="auto"/>
          <w:sz w:val="24"/>
          <w:highlight w:val="none"/>
        </w:rPr>
      </w:pP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14:paraId="2B76BA6C">
      <w:pPr>
        <w:adjustRightInd w:val="0"/>
        <w:snapToGrid w:val="0"/>
        <w:spacing w:line="360" w:lineRule="auto"/>
        <w:jc w:val="center"/>
        <w:rPr>
          <w:rFonts w:hint="eastAsia" w:ascii="宋体" w:hAnsi="宋体" w:eastAsia="宋体" w:cs="宋体"/>
          <w:color w:val="auto"/>
          <w:highlight w:val="none"/>
        </w:rPr>
      </w:pPr>
      <w:bookmarkStart w:id="468" w:name="_Toc1523"/>
      <w:r>
        <w:rPr>
          <w:rFonts w:hint="eastAsia" w:ascii="宋体" w:hAnsi="宋体" w:eastAsia="宋体" w:cs="宋体"/>
          <w:color w:val="auto"/>
          <w:sz w:val="24"/>
          <w:highlight w:val="none"/>
        </w:rPr>
        <w:br w:type="page"/>
      </w:r>
      <w:bookmarkStart w:id="469" w:name="_Toc14216"/>
      <w:r>
        <w:rPr>
          <w:rFonts w:hint="eastAsia" w:ascii="宋体" w:hAnsi="宋体" w:eastAsia="宋体" w:cs="宋体"/>
          <w:b/>
          <w:bCs/>
          <w:color w:val="auto"/>
          <w:sz w:val="32"/>
          <w:highlight w:val="none"/>
        </w:rPr>
        <w:t>第五部分   采购合同</w:t>
      </w:r>
      <w:bookmarkEnd w:id="468"/>
      <w:bookmarkEnd w:id="469"/>
    </w:p>
    <w:p w14:paraId="3D8C0FFD">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5168DA22">
      <w:pPr>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合同编号：（2025）第</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号</w:t>
      </w:r>
    </w:p>
    <w:p w14:paraId="7EB4E48D">
      <w:pPr>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签订日期：2025年</w:t>
      </w:r>
      <w:r>
        <w:rPr>
          <w:rFonts w:hint="eastAsia" w:ascii="宋体" w:hAnsi="宋体"/>
          <w:color w:val="auto"/>
          <w:kern w:val="0"/>
          <w:sz w:val="24"/>
          <w:highlight w:val="none"/>
          <w:u w:val="single"/>
        </w:rPr>
        <w:t>　　</w:t>
      </w:r>
      <w:r>
        <w:rPr>
          <w:rFonts w:hint="eastAsia" w:ascii="宋体" w:hAnsi="宋体"/>
          <w:color w:val="auto"/>
          <w:kern w:val="0"/>
          <w:sz w:val="24"/>
          <w:highlight w:val="none"/>
        </w:rPr>
        <w:t>月</w:t>
      </w:r>
      <w:r>
        <w:rPr>
          <w:rFonts w:hint="eastAsia" w:ascii="宋体" w:hAnsi="宋体"/>
          <w:color w:val="auto"/>
          <w:kern w:val="0"/>
          <w:sz w:val="24"/>
          <w:highlight w:val="none"/>
          <w:u w:val="single"/>
        </w:rPr>
        <w:t>　　</w:t>
      </w:r>
      <w:r>
        <w:rPr>
          <w:rFonts w:hint="eastAsia" w:ascii="宋体" w:hAnsi="宋体"/>
          <w:color w:val="auto"/>
          <w:kern w:val="0"/>
          <w:sz w:val="24"/>
          <w:highlight w:val="none"/>
        </w:rPr>
        <w:t>日</w:t>
      </w:r>
    </w:p>
    <w:p w14:paraId="5B779CA5">
      <w:pPr>
        <w:spacing w:line="360" w:lineRule="auto"/>
        <w:ind w:firstLine="480" w:firstLineChars="200"/>
        <w:rPr>
          <w:rFonts w:hint="eastAsia" w:ascii="宋体" w:hAnsi="宋体"/>
          <w:color w:val="auto"/>
          <w:sz w:val="28"/>
          <w:highlight w:val="none"/>
          <w:u w:val="single"/>
        </w:rPr>
      </w:pPr>
      <w:r>
        <w:rPr>
          <w:rFonts w:hint="eastAsia" w:ascii="宋体" w:hAnsi="宋体"/>
          <w:color w:val="auto"/>
          <w:kern w:val="0"/>
          <w:sz w:val="24"/>
          <w:highlight w:val="none"/>
          <w:lang w:val="en-US" w:eastAsia="zh-CN"/>
        </w:rPr>
        <w:t>采购人</w:t>
      </w:r>
      <w:r>
        <w:rPr>
          <w:rFonts w:hint="eastAsia" w:ascii="宋体" w:hAnsi="宋体"/>
          <w:color w:val="auto"/>
          <w:sz w:val="28"/>
          <w:highlight w:val="none"/>
        </w:rPr>
        <w:t>：</w:t>
      </w:r>
      <w:r>
        <w:rPr>
          <w:rFonts w:hint="eastAsia" w:ascii="宋体" w:hAnsi="宋体"/>
          <w:color w:val="auto"/>
          <w:sz w:val="28"/>
          <w:highlight w:val="none"/>
          <w:u w:val="single"/>
        </w:rPr>
        <w:t>　　　　　　　　　　　　　　</w:t>
      </w:r>
      <w:r>
        <w:rPr>
          <w:rFonts w:hint="eastAsia" w:ascii="宋体" w:hAnsi="宋体"/>
          <w:color w:val="auto"/>
          <w:sz w:val="28"/>
          <w:highlight w:val="none"/>
          <w:u w:val="single"/>
          <w:lang w:eastAsia="zh-CN"/>
        </w:rPr>
        <w:t>（</w:t>
      </w:r>
      <w:r>
        <w:rPr>
          <w:rFonts w:hint="eastAsia" w:ascii="宋体" w:hAnsi="宋体"/>
          <w:color w:val="auto"/>
          <w:sz w:val="28"/>
          <w:highlight w:val="none"/>
          <w:u w:val="single"/>
          <w:lang w:val="en-US" w:eastAsia="zh-CN"/>
        </w:rPr>
        <w:t>以下统称甲方</w:t>
      </w:r>
      <w:r>
        <w:rPr>
          <w:rFonts w:hint="eastAsia" w:ascii="宋体" w:hAnsi="宋体"/>
          <w:color w:val="auto"/>
          <w:sz w:val="28"/>
          <w:highlight w:val="none"/>
          <w:u w:val="single"/>
          <w:lang w:eastAsia="zh-CN"/>
        </w:rPr>
        <w:t>）</w:t>
      </w:r>
      <w:r>
        <w:rPr>
          <w:rFonts w:hint="eastAsia" w:ascii="宋体" w:hAnsi="宋体"/>
          <w:color w:val="auto"/>
          <w:sz w:val="28"/>
          <w:highlight w:val="none"/>
          <w:u w:val="single"/>
        </w:rPr>
        <w:t>　　</w:t>
      </w:r>
    </w:p>
    <w:p w14:paraId="3A9F8E66">
      <w:pPr>
        <w:spacing w:line="360" w:lineRule="auto"/>
        <w:ind w:firstLine="480" w:firstLineChars="200"/>
        <w:jc w:val="left"/>
        <w:rPr>
          <w:rFonts w:hint="eastAsia" w:ascii="宋体" w:hAnsi="宋体"/>
          <w:color w:val="auto"/>
          <w:sz w:val="28"/>
          <w:highlight w:val="none"/>
          <w:u w:val="single"/>
        </w:rPr>
      </w:pPr>
      <w:r>
        <w:rPr>
          <w:rFonts w:hint="eastAsia" w:ascii="宋体" w:hAnsi="宋体"/>
          <w:color w:val="auto"/>
          <w:kern w:val="0"/>
          <w:sz w:val="24"/>
          <w:highlight w:val="none"/>
          <w:lang w:val="en-US" w:eastAsia="zh-CN"/>
        </w:rPr>
        <w:t>服务商</w:t>
      </w:r>
      <w:r>
        <w:rPr>
          <w:rFonts w:hint="eastAsia" w:ascii="宋体" w:hAnsi="宋体"/>
          <w:color w:val="auto"/>
          <w:sz w:val="28"/>
          <w:highlight w:val="none"/>
        </w:rPr>
        <w:t>：</w:t>
      </w:r>
      <w:r>
        <w:rPr>
          <w:rFonts w:hint="eastAsia" w:ascii="宋体" w:hAnsi="宋体"/>
          <w:color w:val="auto"/>
          <w:sz w:val="28"/>
          <w:highlight w:val="none"/>
          <w:u w:val="single"/>
        </w:rPr>
        <w:t>　　　　　　　　　　　　　　</w:t>
      </w:r>
      <w:r>
        <w:rPr>
          <w:rFonts w:hint="eastAsia" w:ascii="宋体" w:hAnsi="宋体"/>
          <w:color w:val="auto"/>
          <w:sz w:val="28"/>
          <w:highlight w:val="none"/>
          <w:u w:val="single"/>
          <w:lang w:eastAsia="zh-CN"/>
        </w:rPr>
        <w:t>（</w:t>
      </w:r>
      <w:r>
        <w:rPr>
          <w:rFonts w:hint="eastAsia" w:ascii="宋体" w:hAnsi="宋体"/>
          <w:color w:val="auto"/>
          <w:sz w:val="28"/>
          <w:highlight w:val="none"/>
          <w:u w:val="single"/>
          <w:lang w:val="en-US" w:eastAsia="zh-CN"/>
        </w:rPr>
        <w:t>以下统称乙方</w:t>
      </w:r>
      <w:r>
        <w:rPr>
          <w:rFonts w:hint="eastAsia" w:ascii="宋体" w:hAnsi="宋体"/>
          <w:color w:val="auto"/>
          <w:sz w:val="28"/>
          <w:highlight w:val="none"/>
          <w:u w:val="single"/>
          <w:lang w:eastAsia="zh-CN"/>
        </w:rPr>
        <w:t>）</w:t>
      </w:r>
      <w:r>
        <w:rPr>
          <w:rFonts w:hint="eastAsia" w:ascii="宋体" w:hAnsi="宋体"/>
          <w:color w:val="auto"/>
          <w:sz w:val="28"/>
          <w:highlight w:val="none"/>
          <w:u w:val="single"/>
        </w:rPr>
        <w:t>　　</w:t>
      </w:r>
    </w:p>
    <w:p w14:paraId="08534395">
      <w:pPr>
        <w:spacing w:before="0" w:line="360" w:lineRule="auto"/>
        <w:ind w:left="0" w:firstLine="480" w:firstLineChars="200"/>
        <w:jc w:val="left"/>
        <w:rPr>
          <w:rFonts w:hint="eastAsia" w:ascii="宋体" w:hAnsi="宋体" w:eastAsia="宋体" w:cs="宋体"/>
          <w:b w:val="0"/>
          <w:bCs w:val="0"/>
          <w:color w:val="auto"/>
          <w:spacing w:val="0"/>
          <w:sz w:val="24"/>
          <w:szCs w:val="21"/>
          <w:highlight w:val="none"/>
          <w:lang w:val="en-US" w:eastAsia="zh-CN"/>
        </w:rPr>
      </w:pPr>
      <w:r>
        <w:rPr>
          <w:rFonts w:hint="eastAsia" w:ascii="宋体" w:hAnsi="宋体" w:cs="宋体"/>
          <w:color w:val="auto"/>
          <w:kern w:val="0"/>
          <w:sz w:val="24"/>
          <w:highlight w:val="none"/>
        </w:rPr>
        <w:t>根据《中华人民共和国民法典》、采购文件、乙方投标文件的规定，经公开采购，签订本合同。</w:t>
      </w:r>
    </w:p>
    <w:p w14:paraId="48F518A8">
      <w:pPr>
        <w:spacing w:before="0" w:line="360" w:lineRule="auto"/>
        <w:ind w:lef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 w:val="0"/>
          <w:bCs w:val="0"/>
          <w:color w:val="auto"/>
          <w:spacing w:val="0"/>
          <w:sz w:val="24"/>
          <w:szCs w:val="21"/>
          <w:highlight w:val="none"/>
          <w:lang w:val="en-US" w:eastAsia="zh-CN"/>
        </w:rPr>
        <w:t>一</w:t>
      </w:r>
      <w:r>
        <w:rPr>
          <w:rFonts w:hint="eastAsia" w:ascii="宋体" w:hAnsi="宋体" w:eastAsia="宋体" w:cs="宋体"/>
          <w:b w:val="0"/>
          <w:bCs w:val="0"/>
          <w:color w:val="auto"/>
          <w:spacing w:val="0"/>
          <w:sz w:val="24"/>
          <w:szCs w:val="21"/>
          <w:highlight w:val="none"/>
        </w:rPr>
        <w:t>、合同金额</w:t>
      </w:r>
    </w:p>
    <w:p w14:paraId="7B19CDFB">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pacing w:val="0"/>
          <w:sz w:val="24"/>
          <w:szCs w:val="21"/>
          <w:highlight w:val="none"/>
          <w:lang w:val="en-US" w:eastAsia="zh-CN"/>
        </w:rPr>
        <w:t>本合同运营管理费（扣除代收代缴费用外）合同价</w:t>
      </w:r>
      <w:r>
        <w:rPr>
          <w:rFonts w:hint="eastAsia" w:ascii="宋体" w:hAnsi="宋体" w:eastAsia="宋体" w:cs="宋体"/>
          <w:color w:val="auto"/>
          <w:spacing w:val="0"/>
          <w:sz w:val="24"/>
          <w:szCs w:val="21"/>
          <w:highlight w:val="none"/>
        </w:rPr>
        <w:t>：大写为百分之</w:t>
      </w:r>
      <w:r>
        <w:rPr>
          <w:rFonts w:hint="eastAsia" w:ascii="宋体" w:hAnsi="宋体" w:eastAsia="宋体" w:cs="宋体"/>
          <w:color w:val="auto"/>
          <w:spacing w:val="0"/>
          <w:sz w:val="24"/>
          <w:szCs w:val="21"/>
          <w:highlight w:val="none"/>
          <w:u w:val="single"/>
        </w:rPr>
        <w:t xml:space="preserve"> </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u w:val="single"/>
        </w:rPr>
        <w:t xml:space="preserve"> </w:t>
      </w:r>
      <w:r>
        <w:rPr>
          <w:rFonts w:hint="eastAsia" w:ascii="宋体" w:hAnsi="宋体" w:eastAsia="宋体" w:cs="宋体"/>
          <w:color w:val="auto"/>
          <w:spacing w:val="0"/>
          <w:sz w:val="24"/>
          <w:szCs w:val="21"/>
          <w:highlight w:val="none"/>
        </w:rPr>
        <w:t>( 小 写为</w:t>
      </w:r>
      <w:r>
        <w:rPr>
          <w:rFonts w:hint="eastAsia" w:ascii="宋体" w:hAnsi="宋体" w:eastAsia="宋体" w:cs="宋体"/>
          <w:color w:val="auto"/>
          <w:spacing w:val="0"/>
          <w:sz w:val="24"/>
          <w:szCs w:val="21"/>
          <w:highlight w:val="none"/>
          <w:u w:val="single"/>
        </w:rPr>
        <w:t xml:space="preserve">      </w:t>
      </w:r>
      <w:r>
        <w:rPr>
          <w:rFonts w:hint="eastAsia" w:ascii="宋体" w:hAnsi="宋体" w:eastAsia="宋体" w:cs="宋体"/>
          <w:color w:val="auto"/>
          <w:spacing w:val="0"/>
          <w:sz w:val="24"/>
          <w:szCs w:val="21"/>
          <w:highlight w:val="none"/>
        </w:rPr>
        <w:t>%)</w:t>
      </w:r>
      <w:r>
        <w:rPr>
          <w:rFonts w:hint="eastAsia" w:ascii="宋体" w:hAnsi="宋体" w:eastAsia="宋体" w:cs="宋体"/>
          <w:color w:val="auto"/>
          <w:spacing w:val="0"/>
          <w:sz w:val="24"/>
          <w:szCs w:val="21"/>
          <w:highlight w:val="none"/>
          <w:lang w:eastAsia="zh-CN"/>
        </w:rPr>
        <w:t>。</w:t>
      </w:r>
      <w:r>
        <w:rPr>
          <w:rFonts w:hint="eastAsia" w:ascii="宋体" w:hAnsi="宋体" w:eastAsia="宋体" w:cs="宋体"/>
          <w:color w:val="auto"/>
          <w:sz w:val="24"/>
          <w:highlight w:val="none"/>
          <w:lang w:val="en-US" w:eastAsia="zh-CN"/>
        </w:rPr>
        <w:t>运营服务费合同价：</w:t>
      </w:r>
      <w:r>
        <w:rPr>
          <w:rFonts w:hint="eastAsia" w:ascii="宋体" w:hAnsi="宋体" w:eastAsia="宋体" w:cs="宋体"/>
          <w:color w:val="auto"/>
          <w:spacing w:val="0"/>
          <w:sz w:val="24"/>
          <w:szCs w:val="21"/>
          <w:highlight w:val="none"/>
          <w:lang w:val="en-US" w:eastAsia="zh-CN"/>
        </w:rPr>
        <w:t>（大写）：</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lang w:val="en-US" w:eastAsia="zh-CN"/>
        </w:rPr>
        <w:t>元整（￥</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lang w:val="en-US" w:eastAsia="zh-CN"/>
        </w:rPr>
        <w:t>元）。前期介入服务费</w:t>
      </w:r>
      <w:r>
        <w:rPr>
          <w:rFonts w:hint="eastAsia" w:ascii="宋体" w:hAnsi="宋体" w:eastAsia="宋体" w:cs="宋体"/>
          <w:color w:val="auto"/>
          <w:sz w:val="24"/>
          <w:highlight w:val="none"/>
          <w:lang w:val="en-US" w:eastAsia="zh-CN"/>
        </w:rPr>
        <w:t>合同价：</w:t>
      </w:r>
      <w:r>
        <w:rPr>
          <w:rFonts w:hint="eastAsia" w:ascii="宋体" w:hAnsi="宋体" w:eastAsia="宋体" w:cs="宋体"/>
          <w:color w:val="auto"/>
          <w:spacing w:val="0"/>
          <w:sz w:val="24"/>
          <w:szCs w:val="21"/>
          <w:highlight w:val="none"/>
          <w:lang w:val="en-US" w:eastAsia="zh-CN"/>
        </w:rPr>
        <w:t>（大写）：</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lang w:val="en-US" w:eastAsia="zh-CN"/>
        </w:rPr>
        <w:t>元整（￥</w:t>
      </w:r>
      <w:r>
        <w:rPr>
          <w:rFonts w:hint="eastAsia" w:ascii="宋体" w:hAnsi="宋体" w:eastAsia="宋体" w:cs="宋体"/>
          <w:color w:val="auto"/>
          <w:spacing w:val="0"/>
          <w:sz w:val="24"/>
          <w:szCs w:val="21"/>
          <w:highlight w:val="none"/>
          <w:u w:val="single"/>
          <w:lang w:val="en-US" w:eastAsia="zh-CN"/>
        </w:rPr>
        <w:t xml:space="preserve">      </w:t>
      </w:r>
      <w:r>
        <w:rPr>
          <w:rFonts w:hint="eastAsia" w:ascii="宋体" w:hAnsi="宋体" w:eastAsia="宋体" w:cs="宋体"/>
          <w:color w:val="auto"/>
          <w:spacing w:val="0"/>
          <w:sz w:val="24"/>
          <w:szCs w:val="21"/>
          <w:highlight w:val="none"/>
          <w:lang w:val="en-US" w:eastAsia="zh-CN"/>
        </w:rPr>
        <w:t>元）</w:t>
      </w:r>
    </w:p>
    <w:p w14:paraId="50F2C5EF">
      <w:pPr>
        <w:spacing w:before="0" w:line="360" w:lineRule="auto"/>
        <w:ind w:lef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 w:val="0"/>
          <w:bCs w:val="0"/>
          <w:color w:val="auto"/>
          <w:spacing w:val="0"/>
          <w:sz w:val="24"/>
          <w:szCs w:val="21"/>
          <w:highlight w:val="none"/>
          <w:lang w:val="en-US" w:eastAsia="zh-CN"/>
        </w:rPr>
        <w:t>二</w:t>
      </w:r>
      <w:r>
        <w:rPr>
          <w:rFonts w:hint="eastAsia" w:ascii="宋体" w:hAnsi="宋体" w:eastAsia="宋体" w:cs="宋体"/>
          <w:b w:val="0"/>
          <w:bCs w:val="0"/>
          <w:color w:val="auto"/>
          <w:spacing w:val="0"/>
          <w:sz w:val="24"/>
          <w:szCs w:val="21"/>
          <w:highlight w:val="none"/>
        </w:rPr>
        <w:t>、住房租赁合作</w:t>
      </w:r>
    </w:p>
    <w:p w14:paraId="28EA4407">
      <w:pPr>
        <w:spacing w:before="0" w:line="360" w:lineRule="auto"/>
        <w:ind w:left="0" w:righ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pacing w:val="0"/>
          <w:sz w:val="24"/>
          <w:szCs w:val="21"/>
          <w:highlight w:val="none"/>
        </w:rPr>
        <w:t>(1)甲方同意授权乙方</w:t>
      </w:r>
      <w:r>
        <w:rPr>
          <w:rFonts w:hint="eastAsia" w:cs="宋体"/>
          <w:color w:val="auto"/>
          <w:spacing w:val="0"/>
          <w:sz w:val="24"/>
          <w:szCs w:val="21"/>
          <w:highlight w:val="none"/>
          <w:lang w:val="en-US" w:eastAsia="zh-CN"/>
        </w:rPr>
        <w:t>鸿雁人才公寓</w:t>
      </w:r>
      <w:r>
        <w:rPr>
          <w:rFonts w:hint="eastAsia" w:ascii="宋体" w:hAnsi="宋体" w:eastAsia="宋体" w:cs="宋体"/>
          <w:color w:val="auto"/>
          <w:spacing w:val="0"/>
          <w:sz w:val="24"/>
          <w:szCs w:val="21"/>
          <w:highlight w:val="none"/>
        </w:rPr>
        <w:t>租赁权，乙方对</w:t>
      </w:r>
      <w:r>
        <w:rPr>
          <w:rFonts w:hint="eastAsia" w:ascii="宋体" w:hAnsi="宋体" w:eastAsia="宋体" w:cs="宋体"/>
          <w:color w:val="auto"/>
          <w:spacing w:val="0"/>
          <w:sz w:val="24"/>
          <w:szCs w:val="21"/>
          <w:highlight w:val="none"/>
          <w:lang w:eastAsia="zh-CN"/>
        </w:rPr>
        <w:t>鸿雁人才公寓</w:t>
      </w:r>
      <w:r>
        <w:rPr>
          <w:rFonts w:hint="eastAsia" w:ascii="宋体" w:hAnsi="宋体" w:eastAsia="宋体" w:cs="宋体"/>
          <w:color w:val="auto"/>
          <w:spacing w:val="0"/>
          <w:sz w:val="24"/>
          <w:szCs w:val="21"/>
          <w:highlight w:val="none"/>
        </w:rPr>
        <w:t>进行经营管理出租供</w:t>
      </w:r>
      <w:r>
        <w:rPr>
          <w:rFonts w:hint="eastAsia" w:ascii="宋体" w:hAnsi="宋体" w:eastAsia="宋体" w:cs="宋体"/>
          <w:color w:val="auto"/>
          <w:spacing w:val="0"/>
          <w:sz w:val="24"/>
          <w:szCs w:val="21"/>
          <w:highlight w:val="none"/>
          <w:lang w:val="en-US" w:eastAsia="zh-CN"/>
        </w:rPr>
        <w:t>住户</w:t>
      </w:r>
      <w:r>
        <w:rPr>
          <w:rFonts w:hint="eastAsia" w:ascii="宋体" w:hAnsi="宋体" w:eastAsia="宋体" w:cs="宋体"/>
          <w:color w:val="auto"/>
          <w:spacing w:val="0"/>
          <w:sz w:val="24"/>
          <w:szCs w:val="21"/>
          <w:highlight w:val="none"/>
        </w:rPr>
        <w:t>使用。</w:t>
      </w:r>
    </w:p>
    <w:p w14:paraId="1F261E90">
      <w:pPr>
        <w:spacing w:before="0" w:line="360" w:lineRule="auto"/>
        <w:ind w:left="0" w:righ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color w:val="auto"/>
          <w:spacing w:val="0"/>
          <w:sz w:val="24"/>
          <w:szCs w:val="21"/>
          <w:highlight w:val="none"/>
        </w:rPr>
        <w:t>(2)乙方协助有关部门做好治安、消防、食品和生产安全管理工作；乙方是</w:t>
      </w:r>
      <w:r>
        <w:rPr>
          <w:rFonts w:hint="eastAsia" w:ascii="宋体" w:hAnsi="宋体" w:eastAsia="宋体" w:cs="宋体"/>
          <w:color w:val="auto"/>
          <w:spacing w:val="0"/>
          <w:sz w:val="24"/>
          <w:szCs w:val="21"/>
          <w:highlight w:val="none"/>
          <w:lang w:eastAsia="zh-CN"/>
        </w:rPr>
        <w:t>鸿雁人才公寓</w:t>
      </w:r>
      <w:r>
        <w:rPr>
          <w:rFonts w:hint="eastAsia" w:ascii="宋体" w:hAnsi="宋体" w:eastAsia="宋体" w:cs="宋体"/>
          <w:color w:val="auto"/>
          <w:spacing w:val="0"/>
          <w:sz w:val="24"/>
          <w:szCs w:val="21"/>
          <w:highlight w:val="none"/>
        </w:rPr>
        <w:t>消防、治安等一切安全管理第一责任人，需签订安全责任协议书，全面负责</w:t>
      </w:r>
      <w:r>
        <w:rPr>
          <w:rFonts w:hint="eastAsia" w:ascii="宋体" w:hAnsi="宋体" w:eastAsia="宋体" w:cs="宋体"/>
          <w:color w:val="auto"/>
          <w:spacing w:val="0"/>
          <w:sz w:val="24"/>
          <w:szCs w:val="21"/>
          <w:highlight w:val="none"/>
          <w:lang w:eastAsia="zh-CN"/>
        </w:rPr>
        <w:t>鸿雁人才公寓</w:t>
      </w:r>
      <w:r>
        <w:rPr>
          <w:rFonts w:hint="eastAsia" w:ascii="宋体" w:hAnsi="宋体" w:eastAsia="宋体" w:cs="宋体"/>
          <w:color w:val="auto"/>
          <w:spacing w:val="0"/>
          <w:sz w:val="24"/>
          <w:szCs w:val="21"/>
          <w:highlight w:val="none"/>
        </w:rPr>
        <w:t>安全管理；全面负责</w:t>
      </w:r>
      <w:r>
        <w:rPr>
          <w:rFonts w:hint="eastAsia" w:ascii="宋体" w:hAnsi="宋体" w:eastAsia="宋体" w:cs="宋体"/>
          <w:color w:val="auto"/>
          <w:spacing w:val="0"/>
          <w:sz w:val="24"/>
          <w:szCs w:val="21"/>
          <w:highlight w:val="none"/>
          <w:lang w:eastAsia="zh-CN"/>
        </w:rPr>
        <w:t>鸿雁人才公寓</w:t>
      </w:r>
      <w:r>
        <w:rPr>
          <w:rFonts w:hint="eastAsia" w:ascii="宋体" w:hAnsi="宋体" w:eastAsia="宋体" w:cs="宋体"/>
          <w:color w:val="auto"/>
          <w:spacing w:val="0"/>
          <w:sz w:val="24"/>
          <w:szCs w:val="21"/>
          <w:highlight w:val="none"/>
        </w:rPr>
        <w:t>招商、日常管理的相关风险预防、风险控制。</w:t>
      </w:r>
    </w:p>
    <w:p w14:paraId="42DD6444">
      <w:pPr>
        <w:spacing w:before="0" w:line="360" w:lineRule="auto"/>
        <w:ind w:left="0"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 w:val="0"/>
          <w:bCs w:val="0"/>
          <w:color w:val="auto"/>
          <w:spacing w:val="0"/>
          <w:sz w:val="24"/>
          <w:szCs w:val="21"/>
          <w:highlight w:val="none"/>
        </w:rPr>
        <w:t>三</w:t>
      </w:r>
      <w:r>
        <w:rPr>
          <w:rFonts w:hint="eastAsia" w:ascii="宋体" w:hAnsi="宋体" w:eastAsia="宋体" w:cs="宋体"/>
          <w:color w:val="auto"/>
          <w:spacing w:val="0"/>
          <w:sz w:val="24"/>
          <w:szCs w:val="21"/>
          <w:highlight w:val="none"/>
        </w:rPr>
        <w:t xml:space="preserve"> </w:t>
      </w:r>
      <w:r>
        <w:rPr>
          <w:rFonts w:hint="eastAsia" w:ascii="宋体" w:hAnsi="宋体" w:eastAsia="宋体" w:cs="宋体"/>
          <w:b w:val="0"/>
          <w:bCs w:val="0"/>
          <w:color w:val="auto"/>
          <w:spacing w:val="0"/>
          <w:sz w:val="24"/>
          <w:szCs w:val="21"/>
          <w:highlight w:val="none"/>
        </w:rPr>
        <w:t>、服务内容</w:t>
      </w:r>
    </w:p>
    <w:p w14:paraId="072D90AE">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保洁服务：按卫生计划对运营区域进行高质量保洁，确保环境整洁、有序、舒适；可提供入户保洁增值服务，维护舒适卫生环境。及时做好日租公寓布草洗涤等卫生管理。</w:t>
      </w:r>
    </w:p>
    <w:p w14:paraId="4F5CC5F4">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保服务：全面布防、全员防范，充分利用数字化技术设备，做到人防和技防结合的安保措施，确保正常有序地运营，制定全面的应急预案，确保各类突发事件能得到有效的处置。对外来人员进行登记管理，公共区域安全巡查等，顺畅对接公安报备。</w:t>
      </w:r>
    </w:p>
    <w:p w14:paraId="5B51DC26">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运营</w:t>
      </w:r>
      <w:r>
        <w:rPr>
          <w:rFonts w:hint="eastAsia" w:ascii="宋体" w:hAnsi="宋体" w:eastAsia="宋体" w:cs="宋体"/>
          <w:b w:val="0"/>
          <w:bCs w:val="0"/>
          <w:color w:val="auto"/>
          <w:sz w:val="24"/>
          <w:szCs w:val="24"/>
          <w:highlight w:val="none"/>
        </w:rPr>
        <w:t>服务：对申请入住人员审核、完成配租，并进行实名登记等信息化管理，防止出现转租、长期空置等情况的发生，对已发生转租等不合规的人员进行上报清退处理；对入住人员进行实名记并定期核查身份现场全程配备管家，为租客便捷办理住、退、转、换、续手续，及时回复解决租住问题：负责水、电、房租、网络等费用的及时收缴以及其他所有物业相关服务。</w:t>
      </w:r>
    </w:p>
    <w:p w14:paraId="7C4A8DFA">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公区装饰（氛围提升）服务：日常</w:t>
      </w:r>
      <w:r>
        <w:rPr>
          <w:rFonts w:hint="default" w:ascii="宋体" w:hAnsi="宋体" w:eastAsia="宋体" w:cs="宋体"/>
          <w:b w:val="0"/>
          <w:bCs w:val="0"/>
          <w:color w:val="auto"/>
          <w:sz w:val="24"/>
          <w:szCs w:val="24"/>
          <w:highlight w:val="none"/>
        </w:rPr>
        <w:t>及</w:t>
      </w:r>
      <w:r>
        <w:rPr>
          <w:rFonts w:hint="eastAsia" w:ascii="宋体" w:hAnsi="宋体" w:eastAsia="宋体" w:cs="宋体"/>
          <w:b w:val="0"/>
          <w:bCs w:val="0"/>
          <w:color w:val="auto"/>
          <w:sz w:val="24"/>
          <w:szCs w:val="24"/>
          <w:highlight w:val="none"/>
        </w:rPr>
        <w:t>新年、春节、</w:t>
      </w:r>
      <w:r>
        <w:rPr>
          <w:rFonts w:hint="default" w:ascii="宋体" w:hAnsi="宋体" w:eastAsia="宋体" w:cs="宋体"/>
          <w:b w:val="0"/>
          <w:bCs w:val="0"/>
          <w:color w:val="auto"/>
          <w:sz w:val="24"/>
          <w:szCs w:val="24"/>
          <w:highlight w:val="none"/>
        </w:rPr>
        <w:t>元宵节、</w:t>
      </w:r>
      <w:r>
        <w:rPr>
          <w:rFonts w:hint="eastAsia" w:ascii="宋体" w:hAnsi="宋体" w:eastAsia="宋体" w:cs="宋体"/>
          <w:b w:val="0"/>
          <w:bCs w:val="0"/>
          <w:color w:val="auto"/>
          <w:sz w:val="24"/>
          <w:szCs w:val="24"/>
          <w:highlight w:val="none"/>
        </w:rPr>
        <w:t>七夕节、</w:t>
      </w:r>
      <w:r>
        <w:rPr>
          <w:rFonts w:hint="default" w:ascii="宋体" w:hAnsi="宋体" w:eastAsia="宋体" w:cs="宋体"/>
          <w:b w:val="0"/>
          <w:bCs w:val="0"/>
          <w:color w:val="auto"/>
          <w:sz w:val="24"/>
          <w:szCs w:val="24"/>
          <w:highlight w:val="none"/>
        </w:rPr>
        <w:t>端午节、</w:t>
      </w:r>
      <w:r>
        <w:rPr>
          <w:rFonts w:hint="eastAsia" w:ascii="宋体" w:hAnsi="宋体" w:eastAsia="宋体" w:cs="宋体"/>
          <w:b w:val="0"/>
          <w:bCs w:val="0"/>
          <w:color w:val="auto"/>
          <w:sz w:val="24"/>
          <w:szCs w:val="24"/>
          <w:highlight w:val="none"/>
        </w:rPr>
        <w:t>中秋节、国庆节、圣诞节</w:t>
      </w:r>
      <w:r>
        <w:rPr>
          <w:rFonts w:hint="default" w:ascii="宋体" w:hAnsi="宋体" w:eastAsia="宋体" w:cs="宋体"/>
          <w:b w:val="0"/>
          <w:bCs w:val="0"/>
          <w:color w:val="auto"/>
          <w:sz w:val="24"/>
          <w:szCs w:val="24"/>
          <w:highlight w:val="none"/>
        </w:rPr>
        <w:t>、腊八节</w:t>
      </w:r>
      <w:r>
        <w:rPr>
          <w:rFonts w:hint="eastAsia" w:ascii="宋体" w:hAnsi="宋体" w:eastAsia="宋体" w:cs="宋体"/>
          <w:b w:val="0"/>
          <w:bCs w:val="0"/>
          <w:color w:val="auto"/>
          <w:sz w:val="24"/>
          <w:szCs w:val="24"/>
          <w:highlight w:val="none"/>
        </w:rPr>
        <w:t>等节日布置</w:t>
      </w:r>
      <w:r>
        <w:rPr>
          <w:rFonts w:hint="default" w:cs="宋体"/>
          <w:b w:val="0"/>
          <w:bCs w:val="0"/>
          <w:color w:val="auto"/>
          <w:sz w:val="24"/>
          <w:szCs w:val="24"/>
          <w:highlight w:val="none"/>
        </w:rPr>
        <w:t>、绿植摆放</w:t>
      </w:r>
      <w:r>
        <w:rPr>
          <w:rFonts w:hint="eastAsia" w:ascii="宋体" w:hAnsi="宋体" w:eastAsia="宋体" w:cs="宋体"/>
          <w:b w:val="0"/>
          <w:bCs w:val="0"/>
          <w:color w:val="auto"/>
          <w:sz w:val="24"/>
          <w:szCs w:val="24"/>
          <w:highlight w:val="none"/>
        </w:rPr>
        <w:t>等</w:t>
      </w:r>
      <w:r>
        <w:rPr>
          <w:rFonts w:hint="default" w:ascii="宋体" w:hAnsi="宋体" w:eastAsia="宋体" w:cs="宋体"/>
          <w:b w:val="0"/>
          <w:bCs w:val="0"/>
          <w:color w:val="auto"/>
          <w:sz w:val="24"/>
          <w:szCs w:val="24"/>
          <w:highlight w:val="none"/>
        </w:rPr>
        <w:t>。</w:t>
      </w:r>
    </w:p>
    <w:p w14:paraId="3C6CE09B">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维修服务：做好公共设施设备的日常维护、具体维修实施工作等工作。(包括消防管理、绿化养护、安全</w:t>
      </w:r>
      <w:r>
        <w:rPr>
          <w:rFonts w:hint="default" w:cs="宋体"/>
          <w:b w:val="0"/>
          <w:bCs w:val="0"/>
          <w:color w:val="auto"/>
          <w:sz w:val="24"/>
          <w:szCs w:val="24"/>
          <w:highlight w:val="none"/>
        </w:rPr>
        <w:t>管理</w:t>
      </w:r>
      <w:r>
        <w:rPr>
          <w:rFonts w:hint="eastAsia" w:ascii="宋体" w:hAnsi="宋体" w:eastAsia="宋体" w:cs="宋体"/>
          <w:b w:val="0"/>
          <w:bCs w:val="0"/>
          <w:color w:val="auto"/>
          <w:sz w:val="24"/>
          <w:szCs w:val="24"/>
          <w:highlight w:val="none"/>
        </w:rPr>
        <w:t>、文明</w:t>
      </w:r>
      <w:r>
        <w:rPr>
          <w:rFonts w:hint="default" w:cs="宋体"/>
          <w:b w:val="0"/>
          <w:bCs w:val="0"/>
          <w:color w:val="auto"/>
          <w:sz w:val="24"/>
          <w:szCs w:val="24"/>
          <w:highlight w:val="none"/>
        </w:rPr>
        <w:t>管理</w:t>
      </w:r>
      <w:r>
        <w:rPr>
          <w:rFonts w:hint="eastAsia" w:ascii="宋体" w:hAnsi="宋体" w:eastAsia="宋体" w:cs="宋体"/>
          <w:b w:val="0"/>
          <w:bCs w:val="0"/>
          <w:color w:val="auto"/>
          <w:sz w:val="24"/>
          <w:szCs w:val="24"/>
          <w:highlight w:val="none"/>
        </w:rPr>
        <w:t>、次序管理、公寓报修管理、雨污水管道、雨污水井的畅通等)。定期上门检修，对家具家电进行维护；提供24小时的维修服务，通过小程序或服务号的报修24小时内响应服务。</w:t>
      </w:r>
    </w:p>
    <w:p w14:paraId="016FC81A">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营销服务：做好市场化出租公寓的市场化营销服务工作，采取多渠道、多销售模式开展业务，充分打通线上平台、线下机构、周边企业、C端散客等业务渠道。 从而达到</w:t>
      </w:r>
      <w:r>
        <w:rPr>
          <w:rFonts w:hint="eastAsia"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对公寓出租率的要求。</w:t>
      </w:r>
    </w:p>
    <w:p w14:paraId="601ECF88">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社群</w:t>
      </w:r>
      <w:r>
        <w:rPr>
          <w:rFonts w:hint="eastAsia" w:ascii="宋体" w:hAnsi="宋体" w:eastAsia="宋体" w:cs="宋体"/>
          <w:b w:val="0"/>
          <w:bCs w:val="0"/>
          <w:color w:val="auto"/>
          <w:sz w:val="24"/>
          <w:szCs w:val="24"/>
          <w:highlight w:val="none"/>
          <w:lang w:val="en-US" w:eastAsia="zh-CN"/>
        </w:rPr>
        <w:t>活动</w:t>
      </w:r>
      <w:r>
        <w:rPr>
          <w:rFonts w:hint="eastAsia" w:ascii="宋体" w:hAnsi="宋体" w:eastAsia="宋体" w:cs="宋体"/>
          <w:b w:val="0"/>
          <w:bCs w:val="0"/>
          <w:color w:val="auto"/>
          <w:sz w:val="24"/>
          <w:szCs w:val="24"/>
          <w:highlight w:val="none"/>
        </w:rPr>
        <w:t>服务：结合家访建立和完善住户标签，建立各种形式的社团，定期（</w:t>
      </w:r>
      <w:r>
        <w:rPr>
          <w:rFonts w:hint="eastAsia" w:ascii="宋体" w:hAnsi="宋体" w:eastAsia="宋体" w:cs="宋体"/>
          <w:b w:val="0"/>
          <w:bCs w:val="0"/>
          <w:color w:val="auto"/>
          <w:sz w:val="24"/>
          <w:szCs w:val="24"/>
          <w:highlight w:val="none"/>
          <w:lang w:val="en-US" w:eastAsia="zh-CN"/>
        </w:rPr>
        <w:t>至少</w:t>
      </w:r>
      <w:r>
        <w:rPr>
          <w:rFonts w:hint="eastAsia" w:ascii="宋体" w:hAnsi="宋体" w:eastAsia="宋体" w:cs="宋体"/>
          <w:b w:val="0"/>
          <w:bCs w:val="0"/>
          <w:color w:val="auto"/>
          <w:sz w:val="24"/>
          <w:szCs w:val="24"/>
          <w:highlight w:val="none"/>
        </w:rPr>
        <w:t>每周）举办各种形式的社群活动；链接共同兴趣爱好。共同目标的住户，构建相互信任，舒适温暖的邻里关系。</w:t>
      </w:r>
    </w:p>
    <w:p w14:paraId="75E6771A">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商业服务：结合实际运营需要，适时引入契合年轻人的便利店，咖啡书坊、健身房等商业品牌，并积极配合做好相关公区运营，联合打造城市年轻人具有年轻力的生活方式。</w:t>
      </w:r>
    </w:p>
    <w:p w14:paraId="13FA737C">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字化服务：需提供该项目定制专属的个性化房屋租货线上APP软件或微信小程序并实时运维，具备签约、缴费、报修、投诉等掌中一键解决功能，满足未来级生活环境，相关APP或小程序需具备房源展示，签约备案，资金收付、报修评价，信息报送等流程。智能水电表、智能门锁等设备接入系统平台一站式管理，人脸识别，监控一体化安全防范，经营动态实时监测统计，真正达到数字化和智能化管理要求，并做好与鸿雁未来社区智慧管理平台以及集团驾驶舱平台对接的工作。</w:t>
      </w:r>
    </w:p>
    <w:p w14:paraId="377C6EAD">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升级服务：宣发方面，开通运营两微一抖等新媒体平台的官方账号，实现</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更；定期开展短视频、墙绘等赛事活动，营造社区氛围并积极扩大影响力：结合开业，周年庆等重要节点制作宣传视频。教育文化方面，定期（每月）举办孵化创业交流活动，开设兴趣社团培训。</w:t>
      </w:r>
    </w:p>
    <w:p w14:paraId="60EC12CE">
      <w:pPr>
        <w:numPr>
          <w:ilvl w:val="0"/>
          <w:numId w:val="51"/>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前期介入服务（包括但不限于）：</w:t>
      </w:r>
    </w:p>
    <w:p w14:paraId="0DCA2AEB">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对接：施工单位质保期对接，家具厂家质保期对接，家电厂家质保期对接，运营商、智能化施工方对接，停车场的服务对接，大厅及样板间对接，商业引进，大厅部分合作引进，快递柜位置确认及签约，外卖柜位置确认及签约，水电表、门锁对接等；</w:t>
      </w:r>
    </w:p>
    <w:p w14:paraId="793EDA92">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团队搭建：人员架构、编制、绩效等的确定，运营团队招聘和组建，培训计划制定及实施等；</w:t>
      </w:r>
    </w:p>
    <w:p w14:paraId="6E067A51">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市场调研：周边公寓竞品摸底调查，项目周边企业摸底调查，市场调查报告撰写，初步房价研讨制定，最终定价并交</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审批执行，开业及营销活动方案制定等；</w:t>
      </w:r>
    </w:p>
    <w:p w14:paraId="7BA93E95">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营销推广：内部设施、户型摸底，样板间及配套设施美化，</w:t>
      </w:r>
      <w:r>
        <w:rPr>
          <w:rFonts w:hint="default" w:cs="宋体"/>
          <w:color w:val="auto"/>
          <w:sz w:val="24"/>
          <w:szCs w:val="24"/>
          <w:highlight w:val="none"/>
        </w:rPr>
        <w:t>本项目</w:t>
      </w:r>
      <w:r>
        <w:rPr>
          <w:rFonts w:hint="eastAsia" w:ascii="宋体" w:hAnsi="宋体" w:eastAsia="宋体" w:cs="宋体"/>
          <w:color w:val="auto"/>
          <w:sz w:val="24"/>
          <w:szCs w:val="24"/>
          <w:highlight w:val="none"/>
        </w:rPr>
        <w:t>主题确定、房间命名编号，项目导视制作完成，公区、样板房拍摄、精修，优惠折扣选项及使用规则确定，制定营销推广方案并交采购方审批后执行，线上平台内容撰写发布，推广宣传物料设计及制作，周边大企业推广，开业推广等</w:t>
      </w:r>
    </w:p>
    <w:p w14:paraId="06AE4FDF">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开业准备：房间物品清单制作，租赁合同编写交</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审批并完成信息与系统更新上线，房间软装选配包选项内容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房间</w:t>
      </w:r>
      <w:r>
        <w:rPr>
          <w:rFonts w:hint="eastAsia" w:ascii="宋体" w:hAnsi="宋体" w:eastAsia="宋体" w:cs="宋体"/>
          <w:color w:val="auto"/>
          <w:sz w:val="24"/>
          <w:szCs w:val="24"/>
          <w:highlight w:val="none"/>
        </w:rPr>
        <w:t>价格设置，房间验收，垃圾清运签约，协助</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项目移交，地标申请（各大地图平台），网络检测，制定开荒计划，房间开荒，大厅开荒，完成空气检测并制定除甲醛计划，绿植摆放，前台各种用品，表单摆放，开业检查等。</w:t>
      </w:r>
    </w:p>
    <w:p w14:paraId="72C7D8F0">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各项管理制度和运营服务及物资采购计划制定，并交</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审批后执行。</w:t>
      </w:r>
    </w:p>
    <w:p w14:paraId="77C9C7D4">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办理项目开业所需的各项审批手续，取得项目经营所需的各项证照。</w:t>
      </w:r>
    </w:p>
    <w:p w14:paraId="02F1AFA9">
      <w:pPr>
        <w:numPr>
          <w:ilvl w:val="0"/>
          <w:numId w:val="5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安排项目设施试运行、设施验收等工作。</w:t>
      </w:r>
    </w:p>
    <w:p w14:paraId="41CEA649">
      <w:pPr>
        <w:numPr>
          <w:ilvl w:val="0"/>
          <w:numId w:val="52"/>
        </w:numPr>
        <w:spacing w:line="360" w:lineRule="auto"/>
        <w:ind w:firstLine="480" w:firstLineChars="200"/>
        <w:rPr>
          <w:rFonts w:hint="eastAsia"/>
          <w:color w:val="auto"/>
        </w:rPr>
      </w:pPr>
      <w:r>
        <w:rPr>
          <w:rFonts w:hint="eastAsia" w:ascii="宋体" w:hAnsi="宋体" w:eastAsia="宋体" w:cs="宋体"/>
          <w:color w:val="auto"/>
          <w:sz w:val="24"/>
          <w:szCs w:val="24"/>
          <w:highlight w:val="none"/>
        </w:rPr>
        <w:t>人员要求到岗要求：店长、主管、管家开业前2个月到岗，其他人员开业前1个月到岗，具体人数和时间可根据项目实际需要进行调整，费用按实结算。</w:t>
      </w:r>
    </w:p>
    <w:p w14:paraId="5DCE4A0E">
      <w:pPr>
        <w:pStyle w:val="4"/>
        <w:numPr>
          <w:ilvl w:val="0"/>
          <w:numId w:val="0"/>
        </w:numPr>
        <w:spacing w:line="360" w:lineRule="auto"/>
        <w:ind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其他责任</w:t>
      </w:r>
    </w:p>
    <w:p w14:paraId="26AC0602">
      <w:pPr>
        <w:numPr>
          <w:ilvl w:val="0"/>
          <w:numId w:val="53"/>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责任</w:t>
      </w:r>
      <w:r>
        <w:rPr>
          <w:rFonts w:hint="eastAsia" w:ascii="宋体" w:hAnsi="宋体" w:eastAsia="宋体" w:cs="宋体"/>
          <w:color w:val="auto"/>
          <w:sz w:val="24"/>
          <w:szCs w:val="24"/>
          <w:highlight w:val="none"/>
        </w:rPr>
        <w:t>要加强对员工的培训、教育，爱护公共财物，确保工作和上下班安全，杜绝各类事故。</w:t>
      </w:r>
    </w:p>
    <w:p w14:paraId="277919C5">
      <w:pPr>
        <w:numPr>
          <w:ilvl w:val="0"/>
          <w:numId w:val="53"/>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rPr>
        <w:t>的日常管理及人身安全等均由</w:t>
      </w:r>
      <w:r>
        <w:rPr>
          <w:rFonts w:hint="eastAsia" w:cs="宋体"/>
          <w:color w:val="auto"/>
          <w:sz w:val="24"/>
          <w:szCs w:val="24"/>
          <w:highlight w:val="none"/>
          <w:lang w:eastAsia="zh-CN"/>
        </w:rPr>
        <w:t>乙方</w:t>
      </w:r>
      <w:r>
        <w:rPr>
          <w:rFonts w:hint="eastAsia" w:ascii="宋体" w:hAnsi="宋体" w:eastAsia="宋体" w:cs="宋体"/>
          <w:color w:val="auto"/>
          <w:sz w:val="24"/>
          <w:szCs w:val="24"/>
          <w:highlight w:val="none"/>
        </w:rPr>
        <w:t>管理和承担。</w:t>
      </w:r>
    </w:p>
    <w:p w14:paraId="0D6D8FB0">
      <w:pPr>
        <w:numPr>
          <w:ilvl w:val="0"/>
          <w:numId w:val="53"/>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rPr>
        <w:t>应自觉接受配合</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的考核。</w:t>
      </w:r>
    </w:p>
    <w:p w14:paraId="65EFDF2C">
      <w:pPr>
        <w:numPr>
          <w:ilvl w:val="0"/>
          <w:numId w:val="53"/>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rPr>
        <w:t>应按投标时提交的</w:t>
      </w:r>
      <w:r>
        <w:rPr>
          <w:rFonts w:hint="eastAsia" w:ascii="宋体" w:hAnsi="宋体" w:eastAsia="宋体" w:cs="宋体"/>
          <w:color w:val="auto"/>
          <w:sz w:val="24"/>
          <w:szCs w:val="24"/>
          <w:highlight w:val="none"/>
          <w:lang w:val="en-US" w:eastAsia="zh-CN"/>
        </w:rPr>
        <w:t>运营服务</w:t>
      </w:r>
      <w:r>
        <w:rPr>
          <w:rFonts w:hint="eastAsia" w:ascii="宋体" w:hAnsi="宋体" w:eastAsia="宋体" w:cs="宋体"/>
          <w:color w:val="auto"/>
          <w:sz w:val="24"/>
          <w:szCs w:val="24"/>
          <w:highlight w:val="none"/>
        </w:rPr>
        <w:t>方案，吸纳</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提出的相关要求后严格组织实施。</w:t>
      </w:r>
    </w:p>
    <w:p w14:paraId="5371ED28">
      <w:pPr>
        <w:numPr>
          <w:ilvl w:val="0"/>
          <w:numId w:val="53"/>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本项目合同期终止时，</w:t>
      </w: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rPr>
        <w:t>必须向</w:t>
      </w:r>
      <w:r>
        <w:rPr>
          <w:rFonts w:hint="eastAsia" w:cs="宋体"/>
          <w:color w:val="auto"/>
          <w:sz w:val="24"/>
          <w:szCs w:val="24"/>
          <w:highlight w:val="none"/>
          <w:lang w:eastAsia="zh-CN"/>
        </w:rPr>
        <w:t>甲方</w:t>
      </w:r>
      <w:r>
        <w:rPr>
          <w:rFonts w:hint="eastAsia" w:ascii="宋体" w:hAnsi="宋体" w:eastAsia="宋体" w:cs="宋体"/>
          <w:color w:val="auto"/>
          <w:sz w:val="24"/>
          <w:szCs w:val="24"/>
          <w:highlight w:val="none"/>
        </w:rPr>
        <w:t>移交全部</w:t>
      </w:r>
      <w:r>
        <w:rPr>
          <w:rFonts w:hint="eastAsia" w:ascii="宋体" w:hAnsi="宋体" w:eastAsia="宋体" w:cs="宋体"/>
          <w:color w:val="auto"/>
          <w:sz w:val="24"/>
          <w:szCs w:val="24"/>
          <w:highlight w:val="none"/>
          <w:lang w:val="en-US" w:eastAsia="zh-CN"/>
        </w:rPr>
        <w:t>运营服务资料</w:t>
      </w:r>
      <w:r>
        <w:rPr>
          <w:rFonts w:hint="eastAsia" w:ascii="宋体" w:hAnsi="宋体" w:eastAsia="宋体" w:cs="宋体"/>
          <w:color w:val="auto"/>
          <w:sz w:val="24"/>
          <w:szCs w:val="24"/>
          <w:highlight w:val="none"/>
        </w:rPr>
        <w:t>。</w:t>
      </w:r>
    </w:p>
    <w:p w14:paraId="5B996C31">
      <w:pPr>
        <w:numPr>
          <w:ilvl w:val="0"/>
          <w:numId w:val="53"/>
        </w:numPr>
        <w:ind w:firstLine="480" w:firstLineChars="200"/>
        <w:jc w:val="left"/>
        <w:rPr>
          <w:rFonts w:hint="eastAsia"/>
          <w:color w:val="auto"/>
          <w:highlight w:val="none"/>
        </w:rPr>
      </w:pPr>
      <w:r>
        <w:rPr>
          <w:rFonts w:hint="default" w:ascii="宋体" w:hAnsi="宋体" w:eastAsia="宋体" w:cs="宋体"/>
          <w:color w:val="auto"/>
          <w:sz w:val="24"/>
          <w:szCs w:val="24"/>
          <w:highlight w:val="none"/>
          <w:lang w:val="en-US" w:eastAsia="zh-CN"/>
        </w:rPr>
        <w:t>若</w:t>
      </w:r>
      <w:r>
        <w:rPr>
          <w:rFonts w:hint="eastAsia"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非本地单位，</w:t>
      </w:r>
      <w:r>
        <w:rPr>
          <w:rFonts w:hint="eastAsia" w:ascii="宋体" w:hAnsi="宋体" w:eastAsia="宋体" w:cs="宋体"/>
          <w:color w:val="auto"/>
          <w:sz w:val="24"/>
          <w:szCs w:val="24"/>
          <w:highlight w:val="none"/>
          <w:lang w:val="en-US" w:eastAsia="zh-CN"/>
        </w:rPr>
        <w:t>为保证服务便利，应在</w:t>
      </w:r>
      <w:r>
        <w:rPr>
          <w:rFonts w:hint="default" w:ascii="宋体" w:hAnsi="宋体" w:eastAsia="宋体" w:cs="宋体"/>
          <w:color w:val="auto"/>
          <w:sz w:val="24"/>
          <w:szCs w:val="24"/>
          <w:highlight w:val="none"/>
          <w:lang w:val="en-US" w:eastAsia="zh-CN"/>
        </w:rPr>
        <w:t>项目所在地设立分支机构或分公司。</w:t>
      </w:r>
    </w:p>
    <w:p w14:paraId="4DE45D50">
      <w:pPr>
        <w:pStyle w:val="4"/>
        <w:numPr>
          <w:ilvl w:val="0"/>
          <w:numId w:val="0"/>
        </w:numPr>
        <w:spacing w:line="360" w:lineRule="auto"/>
        <w:ind w:left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五、财务制度要求：</w:t>
      </w:r>
    </w:p>
    <w:p w14:paraId="3D63A8A8">
      <w:pPr>
        <w:numPr>
          <w:ilvl w:val="0"/>
          <w:numId w:val="54"/>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的财务管理制度及相应的财务要求执行</w:t>
      </w:r>
    </w:p>
    <w:p w14:paraId="40BC0F5E">
      <w:pPr>
        <w:pStyle w:val="4"/>
        <w:numPr>
          <w:ilvl w:val="0"/>
          <w:numId w:val="0"/>
        </w:numPr>
        <w:spacing w:line="360" w:lineRule="auto"/>
        <w:ind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六、设备、保洁耗材</w:t>
      </w:r>
      <w:r>
        <w:rPr>
          <w:rFonts w:hint="eastAsia" w:ascii="宋体" w:hAnsi="宋体" w:eastAsia="宋体" w:cs="宋体"/>
          <w:b/>
          <w:bCs/>
          <w:color w:val="auto"/>
          <w:sz w:val="24"/>
          <w:szCs w:val="24"/>
          <w:highlight w:val="none"/>
        </w:rPr>
        <w:t>要求</w:t>
      </w:r>
    </w:p>
    <w:p w14:paraId="070D4719">
      <w:pPr>
        <w:numPr>
          <w:ilvl w:val="0"/>
          <w:numId w:val="55"/>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为保证本项目顺利实施，该项目运营所需的设施设备、保洁耗材由</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根据实际需要自行配备</w:t>
      </w:r>
      <w:r>
        <w:rPr>
          <w:rFonts w:hint="eastAsia" w:ascii="宋体" w:hAnsi="宋体" w:eastAsia="宋体" w:cs="宋体"/>
          <w:color w:val="auto"/>
          <w:sz w:val="24"/>
          <w:szCs w:val="24"/>
          <w:highlight w:val="none"/>
          <w:lang w:val="en-US" w:eastAsia="zh-CN"/>
        </w:rPr>
        <w:t>，包括但不限于：工程维修设备工具（如梯子、高低配绝缘套装、液压钳、电动镐、排水泵、气焊枪、电锤、电钻、空调测温仪、万用表、管道疏通机、气泵等）、保洁工具（如水管、高压水枪、抛光机、吸尘器、擦玻璃器具、个人清洁用具等）、保安用具（如警棍、强光手电、反光背心、对讲机等）、保洁耗材。</w:t>
      </w:r>
    </w:p>
    <w:p w14:paraId="06AABB5B">
      <w:pPr>
        <w:numPr>
          <w:ilvl w:val="0"/>
          <w:numId w:val="55"/>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合同期内设施设备包含在投标报价中，在本项目合同期满后，归</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所有。</w:t>
      </w:r>
    </w:p>
    <w:p w14:paraId="2017F856">
      <w:pPr>
        <w:pStyle w:val="4"/>
        <w:numPr>
          <w:ilvl w:val="0"/>
          <w:numId w:val="0"/>
        </w:numPr>
        <w:autoSpaceDE w:val="0"/>
        <w:autoSpaceDN w:val="0"/>
        <w:adjustRightInd w:val="0"/>
        <w:spacing w:line="360" w:lineRule="auto"/>
        <w:ind w:leftChars="20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093CD1F4">
      <w:pPr>
        <w:numPr>
          <w:ilvl w:val="0"/>
          <w:numId w:val="56"/>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出租公寓的单价及入住资质由甲方确定，乙方不得私自更改；</w:t>
      </w:r>
    </w:p>
    <w:p w14:paraId="31DB113C">
      <w:pPr>
        <w:numPr>
          <w:ilvl w:val="0"/>
          <w:numId w:val="56"/>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租金</w:t>
      </w:r>
      <w:r>
        <w:rPr>
          <w:rFonts w:hint="eastAsia" w:ascii="宋体" w:hAnsi="宋体" w:eastAsia="宋体" w:cs="宋体"/>
          <w:b w:val="0"/>
          <w:bCs w:val="0"/>
          <w:color w:val="auto"/>
          <w:sz w:val="24"/>
          <w:szCs w:val="24"/>
          <w:highlight w:val="none"/>
          <w:lang w:val="en-US" w:eastAsia="zh-CN"/>
        </w:rPr>
        <w:t>和其它收入</w:t>
      </w:r>
      <w:r>
        <w:rPr>
          <w:rFonts w:hint="eastAsia" w:ascii="宋体" w:hAnsi="宋体" w:eastAsia="宋体" w:cs="宋体"/>
          <w:b w:val="0"/>
          <w:bCs w:val="0"/>
          <w:color w:val="auto"/>
          <w:sz w:val="24"/>
          <w:szCs w:val="24"/>
          <w:highlight w:val="none"/>
        </w:rPr>
        <w:t>等均需放入甲方</w:t>
      </w:r>
      <w:r>
        <w:rPr>
          <w:rFonts w:hint="eastAsia" w:ascii="宋体" w:hAnsi="宋体" w:eastAsia="宋体" w:cs="宋体"/>
          <w:b w:val="0"/>
          <w:bCs w:val="0"/>
          <w:color w:val="auto"/>
          <w:sz w:val="24"/>
          <w:szCs w:val="24"/>
          <w:highlight w:val="none"/>
          <w:lang w:val="en-US" w:eastAsia="zh-CN"/>
        </w:rPr>
        <w:t>指定</w:t>
      </w:r>
      <w:r>
        <w:rPr>
          <w:rFonts w:hint="eastAsia" w:ascii="宋体" w:hAnsi="宋体" w:eastAsia="宋体" w:cs="宋体"/>
          <w:b w:val="0"/>
          <w:bCs w:val="0"/>
          <w:color w:val="auto"/>
          <w:sz w:val="24"/>
          <w:szCs w:val="24"/>
          <w:highlight w:val="none"/>
        </w:rPr>
        <w:t>账户。</w:t>
      </w:r>
    </w:p>
    <w:p w14:paraId="07B31C52">
      <w:pPr>
        <w:numPr>
          <w:ilvl w:val="0"/>
          <w:numId w:val="56"/>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乙方引入商业服务</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rPr>
        <w:t>位须经过甲方审核并同意后方可签订商业合同。</w:t>
      </w:r>
    </w:p>
    <w:p w14:paraId="220A977E">
      <w:pPr>
        <w:numPr>
          <w:ilvl w:val="0"/>
          <w:numId w:val="56"/>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乙方应委派专业人员立即投入项目，在甲方授权范围内积极参与项目建设过程中的前期管理并提出合理化建议。</w:t>
      </w:r>
    </w:p>
    <w:p w14:paraId="3E348E65">
      <w:pPr>
        <w:pStyle w:val="4"/>
        <w:numPr>
          <w:ilvl w:val="0"/>
          <w:numId w:val="0"/>
        </w:numPr>
        <w:autoSpaceDE w:val="0"/>
        <w:autoSpaceDN w:val="0"/>
        <w:adjustRightInd w:val="0"/>
        <w:snapToGrid/>
        <w:spacing w:line="360" w:lineRule="auto"/>
        <w:ind w:leftChars="20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八、履约保证金</w:t>
      </w:r>
    </w:p>
    <w:p w14:paraId="4A119562">
      <w:pPr>
        <w:autoSpaceDE w:val="0"/>
        <w:autoSpaceDN w:val="0"/>
        <w:adjustRightInd w:val="0"/>
        <w:snapToGrid/>
        <w:spacing w:line="360" w:lineRule="auto"/>
        <w:ind w:left="0" w:firstLine="480" w:firstLineChars="200"/>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乙方交纳人民币</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lang w:val="en-US" w:eastAsia="zh-CN"/>
        </w:rPr>
        <w:t xml:space="preserve">元 (¥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lang w:val="en-US" w:eastAsia="zh-CN"/>
        </w:rPr>
        <w:t>)作为本合同的履约保证金</w:t>
      </w:r>
      <w:r>
        <w:rPr>
          <w:rFonts w:hint="eastAsia" w:cs="宋体"/>
          <w:b w:val="0"/>
          <w:color w:val="auto"/>
          <w:sz w:val="24"/>
          <w:szCs w:val="24"/>
          <w:highlight w:val="none"/>
          <w:lang w:val="en-US" w:eastAsia="zh-CN"/>
        </w:rPr>
        <w:t>，以银行转账方式存入甲方指定账户</w:t>
      </w:r>
      <w:r>
        <w:rPr>
          <w:rFonts w:hint="eastAsia" w:ascii="宋体" w:hAnsi="宋体" w:eastAsia="宋体" w:cs="宋体"/>
          <w:b w:val="0"/>
          <w:color w:val="auto"/>
          <w:sz w:val="24"/>
          <w:szCs w:val="24"/>
          <w:highlight w:val="none"/>
          <w:lang w:val="en-US" w:eastAsia="zh-CN"/>
        </w:rPr>
        <w:t>。</w:t>
      </w:r>
    </w:p>
    <w:p w14:paraId="7C68B783">
      <w:pPr>
        <w:pStyle w:val="4"/>
        <w:numPr>
          <w:ilvl w:val="0"/>
          <w:numId w:val="0"/>
        </w:numPr>
        <w:snapToGrid/>
        <w:spacing w:before="149" w:line="360" w:lineRule="auto"/>
        <w:ind w:left="400" w:leftChars="2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九、转包或分包</w:t>
      </w:r>
    </w:p>
    <w:p w14:paraId="1D6E920C">
      <w:pPr>
        <w:numPr>
          <w:ilvl w:val="0"/>
          <w:numId w:val="57"/>
        </w:numPr>
        <w:autoSpaceDE w:val="0"/>
        <w:autoSpaceDN w:val="0"/>
        <w:adjustRightInd w:val="0"/>
        <w:spacing w:before="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本合同范围的服务，应由乙方直接提供，不得转让他人提供；</w:t>
      </w:r>
    </w:p>
    <w:p w14:paraId="550E0D7B">
      <w:pPr>
        <w:numPr>
          <w:ilvl w:val="0"/>
          <w:numId w:val="57"/>
        </w:numPr>
        <w:autoSpaceDE w:val="0"/>
        <w:autoSpaceDN w:val="0"/>
        <w:adjustRightInd w:val="0"/>
        <w:spacing w:before="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除非得到甲方的书面同意，乙方不得部分分包给他人提供。甲方有绝对权力阻止分包。</w:t>
      </w:r>
      <w:r>
        <w:rPr>
          <w:rFonts w:hint="eastAsia" w:ascii="宋体" w:hAnsi="宋体" w:eastAsia="宋体" w:cs="宋体"/>
          <w:color w:val="auto"/>
          <w:sz w:val="24"/>
          <w:szCs w:val="24"/>
          <w:highlight w:val="none"/>
        </w:rPr>
        <w:t xml:space="preserve"> </w:t>
      </w:r>
    </w:p>
    <w:p w14:paraId="6BB22DD6">
      <w:pPr>
        <w:numPr>
          <w:ilvl w:val="0"/>
          <w:numId w:val="57"/>
        </w:numPr>
        <w:autoSpaceDE w:val="0"/>
        <w:autoSpaceDN w:val="0"/>
        <w:adjustRightInd w:val="0"/>
        <w:spacing w:before="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如有转让和未经甲方同意的分包行为，甲方有权给予终止合同。</w:t>
      </w:r>
    </w:p>
    <w:p w14:paraId="5ACA9953">
      <w:pPr>
        <w:pStyle w:val="4"/>
        <w:numPr>
          <w:ilvl w:val="0"/>
          <w:numId w:val="0"/>
        </w:numPr>
        <w:tabs>
          <w:tab w:val="left" w:pos="772"/>
        </w:tabs>
        <w:snapToGrid w:val="0"/>
        <w:spacing w:line="360" w:lineRule="auto"/>
        <w:ind w:left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kern w:val="0"/>
          <w:sz w:val="24"/>
          <w:szCs w:val="24"/>
          <w:highlight w:val="none"/>
          <w:lang w:val="en-US" w:eastAsia="zh-CN"/>
        </w:rPr>
        <w:t>付款方式</w:t>
      </w:r>
    </w:p>
    <w:p w14:paraId="1F70910A">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运营管理费支付：根据考核，会计年度营收（扣除代收代缴费用外）的</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%计提。每个会计年度初，在</w:t>
      </w: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确认上一会计年度营收（扣除代收代缴费用外）及年度出租率考核后15个工作日内支付上一会计年度运营管理费。</w:t>
      </w:r>
    </w:p>
    <w:p w14:paraId="66C4C743">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运营服务费支付：每季度第一个月</w:t>
      </w: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按季度考核规则进行考核后15个工作日内支付上一季度的服务费既年运营服务费*25%*（100%-考核得分扣除比例），年终根据考核结果进行结算。</w:t>
      </w:r>
    </w:p>
    <w:p w14:paraId="39D8440E">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3.</w:t>
      </w:r>
      <w:r>
        <w:rPr>
          <w:rFonts w:hint="default" w:ascii="宋体" w:hAnsi="宋体" w:eastAsia="宋体" w:cs="宋体"/>
          <w:b w:val="0"/>
          <w:bCs w:val="0"/>
          <w:color w:val="auto"/>
          <w:sz w:val="24"/>
          <w:szCs w:val="24"/>
          <w:highlight w:val="none"/>
          <w:lang w:val="en-US" w:eastAsia="zh-CN"/>
        </w:rPr>
        <w:t>前期介入服务费</w:t>
      </w:r>
      <w:r>
        <w:rPr>
          <w:rFonts w:hint="eastAsia" w:ascii="宋体" w:hAnsi="宋体" w:eastAsia="宋体" w:cs="宋体"/>
          <w:b w:val="0"/>
          <w:bCs w:val="0"/>
          <w:color w:val="auto"/>
          <w:sz w:val="24"/>
          <w:szCs w:val="24"/>
          <w:highlight w:val="none"/>
          <w:lang w:val="en-US" w:eastAsia="zh-CN"/>
        </w:rPr>
        <w:t>：合同签订后支付</w:t>
      </w:r>
      <w:r>
        <w:rPr>
          <w:rFonts w:hint="eastAsia" w:ascii="宋体" w:hAnsi="宋体" w:eastAsia="宋体" w:cs="宋体"/>
          <w:b w:val="0"/>
          <w:bCs w:val="0"/>
          <w:color w:val="auto"/>
          <w:sz w:val="24"/>
          <w:szCs w:val="24"/>
          <w:highlight w:val="none"/>
          <w:u w:val="single"/>
          <w:lang w:val="en-US" w:eastAsia="zh-CN"/>
        </w:rPr>
        <w:t xml:space="preserve"> </w:t>
      </w:r>
      <w:r>
        <w:rPr>
          <w:rFonts w:hint="eastAsia" w:cs="宋体"/>
          <w:b w:val="0"/>
          <w:bCs w:val="0"/>
          <w:color w:val="auto"/>
          <w:sz w:val="24"/>
          <w:szCs w:val="24"/>
          <w:highlight w:val="none"/>
          <w:u w:val="single"/>
          <w:lang w:val="en-US" w:eastAsia="zh-CN"/>
        </w:rPr>
        <w:t>30</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%，正式开业后15个工作日内支付剩余</w:t>
      </w:r>
      <w:r>
        <w:rPr>
          <w:rFonts w:hint="eastAsia" w:ascii="宋体" w:hAnsi="宋体" w:eastAsia="宋体" w:cs="宋体"/>
          <w:b w:val="0"/>
          <w:bCs w:val="0"/>
          <w:color w:val="auto"/>
          <w:sz w:val="24"/>
          <w:szCs w:val="24"/>
          <w:highlight w:val="none"/>
          <w:u w:val="single"/>
          <w:lang w:val="en-US" w:eastAsia="zh-CN"/>
        </w:rPr>
        <w:t xml:space="preserve"> </w:t>
      </w:r>
      <w:r>
        <w:rPr>
          <w:rFonts w:hint="eastAsia" w:cs="宋体"/>
          <w:b w:val="0"/>
          <w:bCs w:val="0"/>
          <w:color w:val="auto"/>
          <w:sz w:val="24"/>
          <w:szCs w:val="24"/>
          <w:highlight w:val="none"/>
          <w:u w:val="single"/>
          <w:lang w:val="en-US" w:eastAsia="zh-CN"/>
        </w:rPr>
        <w:t>70</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%。（根据实际到岗人员和时间结算）。</w:t>
      </w:r>
    </w:p>
    <w:p w14:paraId="2EBAD5EB">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发票</w:t>
      </w:r>
    </w:p>
    <w:p w14:paraId="127E4540">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乙方收取服务费需向甲方开具增值税税率6%的增值税专用发票，需提前15天提供相应发票。</w:t>
      </w:r>
    </w:p>
    <w:p w14:paraId="45A56D74">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若最终开票不含税总价与合同不含税总价有小数点差异的,以最终开票不含税总价为准。</w:t>
      </w:r>
    </w:p>
    <w:p w14:paraId="26E78262">
      <w:pPr>
        <w:numPr>
          <w:ilvl w:val="0"/>
          <w:numId w:val="0"/>
        </w:numPr>
        <w:autoSpaceDE w:val="0"/>
        <w:autoSpaceDN w:val="0"/>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在合同履行过程中，如遇国家税率调整，合同含税总价不因国家税率变化而变化，对于合同未履行完毕的部分，按照新税率执行。</w:t>
      </w:r>
    </w:p>
    <w:p w14:paraId="67985D13">
      <w:pPr>
        <w:numPr>
          <w:ilvl w:val="0"/>
          <w:numId w:val="0"/>
        </w:numPr>
        <w:autoSpaceDE w:val="0"/>
        <w:autoSpaceDN w:val="0"/>
        <w:adjustRightInd w:val="0"/>
        <w:snapToGrid w:val="0"/>
        <w:spacing w:line="360" w:lineRule="auto"/>
        <w:ind w:firstLine="482" w:firstLineChars="2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一</w:t>
      </w:r>
      <w:r>
        <w:rPr>
          <w:rFonts w:hint="eastAsia" w:ascii="宋体" w:hAnsi="宋体" w:eastAsia="宋体" w:cs="宋体"/>
          <w:b/>
          <w:bCs/>
          <w:color w:val="auto"/>
          <w:spacing w:val="0"/>
          <w:sz w:val="24"/>
          <w:szCs w:val="24"/>
          <w:highlight w:val="none"/>
          <w:lang w:val="en-US" w:eastAsia="zh-CN"/>
        </w:rPr>
        <w:t>、违约责任</w:t>
      </w:r>
    </w:p>
    <w:p w14:paraId="35973C74">
      <w:pPr>
        <w:numPr>
          <w:ilvl w:val="0"/>
          <w:numId w:val="58"/>
        </w:numPr>
        <w:autoSpaceDE w:val="0"/>
        <w:autoSpaceDN w:val="0"/>
        <w:adjustRightInd w:val="0"/>
        <w:snapToGrid w:val="0"/>
        <w:spacing w:before="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0"/>
          <w:sz w:val="24"/>
          <w:szCs w:val="24"/>
          <w:highlight w:val="none"/>
        </w:rPr>
        <w:t>甲方违约责任</w:t>
      </w:r>
    </w:p>
    <w:p w14:paraId="23AA61A3">
      <w:pPr>
        <w:numPr>
          <w:ilvl w:val="0"/>
          <w:numId w:val="59"/>
        </w:numPr>
        <w:snapToGrid w:val="0"/>
        <w:spacing w:before="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因甲方标的资产的产权、出租权、房屋用途、消防验收、房屋质量、审批手续不全、债权债务纠纷、虚假资料等瑕疵问题导致本协议无效的或致使乙方不能实现运营管理的，或因标的资产被抵押、查封、保全或设置其他权利负担，或被任何其他第三方行使权利致使本协议无法继续履行；</w:t>
      </w:r>
    </w:p>
    <w:p w14:paraId="064A853C">
      <w:pPr>
        <w:numPr>
          <w:ilvl w:val="0"/>
          <w:numId w:val="59"/>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甲方违反本协议约定的承诺和义务，或在合作过程中存在不当或违法行为，严重损害乙方，乙方关联方、乙方所在集团以及乙方品牌社会形象和声誉；</w:t>
      </w:r>
    </w:p>
    <w:p w14:paraId="473031E1">
      <w:pPr>
        <w:numPr>
          <w:ilvl w:val="0"/>
          <w:numId w:val="58"/>
        </w:numPr>
        <w:autoSpaceDE w:val="0"/>
        <w:autoSpaceDN w:val="0"/>
        <w:adjustRightInd w:val="0"/>
        <w:snapToGrid w:val="0"/>
        <w:spacing w:before="0"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0"/>
          <w:sz w:val="24"/>
          <w:szCs w:val="24"/>
          <w:highlight w:val="none"/>
        </w:rPr>
        <w:t>乙方违约责任</w:t>
      </w:r>
    </w:p>
    <w:p w14:paraId="4B87B350">
      <w:pPr>
        <w:numPr>
          <w:ilvl w:val="0"/>
          <w:numId w:val="60"/>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未经甲方书面同意，乙方或租户拆除或改变标的资产的建筑主体结构，或擅自装修改造的；</w:t>
      </w:r>
    </w:p>
    <w:p w14:paraId="322E6BD3">
      <w:pPr>
        <w:numPr>
          <w:ilvl w:val="0"/>
          <w:numId w:val="60"/>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除本协议另有约定收费方式外，因乙方原因导致付费方不支付至</w:t>
      </w:r>
      <w:r>
        <w:rPr>
          <w:rFonts w:hint="eastAsia" w:ascii="宋体" w:hAnsi="宋体" w:eastAsia="宋体" w:cs="宋体"/>
          <w:color w:val="auto"/>
          <w:spacing w:val="0"/>
          <w:sz w:val="24"/>
          <w:szCs w:val="24"/>
          <w:highlight w:val="none"/>
          <w:lang w:val="en-US" w:eastAsia="zh-CN"/>
        </w:rPr>
        <w:t>甲方指定</w:t>
      </w:r>
      <w:r>
        <w:rPr>
          <w:rFonts w:hint="eastAsia" w:ascii="宋体" w:hAnsi="宋体" w:eastAsia="宋体" w:cs="宋体"/>
          <w:color w:val="auto"/>
          <w:spacing w:val="0"/>
          <w:sz w:val="24"/>
          <w:szCs w:val="24"/>
          <w:highlight w:val="none"/>
        </w:rPr>
        <w:t>账户，经甲方指出后又再次发生的；</w:t>
      </w:r>
    </w:p>
    <w:p w14:paraId="14D24A1C">
      <w:pPr>
        <w:numPr>
          <w:ilvl w:val="0"/>
          <w:numId w:val="60"/>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其他乙方违反本协议约定的承诺和义务，且在甲方指定的期限内未完成整改，致使协议目的无法实现的情形。</w:t>
      </w:r>
    </w:p>
    <w:p w14:paraId="42C808EC">
      <w:pPr>
        <w:numPr>
          <w:ilvl w:val="0"/>
          <w:numId w:val="60"/>
        </w:numPr>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在合作过程中存在不当或违法行为，严重损害</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rPr>
        <w:t>方，</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rPr>
        <w:t>方关联方、</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rPr>
        <w:t>方所在集团以及</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rPr>
        <w:t>方品牌社会形象和声誉；</w:t>
      </w:r>
    </w:p>
    <w:p w14:paraId="4874BA31">
      <w:pPr>
        <w:numPr>
          <w:ilvl w:val="0"/>
          <w:numId w:val="58"/>
        </w:numPr>
        <w:tabs>
          <w:tab w:val="left" w:pos="772"/>
        </w:tabs>
        <w:autoSpaceDE w:val="0"/>
        <w:autoSpaceDN w:val="0"/>
        <w:adjustRightInd w:val="0"/>
        <w:snapToGrid w:val="0"/>
        <w:spacing w:line="360" w:lineRule="auto"/>
        <w:ind w:firstLine="480" w:firstLineChars="200"/>
        <w:jc w:val="left"/>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lang w:val="en-US" w:eastAsia="zh-CN"/>
        </w:rPr>
        <w:t>违约金</w:t>
      </w:r>
    </w:p>
    <w:p w14:paraId="66FE7152">
      <w:pPr>
        <w:numPr>
          <w:ilvl w:val="0"/>
          <w:numId w:val="0"/>
        </w:numPr>
        <w:snapToGrid w:val="0"/>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甲乙任意一方一旦违约，需向对方支付违约金</w:t>
      </w:r>
      <w:r>
        <w:rPr>
          <w:rFonts w:hint="eastAsia" w:ascii="宋体" w:hAnsi="宋体" w:eastAsia="宋体" w:cs="宋体"/>
          <w:b w:val="0"/>
          <w:bCs w:val="0"/>
          <w:color w:val="auto"/>
          <w:spacing w:val="0"/>
          <w:sz w:val="24"/>
          <w:szCs w:val="24"/>
          <w:highlight w:val="none"/>
          <w:u w:val="none" w:color="auto"/>
        </w:rPr>
        <w:t>200000</w:t>
      </w:r>
      <w:r>
        <w:rPr>
          <w:rFonts w:hint="eastAsia" w:ascii="宋体" w:hAnsi="宋体" w:eastAsia="宋体" w:cs="宋体"/>
          <w:color w:val="auto"/>
          <w:spacing w:val="0"/>
          <w:sz w:val="24"/>
          <w:szCs w:val="24"/>
          <w:highlight w:val="none"/>
        </w:rPr>
        <w:t>元</w:t>
      </w:r>
      <w:r>
        <w:rPr>
          <w:rFonts w:hint="eastAsia" w:cs="宋体"/>
          <w:color w:val="auto"/>
          <w:spacing w:val="0"/>
          <w:sz w:val="24"/>
          <w:szCs w:val="24"/>
          <w:highlight w:val="none"/>
          <w:lang w:val="en-US" w:eastAsia="zh-CN"/>
        </w:rPr>
        <w:t>每项</w:t>
      </w:r>
      <w:r>
        <w:rPr>
          <w:rFonts w:hint="eastAsia" w:ascii="宋体" w:hAnsi="宋体" w:eastAsia="宋体" w:cs="宋体"/>
          <w:color w:val="auto"/>
          <w:spacing w:val="0"/>
          <w:sz w:val="24"/>
          <w:szCs w:val="24"/>
          <w:highlight w:val="none"/>
        </w:rPr>
        <w:t>。</w:t>
      </w:r>
    </w:p>
    <w:p w14:paraId="5D68AE25">
      <w:pPr>
        <w:pStyle w:val="4"/>
        <w:numPr>
          <w:ilvl w:val="0"/>
          <w:numId w:val="0"/>
        </w:numPr>
        <w:tabs>
          <w:tab w:val="left" w:pos="772"/>
        </w:tabs>
        <w:snapToGrid w:val="0"/>
        <w:spacing w:line="360" w:lineRule="auto"/>
        <w:ind w:left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二</w:t>
      </w:r>
      <w:r>
        <w:rPr>
          <w:rFonts w:hint="eastAsia" w:ascii="宋体" w:hAnsi="宋体" w:eastAsia="宋体" w:cs="宋体"/>
          <w:b/>
          <w:bCs/>
          <w:color w:val="auto"/>
          <w:spacing w:val="0"/>
          <w:sz w:val="24"/>
          <w:szCs w:val="24"/>
          <w:highlight w:val="none"/>
          <w:lang w:val="en-US" w:eastAsia="zh-CN"/>
        </w:rPr>
        <w:t>、退出机制</w:t>
      </w:r>
    </w:p>
    <w:p w14:paraId="20F2F6BE">
      <w:pPr>
        <w:numPr>
          <w:ilvl w:val="0"/>
          <w:numId w:val="61"/>
        </w:num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合同期内，</w:t>
      </w:r>
      <w:r>
        <w:rPr>
          <w:rFonts w:hint="eastAsia" w:ascii="宋体" w:hAnsi="宋体" w:eastAsia="宋体" w:cs="宋体"/>
          <w:color w:val="auto"/>
          <w:sz w:val="24"/>
          <w:szCs w:val="24"/>
          <w:highlight w:val="none"/>
          <w:lang w:val="en-US" w:eastAsia="zh-CN"/>
        </w:rPr>
        <w:t>因</w:t>
      </w: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管理原因出现安全重大事故的（标准：造成1人及以上死亡或2人及以上重伤（专业机构出具鉴定报告），或造成</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重大经济损失100万以上），</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有权要求终止协议，由此造成的损失由</w:t>
      </w: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w:t>
      </w:r>
    </w:p>
    <w:p w14:paraId="0ADF313A">
      <w:pPr>
        <w:numPr>
          <w:ilvl w:val="0"/>
          <w:numId w:val="61"/>
        </w:num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连续</w:t>
      </w:r>
      <w:r>
        <w:rPr>
          <w:rFonts w:hint="eastAsia"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个会计年度，年出租率均低于60%，</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有权要求提前终止协议；除不可抗力因素和经</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同意的因素除外。</w:t>
      </w:r>
    </w:p>
    <w:p w14:paraId="21EEC655">
      <w:pPr>
        <w:numPr>
          <w:ilvl w:val="0"/>
          <w:numId w:val="49"/>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运营服务考核评分表60分以下，扣除当年运营服务费，且</w:t>
      </w: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有权要求提前终止协议。</w:t>
      </w:r>
    </w:p>
    <w:p w14:paraId="68D1FD84">
      <w:pPr>
        <w:numPr>
          <w:ilvl w:val="0"/>
          <w:numId w:val="49"/>
        </w:numPr>
        <w:autoSpaceDE w:val="0"/>
        <w:autoSpaceDN w:val="0"/>
        <w:adjustRightIn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发现</w:t>
      </w:r>
      <w:r>
        <w:rPr>
          <w:rFonts w:hint="eastAsia"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在运营过程中服务人员数量不满足招标文件要求</w:t>
      </w:r>
      <w:r>
        <w:rPr>
          <w:rFonts w:hint="eastAsia" w:cs="宋体"/>
          <w:b w:val="0"/>
          <w:bCs w:val="0"/>
          <w:color w:val="auto"/>
          <w:sz w:val="24"/>
          <w:szCs w:val="24"/>
          <w:highlight w:val="none"/>
          <w:lang w:val="en-US" w:eastAsia="zh-CN"/>
        </w:rPr>
        <w:t>，</w:t>
      </w:r>
      <w:r>
        <w:rPr>
          <w:rFonts w:hint="default" w:cs="宋体"/>
          <w:b w:val="0"/>
          <w:bCs w:val="0"/>
          <w:color w:val="auto"/>
          <w:sz w:val="24"/>
          <w:szCs w:val="24"/>
          <w:highlight w:val="none"/>
          <w:lang w:eastAsia="zh-CN"/>
        </w:rPr>
        <w:t>累计</w:t>
      </w:r>
      <w:r>
        <w:rPr>
          <w:rFonts w:hint="eastAsia" w:ascii="宋体" w:hAnsi="宋体" w:eastAsia="宋体" w:cs="宋体"/>
          <w:b w:val="0"/>
          <w:bCs w:val="0"/>
          <w:color w:val="auto"/>
          <w:sz w:val="24"/>
          <w:szCs w:val="24"/>
          <w:highlight w:val="none"/>
          <w:lang w:val="en-US" w:eastAsia="zh-CN"/>
        </w:rPr>
        <w:t>发现3次及以上</w:t>
      </w:r>
      <w:r>
        <w:rPr>
          <w:rFonts w:hint="eastAsia"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有权要求提前终止协议，并扣除履约保证</w:t>
      </w:r>
      <w:r>
        <w:rPr>
          <w:rFonts w:hint="default" w:cs="宋体"/>
          <w:b w:val="0"/>
          <w:bCs w:val="0"/>
          <w:color w:val="auto"/>
          <w:sz w:val="24"/>
          <w:szCs w:val="24"/>
          <w:highlight w:val="none"/>
          <w:lang w:eastAsia="zh-CN"/>
        </w:rPr>
        <w:t>金</w:t>
      </w:r>
      <w:r>
        <w:rPr>
          <w:rFonts w:hint="eastAsia" w:ascii="宋体" w:hAnsi="宋体" w:eastAsia="宋体" w:cs="宋体"/>
          <w:b w:val="0"/>
          <w:bCs w:val="0"/>
          <w:color w:val="auto"/>
          <w:sz w:val="24"/>
          <w:szCs w:val="24"/>
          <w:highlight w:val="none"/>
          <w:lang w:val="en-US" w:eastAsia="zh-CN"/>
        </w:rPr>
        <w:t>。</w:t>
      </w:r>
    </w:p>
    <w:p w14:paraId="79F8B103">
      <w:pPr>
        <w:pStyle w:val="2"/>
        <w:rPr>
          <w:rFonts w:hint="eastAsia"/>
          <w:color w:val="auto"/>
          <w:lang w:val="en-US" w:eastAsia="zh-CN"/>
        </w:rPr>
      </w:pPr>
    </w:p>
    <w:p w14:paraId="437FB4A7">
      <w:pPr>
        <w:pStyle w:val="4"/>
        <w:numPr>
          <w:ilvl w:val="0"/>
          <w:numId w:val="0"/>
        </w:numPr>
        <w:tabs>
          <w:tab w:val="left" w:pos="772"/>
        </w:tabs>
        <w:snapToGrid w:val="0"/>
        <w:spacing w:line="360" w:lineRule="auto"/>
        <w:ind w:left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三</w:t>
      </w:r>
      <w:r>
        <w:rPr>
          <w:rFonts w:hint="eastAsia" w:ascii="宋体" w:hAnsi="宋体" w:eastAsia="宋体" w:cs="宋体"/>
          <w:b/>
          <w:bCs/>
          <w:color w:val="auto"/>
          <w:spacing w:val="0"/>
          <w:sz w:val="24"/>
          <w:szCs w:val="24"/>
          <w:highlight w:val="none"/>
          <w:lang w:val="en-US" w:eastAsia="zh-CN"/>
        </w:rPr>
        <w:t>、合同解除及责任</w:t>
      </w:r>
    </w:p>
    <w:p w14:paraId="51A3523E">
      <w:pPr>
        <w:numPr>
          <w:ilvl w:val="0"/>
          <w:numId w:val="0"/>
        </w:numPr>
        <w:tabs>
          <w:tab w:val="left" w:pos="772"/>
        </w:tabs>
        <w:autoSpaceDE w:val="0"/>
        <w:autoSpaceDN w:val="0"/>
        <w:adjustRightInd w:val="0"/>
        <w:snapToGrid w:val="0"/>
        <w:spacing w:line="360" w:lineRule="auto"/>
        <w:ind w:firstLine="480" w:firstLineChars="200"/>
        <w:jc w:val="left"/>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合同生效后，乙方不得无故解除本合同，否则履约保证金不予退还，给甲方造成损失的，乙方承担赔偿责任。同时甲方在合同期内不得无故解除合同，如无故解除合同应承担相应的违约责任。</w:t>
      </w:r>
    </w:p>
    <w:p w14:paraId="1B52E9F5">
      <w:pPr>
        <w:pStyle w:val="4"/>
        <w:numPr>
          <w:ilvl w:val="0"/>
          <w:numId w:val="0"/>
        </w:numPr>
        <w:tabs>
          <w:tab w:val="left" w:pos="772"/>
        </w:tabs>
        <w:snapToGrid w:val="0"/>
        <w:spacing w:line="360" w:lineRule="auto"/>
        <w:ind w:leftChars="2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四</w:t>
      </w:r>
      <w:r>
        <w:rPr>
          <w:rFonts w:hint="eastAsia" w:ascii="宋体" w:hAnsi="宋体" w:eastAsia="宋体" w:cs="宋体"/>
          <w:b/>
          <w:bCs/>
          <w:color w:val="auto"/>
          <w:spacing w:val="0"/>
          <w:sz w:val="24"/>
          <w:szCs w:val="24"/>
          <w:highlight w:val="none"/>
          <w:lang w:val="en-US" w:eastAsia="zh-CN"/>
        </w:rPr>
        <w:t>、不可抗力事件处理</w:t>
      </w:r>
    </w:p>
    <w:p w14:paraId="296962FF">
      <w:pPr>
        <w:numPr>
          <w:ilvl w:val="0"/>
          <w:numId w:val="62"/>
        </w:numPr>
        <w:autoSpaceDE w:val="0"/>
        <w:autoSpaceDN w:val="0"/>
        <w:adjustRightInd w:val="0"/>
        <w:snapToGrid w:val="0"/>
        <w:spacing w:before="0" w:line="36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在合同有效期内，任何一方因不可抗力事件导致不能履行合同，则合同履行期可延长，其延长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pacing w:val="0"/>
          <w:sz w:val="24"/>
          <w:szCs w:val="24"/>
          <w:highlight w:val="none"/>
          <w:lang w:val="en-US" w:eastAsia="zh-CN"/>
        </w:rPr>
        <w:t>期与不可抗力影响期相同。</w:t>
      </w:r>
    </w:p>
    <w:p w14:paraId="63945664">
      <w:pPr>
        <w:numPr>
          <w:ilvl w:val="0"/>
          <w:numId w:val="62"/>
        </w:numPr>
        <w:tabs>
          <w:tab w:val="left" w:pos="772"/>
        </w:tabs>
        <w:autoSpaceDE w:val="0"/>
        <w:autoSpaceDN w:val="0"/>
        <w:adjustRightInd w:val="0"/>
        <w:snapToGrid w:val="0"/>
        <w:spacing w:line="360" w:lineRule="auto"/>
        <w:ind w:firstLine="480" w:firstLineChars="20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不可抗力事件延续120天以上，双方应通过友好协商，确定是否继续履行合同。</w:t>
      </w:r>
    </w:p>
    <w:p w14:paraId="5C8B8549">
      <w:pPr>
        <w:pStyle w:val="4"/>
        <w:numPr>
          <w:ilvl w:val="0"/>
          <w:numId w:val="0"/>
        </w:numPr>
        <w:tabs>
          <w:tab w:val="left" w:pos="772"/>
        </w:tabs>
        <w:snapToGrid w:val="0"/>
        <w:spacing w:line="360" w:lineRule="auto"/>
        <w:ind w:leftChars="20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十</w:t>
      </w:r>
      <w:r>
        <w:rPr>
          <w:rFonts w:hint="eastAsia"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en-US" w:eastAsia="zh-CN"/>
        </w:rPr>
        <w:t>、诉讼</w:t>
      </w:r>
    </w:p>
    <w:p w14:paraId="4CE7DFD2">
      <w:pPr>
        <w:numPr>
          <w:ilvl w:val="0"/>
          <w:numId w:val="0"/>
        </w:numPr>
        <w:tabs>
          <w:tab w:val="left" w:pos="772"/>
        </w:tabs>
        <w:autoSpaceDE w:val="0"/>
        <w:autoSpaceDN w:val="0"/>
        <w:adjustRightInd w:val="0"/>
        <w:snapToGrid w:val="0"/>
        <w:spacing w:line="360" w:lineRule="auto"/>
        <w:ind w:firstLine="480"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双方在执行合同中所发生的一切争议，应通过协商解决。如协商不成，可向甲方所在地法院起诉。</w:t>
      </w:r>
    </w:p>
    <w:p w14:paraId="68835158">
      <w:pPr>
        <w:pStyle w:val="4"/>
        <w:numPr>
          <w:ilvl w:val="0"/>
          <w:numId w:val="0"/>
        </w:numPr>
        <w:tabs>
          <w:tab w:val="left" w:pos="772"/>
        </w:tabs>
        <w:snapToGrid w:val="0"/>
        <w:spacing w:line="360" w:lineRule="auto"/>
        <w:ind w:leftChars="200" w:firstLine="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十</w:t>
      </w:r>
      <w:r>
        <w:rPr>
          <w:rFonts w:hint="eastAsia" w:cs="宋体"/>
          <w:b/>
          <w:bCs/>
          <w:color w:val="auto"/>
          <w:spacing w:val="0"/>
          <w:sz w:val="24"/>
          <w:szCs w:val="24"/>
          <w:highlight w:val="none"/>
          <w:lang w:val="en-US" w:eastAsia="zh-CN"/>
        </w:rPr>
        <w:t>六</w:t>
      </w:r>
      <w:r>
        <w:rPr>
          <w:rFonts w:hint="eastAsia" w:ascii="宋体" w:hAnsi="宋体" w:eastAsia="宋体" w:cs="宋体"/>
          <w:b/>
          <w:bCs/>
          <w:color w:val="auto"/>
          <w:spacing w:val="0"/>
          <w:sz w:val="24"/>
          <w:szCs w:val="24"/>
          <w:highlight w:val="none"/>
          <w:lang w:val="en-US" w:eastAsia="zh-CN"/>
        </w:rPr>
        <w:t>、合同生效及其它</w:t>
      </w:r>
    </w:p>
    <w:p w14:paraId="01F3A730">
      <w:pPr>
        <w:numPr>
          <w:ilvl w:val="0"/>
          <w:numId w:val="63"/>
        </w:numPr>
        <w:autoSpaceDE w:val="0"/>
        <w:autoSpaceDN w:val="0"/>
        <w:adjustRightInd w:val="0"/>
        <w:snapToGrid w:val="0"/>
        <w:spacing w:before="0" w:line="36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合同经甲、乙双方签名并加盖单位公章后生效。</w:t>
      </w:r>
    </w:p>
    <w:p w14:paraId="2DE609BA">
      <w:pPr>
        <w:numPr>
          <w:ilvl w:val="0"/>
          <w:numId w:val="63"/>
        </w:numPr>
        <w:autoSpaceDE w:val="0"/>
        <w:autoSpaceDN w:val="0"/>
        <w:adjustRightInd w:val="0"/>
        <w:snapToGrid w:val="0"/>
        <w:spacing w:before="0" w:line="36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采购文件、投标文件与本合同具有同等法律效力。</w:t>
      </w:r>
    </w:p>
    <w:p w14:paraId="62103838">
      <w:pPr>
        <w:numPr>
          <w:ilvl w:val="0"/>
          <w:numId w:val="63"/>
        </w:numPr>
        <w:autoSpaceDE w:val="0"/>
        <w:autoSpaceDN w:val="0"/>
        <w:adjustRightInd w:val="0"/>
        <w:snapToGrid w:val="0"/>
        <w:spacing w:before="0" w:line="36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lang w:val="en-US" w:eastAsia="zh-CN"/>
        </w:rPr>
        <w:t>本合同未尽事宜，遵照《中华人民共和国民法典》有关条文执行。</w:t>
      </w:r>
    </w:p>
    <w:p w14:paraId="58E7016F">
      <w:pPr>
        <w:numPr>
          <w:ilvl w:val="0"/>
          <w:numId w:val="63"/>
        </w:numPr>
        <w:tabs>
          <w:tab w:val="left" w:pos="772"/>
        </w:tabs>
        <w:autoSpaceDE w:val="0"/>
        <w:autoSpaceDN w:val="0"/>
        <w:adjustRightInd w:val="0"/>
        <w:snapToGrid w:val="0"/>
        <w:spacing w:line="360" w:lineRule="auto"/>
        <w:ind w:firstLine="480"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本合同一式_份，具有同等法律效力，甲乙双方各执_份。</w:t>
      </w:r>
    </w:p>
    <w:p w14:paraId="01805917">
      <w:pPr>
        <w:pStyle w:val="4"/>
        <w:numPr>
          <w:ilvl w:val="0"/>
          <w:numId w:val="0"/>
        </w:numPr>
        <w:tabs>
          <w:tab w:val="left" w:pos="772"/>
        </w:tabs>
        <w:spacing w:line="360" w:lineRule="auto"/>
        <w:ind w:leftChars="0" w:firstLine="0"/>
        <w:rPr>
          <w:rFonts w:hint="eastAsia" w:ascii="宋体" w:hAnsi="宋体" w:eastAsia="宋体" w:cs="宋体"/>
          <w:b/>
          <w:bCs/>
          <w:color w:val="auto"/>
          <w:kern w:val="0"/>
          <w:sz w:val="24"/>
          <w:szCs w:val="24"/>
          <w:highlight w:val="none"/>
          <w:lang w:val="en-US" w:eastAsia="zh-CN"/>
        </w:rPr>
      </w:pPr>
    </w:p>
    <w:tbl>
      <w:tblPr>
        <w:tblStyle w:val="1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397"/>
        <w:gridCol w:w="1661"/>
        <w:gridCol w:w="2767"/>
      </w:tblGrid>
      <w:tr w14:paraId="5C0F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7D18AC2C">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乙方单位</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455F1267">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（盖章）</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40730F3E">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甲方单位</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0FF85D99">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（盖章）</w:t>
            </w:r>
          </w:p>
        </w:tc>
      </w:tr>
      <w:tr w14:paraId="28C4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1CCF27F9">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代表签名</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701BDC68">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8526691">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代表签名</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04FADCFB">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r w14:paraId="5423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33D0DE60">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地址</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232C783E">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5993CC3">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地址</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6BC1FCD8">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r w14:paraId="70ED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34CE7D22">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电话</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639FC6CD">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D0DE78B">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电话</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798657F9">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r w14:paraId="7400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375AD8B7">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开户银行</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5CBF0CB7">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AE9A3C1">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开户银行</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395C3502">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r w14:paraId="2AEA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218AF7B7">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账号</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7D3A6DAB">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FA457CD">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账号</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078D7AA1">
            <w:pPr>
              <w:keepNext w:val="0"/>
              <w:keepLines w:val="0"/>
              <w:suppressLineNumbers w:val="0"/>
              <w:spacing w:before="0" w:beforeAutospacing="0" w:after="0" w:afterAutospacing="0" w:line="460" w:lineRule="exact"/>
              <w:ind w:left="0" w:right="0"/>
              <w:jc w:val="center"/>
              <w:rPr>
                <w:rFonts w:hint="default" w:ascii="宋体" w:hAnsi="宋体"/>
                <w:color w:val="auto"/>
                <w:kern w:val="0"/>
                <w:sz w:val="24"/>
                <w:highlight w:val="none"/>
              </w:rPr>
            </w:pPr>
          </w:p>
        </w:tc>
      </w:tr>
    </w:tbl>
    <w:p w14:paraId="481D5487">
      <w:pPr>
        <w:rPr>
          <w:color w:val="auto"/>
          <w:sz w:val="24"/>
          <w:highlight w:val="none"/>
        </w:rPr>
      </w:pPr>
    </w:p>
    <w:p w14:paraId="4F1D1E93">
      <w:pPr>
        <w:spacing w:line="360" w:lineRule="auto"/>
        <w:rPr>
          <w:rFonts w:ascii="宋体" w:hAnsi="宋体"/>
          <w:color w:val="auto"/>
          <w:sz w:val="24"/>
          <w:highlight w:val="none"/>
        </w:rPr>
      </w:pPr>
      <w:r>
        <w:rPr>
          <w:rFonts w:ascii="宋体" w:hAnsi="宋体" w:cs="宋体"/>
          <w:color w:val="auto"/>
          <w:sz w:val="24"/>
          <w:highlight w:val="none"/>
        </w:rPr>
        <w:t>注：此合同样本仅作参考，采购单位、供应商可根据采购项目的实际情况进行修改。</w:t>
      </w:r>
    </w:p>
    <w:p w14:paraId="73535E7C">
      <w:pPr>
        <w:spacing w:line="360" w:lineRule="auto"/>
        <w:jc w:val="center"/>
        <w:outlineLvl w:val="0"/>
        <w:rPr>
          <w:rStyle w:val="25"/>
          <w:rFonts w:hint="eastAsia" w:ascii="宋体" w:hAnsi="宋体" w:eastAsia="宋体" w:cs="宋体"/>
          <w:color w:val="auto"/>
          <w:sz w:val="36"/>
          <w:szCs w:val="32"/>
          <w:highlight w:val="none"/>
        </w:rPr>
      </w:pPr>
      <w:r>
        <w:rPr>
          <w:rStyle w:val="25"/>
          <w:rFonts w:hint="eastAsia" w:ascii="宋体" w:hAnsi="宋体" w:eastAsia="宋体" w:cs="宋体"/>
          <w:color w:val="auto"/>
          <w:sz w:val="36"/>
          <w:szCs w:val="32"/>
          <w:highlight w:val="none"/>
        </w:rPr>
        <w:br w:type="page"/>
      </w:r>
      <w:bookmarkStart w:id="470" w:name="_Toc21198"/>
      <w:r>
        <w:rPr>
          <w:rStyle w:val="25"/>
          <w:rFonts w:hint="eastAsia" w:ascii="宋体" w:hAnsi="宋体" w:eastAsia="宋体" w:cs="宋体"/>
          <w:color w:val="auto"/>
          <w:sz w:val="36"/>
          <w:szCs w:val="32"/>
          <w:highlight w:val="none"/>
        </w:rPr>
        <w:t>第六部分</w:t>
      </w:r>
      <w:bookmarkEnd w:id="435"/>
      <w:r>
        <w:rPr>
          <w:rStyle w:val="25"/>
          <w:rFonts w:hint="eastAsia" w:ascii="宋体" w:hAnsi="宋体" w:eastAsia="宋体" w:cs="宋体"/>
          <w:color w:val="auto"/>
          <w:sz w:val="36"/>
          <w:szCs w:val="32"/>
          <w:highlight w:val="none"/>
        </w:rPr>
        <w:t xml:space="preserve"> </w:t>
      </w:r>
      <w:bookmarkEnd w:id="436"/>
      <w:r>
        <w:rPr>
          <w:rStyle w:val="25"/>
          <w:rFonts w:hint="eastAsia" w:ascii="宋体" w:hAnsi="宋体" w:eastAsia="宋体" w:cs="宋体"/>
          <w:color w:val="auto"/>
          <w:sz w:val="36"/>
          <w:szCs w:val="32"/>
          <w:highlight w:val="none"/>
        </w:rPr>
        <w:t>应提交的有关格式范例</w:t>
      </w:r>
    </w:p>
    <w:bookmarkEnd w:id="470"/>
    <w:p w14:paraId="4478805B">
      <w:pPr>
        <w:spacing w:line="360" w:lineRule="auto"/>
        <w:ind w:firstLine="480" w:firstLineChars="200"/>
        <w:rPr>
          <w:rFonts w:hint="eastAsia" w:ascii="宋体" w:hAnsi="宋体" w:eastAsia="宋体" w:cs="宋体"/>
          <w:color w:val="auto"/>
          <w:sz w:val="24"/>
          <w:highlight w:val="none"/>
        </w:rPr>
      </w:pPr>
    </w:p>
    <w:p w14:paraId="555DE4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投标人按照以下格式编制投标文件，并将资格文件、技术文件、商务文件、报价文件分别上传，并与招标文件的评分要点准确设置关联点。</w:t>
      </w:r>
    </w:p>
    <w:p w14:paraId="1CA0E0E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14:paraId="44446CDD">
      <w:pPr>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kern w:val="0"/>
          <w:sz w:val="36"/>
          <w:szCs w:val="36"/>
          <w:highlight w:val="none"/>
        </w:rPr>
        <w:t>资格文件部分</w:t>
      </w:r>
    </w:p>
    <w:p w14:paraId="745F6490">
      <w:pPr>
        <w:spacing w:line="360" w:lineRule="auto"/>
        <w:jc w:val="center"/>
        <w:rPr>
          <w:rFonts w:hint="eastAsia" w:ascii="宋体" w:hAnsi="宋体" w:eastAsia="宋体" w:cs="宋体"/>
          <w:b/>
          <w:color w:val="auto"/>
          <w:kern w:val="0"/>
          <w:sz w:val="36"/>
          <w:szCs w:val="36"/>
          <w:highlight w:val="none"/>
        </w:rPr>
      </w:pPr>
    </w:p>
    <w:p w14:paraId="0EBAEEB8">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FDE5AD7">
      <w:pPr>
        <w:pStyle w:val="23"/>
        <w:numPr>
          <w:ilvl w:val="0"/>
          <w:numId w:val="64"/>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523E5793">
      <w:pPr>
        <w:pStyle w:val="23"/>
        <w:numPr>
          <w:ilvl w:val="0"/>
          <w:numId w:val="64"/>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7832E631">
      <w:pPr>
        <w:pStyle w:val="23"/>
        <w:numPr>
          <w:ilvl w:val="0"/>
          <w:numId w:val="0"/>
        </w:numPr>
        <w:spacing w:before="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575B24CD">
      <w:pPr>
        <w:pStyle w:val="23"/>
        <w:numPr>
          <w:ilvl w:val="0"/>
          <w:numId w:val="64"/>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33D8C451">
      <w:pPr>
        <w:pStyle w:val="23"/>
        <w:numPr>
          <w:ilvl w:val="0"/>
          <w:numId w:val="64"/>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投标人承诺函（格式见附件）。</w:t>
      </w:r>
    </w:p>
    <w:p w14:paraId="4AFDC29A">
      <w:pPr>
        <w:pStyle w:val="8"/>
        <w:ind w:firstLine="486"/>
        <w:rPr>
          <w:rFonts w:hint="eastAsia" w:ascii="宋体" w:hAnsi="宋体" w:eastAsia="宋体" w:cs="宋体"/>
          <w:color w:val="auto"/>
          <w:highlight w:val="none"/>
        </w:rPr>
      </w:pPr>
    </w:p>
    <w:p w14:paraId="6631E456">
      <w:pPr>
        <w:pStyle w:val="8"/>
        <w:ind w:firstLine="486"/>
        <w:rPr>
          <w:rFonts w:hint="eastAsia" w:ascii="宋体" w:hAnsi="宋体" w:eastAsia="宋体" w:cs="宋体"/>
          <w:color w:val="auto"/>
          <w:highlight w:val="none"/>
        </w:rPr>
      </w:pPr>
    </w:p>
    <w:p w14:paraId="6F8FAC65">
      <w:pPr>
        <w:pStyle w:val="8"/>
        <w:ind w:firstLine="486"/>
        <w:rPr>
          <w:rFonts w:hint="eastAsia" w:ascii="宋体" w:hAnsi="宋体" w:eastAsia="宋体" w:cs="宋体"/>
          <w:color w:val="auto"/>
          <w:highlight w:val="none"/>
        </w:rPr>
      </w:pPr>
    </w:p>
    <w:p w14:paraId="6803FF6F">
      <w:pPr>
        <w:pStyle w:val="8"/>
        <w:ind w:firstLine="486"/>
        <w:rPr>
          <w:rFonts w:hint="eastAsia" w:ascii="宋体" w:hAnsi="宋体" w:eastAsia="宋体" w:cs="宋体"/>
          <w:color w:val="auto"/>
          <w:highlight w:val="none"/>
        </w:rPr>
      </w:pPr>
    </w:p>
    <w:p w14:paraId="0E012713">
      <w:pPr>
        <w:pStyle w:val="8"/>
        <w:ind w:firstLine="486"/>
        <w:rPr>
          <w:rFonts w:hint="eastAsia" w:ascii="宋体" w:hAnsi="宋体" w:eastAsia="宋体" w:cs="宋体"/>
          <w:color w:val="auto"/>
          <w:highlight w:val="none"/>
        </w:rPr>
      </w:pPr>
    </w:p>
    <w:p w14:paraId="352F70F8">
      <w:pPr>
        <w:pStyle w:val="8"/>
        <w:ind w:firstLine="486"/>
        <w:rPr>
          <w:rFonts w:hint="eastAsia" w:ascii="宋体" w:hAnsi="宋体" w:eastAsia="宋体" w:cs="宋体"/>
          <w:color w:val="auto"/>
          <w:highlight w:val="none"/>
        </w:rPr>
      </w:pPr>
    </w:p>
    <w:p w14:paraId="6317E531">
      <w:pPr>
        <w:pStyle w:val="3"/>
        <w:rPr>
          <w:rFonts w:hint="eastAsia" w:ascii="宋体" w:hAnsi="宋体" w:eastAsia="宋体" w:cs="宋体"/>
          <w:b w:val="0"/>
          <w:color w:val="auto"/>
          <w:sz w:val="24"/>
          <w:szCs w:val="24"/>
          <w:highlight w:val="none"/>
        </w:rPr>
      </w:pPr>
      <w:bookmarkStart w:id="471" w:name="_Toc24699"/>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附件一：</w:t>
      </w:r>
    </w:p>
    <w:p w14:paraId="7940FF7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471"/>
    </w:p>
    <w:p w14:paraId="1881A934">
      <w:pPr>
        <w:pStyle w:val="4"/>
        <w:spacing w:line="360" w:lineRule="auto"/>
        <w:rPr>
          <w:rFonts w:hint="eastAsia" w:ascii="宋体" w:hAnsi="宋体" w:eastAsia="宋体" w:cs="宋体"/>
          <w:color w:val="auto"/>
          <w:highlight w:val="none"/>
        </w:rPr>
      </w:pPr>
    </w:p>
    <w:p w14:paraId="5E325FC5">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绍兴市上虞鸿雁建设开发有限公司</w:t>
      </w:r>
      <w:r>
        <w:rPr>
          <w:rFonts w:hint="eastAsia" w:ascii="宋体" w:hAnsi="宋体" w:eastAsia="宋体" w:cs="宋体"/>
          <w:color w:val="auto"/>
          <w:sz w:val="24"/>
          <w:highlight w:val="none"/>
        </w:rPr>
        <w:t>：</w:t>
      </w:r>
    </w:p>
    <w:p w14:paraId="4439A9B1">
      <w:pPr>
        <w:spacing w:line="360" w:lineRule="auto"/>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eastAsia="zh-CN"/>
        </w:rPr>
        <w:t>浙江广正建设项目管理有限公司</w:t>
      </w:r>
      <w:r>
        <w:rPr>
          <w:rFonts w:hint="eastAsia" w:ascii="宋体" w:hAnsi="宋体" w:eastAsia="宋体" w:cs="宋体"/>
          <w:color w:val="auto"/>
          <w:sz w:val="24"/>
          <w:highlight w:val="none"/>
        </w:rPr>
        <w:t>：</w:t>
      </w:r>
    </w:p>
    <w:p w14:paraId="311838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（投标人全称）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（授权代表名称）</w:t>
      </w:r>
      <w:r>
        <w:rPr>
          <w:rFonts w:hint="eastAsia" w:ascii="宋体" w:hAnsi="宋体" w:eastAsia="宋体" w:cs="宋体"/>
          <w:color w:val="auto"/>
          <w:sz w:val="24"/>
          <w:highlight w:val="none"/>
        </w:rPr>
        <w:t>为授权代表，参加贵处组织的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u w:val="single"/>
        </w:rPr>
        <w:t>（括号内填写招标编号）</w:t>
      </w:r>
      <w:r>
        <w:rPr>
          <w:rFonts w:hint="eastAsia" w:ascii="宋体" w:hAnsi="宋体" w:eastAsia="宋体" w:cs="宋体"/>
          <w:color w:val="auto"/>
          <w:sz w:val="24"/>
          <w:highlight w:val="none"/>
        </w:rPr>
        <w:t>，授权处理招投标活动中的一切事宜。</w:t>
      </w:r>
    </w:p>
    <w:p w14:paraId="4D2325E9">
      <w:pPr>
        <w:spacing w:line="360" w:lineRule="auto"/>
        <w:ind w:firstLine="480" w:firstLineChars="200"/>
        <w:rPr>
          <w:rFonts w:hint="eastAsia" w:ascii="宋体" w:hAnsi="宋体" w:eastAsia="宋体" w:cs="宋体"/>
          <w:color w:val="auto"/>
          <w:sz w:val="24"/>
          <w:highlight w:val="none"/>
        </w:rPr>
      </w:pPr>
    </w:p>
    <w:p w14:paraId="21DE89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14:paraId="2D9794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投标人全称：（盖章）</w:t>
      </w:r>
    </w:p>
    <w:p w14:paraId="75F649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77149A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1756FD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授权代表姓名：</w:t>
      </w:r>
    </w:p>
    <w:p w14:paraId="1B047D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p w14:paraId="6761B4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02DE6D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C8AE6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D0535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4CA62787">
      <w:pPr>
        <w:pStyle w:val="9"/>
        <w:snapToGrid w:val="0"/>
        <w:spacing w:line="360" w:lineRule="auto"/>
        <w:rPr>
          <w:rFonts w:hint="eastAsia" w:ascii="宋体" w:hAnsi="宋体" w:eastAsia="宋体" w:cs="宋体"/>
          <w:color w:val="auto"/>
          <w:sz w:val="24"/>
          <w:highlight w:val="none"/>
        </w:rPr>
      </w:pPr>
    </w:p>
    <w:p w14:paraId="11002D9E">
      <w:pPr>
        <w:pStyle w:val="9"/>
        <w:snapToGrid w:val="0"/>
        <w:spacing w:line="360" w:lineRule="auto"/>
        <w:rPr>
          <w:rFonts w:hint="eastAsia" w:ascii="宋体" w:hAnsi="宋体" w:eastAsia="宋体" w:cs="宋体"/>
          <w:color w:val="auto"/>
          <w:sz w:val="24"/>
          <w:highlight w:val="none"/>
        </w:rPr>
      </w:pPr>
    </w:p>
    <w:p w14:paraId="1975C4EA">
      <w:pPr>
        <w:pStyle w:val="9"/>
        <w:snapToGrid w:val="0"/>
        <w:spacing w:line="360" w:lineRule="auto"/>
        <w:rPr>
          <w:rFonts w:hint="eastAsia" w:ascii="宋体" w:hAnsi="宋体" w:eastAsia="宋体" w:cs="宋体"/>
          <w:color w:val="auto"/>
          <w:sz w:val="24"/>
          <w:highlight w:val="none"/>
        </w:rPr>
      </w:pPr>
    </w:p>
    <w:p w14:paraId="3E00EF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附：授权代表身份证复印件（正反面）</w:t>
      </w:r>
    </w:p>
    <w:p w14:paraId="48123209">
      <w:pPr>
        <w:spacing w:line="360" w:lineRule="auto"/>
        <w:rPr>
          <w:rFonts w:hint="eastAsia" w:ascii="宋体" w:hAnsi="宋体" w:eastAsia="宋体" w:cs="宋体"/>
          <w:b/>
          <w:color w:val="auto"/>
          <w:sz w:val="24"/>
          <w:highlight w:val="none"/>
        </w:rPr>
      </w:pPr>
    </w:p>
    <w:p w14:paraId="1E829344">
      <w:pPr>
        <w:pStyle w:val="8"/>
        <w:ind w:firstLine="486"/>
        <w:rPr>
          <w:rFonts w:hint="eastAsia" w:ascii="宋体" w:hAnsi="宋体" w:eastAsia="宋体" w:cs="宋体"/>
          <w:color w:val="auto"/>
          <w:highlight w:val="none"/>
        </w:rPr>
      </w:pPr>
    </w:p>
    <w:p w14:paraId="1E1F41BF">
      <w:pPr>
        <w:snapToGrid w:val="0"/>
        <w:spacing w:before="50" w:after="156" w:afterLines="5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lang w:val="zh-CN"/>
        </w:rPr>
        <w:t>附件二：</w:t>
      </w:r>
    </w:p>
    <w:p w14:paraId="0E2982C1">
      <w:pPr>
        <w:snapToGrid w:val="0"/>
        <w:spacing w:before="50" w:after="156" w:afterLines="50"/>
        <w:jc w:val="center"/>
        <w:outlineLvl w:val="0"/>
        <w:rPr>
          <w:rFonts w:hint="eastAsia" w:ascii="宋体" w:hAnsi="宋体" w:eastAsia="宋体" w:cs="宋体"/>
          <w:b/>
          <w:color w:val="auto"/>
          <w:sz w:val="30"/>
          <w:szCs w:val="30"/>
          <w:highlight w:val="none"/>
        </w:rPr>
      </w:pPr>
      <w:bookmarkStart w:id="472" w:name="_Toc31885"/>
      <w:bookmarkStart w:id="473" w:name="_Toc12804"/>
      <w:bookmarkStart w:id="474" w:name="_Toc2268"/>
      <w:bookmarkStart w:id="475" w:name="_Toc19040"/>
      <w:bookmarkStart w:id="476" w:name="_Toc5260"/>
      <w:bookmarkStart w:id="477" w:name="_Toc19477"/>
      <w:bookmarkStart w:id="478" w:name="_Toc23223"/>
      <w:bookmarkStart w:id="479" w:name="_Toc22163"/>
      <w:bookmarkStart w:id="480" w:name="_Toc10301"/>
      <w:bookmarkStart w:id="481" w:name="_Toc23482"/>
      <w:r>
        <w:rPr>
          <w:rFonts w:hint="eastAsia" w:ascii="宋体" w:hAnsi="宋体" w:eastAsia="宋体" w:cs="宋体"/>
          <w:b/>
          <w:color w:val="auto"/>
          <w:sz w:val="30"/>
          <w:szCs w:val="30"/>
          <w:highlight w:val="none"/>
          <w:lang w:val="zh-CN"/>
        </w:rPr>
        <w:t>投 标 人 承 诺 函</w:t>
      </w:r>
      <w:bookmarkEnd w:id="472"/>
      <w:bookmarkEnd w:id="473"/>
      <w:bookmarkEnd w:id="474"/>
      <w:bookmarkEnd w:id="475"/>
      <w:bookmarkEnd w:id="476"/>
      <w:bookmarkEnd w:id="477"/>
      <w:bookmarkEnd w:id="478"/>
      <w:bookmarkEnd w:id="479"/>
      <w:bookmarkEnd w:id="480"/>
      <w:bookmarkEnd w:id="481"/>
    </w:p>
    <w:p w14:paraId="2FD93788">
      <w:pPr>
        <w:spacing w:line="360" w:lineRule="auto"/>
        <w:ind w:firstLine="400" w:firstLineChars="200"/>
        <w:rPr>
          <w:rFonts w:hint="eastAsia" w:ascii="宋体" w:hAnsi="宋体" w:eastAsia="宋体" w:cs="宋体"/>
          <w:color w:val="auto"/>
          <w:highlight w:val="none"/>
        </w:rPr>
      </w:pPr>
    </w:p>
    <w:p w14:paraId="5D2C4E78">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绍兴市上虞鸿雁建设开发有限公司</w:t>
      </w:r>
      <w:r>
        <w:rPr>
          <w:rFonts w:hint="eastAsia" w:ascii="宋体" w:hAnsi="宋体" w:eastAsia="宋体" w:cs="宋体"/>
          <w:color w:val="auto"/>
          <w:sz w:val="24"/>
          <w:highlight w:val="none"/>
        </w:rPr>
        <w:t>：</w:t>
      </w:r>
    </w:p>
    <w:p w14:paraId="1FB11363">
      <w:pPr>
        <w:spacing w:line="360" w:lineRule="auto"/>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eastAsia="zh-CN"/>
        </w:rPr>
        <w:t>浙江广正建设项目管理有限公司</w:t>
      </w:r>
      <w:r>
        <w:rPr>
          <w:rFonts w:hint="eastAsia" w:ascii="宋体" w:hAnsi="宋体" w:eastAsia="宋体" w:cs="宋体"/>
          <w:color w:val="auto"/>
          <w:sz w:val="24"/>
          <w:highlight w:val="none"/>
        </w:rPr>
        <w:t>：</w:t>
      </w:r>
    </w:p>
    <w:p w14:paraId="6D1A2E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A5AE2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的投标，为此，我方就本次投标有关事项郑重承诺如下：</w:t>
      </w:r>
    </w:p>
    <w:p w14:paraId="316F51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61940C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57F7D9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19DD30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0C3A8C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3DC734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40DA8C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305852AC">
      <w:pPr>
        <w:pStyle w:val="23"/>
        <w:spacing w:before="0"/>
        <w:ind w:firstLine="480"/>
        <w:jc w:val="left"/>
        <w:rPr>
          <w:rFonts w:hint="eastAsia" w:ascii="宋体" w:hAnsi="宋体" w:eastAsia="宋体" w:cs="宋体"/>
          <w:color w:val="auto"/>
          <w:szCs w:val="24"/>
          <w:highlight w:val="none"/>
        </w:rPr>
      </w:pPr>
      <w:r>
        <w:rPr>
          <w:rFonts w:hint="eastAsia" w:ascii="宋体" w:hAnsi="宋体" w:eastAsia="宋体" w:cs="宋体"/>
          <w:color w:val="auto"/>
          <w:highlight w:val="none"/>
        </w:rPr>
        <w:t>8、</w:t>
      </w:r>
      <w:r>
        <w:rPr>
          <w:rFonts w:hint="eastAsia" w:ascii="宋体" w:hAnsi="宋体" w:eastAsia="宋体" w:cs="宋体"/>
          <w:color w:val="auto"/>
          <w:szCs w:val="24"/>
          <w:highlight w:val="none"/>
        </w:rPr>
        <w:t>具有良好的商业信誉和健全的财务会计制度；</w:t>
      </w:r>
    </w:p>
    <w:p w14:paraId="0C35E7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9、具有依法缴纳税收和社会保障资金的良好记录；</w:t>
      </w:r>
    </w:p>
    <w:p w14:paraId="5D59B2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10、以上事项如有虚假或隐瞒，我方愿意承担一切后果，并不再寻求任何旨在减轻或免除法律责任的辩解。</w:t>
      </w:r>
    </w:p>
    <w:p w14:paraId="478DCFA2">
      <w:pPr>
        <w:spacing w:line="360" w:lineRule="auto"/>
        <w:ind w:firstLine="480" w:firstLineChars="200"/>
        <w:rPr>
          <w:rFonts w:hint="eastAsia" w:ascii="宋体" w:hAnsi="宋体" w:eastAsia="宋体" w:cs="宋体"/>
          <w:color w:val="auto"/>
          <w:sz w:val="24"/>
          <w:highlight w:val="none"/>
        </w:rPr>
      </w:pPr>
    </w:p>
    <w:p w14:paraId="61019701">
      <w:pPr>
        <w:pStyle w:val="8"/>
        <w:rPr>
          <w:rFonts w:hint="eastAsia" w:ascii="宋体" w:hAnsi="宋体" w:eastAsia="宋体" w:cs="宋体"/>
          <w:color w:val="auto"/>
          <w:highlight w:val="none"/>
        </w:rPr>
      </w:pPr>
    </w:p>
    <w:p w14:paraId="1D5171FF">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1A97495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A4D2B6A">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140D4021">
      <w:pPr>
        <w:pStyle w:val="8"/>
        <w:ind w:firstLine="566"/>
        <w:rPr>
          <w:rFonts w:hint="eastAsia" w:ascii="宋体" w:hAnsi="宋体" w:eastAsia="宋体" w:cs="宋体"/>
          <w:color w:val="auto"/>
          <w:sz w:val="28"/>
          <w:szCs w:val="28"/>
          <w:highlight w:val="none"/>
        </w:rPr>
      </w:pPr>
    </w:p>
    <w:p w14:paraId="4246C46C">
      <w:pPr>
        <w:pStyle w:val="4"/>
        <w:rPr>
          <w:rFonts w:hint="eastAsia" w:ascii="宋体" w:hAnsi="宋体" w:eastAsia="宋体" w:cs="宋体"/>
          <w:color w:val="auto"/>
          <w:highlight w:val="none"/>
        </w:rPr>
      </w:pPr>
    </w:p>
    <w:p w14:paraId="761B5D52">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技术文件</w:t>
      </w:r>
    </w:p>
    <w:p w14:paraId="3B47391F">
      <w:pPr>
        <w:spacing w:line="360" w:lineRule="auto"/>
        <w:jc w:val="center"/>
        <w:rPr>
          <w:rFonts w:hint="eastAsia" w:ascii="宋体" w:hAnsi="宋体" w:eastAsia="宋体" w:cs="宋体"/>
          <w:b/>
          <w:color w:val="auto"/>
          <w:kern w:val="0"/>
          <w:sz w:val="36"/>
          <w:szCs w:val="36"/>
          <w:highlight w:val="none"/>
        </w:rPr>
      </w:pPr>
    </w:p>
    <w:p w14:paraId="1A24D927">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93EE6CD">
      <w:pPr>
        <w:pStyle w:val="8"/>
        <w:ind w:firstLine="486"/>
        <w:rPr>
          <w:rFonts w:hint="eastAsia" w:ascii="宋体" w:hAnsi="宋体" w:eastAsia="宋体" w:cs="宋体"/>
          <w:color w:val="auto"/>
          <w:highlight w:val="none"/>
        </w:rPr>
      </w:pPr>
    </w:p>
    <w:p w14:paraId="7A00444A">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评分对应表（格式见附件，主要用于评委对应评分内容）；</w:t>
      </w:r>
    </w:p>
    <w:p w14:paraId="0D0BB096">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投标项目明细清单（格式见附件）；</w:t>
      </w:r>
    </w:p>
    <w:p w14:paraId="24D3B77E">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技术响应及建议表（格式见附件）；</w:t>
      </w:r>
    </w:p>
    <w:p w14:paraId="566D6A57">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项目运营重难点分析；</w:t>
      </w:r>
    </w:p>
    <w:p w14:paraId="3883375D">
      <w:pPr>
        <w:pStyle w:val="23"/>
        <w:numPr>
          <w:ilvl w:val="0"/>
          <w:numId w:val="65"/>
        </w:numPr>
        <w:spacing w:before="0"/>
        <w:ind w:firstLine="480"/>
        <w:rPr>
          <w:rFonts w:hint="eastAsia" w:ascii="宋体" w:hAnsi="宋体" w:eastAsia="宋体" w:cs="宋体"/>
          <w:color w:val="auto"/>
          <w:szCs w:val="24"/>
          <w:highlight w:val="none"/>
          <w:lang w:bidi="ar"/>
        </w:rPr>
      </w:pPr>
      <w:r>
        <w:rPr>
          <w:rFonts w:hint="eastAsia" w:ascii="宋体" w:hAnsi="宋体" w:eastAsia="宋体" w:cs="宋体"/>
          <w:color w:val="auto"/>
          <w:szCs w:val="24"/>
          <w:highlight w:val="none"/>
          <w:lang w:eastAsia="zh-CN" w:bidi="ar"/>
        </w:rPr>
        <w:t>社群活动</w:t>
      </w:r>
      <w:r>
        <w:rPr>
          <w:rFonts w:hint="eastAsia" w:ascii="宋体" w:hAnsi="宋体" w:eastAsia="宋体" w:cs="宋体"/>
          <w:color w:val="auto"/>
          <w:szCs w:val="24"/>
          <w:highlight w:val="none"/>
          <w:lang w:bidi="ar"/>
        </w:rPr>
        <w:t>方案</w:t>
      </w:r>
      <w:r>
        <w:rPr>
          <w:rFonts w:hint="eastAsia" w:ascii="宋体" w:hAnsi="宋体" w:eastAsia="宋体" w:cs="宋体"/>
          <w:color w:val="auto"/>
          <w:szCs w:val="24"/>
          <w:highlight w:val="none"/>
          <w:lang w:eastAsia="zh-CN" w:bidi="ar"/>
        </w:rPr>
        <w:t>；</w:t>
      </w:r>
    </w:p>
    <w:p w14:paraId="4CDA5AAE">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lang w:bidi="ar"/>
        </w:rPr>
        <w:t>运营前期介入服务实施方案；</w:t>
      </w:r>
    </w:p>
    <w:p w14:paraId="20A773AC">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运营管理实施方案</w:t>
      </w:r>
      <w:r>
        <w:rPr>
          <w:rFonts w:hint="eastAsia" w:ascii="宋体" w:hAnsi="宋体" w:eastAsia="宋体" w:cs="宋体"/>
          <w:color w:val="auto"/>
          <w:highlight w:val="none"/>
        </w:rPr>
        <w:t>；</w:t>
      </w:r>
    </w:p>
    <w:p w14:paraId="25D9F72A">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物业管理实施方案；</w:t>
      </w:r>
    </w:p>
    <w:p w14:paraId="74D7D39E">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lang w:val="en-US" w:eastAsia="zh-CN"/>
        </w:rPr>
        <w:t>人员配置</w:t>
      </w:r>
      <w:r>
        <w:rPr>
          <w:rFonts w:hint="eastAsia" w:ascii="宋体" w:hAnsi="宋体" w:eastAsia="宋体" w:cs="宋体"/>
          <w:color w:val="auto"/>
          <w:highlight w:val="none"/>
          <w:lang w:eastAsia="zh-CN"/>
        </w:rPr>
        <w:t>；</w:t>
      </w:r>
    </w:p>
    <w:p w14:paraId="7DAB9DFF">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lang w:eastAsia="zh-CN"/>
        </w:rPr>
        <w:t>数字化服务</w:t>
      </w:r>
      <w:r>
        <w:rPr>
          <w:rFonts w:hint="eastAsia" w:ascii="宋体" w:hAnsi="宋体" w:eastAsia="宋体" w:cs="宋体"/>
          <w:color w:val="auto"/>
          <w:highlight w:val="none"/>
          <w:lang w:val="en-US" w:eastAsia="zh-CN"/>
        </w:rPr>
        <w:t>演示</w:t>
      </w:r>
      <w:r>
        <w:rPr>
          <w:rFonts w:hint="eastAsia" w:ascii="宋体" w:hAnsi="宋体" w:eastAsia="宋体" w:cs="宋体"/>
          <w:color w:val="auto"/>
          <w:highlight w:val="none"/>
        </w:rPr>
        <w:t>；</w:t>
      </w:r>
    </w:p>
    <w:p w14:paraId="07411090">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eastAsia="zh-CN"/>
        </w:rPr>
        <w:t>稳定员工队伍的措施；</w:t>
      </w:r>
    </w:p>
    <w:p w14:paraId="0CA6F24F">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应急预案</w:t>
      </w:r>
      <w:r>
        <w:rPr>
          <w:rFonts w:hint="eastAsia" w:ascii="宋体" w:hAnsi="宋体" w:eastAsia="宋体" w:cs="宋体"/>
          <w:color w:val="auto"/>
          <w:szCs w:val="24"/>
          <w:highlight w:val="none"/>
          <w:lang w:eastAsia="zh-CN"/>
        </w:rPr>
        <w:t>；</w:t>
      </w:r>
    </w:p>
    <w:p w14:paraId="0840EE27">
      <w:pPr>
        <w:pStyle w:val="23"/>
        <w:numPr>
          <w:ilvl w:val="0"/>
          <w:numId w:val="65"/>
        </w:numPr>
        <w:spacing w:before="0"/>
        <w:ind w:firstLine="480"/>
        <w:rPr>
          <w:rFonts w:hint="eastAsia" w:ascii="宋体" w:hAnsi="宋体" w:eastAsia="宋体" w:cs="宋体"/>
          <w:color w:val="auto"/>
          <w:szCs w:val="24"/>
          <w:highlight w:val="none"/>
        </w:rPr>
      </w:pPr>
      <w:r>
        <w:rPr>
          <w:rFonts w:hint="eastAsia" w:ascii="宋体" w:hAnsi="宋体" w:cs="宋体"/>
          <w:color w:val="auto"/>
          <w:spacing w:val="-6"/>
          <w:sz w:val="24"/>
          <w:highlight w:val="none"/>
        </w:rPr>
        <w:t>增值服务</w:t>
      </w:r>
      <w:r>
        <w:rPr>
          <w:rFonts w:hint="eastAsia" w:ascii="宋体" w:hAnsi="宋体" w:cs="宋体"/>
          <w:color w:val="auto"/>
          <w:spacing w:val="-6"/>
          <w:sz w:val="24"/>
          <w:highlight w:val="none"/>
          <w:lang w:eastAsia="zh-CN"/>
        </w:rPr>
        <w:t>；</w:t>
      </w:r>
    </w:p>
    <w:p w14:paraId="57BE4052">
      <w:pPr>
        <w:pStyle w:val="23"/>
        <w:numPr>
          <w:ilvl w:val="0"/>
          <w:numId w:val="65"/>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投标人认为需要的其他文件资料。</w:t>
      </w:r>
    </w:p>
    <w:p w14:paraId="78166E6D">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29506A3B">
      <w:pPr>
        <w:pStyle w:val="2"/>
        <w:rPr>
          <w:rFonts w:hint="eastAsia" w:ascii="宋体" w:hAnsi="宋体" w:eastAsia="宋体" w:cs="宋体"/>
          <w:color w:val="auto"/>
          <w:highlight w:val="none"/>
        </w:rPr>
      </w:pPr>
    </w:p>
    <w:p w14:paraId="4EC45C8B">
      <w:pPr>
        <w:pStyle w:val="2"/>
        <w:rPr>
          <w:rFonts w:hint="eastAsia" w:ascii="宋体" w:hAnsi="宋体" w:eastAsia="宋体" w:cs="宋体"/>
          <w:color w:val="auto"/>
          <w:sz w:val="24"/>
          <w:highlight w:val="none"/>
        </w:rPr>
      </w:pPr>
    </w:p>
    <w:p w14:paraId="120F93E2">
      <w:pPr>
        <w:rPr>
          <w:rFonts w:hint="eastAsia" w:ascii="宋体" w:hAnsi="宋体" w:eastAsia="宋体" w:cs="宋体"/>
          <w:color w:val="auto"/>
          <w:highlight w:val="none"/>
        </w:rPr>
      </w:pPr>
    </w:p>
    <w:p w14:paraId="60410660">
      <w:pPr>
        <w:pStyle w:val="3"/>
        <w:rPr>
          <w:rFonts w:hint="eastAsia" w:ascii="宋体" w:hAnsi="宋体" w:eastAsia="宋体" w:cs="宋体"/>
          <w:color w:val="auto"/>
          <w:highlight w:val="none"/>
        </w:rPr>
      </w:pPr>
    </w:p>
    <w:p w14:paraId="28BE2F83">
      <w:pPr>
        <w:pStyle w:val="8"/>
        <w:ind w:firstLine="566"/>
        <w:rPr>
          <w:rFonts w:hint="eastAsia" w:ascii="宋体" w:hAnsi="宋体" w:eastAsia="宋体" w:cs="宋体"/>
          <w:color w:val="auto"/>
          <w:sz w:val="28"/>
          <w:szCs w:val="28"/>
          <w:highlight w:val="none"/>
        </w:rPr>
      </w:pPr>
    </w:p>
    <w:p w14:paraId="75CA9E87">
      <w:pPr>
        <w:pStyle w:val="8"/>
        <w:ind w:left="0" w:leftChars="0"/>
        <w:jc w:val="left"/>
        <w:rPr>
          <w:rFonts w:hint="eastAsia" w:ascii="宋体" w:hAnsi="宋体" w:eastAsia="宋体" w:cs="宋体"/>
          <w:b/>
          <w:bCs/>
          <w:color w:val="auto"/>
          <w:sz w:val="24"/>
          <w:highlight w:val="none"/>
          <w:lang w:val="zh-CN"/>
        </w:rPr>
      </w:pPr>
      <w:bookmarkStart w:id="482" w:name="_Toc10131"/>
      <w:r>
        <w:rPr>
          <w:rFonts w:hint="eastAsia" w:ascii="宋体" w:hAnsi="宋体" w:eastAsia="宋体" w:cs="宋体"/>
          <w:b/>
          <w:bCs/>
          <w:color w:val="auto"/>
          <w:sz w:val="24"/>
          <w:highlight w:val="none"/>
          <w:lang w:val="zh-CN"/>
        </w:rPr>
        <w:br w:type="page"/>
      </w:r>
      <w:r>
        <w:rPr>
          <w:rFonts w:hint="eastAsia" w:ascii="宋体" w:hAnsi="宋体" w:eastAsia="宋体" w:cs="宋体"/>
          <w:b/>
          <w:bCs/>
          <w:color w:val="auto"/>
          <w:sz w:val="24"/>
          <w:highlight w:val="none"/>
          <w:lang w:val="zh-CN"/>
        </w:rPr>
        <w:t>附件三：</w:t>
      </w:r>
    </w:p>
    <w:p w14:paraId="706D684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12B996A9">
      <w:pPr>
        <w:snapToGrid w:val="0"/>
        <w:spacing w:before="50"/>
        <w:jc w:val="center"/>
        <w:rPr>
          <w:rFonts w:hint="eastAsia" w:ascii="宋体" w:hAnsi="宋体" w:eastAsia="宋体" w:cs="宋体"/>
          <w:b/>
          <w:color w:val="auto"/>
          <w:sz w:val="32"/>
          <w:szCs w:val="32"/>
          <w:highlight w:val="none"/>
        </w:rPr>
      </w:pPr>
    </w:p>
    <w:p w14:paraId="35C2CF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26987F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4B070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2CE256B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569848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8AEC5D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5247F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34D7945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对应评分办法及评分标准</w:t>
            </w:r>
          </w:p>
          <w:p w14:paraId="7556E57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C47091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60F380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3E7DD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7206CDE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53FD18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7BCF13C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2D604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7282DE3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0BA463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44B893D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BD35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5CEC6A0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6B6DA25">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5482D2B2">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16993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1B526B9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9F66AAD">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2AB55DE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441E2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44EB9341">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28EBDD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175E441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52803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7286555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12A2B894">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F4CF2A6">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61E43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36016667">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B1C793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334F2114">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r w14:paraId="129AA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14:paraId="3F76BC53">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3D5B451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14:paraId="0A7BD3C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highlight w:val="none"/>
              </w:rPr>
            </w:pPr>
          </w:p>
        </w:tc>
      </w:tr>
    </w:tbl>
    <w:p w14:paraId="2E6DA86E">
      <w:pPr>
        <w:spacing w:line="360" w:lineRule="auto"/>
        <w:ind w:firstLine="480" w:firstLineChars="200"/>
        <w:rPr>
          <w:rFonts w:hint="eastAsia" w:ascii="宋体" w:hAnsi="宋体" w:eastAsia="宋体" w:cs="宋体"/>
          <w:color w:val="auto"/>
          <w:sz w:val="24"/>
          <w:highlight w:val="none"/>
        </w:rPr>
      </w:pPr>
    </w:p>
    <w:p w14:paraId="14498B81">
      <w:pPr>
        <w:spacing w:line="360" w:lineRule="auto"/>
        <w:ind w:left="3600" w:leftChars="1800" w:firstLine="480" w:firstLineChars="200"/>
        <w:rPr>
          <w:rFonts w:hint="eastAsia" w:ascii="宋体" w:hAnsi="宋体" w:eastAsia="宋体" w:cs="宋体"/>
          <w:color w:val="auto"/>
          <w:sz w:val="24"/>
          <w:highlight w:val="none"/>
        </w:rPr>
      </w:pPr>
    </w:p>
    <w:p w14:paraId="3583729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1C986588">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82641A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21189F2">
      <w:pPr>
        <w:snapToGrid w:val="0"/>
        <w:spacing w:before="50" w:after="156" w:afterLines="50"/>
        <w:jc w:val="left"/>
        <w:rPr>
          <w:rFonts w:hint="eastAsia" w:ascii="宋体" w:hAnsi="宋体" w:eastAsia="宋体" w:cs="宋体"/>
          <w:color w:val="auto"/>
          <w:sz w:val="30"/>
          <w:szCs w:val="30"/>
          <w:highlight w:val="none"/>
        </w:rPr>
      </w:pPr>
    </w:p>
    <w:bookmarkEnd w:id="482"/>
    <w:p w14:paraId="2E207260">
      <w:pPr>
        <w:snapToGrid w:val="0"/>
        <w:spacing w:before="50" w:after="156" w:afterLines="5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highlight w:val="none"/>
          <w:lang w:val="zh-CN"/>
        </w:rPr>
        <w:t>附件四：</w:t>
      </w:r>
    </w:p>
    <w:p w14:paraId="60BEA29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3729C0AE">
      <w:pPr>
        <w:spacing w:line="360" w:lineRule="auto"/>
        <w:ind w:firstLine="480" w:firstLineChars="200"/>
        <w:rPr>
          <w:rFonts w:hint="eastAsia" w:ascii="宋体" w:hAnsi="宋体" w:eastAsia="宋体" w:cs="宋体"/>
          <w:color w:val="auto"/>
          <w:sz w:val="24"/>
          <w:highlight w:val="none"/>
        </w:rPr>
      </w:pPr>
    </w:p>
    <w:p w14:paraId="54F7BF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7D0281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938C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58A882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94275D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F8174F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BDE302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工作量</w:t>
            </w:r>
          </w:p>
        </w:tc>
      </w:tr>
      <w:tr w14:paraId="33F66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9188FE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678EC0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A45A232">
            <w:pPr>
              <w:keepNext w:val="0"/>
              <w:keepLines w:val="0"/>
              <w:suppressLineNumbers w:val="0"/>
              <w:snapToGrid w:val="0"/>
              <w:spacing w:before="50" w:beforeAutospacing="0" w:after="50" w:afterAutospacing="0"/>
              <w:ind w:left="480" w:right="0" w:hanging="480"/>
              <w:jc w:val="center"/>
              <w:rPr>
                <w:rFonts w:hint="eastAsia" w:ascii="宋体" w:hAnsi="宋体" w:eastAsia="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159870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45CE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02BDA7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2F5B2D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006C097">
            <w:pPr>
              <w:keepNext w:val="0"/>
              <w:keepLines w:val="0"/>
              <w:suppressLineNumbers w:val="0"/>
              <w:snapToGrid w:val="0"/>
              <w:spacing w:before="50" w:beforeAutospacing="0" w:after="50" w:afterAutospacing="0"/>
              <w:ind w:left="480" w:right="0" w:hanging="480"/>
              <w:jc w:val="center"/>
              <w:rPr>
                <w:rFonts w:hint="eastAsia" w:ascii="宋体" w:hAnsi="宋体" w:eastAsia="宋体" w:cs="宋体"/>
                <w:color w:val="auto"/>
                <w:sz w:val="24"/>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3D225D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bl>
    <w:p w14:paraId="1B508277">
      <w:pPr>
        <w:snapToGrid w:val="0"/>
        <w:spacing w:before="156"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注：在填写时，如上表不适合本项目的实际情况，可在确保投标明细内容完整的情况下，根据上表格式自行划表填写。</w:t>
      </w:r>
    </w:p>
    <w:p w14:paraId="1A40AF9A">
      <w:pPr>
        <w:pStyle w:val="8"/>
        <w:rPr>
          <w:rFonts w:hint="eastAsia" w:ascii="宋体" w:hAnsi="宋体" w:eastAsia="宋体" w:cs="宋体"/>
          <w:color w:val="auto"/>
          <w:sz w:val="24"/>
          <w:highlight w:val="none"/>
        </w:rPr>
      </w:pPr>
    </w:p>
    <w:p w14:paraId="366BB70D">
      <w:pPr>
        <w:pStyle w:val="8"/>
        <w:rPr>
          <w:rFonts w:hint="eastAsia" w:ascii="宋体" w:hAnsi="宋体" w:eastAsia="宋体" w:cs="宋体"/>
          <w:color w:val="auto"/>
          <w:sz w:val="24"/>
          <w:highlight w:val="none"/>
        </w:rPr>
      </w:pPr>
    </w:p>
    <w:p w14:paraId="1188D976">
      <w:pPr>
        <w:pStyle w:val="8"/>
        <w:rPr>
          <w:rFonts w:hint="eastAsia" w:ascii="宋体" w:hAnsi="宋体" w:eastAsia="宋体" w:cs="宋体"/>
          <w:color w:val="auto"/>
          <w:sz w:val="24"/>
          <w:highlight w:val="none"/>
        </w:rPr>
      </w:pPr>
    </w:p>
    <w:p w14:paraId="2F82D38F">
      <w:pPr>
        <w:snapToGrid w:val="0"/>
        <w:spacing w:before="156" w:beforeLines="50"/>
        <w:rPr>
          <w:rFonts w:hint="eastAsia" w:ascii="宋体" w:hAnsi="宋体" w:eastAsia="宋体" w:cs="宋体"/>
          <w:color w:val="auto"/>
          <w:sz w:val="24"/>
          <w:highlight w:val="none"/>
        </w:rPr>
      </w:pPr>
    </w:p>
    <w:p w14:paraId="65C6245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7680217A">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7A66020">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273B986C">
      <w:pPr>
        <w:snapToGrid w:val="0"/>
        <w:spacing w:before="50" w:after="50"/>
        <w:rPr>
          <w:rFonts w:hint="eastAsia" w:ascii="宋体" w:hAnsi="宋体" w:eastAsia="宋体" w:cs="宋体"/>
          <w:color w:val="auto"/>
          <w:spacing w:val="20"/>
          <w:sz w:val="24"/>
          <w:highlight w:val="none"/>
        </w:rPr>
      </w:pPr>
    </w:p>
    <w:p w14:paraId="78746D9A">
      <w:pPr>
        <w:snapToGrid w:val="0"/>
        <w:spacing w:before="50" w:after="50"/>
        <w:rPr>
          <w:rFonts w:hint="eastAsia" w:ascii="宋体" w:hAnsi="宋体" w:eastAsia="宋体" w:cs="宋体"/>
          <w:color w:val="auto"/>
          <w:spacing w:val="20"/>
          <w:sz w:val="30"/>
          <w:szCs w:val="30"/>
          <w:highlight w:val="none"/>
        </w:rPr>
      </w:pPr>
    </w:p>
    <w:p w14:paraId="3349B472">
      <w:pPr>
        <w:pStyle w:val="8"/>
        <w:ind w:firstLine="686"/>
        <w:rPr>
          <w:rFonts w:hint="eastAsia" w:ascii="宋体" w:hAnsi="宋体" w:eastAsia="宋体" w:cs="宋体"/>
          <w:color w:val="auto"/>
          <w:spacing w:val="20"/>
          <w:sz w:val="30"/>
          <w:szCs w:val="30"/>
          <w:highlight w:val="none"/>
        </w:rPr>
      </w:pPr>
    </w:p>
    <w:p w14:paraId="5E13A435">
      <w:pPr>
        <w:pStyle w:val="8"/>
        <w:ind w:firstLine="686"/>
        <w:rPr>
          <w:rFonts w:hint="eastAsia" w:ascii="宋体" w:hAnsi="宋体" w:eastAsia="宋体" w:cs="宋体"/>
          <w:color w:val="auto"/>
          <w:spacing w:val="20"/>
          <w:sz w:val="30"/>
          <w:szCs w:val="30"/>
          <w:highlight w:val="none"/>
        </w:rPr>
      </w:pPr>
    </w:p>
    <w:p w14:paraId="0D0C64E0">
      <w:pPr>
        <w:pStyle w:val="8"/>
        <w:ind w:firstLine="686"/>
        <w:rPr>
          <w:rFonts w:hint="eastAsia" w:ascii="宋体" w:hAnsi="宋体" w:eastAsia="宋体" w:cs="宋体"/>
          <w:color w:val="auto"/>
          <w:spacing w:val="20"/>
          <w:sz w:val="30"/>
          <w:szCs w:val="30"/>
          <w:highlight w:val="none"/>
        </w:rPr>
      </w:pPr>
    </w:p>
    <w:p w14:paraId="57FDFD73">
      <w:pPr>
        <w:pStyle w:val="8"/>
        <w:ind w:firstLine="686"/>
        <w:rPr>
          <w:rFonts w:hint="eastAsia" w:ascii="宋体" w:hAnsi="宋体" w:eastAsia="宋体" w:cs="宋体"/>
          <w:color w:val="auto"/>
          <w:spacing w:val="20"/>
          <w:sz w:val="30"/>
          <w:szCs w:val="30"/>
          <w:highlight w:val="none"/>
        </w:rPr>
      </w:pPr>
    </w:p>
    <w:p w14:paraId="37D534EE">
      <w:pPr>
        <w:pStyle w:val="3"/>
        <w:rPr>
          <w:rFonts w:hint="eastAsia" w:ascii="宋体" w:hAnsi="宋体" w:eastAsia="宋体" w:cs="宋体"/>
          <w:bCs/>
          <w:color w:val="auto"/>
          <w:sz w:val="24"/>
          <w:szCs w:val="24"/>
          <w:highlight w:val="none"/>
        </w:rPr>
      </w:pPr>
      <w:bookmarkStart w:id="483" w:name="_Toc2823"/>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附件五：</w:t>
      </w:r>
    </w:p>
    <w:p w14:paraId="2FEF521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483"/>
    </w:p>
    <w:p w14:paraId="6CF240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D90A4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05192A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2D21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7792B7C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40" w:type="dxa"/>
            <w:noWrap w:val="0"/>
            <w:vAlign w:val="center"/>
          </w:tcPr>
          <w:p w14:paraId="44E182D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80" w:type="dxa"/>
            <w:noWrap w:val="0"/>
            <w:vAlign w:val="center"/>
          </w:tcPr>
          <w:p w14:paraId="71D8DAD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520" w:type="dxa"/>
            <w:noWrap w:val="0"/>
            <w:vAlign w:val="center"/>
          </w:tcPr>
          <w:p w14:paraId="7750D73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投标文件响应</w:t>
            </w:r>
          </w:p>
        </w:tc>
        <w:tc>
          <w:tcPr>
            <w:tcW w:w="1953" w:type="dxa"/>
            <w:noWrap w:val="0"/>
            <w:vAlign w:val="center"/>
          </w:tcPr>
          <w:p w14:paraId="6555265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r>
      <w:tr w14:paraId="1DDB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2F8B3FC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176FAE1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4701B5A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0AF5139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38D7391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007C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07B70D0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0858FEB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341D01C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07AAD46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775B938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7739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315EC72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17E9043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493B56B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7C4E17F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255D355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74CA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3878A04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1410703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57DE6AE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1861F35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051A7FC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3F48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4CE031A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440" w:type="dxa"/>
            <w:noWrap w:val="0"/>
            <w:vAlign w:val="center"/>
          </w:tcPr>
          <w:p w14:paraId="17843B57">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80" w:type="dxa"/>
            <w:noWrap w:val="0"/>
            <w:vAlign w:val="center"/>
          </w:tcPr>
          <w:p w14:paraId="758E763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2520" w:type="dxa"/>
            <w:noWrap w:val="0"/>
            <w:vAlign w:val="center"/>
          </w:tcPr>
          <w:p w14:paraId="5622611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953" w:type="dxa"/>
            <w:noWrap w:val="0"/>
            <w:vAlign w:val="center"/>
          </w:tcPr>
          <w:p w14:paraId="3907A6D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01BC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0"/>
            <w:vAlign w:val="center"/>
          </w:tcPr>
          <w:p w14:paraId="2FC10CC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投标建议</w:t>
            </w:r>
          </w:p>
        </w:tc>
        <w:tc>
          <w:tcPr>
            <w:tcW w:w="6453" w:type="dxa"/>
            <w:gridSpan w:val="3"/>
            <w:noWrap w:val="0"/>
            <w:vAlign w:val="center"/>
          </w:tcPr>
          <w:p w14:paraId="58B3A1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57488957">
      <w:pPr>
        <w:snapToGrid w:val="0"/>
        <w:spacing w:line="360" w:lineRule="auto"/>
        <w:rPr>
          <w:rFonts w:hint="eastAsia" w:ascii="宋体" w:hAnsi="宋体" w:eastAsia="宋体" w:cs="宋体"/>
          <w:color w:val="auto"/>
          <w:sz w:val="24"/>
          <w:highlight w:val="none"/>
        </w:rPr>
      </w:pPr>
    </w:p>
    <w:p w14:paraId="41C6E3D6">
      <w:pPr>
        <w:pStyle w:val="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注：名称可基于项目清单根据投标人实际情况调整。</w:t>
      </w:r>
    </w:p>
    <w:p w14:paraId="29F6F1DB">
      <w:pPr>
        <w:rPr>
          <w:rFonts w:hint="eastAsia" w:ascii="宋体" w:hAnsi="宋体" w:eastAsia="宋体" w:cs="宋体"/>
          <w:color w:val="auto"/>
          <w:sz w:val="24"/>
          <w:highlight w:val="none"/>
        </w:rPr>
      </w:pPr>
    </w:p>
    <w:p w14:paraId="4CCBFF96">
      <w:pPr>
        <w:pStyle w:val="8"/>
        <w:rPr>
          <w:rFonts w:hint="eastAsia" w:ascii="宋体" w:hAnsi="宋体" w:eastAsia="宋体" w:cs="宋体"/>
          <w:color w:val="auto"/>
          <w:highlight w:val="none"/>
        </w:rPr>
      </w:pPr>
    </w:p>
    <w:p w14:paraId="1FD65B1B">
      <w:pPr>
        <w:snapToGrid w:val="0"/>
        <w:spacing w:line="360" w:lineRule="auto"/>
        <w:rPr>
          <w:rFonts w:hint="eastAsia" w:ascii="宋体" w:hAnsi="宋体" w:eastAsia="宋体" w:cs="宋体"/>
          <w:color w:val="auto"/>
          <w:sz w:val="24"/>
          <w:highlight w:val="none"/>
        </w:rPr>
      </w:pPr>
    </w:p>
    <w:p w14:paraId="1E05E559">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5450481B">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DD7E794">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5D750E23">
      <w:pPr>
        <w:pStyle w:val="3"/>
        <w:spacing w:line="360" w:lineRule="auto"/>
        <w:jc w:val="center"/>
        <w:rPr>
          <w:rFonts w:hint="eastAsia" w:ascii="宋体" w:hAnsi="宋体" w:eastAsia="宋体" w:cs="宋体"/>
          <w:color w:val="auto"/>
          <w:sz w:val="36"/>
          <w:szCs w:val="22"/>
          <w:highlight w:val="none"/>
        </w:rPr>
      </w:pPr>
    </w:p>
    <w:p w14:paraId="2B9F2166">
      <w:pPr>
        <w:pStyle w:val="3"/>
        <w:spacing w:line="360" w:lineRule="auto"/>
        <w:jc w:val="center"/>
        <w:rPr>
          <w:rFonts w:hint="eastAsia" w:ascii="宋体" w:hAnsi="宋体" w:eastAsia="宋体" w:cs="宋体"/>
          <w:color w:val="auto"/>
          <w:sz w:val="36"/>
          <w:szCs w:val="22"/>
          <w:highlight w:val="none"/>
        </w:rPr>
      </w:pPr>
    </w:p>
    <w:p w14:paraId="6D65C053">
      <w:pPr>
        <w:pStyle w:val="3"/>
        <w:spacing w:line="360" w:lineRule="auto"/>
        <w:jc w:val="center"/>
        <w:rPr>
          <w:rFonts w:hint="eastAsia" w:ascii="宋体" w:hAnsi="宋体" w:eastAsia="宋体" w:cs="宋体"/>
          <w:color w:val="auto"/>
          <w:sz w:val="36"/>
          <w:szCs w:val="22"/>
          <w:highlight w:val="none"/>
        </w:rPr>
      </w:pPr>
      <w:r>
        <w:rPr>
          <w:rFonts w:hint="eastAsia" w:ascii="宋体" w:hAnsi="宋体" w:eastAsia="宋体" w:cs="宋体"/>
          <w:color w:val="auto"/>
          <w:sz w:val="36"/>
          <w:szCs w:val="22"/>
          <w:highlight w:val="none"/>
        </w:rPr>
        <w:t>商务文件</w:t>
      </w:r>
    </w:p>
    <w:p w14:paraId="5342EFAB">
      <w:pPr>
        <w:spacing w:line="360" w:lineRule="auto"/>
        <w:jc w:val="center"/>
        <w:rPr>
          <w:rFonts w:hint="eastAsia" w:ascii="宋体" w:hAnsi="宋体" w:eastAsia="宋体" w:cs="宋体"/>
          <w:b/>
          <w:color w:val="auto"/>
          <w:sz w:val="36"/>
          <w:szCs w:val="36"/>
          <w:highlight w:val="none"/>
        </w:rPr>
      </w:pPr>
    </w:p>
    <w:p w14:paraId="2B517FB9">
      <w:pPr>
        <w:pStyle w:val="23"/>
        <w:spacing w:before="0"/>
        <w:ind w:left="400" w:leftChars="20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目录</w:t>
      </w:r>
    </w:p>
    <w:p w14:paraId="39FEA671">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供应商商务技术文件中资信分自评表（格式见附件）；</w:t>
      </w:r>
    </w:p>
    <w:p w14:paraId="0EBDB3E9">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商务响应表（格式见附件）；</w:t>
      </w:r>
    </w:p>
    <w:p w14:paraId="70B555EC">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业绩；</w:t>
      </w:r>
    </w:p>
    <w:p w14:paraId="473908CC">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荣誉</w:t>
      </w:r>
      <w:r>
        <w:rPr>
          <w:rFonts w:hint="eastAsia" w:ascii="宋体" w:hAnsi="宋体" w:eastAsia="宋体" w:cs="宋体"/>
          <w:color w:val="auto"/>
          <w:highlight w:val="none"/>
        </w:rPr>
        <w:t>；</w:t>
      </w:r>
    </w:p>
    <w:p w14:paraId="07673268">
      <w:pPr>
        <w:pStyle w:val="23"/>
        <w:numPr>
          <w:ilvl w:val="0"/>
          <w:numId w:val="66"/>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投标人认为需要的其他文件资料。</w:t>
      </w:r>
    </w:p>
    <w:p w14:paraId="4F3BC39F">
      <w:pPr>
        <w:pStyle w:val="23"/>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71D90444">
      <w:pPr>
        <w:pStyle w:val="4"/>
        <w:rPr>
          <w:rFonts w:hint="eastAsia" w:ascii="宋体" w:hAnsi="宋体" w:eastAsia="宋体" w:cs="宋体"/>
          <w:bCs/>
          <w:color w:val="auto"/>
          <w:sz w:val="24"/>
          <w:szCs w:val="24"/>
          <w:highlight w:val="none"/>
        </w:rPr>
      </w:pPr>
    </w:p>
    <w:p w14:paraId="76975EFA">
      <w:pPr>
        <w:rPr>
          <w:rFonts w:hint="eastAsia" w:ascii="宋体" w:hAnsi="宋体" w:eastAsia="宋体" w:cs="宋体"/>
          <w:bCs/>
          <w:color w:val="auto"/>
          <w:sz w:val="24"/>
          <w:highlight w:val="none"/>
        </w:rPr>
      </w:pPr>
    </w:p>
    <w:p w14:paraId="03CCC52E">
      <w:pPr>
        <w:pStyle w:val="17"/>
        <w:ind w:firstLine="240"/>
        <w:rPr>
          <w:rFonts w:hint="eastAsia" w:ascii="宋体" w:hAnsi="宋体" w:eastAsia="宋体" w:cs="宋体"/>
          <w:bCs/>
          <w:color w:val="auto"/>
          <w:szCs w:val="24"/>
          <w:highlight w:val="none"/>
          <w:lang w:eastAsia="zh-CN"/>
        </w:rPr>
      </w:pPr>
    </w:p>
    <w:p w14:paraId="60D8B896">
      <w:pPr>
        <w:pStyle w:val="14"/>
        <w:rPr>
          <w:rFonts w:hint="eastAsia" w:ascii="宋体" w:hAnsi="宋体" w:eastAsia="宋体" w:cs="宋体"/>
          <w:bCs/>
          <w:color w:val="auto"/>
          <w:sz w:val="24"/>
          <w:highlight w:val="none"/>
        </w:rPr>
      </w:pPr>
    </w:p>
    <w:p w14:paraId="32EA6140">
      <w:pPr>
        <w:rPr>
          <w:rFonts w:hint="eastAsia" w:ascii="宋体" w:hAnsi="宋体" w:eastAsia="宋体" w:cs="宋体"/>
          <w:bCs/>
          <w:color w:val="auto"/>
          <w:sz w:val="24"/>
          <w:highlight w:val="none"/>
        </w:rPr>
      </w:pPr>
    </w:p>
    <w:p w14:paraId="2589A939">
      <w:pPr>
        <w:pStyle w:val="17"/>
        <w:ind w:firstLine="240"/>
        <w:rPr>
          <w:rFonts w:hint="eastAsia" w:ascii="宋体" w:hAnsi="宋体" w:eastAsia="宋体" w:cs="宋体"/>
          <w:bCs/>
          <w:color w:val="auto"/>
          <w:szCs w:val="24"/>
          <w:highlight w:val="none"/>
          <w:lang w:eastAsia="zh-CN"/>
        </w:rPr>
      </w:pPr>
    </w:p>
    <w:p w14:paraId="0D5ABEDD">
      <w:pPr>
        <w:pStyle w:val="14"/>
        <w:rPr>
          <w:rFonts w:hint="eastAsia" w:ascii="宋体" w:hAnsi="宋体" w:eastAsia="宋体" w:cs="宋体"/>
          <w:bCs/>
          <w:color w:val="auto"/>
          <w:sz w:val="24"/>
          <w:highlight w:val="none"/>
        </w:rPr>
      </w:pPr>
    </w:p>
    <w:p w14:paraId="1B1AFE98">
      <w:pPr>
        <w:rPr>
          <w:rFonts w:hint="eastAsia" w:ascii="宋体" w:hAnsi="宋体" w:eastAsia="宋体" w:cs="宋体"/>
          <w:bCs/>
          <w:color w:val="auto"/>
          <w:sz w:val="24"/>
          <w:highlight w:val="none"/>
        </w:rPr>
      </w:pPr>
    </w:p>
    <w:p w14:paraId="22F2CA05">
      <w:pPr>
        <w:pStyle w:val="17"/>
        <w:ind w:firstLine="240"/>
        <w:rPr>
          <w:rFonts w:hint="eastAsia" w:ascii="宋体" w:hAnsi="宋体" w:eastAsia="宋体" w:cs="宋体"/>
          <w:bCs/>
          <w:color w:val="auto"/>
          <w:szCs w:val="24"/>
          <w:highlight w:val="none"/>
          <w:lang w:eastAsia="zh-CN"/>
        </w:rPr>
      </w:pPr>
    </w:p>
    <w:p w14:paraId="73403493">
      <w:pPr>
        <w:pStyle w:val="14"/>
        <w:rPr>
          <w:rFonts w:hint="eastAsia" w:ascii="宋体" w:hAnsi="宋体" w:eastAsia="宋体" w:cs="宋体"/>
          <w:bCs/>
          <w:color w:val="auto"/>
          <w:sz w:val="24"/>
          <w:highlight w:val="none"/>
        </w:rPr>
      </w:pPr>
    </w:p>
    <w:p w14:paraId="175B4CDF">
      <w:pPr>
        <w:rPr>
          <w:rFonts w:hint="eastAsia" w:ascii="宋体" w:hAnsi="宋体" w:eastAsia="宋体" w:cs="宋体"/>
          <w:bCs/>
          <w:color w:val="auto"/>
          <w:sz w:val="24"/>
          <w:highlight w:val="none"/>
        </w:rPr>
      </w:pPr>
    </w:p>
    <w:p w14:paraId="6C6F16A7">
      <w:pPr>
        <w:pStyle w:val="17"/>
        <w:ind w:firstLine="240"/>
        <w:rPr>
          <w:rFonts w:hint="eastAsia" w:ascii="宋体" w:hAnsi="宋体" w:eastAsia="宋体" w:cs="宋体"/>
          <w:bCs/>
          <w:color w:val="auto"/>
          <w:szCs w:val="24"/>
          <w:highlight w:val="none"/>
          <w:lang w:eastAsia="zh-CN"/>
        </w:rPr>
      </w:pPr>
    </w:p>
    <w:p w14:paraId="3638ABCA">
      <w:pPr>
        <w:pStyle w:val="14"/>
        <w:rPr>
          <w:rFonts w:hint="eastAsia" w:ascii="宋体" w:hAnsi="宋体" w:eastAsia="宋体" w:cs="宋体"/>
          <w:bCs/>
          <w:color w:val="auto"/>
          <w:sz w:val="24"/>
          <w:highlight w:val="none"/>
        </w:rPr>
      </w:pPr>
    </w:p>
    <w:p w14:paraId="6A4A0AF1">
      <w:pPr>
        <w:rPr>
          <w:rFonts w:hint="eastAsia" w:ascii="宋体" w:hAnsi="宋体" w:eastAsia="宋体" w:cs="宋体"/>
          <w:color w:val="auto"/>
          <w:highlight w:val="none"/>
        </w:rPr>
      </w:pPr>
    </w:p>
    <w:p w14:paraId="7286FC68">
      <w:pPr>
        <w:pStyle w:val="14"/>
        <w:rPr>
          <w:rFonts w:hint="eastAsia" w:ascii="宋体" w:hAnsi="宋体" w:eastAsia="宋体" w:cs="宋体"/>
          <w:bCs/>
          <w:color w:val="auto"/>
          <w:sz w:val="24"/>
          <w:highlight w:val="none"/>
        </w:rPr>
      </w:pPr>
    </w:p>
    <w:p w14:paraId="7A550BE0">
      <w:pPr>
        <w:rPr>
          <w:rFonts w:hint="eastAsia" w:ascii="宋体" w:hAnsi="宋体" w:eastAsia="宋体" w:cs="宋体"/>
          <w:bCs/>
          <w:color w:val="auto"/>
          <w:sz w:val="24"/>
          <w:highlight w:val="none"/>
        </w:rPr>
      </w:pPr>
    </w:p>
    <w:p w14:paraId="427A204C">
      <w:pPr>
        <w:pStyle w:val="17"/>
        <w:ind w:firstLine="240"/>
        <w:rPr>
          <w:rFonts w:hint="eastAsia" w:ascii="宋体" w:hAnsi="宋体" w:eastAsia="宋体" w:cs="宋体"/>
          <w:color w:val="auto"/>
          <w:highlight w:val="none"/>
          <w:lang w:eastAsia="zh-CN"/>
        </w:rPr>
      </w:pPr>
    </w:p>
    <w:p w14:paraId="52BDDCF3">
      <w:pPr>
        <w:pStyle w:val="4"/>
        <w:rPr>
          <w:rFonts w:hint="eastAsia" w:ascii="宋体" w:hAnsi="宋体" w:eastAsia="宋体" w:cs="宋体"/>
          <w:color w:val="auto"/>
          <w:highlight w:val="none"/>
        </w:rPr>
      </w:pPr>
    </w:p>
    <w:p w14:paraId="2E33C21C">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附件六：</w:t>
      </w:r>
    </w:p>
    <w:p w14:paraId="5BEF8F4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投标人商务技术文件中资信分自评表</w:t>
      </w:r>
    </w:p>
    <w:p w14:paraId="3B027D06">
      <w:pPr>
        <w:snapToGrid w:val="0"/>
        <w:spacing w:before="50"/>
        <w:jc w:val="center"/>
        <w:rPr>
          <w:rFonts w:hint="eastAsia" w:ascii="宋体" w:hAnsi="宋体" w:eastAsia="宋体" w:cs="宋体"/>
          <w:b/>
          <w:color w:val="auto"/>
          <w:sz w:val="32"/>
          <w:szCs w:val="32"/>
          <w:highlight w:val="none"/>
        </w:rPr>
      </w:pPr>
    </w:p>
    <w:p w14:paraId="5B9A42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4D304D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57C9B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764B7F0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87" w:type="dxa"/>
            <w:noWrap w:val="0"/>
            <w:vAlign w:val="center"/>
          </w:tcPr>
          <w:p w14:paraId="7C17467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资信分内容</w:t>
            </w:r>
          </w:p>
        </w:tc>
        <w:tc>
          <w:tcPr>
            <w:tcW w:w="1462" w:type="dxa"/>
            <w:noWrap w:val="0"/>
            <w:vAlign w:val="center"/>
          </w:tcPr>
          <w:p w14:paraId="0DEB78A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自评得分</w:t>
            </w:r>
          </w:p>
        </w:tc>
        <w:tc>
          <w:tcPr>
            <w:tcW w:w="2415" w:type="dxa"/>
            <w:tcBorders>
              <w:right w:val="single" w:color="auto" w:sz="4" w:space="0"/>
            </w:tcBorders>
            <w:noWrap w:val="0"/>
            <w:vAlign w:val="center"/>
          </w:tcPr>
          <w:p w14:paraId="4166B51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1746" w:type="dxa"/>
            <w:tcBorders>
              <w:left w:val="single" w:color="auto" w:sz="4" w:space="0"/>
            </w:tcBorders>
            <w:noWrap w:val="0"/>
            <w:vAlign w:val="center"/>
          </w:tcPr>
          <w:p w14:paraId="263B187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1DFCD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562BBF1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87" w:type="dxa"/>
            <w:noWrap w:val="0"/>
            <w:vAlign w:val="top"/>
          </w:tcPr>
          <w:p w14:paraId="0CB3F35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430C56F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7195280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4FECAA9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2F686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7EC173C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87" w:type="dxa"/>
            <w:noWrap w:val="0"/>
            <w:vAlign w:val="top"/>
          </w:tcPr>
          <w:p w14:paraId="3D391EC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743041B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02274CA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710D0A1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2B2E1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4A3C353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87" w:type="dxa"/>
            <w:noWrap w:val="0"/>
            <w:vAlign w:val="top"/>
          </w:tcPr>
          <w:p w14:paraId="39A83F3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08448E3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2B21173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4A248C2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4E7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07D88C1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387" w:type="dxa"/>
            <w:noWrap w:val="0"/>
            <w:vAlign w:val="top"/>
          </w:tcPr>
          <w:p w14:paraId="13D7600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37C6024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3C6A7CE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7374681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6A49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3B55A2A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387" w:type="dxa"/>
            <w:noWrap w:val="0"/>
            <w:vAlign w:val="top"/>
          </w:tcPr>
          <w:p w14:paraId="28CF2F1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28AF9C2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4F302AA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222818E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167F7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49FA104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387" w:type="dxa"/>
            <w:noWrap w:val="0"/>
            <w:vAlign w:val="top"/>
          </w:tcPr>
          <w:p w14:paraId="56D11D9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5E1B049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0EFECCA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2FD3BF6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7868F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3B1435A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387" w:type="dxa"/>
            <w:noWrap w:val="0"/>
            <w:vAlign w:val="top"/>
          </w:tcPr>
          <w:p w14:paraId="7F0DBBC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613E2DE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181B471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67FEEED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1CA2B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5082E6F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387" w:type="dxa"/>
            <w:noWrap w:val="0"/>
            <w:vAlign w:val="top"/>
          </w:tcPr>
          <w:p w14:paraId="7E5E915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75263BD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0C3931A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7C394B9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4AB24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14:paraId="5122A3F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2387" w:type="dxa"/>
            <w:noWrap w:val="0"/>
            <w:vAlign w:val="top"/>
          </w:tcPr>
          <w:p w14:paraId="4DAEA13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62" w:type="dxa"/>
            <w:noWrap w:val="0"/>
            <w:vAlign w:val="top"/>
          </w:tcPr>
          <w:p w14:paraId="57D36D8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415" w:type="dxa"/>
            <w:tcBorders>
              <w:right w:val="single" w:color="auto" w:sz="4" w:space="0"/>
            </w:tcBorders>
            <w:noWrap w:val="0"/>
            <w:vAlign w:val="top"/>
          </w:tcPr>
          <w:p w14:paraId="35B433E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46" w:type="dxa"/>
            <w:tcBorders>
              <w:left w:val="single" w:color="auto" w:sz="4" w:space="0"/>
            </w:tcBorders>
            <w:noWrap w:val="0"/>
            <w:vAlign w:val="top"/>
          </w:tcPr>
          <w:p w14:paraId="0BF2D1E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14:paraId="5B642183">
      <w:pPr>
        <w:spacing w:line="360" w:lineRule="auto"/>
        <w:ind w:firstLine="480" w:firstLineChars="200"/>
        <w:rPr>
          <w:rFonts w:hint="eastAsia" w:ascii="宋体" w:hAnsi="宋体" w:eastAsia="宋体" w:cs="宋体"/>
          <w:color w:val="auto"/>
          <w:sz w:val="24"/>
          <w:highlight w:val="none"/>
        </w:rPr>
      </w:pPr>
    </w:p>
    <w:p w14:paraId="4DE1FA90">
      <w:pPr>
        <w:spacing w:line="360" w:lineRule="auto"/>
        <w:ind w:left="3600" w:leftChars="1800" w:firstLine="480" w:firstLineChars="200"/>
        <w:rPr>
          <w:rFonts w:hint="eastAsia" w:ascii="宋体" w:hAnsi="宋体" w:eastAsia="宋体" w:cs="宋体"/>
          <w:color w:val="auto"/>
          <w:sz w:val="24"/>
          <w:highlight w:val="none"/>
        </w:rPr>
      </w:pPr>
    </w:p>
    <w:p w14:paraId="6631F05E">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0608C0B2">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C95CEF5">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366E62DD">
      <w:pPr>
        <w:pStyle w:val="8"/>
        <w:ind w:firstLine="566"/>
        <w:rPr>
          <w:rFonts w:hint="eastAsia" w:ascii="宋体" w:hAnsi="宋体" w:eastAsia="宋体" w:cs="宋体"/>
          <w:color w:val="auto"/>
          <w:sz w:val="28"/>
          <w:szCs w:val="28"/>
          <w:highlight w:val="none"/>
        </w:rPr>
      </w:pPr>
    </w:p>
    <w:p w14:paraId="3AC68F7E">
      <w:pPr>
        <w:pStyle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附件七：</w:t>
      </w:r>
    </w:p>
    <w:p w14:paraId="5071525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693815B1">
      <w:pPr>
        <w:snapToGrid w:val="0"/>
        <w:spacing w:before="50"/>
        <w:jc w:val="center"/>
        <w:rPr>
          <w:rFonts w:hint="eastAsia" w:ascii="宋体" w:hAnsi="宋体" w:eastAsia="宋体" w:cs="宋体"/>
          <w:b/>
          <w:color w:val="auto"/>
          <w:sz w:val="32"/>
          <w:szCs w:val="32"/>
          <w:highlight w:val="none"/>
        </w:rPr>
      </w:pPr>
    </w:p>
    <w:p w14:paraId="44563A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1A9CD3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8B55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449DD2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BB5FA7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3F5E1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w:t>
            </w:r>
          </w:p>
          <w:p w14:paraId="75D6DA7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892CDC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14:paraId="45851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F684FB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7175F99">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50E8B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06F93A3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3357E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C0D337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CF1AC8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6498F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1E56A2B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6B7FF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608B1C2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8790EF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3156D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5CF9511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72C46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1682F5C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97D87C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205AE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49CE2D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2A361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2730A27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0ADEF0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EE2ED5">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6C80D4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6AD35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3C4B2AE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9BBC06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795E6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65E3F61">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217E3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68C1983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72BB3E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CBB4B3">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0A89F96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0F5EC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6E5B027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E0BA91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7A411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3A4F23DB">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7B2B6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1F0D0E6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ACDD98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9F80DC">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10B3A26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35BF0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552A4881">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097B9B78">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B8CF5F">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71D27FB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r w14:paraId="6DC04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14:paraId="20AE458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E23E2D6">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3B5380A">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20304D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p>
        </w:tc>
      </w:tr>
    </w:tbl>
    <w:p w14:paraId="41BBB34E">
      <w:pPr>
        <w:spacing w:line="360" w:lineRule="auto"/>
        <w:ind w:left="3600" w:leftChars="1800" w:firstLine="480" w:firstLineChars="200"/>
        <w:rPr>
          <w:rFonts w:hint="eastAsia" w:ascii="宋体" w:hAnsi="宋体" w:eastAsia="宋体" w:cs="宋体"/>
          <w:color w:val="auto"/>
          <w:sz w:val="24"/>
          <w:highlight w:val="none"/>
        </w:rPr>
      </w:pPr>
    </w:p>
    <w:p w14:paraId="663D6805">
      <w:pPr>
        <w:spacing w:line="360" w:lineRule="auto"/>
        <w:ind w:left="3600" w:leftChars="1800" w:firstLine="480" w:firstLineChars="200"/>
        <w:rPr>
          <w:rFonts w:hint="eastAsia" w:ascii="宋体" w:hAnsi="宋体" w:eastAsia="宋体" w:cs="宋体"/>
          <w:color w:val="auto"/>
          <w:sz w:val="24"/>
          <w:highlight w:val="none"/>
        </w:rPr>
      </w:pPr>
    </w:p>
    <w:p w14:paraId="1FD92D72">
      <w:pPr>
        <w:spacing w:line="360" w:lineRule="auto"/>
        <w:ind w:left="3600" w:leftChars="1800" w:firstLine="480" w:firstLineChars="200"/>
        <w:rPr>
          <w:rFonts w:hint="eastAsia" w:ascii="宋体" w:hAnsi="宋体" w:eastAsia="宋体" w:cs="宋体"/>
          <w:color w:val="auto"/>
          <w:sz w:val="24"/>
          <w:highlight w:val="none"/>
        </w:rPr>
      </w:pPr>
    </w:p>
    <w:p w14:paraId="05FD5464">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3D0B4203">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7B3B9E9">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88592CC">
      <w:pPr>
        <w:snapToGrid w:val="0"/>
        <w:spacing w:before="50" w:after="50"/>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lang w:val="zh-CN"/>
        </w:rPr>
        <w:t>附件八：</w:t>
      </w:r>
    </w:p>
    <w:p w14:paraId="4A8DA16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项目组人员清单</w:t>
      </w:r>
    </w:p>
    <w:p w14:paraId="1A056176">
      <w:pPr>
        <w:snapToGrid w:val="0"/>
        <w:spacing w:before="156" w:beforeLines="50" w:after="50"/>
        <w:jc w:val="center"/>
        <w:rPr>
          <w:rFonts w:hint="eastAsia" w:ascii="宋体" w:hAnsi="宋体" w:eastAsia="宋体" w:cs="宋体"/>
          <w:b/>
          <w:color w:val="auto"/>
          <w:sz w:val="30"/>
          <w:szCs w:val="30"/>
          <w:highlight w:val="none"/>
        </w:rPr>
      </w:pPr>
    </w:p>
    <w:p w14:paraId="39DFE1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65A1DB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DD9C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4BE731ED">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93B7D0E">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431DEB94">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EE14A50">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3983501">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7ACB902">
            <w:pPr>
              <w:keepNext w:val="0"/>
              <w:keepLines w:val="0"/>
              <w:suppressLineNumbers w:val="0"/>
              <w:snapToGrid w:val="0"/>
              <w:spacing w:before="50" w:beforeAutospacing="0" w:after="5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劳动合同编号</w:t>
            </w:r>
          </w:p>
        </w:tc>
      </w:tr>
      <w:tr w14:paraId="09F9C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53E9F0A2">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D8D630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40D97F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600307">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A96EC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BE1160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4878E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6B6416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94A748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D9183E6">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86452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50007E7">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ECE49A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3BC82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E3FD0C6">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FCC8B4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4EA2DD8">
            <w:pPr>
              <w:pStyle w:val="10"/>
              <w:keepNext w:val="0"/>
              <w:keepLines w:val="0"/>
              <w:suppressLineNumbers w:val="0"/>
              <w:snapToGrid w:val="0"/>
              <w:spacing w:before="156" w:beforeLines="50" w:beforeAutospacing="0" w:after="50" w:afterAutospacing="0" w:line="460" w:lineRule="exact"/>
              <w:ind w:left="5250" w:right="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C763D2">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60FE516">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A93B93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2D3E9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2BCE3E1C">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26811B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DB7B64E">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90A399">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E29E35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8A51AC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631B4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49BBF0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CFDD18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AD0553D">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DC2FCC">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F0959EE">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F7B4C2">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3AF85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486449D">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9F98E1E">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F369647">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0CFF261">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E6738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A125621">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208AC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538FA5D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529D08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9BCA67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7D2D62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D788C9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420A8B9">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15888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4120333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CDF72D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900670F">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200CCFB">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95D53C3">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3C65C74">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r w14:paraId="03BDE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041055F8">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A5C7331">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0CEFC4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D216F0">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A3676A">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1EDEC35">
            <w:pPr>
              <w:keepNext w:val="0"/>
              <w:keepLines w:val="0"/>
              <w:suppressLineNumbers w:val="0"/>
              <w:snapToGrid w:val="0"/>
              <w:spacing w:before="156" w:beforeLines="50" w:beforeAutospacing="0" w:after="50" w:afterAutospacing="0" w:line="460" w:lineRule="exact"/>
              <w:ind w:left="0" w:right="0"/>
              <w:rPr>
                <w:rFonts w:hint="eastAsia" w:ascii="宋体" w:hAnsi="宋体" w:eastAsia="宋体" w:cs="宋体"/>
                <w:color w:val="auto"/>
                <w:sz w:val="24"/>
                <w:highlight w:val="none"/>
              </w:rPr>
            </w:pPr>
          </w:p>
        </w:tc>
      </w:tr>
    </w:tbl>
    <w:p w14:paraId="69867B24">
      <w:pPr>
        <w:adjustRightInd w:val="0"/>
        <w:snapToGrid w:val="0"/>
        <w:spacing w:line="360" w:lineRule="auto"/>
        <w:jc w:val="left"/>
        <w:rPr>
          <w:rFonts w:hint="eastAsia" w:ascii="宋体" w:hAnsi="宋体" w:eastAsia="宋体" w:cs="宋体"/>
          <w:color w:val="auto"/>
          <w:sz w:val="24"/>
          <w:highlight w:val="none"/>
        </w:rPr>
      </w:pPr>
    </w:p>
    <w:p w14:paraId="089D94CC">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注：在填写时，如本表格不适合投标单位的实际情况，可根据本表格式自行划表填写。 </w:t>
      </w:r>
    </w:p>
    <w:p w14:paraId="20EE0B3F">
      <w:pPr>
        <w:snapToGrid w:val="0"/>
        <w:spacing w:before="50" w:after="156" w:afterLines="50" w:line="460" w:lineRule="exact"/>
        <w:jc w:val="left"/>
        <w:rPr>
          <w:rFonts w:hint="eastAsia" w:ascii="宋体" w:hAnsi="宋体" w:eastAsia="宋体" w:cs="宋体"/>
          <w:color w:val="auto"/>
          <w:sz w:val="24"/>
          <w:highlight w:val="none"/>
        </w:rPr>
      </w:pPr>
    </w:p>
    <w:p w14:paraId="03BE2073">
      <w:pPr>
        <w:pStyle w:val="8"/>
        <w:rPr>
          <w:rFonts w:hint="eastAsia" w:ascii="宋体" w:hAnsi="宋体" w:eastAsia="宋体" w:cs="宋体"/>
          <w:color w:val="auto"/>
          <w:highlight w:val="none"/>
        </w:rPr>
      </w:pPr>
    </w:p>
    <w:p w14:paraId="220FE1EB">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37DB181F">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4785A806">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16F2B0E8">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pacing w:val="20"/>
          <w:sz w:val="30"/>
          <w:szCs w:val="30"/>
          <w:highlight w:val="none"/>
        </w:rPr>
        <w:br w:type="page"/>
      </w:r>
      <w:r>
        <w:rPr>
          <w:rFonts w:hint="eastAsia" w:ascii="宋体" w:hAnsi="宋体" w:eastAsia="宋体" w:cs="宋体"/>
          <w:b/>
          <w:color w:val="auto"/>
          <w:kern w:val="0"/>
          <w:sz w:val="36"/>
          <w:szCs w:val="36"/>
          <w:highlight w:val="none"/>
        </w:rPr>
        <w:t>报价文件</w:t>
      </w:r>
    </w:p>
    <w:p w14:paraId="30D13D72">
      <w:pPr>
        <w:spacing w:line="360" w:lineRule="auto"/>
        <w:jc w:val="center"/>
        <w:rPr>
          <w:rFonts w:hint="eastAsia" w:ascii="宋体" w:hAnsi="宋体" w:eastAsia="宋体" w:cs="宋体"/>
          <w:b/>
          <w:color w:val="auto"/>
          <w:kern w:val="0"/>
          <w:sz w:val="36"/>
          <w:szCs w:val="36"/>
          <w:highlight w:val="none"/>
        </w:rPr>
      </w:pPr>
    </w:p>
    <w:p w14:paraId="178730B1">
      <w:pPr>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3FEE790">
      <w:pPr>
        <w:pStyle w:val="8"/>
        <w:ind w:firstLine="723"/>
        <w:rPr>
          <w:rFonts w:hint="eastAsia" w:ascii="宋体" w:hAnsi="宋体" w:eastAsia="宋体" w:cs="宋体"/>
          <w:b/>
          <w:color w:val="auto"/>
          <w:kern w:val="0"/>
          <w:sz w:val="36"/>
          <w:szCs w:val="36"/>
          <w:highlight w:val="none"/>
        </w:rPr>
      </w:pPr>
    </w:p>
    <w:p w14:paraId="0F13A5F3">
      <w:pPr>
        <w:pStyle w:val="23"/>
        <w:numPr>
          <w:ilvl w:val="0"/>
          <w:numId w:val="6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投标函（格式见附件）；</w:t>
      </w:r>
    </w:p>
    <w:p w14:paraId="34C0F5B4">
      <w:pPr>
        <w:pStyle w:val="23"/>
        <w:numPr>
          <w:ilvl w:val="0"/>
          <w:numId w:val="6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14:paraId="7E8C0C50">
      <w:pPr>
        <w:pStyle w:val="23"/>
        <w:numPr>
          <w:ilvl w:val="0"/>
          <w:numId w:val="67"/>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投标报价明细表（格式见附件）。</w:t>
      </w:r>
    </w:p>
    <w:p w14:paraId="1558F96B">
      <w:pPr>
        <w:pStyle w:val="8"/>
        <w:ind w:firstLine="560"/>
        <w:rPr>
          <w:rFonts w:hint="eastAsia" w:ascii="宋体" w:hAnsi="宋体" w:eastAsia="宋体" w:cs="宋体"/>
          <w:color w:val="auto"/>
          <w:sz w:val="28"/>
          <w:szCs w:val="28"/>
          <w:highlight w:val="none"/>
        </w:rPr>
      </w:pPr>
    </w:p>
    <w:p w14:paraId="7916E659">
      <w:pPr>
        <w:pStyle w:val="8"/>
        <w:ind w:firstLine="560"/>
        <w:rPr>
          <w:rFonts w:hint="eastAsia" w:ascii="宋体" w:hAnsi="宋体" w:eastAsia="宋体" w:cs="宋体"/>
          <w:color w:val="auto"/>
          <w:sz w:val="28"/>
          <w:szCs w:val="28"/>
          <w:highlight w:val="none"/>
        </w:rPr>
      </w:pPr>
    </w:p>
    <w:p w14:paraId="636B5F3C">
      <w:pPr>
        <w:pStyle w:val="8"/>
        <w:ind w:firstLine="560"/>
        <w:rPr>
          <w:rFonts w:hint="eastAsia" w:ascii="宋体" w:hAnsi="宋体" w:eastAsia="宋体" w:cs="宋体"/>
          <w:color w:val="auto"/>
          <w:sz w:val="28"/>
          <w:szCs w:val="28"/>
          <w:highlight w:val="none"/>
        </w:rPr>
      </w:pPr>
    </w:p>
    <w:p w14:paraId="43A40E82">
      <w:pPr>
        <w:pStyle w:val="8"/>
        <w:ind w:firstLine="560"/>
        <w:rPr>
          <w:rFonts w:hint="eastAsia" w:ascii="宋体" w:hAnsi="宋体" w:eastAsia="宋体" w:cs="宋体"/>
          <w:color w:val="auto"/>
          <w:sz w:val="28"/>
          <w:szCs w:val="28"/>
          <w:highlight w:val="none"/>
        </w:rPr>
      </w:pPr>
    </w:p>
    <w:p w14:paraId="1F77E297">
      <w:pPr>
        <w:pStyle w:val="8"/>
        <w:ind w:firstLine="560"/>
        <w:rPr>
          <w:rFonts w:hint="eastAsia" w:ascii="宋体" w:hAnsi="宋体" w:eastAsia="宋体" w:cs="宋体"/>
          <w:color w:val="auto"/>
          <w:sz w:val="28"/>
          <w:szCs w:val="28"/>
          <w:highlight w:val="none"/>
        </w:rPr>
      </w:pPr>
    </w:p>
    <w:p w14:paraId="24015CA1">
      <w:pPr>
        <w:pStyle w:val="8"/>
        <w:ind w:firstLine="560"/>
        <w:rPr>
          <w:rFonts w:hint="eastAsia" w:ascii="宋体" w:hAnsi="宋体" w:eastAsia="宋体" w:cs="宋体"/>
          <w:color w:val="auto"/>
          <w:sz w:val="28"/>
          <w:szCs w:val="28"/>
          <w:highlight w:val="none"/>
        </w:rPr>
      </w:pPr>
    </w:p>
    <w:p w14:paraId="03D8C3C2">
      <w:pPr>
        <w:pStyle w:val="8"/>
        <w:ind w:firstLine="560"/>
        <w:rPr>
          <w:rFonts w:hint="eastAsia" w:ascii="宋体" w:hAnsi="宋体" w:eastAsia="宋体" w:cs="宋体"/>
          <w:color w:val="auto"/>
          <w:sz w:val="28"/>
          <w:szCs w:val="28"/>
          <w:highlight w:val="none"/>
        </w:rPr>
      </w:pPr>
    </w:p>
    <w:p w14:paraId="41751E8E">
      <w:pPr>
        <w:pStyle w:val="8"/>
        <w:ind w:firstLine="560"/>
        <w:rPr>
          <w:rFonts w:hint="eastAsia" w:ascii="宋体" w:hAnsi="宋体" w:eastAsia="宋体" w:cs="宋体"/>
          <w:color w:val="auto"/>
          <w:sz w:val="28"/>
          <w:szCs w:val="28"/>
          <w:highlight w:val="none"/>
        </w:rPr>
      </w:pPr>
    </w:p>
    <w:p w14:paraId="1BAD5035">
      <w:pPr>
        <w:pStyle w:val="8"/>
        <w:ind w:firstLine="560"/>
        <w:rPr>
          <w:rFonts w:hint="eastAsia" w:ascii="宋体" w:hAnsi="宋体" w:eastAsia="宋体" w:cs="宋体"/>
          <w:color w:val="auto"/>
          <w:sz w:val="28"/>
          <w:szCs w:val="28"/>
          <w:highlight w:val="none"/>
        </w:rPr>
      </w:pPr>
    </w:p>
    <w:p w14:paraId="612DF5C6">
      <w:pPr>
        <w:pStyle w:val="3"/>
        <w:rPr>
          <w:rFonts w:hint="eastAsia" w:ascii="宋体" w:hAnsi="宋体" w:eastAsia="宋体" w:cs="宋体"/>
          <w:bCs/>
          <w:color w:val="auto"/>
          <w:sz w:val="24"/>
          <w:szCs w:val="24"/>
          <w:highlight w:val="none"/>
          <w:lang w:val="zh-CN"/>
        </w:rPr>
      </w:pPr>
      <w:r>
        <w:rPr>
          <w:rFonts w:hint="eastAsia" w:ascii="宋体" w:hAnsi="宋体" w:eastAsia="宋体" w:cs="宋体"/>
          <w:color w:val="auto"/>
          <w:szCs w:val="28"/>
          <w:highlight w:val="none"/>
        </w:rPr>
        <w:br w:type="page"/>
      </w:r>
      <w:bookmarkStart w:id="484" w:name="_Toc3094"/>
      <w:r>
        <w:rPr>
          <w:rFonts w:hint="eastAsia" w:ascii="宋体" w:hAnsi="宋体" w:eastAsia="宋体" w:cs="宋体"/>
          <w:bCs/>
          <w:color w:val="auto"/>
          <w:sz w:val="24"/>
          <w:szCs w:val="24"/>
          <w:highlight w:val="none"/>
          <w:lang w:val="zh-CN"/>
        </w:rPr>
        <w:t>附件</w:t>
      </w:r>
      <w:bookmarkStart w:id="485" w:name="_Toc130094924"/>
      <w:bookmarkStart w:id="486" w:name="_Toc98731770"/>
      <w:r>
        <w:rPr>
          <w:rFonts w:hint="eastAsia" w:ascii="宋体" w:hAnsi="宋体" w:eastAsia="宋体" w:cs="宋体"/>
          <w:bCs/>
          <w:color w:val="auto"/>
          <w:sz w:val="24"/>
          <w:szCs w:val="24"/>
          <w:highlight w:val="none"/>
        </w:rPr>
        <w:t>九：</w:t>
      </w:r>
    </w:p>
    <w:p w14:paraId="450CCC5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 标 函</w:t>
      </w:r>
      <w:bookmarkEnd w:id="484"/>
      <w:bookmarkEnd w:id="485"/>
      <w:bookmarkEnd w:id="486"/>
    </w:p>
    <w:p w14:paraId="46185499">
      <w:pPr>
        <w:spacing w:line="360" w:lineRule="auto"/>
        <w:ind w:firstLine="480" w:firstLineChars="200"/>
        <w:rPr>
          <w:rFonts w:hint="eastAsia" w:ascii="宋体" w:hAnsi="宋体" w:eastAsia="宋体" w:cs="宋体"/>
          <w:color w:val="auto"/>
          <w:sz w:val="24"/>
          <w:highlight w:val="none"/>
          <w:u w:val="single"/>
        </w:rPr>
      </w:pPr>
    </w:p>
    <w:p w14:paraId="5084DD2E">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绍兴市上虞鸿雁建设开发有限公司</w:t>
      </w:r>
      <w:r>
        <w:rPr>
          <w:rFonts w:hint="eastAsia" w:ascii="宋体" w:hAnsi="宋体" w:eastAsia="宋体" w:cs="宋体"/>
          <w:color w:val="auto"/>
          <w:sz w:val="24"/>
          <w:highlight w:val="none"/>
        </w:rPr>
        <w:t>：</w:t>
      </w:r>
    </w:p>
    <w:p w14:paraId="275FC2BC">
      <w:pPr>
        <w:spacing w:line="360" w:lineRule="auto"/>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eastAsia="zh-CN"/>
        </w:rPr>
        <w:t>浙江广正建设项目管理有限公司</w:t>
      </w:r>
      <w:r>
        <w:rPr>
          <w:rFonts w:hint="eastAsia" w:ascii="宋体" w:hAnsi="宋体" w:eastAsia="宋体" w:cs="宋体"/>
          <w:color w:val="auto"/>
          <w:sz w:val="24"/>
          <w:highlight w:val="none"/>
        </w:rPr>
        <w:t>：</w:t>
      </w:r>
    </w:p>
    <w:p w14:paraId="02153603">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我单位认真研究了关于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14:paraId="74C4DC2F">
      <w:pPr>
        <w:spacing w:line="360" w:lineRule="auto"/>
        <w:ind w:firstLine="576" w:firstLineChars="24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E/qvDb1AQAA7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1、一旦我单位中标，我单位愿意承接开标一览表和投标报价明细表中所列的所有服务，服务期为：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B708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2、我单位同意提供按照</w:t>
      </w:r>
      <w:r>
        <w:rPr>
          <w:rFonts w:hint="eastAsia" w:ascii="宋体" w:hAnsi="宋体" w:eastAsia="宋体" w:cs="宋体"/>
          <w:bCs/>
          <w:color w:val="auto"/>
          <w:sz w:val="24"/>
          <w:highlight w:val="none"/>
        </w:rPr>
        <w:t>采购人的可能要求与其投标有关的一切数据和资料，完全理解采购人不一定要接受最低价者作为中标人</w:t>
      </w:r>
      <w:r>
        <w:rPr>
          <w:rFonts w:hint="eastAsia" w:ascii="宋体" w:hAnsi="宋体" w:eastAsia="宋体" w:cs="宋体"/>
          <w:color w:val="auto"/>
          <w:sz w:val="24"/>
          <w:highlight w:val="none"/>
        </w:rPr>
        <w:t>。</w:t>
      </w:r>
    </w:p>
    <w:p w14:paraId="22E9D5D2">
      <w:pPr>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3、一旦我单位中标，我们保证按照招标文件的要求，完成服务。</w:t>
      </w:r>
    </w:p>
    <w:p w14:paraId="78578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4、如果我单位中标，我方将按照要求提交履约保证金，严格履行合同义务。</w:t>
      </w:r>
    </w:p>
    <w:p w14:paraId="362C73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5、除非另行达成协议并生效，你方的中标通知书和本投标函将构成约束你我双方的合同。</w:t>
      </w:r>
    </w:p>
    <w:p w14:paraId="125F8A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6、我单位承诺，一旦发生招标文件第二部分第12条规定情形之一的，承担该条款约定的责任。</w:t>
      </w:r>
    </w:p>
    <w:p w14:paraId="66D4099F">
      <w:pPr>
        <w:pStyle w:val="9"/>
        <w:snapToGrid w:val="0"/>
        <w:spacing w:line="360" w:lineRule="auto"/>
        <w:ind w:left="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6697259">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地址：</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邮编：</w:t>
      </w:r>
      <w:r>
        <w:rPr>
          <w:rFonts w:hint="eastAsia" w:ascii="宋体" w:hAnsi="宋体" w:eastAsia="宋体" w:cs="宋体"/>
          <w:bCs/>
          <w:color w:val="auto"/>
          <w:sz w:val="24"/>
          <w:szCs w:val="21"/>
          <w:highlight w:val="none"/>
          <w:u w:val="single"/>
        </w:rPr>
        <w:t xml:space="preserve">                 </w:t>
      </w:r>
    </w:p>
    <w:p w14:paraId="039ECDE1">
      <w:pPr>
        <w:spacing w:line="360" w:lineRule="auto"/>
        <w:ind w:firstLine="480" w:firstLineChars="200"/>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电话：</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传真：</w:t>
      </w:r>
      <w:r>
        <w:rPr>
          <w:rFonts w:hint="eastAsia" w:ascii="宋体" w:hAnsi="宋体" w:eastAsia="宋体" w:cs="宋体"/>
          <w:bCs/>
          <w:color w:val="auto"/>
          <w:sz w:val="24"/>
          <w:szCs w:val="21"/>
          <w:highlight w:val="none"/>
          <w:u w:val="single"/>
        </w:rPr>
        <w:t xml:space="preserve">                 </w:t>
      </w:r>
    </w:p>
    <w:p w14:paraId="6E6463FF">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供应商代表姓名：</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职务：</w:t>
      </w:r>
      <w:r>
        <w:rPr>
          <w:rFonts w:hint="eastAsia" w:ascii="宋体" w:hAnsi="宋体" w:eastAsia="宋体" w:cs="宋体"/>
          <w:bCs/>
          <w:color w:val="auto"/>
          <w:sz w:val="24"/>
          <w:szCs w:val="21"/>
          <w:highlight w:val="none"/>
          <w:u w:val="single"/>
        </w:rPr>
        <w:t xml:space="preserve">                 </w:t>
      </w:r>
    </w:p>
    <w:p w14:paraId="33A2BF4D">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供应商名称</w:t>
      </w:r>
      <w:r>
        <w:rPr>
          <w:rFonts w:hint="eastAsia" w:ascii="宋体" w:hAnsi="宋体" w:eastAsia="宋体" w:cs="宋体"/>
          <w:bCs/>
          <w:color w:val="auto"/>
          <w:sz w:val="24"/>
          <w:szCs w:val="21"/>
          <w:highlight w:val="none"/>
          <w:u w:val="single"/>
        </w:rPr>
        <w:t>：                   　　　</w:t>
      </w:r>
    </w:p>
    <w:p w14:paraId="4A04ED87">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（公章）：                   </w:t>
      </w:r>
    </w:p>
    <w:p w14:paraId="69B21DEE">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243DC373">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1AFFABE">
      <w:pPr>
        <w:spacing w:line="360" w:lineRule="auto"/>
        <w:ind w:firstLine="4320" w:firstLineChars="1800"/>
        <w:rPr>
          <w:rFonts w:hint="eastAsia" w:ascii="宋体" w:hAnsi="宋体" w:eastAsia="宋体" w:cs="宋体"/>
          <w:bCs/>
          <w:color w:val="auto"/>
          <w:sz w:val="24"/>
          <w:szCs w:val="21"/>
          <w:highlight w:val="none"/>
        </w:rPr>
      </w:pPr>
      <w:r>
        <w:rPr>
          <w:rFonts w:hint="eastAsia" w:ascii="宋体" w:hAnsi="宋体" w:eastAsia="宋体" w:cs="宋体"/>
          <w:color w:val="auto"/>
          <w:sz w:val="24"/>
          <w:highlight w:val="none"/>
        </w:rPr>
        <w:t>投标人全称（公章）：</w:t>
      </w:r>
    </w:p>
    <w:p w14:paraId="44A22D63">
      <w:pPr>
        <w:pStyle w:val="3"/>
        <w:rPr>
          <w:rFonts w:hint="eastAsia" w:ascii="宋体" w:hAnsi="宋体" w:eastAsia="宋体" w:cs="宋体"/>
          <w:bCs/>
          <w:color w:val="auto"/>
          <w:sz w:val="24"/>
          <w:szCs w:val="24"/>
          <w:highlight w:val="none"/>
          <w:lang w:val="zh-CN"/>
        </w:rPr>
        <w:sectPr>
          <w:headerReference r:id="rId6" w:type="default"/>
          <w:footerReference r:id="rId7" w:type="default"/>
          <w:pgSz w:w="11906" w:h="16838"/>
          <w:pgMar w:top="1440" w:right="1800" w:bottom="1440" w:left="1800" w:header="851" w:footer="992" w:gutter="0"/>
          <w:cols w:space="720" w:num="1"/>
          <w:docGrid w:type="lines" w:linePitch="312" w:charSpace="0"/>
        </w:sectPr>
      </w:pPr>
      <w:bookmarkStart w:id="487" w:name="_Toc12011"/>
    </w:p>
    <w:p w14:paraId="408CF317">
      <w:pPr>
        <w:pStyle w:val="9"/>
        <w:spacing w:line="460" w:lineRule="atLeas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附件十：</w:t>
      </w:r>
    </w:p>
    <w:bookmarkEnd w:id="487"/>
    <w:p w14:paraId="7FB910FC">
      <w:pPr>
        <w:spacing w:line="360" w:lineRule="auto"/>
        <w:jc w:val="center"/>
        <w:outlineLvl w:val="0"/>
        <w:rPr>
          <w:rFonts w:hint="eastAsia" w:ascii="宋体" w:hAnsi="宋体" w:eastAsia="宋体" w:cs="宋体"/>
          <w:b/>
          <w:bCs/>
          <w:color w:val="auto"/>
          <w:sz w:val="32"/>
          <w:szCs w:val="32"/>
          <w:highlight w:val="none"/>
        </w:rPr>
      </w:pPr>
      <w:bookmarkStart w:id="488" w:name="_Toc7196"/>
      <w:r>
        <w:rPr>
          <w:rFonts w:hint="eastAsia" w:ascii="宋体" w:hAnsi="宋体" w:eastAsia="宋体" w:cs="宋体"/>
          <w:b/>
          <w:bCs/>
          <w:color w:val="auto"/>
          <w:sz w:val="32"/>
          <w:szCs w:val="32"/>
          <w:highlight w:val="none"/>
        </w:rPr>
        <w:t>开标一览表</w:t>
      </w:r>
    </w:p>
    <w:p w14:paraId="5E15BA71">
      <w:pPr>
        <w:pStyle w:val="9"/>
        <w:spacing w:line="460" w:lineRule="atLeast"/>
        <w:rPr>
          <w:rFonts w:hint="eastAsia" w:ascii="宋体" w:hAnsi="宋体" w:eastAsia="宋体" w:cs="宋体"/>
          <w:color w:val="auto"/>
          <w:sz w:val="24"/>
          <w:highlight w:val="none"/>
        </w:rPr>
      </w:pPr>
    </w:p>
    <w:p w14:paraId="5C35FE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2EEB3F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19"/>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6701"/>
      </w:tblGrid>
      <w:tr w14:paraId="7961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2095" w:type="dxa"/>
            <w:vMerge w:val="restart"/>
            <w:noWrap w:val="0"/>
            <w:vAlign w:val="center"/>
          </w:tcPr>
          <w:p w14:paraId="5D502251">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w:t>
            </w:r>
          </w:p>
        </w:tc>
        <w:tc>
          <w:tcPr>
            <w:tcW w:w="6701" w:type="dxa"/>
            <w:noWrap w:val="0"/>
            <w:vAlign w:val="center"/>
          </w:tcPr>
          <w:p w14:paraId="613F27CF">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color w:val="auto"/>
                <w:sz w:val="24"/>
                <w:szCs w:val="21"/>
                <w:highlight w:val="none"/>
                <w:lang w:val="en-US" w:eastAsia="zh-CN"/>
              </w:rPr>
              <w:t>前期介入服务费</w:t>
            </w:r>
            <w:r>
              <w:rPr>
                <w:rFonts w:hint="eastAsia" w:eastAsia="宋体" w:cs="宋体"/>
                <w:color w:val="auto"/>
                <w:sz w:val="24"/>
                <w:szCs w:val="21"/>
                <w:highlight w:val="none"/>
                <w:lang w:val="en-US" w:eastAsia="zh-CN"/>
              </w:rPr>
              <w:t>：</w:t>
            </w:r>
            <w:r>
              <w:rPr>
                <w:rFonts w:hint="eastAsia" w:ascii="宋体" w:hAnsi="宋体" w:eastAsia="宋体" w:cs="宋体"/>
                <w:color w:val="auto"/>
                <w:sz w:val="24"/>
                <w:szCs w:val="21"/>
                <w:highlight w:val="none"/>
              </w:rPr>
              <w:t>大写：</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元（小写：</w:t>
            </w:r>
            <w:r>
              <w:rPr>
                <w:rFonts w:hint="eastAsia" w:ascii="宋体" w:hAnsi="宋体" w:eastAsia="宋体" w:cs="宋体"/>
                <w:color w:val="auto"/>
                <w:sz w:val="24"/>
                <w:szCs w:val="21"/>
                <w:highlight w:val="none"/>
                <w:u w:val="single"/>
              </w:rPr>
              <w:t>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 xml:space="preserve">   </w:t>
            </w:r>
          </w:p>
        </w:tc>
      </w:tr>
      <w:tr w14:paraId="7018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095" w:type="dxa"/>
            <w:vMerge w:val="continue"/>
            <w:noWrap w:val="0"/>
            <w:vAlign w:val="center"/>
          </w:tcPr>
          <w:p w14:paraId="5F774144">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highlight w:val="none"/>
              </w:rPr>
            </w:pPr>
          </w:p>
        </w:tc>
        <w:tc>
          <w:tcPr>
            <w:tcW w:w="6701" w:type="dxa"/>
            <w:noWrap w:val="0"/>
            <w:vAlign w:val="center"/>
          </w:tcPr>
          <w:p w14:paraId="355630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运营服务费</w:t>
            </w:r>
            <w:r>
              <w:rPr>
                <w:rFonts w:hint="eastAsia" w:eastAsia="宋体" w:cs="宋体"/>
                <w:color w:val="auto"/>
                <w:sz w:val="24"/>
                <w:szCs w:val="21"/>
                <w:highlight w:val="none"/>
                <w:lang w:val="en-US" w:eastAsia="zh-CN"/>
              </w:rPr>
              <w:t>：</w:t>
            </w:r>
            <w:r>
              <w:rPr>
                <w:rFonts w:hint="eastAsia" w:ascii="宋体" w:hAnsi="宋体" w:eastAsia="宋体" w:cs="宋体"/>
                <w:color w:val="auto"/>
                <w:sz w:val="24"/>
                <w:szCs w:val="21"/>
                <w:highlight w:val="none"/>
              </w:rPr>
              <w:t>大写：</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元</w:t>
            </w:r>
            <w:r>
              <w:rPr>
                <w:rFonts w:hint="eastAsia" w:ascii="宋体" w:hAnsi="宋体" w:eastAsia="宋体" w:cs="宋体"/>
                <w:color w:val="auto"/>
                <w:sz w:val="24"/>
                <w:szCs w:val="21"/>
                <w:highlight w:val="none"/>
                <w:lang w:val="en-US" w:eastAsia="zh-CN"/>
              </w:rPr>
              <w:t>/</w:t>
            </w:r>
            <w:r>
              <w:rPr>
                <w:rFonts w:hint="eastAsia" w:cs="宋体"/>
                <w:color w:val="auto"/>
                <w:sz w:val="24"/>
                <w:szCs w:val="21"/>
                <w:highlight w:val="none"/>
                <w:lang w:val="en-US" w:eastAsia="zh-CN"/>
              </w:rPr>
              <w:t>60月</w:t>
            </w:r>
            <w:r>
              <w:rPr>
                <w:rFonts w:hint="eastAsia" w:ascii="宋体" w:hAnsi="宋体" w:eastAsia="宋体" w:cs="宋体"/>
                <w:color w:val="auto"/>
                <w:sz w:val="24"/>
                <w:szCs w:val="21"/>
                <w:highlight w:val="none"/>
              </w:rPr>
              <w:t>（小写：</w:t>
            </w:r>
            <w:r>
              <w:rPr>
                <w:rFonts w:hint="eastAsia" w:ascii="宋体" w:hAnsi="宋体" w:eastAsia="宋体" w:cs="宋体"/>
                <w:color w:val="auto"/>
                <w:sz w:val="24"/>
                <w:szCs w:val="21"/>
                <w:highlight w:val="none"/>
                <w:u w:val="single"/>
              </w:rPr>
              <w:t>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w:t>
            </w:r>
            <w:r>
              <w:rPr>
                <w:rFonts w:hint="eastAsia" w:cs="宋体"/>
                <w:color w:val="auto"/>
                <w:sz w:val="24"/>
                <w:szCs w:val="21"/>
                <w:highlight w:val="none"/>
                <w:lang w:val="en-US" w:eastAsia="zh-CN"/>
              </w:rPr>
              <w:t>60月</w:t>
            </w:r>
            <w:r>
              <w:rPr>
                <w:rFonts w:hint="eastAsia" w:ascii="宋体" w:hAnsi="宋体" w:eastAsia="宋体" w:cs="宋体"/>
                <w:color w:val="auto"/>
                <w:sz w:val="24"/>
                <w:szCs w:val="21"/>
                <w:highlight w:val="none"/>
                <w:lang w:val="en-US" w:eastAsia="zh-CN"/>
              </w:rPr>
              <w:t xml:space="preserve">  </w:t>
            </w:r>
          </w:p>
        </w:tc>
      </w:tr>
      <w:tr w14:paraId="42CA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95" w:type="dxa"/>
            <w:vMerge w:val="continue"/>
            <w:noWrap w:val="0"/>
            <w:vAlign w:val="center"/>
          </w:tcPr>
          <w:p w14:paraId="71F19E57">
            <w:pPr>
              <w:keepNext w:val="0"/>
              <w:keepLines w:val="0"/>
              <w:suppressLineNumbers w:val="0"/>
              <w:spacing w:before="0" w:beforeAutospacing="0" w:after="0" w:afterAutospacing="0" w:line="400" w:lineRule="exact"/>
              <w:ind w:left="0" w:right="0"/>
              <w:jc w:val="center"/>
              <w:rPr>
                <w:rFonts w:hint="eastAsia" w:ascii="宋体" w:hAnsi="宋体" w:eastAsia="宋体" w:cs="宋体"/>
                <w:b/>
                <w:bCs/>
                <w:color w:val="auto"/>
                <w:sz w:val="24"/>
                <w:highlight w:val="none"/>
              </w:rPr>
            </w:pPr>
          </w:p>
        </w:tc>
        <w:tc>
          <w:tcPr>
            <w:tcW w:w="6701" w:type="dxa"/>
            <w:noWrap w:val="0"/>
            <w:vAlign w:val="center"/>
          </w:tcPr>
          <w:p w14:paraId="033964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1"/>
                <w:highlight w:val="none"/>
              </w:rPr>
            </w:pPr>
            <w:r>
              <w:rPr>
                <w:rFonts w:hint="eastAsia"/>
                <w:color w:val="auto"/>
                <w:sz w:val="24"/>
                <w:highlight w:val="none"/>
                <w:lang w:val="en-US" w:eastAsia="zh-CN"/>
              </w:rPr>
              <w:t>运营管理费：</w:t>
            </w:r>
            <w:r>
              <w:rPr>
                <w:rFonts w:hint="default"/>
                <w:color w:val="auto"/>
                <w:sz w:val="24"/>
                <w:highlight w:val="none"/>
                <w:lang w:val="en-US" w:eastAsia="zh-CN"/>
              </w:rPr>
              <w:t>年营收（扣除代收代缴费外）</w:t>
            </w:r>
            <w:r>
              <w:rPr>
                <w:rFonts w:hint="eastAsia"/>
                <w:color w:val="auto"/>
                <w:sz w:val="24"/>
                <w:highlight w:val="none"/>
                <w:u w:val="single"/>
                <w:lang w:val="en-US" w:eastAsia="zh-CN"/>
              </w:rPr>
              <w:t xml:space="preserve">  </w:t>
            </w:r>
            <w:r>
              <w:rPr>
                <w:rFonts w:hint="eastAsia"/>
                <w:color w:val="auto"/>
                <w:sz w:val="24"/>
                <w:highlight w:val="none"/>
                <w:lang w:val="en-US" w:eastAsia="zh-CN"/>
              </w:rPr>
              <w:t xml:space="preserve"> </w:t>
            </w:r>
            <w:r>
              <w:rPr>
                <w:rFonts w:hint="default"/>
                <w:color w:val="auto"/>
                <w:sz w:val="24"/>
                <w:highlight w:val="none"/>
                <w:lang w:val="en-US" w:eastAsia="zh-CN"/>
              </w:rPr>
              <w:t>%</w:t>
            </w:r>
          </w:p>
        </w:tc>
      </w:tr>
      <w:tr w14:paraId="3617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1" w:hRule="atLeast"/>
          <w:jc w:val="center"/>
        </w:trPr>
        <w:tc>
          <w:tcPr>
            <w:tcW w:w="8796" w:type="dxa"/>
            <w:gridSpan w:val="2"/>
            <w:noWrap w:val="0"/>
            <w:vAlign w:val="center"/>
          </w:tcPr>
          <w:p w14:paraId="5E914A8A">
            <w:pPr>
              <w:pStyle w:val="23"/>
              <w:keepNext w:val="0"/>
              <w:keepLines w:val="0"/>
              <w:suppressLineNumbers w:val="0"/>
              <w:tabs>
                <w:tab w:val="left" w:pos="0"/>
              </w:tabs>
              <w:snapToGrid w:val="0"/>
              <w:spacing w:before="0" w:beforeAutospacing="0" w:afterAutospacing="0"/>
              <w:ind w:left="0" w:right="0" w:firstLine="482"/>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投投标报价统一为人民币计价，投标报价统一</w:t>
            </w:r>
            <w:r>
              <w:rPr>
                <w:rFonts w:hint="eastAsia" w:ascii="宋体" w:hAnsi="宋体" w:eastAsia="宋体" w:cs="宋体"/>
                <w:b/>
                <w:color w:val="auto"/>
                <w:szCs w:val="21"/>
                <w:highlight w:val="none"/>
                <w:lang w:val="en-US" w:eastAsia="zh-CN"/>
              </w:rPr>
              <w:t>包含但不限于</w:t>
            </w:r>
            <w:r>
              <w:rPr>
                <w:rFonts w:hint="eastAsia" w:ascii="宋体" w:hAnsi="宋体" w:eastAsia="宋体" w:cs="宋体"/>
                <w:b/>
                <w:color w:val="auto"/>
                <w:szCs w:val="21"/>
                <w:highlight w:val="none"/>
              </w:rPr>
              <w:t>人员工资（包括加班费、按规定缴纳的各类保险、福利、奖金</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过节费、高温费、伙食费、住宿费等）、前介费、</w:t>
            </w:r>
            <w:r>
              <w:rPr>
                <w:rFonts w:hint="eastAsia" w:ascii="宋体" w:hAnsi="宋体" w:eastAsia="宋体" w:cs="宋体"/>
                <w:b/>
                <w:color w:val="auto"/>
                <w:szCs w:val="21"/>
                <w:highlight w:val="none"/>
                <w:lang w:val="en-US" w:eastAsia="zh-CN"/>
              </w:rPr>
              <w:t>信息系统对接费、</w:t>
            </w:r>
            <w:r>
              <w:rPr>
                <w:rFonts w:hint="eastAsia" w:ascii="宋体" w:hAnsi="宋体" w:eastAsia="宋体" w:cs="宋体"/>
                <w:b/>
                <w:color w:val="auto"/>
                <w:szCs w:val="21"/>
                <w:highlight w:val="none"/>
              </w:rPr>
              <w:t>交接费、福利费、管理费用、税费、办公用品、维修工具、服装费、安保器材、垃圾分类、</w:t>
            </w:r>
            <w:r>
              <w:rPr>
                <w:rFonts w:hint="eastAsia" w:ascii="宋体" w:hAnsi="宋体" w:eastAsia="宋体" w:cs="宋体"/>
                <w:b/>
                <w:color w:val="auto"/>
                <w:szCs w:val="21"/>
                <w:highlight w:val="none"/>
                <w:lang w:val="en-US" w:eastAsia="zh-CN"/>
              </w:rPr>
              <w:t>社</w:t>
            </w:r>
            <w:r>
              <w:rPr>
                <w:rFonts w:hint="default" w:ascii="宋体" w:hAnsi="宋体" w:cs="宋体"/>
                <w:b/>
                <w:color w:val="auto"/>
                <w:szCs w:val="21"/>
                <w:highlight w:val="none"/>
                <w:lang w:eastAsia="zh-CN"/>
              </w:rPr>
              <w:t>群</w:t>
            </w:r>
            <w:r>
              <w:rPr>
                <w:rFonts w:hint="eastAsia" w:ascii="宋体" w:hAnsi="宋体" w:eastAsia="宋体" w:cs="宋体"/>
                <w:b/>
                <w:color w:val="auto"/>
                <w:szCs w:val="21"/>
                <w:highlight w:val="none"/>
                <w:lang w:val="en-US" w:eastAsia="zh-CN"/>
              </w:rPr>
              <w:t>活动费、</w:t>
            </w:r>
            <w:r>
              <w:rPr>
                <w:rFonts w:hint="default" w:ascii="宋体" w:hAnsi="宋体" w:cs="宋体"/>
                <w:b/>
                <w:color w:val="auto"/>
                <w:szCs w:val="21"/>
                <w:highlight w:val="none"/>
                <w:lang w:eastAsia="zh-CN"/>
              </w:rPr>
              <w:t>公区装饰（氛围提升）费</w:t>
            </w:r>
            <w:r>
              <w:rPr>
                <w:rFonts w:hint="eastAsia" w:ascii="宋体" w:hAnsi="宋体" w:eastAsia="宋体" w:cs="宋体"/>
                <w:b/>
                <w:color w:val="auto"/>
                <w:szCs w:val="21"/>
                <w:highlight w:val="none"/>
                <w:lang w:val="en-US" w:eastAsia="zh-CN"/>
              </w:rPr>
              <w:t>、系统使用费、公众责任险等保险费、</w:t>
            </w:r>
            <w:r>
              <w:rPr>
                <w:rFonts w:hint="eastAsia" w:ascii="宋体" w:hAnsi="宋体" w:eastAsia="宋体" w:cs="宋体"/>
                <w:b/>
                <w:color w:val="auto"/>
                <w:szCs w:val="21"/>
                <w:highlight w:val="none"/>
              </w:rPr>
              <w:t>保洁耗材（公共卫生间洗手液、擦手纸、卫生纸、灭“四害”药物、蚊香、垃圾袋等）、日常耗材（灯泡，灯具，电线，门锁，把手，锁芯，水龙头，生料带，胶布，玻璃胶，插座，三角阀，软管，开关，安全出口指示牌等）等所有材料及易耗品费用。其他合同中明示或暗示的所有一般风险、责任和义务等整个项目的总报价，如有漏项，视同已包含在本报价中。</w:t>
            </w:r>
          </w:p>
        </w:tc>
      </w:tr>
    </w:tbl>
    <w:p w14:paraId="667E7D01">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337BA04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1、报价一经涂改，应在涂改处加盖单位公章或者由法定代表人或授权委托人签字或盖章，否则其投标作无效标处理。</w:t>
      </w:r>
    </w:p>
    <w:p w14:paraId="374F938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 </w:t>
      </w:r>
      <w:r>
        <w:rPr>
          <w:rFonts w:hint="eastAsia" w:ascii="宋体" w:hAnsi="宋体" w:eastAsia="宋体" w:cs="宋体"/>
          <w:snapToGrid/>
          <w:color w:val="auto"/>
          <w:kern w:val="2"/>
          <w:sz w:val="24"/>
          <w:szCs w:val="24"/>
          <w:highlight w:val="none"/>
          <w:lang w:val="en-US" w:eastAsia="zh-CN"/>
        </w:rPr>
        <w:t>其中其中前期介入服务费最高限价：26.56万元，运营服务费最高限价：675万元。运营管理费最高限价：年营收（扣除代收代缴费外）6%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超过任一最高限价，均作无效投标处理。</w:t>
      </w:r>
    </w:p>
    <w:p w14:paraId="7CBD72E3">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5C7FA033">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84E66BA">
      <w:pPr>
        <w:spacing w:line="360" w:lineRule="auto"/>
        <w:ind w:left="3600"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02133CA">
      <w:pPr>
        <w:spacing w:line="42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36"/>
          <w:highlight w:val="none"/>
        </w:rPr>
        <w:t xml:space="preserve"> </w:t>
      </w:r>
      <w:r>
        <w:rPr>
          <w:rFonts w:hint="eastAsia" w:ascii="宋体" w:hAnsi="宋体" w:eastAsia="宋体" w:cs="宋体"/>
          <w:bCs/>
          <w:color w:val="auto"/>
          <w:sz w:val="24"/>
          <w:szCs w:val="24"/>
          <w:highlight w:val="none"/>
          <w:lang w:val="zh-CN"/>
        </w:rPr>
        <w:t>附件</w:t>
      </w:r>
      <w:r>
        <w:rPr>
          <w:rFonts w:hint="eastAsia" w:ascii="宋体" w:hAnsi="宋体" w:eastAsia="宋体" w:cs="宋体"/>
          <w:bCs/>
          <w:color w:val="auto"/>
          <w:sz w:val="24"/>
          <w:szCs w:val="24"/>
          <w:highlight w:val="none"/>
        </w:rPr>
        <w:t>十一：</w:t>
      </w:r>
    </w:p>
    <w:bookmarkEnd w:id="488"/>
    <w:p w14:paraId="08EC85C9">
      <w:pPr>
        <w:pStyle w:val="3"/>
        <w:spacing w:line="360" w:lineRule="auto"/>
        <w:jc w:val="center"/>
        <w:rPr>
          <w:rFonts w:hint="eastAsia" w:hAnsi="宋体" w:cs="宋体"/>
          <w:bCs/>
          <w:color w:val="auto"/>
          <w:sz w:val="24"/>
          <w:szCs w:val="24"/>
          <w:highlight w:val="none"/>
          <w:lang w:val="zh-CN"/>
        </w:rPr>
      </w:pPr>
      <w:bookmarkStart w:id="489" w:name="_Toc14995"/>
      <w:bookmarkStart w:id="490" w:name="_Toc20088"/>
      <w:r>
        <w:rPr>
          <w:rFonts w:hint="eastAsia" w:hAnsi="宋体" w:cs="宋体"/>
          <w:color w:val="auto"/>
          <w:sz w:val="30"/>
          <w:szCs w:val="30"/>
          <w:highlight w:val="none"/>
          <w:lang w:val="zh-CN"/>
        </w:rPr>
        <w:t>投标报价明细表</w:t>
      </w:r>
      <w:bookmarkEnd w:id="489"/>
      <w:bookmarkEnd w:id="490"/>
      <w:r>
        <w:rPr>
          <w:rFonts w:hint="eastAsia" w:ascii="宋体" w:hAnsi="宋体" w:cs="宋体"/>
          <w:color w:val="auto"/>
          <w:sz w:val="24"/>
          <w:szCs w:val="32"/>
          <w:highlight w:val="none"/>
        </w:rPr>
        <w:t>（格式</w:t>
      </w:r>
      <w:r>
        <w:rPr>
          <w:rFonts w:hint="eastAsia" w:ascii="宋体" w:hAnsi="宋体" w:cs="宋体"/>
          <w:color w:val="auto"/>
          <w:sz w:val="24"/>
          <w:szCs w:val="32"/>
          <w:highlight w:val="none"/>
          <w:lang w:eastAsia="zh-CN"/>
        </w:rPr>
        <w:t>可自拟</w:t>
      </w:r>
      <w:r>
        <w:rPr>
          <w:rFonts w:hint="eastAsia" w:ascii="宋体" w:hAnsi="宋体" w:cs="宋体"/>
          <w:color w:val="auto"/>
          <w:sz w:val="24"/>
          <w:szCs w:val="32"/>
          <w:highlight w:val="none"/>
        </w:rPr>
        <w:t>）</w:t>
      </w:r>
    </w:p>
    <w:p w14:paraId="02C682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p w14:paraId="14C37A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采购编号：     </w:t>
      </w:r>
    </w:p>
    <w:tbl>
      <w:tblPr>
        <w:tblStyle w:val="19"/>
        <w:tblW w:w="9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3"/>
        <w:gridCol w:w="1819"/>
        <w:gridCol w:w="12"/>
        <w:gridCol w:w="1438"/>
        <w:gridCol w:w="1660"/>
        <w:gridCol w:w="512"/>
        <w:gridCol w:w="412"/>
        <w:gridCol w:w="211"/>
        <w:gridCol w:w="653"/>
        <w:gridCol w:w="1728"/>
      </w:tblGrid>
      <w:tr w14:paraId="3371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925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5C1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鸿雁人才公寓运营服务项目</w:t>
            </w:r>
          </w:p>
        </w:tc>
      </w:tr>
      <w:tr w14:paraId="66B3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4587">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项目</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5ADCE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人员类别</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3D606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数量（人）</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23959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工资（元/月）</w:t>
            </w: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1C4BF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数量</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755D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单位</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86E015">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工资总额（元）</w:t>
            </w:r>
          </w:p>
        </w:tc>
      </w:tr>
      <w:tr w14:paraId="43E8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925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5AF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前期介入服务费</w:t>
            </w:r>
          </w:p>
        </w:tc>
      </w:tr>
      <w:tr w14:paraId="595C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7BFC1D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薪资</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EE61D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店长</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ED2BB">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E6C5C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3730D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2</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BE481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4D042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29E9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3EEA89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4852F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
              </w:rPr>
              <w:t>主管</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BDAEB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F894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8449A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2</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BC797">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39A19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50AA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123E9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1D5F9">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管家</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B0F36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4</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6809A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76A8B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2</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B38680">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AF7C2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0C3C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1AFCFD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AC0BE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维修人员</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9BCA3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56235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79119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52B9D8">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4EF5D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197E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367F90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279E5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保安</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6F47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3</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EF32B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D989D1">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18ECF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CE780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6A96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EC129E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7C6FC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保洁</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5E889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5</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7B7DB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A5C26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1</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1D8C7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2843E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508F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67828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6BD333">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BD5C0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5C57B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395E9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kern w:val="0"/>
                <w:sz w:val="24"/>
                <w:szCs w:val="24"/>
              </w:rPr>
            </w:pP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078A2F">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color w:val="auto"/>
                <w:kern w:val="0"/>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7AC6B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47AF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98C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项目</w:t>
            </w:r>
          </w:p>
        </w:tc>
        <w:tc>
          <w:tcPr>
            <w:tcW w:w="183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9B553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名称</w:t>
            </w:r>
          </w:p>
        </w:tc>
        <w:tc>
          <w:tcPr>
            <w:tcW w:w="488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BFA1C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服务内容</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02341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金额（元）</w:t>
            </w:r>
          </w:p>
        </w:tc>
      </w:tr>
      <w:tr w14:paraId="1960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0CC00C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其他</w:t>
            </w:r>
          </w:p>
        </w:tc>
        <w:tc>
          <w:tcPr>
            <w:tcW w:w="183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DB8B30">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系统对接费用</w:t>
            </w:r>
          </w:p>
        </w:tc>
        <w:tc>
          <w:tcPr>
            <w:tcW w:w="488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319C7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1659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47CA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AC57C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3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49229C">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i w:val="0"/>
                <w:color w:val="auto"/>
                <w:kern w:val="0"/>
                <w:sz w:val="22"/>
                <w:szCs w:val="22"/>
                <w:lang w:val="en-US" w:eastAsia="zh-CN" w:bidi="ar"/>
              </w:rPr>
              <w:t>其他费用</w:t>
            </w:r>
          </w:p>
        </w:tc>
        <w:tc>
          <w:tcPr>
            <w:tcW w:w="488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DF71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89BA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5DC5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0F76261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3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0F599A">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w:t>
            </w:r>
          </w:p>
        </w:tc>
        <w:tc>
          <w:tcPr>
            <w:tcW w:w="488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BF5D1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29383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7BBF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54E7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小计</w:t>
            </w:r>
          </w:p>
        </w:tc>
        <w:tc>
          <w:tcPr>
            <w:tcW w:w="4034"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8182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DD40D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项</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E6860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p>
        </w:tc>
      </w:tr>
      <w:tr w14:paraId="47FB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130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项目</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A1578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人员类别</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65902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数量（人）</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08BB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工资（元/月）</w:t>
            </w: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6BB3A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数量</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29BCC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单位</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D431D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2"/>
                <w:sz w:val="24"/>
                <w:szCs w:val="24"/>
              </w:rPr>
            </w:pPr>
            <w:r>
              <w:rPr>
                <w:rFonts w:hint="eastAsia" w:ascii="宋体" w:hAnsi="宋体" w:eastAsia="宋体" w:cs="宋体"/>
                <w:b/>
                <w:color w:val="auto"/>
                <w:kern w:val="0"/>
                <w:sz w:val="24"/>
                <w:szCs w:val="24"/>
                <w:lang w:val="en-US" w:eastAsia="zh-CN" w:bidi="ar"/>
              </w:rPr>
              <w:t>工资总额（元）</w:t>
            </w:r>
          </w:p>
        </w:tc>
      </w:tr>
      <w:tr w14:paraId="02DB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4" w:hRule="atLeast"/>
          <w:jc w:val="center"/>
        </w:trPr>
        <w:tc>
          <w:tcPr>
            <w:tcW w:w="9258" w:type="dxa"/>
            <w:gridSpan w:val="10"/>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4B2A4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运营服务费</w:t>
            </w:r>
          </w:p>
        </w:tc>
      </w:tr>
      <w:tr w14:paraId="6778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81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6F784A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薪资</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93824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店长</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F7B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6DAB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FBD4D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474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170F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3CE1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A35E67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03BD5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主管</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35A37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4BB1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4592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7B26F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A06D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756F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1558FC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E0D6D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管家</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35F7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0079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7CE0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BF0A1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118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74DE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12B3BF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A53D8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维修人员</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8BA5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17271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6777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091E9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5AA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1E67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445A93F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AEA02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保安</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EB75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255B6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2DEAB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562A5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374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7365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jc w:val="center"/>
        </w:trPr>
        <w:tc>
          <w:tcPr>
            <w:tcW w:w="81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910ABC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69E64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保洁</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69D80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w:t>
            </w:r>
          </w:p>
        </w:tc>
        <w:tc>
          <w:tcPr>
            <w:tcW w:w="16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2CF4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A85EB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60</w:t>
            </w: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33CA4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E7E9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tc>
      </w:tr>
      <w:tr w14:paraId="7592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jc w:val="center"/>
        </w:trPr>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D93E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0"/>
                <w:sz w:val="24"/>
                <w:szCs w:val="24"/>
                <w:lang w:val="en-US" w:eastAsia="zh-CN" w:bidi="ar"/>
              </w:rPr>
              <w:t>小计</w:t>
            </w:r>
          </w:p>
        </w:tc>
        <w:tc>
          <w:tcPr>
            <w:tcW w:w="14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86D4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15</w:t>
            </w:r>
          </w:p>
        </w:tc>
        <w:tc>
          <w:tcPr>
            <w:tcW w:w="1660" w:type="dxa"/>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4C5FBA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92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F6B5E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86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AD90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color w:val="auto"/>
                <w:kern w:val="0"/>
                <w:sz w:val="24"/>
                <w:szCs w:val="24"/>
                <w:lang w:val="en-US" w:eastAsia="zh-CN" w:bidi="ar"/>
              </w:rPr>
              <w:t>月</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118AF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2D8D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jc w:val="center"/>
        </w:trPr>
        <w:tc>
          <w:tcPr>
            <w:tcW w:w="8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48260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项目</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95C8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名称</w:t>
            </w:r>
          </w:p>
        </w:tc>
        <w:tc>
          <w:tcPr>
            <w:tcW w:w="4898"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F92A8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服务内容（或设备）</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741B1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bidi="ar"/>
              </w:rPr>
              <w:t>金额（元）</w:t>
            </w:r>
          </w:p>
        </w:tc>
      </w:tr>
      <w:tr w14:paraId="0258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81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12DB4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其他</w:t>
            </w: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8FBCD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23DE7D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5AE554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数量</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4557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单位</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524C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6539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5FDF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70DDF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社群活动费</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3D930E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71B14D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88E5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B4B4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04A0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2E05E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4AF76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公区装饰装修（氛围提升）费</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356CDA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B19BC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94E6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B56C2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6955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8072D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9DFD5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系统使用费</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15D464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12C10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4487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0C73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7AC9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733F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E9FD6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保险费</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34C8D3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color w:val="auto"/>
                <w:kern w:val="0"/>
                <w:sz w:val="24"/>
                <w:szCs w:val="24"/>
                <w:lang w:val="en-US" w:eastAsia="zh-CN" w:bidi="ar"/>
              </w:rPr>
              <w:t>公众责任险</w:t>
            </w: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7F951C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3C2D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D23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6D7C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78B65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33A39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r>
              <w:rPr>
                <w:rFonts w:hint="eastAsia" w:ascii="宋体" w:hAnsi="宋体" w:eastAsia="宋体" w:cs="宋体"/>
                <w:i w:val="0"/>
                <w:color w:val="auto"/>
                <w:kern w:val="0"/>
                <w:sz w:val="22"/>
                <w:szCs w:val="22"/>
                <w:lang w:val="en-US" w:eastAsia="zh-CN" w:bidi="ar"/>
              </w:rPr>
              <w:t>其他费用</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79372C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7C46FDE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5</w:t>
            </w: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A7B5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年</w:t>
            </w: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3915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3981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8FCBC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5E7EA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color w:val="auto"/>
                <w:kern w:val="0"/>
                <w:sz w:val="22"/>
                <w:szCs w:val="22"/>
              </w:rPr>
            </w:pP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42D8D7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2D1E14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C7A99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257E2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1088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74037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8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B187D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317A9D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1DEF31A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B0D4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37D7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54FD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263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D4B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rPr>
            </w:pPr>
            <w:r>
              <w:rPr>
                <w:rFonts w:hint="eastAsia" w:ascii="宋体" w:hAnsi="宋体" w:eastAsia="宋体" w:cs="宋体"/>
                <w:b/>
                <w:bCs w:val="0"/>
                <w:color w:val="auto"/>
                <w:kern w:val="0"/>
                <w:sz w:val="24"/>
                <w:szCs w:val="24"/>
                <w:lang w:val="en-US" w:eastAsia="zh-CN" w:bidi="ar"/>
              </w:rPr>
              <w:t>小计</w:t>
            </w:r>
          </w:p>
        </w:tc>
        <w:tc>
          <w:tcPr>
            <w:tcW w:w="3622" w:type="dxa"/>
            <w:gridSpan w:val="4"/>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0F7BE6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Cs/>
                <w:color w:val="auto"/>
                <w:kern w:val="2"/>
                <w:sz w:val="24"/>
                <w:szCs w:val="24"/>
                <w:lang w:val="en-US" w:eastAsia="zh-CN" w:bidi="ar"/>
              </w:rPr>
              <w:t>/</w:t>
            </w:r>
          </w:p>
        </w:tc>
        <w:tc>
          <w:tcPr>
            <w:tcW w:w="623"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14:paraId="41E28F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rPr>
            </w:pPr>
          </w:p>
        </w:tc>
        <w:tc>
          <w:tcPr>
            <w:tcW w:w="6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0C98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rPr>
            </w:pPr>
          </w:p>
        </w:tc>
        <w:tc>
          <w:tcPr>
            <w:tcW w:w="17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0F5E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p>
        </w:tc>
      </w:tr>
      <w:tr w14:paraId="4E9C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9CD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0"/>
                <w:sz w:val="24"/>
                <w:szCs w:val="24"/>
                <w:lang w:val="en-US" w:eastAsia="zh-CN" w:bidi="ar"/>
              </w:rPr>
              <w:t>总计</w:t>
            </w:r>
          </w:p>
        </w:tc>
        <w:tc>
          <w:tcPr>
            <w:tcW w:w="6626"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5C55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人民币</w:t>
            </w:r>
            <w:r>
              <w:rPr>
                <w:rFonts w:hint="eastAsia" w:ascii="宋体" w:hAnsi="宋体" w:eastAsia="宋体" w:cs="宋体"/>
                <w:b/>
                <w:bCs w:val="0"/>
                <w:color w:val="auto"/>
                <w:kern w:val="2"/>
                <w:sz w:val="24"/>
                <w:szCs w:val="24"/>
                <w:u w:val="single"/>
                <w:lang w:val="en-US" w:eastAsia="zh-CN" w:bidi="ar"/>
              </w:rPr>
              <w:t xml:space="preserve">              </w:t>
            </w:r>
            <w:r>
              <w:rPr>
                <w:rFonts w:hint="eastAsia" w:ascii="宋体" w:hAnsi="宋体" w:eastAsia="宋体" w:cs="宋体"/>
                <w:b/>
                <w:color w:val="auto"/>
                <w:kern w:val="2"/>
                <w:sz w:val="24"/>
                <w:szCs w:val="24"/>
                <w:u w:val="single"/>
                <w:lang w:val="en-US" w:eastAsia="zh-CN" w:bidi="ar"/>
              </w:rPr>
              <w:t xml:space="preserve"> </w:t>
            </w:r>
            <w:r>
              <w:rPr>
                <w:rFonts w:hint="eastAsia" w:ascii="宋体" w:hAnsi="宋体" w:eastAsia="宋体" w:cs="宋体"/>
                <w:b/>
                <w:bCs w:val="0"/>
                <w:color w:val="auto"/>
                <w:kern w:val="2"/>
                <w:sz w:val="24"/>
                <w:szCs w:val="24"/>
                <w:lang w:val="en-US" w:eastAsia="zh-CN" w:bidi="ar"/>
              </w:rPr>
              <w:t>元</w:t>
            </w:r>
          </w:p>
          <w:p w14:paraId="07B631C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rPr>
            </w:pPr>
            <w:r>
              <w:rPr>
                <w:rFonts w:hint="eastAsia" w:ascii="宋体" w:hAnsi="宋体" w:eastAsia="宋体" w:cs="宋体"/>
                <w:b/>
                <w:bCs w:val="0"/>
                <w:color w:val="auto"/>
                <w:kern w:val="2"/>
                <w:sz w:val="24"/>
                <w:szCs w:val="24"/>
                <w:lang w:val="en-US" w:eastAsia="zh-CN" w:bidi="ar"/>
              </w:rPr>
              <w:t>（小写</w:t>
            </w:r>
            <w:r>
              <w:rPr>
                <w:rFonts w:hint="eastAsia" w:ascii="宋体" w:hAnsi="宋体" w:eastAsia="宋体" w:cs="宋体"/>
                <w:b/>
                <w:bCs w:val="0"/>
                <w:color w:val="auto"/>
                <w:kern w:val="2"/>
                <w:sz w:val="24"/>
                <w:szCs w:val="24"/>
                <w:u w:val="single"/>
                <w:lang w:val="en-US" w:eastAsia="zh-CN" w:bidi="ar"/>
              </w:rPr>
              <w:t xml:space="preserve">                </w:t>
            </w:r>
            <w:r>
              <w:rPr>
                <w:rFonts w:hint="eastAsia" w:ascii="宋体" w:hAnsi="宋体" w:eastAsia="宋体" w:cs="宋体"/>
                <w:b/>
                <w:bCs w:val="0"/>
                <w:color w:val="auto"/>
                <w:kern w:val="2"/>
                <w:sz w:val="24"/>
                <w:szCs w:val="24"/>
                <w:lang w:val="en-US" w:eastAsia="zh-CN" w:bidi="ar"/>
              </w:rPr>
              <w:t>元）</w:t>
            </w:r>
          </w:p>
        </w:tc>
      </w:tr>
    </w:tbl>
    <w:p w14:paraId="68FD6038">
      <w:pPr>
        <w:pStyle w:val="9"/>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注：内容可根据投标人实际情况自行调整。</w:t>
      </w:r>
    </w:p>
    <w:p w14:paraId="282A45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A9EE">
    <w:pPr>
      <w:pStyle w:val="11"/>
      <w:rPr>
        <w:rStyle w:val="22"/>
      </w:rPr>
    </w:pPr>
  </w:p>
  <w:p w14:paraId="4EB66BE6">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E15B">
    <w:pPr>
      <w:pStyle w:val="11"/>
      <w:rPr>
        <w:rStyle w:val="2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540919">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E540919">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D69DC90">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01F6">
    <w:pPr>
      <w:pStyle w:val="11"/>
      <w:rPr>
        <w:rStyle w:val="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46D7E7">
                          <w:pPr>
                            <w:pStyle w:val="11"/>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846D7E7">
                    <w:pPr>
                      <w:pStyle w:val="11"/>
                    </w:pPr>
                    <w:r>
                      <w:fldChar w:fldCharType="begin"/>
                    </w:r>
                    <w:r>
                      <w:instrText xml:space="preserve"> PAGE  \* MERGEFORMAT </w:instrText>
                    </w:r>
                    <w:r>
                      <w:fldChar w:fldCharType="separate"/>
                    </w:r>
                    <w:r>
                      <w:t>34</w:t>
                    </w:r>
                    <w:r>
                      <w:fldChar w:fldCharType="end"/>
                    </w:r>
                  </w:p>
                </w:txbxContent>
              </v:textbox>
            </v:shape>
          </w:pict>
        </mc:Fallback>
      </mc:AlternateContent>
    </w:r>
  </w:p>
  <w:p w14:paraId="37AE16D3">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3001">
    <w:pPr>
      <w:pStyle w:val="12"/>
      <w:pBdr>
        <w:bottom w:val="none" w:color="auto" w:sz="0" w:space="1"/>
      </w:pBdr>
      <w:ind w:left="1080" w:hanging="1080" w:hangingChars="600"/>
      <w:jc w:val="both"/>
      <w:rPr>
        <w:rFonts w:hint="eastAsia"/>
        <w:color w:val="FF0000"/>
      </w:rPr>
    </w:pPr>
    <w:r>
      <w:rPr>
        <w:rFonts w:hint="eastAsia"/>
        <w:color w:val="FF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46FE">
    <w:pPr>
      <w:pStyle w:val="12"/>
      <w:pBdr>
        <w:bottom w:val="none" w:color="auto" w:sz="0" w:space="1"/>
      </w:pBdr>
      <w:ind w:left="1080" w:hanging="1080" w:hangingChars="600"/>
      <w:jc w:val="both"/>
      <w:rPr>
        <w:rFonts w:hint="eastAsia"/>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6116E61"/>
    <w:multiLevelType w:val="singleLevel"/>
    <w:tmpl w:val="86116E61"/>
    <w:lvl w:ilvl="0" w:tentative="0">
      <w:start w:val="1"/>
      <w:numFmt w:val="decimal"/>
      <w:suff w:val="nothing"/>
      <w:lvlText w:val="%1．"/>
      <w:lvlJc w:val="left"/>
      <w:pPr>
        <w:ind w:left="0" w:firstLine="400"/>
      </w:pPr>
      <w:rPr>
        <w:rFonts w:hint="default"/>
      </w:rPr>
    </w:lvl>
  </w:abstractNum>
  <w:abstractNum w:abstractNumId="2">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3">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4">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5">
    <w:nsid w:val="961ADF70"/>
    <w:multiLevelType w:val="singleLevel"/>
    <w:tmpl w:val="961ADF70"/>
    <w:lvl w:ilvl="0" w:tentative="0">
      <w:start w:val="1"/>
      <w:numFmt w:val="decimalEnclosedCircleChinese"/>
      <w:suff w:val="nothing"/>
      <w:lvlText w:val="%1　"/>
      <w:lvlJc w:val="left"/>
      <w:pPr>
        <w:ind w:left="0" w:firstLine="1134"/>
      </w:pPr>
      <w:rPr>
        <w:rFonts w:hint="eastAsia"/>
      </w:rPr>
    </w:lvl>
  </w:abstractNum>
  <w:abstractNum w:abstractNumId="6">
    <w:nsid w:val="9AB76A86"/>
    <w:multiLevelType w:val="singleLevel"/>
    <w:tmpl w:val="9AB76A86"/>
    <w:lvl w:ilvl="0" w:tentative="0">
      <w:start w:val="1"/>
      <w:numFmt w:val="decimal"/>
      <w:suff w:val="nothing"/>
      <w:lvlText w:val="%1．"/>
      <w:lvlJc w:val="left"/>
      <w:pPr>
        <w:ind w:left="0" w:firstLine="400"/>
      </w:pPr>
      <w:rPr>
        <w:rFonts w:hint="default"/>
      </w:rPr>
    </w:lvl>
  </w:abstractNum>
  <w:abstractNum w:abstractNumId="7">
    <w:nsid w:val="9CC5E161"/>
    <w:multiLevelType w:val="singleLevel"/>
    <w:tmpl w:val="9CC5E161"/>
    <w:lvl w:ilvl="0" w:tentative="0">
      <w:start w:val="1"/>
      <w:numFmt w:val="decimal"/>
      <w:suff w:val="nothing"/>
      <w:lvlText w:val="%1．"/>
      <w:lvlJc w:val="left"/>
      <w:pPr>
        <w:ind w:left="0" w:firstLine="400"/>
      </w:pPr>
      <w:rPr>
        <w:rFonts w:hint="default"/>
      </w:rPr>
    </w:lvl>
  </w:abstractNum>
  <w:abstractNum w:abstractNumId="8">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9">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10">
    <w:nsid w:val="A6A526BD"/>
    <w:multiLevelType w:val="singleLevel"/>
    <w:tmpl w:val="A6A526BD"/>
    <w:lvl w:ilvl="0" w:tentative="0">
      <w:start w:val="1"/>
      <w:numFmt w:val="decimal"/>
      <w:suff w:val="nothing"/>
      <w:lvlText w:val="%1．"/>
      <w:lvlJc w:val="left"/>
      <w:pPr>
        <w:ind w:left="0" w:firstLine="400"/>
      </w:pPr>
      <w:rPr>
        <w:rFonts w:hint="default"/>
      </w:rPr>
    </w:lvl>
  </w:abstractNum>
  <w:abstractNum w:abstractNumId="11">
    <w:nsid w:val="B1F537D2"/>
    <w:multiLevelType w:val="singleLevel"/>
    <w:tmpl w:val="B1F537D2"/>
    <w:lvl w:ilvl="0" w:tentative="0">
      <w:start w:val="1"/>
      <w:numFmt w:val="decimal"/>
      <w:suff w:val="nothing"/>
      <w:lvlText w:val="%1．"/>
      <w:lvlJc w:val="left"/>
      <w:pPr>
        <w:ind w:left="0" w:firstLine="400"/>
      </w:pPr>
      <w:rPr>
        <w:rFonts w:hint="default"/>
      </w:rPr>
    </w:lvl>
  </w:abstractNum>
  <w:abstractNum w:abstractNumId="12">
    <w:nsid w:val="B463C93B"/>
    <w:multiLevelType w:val="singleLevel"/>
    <w:tmpl w:val="B463C93B"/>
    <w:lvl w:ilvl="0" w:tentative="0">
      <w:start w:val="1"/>
      <w:numFmt w:val="decimalEnclosedCircleChinese"/>
      <w:suff w:val="nothing"/>
      <w:lvlText w:val="%1　"/>
      <w:lvlJc w:val="left"/>
      <w:pPr>
        <w:ind w:left="0" w:firstLine="400"/>
      </w:pPr>
      <w:rPr>
        <w:rFonts w:hint="eastAsia"/>
      </w:rPr>
    </w:lvl>
  </w:abstractNum>
  <w:abstractNum w:abstractNumId="13">
    <w:nsid w:val="BDA9BB62"/>
    <w:multiLevelType w:val="singleLevel"/>
    <w:tmpl w:val="BDA9BB62"/>
    <w:lvl w:ilvl="0" w:tentative="0">
      <w:start w:val="1"/>
      <w:numFmt w:val="decimalEnclosedCircleChinese"/>
      <w:suff w:val="nothing"/>
      <w:lvlText w:val="%1　"/>
      <w:lvlJc w:val="left"/>
      <w:pPr>
        <w:ind w:left="0" w:firstLine="1134"/>
      </w:pPr>
      <w:rPr>
        <w:rFonts w:hint="eastAsia"/>
      </w:rPr>
    </w:lvl>
  </w:abstractNum>
  <w:abstractNum w:abstractNumId="14">
    <w:nsid w:val="BFB1BAFE"/>
    <w:multiLevelType w:val="singleLevel"/>
    <w:tmpl w:val="BFB1BAFE"/>
    <w:lvl w:ilvl="0" w:tentative="0">
      <w:start w:val="1"/>
      <w:numFmt w:val="decimal"/>
      <w:suff w:val="nothing"/>
      <w:lvlText w:val="%1．"/>
      <w:lvlJc w:val="left"/>
      <w:pPr>
        <w:ind w:left="0" w:firstLine="400"/>
      </w:pPr>
      <w:rPr>
        <w:rFonts w:hint="default"/>
      </w:rPr>
    </w:lvl>
  </w:abstractNum>
  <w:abstractNum w:abstractNumId="15">
    <w:nsid w:val="C18E367E"/>
    <w:multiLevelType w:val="singleLevel"/>
    <w:tmpl w:val="C18E367E"/>
    <w:lvl w:ilvl="0" w:tentative="0">
      <w:start w:val="1"/>
      <w:numFmt w:val="decimal"/>
      <w:suff w:val="nothing"/>
      <w:lvlText w:val="%1．"/>
      <w:lvlJc w:val="left"/>
      <w:pPr>
        <w:ind w:left="0" w:firstLine="400"/>
      </w:pPr>
      <w:rPr>
        <w:rFonts w:hint="default"/>
      </w:rPr>
    </w:lvl>
  </w:abstractNum>
  <w:abstractNum w:abstractNumId="16">
    <w:nsid w:val="C268800D"/>
    <w:multiLevelType w:val="singleLevel"/>
    <w:tmpl w:val="C268800D"/>
    <w:lvl w:ilvl="0" w:tentative="0">
      <w:start w:val="1"/>
      <w:numFmt w:val="decimalEnclosedCircleChinese"/>
      <w:suff w:val="nothing"/>
      <w:lvlText w:val="%1　"/>
      <w:lvlJc w:val="left"/>
      <w:pPr>
        <w:ind w:left="0" w:firstLine="400"/>
      </w:pPr>
      <w:rPr>
        <w:rFonts w:hint="eastAsia"/>
      </w:rPr>
    </w:lvl>
  </w:abstractNum>
  <w:abstractNum w:abstractNumId="17">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8">
    <w:nsid w:val="C66C600A"/>
    <w:multiLevelType w:val="singleLevel"/>
    <w:tmpl w:val="C66C600A"/>
    <w:lvl w:ilvl="0" w:tentative="0">
      <w:start w:val="1"/>
      <w:numFmt w:val="decimal"/>
      <w:suff w:val="nothing"/>
      <w:lvlText w:val="%1．"/>
      <w:lvlJc w:val="left"/>
      <w:pPr>
        <w:ind w:left="0" w:firstLine="400"/>
      </w:pPr>
      <w:rPr>
        <w:rFonts w:hint="default"/>
      </w:rPr>
    </w:lvl>
  </w:abstractNum>
  <w:abstractNum w:abstractNumId="19">
    <w:nsid w:val="C7507CBF"/>
    <w:multiLevelType w:val="singleLevel"/>
    <w:tmpl w:val="C7507CBF"/>
    <w:lvl w:ilvl="0" w:tentative="0">
      <w:start w:val="1"/>
      <w:numFmt w:val="decimalEnclosedCircleChinese"/>
      <w:suff w:val="nothing"/>
      <w:lvlText w:val="%1　"/>
      <w:lvlJc w:val="left"/>
      <w:pPr>
        <w:ind w:left="0" w:firstLine="1134"/>
      </w:pPr>
      <w:rPr>
        <w:rFonts w:hint="eastAsia"/>
      </w:rPr>
    </w:lvl>
  </w:abstractNum>
  <w:abstractNum w:abstractNumId="20">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21">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22">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23">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24">
    <w:nsid w:val="E88CE38B"/>
    <w:multiLevelType w:val="singleLevel"/>
    <w:tmpl w:val="E88CE38B"/>
    <w:lvl w:ilvl="0" w:tentative="0">
      <w:start w:val="1"/>
      <w:numFmt w:val="decimal"/>
      <w:suff w:val="nothing"/>
      <w:lvlText w:val="%1．"/>
      <w:lvlJc w:val="left"/>
      <w:pPr>
        <w:ind w:left="0" w:firstLine="400"/>
      </w:pPr>
      <w:rPr>
        <w:rFonts w:hint="default"/>
      </w:rPr>
    </w:lvl>
  </w:abstractNum>
  <w:abstractNum w:abstractNumId="25">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26">
    <w:nsid w:val="F58F2419"/>
    <w:multiLevelType w:val="singleLevel"/>
    <w:tmpl w:val="F58F2419"/>
    <w:lvl w:ilvl="0" w:tentative="0">
      <w:start w:val="1"/>
      <w:numFmt w:val="chineseCounting"/>
      <w:suff w:val="nothing"/>
      <w:lvlText w:val="%1、"/>
      <w:lvlJc w:val="left"/>
      <w:pPr>
        <w:ind w:left="0" w:firstLine="420"/>
      </w:pPr>
      <w:rPr>
        <w:rFonts w:hint="eastAsia"/>
      </w:rPr>
    </w:lvl>
  </w:abstractNum>
  <w:abstractNum w:abstractNumId="27">
    <w:nsid w:val="F6B56090"/>
    <w:multiLevelType w:val="singleLevel"/>
    <w:tmpl w:val="F6B56090"/>
    <w:lvl w:ilvl="0" w:tentative="0">
      <w:start w:val="1"/>
      <w:numFmt w:val="chineseCounting"/>
      <w:suff w:val="nothing"/>
      <w:lvlText w:val="%1、"/>
      <w:lvlJc w:val="left"/>
      <w:pPr>
        <w:ind w:left="0" w:firstLine="397"/>
      </w:pPr>
      <w:rPr>
        <w:rFonts w:hint="eastAsia"/>
      </w:rPr>
    </w:lvl>
  </w:abstractNum>
  <w:abstractNum w:abstractNumId="28">
    <w:nsid w:val="F8D2A4B3"/>
    <w:multiLevelType w:val="singleLevel"/>
    <w:tmpl w:val="F8D2A4B3"/>
    <w:lvl w:ilvl="0" w:tentative="0">
      <w:start w:val="1"/>
      <w:numFmt w:val="decimal"/>
      <w:suff w:val="nothing"/>
      <w:lvlText w:val="%1．"/>
      <w:lvlJc w:val="left"/>
      <w:pPr>
        <w:ind w:left="0" w:firstLine="400"/>
      </w:pPr>
      <w:rPr>
        <w:rFonts w:hint="default"/>
      </w:rPr>
    </w:lvl>
  </w:abstractNum>
  <w:abstractNum w:abstractNumId="29">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30">
    <w:nsid w:val="05D785F5"/>
    <w:multiLevelType w:val="singleLevel"/>
    <w:tmpl w:val="05D785F5"/>
    <w:lvl w:ilvl="0" w:tentative="0">
      <w:start w:val="1"/>
      <w:numFmt w:val="decimal"/>
      <w:suff w:val="nothing"/>
      <w:lvlText w:val="%1．"/>
      <w:lvlJc w:val="left"/>
      <w:pPr>
        <w:ind w:left="0" w:firstLine="400"/>
      </w:pPr>
      <w:rPr>
        <w:rFonts w:hint="default"/>
      </w:rPr>
    </w:lvl>
  </w:abstractNum>
  <w:abstractNum w:abstractNumId="31">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32">
    <w:nsid w:val="18D8B6CC"/>
    <w:multiLevelType w:val="singleLevel"/>
    <w:tmpl w:val="18D8B6CC"/>
    <w:lvl w:ilvl="0" w:tentative="0">
      <w:start w:val="35"/>
      <w:numFmt w:val="decimal"/>
      <w:lvlText w:val="%1."/>
      <w:lvlJc w:val="left"/>
      <w:pPr>
        <w:tabs>
          <w:tab w:val="left" w:pos="312"/>
        </w:tabs>
      </w:pPr>
    </w:lvl>
  </w:abstractNum>
  <w:abstractNum w:abstractNumId="33">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34">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35">
    <w:nsid w:val="20CCA28D"/>
    <w:multiLevelType w:val="singleLevel"/>
    <w:tmpl w:val="20CCA28D"/>
    <w:lvl w:ilvl="0" w:tentative="0">
      <w:start w:val="1"/>
      <w:numFmt w:val="decimal"/>
      <w:suff w:val="nothing"/>
      <w:lvlText w:val="%1．"/>
      <w:lvlJc w:val="left"/>
      <w:pPr>
        <w:ind w:left="0" w:firstLine="400"/>
      </w:pPr>
      <w:rPr>
        <w:rFonts w:hint="default"/>
      </w:rPr>
    </w:lvl>
  </w:abstractNum>
  <w:abstractNum w:abstractNumId="36">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37">
    <w:nsid w:val="255B6922"/>
    <w:multiLevelType w:val="singleLevel"/>
    <w:tmpl w:val="255B6922"/>
    <w:lvl w:ilvl="0" w:tentative="0">
      <w:start w:val="1"/>
      <w:numFmt w:val="decimalEnclosedCircleChinese"/>
      <w:suff w:val="nothing"/>
      <w:lvlText w:val="%1　"/>
      <w:lvlJc w:val="left"/>
      <w:pPr>
        <w:ind w:left="0" w:firstLine="400"/>
      </w:pPr>
      <w:rPr>
        <w:rFonts w:hint="eastAsia"/>
      </w:rPr>
    </w:lvl>
  </w:abstractNum>
  <w:abstractNum w:abstractNumId="38">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39">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40">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41">
    <w:nsid w:val="2AA2E85D"/>
    <w:multiLevelType w:val="singleLevel"/>
    <w:tmpl w:val="2AA2E85D"/>
    <w:lvl w:ilvl="0" w:tentative="0">
      <w:start w:val="1"/>
      <w:numFmt w:val="decimal"/>
      <w:suff w:val="nothing"/>
      <w:lvlText w:val="%1．"/>
      <w:lvlJc w:val="left"/>
      <w:pPr>
        <w:ind w:left="0" w:firstLine="400"/>
      </w:pPr>
      <w:rPr>
        <w:rFonts w:hint="default"/>
      </w:rPr>
    </w:lvl>
  </w:abstractNum>
  <w:abstractNum w:abstractNumId="42">
    <w:nsid w:val="2D82B79A"/>
    <w:multiLevelType w:val="singleLevel"/>
    <w:tmpl w:val="2D82B79A"/>
    <w:lvl w:ilvl="0" w:tentative="0">
      <w:start w:val="1"/>
      <w:numFmt w:val="decimalEnclosedCircleChinese"/>
      <w:suff w:val="nothing"/>
      <w:lvlText w:val="%1　"/>
      <w:lvlJc w:val="left"/>
      <w:pPr>
        <w:ind w:left="0" w:firstLine="1134"/>
      </w:pPr>
      <w:rPr>
        <w:rFonts w:hint="eastAsia"/>
      </w:rPr>
    </w:lvl>
  </w:abstractNum>
  <w:abstractNum w:abstractNumId="43">
    <w:nsid w:val="2F7B2CB8"/>
    <w:multiLevelType w:val="singleLevel"/>
    <w:tmpl w:val="2F7B2CB8"/>
    <w:lvl w:ilvl="0" w:tentative="0">
      <w:start w:val="1"/>
      <w:numFmt w:val="decimal"/>
      <w:suff w:val="nothing"/>
      <w:lvlText w:val="%1．"/>
      <w:lvlJc w:val="left"/>
      <w:pPr>
        <w:ind w:left="0" w:firstLine="400"/>
      </w:pPr>
      <w:rPr>
        <w:rFonts w:hint="default"/>
      </w:rPr>
    </w:lvl>
  </w:abstractNum>
  <w:abstractNum w:abstractNumId="44">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45">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46">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47">
    <w:nsid w:val="4307BA05"/>
    <w:multiLevelType w:val="singleLevel"/>
    <w:tmpl w:val="4307BA05"/>
    <w:lvl w:ilvl="0" w:tentative="0">
      <w:start w:val="1"/>
      <w:numFmt w:val="decimalEnclosedCircleChinese"/>
      <w:suff w:val="nothing"/>
      <w:lvlText w:val="%1　"/>
      <w:lvlJc w:val="left"/>
      <w:pPr>
        <w:ind w:left="0" w:firstLine="1134"/>
      </w:pPr>
      <w:rPr>
        <w:rFonts w:hint="eastAsia"/>
      </w:rPr>
    </w:lvl>
  </w:abstractNum>
  <w:abstractNum w:abstractNumId="48">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49">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50">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51">
    <w:nsid w:val="53D558A2"/>
    <w:multiLevelType w:val="singleLevel"/>
    <w:tmpl w:val="53D558A2"/>
    <w:lvl w:ilvl="0" w:tentative="0">
      <w:start w:val="1"/>
      <w:numFmt w:val="chineseCounting"/>
      <w:suff w:val="nothing"/>
      <w:lvlText w:val="%1、"/>
      <w:lvlJc w:val="left"/>
      <w:pPr>
        <w:ind w:left="0" w:firstLine="420"/>
      </w:pPr>
      <w:rPr>
        <w:rFonts w:hint="eastAsia"/>
      </w:rPr>
    </w:lvl>
  </w:abstractNum>
  <w:abstractNum w:abstractNumId="52">
    <w:nsid w:val="5650FDE8"/>
    <w:multiLevelType w:val="singleLevel"/>
    <w:tmpl w:val="5650FDE8"/>
    <w:lvl w:ilvl="0" w:tentative="0">
      <w:start w:val="1"/>
      <w:numFmt w:val="decimal"/>
      <w:suff w:val="nothing"/>
      <w:lvlText w:val="%1．"/>
      <w:lvlJc w:val="left"/>
      <w:pPr>
        <w:ind w:left="0" w:firstLine="400"/>
      </w:pPr>
      <w:rPr>
        <w:rFonts w:hint="default"/>
      </w:rPr>
    </w:lvl>
  </w:abstractNum>
  <w:abstractNum w:abstractNumId="53">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54">
    <w:nsid w:val="595AA099"/>
    <w:multiLevelType w:val="singleLevel"/>
    <w:tmpl w:val="595AA099"/>
    <w:lvl w:ilvl="0" w:tentative="0">
      <w:start w:val="1"/>
      <w:numFmt w:val="decimalEnclosedCircleChinese"/>
      <w:suff w:val="nothing"/>
      <w:lvlText w:val="%1　"/>
      <w:lvlJc w:val="left"/>
      <w:pPr>
        <w:ind w:left="0" w:firstLine="400"/>
      </w:pPr>
      <w:rPr>
        <w:rFonts w:hint="eastAsia"/>
      </w:rPr>
    </w:lvl>
  </w:abstractNum>
  <w:abstractNum w:abstractNumId="55">
    <w:nsid w:val="5B797492"/>
    <w:multiLevelType w:val="singleLevel"/>
    <w:tmpl w:val="5B797492"/>
    <w:lvl w:ilvl="0" w:tentative="0">
      <w:start w:val="1"/>
      <w:numFmt w:val="chineseCounting"/>
      <w:suff w:val="nothing"/>
      <w:lvlText w:val="%1、"/>
      <w:lvlJc w:val="left"/>
      <w:pPr>
        <w:ind w:left="0" w:firstLine="397"/>
      </w:pPr>
      <w:rPr>
        <w:rFonts w:hint="eastAsia"/>
      </w:rPr>
    </w:lvl>
  </w:abstractNum>
  <w:abstractNum w:abstractNumId="56">
    <w:nsid w:val="5D6DE8E6"/>
    <w:multiLevelType w:val="singleLevel"/>
    <w:tmpl w:val="5D6DE8E6"/>
    <w:lvl w:ilvl="0" w:tentative="0">
      <w:start w:val="1"/>
      <w:numFmt w:val="decimalEnclosedCircleChinese"/>
      <w:suff w:val="nothing"/>
      <w:lvlText w:val="%1　"/>
      <w:lvlJc w:val="left"/>
      <w:pPr>
        <w:ind w:left="0" w:firstLine="400"/>
      </w:pPr>
      <w:rPr>
        <w:rFonts w:hint="eastAsia"/>
      </w:rPr>
    </w:lvl>
  </w:abstractNum>
  <w:abstractNum w:abstractNumId="57">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58">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59">
    <w:nsid w:val="65766A6E"/>
    <w:multiLevelType w:val="singleLevel"/>
    <w:tmpl w:val="65766A6E"/>
    <w:lvl w:ilvl="0" w:tentative="0">
      <w:start w:val="1"/>
      <w:numFmt w:val="decimal"/>
      <w:suff w:val="nothing"/>
      <w:lvlText w:val="%1．"/>
      <w:lvlJc w:val="left"/>
      <w:pPr>
        <w:ind w:left="0" w:firstLine="400"/>
      </w:pPr>
      <w:rPr>
        <w:rFonts w:hint="default"/>
      </w:rPr>
    </w:lvl>
  </w:abstractNum>
  <w:abstractNum w:abstractNumId="60">
    <w:nsid w:val="68A7A228"/>
    <w:multiLevelType w:val="singleLevel"/>
    <w:tmpl w:val="68A7A228"/>
    <w:lvl w:ilvl="0" w:tentative="0">
      <w:start w:val="1"/>
      <w:numFmt w:val="decimal"/>
      <w:suff w:val="nothing"/>
      <w:lvlText w:val="%1、"/>
      <w:lvlJc w:val="left"/>
    </w:lvl>
  </w:abstractNum>
  <w:abstractNum w:abstractNumId="61">
    <w:nsid w:val="6C37AA9C"/>
    <w:multiLevelType w:val="singleLevel"/>
    <w:tmpl w:val="6C37AA9C"/>
    <w:lvl w:ilvl="0" w:tentative="0">
      <w:start w:val="1"/>
      <w:numFmt w:val="decimalEnclosedCircleChinese"/>
      <w:suff w:val="nothing"/>
      <w:lvlText w:val="%1　"/>
      <w:lvlJc w:val="left"/>
      <w:pPr>
        <w:ind w:left="0" w:firstLine="400"/>
      </w:pPr>
      <w:rPr>
        <w:rFonts w:hint="eastAsia"/>
      </w:rPr>
    </w:lvl>
  </w:abstractNum>
  <w:abstractNum w:abstractNumId="62">
    <w:nsid w:val="6E5F1911"/>
    <w:multiLevelType w:val="singleLevel"/>
    <w:tmpl w:val="6E5F1911"/>
    <w:lvl w:ilvl="0" w:tentative="0">
      <w:start w:val="1"/>
      <w:numFmt w:val="decimal"/>
      <w:suff w:val="nothing"/>
      <w:lvlText w:val="%1、"/>
      <w:lvlJc w:val="left"/>
    </w:lvl>
  </w:abstractNum>
  <w:abstractNum w:abstractNumId="63">
    <w:nsid w:val="6EF32394"/>
    <w:multiLevelType w:val="singleLevel"/>
    <w:tmpl w:val="6EF32394"/>
    <w:lvl w:ilvl="0" w:tentative="0">
      <w:start w:val="1"/>
      <w:numFmt w:val="decimal"/>
      <w:suff w:val="nothing"/>
      <w:lvlText w:val="7.%1 "/>
      <w:lvlJc w:val="left"/>
      <w:pPr>
        <w:tabs>
          <w:tab w:val="left" w:pos="0"/>
        </w:tabs>
        <w:ind w:left="570" w:firstLine="40"/>
      </w:pPr>
      <w:rPr>
        <w:rFonts w:hint="default" w:ascii="宋体" w:hAnsi="宋体" w:eastAsia="宋体" w:cs="宋体"/>
        <w:b/>
        <w:bCs/>
      </w:rPr>
    </w:lvl>
  </w:abstractNum>
  <w:abstractNum w:abstractNumId="64">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65">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66">
    <w:nsid w:val="7BF1EDBD"/>
    <w:multiLevelType w:val="singleLevel"/>
    <w:tmpl w:val="7BF1EDBD"/>
    <w:lvl w:ilvl="0" w:tentative="0">
      <w:start w:val="1"/>
      <w:numFmt w:val="decimal"/>
      <w:suff w:val="nothing"/>
      <w:lvlText w:val="%1．"/>
      <w:lvlJc w:val="left"/>
      <w:pPr>
        <w:ind w:left="0" w:firstLine="400"/>
      </w:pPr>
      <w:rPr>
        <w:rFonts w:hint="default"/>
      </w:rPr>
    </w:lvl>
  </w:abstractNum>
  <w:num w:numId="1">
    <w:abstractNumId w:val="50"/>
  </w:num>
  <w:num w:numId="2">
    <w:abstractNumId w:val="33"/>
  </w:num>
  <w:num w:numId="3">
    <w:abstractNumId w:val="65"/>
  </w:num>
  <w:num w:numId="4">
    <w:abstractNumId w:val="34"/>
  </w:num>
  <w:num w:numId="5">
    <w:abstractNumId w:val="57"/>
  </w:num>
  <w:num w:numId="6">
    <w:abstractNumId w:val="60"/>
  </w:num>
  <w:num w:numId="7">
    <w:abstractNumId w:val="0"/>
  </w:num>
  <w:num w:numId="8">
    <w:abstractNumId w:val="40"/>
  </w:num>
  <w:num w:numId="9">
    <w:abstractNumId w:val="8"/>
  </w:num>
  <w:num w:numId="10">
    <w:abstractNumId w:val="9"/>
  </w:num>
  <w:num w:numId="11">
    <w:abstractNumId w:val="29"/>
  </w:num>
  <w:num w:numId="12">
    <w:abstractNumId w:val="58"/>
  </w:num>
  <w:num w:numId="13">
    <w:abstractNumId w:val="21"/>
  </w:num>
  <w:num w:numId="14">
    <w:abstractNumId w:val="63"/>
  </w:num>
  <w:num w:numId="15">
    <w:abstractNumId w:val="31"/>
  </w:num>
  <w:num w:numId="16">
    <w:abstractNumId w:val="49"/>
  </w:num>
  <w:num w:numId="17">
    <w:abstractNumId w:val="48"/>
  </w:num>
  <w:num w:numId="18">
    <w:abstractNumId w:val="13"/>
  </w:num>
  <w:num w:numId="19">
    <w:abstractNumId w:val="22"/>
  </w:num>
  <w:num w:numId="20">
    <w:abstractNumId w:val="3"/>
  </w:num>
  <w:num w:numId="21">
    <w:abstractNumId w:val="39"/>
  </w:num>
  <w:num w:numId="22">
    <w:abstractNumId w:val="25"/>
  </w:num>
  <w:num w:numId="23">
    <w:abstractNumId w:val="4"/>
  </w:num>
  <w:num w:numId="24">
    <w:abstractNumId w:val="36"/>
  </w:num>
  <w:num w:numId="25">
    <w:abstractNumId w:val="45"/>
  </w:num>
  <w:num w:numId="26">
    <w:abstractNumId w:val="23"/>
  </w:num>
  <w:num w:numId="27">
    <w:abstractNumId w:val="17"/>
  </w:num>
  <w:num w:numId="28">
    <w:abstractNumId w:val="46"/>
  </w:num>
  <w:num w:numId="29">
    <w:abstractNumId w:val="20"/>
  </w:num>
  <w:num w:numId="30">
    <w:abstractNumId w:val="44"/>
  </w:num>
  <w:num w:numId="31">
    <w:abstractNumId w:val="53"/>
  </w:num>
  <w:num w:numId="32">
    <w:abstractNumId w:val="38"/>
  </w:num>
  <w:num w:numId="33">
    <w:abstractNumId w:val="64"/>
  </w:num>
  <w:num w:numId="34">
    <w:abstractNumId w:val="32"/>
  </w:num>
  <w:num w:numId="35">
    <w:abstractNumId w:val="2"/>
  </w:num>
  <w:num w:numId="36">
    <w:abstractNumId w:val="27"/>
  </w:num>
  <w:num w:numId="37">
    <w:abstractNumId w:val="55"/>
  </w:num>
  <w:num w:numId="38">
    <w:abstractNumId w:val="62"/>
  </w:num>
  <w:num w:numId="39">
    <w:abstractNumId w:val="1"/>
  </w:num>
  <w:num w:numId="40">
    <w:abstractNumId w:val="61"/>
  </w:num>
  <w:num w:numId="41">
    <w:abstractNumId w:val="16"/>
  </w:num>
  <w:num w:numId="42">
    <w:abstractNumId w:val="41"/>
  </w:num>
  <w:num w:numId="43">
    <w:abstractNumId w:val="54"/>
  </w:num>
  <w:num w:numId="44">
    <w:abstractNumId w:val="43"/>
  </w:num>
  <w:num w:numId="45">
    <w:abstractNumId w:val="6"/>
  </w:num>
  <w:num w:numId="46">
    <w:abstractNumId w:val="26"/>
  </w:num>
  <w:num w:numId="47">
    <w:abstractNumId w:val="18"/>
  </w:num>
  <w:num w:numId="48">
    <w:abstractNumId w:val="52"/>
  </w:num>
  <w:num w:numId="49">
    <w:abstractNumId w:val="14"/>
  </w:num>
  <w:num w:numId="50">
    <w:abstractNumId w:val="51"/>
  </w:num>
  <w:num w:numId="51">
    <w:abstractNumId w:val="30"/>
  </w:num>
  <w:num w:numId="52">
    <w:abstractNumId w:val="37"/>
  </w:num>
  <w:num w:numId="53">
    <w:abstractNumId w:val="35"/>
  </w:num>
  <w:num w:numId="54">
    <w:abstractNumId w:val="10"/>
  </w:num>
  <w:num w:numId="55">
    <w:abstractNumId w:val="59"/>
  </w:num>
  <w:num w:numId="56">
    <w:abstractNumId w:val="15"/>
  </w:num>
  <w:num w:numId="57">
    <w:abstractNumId w:val="24"/>
  </w:num>
  <w:num w:numId="58">
    <w:abstractNumId w:val="11"/>
  </w:num>
  <w:num w:numId="59">
    <w:abstractNumId w:val="12"/>
  </w:num>
  <w:num w:numId="60">
    <w:abstractNumId w:val="56"/>
  </w:num>
  <w:num w:numId="61">
    <w:abstractNumId w:val="66"/>
  </w:num>
  <w:num w:numId="62">
    <w:abstractNumId w:val="7"/>
  </w:num>
  <w:num w:numId="63">
    <w:abstractNumId w:val="28"/>
  </w:num>
  <w:num w:numId="64">
    <w:abstractNumId w:val="47"/>
  </w:num>
  <w:num w:numId="65">
    <w:abstractNumId w:val="19"/>
  </w:num>
  <w:num w:numId="66">
    <w:abstractNumId w:val="5"/>
  </w:num>
  <w:num w:numId="6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83017"/>
    <w:rsid w:val="2FFF783F"/>
    <w:rsid w:val="42D83017"/>
    <w:rsid w:val="46E54D27"/>
    <w:rsid w:val="78AD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zCs w:val="21"/>
    </w:rPr>
  </w:style>
  <w:style w:type="paragraph" w:styleId="2">
    <w:name w:val="heading 1"/>
    <w:basedOn w:val="1"/>
    <w:next w:val="1"/>
    <w:link w:val="25"/>
    <w:qFormat/>
    <w:uiPriority w:val="0"/>
    <w:pPr>
      <w:keepNext/>
      <w:spacing w:line="216" w:lineRule="auto"/>
      <w:jc w:val="center"/>
      <w:outlineLvl w:val="0"/>
    </w:pPr>
    <w:rPr>
      <w:rFonts w:ascii="宋体" w:hAnsi="宋体"/>
      <w:b/>
      <w:sz w:val="30"/>
      <w:szCs w:val="20"/>
    </w:rPr>
  </w:style>
  <w:style w:type="paragraph" w:styleId="3">
    <w:name w:val="heading 2"/>
    <w:basedOn w:val="1"/>
    <w:next w:val="4"/>
    <w:qFormat/>
    <w:uiPriority w:val="0"/>
    <w:pPr>
      <w:keepNext/>
      <w:spacing w:line="216" w:lineRule="auto"/>
      <w:outlineLvl w:val="1"/>
    </w:pPr>
    <w:rPr>
      <w:rFonts w:ascii="宋体"/>
      <w:b/>
      <w:sz w:val="28"/>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toc 4"/>
    <w:basedOn w:val="1"/>
    <w:next w:val="1"/>
    <w:semiHidden/>
    <w:qFormat/>
    <w:uiPriority w:val="0"/>
    <w:pPr>
      <w:ind w:left="1260" w:leftChars="600"/>
    </w:pPr>
  </w:style>
  <w:style w:type="paragraph" w:styleId="6">
    <w:name w:val="annotation text"/>
    <w:basedOn w:val="1"/>
    <w:qFormat/>
    <w:uiPriority w:val="0"/>
    <w:pPr>
      <w:adjustRightInd w:val="0"/>
      <w:jc w:val="left"/>
    </w:pPr>
  </w:style>
  <w:style w:type="paragraph" w:styleId="7">
    <w:name w:val="Body Text"/>
    <w:basedOn w:val="1"/>
    <w:next w:val="1"/>
    <w:qFormat/>
    <w:uiPriority w:val="0"/>
    <w:pPr>
      <w:autoSpaceDE w:val="0"/>
      <w:autoSpaceDN w:val="0"/>
      <w:adjustRightInd w:val="0"/>
      <w:spacing w:line="360" w:lineRule="auto"/>
    </w:pPr>
    <w:rPr>
      <w:rFonts w:ascii="宋体" w:hAnsi="Arial"/>
      <w:snapToGrid w:val="0"/>
      <w:kern w:val="0"/>
      <w:sz w:val="24"/>
      <w:szCs w:val="21"/>
      <w:lang w:val="zh-CN"/>
    </w:rPr>
  </w:style>
  <w:style w:type="paragraph" w:styleId="8">
    <w:name w:val="Body Text Indent"/>
    <w:basedOn w:val="1"/>
    <w:next w:val="4"/>
    <w:qFormat/>
    <w:uiPriority w:val="0"/>
    <w:pPr>
      <w:spacing w:after="120"/>
      <w:ind w:left="420" w:leftChars="200"/>
    </w:pPr>
  </w:style>
  <w:style w:type="paragraph" w:styleId="9">
    <w:name w:val="Plain Text"/>
    <w:basedOn w:val="1"/>
    <w:next w:val="1"/>
    <w:qFormat/>
    <w:uiPriority w:val="0"/>
    <w:rPr>
      <w:rFonts w:ascii="宋体" w:hAnsi="Courier New" w:cs="Courier New"/>
      <w:szCs w:val="21"/>
    </w:rPr>
  </w:style>
  <w:style w:type="paragraph" w:styleId="10">
    <w:name w:val="Date"/>
    <w:basedOn w:val="1"/>
    <w:next w:val="1"/>
    <w:qFormat/>
    <w:uiPriority w:val="0"/>
    <w:pPr>
      <w:ind w:left="100" w:leftChars="2500"/>
    </w:pPr>
    <w:rPr>
      <w:rFonts w:ascii="宋体" w:hAnsi="宋体"/>
      <w:color w:val="000000"/>
      <w:sz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3">
    <w:name w:val="toc 1"/>
    <w:basedOn w:val="1"/>
    <w:next w:val="1"/>
    <w:semiHidden/>
    <w:qFormat/>
    <w:uiPriority w:val="0"/>
  </w:style>
  <w:style w:type="paragraph" w:styleId="14">
    <w:name w:val="toc 6"/>
    <w:basedOn w:val="1"/>
    <w:next w:val="1"/>
    <w:semiHidden/>
    <w:qFormat/>
    <w:uiPriority w:val="0"/>
    <w:pPr>
      <w:ind w:left="2100" w:leftChars="1000"/>
    </w:pPr>
  </w:style>
  <w:style w:type="paragraph" w:styleId="15">
    <w:name w:val="Body Text 2"/>
    <w:basedOn w:val="1"/>
    <w:qFormat/>
    <w:uiPriority w:val="0"/>
    <w:pPr>
      <w:spacing w:after="120" w:line="480" w:lineRule="auto"/>
    </w:pPr>
    <w:rPr>
      <w:rFonts w:ascii="Times New Roman" w:hAnsi="Times New Roman"/>
      <w:szCs w:val="20"/>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7"/>
    <w:next w:val="14"/>
    <w:qFormat/>
    <w:uiPriority w:val="99"/>
    <w:pPr>
      <w:ind w:firstLine="420" w:firstLineChars="100"/>
    </w:pPr>
  </w:style>
  <w:style w:type="paragraph" w:styleId="18">
    <w:name w:val="Body Text First Indent 2"/>
    <w:basedOn w:val="8"/>
    <w:qFormat/>
    <w:uiPriority w:val="0"/>
    <w:pPr>
      <w:ind w:firstLine="420" w:firstLineChars="200"/>
    </w:p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qFormat/>
    <w:uiPriority w:val="0"/>
  </w:style>
  <w:style w:type="paragraph" w:customStyle="1" w:styleId="23">
    <w:name w:val="正文2"/>
    <w:basedOn w:val="15"/>
    <w:qFormat/>
    <w:uiPriority w:val="0"/>
    <w:pPr>
      <w:adjustRightInd w:val="0"/>
      <w:spacing w:before="156" w:line="360" w:lineRule="auto"/>
      <w:ind w:firstLine="510" w:firstLineChars="200"/>
    </w:pPr>
    <w:rPr>
      <w:sz w:val="24"/>
      <w:szCs w:val="20"/>
    </w:rPr>
  </w:style>
  <w:style w:type="paragraph" w:customStyle="1" w:styleId="24">
    <w:name w:val="Table Text"/>
    <w:basedOn w:val="1"/>
    <w:semiHidden/>
    <w:qFormat/>
    <w:uiPriority w:val="0"/>
    <w:rPr>
      <w:rFonts w:ascii="宋体" w:hAnsi="宋体" w:cs="宋体"/>
      <w:sz w:val="19"/>
      <w:szCs w:val="19"/>
      <w:lang w:eastAsia="en-US"/>
    </w:rPr>
  </w:style>
  <w:style w:type="character" w:customStyle="1" w:styleId="25">
    <w:name w:val="标题 1 Char"/>
    <w:link w:val="2"/>
    <w:qFormat/>
    <w:uiPriority w:val="0"/>
    <w:rPr>
      <w:rFonts w:ascii="宋体" w:hAnsi="宋体"/>
      <w:b/>
      <w:sz w:val="30"/>
      <w:szCs w:val="20"/>
    </w:rPr>
  </w:style>
  <w:style w:type="table" w:customStyle="1" w:styleId="26">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25948</Words>
  <Characters>27191</Characters>
  <Lines>0</Lines>
  <Paragraphs>0</Paragraphs>
  <TotalTime>46</TotalTime>
  <ScaleCrop>false</ScaleCrop>
  <LinksUpToDate>false</LinksUpToDate>
  <CharactersWithSpaces>27577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2025-01-21T06:48:00Z</dcterms:created>
  <dc:creator>dell</dc:creator>
  <cp:lastModifiedBy>dell</cp:lastModifiedBy>
  <dcterms:modified xsi:type="dcterms:W3CDTF">2025-01-21T10:45:23Z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CC6F2267ECA84072827FAF1DEA1B8923_11</vt:lpwstr>
  </property>
</Properties>
</file>