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9044C">
      <w:pPr>
        <w:widowControl/>
        <w:snapToGrid w:val="0"/>
        <w:jc w:val="center"/>
        <w:outlineLvl w:val="0"/>
        <w:rPr>
          <w:rFonts w:hint="eastAsia" w:ascii="仿宋" w:hAnsi="仿宋" w:eastAsia="仿宋" w:cs="仿宋"/>
          <w:b/>
          <w:sz w:val="32"/>
          <w:szCs w:val="32"/>
        </w:rPr>
      </w:pPr>
      <w:r>
        <w:rPr>
          <w:rFonts w:hint="eastAsia" w:ascii="仿宋" w:hAnsi="仿宋" w:eastAsia="仿宋" w:cs="仿宋"/>
          <w:b/>
          <w:sz w:val="32"/>
          <w:szCs w:val="32"/>
        </w:rPr>
        <w:t>嵊州市和美乡村贵门规模化水厂及配套管网工程--新建玠溪水厂及泥家山水厂工程工艺及自控设备采购项目</w:t>
      </w:r>
    </w:p>
    <w:p w14:paraId="7E5A30CE">
      <w:pPr>
        <w:widowControl/>
        <w:snapToGrid w:val="0"/>
        <w:jc w:val="center"/>
        <w:outlineLvl w:val="0"/>
        <w:rPr>
          <w:rFonts w:hint="eastAsia" w:ascii="仿宋" w:hAnsi="仿宋" w:eastAsia="仿宋" w:cs="仿宋"/>
          <w:b/>
          <w:sz w:val="32"/>
          <w:szCs w:val="32"/>
        </w:rPr>
      </w:pPr>
      <w:r>
        <w:rPr>
          <w:rFonts w:hint="eastAsia" w:ascii="仿宋" w:hAnsi="仿宋" w:eastAsia="仿宋" w:cs="仿宋"/>
          <w:b/>
          <w:sz w:val="32"/>
          <w:szCs w:val="32"/>
        </w:rPr>
        <w:t>更正公告</w:t>
      </w:r>
    </w:p>
    <w:p w14:paraId="664A7CA8">
      <w:pPr>
        <w:widowControl/>
        <w:shd w:val="clear" w:color="auto" w:fill="FFFFFF"/>
        <w:spacing w:line="440" w:lineRule="exact"/>
        <w:rPr>
          <w:rFonts w:hint="eastAsia" w:ascii="仿宋" w:hAnsi="仿宋" w:eastAsia="仿宋" w:cs="仿宋"/>
          <w:kern w:val="0"/>
          <w:sz w:val="21"/>
          <w:szCs w:val="21"/>
        </w:rPr>
      </w:pPr>
      <w:r>
        <w:rPr>
          <w:rFonts w:hint="eastAsia" w:ascii="仿宋" w:hAnsi="仿宋" w:eastAsia="仿宋" w:cs="仿宋"/>
          <w:b/>
          <w:bCs/>
          <w:kern w:val="0"/>
          <w:sz w:val="21"/>
          <w:szCs w:val="21"/>
        </w:rPr>
        <w:t>一、项目基本情况  </w:t>
      </w:r>
      <w:r>
        <w:rPr>
          <w:rFonts w:hint="eastAsia" w:ascii="仿宋" w:hAnsi="仿宋" w:eastAsia="仿宋" w:cs="仿宋"/>
          <w:kern w:val="0"/>
          <w:sz w:val="21"/>
          <w:szCs w:val="21"/>
        </w:rPr>
        <w:t xml:space="preserve">              </w:t>
      </w:r>
    </w:p>
    <w:p w14:paraId="25BD604D">
      <w:pPr>
        <w:widowControl/>
        <w:shd w:val="clear" w:color="auto" w:fill="FFFFFF"/>
        <w:spacing w:line="440" w:lineRule="exact"/>
        <w:ind w:firstLine="420" w:firstLineChars="200"/>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rPr>
        <w:t>原公告的采购项目编号：ZHSZ-202</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15</w:t>
      </w:r>
    </w:p>
    <w:p w14:paraId="37AF0977">
      <w:pPr>
        <w:widowControl/>
        <w:shd w:val="clear" w:color="auto" w:fill="FFFFFF"/>
        <w:spacing w:line="4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原公告的采购项目名称：嵊州市和美乡村贵门规模化水厂及配套管网工程--新建玠溪水厂及泥家山水厂工程工艺及自控设备采购项目</w:t>
      </w:r>
    </w:p>
    <w:p w14:paraId="23F959B2">
      <w:pPr>
        <w:widowControl/>
        <w:shd w:val="clear" w:color="auto" w:fill="FFFFFF"/>
        <w:spacing w:line="44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首次公告日期：202</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11</w:t>
      </w:r>
      <w:r>
        <w:rPr>
          <w:rFonts w:hint="eastAsia" w:ascii="仿宋" w:hAnsi="仿宋" w:eastAsia="仿宋" w:cs="仿宋"/>
          <w:kern w:val="0"/>
          <w:sz w:val="21"/>
          <w:szCs w:val="21"/>
        </w:rPr>
        <w:t>月</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日                    </w:t>
      </w:r>
    </w:p>
    <w:p w14:paraId="4C6092C3">
      <w:pPr>
        <w:widowControl/>
        <w:shd w:val="clear" w:color="auto" w:fill="FFFFFF"/>
        <w:spacing w:line="440" w:lineRule="exact"/>
        <w:rPr>
          <w:rFonts w:hint="eastAsia" w:ascii="仿宋" w:hAnsi="仿宋" w:eastAsia="仿宋" w:cs="仿宋"/>
          <w:kern w:val="0"/>
          <w:sz w:val="21"/>
          <w:szCs w:val="21"/>
        </w:rPr>
      </w:pPr>
      <w:r>
        <w:rPr>
          <w:rFonts w:hint="eastAsia" w:ascii="仿宋" w:hAnsi="仿宋" w:eastAsia="仿宋" w:cs="仿宋"/>
          <w:b/>
          <w:bCs/>
          <w:kern w:val="0"/>
          <w:sz w:val="21"/>
          <w:szCs w:val="21"/>
        </w:rPr>
        <w:t>二、更正信息</w:t>
      </w:r>
      <w:r>
        <w:rPr>
          <w:rFonts w:hint="eastAsia" w:ascii="仿宋" w:hAnsi="仿宋" w:eastAsia="仿宋" w:cs="仿宋"/>
          <w:kern w:val="0"/>
          <w:sz w:val="21"/>
          <w:szCs w:val="21"/>
        </w:rPr>
        <w:t>                </w:t>
      </w:r>
    </w:p>
    <w:p w14:paraId="79E027A0">
      <w:pPr>
        <w:widowControl/>
        <w:shd w:val="clear" w:color="auto" w:fill="FFFFFF"/>
        <w:spacing w:line="440" w:lineRule="exact"/>
        <w:ind w:firstLine="480"/>
        <w:jc w:val="left"/>
        <w:rPr>
          <w:rFonts w:hint="eastAsia" w:ascii="仿宋" w:hAnsi="仿宋" w:eastAsia="仿宋" w:cs="仿宋"/>
          <w:kern w:val="0"/>
          <w:sz w:val="21"/>
          <w:szCs w:val="21"/>
        </w:rPr>
      </w:pPr>
      <w:r>
        <w:rPr>
          <w:rFonts w:hint="eastAsia" w:ascii="仿宋" w:hAnsi="仿宋" w:eastAsia="仿宋" w:cs="仿宋"/>
          <w:kern w:val="0"/>
          <w:sz w:val="21"/>
          <w:szCs w:val="21"/>
        </w:rPr>
        <w:t>更正事项：采购公告 </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采购文件</w:t>
      </w:r>
      <w:r>
        <w:rPr>
          <w:rFonts w:hint="eastAsia" w:ascii="仿宋" w:hAnsi="仿宋" w:eastAsia="仿宋" w:cs="仿宋"/>
          <w:kern w:val="0"/>
          <w:sz w:val="21"/>
          <w:szCs w:val="21"/>
        </w:rPr>
        <w:t>                   </w:t>
      </w:r>
    </w:p>
    <w:p w14:paraId="51765EF5">
      <w:pPr>
        <w:widowControl/>
        <w:shd w:val="clear" w:color="auto" w:fill="FFFFFF"/>
        <w:spacing w:line="440" w:lineRule="exact"/>
        <w:ind w:firstLine="480"/>
        <w:jc w:val="left"/>
        <w:rPr>
          <w:rFonts w:hint="eastAsia" w:ascii="仿宋" w:hAnsi="仿宋" w:eastAsia="仿宋" w:cs="仿宋"/>
          <w:kern w:val="0"/>
          <w:sz w:val="21"/>
          <w:szCs w:val="21"/>
        </w:rPr>
      </w:pPr>
      <w:r>
        <w:rPr>
          <w:rFonts w:hint="eastAsia" w:ascii="仿宋" w:hAnsi="仿宋" w:eastAsia="仿宋" w:cs="仿宋"/>
          <w:kern w:val="0"/>
          <w:sz w:val="21"/>
          <w:szCs w:val="21"/>
        </w:rPr>
        <w:t>更正内容：                    </w:t>
      </w:r>
    </w:p>
    <w:tbl>
      <w:tblPr>
        <w:tblStyle w:val="8"/>
        <w:tblW w:w="5587" w:type="pct"/>
        <w:tblInd w:w="-297" w:type="dxa"/>
        <w:tblLayout w:type="autofit"/>
        <w:tblCellMar>
          <w:top w:w="15" w:type="dxa"/>
          <w:left w:w="15" w:type="dxa"/>
          <w:bottom w:w="15" w:type="dxa"/>
          <w:right w:w="15" w:type="dxa"/>
        </w:tblCellMar>
      </w:tblPr>
      <w:tblGrid>
        <w:gridCol w:w="849"/>
        <w:gridCol w:w="1809"/>
        <w:gridCol w:w="3452"/>
        <w:gridCol w:w="3450"/>
      </w:tblGrid>
      <w:tr w14:paraId="5289B097">
        <w:tblPrEx>
          <w:tblCellMar>
            <w:top w:w="15" w:type="dxa"/>
            <w:left w:w="15" w:type="dxa"/>
            <w:bottom w:w="15" w:type="dxa"/>
            <w:right w:w="15" w:type="dxa"/>
          </w:tblCellMar>
        </w:tblPrEx>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DD30195">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489F0E69">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更正项</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64366DDD">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更正前内容</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6D40306C">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更正后内容</w:t>
            </w:r>
          </w:p>
        </w:tc>
      </w:tr>
      <w:tr w14:paraId="6718701A">
        <w:tblPrEx>
          <w:tblCellMar>
            <w:top w:w="15" w:type="dxa"/>
            <w:left w:w="15" w:type="dxa"/>
            <w:bottom w:w="15" w:type="dxa"/>
            <w:right w:w="15" w:type="dxa"/>
          </w:tblCellMar>
        </w:tblPrEx>
        <w:trPr>
          <w:trHeight w:val="827"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D904324">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CA0CA40">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C1ED382">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5AF9C6D6">
            <w:pPr>
              <w:pageBreakBefore w:val="0"/>
              <w:widowControl/>
              <w:kinsoku/>
              <w:wordWrap w:val="0"/>
              <w:overflowPunct/>
              <w:topLinePunct w:val="0"/>
              <w:autoSpaceDE/>
              <w:autoSpaceDN/>
              <w:bidi w:val="0"/>
              <w:adjustRightInd/>
              <w:snapToGrid/>
              <w:spacing w:line="400" w:lineRule="exact"/>
              <w:jc w:val="left"/>
              <w:textAlignment w:val="auto"/>
              <w:rPr>
                <w:rFonts w:hint="default" w:ascii="仿宋" w:hAnsi="仿宋" w:eastAsia="仿宋" w:cs="仿宋"/>
                <w:kern w:val="0"/>
                <w:sz w:val="21"/>
                <w:szCs w:val="21"/>
                <w:lang w:val="en-US"/>
              </w:rPr>
            </w:pPr>
            <w:r>
              <w:rPr>
                <w:rFonts w:hint="eastAsia" w:ascii="仿宋" w:hAnsi="仿宋" w:eastAsia="仿宋" w:cs="仿宋"/>
                <w:kern w:val="0"/>
                <w:sz w:val="21"/>
                <w:szCs w:val="21"/>
              </w:rPr>
              <w:t>陶瓷膜</w:t>
            </w:r>
            <w:r>
              <w:rPr>
                <w:rFonts w:hint="eastAsia" w:ascii="仿宋" w:hAnsi="仿宋" w:eastAsia="仿宋" w:cs="仿宋"/>
                <w:kern w:val="0"/>
                <w:sz w:val="21"/>
                <w:szCs w:val="21"/>
                <w:lang w:val="en-US" w:eastAsia="zh-CN"/>
              </w:rPr>
              <w:t>材质前后不一致，以</w:t>
            </w:r>
            <w:r>
              <w:rPr>
                <w:rFonts w:hint="eastAsia" w:ascii="仿宋" w:hAnsi="仿宋" w:eastAsia="仿宋" w:cs="仿宋"/>
                <w:kern w:val="0"/>
                <w:sz w:val="21"/>
                <w:szCs w:val="21"/>
              </w:rPr>
              <w:t>陶瓷膜组器技术参数</w:t>
            </w:r>
            <w:r>
              <w:rPr>
                <w:rFonts w:hint="eastAsia" w:ascii="仿宋" w:hAnsi="仿宋" w:eastAsia="仿宋" w:cs="仿宋"/>
                <w:kern w:val="0"/>
                <w:sz w:val="21"/>
                <w:szCs w:val="21"/>
                <w:lang w:val="en-US" w:eastAsia="zh-CN"/>
              </w:rPr>
              <w:t>表为准</w:t>
            </w:r>
          </w:p>
        </w:tc>
      </w:tr>
      <w:tr w14:paraId="3A3BA209">
        <w:tblPrEx>
          <w:tblCellMar>
            <w:top w:w="15" w:type="dxa"/>
            <w:left w:w="15" w:type="dxa"/>
            <w:bottom w:w="15" w:type="dxa"/>
            <w:right w:w="15" w:type="dxa"/>
          </w:tblCellMar>
        </w:tblPrEx>
        <w:trPr>
          <w:trHeight w:val="827"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DBF170F">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01E52699">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32A8B38E">
            <w:pPr>
              <w:pStyle w:val="3"/>
              <w:pageBreakBefore w:val="0"/>
              <w:tabs>
                <w:tab w:val="left" w:pos="432"/>
              </w:tabs>
              <w:kinsoku/>
              <w:overflowPunct/>
              <w:topLinePunct w:val="0"/>
              <w:autoSpaceDE/>
              <w:autoSpaceDN/>
              <w:bidi w:val="0"/>
              <w:snapToGrid/>
              <w:spacing w:before="0" w:beforeLines="0" w:after="0" w:afterLines="0" w:line="400" w:lineRule="exact"/>
              <w:ind w:left="0" w:leftChars="0" w:firstLine="0" w:firstLineChars="0"/>
              <w:rPr>
                <w:rFonts w:hint="eastAsia" w:ascii="仿宋" w:hAnsi="仿宋" w:eastAsia="仿宋" w:cs="仿宋"/>
                <w:kern w:val="0"/>
                <w:sz w:val="21"/>
                <w:szCs w:val="21"/>
              </w:rPr>
            </w:pPr>
            <w:r>
              <w:rPr>
                <w:rFonts w:hint="eastAsia" w:ascii="仿宋" w:hAnsi="仿宋" w:eastAsia="仿宋" w:cs="仿宋"/>
                <w:bCs w:val="0"/>
                <w:kern w:val="0"/>
                <w:sz w:val="21"/>
                <w:szCs w:val="21"/>
                <w:lang w:val="en-US" w:eastAsia="zh-CN" w:bidi="ar-SA"/>
              </w:rPr>
              <w:t>4.3玠溪水厂雨水调蓄池、污水处理设备清单</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51714F01">
            <w:pPr>
              <w:pStyle w:val="3"/>
              <w:pageBreakBefore w:val="0"/>
              <w:tabs>
                <w:tab w:val="left" w:pos="432"/>
              </w:tabs>
              <w:kinsoku/>
              <w:overflowPunct/>
              <w:topLinePunct w:val="0"/>
              <w:autoSpaceDE/>
              <w:autoSpaceDN/>
              <w:bidi w:val="0"/>
              <w:snapToGrid/>
              <w:spacing w:before="0" w:beforeLines="0" w:after="0" w:afterLines="0" w:line="400" w:lineRule="exact"/>
              <w:ind w:left="0" w:leftChars="0" w:firstLine="0" w:firstLineChars="0"/>
              <w:rPr>
                <w:rFonts w:hint="default" w:ascii="仿宋" w:hAnsi="仿宋" w:eastAsia="仿宋" w:cs="仿宋"/>
                <w:kern w:val="0"/>
                <w:sz w:val="21"/>
                <w:szCs w:val="21"/>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1.容积：</w:t>
            </w:r>
            <w:r>
              <w:rPr>
                <w:rFonts w:hint="eastAsia" w:ascii="仿宋" w:hAnsi="仿宋" w:eastAsia="仿宋" w:cs="仿宋"/>
                <w:color w:val="0000FF"/>
                <w:kern w:val="0"/>
                <w:sz w:val="21"/>
                <w:szCs w:val="21"/>
                <w:highlight w:val="none"/>
                <w:lang w:val="en-US" w:eastAsia="zh-CN" w:bidi="ar-SA"/>
              </w:rPr>
              <w:t>容积65</w:t>
            </w:r>
            <w:r>
              <w:rPr>
                <w:rFonts w:hint="eastAsia" w:ascii="仿宋" w:hAnsi="仿宋" w:eastAsia="仿宋" w:cs="仿宋"/>
                <w:color w:val="0000FF"/>
                <w:kern w:val="0"/>
                <w:sz w:val="21"/>
                <w:szCs w:val="21"/>
                <w:highlight w:val="yellow"/>
                <w:lang w:val="en-US" w:eastAsia="zh-CN" w:bidi="ar-SA"/>
              </w:rPr>
              <w:t>m³</w:t>
            </w:r>
            <w:r>
              <w:rPr>
                <w:rFonts w:hint="eastAsia" w:ascii="仿宋" w:hAnsi="仿宋" w:eastAsia="仿宋" w:cs="仿宋"/>
                <w:color w:val="0000FF"/>
                <w:kern w:val="0"/>
                <w:sz w:val="21"/>
                <w:szCs w:val="21"/>
                <w:highlight w:val="none"/>
                <w:lang w:val="en-US" w:eastAsia="zh-CN" w:bidi="ar-SA"/>
              </w:rPr>
              <w:t>：13.35mm×3.85mm×2.75mm（长×宽×高）</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CE3E167">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FF"/>
                <w:kern w:val="0"/>
                <w:sz w:val="21"/>
                <w:szCs w:val="21"/>
                <w:highlight w:val="none"/>
                <w:lang w:val="en-US" w:eastAsia="zh-CN" w:bidi="ar-SA"/>
              </w:rPr>
            </w:pPr>
            <w:r>
              <w:rPr>
                <w:rFonts w:hint="eastAsia" w:ascii="仿宋" w:hAnsi="仿宋" w:eastAsia="仿宋" w:cs="仿宋"/>
                <w:color w:val="000000" w:themeColor="text1"/>
                <w:sz w:val="21"/>
                <w:szCs w:val="21"/>
                <w:highlight w:val="yellow"/>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容积：</w:t>
            </w:r>
            <w:r>
              <w:rPr>
                <w:rFonts w:hint="eastAsia" w:ascii="仿宋" w:hAnsi="仿宋" w:eastAsia="仿宋" w:cs="仿宋"/>
                <w:color w:val="000000" w:themeColor="text1"/>
                <w:sz w:val="21"/>
                <w:szCs w:val="21"/>
                <w:highlight w:val="yellow"/>
                <w:lang w:val="en-US" w:eastAsia="zh-CN"/>
                <w14:textFill>
                  <w14:solidFill>
                    <w14:schemeClr w14:val="tx1"/>
                  </w14:solidFill>
                </w14:textFill>
              </w:rPr>
              <w:t>容积：65</w:t>
            </w:r>
            <w:r>
              <w:rPr>
                <w:rFonts w:hint="eastAsia" w:ascii="仿宋" w:hAnsi="仿宋" w:eastAsia="仿宋" w:cs="仿宋"/>
                <w:color w:val="0000FF"/>
                <w:kern w:val="0"/>
                <w:sz w:val="21"/>
                <w:szCs w:val="21"/>
                <w:highlight w:val="yellow"/>
                <w:lang w:val="en-US" w:eastAsia="zh-CN" w:bidi="ar-SA"/>
              </w:rPr>
              <w:t>m³：</w:t>
            </w:r>
            <w:r>
              <w:rPr>
                <w:rFonts w:hint="eastAsia" w:ascii="仿宋" w:hAnsi="仿宋" w:eastAsia="仿宋" w:cs="仿宋"/>
                <w:color w:val="0000FF"/>
                <w:kern w:val="0"/>
                <w:sz w:val="21"/>
                <w:szCs w:val="21"/>
                <w:highlight w:val="none"/>
                <w:lang w:val="en-US" w:eastAsia="zh-CN" w:bidi="ar-SA"/>
              </w:rPr>
              <w:t>13.35m×3.85m×2.75m（长×宽×高）；</w:t>
            </w:r>
          </w:p>
          <w:p w14:paraId="3799CC9C">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仿宋" w:hAnsi="仿宋" w:eastAsia="仿宋" w:cs="仿宋"/>
                <w:color w:val="0000FF"/>
                <w:kern w:val="0"/>
                <w:sz w:val="21"/>
                <w:szCs w:val="21"/>
                <w:highlight w:val="none"/>
                <w:lang w:val="en-US" w:eastAsia="zh-CN" w:bidi="ar-SA"/>
              </w:rPr>
              <w:t>2.材质：</w:t>
            </w:r>
            <w:r>
              <w:rPr>
                <w:rFonts w:hint="eastAsia" w:ascii="仿宋" w:hAnsi="仿宋" w:eastAsia="仿宋" w:cs="仿宋"/>
                <w:color w:val="000000" w:themeColor="text1"/>
                <w:sz w:val="21"/>
                <w:szCs w:val="21"/>
                <w:highlight w:val="yellow"/>
                <w:lang w:val="en-US" w:eastAsia="zh-CN"/>
                <w14:textFill>
                  <w14:solidFill>
                    <w14:schemeClr w14:val="tx1"/>
                  </w14:solidFill>
                </w14:textFill>
              </w:rPr>
              <w:t>混凝土。</w:t>
            </w:r>
          </w:p>
          <w:p w14:paraId="2C02F2DE">
            <w:pPr>
              <w:pageBreakBefore w:val="0"/>
              <w:widowControl/>
              <w:kinsoku/>
              <w:wordWrap w:val="0"/>
              <w:overflowPunct/>
              <w:topLinePunct w:val="0"/>
              <w:autoSpaceDE/>
              <w:autoSpaceDN/>
              <w:bidi w:val="0"/>
              <w:adjustRightInd/>
              <w:snapToGrid/>
              <w:spacing w:line="400" w:lineRule="exact"/>
              <w:jc w:val="left"/>
              <w:textAlignment w:val="auto"/>
              <w:rPr>
                <w:rFonts w:hint="default" w:ascii="仿宋" w:hAnsi="仿宋" w:eastAsia="仿宋" w:cs="仿宋"/>
                <w:kern w:val="0"/>
                <w:sz w:val="21"/>
                <w:szCs w:val="21"/>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备注：混凝土池体由土建单位施工，投标单位无需报价，池体后期需中标供应商配合深化设计</w:t>
            </w:r>
          </w:p>
        </w:tc>
      </w:tr>
      <w:tr w14:paraId="157FE5B2">
        <w:tblPrEx>
          <w:tblCellMar>
            <w:top w:w="15" w:type="dxa"/>
            <w:left w:w="15" w:type="dxa"/>
            <w:bottom w:w="15" w:type="dxa"/>
            <w:right w:w="15" w:type="dxa"/>
          </w:tblCellMar>
        </w:tblPrEx>
        <w:trPr>
          <w:trHeight w:val="90"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0DDFA38C">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6F533EC">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6BEBC09F">
            <w:pPr>
              <w:pStyle w:val="3"/>
              <w:pageBreakBefore w:val="0"/>
              <w:tabs>
                <w:tab w:val="left" w:pos="432"/>
              </w:tabs>
              <w:kinsoku/>
              <w:overflowPunct/>
              <w:topLinePunct w:val="0"/>
              <w:autoSpaceDE/>
              <w:autoSpaceDN/>
              <w:bidi w:val="0"/>
              <w:snapToGrid/>
              <w:spacing w:before="0" w:beforeLines="0" w:after="0" w:afterLines="0" w:line="400" w:lineRule="exact"/>
              <w:ind w:left="0" w:leftChars="0" w:firstLine="0" w:firstLineChars="0"/>
              <w:rPr>
                <w:rFonts w:hint="eastAsia" w:ascii="仿宋" w:hAnsi="仿宋" w:eastAsia="仿宋" w:cs="仿宋"/>
                <w:kern w:val="0"/>
                <w:sz w:val="21"/>
                <w:szCs w:val="21"/>
              </w:rPr>
            </w:pPr>
            <w:r>
              <w:rPr>
                <w:rFonts w:hint="eastAsia" w:ascii="仿宋" w:hAnsi="仿宋" w:eastAsia="仿宋" w:cs="仿宋"/>
                <w:bCs w:val="0"/>
                <w:kern w:val="0"/>
                <w:sz w:val="21"/>
                <w:szCs w:val="21"/>
                <w:lang w:val="en-US" w:eastAsia="zh-CN" w:bidi="ar-SA"/>
              </w:rPr>
              <w:t>4.3玠溪水厂雨水调蓄池、污水处理设备清单</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59A135D">
            <w:pPr>
              <w:pageBreakBefore w:val="0"/>
              <w:kinsoku/>
              <w:overflowPunct/>
              <w:topLinePunct w:val="0"/>
              <w:autoSpaceDE/>
              <w:autoSpaceDN/>
              <w:bidi w:val="0"/>
              <w:snapToGrid/>
              <w:spacing w:line="400" w:lineRule="exact"/>
              <w:rPr>
                <w:rFonts w:hint="eastAsia"/>
                <w:lang w:val="en-US" w:eastAsia="zh-CN"/>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8.一体化雨水处理成套设备：一体化雨水处理成套设备，罐体为304不锈钢，Q＝10m3/h，罐体直经600，高度2000。</w:t>
            </w:r>
          </w:p>
          <w:p w14:paraId="794F4E16">
            <w:pPr>
              <w:pStyle w:val="3"/>
              <w:pageBreakBefore w:val="0"/>
              <w:tabs>
                <w:tab w:val="left" w:pos="432"/>
              </w:tabs>
              <w:kinsoku/>
              <w:overflowPunct/>
              <w:topLinePunct w:val="0"/>
              <w:autoSpaceDE/>
              <w:autoSpaceDN/>
              <w:bidi w:val="0"/>
              <w:snapToGrid/>
              <w:spacing w:before="0" w:beforeLines="0" w:after="0" w:afterLines="0" w:line="400" w:lineRule="exact"/>
              <w:ind w:left="0" w:leftChars="0"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382991E">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8.一体化雨水处理成套设备：一体化雨水处理成套设备，罐体为304不锈钢，Q＝10m3/h，罐体直经600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，高度2000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w:t>
            </w:r>
          </w:p>
        </w:tc>
      </w:tr>
      <w:tr w14:paraId="5498AB7B">
        <w:tblPrEx>
          <w:tblCellMar>
            <w:top w:w="15" w:type="dxa"/>
            <w:left w:w="15" w:type="dxa"/>
            <w:bottom w:w="15" w:type="dxa"/>
            <w:right w:w="15" w:type="dxa"/>
          </w:tblCellMar>
        </w:tblPrEx>
        <w:trPr>
          <w:trHeight w:val="481"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32DA73F0">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DDE4E5A">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1D62D908">
            <w:pPr>
              <w:pStyle w:val="3"/>
              <w:pageBreakBefore w:val="0"/>
              <w:tabs>
                <w:tab w:val="left" w:pos="432"/>
              </w:tabs>
              <w:kinsoku/>
              <w:overflowPunct/>
              <w:topLinePunct w:val="0"/>
              <w:autoSpaceDE/>
              <w:autoSpaceDN/>
              <w:bidi w:val="0"/>
              <w:snapToGrid/>
              <w:spacing w:before="0" w:beforeLines="0" w:after="0" w:afterLines="0" w:line="400" w:lineRule="exact"/>
              <w:ind w:left="0" w:leftChars="0" w:firstLine="0" w:firstLineChars="0"/>
              <w:rPr>
                <w:rFonts w:hint="eastAsia" w:ascii="仿宋" w:hAnsi="仿宋" w:eastAsia="仿宋" w:cs="仿宋"/>
                <w:kern w:val="0"/>
                <w:sz w:val="21"/>
                <w:szCs w:val="21"/>
              </w:rPr>
            </w:pPr>
            <w:r>
              <w:rPr>
                <w:rFonts w:hint="eastAsia" w:ascii="仿宋" w:hAnsi="仿宋" w:eastAsia="仿宋" w:cs="仿宋"/>
                <w:bCs w:val="0"/>
                <w:kern w:val="0"/>
                <w:sz w:val="21"/>
                <w:szCs w:val="21"/>
                <w:lang w:val="en-US" w:eastAsia="zh-CN" w:bidi="ar-SA"/>
              </w:rPr>
              <w:t>4.3玠溪水厂雨水调蓄池、污水处理设备清单</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3DFF1DD3">
            <w:pPr>
              <w:pageBreakBefore w:val="0"/>
              <w:kinsoku/>
              <w:overflowPunct/>
              <w:topLinePunct w:val="0"/>
              <w:autoSpaceDE/>
              <w:autoSpaceDN/>
              <w:bidi w:val="0"/>
              <w:snapToGri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10.变频恒压供水器成套装置：2.一控二变频控制柜：柜体为304不锈钢（</w:t>
            </w:r>
            <w:r>
              <w:rPr>
                <w:rFonts w:hint="eastAsia" w:ascii="仿宋" w:hAnsi="仿宋" w:eastAsia="仿宋" w:cs="仿宋"/>
                <w:i w:val="0"/>
                <w:iCs w:val="0"/>
                <w:color w:val="0000FF"/>
                <w:kern w:val="0"/>
                <w:sz w:val="21"/>
                <w:szCs w:val="21"/>
                <w:highlight w:val="none"/>
                <w:u w:val="none"/>
                <w:lang w:val="en-US" w:eastAsia="zh-CN" w:bidi="ar"/>
              </w:rPr>
              <w:t>长600*宽400*高1200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）。ABB变频器；</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7B91786">
            <w:pPr>
              <w:pageBreakBefore w:val="0"/>
              <w:kinsoku/>
              <w:overflowPunct/>
              <w:topLinePunct w:val="0"/>
              <w:autoSpaceDE/>
              <w:autoSpaceDN/>
              <w:bidi w:val="0"/>
              <w:snapToGri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10.变频恒压供水器成套装置：2.一控二变频控制柜：柜体为304不锈钢（</w:t>
            </w:r>
            <w:r>
              <w:rPr>
                <w:rFonts w:hint="eastAsia" w:ascii="仿宋" w:hAnsi="仿宋" w:eastAsia="仿宋" w:cs="仿宋"/>
                <w:i w:val="0"/>
                <w:iCs w:val="0"/>
                <w:color w:val="0000FF"/>
                <w:kern w:val="0"/>
                <w:sz w:val="21"/>
                <w:szCs w:val="21"/>
                <w:highlight w:val="none"/>
                <w:u w:val="none"/>
                <w:lang w:val="en-US" w:eastAsia="zh-CN" w:bidi="ar"/>
              </w:rPr>
              <w:t>长600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FF"/>
                <w:kern w:val="0"/>
                <w:sz w:val="21"/>
                <w:szCs w:val="21"/>
                <w:highlight w:val="none"/>
                <w:u w:val="none"/>
                <w:lang w:val="en-US" w:eastAsia="zh-CN" w:bidi="ar"/>
              </w:rPr>
              <w:t>*宽400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FF"/>
                <w:kern w:val="0"/>
                <w:sz w:val="21"/>
                <w:szCs w:val="21"/>
                <w:highlight w:val="none"/>
                <w:u w:val="none"/>
                <w:lang w:val="en-US" w:eastAsia="zh-CN" w:bidi="ar"/>
              </w:rPr>
              <w:t>*高1200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）。ABB变频器；</w:t>
            </w:r>
          </w:p>
        </w:tc>
      </w:tr>
      <w:tr w14:paraId="7BB7B57A">
        <w:tblPrEx>
          <w:tblCellMar>
            <w:top w:w="15" w:type="dxa"/>
            <w:left w:w="15" w:type="dxa"/>
            <w:bottom w:w="15" w:type="dxa"/>
            <w:right w:w="15" w:type="dxa"/>
          </w:tblCellMar>
        </w:tblPrEx>
        <w:trPr>
          <w:trHeight w:val="3121"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6BD3656">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7552236">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04184FB4">
            <w:pPr>
              <w:pStyle w:val="3"/>
              <w:pageBreakBefore w:val="0"/>
              <w:tabs>
                <w:tab w:val="left" w:pos="432"/>
              </w:tabs>
              <w:kinsoku/>
              <w:overflowPunct/>
              <w:topLinePunct w:val="0"/>
              <w:autoSpaceDE/>
              <w:autoSpaceDN/>
              <w:bidi w:val="0"/>
              <w:snapToGrid/>
              <w:spacing w:before="0" w:beforeLines="0" w:after="0" w:afterLines="0" w:line="400" w:lineRule="exact"/>
              <w:ind w:left="0" w:leftChars="0" w:firstLine="0" w:firstLineChars="0"/>
              <w:rPr>
                <w:rFonts w:hint="eastAsia" w:ascii="仿宋" w:hAnsi="仿宋" w:eastAsia="仿宋" w:cs="仿宋"/>
                <w:bCs w:val="0"/>
                <w:kern w:val="0"/>
                <w:sz w:val="21"/>
                <w:szCs w:val="21"/>
                <w:lang w:val="en-US" w:eastAsia="zh-CN" w:bidi="ar-SA"/>
              </w:rPr>
            </w:pPr>
            <w:r>
              <w:rPr>
                <w:rFonts w:hint="eastAsia" w:ascii="仿宋" w:hAnsi="仿宋" w:eastAsia="仿宋" w:cs="仿宋"/>
                <w:bCs w:val="0"/>
                <w:kern w:val="0"/>
                <w:sz w:val="21"/>
                <w:szCs w:val="21"/>
                <w:lang w:val="en-US" w:eastAsia="zh-CN" w:bidi="ar-SA"/>
              </w:rPr>
              <w:t>4.3玠溪水厂雨水调蓄池、污水处理设备清单</w:t>
            </w:r>
          </w:p>
          <w:p w14:paraId="00EDB5F5">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57474674">
            <w:pPr>
              <w:pageBreakBefore w:val="0"/>
              <w:kinsoku/>
              <w:overflowPunct/>
              <w:topLinePunct w:val="0"/>
              <w:autoSpaceDE/>
              <w:autoSpaceDN/>
              <w:bidi w:val="0"/>
              <w:snapToGri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14.电气自控及仪表：包括户外型落地式电控柜、柜体外壳材质为304不锈钢（</w:t>
            </w:r>
            <w:r>
              <w:rPr>
                <w:rFonts w:hint="eastAsia" w:ascii="仿宋" w:hAnsi="仿宋" w:eastAsia="仿宋" w:cs="仿宋"/>
                <w:i w:val="0"/>
                <w:iCs w:val="0"/>
                <w:color w:val="0000FF"/>
                <w:kern w:val="0"/>
                <w:sz w:val="21"/>
                <w:szCs w:val="21"/>
                <w:highlight w:val="none"/>
                <w:u w:val="none"/>
                <w:lang w:val="en-US" w:eastAsia="zh-CN" w:bidi="ar"/>
              </w:rPr>
              <w:t>长600*宽400*高1200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）、柜内主要的元器件为施耐德、电控柜带声光报警、自控系统。保护管、电缆、挖填土方、钻孔及孔洞封堵等图纸上包含的完成设备运行所需的配套附件及调试</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4F0EB05">
            <w:pPr>
              <w:pageBreakBefore w:val="0"/>
              <w:kinsoku/>
              <w:overflowPunct/>
              <w:topLinePunct w:val="0"/>
              <w:autoSpaceDE/>
              <w:autoSpaceDN/>
              <w:bidi w:val="0"/>
              <w:snapToGri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val="0"/>
                <w:kern w:val="0"/>
                <w:sz w:val="21"/>
                <w:szCs w:val="21"/>
                <w:lang w:val="en-US" w:eastAsia="zh-CN" w:bidi="ar-SA"/>
              </w:rPr>
              <w:t>14.</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电气自控及仪表：包括户外型落地式电控柜、柜体外壳材质为304不锈钢（</w:t>
            </w:r>
            <w:r>
              <w:rPr>
                <w:rFonts w:hint="eastAsia" w:ascii="仿宋" w:hAnsi="仿宋" w:eastAsia="仿宋" w:cs="仿宋"/>
                <w:i w:val="0"/>
                <w:iCs w:val="0"/>
                <w:color w:val="0000FF"/>
                <w:kern w:val="0"/>
                <w:sz w:val="21"/>
                <w:szCs w:val="21"/>
                <w:highlight w:val="none"/>
                <w:u w:val="none"/>
                <w:lang w:val="en-US" w:eastAsia="zh-CN" w:bidi="ar"/>
              </w:rPr>
              <w:t>长600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FF"/>
                <w:kern w:val="0"/>
                <w:sz w:val="21"/>
                <w:szCs w:val="21"/>
                <w:highlight w:val="none"/>
                <w:u w:val="none"/>
                <w:lang w:val="en-US" w:eastAsia="zh-CN" w:bidi="ar"/>
              </w:rPr>
              <w:t>*宽400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FF"/>
                <w:kern w:val="0"/>
                <w:sz w:val="21"/>
                <w:szCs w:val="21"/>
                <w:highlight w:val="none"/>
                <w:u w:val="none"/>
                <w:lang w:val="en-US" w:eastAsia="zh-CN" w:bidi="ar"/>
              </w:rPr>
              <w:t>*高1200</w:t>
            </w:r>
            <w:r>
              <w:rPr>
                <w:rFonts w:hint="eastAsia" w:ascii="仿宋" w:hAnsi="仿宋" w:eastAsia="仿宋" w:cs="仿宋"/>
                <w:color w:val="0000FF"/>
                <w:kern w:val="0"/>
                <w:sz w:val="21"/>
                <w:szCs w:val="21"/>
                <w:highlight w:val="none"/>
                <w:lang w:val="en-US" w:eastAsia="zh-CN" w:bidi="ar-SA"/>
              </w:rPr>
              <w:t>mm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）、柜内主要的元器件为施耐德、电控柜带声光报警、自控系统。保护管、电缆、挖填土方、钻孔及孔洞封堵等图纸上包含的完成设备运行所需的配套附件及调试</w:t>
            </w:r>
          </w:p>
        </w:tc>
      </w:tr>
      <w:tr w14:paraId="5F8E3837">
        <w:tblPrEx>
          <w:tblCellMar>
            <w:top w:w="15" w:type="dxa"/>
            <w:left w:w="15" w:type="dxa"/>
            <w:bottom w:w="15" w:type="dxa"/>
            <w:right w:w="15" w:type="dxa"/>
          </w:tblCellMar>
        </w:tblPrEx>
        <w:trPr>
          <w:trHeight w:val="827"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4522FF95">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35C8C06D">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48D6FED7">
            <w:pPr>
              <w:pageBreakBefore w:val="0"/>
              <w:kinsoku/>
              <w:overflowPunct/>
              <w:topLinePunct w:val="0"/>
              <w:autoSpaceDE/>
              <w:autoSpaceDN/>
              <w:bidi w:val="0"/>
              <w:snapToGrid/>
              <w:spacing w:line="400" w:lineRule="exact"/>
              <w:rPr>
                <w:rFonts w:hint="eastAsia" w:ascii="仿宋" w:hAnsi="仿宋" w:eastAsia="仿宋" w:cs="仿宋"/>
                <w:kern w:val="0"/>
                <w:sz w:val="21"/>
                <w:szCs w:val="21"/>
              </w:rPr>
            </w:pPr>
            <w:r>
              <w:rPr>
                <w:rFonts w:hint="eastAsia" w:ascii="仿宋" w:hAnsi="仿宋" w:eastAsia="仿宋" w:cs="仿宋"/>
                <w:color w:val="000000" w:themeColor="text1"/>
                <w:sz w:val="21"/>
                <w:szCs w:val="21"/>
                <w:highlight w:val="none"/>
                <w14:textFill>
                  <w14:solidFill>
                    <w14:schemeClr w14:val="tx1"/>
                  </w14:solidFill>
                </w14:textFill>
              </w:rPr>
              <w:t>4.6泥家山水厂雨水调蓄池、污水处理设备清单</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BAB855A">
            <w:pPr>
              <w:pageBreakBefore w:val="0"/>
              <w:kinsoku/>
              <w:overflowPunct/>
              <w:topLinePunct w:val="0"/>
              <w:autoSpaceDE/>
              <w:autoSpaceDN/>
              <w:bidi w:val="0"/>
              <w:snapToGrid/>
              <w:spacing w:line="400" w:lineRule="exact"/>
              <w:rPr>
                <w:rFonts w:hint="eastAsia"/>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1.容积</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容积</w:t>
            </w:r>
            <w:r>
              <w:rPr>
                <w:rFonts w:hint="eastAsia" w:ascii="仿宋" w:hAnsi="仿宋" w:eastAsia="仿宋" w:cs="仿宋"/>
                <w:color w:val="000000" w:themeColor="text1"/>
                <w:sz w:val="21"/>
                <w:szCs w:val="21"/>
                <w:highlight w:val="yellow"/>
                <w:lang w:val="en-US" w:eastAsia="zh-CN"/>
                <w14:textFill>
                  <w14:solidFill>
                    <w14:schemeClr w14:val="tx1"/>
                  </w14:solidFill>
                </w14:textFill>
              </w:rPr>
              <w:t>20m³</w:t>
            </w:r>
            <w:r>
              <w:rPr>
                <w:rFonts w:hint="eastAsia" w:ascii="仿宋" w:hAnsi="仿宋" w:eastAsia="仿宋" w:cs="仿宋"/>
                <w:color w:val="000000" w:themeColor="text1"/>
                <w:sz w:val="21"/>
                <w:szCs w:val="21"/>
                <w:highlight w:val="none"/>
                <w:lang w:val="en-US" w:eastAsia="zh-CN"/>
                <w14:textFill>
                  <w14:solidFill>
                    <w14:schemeClr w14:val="tx1"/>
                  </w14:solidFill>
                </w14:textFill>
              </w:rPr>
              <w:t>：6.85mm×3.85mm×2.75mm（长×宽×高）</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316E380">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1.容积</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容积</w:t>
            </w:r>
            <w:r>
              <w:rPr>
                <w:rFonts w:hint="eastAsia" w:ascii="仿宋" w:hAnsi="仿宋" w:eastAsia="仿宋" w:cs="仿宋"/>
                <w:color w:val="000000" w:themeColor="text1"/>
                <w:sz w:val="21"/>
                <w:szCs w:val="21"/>
                <w:highlight w:val="yellow"/>
                <w:lang w:val="en-US" w:eastAsia="zh-CN"/>
                <w14:textFill>
                  <w14:solidFill>
                    <w14:schemeClr w14:val="tx1"/>
                  </w14:solidFill>
                </w14:textFill>
              </w:rPr>
              <w:t>20m³</w:t>
            </w:r>
            <w:r>
              <w:rPr>
                <w:rFonts w:hint="eastAsia" w:ascii="仿宋" w:hAnsi="仿宋" w:eastAsia="仿宋" w:cs="仿宋"/>
                <w:color w:val="000000" w:themeColor="text1"/>
                <w:sz w:val="21"/>
                <w:szCs w:val="21"/>
                <w:highlight w:val="none"/>
                <w:lang w:val="en-US" w:eastAsia="zh-CN"/>
                <w14:textFill>
                  <w14:solidFill>
                    <w14:schemeClr w14:val="tx1"/>
                  </w14:solidFill>
                </w14:textFill>
              </w:rPr>
              <w:t>：6.85m×3.85m×2.75m（长×宽×高）</w:t>
            </w:r>
          </w:p>
          <w:p w14:paraId="468C2AE3">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2.材质：</w:t>
            </w:r>
            <w:r>
              <w:rPr>
                <w:rFonts w:hint="eastAsia" w:ascii="仿宋" w:hAnsi="仿宋" w:eastAsia="仿宋" w:cs="仿宋"/>
                <w:color w:val="000000" w:themeColor="text1"/>
                <w:sz w:val="21"/>
                <w:szCs w:val="21"/>
                <w:highlight w:val="yellow"/>
                <w:lang w:val="en-US" w:eastAsia="zh-CN"/>
                <w14:textFill>
                  <w14:solidFill>
                    <w14:schemeClr w14:val="tx1"/>
                  </w14:solidFill>
                </w14:textFill>
              </w:rPr>
              <w:t>混凝土。</w:t>
            </w:r>
          </w:p>
          <w:p w14:paraId="66785607">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备注：混凝土池体由土建单位施工，投标单位无需报价，池体后期需中标供应商配合深化设计</w:t>
            </w:r>
          </w:p>
        </w:tc>
      </w:tr>
      <w:tr w14:paraId="105A569A">
        <w:tblPrEx>
          <w:tblCellMar>
            <w:top w:w="15" w:type="dxa"/>
            <w:left w:w="15" w:type="dxa"/>
            <w:bottom w:w="15" w:type="dxa"/>
            <w:right w:w="15" w:type="dxa"/>
          </w:tblCellMar>
        </w:tblPrEx>
        <w:trPr>
          <w:trHeight w:val="827"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218EFC2">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72C4AF1">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66B198E1">
            <w:pPr>
              <w:pageBreakBefore w:val="0"/>
              <w:kinsoku/>
              <w:overflowPunct/>
              <w:topLinePunct w:val="0"/>
              <w:autoSpaceDE/>
              <w:autoSpaceDN/>
              <w:bidi w:val="0"/>
              <w:snapToGrid/>
              <w:spacing w:line="400" w:lineRule="exact"/>
              <w:rPr>
                <w:rFonts w:hint="eastAsia" w:ascii="仿宋" w:hAnsi="仿宋" w:eastAsia="仿宋" w:cs="仿宋"/>
                <w:kern w:val="0"/>
                <w:sz w:val="21"/>
                <w:szCs w:val="21"/>
              </w:rPr>
            </w:pPr>
            <w:r>
              <w:rPr>
                <w:rFonts w:hint="eastAsia" w:ascii="仿宋" w:hAnsi="仿宋" w:eastAsia="仿宋" w:cs="仿宋"/>
                <w:color w:val="000000" w:themeColor="text1"/>
                <w:sz w:val="21"/>
                <w:szCs w:val="21"/>
                <w:highlight w:val="none"/>
                <w14:textFill>
                  <w14:solidFill>
                    <w14:schemeClr w14:val="tx1"/>
                  </w14:solidFill>
                </w14:textFill>
              </w:rPr>
              <w:t>4.6泥家山水厂雨水调蓄池、污水处理设备清单</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48D1EFBF">
            <w:pPr>
              <w:pageBreakBefore w:val="0"/>
              <w:kinsoku/>
              <w:overflowPunct/>
              <w:topLinePunct w:val="0"/>
              <w:autoSpaceDE/>
              <w:autoSpaceDN/>
              <w:bidi w:val="0"/>
              <w:snapToGri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8.一体化雨水处理成套设备：一体化雨水处理成套设备，罐体为304不锈钢，Q＝10m3/h，</w:t>
            </w:r>
            <w:r>
              <w:rPr>
                <w:rFonts w:hint="eastAsia" w:ascii="仿宋" w:hAnsi="仿宋" w:eastAsia="仿宋" w:cs="仿宋"/>
                <w:i w:val="0"/>
                <w:iCs w:val="0"/>
                <w:color w:val="0000FF"/>
                <w:kern w:val="0"/>
                <w:sz w:val="21"/>
                <w:szCs w:val="21"/>
                <w:highlight w:val="none"/>
                <w:u w:val="none"/>
                <w:lang w:val="en-US" w:eastAsia="zh-CN" w:bidi="ar"/>
              </w:rPr>
              <w:t>罐体直经600，高度2000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39CDA377">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8.一体化雨水处理成套设备：一体化雨水处理成套设备，罐体为304不锈钢，Q＝10m3/h，</w:t>
            </w:r>
            <w:r>
              <w:rPr>
                <w:rFonts w:hint="eastAsia" w:ascii="仿宋" w:hAnsi="仿宋" w:eastAsia="仿宋" w:cs="仿宋"/>
                <w:i w:val="0"/>
                <w:iCs w:val="0"/>
                <w:color w:val="0000FF"/>
                <w:kern w:val="0"/>
                <w:sz w:val="21"/>
                <w:szCs w:val="21"/>
                <w:highlight w:val="none"/>
                <w:u w:val="none"/>
                <w:lang w:val="en-US" w:eastAsia="zh-CN" w:bidi="ar"/>
              </w:rPr>
              <w:t>罐体直经600</w:t>
            </w:r>
            <w:r>
              <w:rPr>
                <w:rFonts w:hint="eastAsia" w:ascii="仿宋" w:hAnsi="仿宋" w:eastAsia="仿宋" w:cs="仿宋"/>
                <w:color w:val="000000" w:themeColor="text1"/>
                <w:sz w:val="21"/>
                <w:szCs w:val="21"/>
                <w:highlight w:val="none"/>
                <w:lang w:val="en-US" w:eastAsia="zh-CN"/>
                <w14:textFill>
                  <w14:solidFill>
                    <w14:schemeClr w14:val="tx1"/>
                  </w14:solidFill>
                </w14:textFill>
              </w:rPr>
              <w:t>mm</w:t>
            </w:r>
            <w:r>
              <w:rPr>
                <w:rFonts w:hint="eastAsia" w:ascii="仿宋" w:hAnsi="仿宋" w:eastAsia="仿宋" w:cs="仿宋"/>
                <w:i w:val="0"/>
                <w:iCs w:val="0"/>
                <w:color w:val="0000FF"/>
                <w:kern w:val="0"/>
                <w:sz w:val="21"/>
                <w:szCs w:val="21"/>
                <w:highlight w:val="none"/>
                <w:u w:val="none"/>
                <w:lang w:val="en-US" w:eastAsia="zh-CN" w:bidi="ar"/>
              </w:rPr>
              <w:t>，高度2000</w:t>
            </w:r>
            <w:r>
              <w:rPr>
                <w:rFonts w:hint="eastAsia" w:ascii="仿宋" w:hAnsi="仿宋" w:eastAsia="仿宋" w:cs="仿宋"/>
                <w:color w:val="000000" w:themeColor="text1"/>
                <w:sz w:val="21"/>
                <w:szCs w:val="21"/>
                <w:highlight w:val="none"/>
                <w:lang w:val="en-US" w:eastAsia="zh-CN"/>
                <w14:textFill>
                  <w14:solidFill>
                    <w14:schemeClr w14:val="tx1"/>
                  </w14:solidFill>
                </w14:textFill>
              </w:rPr>
              <w:t>mm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w:t>
            </w:r>
          </w:p>
        </w:tc>
      </w:tr>
      <w:tr w14:paraId="09C57EE7">
        <w:tblPrEx>
          <w:tblCellMar>
            <w:top w:w="15" w:type="dxa"/>
            <w:left w:w="15" w:type="dxa"/>
            <w:bottom w:w="15" w:type="dxa"/>
            <w:right w:w="15" w:type="dxa"/>
          </w:tblCellMar>
        </w:tblPrEx>
        <w:trPr>
          <w:trHeight w:val="827"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BAA9888">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69802AC">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74478552">
            <w:pPr>
              <w:pageBreakBefore w:val="0"/>
              <w:kinsoku/>
              <w:overflowPunct/>
              <w:topLinePunct w:val="0"/>
              <w:autoSpaceDE/>
              <w:autoSpaceDN/>
              <w:bidi w:val="0"/>
              <w:snapToGrid/>
              <w:spacing w:line="400" w:lineRule="exact"/>
              <w:rPr>
                <w:rFonts w:hint="eastAsia" w:ascii="仿宋" w:hAnsi="仿宋" w:eastAsia="仿宋" w:cs="仿宋"/>
                <w:kern w:val="0"/>
                <w:sz w:val="21"/>
                <w:szCs w:val="21"/>
              </w:rPr>
            </w:pPr>
            <w:r>
              <w:rPr>
                <w:rFonts w:hint="eastAsia" w:ascii="仿宋" w:hAnsi="仿宋" w:eastAsia="仿宋" w:cs="仿宋"/>
                <w:color w:val="000000" w:themeColor="text1"/>
                <w:sz w:val="21"/>
                <w:szCs w:val="21"/>
                <w:highlight w:val="none"/>
                <w14:textFill>
                  <w14:solidFill>
                    <w14:schemeClr w14:val="tx1"/>
                  </w14:solidFill>
                </w14:textFill>
              </w:rPr>
              <w:t>4.6泥家山水厂雨水调蓄池、污水处理设备清单</w:t>
            </w: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30967F43">
            <w:pPr>
              <w:keepNext w:val="0"/>
              <w:keepLines w:val="0"/>
              <w:pageBreakBefore w:val="0"/>
              <w:widowControl/>
              <w:numPr>
                <w:ilvl w:val="0"/>
                <w:numId w:val="0"/>
              </w:numPr>
              <w:suppressLineNumbers w:val="0"/>
              <w:kinsoku/>
              <w:wordWrap w:val="0"/>
              <w:overflowPunct/>
              <w:topLinePunct w:val="0"/>
              <w:autoSpaceDE/>
              <w:autoSpaceDN/>
              <w:bidi w:val="0"/>
              <w:adjustRightInd w:val="0"/>
              <w:snapToGrid/>
              <w:spacing w:line="400" w:lineRule="exact"/>
              <w:ind w:left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10.变频恒压供水器成套装置：2.一控二变频控制柜：柜体为304不锈钢（</w:t>
            </w:r>
            <w:r>
              <w:rPr>
                <w:rFonts w:hint="eastAsia" w:ascii="仿宋" w:hAnsi="仿宋" w:eastAsia="仿宋" w:cs="仿宋"/>
                <w:i w:val="0"/>
                <w:iCs w:val="0"/>
                <w:color w:val="0000FF"/>
                <w:kern w:val="0"/>
                <w:sz w:val="21"/>
                <w:szCs w:val="21"/>
                <w:highlight w:val="none"/>
                <w:u w:val="none"/>
                <w:lang w:val="en-US" w:eastAsia="zh-CN" w:bidi="ar"/>
              </w:rPr>
              <w:t>长600*宽400*高1200</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）。ABB变频器；</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1C3C3BE2">
            <w:pPr>
              <w:keepNext w:val="0"/>
              <w:keepLines w:val="0"/>
              <w:pageBreakBefore w:val="0"/>
              <w:widowControl/>
              <w:numPr>
                <w:ilvl w:val="0"/>
                <w:numId w:val="0"/>
              </w:numPr>
              <w:suppressLineNumbers w:val="0"/>
              <w:kinsoku/>
              <w:wordWrap w:val="0"/>
              <w:overflowPunct/>
              <w:topLinePunct w:val="0"/>
              <w:autoSpaceDE/>
              <w:autoSpaceDN/>
              <w:bidi w:val="0"/>
              <w:adjustRightInd w:val="0"/>
              <w:snapToGrid/>
              <w:spacing w:line="400" w:lineRule="exact"/>
              <w:ind w:leftChars="0"/>
              <w:jc w:val="left"/>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10.变频恒压供水器成套装置：2.一控二变频控制柜：柜体为304不锈钢（</w:t>
            </w:r>
            <w:r>
              <w:rPr>
                <w:rFonts w:hint="eastAsia" w:ascii="仿宋" w:hAnsi="仿宋" w:eastAsia="仿宋" w:cs="仿宋"/>
                <w:i w:val="0"/>
                <w:iCs w:val="0"/>
                <w:color w:val="0000FF"/>
                <w:kern w:val="0"/>
                <w:sz w:val="21"/>
                <w:szCs w:val="21"/>
                <w:highlight w:val="none"/>
                <w:u w:val="none"/>
                <w:lang w:val="en-US" w:eastAsia="zh-CN" w:bidi="ar"/>
              </w:rPr>
              <w:t>长600</w:t>
            </w:r>
            <w:r>
              <w:rPr>
                <w:rFonts w:hint="eastAsia" w:ascii="仿宋" w:hAnsi="仿宋" w:eastAsia="仿宋" w:cs="仿宋"/>
                <w:color w:val="000000" w:themeColor="text1"/>
                <w:sz w:val="21"/>
                <w:szCs w:val="21"/>
                <w:highlight w:val="none"/>
                <w:lang w:val="en-US" w:eastAsia="zh-CN"/>
                <w14:textFill>
                  <w14:solidFill>
                    <w14:schemeClr w14:val="tx1"/>
                  </w14:solidFill>
                </w14:textFill>
              </w:rPr>
              <w:t>mm</w:t>
            </w:r>
            <w:r>
              <w:rPr>
                <w:rFonts w:hint="eastAsia" w:ascii="仿宋" w:hAnsi="仿宋" w:eastAsia="仿宋" w:cs="仿宋"/>
                <w:i w:val="0"/>
                <w:iCs w:val="0"/>
                <w:color w:val="0000FF"/>
                <w:kern w:val="0"/>
                <w:sz w:val="21"/>
                <w:szCs w:val="21"/>
                <w:highlight w:val="none"/>
                <w:u w:val="none"/>
                <w:lang w:val="en-US" w:eastAsia="zh-CN" w:bidi="ar"/>
              </w:rPr>
              <w:t>*宽400</w:t>
            </w:r>
            <w:r>
              <w:rPr>
                <w:rFonts w:hint="eastAsia" w:ascii="仿宋" w:hAnsi="仿宋" w:eastAsia="仿宋" w:cs="仿宋"/>
                <w:color w:val="000000" w:themeColor="text1"/>
                <w:sz w:val="21"/>
                <w:szCs w:val="21"/>
                <w:highlight w:val="none"/>
                <w:lang w:val="en-US" w:eastAsia="zh-CN"/>
                <w14:textFill>
                  <w14:solidFill>
                    <w14:schemeClr w14:val="tx1"/>
                  </w14:solidFill>
                </w14:textFill>
              </w:rPr>
              <w:t>mm</w:t>
            </w:r>
            <w:r>
              <w:rPr>
                <w:rFonts w:hint="eastAsia" w:ascii="仿宋" w:hAnsi="仿宋" w:eastAsia="仿宋" w:cs="仿宋"/>
                <w:i w:val="0"/>
                <w:iCs w:val="0"/>
                <w:color w:val="0000FF"/>
                <w:kern w:val="0"/>
                <w:sz w:val="21"/>
                <w:szCs w:val="21"/>
                <w:highlight w:val="none"/>
                <w:u w:val="none"/>
                <w:lang w:val="en-US" w:eastAsia="zh-CN" w:bidi="ar"/>
              </w:rPr>
              <w:t>*高1200</w:t>
            </w:r>
            <w:r>
              <w:rPr>
                <w:rFonts w:hint="eastAsia" w:ascii="仿宋" w:hAnsi="仿宋" w:eastAsia="仿宋" w:cs="仿宋"/>
                <w:color w:val="000000" w:themeColor="text1"/>
                <w:sz w:val="21"/>
                <w:szCs w:val="21"/>
                <w:highlight w:val="none"/>
                <w:lang w:val="en-US" w:eastAsia="zh-CN"/>
                <w14:textFill>
                  <w14:solidFill>
                    <w14:schemeClr w14:val="tx1"/>
                  </w14:solidFill>
                </w14:textFill>
              </w:rPr>
              <w:t>mm</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）。ABB变频器；</w:t>
            </w:r>
          </w:p>
        </w:tc>
      </w:tr>
      <w:tr w14:paraId="6FE17FB3">
        <w:tblPrEx>
          <w:tblCellMar>
            <w:top w:w="15" w:type="dxa"/>
            <w:left w:w="15" w:type="dxa"/>
            <w:bottom w:w="15" w:type="dxa"/>
            <w:right w:w="15" w:type="dxa"/>
          </w:tblCellMar>
        </w:tblPrEx>
        <w:trPr>
          <w:trHeight w:val="827"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135EBFB">
            <w:pPr>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46"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708CC69C">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第三部分</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招标项目范围及要求</w:t>
            </w:r>
          </w:p>
          <w:p w14:paraId="275B5B1C">
            <w:pPr>
              <w:pageBreakBefore w:val="0"/>
              <w:kinsoku/>
              <w:overflowPunct/>
              <w:topLinePunct w:val="0"/>
              <w:autoSpaceDE/>
              <w:autoSpaceDN/>
              <w:bidi w:val="0"/>
              <w:snapToGri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4.6泥家山水厂雨水调蓄池、污水处理设备清单</w:t>
            </w:r>
          </w:p>
          <w:p w14:paraId="363779A7">
            <w:pPr>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p>
        </w:tc>
        <w:tc>
          <w:tcPr>
            <w:tcW w:w="1805"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5ABCDB3E">
            <w:pPr>
              <w:pStyle w:val="2"/>
              <w:pageBreakBefore w:val="0"/>
              <w:kinsoku/>
              <w:overflowPunct/>
              <w:topLinePunct w:val="0"/>
              <w:autoSpaceDE/>
              <w:autoSpaceDN/>
              <w:bidi w:val="0"/>
              <w:snapToGrid/>
              <w:spacing w:before="0" w:beforeLines="0" w:after="0" w:afterLines="0" w:line="400" w:lineRule="exact"/>
              <w:rPr>
                <w:rFonts w:hint="eastAsia"/>
                <w:lang w:val="en-US" w:eastAsia="zh-CN"/>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14.电气自控及仪表：包括户外型落地式电控柜、柜体外壳材质为304不锈钢（长600*宽400*高1200）、柜内主要的元器件为施耐德、电控柜带声光报警、自控系统。保护管、电缆、挖填土方、钻孔及孔洞封堵等图纸上包含的完成设备运行所需的配套附件及调试</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285F9EC">
            <w:pPr>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14.电气自控及仪表：包括户外型落地式电控柜、柜体外壳材质为304不锈钢（</w:t>
            </w:r>
            <w:r>
              <w:rPr>
                <w:rFonts w:hint="eastAsia" w:ascii="仿宋" w:hAnsi="仿宋" w:eastAsia="仿宋" w:cs="仿宋"/>
                <w:b w:val="0"/>
                <w:color w:val="0000FF"/>
                <w:kern w:val="2"/>
                <w:sz w:val="21"/>
                <w:szCs w:val="21"/>
                <w:highlight w:val="none"/>
                <w:lang w:val="en-US" w:eastAsia="zh-CN" w:bidi="ar-SA"/>
              </w:rPr>
              <w:t>长600</w:t>
            </w:r>
            <w:r>
              <w:rPr>
                <w:rFonts w:hint="eastAsia" w:ascii="仿宋" w:hAnsi="仿宋" w:eastAsia="仿宋" w:cs="仿宋"/>
                <w:color w:val="0000FF"/>
                <w:sz w:val="21"/>
                <w:szCs w:val="21"/>
                <w:highlight w:val="none"/>
                <w:lang w:val="en-US" w:eastAsia="zh-CN"/>
              </w:rPr>
              <w:t>mm</w:t>
            </w:r>
            <w:r>
              <w:rPr>
                <w:rFonts w:hint="eastAsia" w:ascii="仿宋" w:hAnsi="仿宋" w:eastAsia="仿宋" w:cs="仿宋"/>
                <w:b w:val="0"/>
                <w:color w:val="0000FF"/>
                <w:kern w:val="2"/>
                <w:sz w:val="21"/>
                <w:szCs w:val="21"/>
                <w:highlight w:val="none"/>
                <w:lang w:val="en-US" w:eastAsia="zh-CN" w:bidi="ar-SA"/>
              </w:rPr>
              <w:t>*宽400</w:t>
            </w:r>
            <w:r>
              <w:rPr>
                <w:rFonts w:hint="eastAsia" w:ascii="仿宋" w:hAnsi="仿宋" w:eastAsia="仿宋" w:cs="仿宋"/>
                <w:color w:val="0000FF"/>
                <w:sz w:val="21"/>
                <w:szCs w:val="21"/>
                <w:highlight w:val="none"/>
                <w:lang w:val="en-US" w:eastAsia="zh-CN"/>
              </w:rPr>
              <w:t>mm</w:t>
            </w:r>
            <w:r>
              <w:rPr>
                <w:rFonts w:hint="eastAsia" w:ascii="仿宋" w:hAnsi="仿宋" w:eastAsia="仿宋" w:cs="仿宋"/>
                <w:b w:val="0"/>
                <w:color w:val="0000FF"/>
                <w:kern w:val="2"/>
                <w:sz w:val="21"/>
                <w:szCs w:val="21"/>
                <w:highlight w:val="none"/>
                <w:lang w:val="en-US" w:eastAsia="zh-CN" w:bidi="ar-SA"/>
              </w:rPr>
              <w:t>*高1200</w:t>
            </w:r>
            <w:r>
              <w:rPr>
                <w:rFonts w:hint="eastAsia" w:ascii="仿宋" w:hAnsi="仿宋" w:eastAsia="仿宋" w:cs="仿宋"/>
                <w:color w:val="0000FF"/>
                <w:sz w:val="21"/>
                <w:szCs w:val="21"/>
                <w:highlight w:val="none"/>
                <w:lang w:val="en-US" w:eastAsia="zh-CN"/>
              </w:rPr>
              <w:t>mm</w:t>
            </w:r>
            <w:r>
              <w:rPr>
                <w:rFonts w:hint="eastAsia" w:ascii="仿宋" w:hAnsi="仿宋" w:eastAsia="仿宋" w:cs="仿宋"/>
                <w:b w:val="0"/>
                <w:color w:val="0000FF"/>
                <w:kern w:val="2"/>
                <w:sz w:val="21"/>
                <w:szCs w:val="21"/>
                <w:highlight w:val="none"/>
                <w:lang w:val="en-US" w:eastAsia="zh-CN" w:bidi="ar-SA"/>
              </w:rPr>
              <w:t>）</w:t>
            </w:r>
            <w:r>
              <w:rPr>
                <w:rFonts w:hint="eastAsia" w:ascii="仿宋" w:hAnsi="仿宋" w:eastAsia="仿宋" w:cs="仿宋"/>
                <w:b w:val="0"/>
                <w:color w:val="000000" w:themeColor="text1"/>
                <w:kern w:val="2"/>
                <w:sz w:val="21"/>
                <w:szCs w:val="21"/>
                <w:highlight w:val="none"/>
                <w:lang w:val="en-US" w:eastAsia="zh-CN" w:bidi="ar-SA"/>
                <w14:textFill>
                  <w14:solidFill>
                    <w14:schemeClr w14:val="tx1"/>
                  </w14:solidFill>
                </w14:textFill>
              </w:rPr>
              <w:t>、柜内主要的元器件为施耐德、电控柜带声光报警、自控系统。保护管、电缆、挖填土方、钻孔及孔洞封堵等图纸上包含的完成设备运行所需的配套附件及调试</w:t>
            </w:r>
          </w:p>
        </w:tc>
      </w:tr>
      <w:tr w14:paraId="1CB178BB">
        <w:tblPrEx>
          <w:tblCellMar>
            <w:top w:w="15" w:type="dxa"/>
            <w:left w:w="15" w:type="dxa"/>
            <w:bottom w:w="15" w:type="dxa"/>
            <w:right w:w="15" w:type="dxa"/>
          </w:tblCellMar>
        </w:tblPrEx>
        <w:trPr>
          <w:trHeight w:val="1428"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51975C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0</w:t>
            </w:r>
          </w:p>
        </w:tc>
        <w:tc>
          <w:tcPr>
            <w:tcW w:w="946"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0D2E8B3E">
            <w:pPr>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0"/>
                <w:sz w:val="21"/>
                <w:szCs w:val="21"/>
              </w:rPr>
              <w:t>获取招标文件时间</w:t>
            </w:r>
          </w:p>
        </w:tc>
        <w:tc>
          <w:tcPr>
            <w:tcW w:w="1805"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079A654A">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时间：/至2024 年 12 月 06 日，每天上午00:00至12:00 ，下午12:00至23:59（北京时间，线上获取法定节假日均可，线下获取文件法定节假日除外）</w:t>
            </w:r>
          </w:p>
        </w:tc>
        <w:tc>
          <w:tcPr>
            <w:tcW w:w="180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23E8E4A7">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时间：/至2024 年 12 月 </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 xml:space="preserve"> 日，每天上午00:00至12:00 ，下午12:00至23:59（北京时间，线上获取法定节假日均可，线下获取文件法定节假日除外）</w:t>
            </w:r>
          </w:p>
        </w:tc>
      </w:tr>
      <w:tr w14:paraId="5E23DB4A">
        <w:tblPrEx>
          <w:tblCellMar>
            <w:top w:w="15" w:type="dxa"/>
            <w:left w:w="15" w:type="dxa"/>
            <w:bottom w:w="15" w:type="dxa"/>
            <w:right w:w="15" w:type="dxa"/>
          </w:tblCellMar>
        </w:tblPrEx>
        <w:trPr>
          <w:trHeight w:val="934"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02C8627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11</w:t>
            </w:r>
          </w:p>
        </w:tc>
        <w:tc>
          <w:tcPr>
            <w:tcW w:w="946"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33EFE843">
            <w:pPr>
              <w:pStyle w:val="2"/>
              <w:pageBreakBefore w:val="0"/>
              <w:numPr>
                <w:ilvl w:val="0"/>
                <w:numId w:val="0"/>
              </w:numPr>
              <w:kinsoku/>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仿宋" w:hAnsi="仿宋" w:eastAsia="仿宋" w:cs="仿宋"/>
                <w:b w:val="0"/>
                <w:bCs w:val="0"/>
                <w:kern w:val="44"/>
                <w:sz w:val="21"/>
                <w:szCs w:val="21"/>
                <w:lang w:val="en-US" w:eastAsia="zh-CN" w:bidi="ar-SA"/>
              </w:rPr>
            </w:pPr>
            <w:r>
              <w:rPr>
                <w:rFonts w:hint="eastAsia" w:ascii="仿宋" w:hAnsi="仿宋" w:eastAsia="仿宋" w:cs="仿宋"/>
                <w:b w:val="0"/>
                <w:bCs w:val="0"/>
                <w:kern w:val="0"/>
                <w:sz w:val="21"/>
                <w:szCs w:val="21"/>
              </w:rPr>
              <w:t>提交投标文件截止时间</w:t>
            </w:r>
          </w:p>
        </w:tc>
        <w:tc>
          <w:tcPr>
            <w:tcW w:w="1805"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34774CC8">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2024 年 12 月 06 日 9点00 分00秒（北京时间）</w:t>
            </w:r>
          </w:p>
        </w:tc>
        <w:tc>
          <w:tcPr>
            <w:tcW w:w="1804"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4D80A82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 xml:space="preserve">024 年 12 月 </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日 9点00 分00秒（北京时间）</w:t>
            </w:r>
          </w:p>
        </w:tc>
      </w:tr>
      <w:tr w14:paraId="5F88EC4C">
        <w:tblPrEx>
          <w:tblCellMar>
            <w:top w:w="15" w:type="dxa"/>
            <w:left w:w="15" w:type="dxa"/>
            <w:bottom w:w="15" w:type="dxa"/>
            <w:right w:w="15" w:type="dxa"/>
          </w:tblCellMar>
        </w:tblPrEx>
        <w:trPr>
          <w:trHeight w:val="410"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6369DCDE">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46"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7036272A">
            <w:pPr>
              <w:pStyle w:val="2"/>
              <w:pageBreakBefore w:val="0"/>
              <w:numPr>
                <w:ilvl w:val="0"/>
                <w:numId w:val="0"/>
              </w:numPr>
              <w:kinsoku/>
              <w:overflowPunct/>
              <w:topLinePunct w:val="0"/>
              <w:autoSpaceDE/>
              <w:autoSpaceDN/>
              <w:bidi w:val="0"/>
              <w:adjustRightInd/>
              <w:snapToGrid/>
              <w:spacing w:before="0" w:beforeLines="0" w:after="0" w:afterLines="0" w:line="400" w:lineRule="exact"/>
              <w:ind w:left="0" w:leftChars="0" w:firstLine="0" w:firstLineChars="0"/>
              <w:jc w:val="center"/>
              <w:textAlignment w:val="auto"/>
              <w:rPr>
                <w:rFonts w:hint="eastAsia" w:ascii="仿宋" w:hAnsi="仿宋" w:eastAsia="仿宋" w:cs="仿宋"/>
                <w:b w:val="0"/>
                <w:bCs w:val="0"/>
                <w:kern w:val="44"/>
                <w:sz w:val="21"/>
                <w:szCs w:val="21"/>
                <w:lang w:val="en-US" w:eastAsia="zh-CN" w:bidi="ar-SA"/>
              </w:rPr>
            </w:pPr>
            <w:r>
              <w:rPr>
                <w:rFonts w:hint="eastAsia" w:ascii="仿宋" w:hAnsi="仿宋" w:eastAsia="仿宋" w:cs="仿宋"/>
                <w:b w:val="0"/>
                <w:bCs w:val="0"/>
                <w:sz w:val="21"/>
                <w:szCs w:val="21"/>
                <w:lang w:val="en-US" w:eastAsia="zh-CN"/>
              </w:rPr>
              <w:t>开标时间</w:t>
            </w:r>
          </w:p>
        </w:tc>
        <w:tc>
          <w:tcPr>
            <w:tcW w:w="1805"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687171BB">
            <w:pPr>
              <w:keepNext w:val="0"/>
              <w:keepLines w:val="0"/>
              <w:pageBreakBefore w:val="0"/>
              <w:widowControl/>
              <w:kinsoku/>
              <w:wordWrap w:val="0"/>
              <w:overflowPunct/>
              <w:topLinePunct w:val="0"/>
              <w:autoSpaceDE/>
              <w:autoSpaceDN/>
              <w:bidi w:val="0"/>
              <w:adjustRightInd/>
              <w:snapToGrid/>
              <w:spacing w:line="400" w:lineRule="exact"/>
              <w:jc w:val="both"/>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 xml:space="preserve"> 2024 年 12 月 06 日9点00分00秒（北京时间）</w:t>
            </w:r>
          </w:p>
        </w:tc>
        <w:tc>
          <w:tcPr>
            <w:tcW w:w="1804"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3D48A02F">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2024 年 12 月  12日9点00分00秒（北京时间）</w:t>
            </w:r>
          </w:p>
        </w:tc>
      </w:tr>
      <w:tr w14:paraId="00A02543">
        <w:tblPrEx>
          <w:tblCellMar>
            <w:top w:w="15" w:type="dxa"/>
            <w:left w:w="15" w:type="dxa"/>
            <w:bottom w:w="15" w:type="dxa"/>
            <w:right w:w="15" w:type="dxa"/>
          </w:tblCellMar>
        </w:tblPrEx>
        <w:trPr>
          <w:trHeight w:val="948" w:hRule="atLeast"/>
        </w:trPr>
        <w:tc>
          <w:tcPr>
            <w:tcW w:w="444" w:type="pct"/>
            <w:tcBorders>
              <w:top w:val="single" w:color="DDDDDD" w:sz="4" w:space="0"/>
              <w:left w:val="single" w:color="DDDDDD" w:sz="4" w:space="0"/>
              <w:bottom w:val="single" w:color="DDDDDD" w:sz="4" w:space="0"/>
              <w:right w:val="single" w:color="DDDDDD" w:sz="4" w:space="0"/>
            </w:tcBorders>
            <w:tcMar>
              <w:top w:w="63" w:type="dxa"/>
              <w:left w:w="125" w:type="dxa"/>
              <w:bottom w:w="63" w:type="dxa"/>
              <w:right w:w="125" w:type="dxa"/>
            </w:tcMar>
            <w:vAlign w:val="center"/>
          </w:tcPr>
          <w:p w14:paraId="025F156E">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46"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210EA36E">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rPr>
              <w:t>投标保证金</w:t>
            </w:r>
          </w:p>
        </w:tc>
        <w:tc>
          <w:tcPr>
            <w:tcW w:w="1805"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337FEA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sz w:val="21"/>
                <w:szCs w:val="21"/>
              </w:rPr>
              <w:t>投标人应于2024 年 12 月 05 日16：00前将投标保证金以电汇、网上银行、转账形式，通过投标人的基本账户汇入指定账户，投标保证金以到账时间为准。如因投标人自身原因，造成投标单位保证金未及时到账的，一律视为不响应招标文件，投标文件不予接收。</w:t>
            </w:r>
          </w:p>
        </w:tc>
        <w:tc>
          <w:tcPr>
            <w:tcW w:w="1804" w:type="pct"/>
            <w:tcBorders>
              <w:top w:val="single" w:color="DDDDDD" w:sz="4" w:space="0"/>
              <w:left w:val="single" w:color="DDDDDD" w:sz="4" w:space="0"/>
              <w:bottom w:val="single" w:color="DDDDDD" w:sz="4" w:space="0"/>
              <w:right w:val="single" w:color="DDDDDD" w:sz="4" w:space="0"/>
            </w:tcBorders>
            <w:shd w:val="clear" w:color="auto" w:fill="auto"/>
            <w:tcMar>
              <w:top w:w="63" w:type="dxa"/>
              <w:left w:w="125" w:type="dxa"/>
              <w:bottom w:w="63" w:type="dxa"/>
              <w:right w:w="125" w:type="dxa"/>
            </w:tcMar>
            <w:vAlign w:val="center"/>
          </w:tcPr>
          <w:p w14:paraId="5FB5CB8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 w:hAnsi="仿宋" w:eastAsia="仿宋" w:cs="仿宋"/>
                <w:kern w:val="0"/>
                <w:sz w:val="21"/>
                <w:szCs w:val="21"/>
                <w:lang w:val="en-US" w:eastAsia="zh-CN" w:bidi="ar-SA"/>
              </w:rPr>
            </w:pPr>
            <w:bookmarkStart w:id="0" w:name="_GoBack"/>
            <w:r>
              <w:rPr>
                <w:rFonts w:hint="eastAsia" w:ascii="仿宋" w:hAnsi="仿宋" w:eastAsia="仿宋" w:cs="仿宋"/>
                <w:color w:val="auto"/>
                <w:sz w:val="21"/>
                <w:szCs w:val="21"/>
              </w:rPr>
              <w:t>投标人应于2024 年 12 月</w:t>
            </w:r>
            <w:r>
              <w:rPr>
                <w:rFonts w:hint="eastAsia" w:ascii="仿宋" w:hAnsi="仿宋" w:eastAsia="仿宋" w:cs="仿宋"/>
                <w:color w:val="auto"/>
                <w:sz w:val="21"/>
                <w:szCs w:val="21"/>
                <w:lang w:val="en-US" w:eastAsia="zh-CN"/>
              </w:rPr>
              <w:t>11</w:t>
            </w:r>
            <w:r>
              <w:rPr>
                <w:rFonts w:hint="eastAsia" w:ascii="仿宋" w:hAnsi="仿宋" w:eastAsia="仿宋" w:cs="仿宋"/>
                <w:color w:val="auto"/>
                <w:sz w:val="21"/>
                <w:szCs w:val="21"/>
              </w:rPr>
              <w:t xml:space="preserve"> 日16：00前将投标保证金以电汇、网上银行、转账形式，通过投标人的基本账户汇入指定账户，投标保证金以到账时间为准。如因投标人自身原因，造成投标单位保证金未及时到账的，一律视为不响应招标文件，投标文件不予接收。</w:t>
            </w:r>
            <w:bookmarkEnd w:id="0"/>
          </w:p>
        </w:tc>
      </w:tr>
    </w:tbl>
    <w:p w14:paraId="71FDC0D9">
      <w:pPr>
        <w:widowControl/>
        <w:snapToGrid w:val="0"/>
        <w:spacing w:line="500" w:lineRule="exact"/>
        <w:ind w:firstLine="411" w:firstLineChars="196"/>
        <w:jc w:val="right"/>
        <w:rPr>
          <w:rFonts w:hint="eastAsia" w:ascii="仿宋" w:hAnsi="仿宋" w:eastAsia="仿宋" w:cs="仿宋"/>
          <w:color w:val="auto"/>
          <w:sz w:val="21"/>
          <w:szCs w:val="21"/>
        </w:rPr>
      </w:pPr>
    </w:p>
    <w:p w14:paraId="308DF4BA">
      <w:pPr>
        <w:widowControl/>
        <w:snapToGrid w:val="0"/>
        <w:spacing w:line="500" w:lineRule="exact"/>
        <w:ind w:firstLine="411" w:firstLineChars="196"/>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采购单位：嵊州市水联贸易有限公司 </w:t>
      </w:r>
    </w:p>
    <w:p w14:paraId="23E45669">
      <w:pPr>
        <w:widowControl/>
        <w:snapToGrid w:val="0"/>
        <w:spacing w:line="500" w:lineRule="exact"/>
        <w:ind w:firstLine="411" w:firstLineChars="196"/>
        <w:jc w:val="righ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代理机构：</w:t>
      </w:r>
      <w:r>
        <w:rPr>
          <w:rFonts w:hint="eastAsia" w:ascii="仿宋" w:hAnsi="仿宋" w:eastAsia="仿宋" w:cs="仿宋"/>
          <w:color w:val="auto"/>
          <w:sz w:val="21"/>
          <w:szCs w:val="21"/>
        </w:rPr>
        <w:t>浙江卓宏建设项目管理有限公司</w:t>
      </w:r>
    </w:p>
    <w:p w14:paraId="6886CF14">
      <w:pPr>
        <w:widowControl/>
        <w:snapToGrid w:val="0"/>
        <w:spacing w:line="500" w:lineRule="exact"/>
        <w:ind w:firstLine="411" w:firstLineChars="196"/>
        <w:jc w:val="righ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2024年11月27日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DNlYzkwNjU1YzUyYzU5NzQ4NDRjNGY4NDM5MGYifQ=="/>
  </w:docVars>
  <w:rsids>
    <w:rsidRoot w:val="00F01304"/>
    <w:rsid w:val="004C3696"/>
    <w:rsid w:val="00F01304"/>
    <w:rsid w:val="0256380C"/>
    <w:rsid w:val="025A3117"/>
    <w:rsid w:val="03205599"/>
    <w:rsid w:val="07CD7CB4"/>
    <w:rsid w:val="0EE26D46"/>
    <w:rsid w:val="10AC760C"/>
    <w:rsid w:val="16A66858"/>
    <w:rsid w:val="244A4D1A"/>
    <w:rsid w:val="2CF075E2"/>
    <w:rsid w:val="2E3D58F0"/>
    <w:rsid w:val="38F117EC"/>
    <w:rsid w:val="38FE5310"/>
    <w:rsid w:val="3FCD65BC"/>
    <w:rsid w:val="40F700AE"/>
    <w:rsid w:val="46E81BA0"/>
    <w:rsid w:val="4EF80DAD"/>
    <w:rsid w:val="52CC62BA"/>
    <w:rsid w:val="5B4A2AF2"/>
    <w:rsid w:val="5B885B4D"/>
    <w:rsid w:val="5BB009F2"/>
    <w:rsid w:val="5D585CAA"/>
    <w:rsid w:val="62AB11A1"/>
    <w:rsid w:val="63573098"/>
    <w:rsid w:val="6B661721"/>
    <w:rsid w:val="718B7769"/>
    <w:rsid w:val="77C67389"/>
    <w:rsid w:val="7CC364BC"/>
    <w:rsid w:val="7DE9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460" w:beforeLines="0" w:after="450" w:afterLines="0" w:line="400" w:lineRule="exact"/>
      <w:jc w:val="center"/>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120" w:beforeLines="0" w:after="120" w:afterLines="0" w:line="240" w:lineRule="auto"/>
      <w:outlineLvl w:val="1"/>
    </w:pPr>
    <w:rPr>
      <w:rFonts w:ascii="Arial" w:hAnsi="Arial" w:eastAsia="黑体"/>
      <w:bCs/>
      <w:sz w:val="24"/>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eastAsia="宋体"/>
      <w:kern w:val="2"/>
      <w:sz w:val="21"/>
      <w:lang w:val="en-US" w:eastAsia="zh-CN" w:bidi="ar-SA"/>
    </w:rPr>
  </w:style>
  <w:style w:type="paragraph" w:styleId="5">
    <w:name w:val="Body Text Indent"/>
    <w:basedOn w:val="1"/>
    <w:next w:val="1"/>
    <w:qFormat/>
    <w:uiPriority w:val="0"/>
    <w:pPr>
      <w:spacing w:line="480" w:lineRule="exact"/>
      <w:ind w:firstLine="480" w:firstLineChars="200"/>
    </w:pPr>
    <w:rPr>
      <w:rFonts w:ascii="宋体" w:hAnsi="宋体"/>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next w:val="1"/>
    <w:qFormat/>
    <w:uiPriority w:val="0"/>
    <w:pPr>
      <w:adjustRightInd/>
      <w:spacing w:after="120" w:line="240" w:lineRule="auto"/>
      <w:ind w:left="420" w:leftChars="200" w:firstLine="210"/>
    </w:pPr>
    <w:rPr>
      <w:sz w:val="21"/>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1951</Words>
  <Characters>2352</Characters>
  <Lines>1</Lines>
  <Paragraphs>1</Paragraphs>
  <TotalTime>8</TotalTime>
  <ScaleCrop>false</ScaleCrop>
  <LinksUpToDate>false</LinksUpToDate>
  <CharactersWithSpaces>2499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2023-09-25T08:36:00Z</dcterms:created>
  <dc:creator>Administrator</dc:creator>
  <cp:lastModifiedBy>Administrator</cp:lastModifiedBy>
  <cp:lastPrinted>2023-09-25T08:45:00Z</cp:lastPrinted>
  <dcterms:modified xsi:type="dcterms:W3CDTF">2024-11-27T03:25:49Z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6233977EF4B142D29BFDFCBFDD5D295D_12</vt:lpwstr>
  </property>
</Properties>
</file>