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A9ADE">
      <w:pPr>
        <w:rPr>
          <w:color w:val="auto"/>
          <w:highlight w:val="none"/>
        </w:rPr>
      </w:pPr>
    </w:p>
    <w:p w14:paraId="0570930F">
      <w:pPr>
        <w:pStyle w:val="23"/>
        <w:ind w:firstLine="210"/>
        <w:rPr>
          <w:color w:val="auto"/>
          <w:highlight w:val="none"/>
        </w:rPr>
      </w:pPr>
    </w:p>
    <w:p w14:paraId="490651BF">
      <w:pPr>
        <w:jc w:val="center"/>
        <w:rPr>
          <w:rFonts w:hint="eastAsia" w:ascii="宋体" w:hAnsi="宋体" w:eastAsia="宋体" w:cs="Courier New"/>
          <w:b/>
          <w:bCs/>
          <w:color w:val="auto"/>
          <w:sz w:val="240"/>
          <w:szCs w:val="240"/>
          <w:highlight w:val="none"/>
          <w:u w:val="none"/>
          <w:lang w:val="en-US" w:eastAsia="zh-CN"/>
        </w:rPr>
      </w:pPr>
      <w:r>
        <w:rPr>
          <w:rFonts w:hint="eastAsia" w:ascii="宋体" w:hAnsi="宋体" w:cs="宋体"/>
          <w:b/>
          <w:bCs/>
          <w:color w:val="auto"/>
          <w:sz w:val="52"/>
          <w:szCs w:val="52"/>
          <w:highlight w:val="none"/>
          <w:u w:val="none"/>
          <w:lang w:val="en-US" w:eastAsia="zh-CN"/>
        </w:rPr>
        <w:t>桐庐县人民法院档案电动密集架改造升级项目</w:t>
      </w:r>
    </w:p>
    <w:p w14:paraId="4BBB4639">
      <w:pPr>
        <w:pStyle w:val="23"/>
        <w:ind w:firstLine="210"/>
        <w:rPr>
          <w:color w:val="auto"/>
          <w:highlight w:val="none"/>
        </w:rPr>
      </w:pPr>
    </w:p>
    <w:p w14:paraId="3AC6640F">
      <w:pPr>
        <w:jc w:val="center"/>
        <w:rPr>
          <w:rFonts w:ascii="宋体" w:hAnsi="宋体" w:cs="Courier New"/>
          <w:color w:val="auto"/>
          <w:sz w:val="72"/>
          <w:szCs w:val="72"/>
          <w:highlight w:val="none"/>
        </w:rPr>
      </w:pPr>
      <w:r>
        <w:rPr>
          <w:rFonts w:hint="eastAsia" w:ascii="宋体" w:hAnsi="宋体" w:cs="Courier New"/>
          <w:color w:val="auto"/>
          <w:sz w:val="72"/>
          <w:szCs w:val="72"/>
          <w:highlight w:val="none"/>
        </w:rPr>
        <w:t>招 标 文 件</w:t>
      </w:r>
    </w:p>
    <w:p w14:paraId="35966168">
      <w:pPr>
        <w:jc w:val="center"/>
        <w:rPr>
          <w:rFonts w:ascii="宋体" w:hAnsi="宋体"/>
          <w:color w:val="auto"/>
          <w:sz w:val="28"/>
          <w:szCs w:val="28"/>
          <w:highlight w:val="none"/>
        </w:rPr>
      </w:pPr>
    </w:p>
    <w:p w14:paraId="5713C17E">
      <w:pPr>
        <w:jc w:val="center"/>
        <w:rPr>
          <w:rFonts w:ascii="宋体" w:hAnsi="宋体"/>
          <w:color w:val="auto"/>
          <w:sz w:val="28"/>
          <w:szCs w:val="28"/>
          <w:highlight w:val="none"/>
        </w:rPr>
      </w:pPr>
      <w:r>
        <w:rPr>
          <w:rFonts w:hint="eastAsia" w:ascii="宋体" w:hAnsi="宋体"/>
          <w:color w:val="auto"/>
          <w:sz w:val="28"/>
          <w:szCs w:val="28"/>
          <w:highlight w:val="none"/>
        </w:rPr>
        <w:t>（编号：</w:t>
      </w:r>
      <w:r>
        <w:rPr>
          <w:rFonts w:hint="eastAsia" w:ascii="宋体" w:hAnsi="宋体"/>
          <w:color w:val="auto"/>
          <w:sz w:val="28"/>
          <w:szCs w:val="28"/>
          <w:highlight w:val="none"/>
          <w:lang w:eastAsia="zh-CN"/>
        </w:rPr>
        <w:t>HZLZ-TL2024GK-0</w:t>
      </w:r>
      <w:r>
        <w:rPr>
          <w:rFonts w:hint="eastAsia" w:ascii="宋体" w:hAnsi="宋体"/>
          <w:color w:val="auto"/>
          <w:sz w:val="28"/>
          <w:szCs w:val="28"/>
          <w:highlight w:val="none"/>
          <w:lang w:val="en-US" w:eastAsia="zh-CN"/>
        </w:rPr>
        <w:t>31</w:t>
      </w:r>
      <w:r>
        <w:rPr>
          <w:rFonts w:hint="eastAsia" w:ascii="宋体" w:hAnsi="宋体"/>
          <w:color w:val="auto"/>
          <w:sz w:val="28"/>
          <w:szCs w:val="28"/>
          <w:highlight w:val="none"/>
          <w:lang w:eastAsia="zh-CN"/>
        </w:rPr>
        <w:t xml:space="preserve"> </w:t>
      </w:r>
      <w:r>
        <w:rPr>
          <w:rFonts w:hint="eastAsia" w:ascii="宋体" w:hAnsi="宋体"/>
          <w:color w:val="auto"/>
          <w:sz w:val="28"/>
          <w:szCs w:val="28"/>
          <w:highlight w:val="none"/>
        </w:rPr>
        <w:t>）</w:t>
      </w:r>
    </w:p>
    <w:p w14:paraId="372BC272">
      <w:pPr>
        <w:jc w:val="center"/>
        <w:rPr>
          <w:rFonts w:ascii="宋体" w:hAnsi="宋体"/>
          <w:color w:val="auto"/>
          <w:sz w:val="28"/>
          <w:szCs w:val="28"/>
          <w:highlight w:val="none"/>
        </w:rPr>
      </w:pPr>
    </w:p>
    <w:p w14:paraId="70A8A990">
      <w:pPr>
        <w:rPr>
          <w:rFonts w:ascii="宋体" w:hAnsi="宋体"/>
          <w:color w:val="auto"/>
          <w:sz w:val="52"/>
          <w:highlight w:val="none"/>
        </w:rPr>
      </w:pPr>
    </w:p>
    <w:p w14:paraId="1D63DB7A">
      <w:pPr>
        <w:pStyle w:val="23"/>
        <w:ind w:firstLine="210"/>
        <w:rPr>
          <w:color w:val="auto"/>
          <w:highlight w:val="none"/>
        </w:rPr>
      </w:pPr>
    </w:p>
    <w:p w14:paraId="7ECAF611">
      <w:pPr>
        <w:pStyle w:val="23"/>
        <w:ind w:firstLine="210"/>
        <w:rPr>
          <w:color w:val="auto"/>
          <w:highlight w:val="none"/>
        </w:rPr>
      </w:pPr>
    </w:p>
    <w:p w14:paraId="14210BCB">
      <w:pPr>
        <w:pStyle w:val="23"/>
        <w:spacing w:line="360" w:lineRule="auto"/>
        <w:ind w:firstLine="210"/>
        <w:rPr>
          <w:color w:val="auto"/>
          <w:highlight w:val="none"/>
        </w:rPr>
      </w:pPr>
    </w:p>
    <w:p w14:paraId="2B2BD7CF">
      <w:pPr>
        <w:pStyle w:val="23"/>
        <w:spacing w:line="360" w:lineRule="auto"/>
        <w:ind w:left="0" w:leftChars="0" w:firstLine="0" w:firstLineChars="0"/>
        <w:rPr>
          <w:color w:val="auto"/>
          <w:highlight w:val="none"/>
        </w:rPr>
      </w:pPr>
    </w:p>
    <w:p w14:paraId="0737FF2E">
      <w:pPr>
        <w:tabs>
          <w:tab w:val="left" w:pos="1980"/>
          <w:tab w:val="left" w:pos="3240"/>
          <w:tab w:val="left" w:pos="3420"/>
          <w:tab w:val="left" w:pos="3600"/>
          <w:tab w:val="left" w:pos="3780"/>
        </w:tabs>
        <w:spacing w:line="360" w:lineRule="auto"/>
        <w:rPr>
          <w:rFonts w:hint="eastAsia"/>
          <w:sz w:val="32"/>
          <w:u w:val="single"/>
        </w:rPr>
      </w:pPr>
      <w:r>
        <w:rPr>
          <w:rFonts w:hint="eastAsia"/>
          <w:sz w:val="32"/>
        </w:rPr>
        <w:t>采购单位 ：</w:t>
      </w:r>
      <w:r>
        <w:rPr>
          <w:rFonts w:hint="eastAsia"/>
          <w:sz w:val="32"/>
          <w:u w:val="single"/>
        </w:rPr>
        <w:t xml:space="preserve">  </w:t>
      </w:r>
      <w:r>
        <w:rPr>
          <w:rFonts w:hint="eastAsia"/>
          <w:sz w:val="32"/>
          <w:u w:val="single"/>
          <w:lang w:val="en-US" w:eastAsia="zh-CN"/>
        </w:rPr>
        <w:t xml:space="preserve"> </w:t>
      </w:r>
      <w:r>
        <w:rPr>
          <w:rFonts w:hint="eastAsia"/>
          <w:sz w:val="32"/>
          <w:szCs w:val="32"/>
          <w:u w:val="single"/>
          <w:lang w:val="en-US" w:eastAsia="zh-CN"/>
        </w:rPr>
        <w:t xml:space="preserve">                桐庐县人民法院</w:t>
      </w:r>
      <w:r>
        <w:rPr>
          <w:rFonts w:hint="eastAsia"/>
          <w:sz w:val="32"/>
          <w:szCs w:val="32"/>
          <w:u w:val="single"/>
        </w:rPr>
        <w:t xml:space="preserve">      </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3AE05BA9">
      <w:pPr>
        <w:tabs>
          <w:tab w:val="left" w:pos="1980"/>
          <w:tab w:val="left" w:pos="3240"/>
          <w:tab w:val="left" w:pos="3420"/>
          <w:tab w:val="left" w:pos="3600"/>
          <w:tab w:val="left" w:pos="3780"/>
        </w:tabs>
        <w:spacing w:line="360" w:lineRule="auto"/>
        <w:rPr>
          <w:rFonts w:hint="eastAsia"/>
          <w:sz w:val="32"/>
          <w:u w:val="single"/>
        </w:rPr>
      </w:pPr>
    </w:p>
    <w:p w14:paraId="74466922">
      <w:pPr>
        <w:tabs>
          <w:tab w:val="left" w:pos="1980"/>
          <w:tab w:val="left" w:pos="3240"/>
          <w:tab w:val="left" w:pos="3420"/>
          <w:tab w:val="left" w:pos="3600"/>
          <w:tab w:val="left" w:pos="3780"/>
        </w:tabs>
        <w:spacing w:line="360" w:lineRule="auto"/>
        <w:rPr>
          <w:rFonts w:hint="eastAsia" w:ascii="宋体" w:hAnsi="宋体"/>
          <w:sz w:val="32"/>
          <w:szCs w:val="32"/>
          <w:u w:val="single"/>
        </w:rPr>
      </w:pPr>
      <w:r>
        <w:rPr>
          <w:rFonts w:hint="eastAsia" w:ascii="宋体" w:hAnsi="宋体"/>
          <w:sz w:val="32"/>
          <w:szCs w:val="32"/>
        </w:rPr>
        <w:t>法定代表人或其委托代理人: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Times New Roman" w:hAnsi="Times New Roman" w:eastAsia="宋体" w:cs="Times New Roman"/>
          <w:sz w:val="32"/>
          <w:szCs w:val="32"/>
          <w:u w:val="single"/>
          <w:lang w:val="en-US" w:eastAsia="zh-CN"/>
        </w:rPr>
        <w:t xml:space="preserve">  </w:t>
      </w:r>
      <w:r>
        <w:rPr>
          <w:rFonts w:hint="eastAsia" w:cs="Times New Roman"/>
          <w:sz w:val="32"/>
          <w:szCs w:val="32"/>
          <w:u w:val="single"/>
          <w:lang w:val="en-US" w:eastAsia="zh-CN"/>
        </w:rPr>
        <w:t>蔡春华</w:t>
      </w:r>
      <w:r>
        <w:rPr>
          <w:rFonts w:hint="eastAsia" w:ascii="Times New Roman" w:hAnsi="Times New Roman" w:eastAsia="宋体" w:cs="Times New Roman"/>
          <w:sz w:val="32"/>
          <w:szCs w:val="32"/>
          <w:u w:val="single"/>
          <w:lang w:val="en-US" w:eastAsia="zh-CN"/>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6DE8CC45">
      <w:pPr>
        <w:pStyle w:val="12"/>
        <w:rPr>
          <w:rFonts w:hint="eastAsia"/>
        </w:rPr>
      </w:pPr>
    </w:p>
    <w:p w14:paraId="0CBC2E8E">
      <w:pPr>
        <w:tabs>
          <w:tab w:val="left" w:pos="1620"/>
          <w:tab w:val="left" w:pos="1800"/>
          <w:tab w:val="left" w:pos="1980"/>
        </w:tabs>
        <w:spacing w:line="360" w:lineRule="auto"/>
        <w:rPr>
          <w:rFonts w:hint="eastAsia" w:ascii="宋体" w:hAnsi="宋体" w:eastAsia="宋体" w:cs="宋体"/>
          <w:color w:val="auto"/>
          <w:sz w:val="36"/>
          <w:szCs w:val="36"/>
          <w:highlight w:val="none"/>
          <w:u w:val="none"/>
        </w:rPr>
      </w:pPr>
      <w:r>
        <w:rPr>
          <w:rFonts w:hint="eastAsia" w:ascii="宋体" w:hAnsi="宋体"/>
          <w:sz w:val="33"/>
          <w:szCs w:val="33"/>
        </w:rPr>
        <w:t>采购机构 ：</w:t>
      </w:r>
      <w:r>
        <w:rPr>
          <w:rFonts w:hint="eastAsia" w:ascii="宋体" w:hAnsi="宋体"/>
          <w:sz w:val="33"/>
          <w:szCs w:val="33"/>
          <w:u w:val="single"/>
        </w:rPr>
        <w:t xml:space="preserve">  </w:t>
      </w:r>
      <w:r>
        <w:rPr>
          <w:rFonts w:hint="eastAsia" w:ascii="宋体" w:hAnsi="宋体"/>
          <w:sz w:val="33"/>
          <w:szCs w:val="33"/>
          <w:u w:val="single"/>
          <w:lang w:val="en-US" w:eastAsia="zh-CN"/>
        </w:rPr>
        <w:t xml:space="preserve"> </w:t>
      </w:r>
      <w:r>
        <w:rPr>
          <w:rFonts w:hint="eastAsia" w:ascii="宋体" w:hAnsi="宋体"/>
          <w:sz w:val="32"/>
          <w:szCs w:val="32"/>
          <w:u w:val="single"/>
          <w:lang w:val="en-US" w:eastAsia="zh-CN"/>
        </w:rPr>
        <w:t xml:space="preserve">         杭州良筑工程造价咨询有限公司   </w:t>
      </w:r>
      <w:r>
        <w:rPr>
          <w:rFonts w:hint="eastAsia" w:ascii="宋体" w:hAnsi="宋体" w:cs="宋体"/>
          <w:sz w:val="33"/>
          <w:szCs w:val="33"/>
          <w:u w:val="single"/>
        </w:rPr>
        <w:t xml:space="preserve">     </w:t>
      </w:r>
      <w:r>
        <w:rPr>
          <w:rFonts w:hint="eastAsia" w:ascii="宋体" w:hAnsi="宋体" w:cs="宋体"/>
          <w:sz w:val="33"/>
          <w:szCs w:val="33"/>
          <w:u w:val="single"/>
          <w:lang w:val="en-US" w:eastAsia="zh-CN"/>
        </w:rPr>
        <w:t xml:space="preserve">        </w:t>
      </w:r>
      <w:r>
        <w:rPr>
          <w:rFonts w:hint="eastAsia" w:ascii="宋体" w:hAnsi="宋体" w:eastAsia="宋体" w:cs="宋体"/>
          <w:color w:val="auto"/>
          <w:sz w:val="33"/>
          <w:szCs w:val="33"/>
          <w:highlight w:val="none"/>
          <w:u w:val="none"/>
        </w:rPr>
        <w:t xml:space="preserve">            </w:t>
      </w:r>
    </w:p>
    <w:p w14:paraId="3DBAA2AE">
      <w:pPr>
        <w:tabs>
          <w:tab w:val="left" w:pos="1620"/>
          <w:tab w:val="left" w:pos="1800"/>
          <w:tab w:val="left" w:pos="1980"/>
        </w:tabs>
        <w:spacing w:line="480" w:lineRule="auto"/>
        <w:rPr>
          <w:rFonts w:hint="eastAsia" w:ascii="宋体" w:hAnsi="宋体" w:eastAsia="宋体" w:cs="宋体"/>
          <w:color w:val="auto"/>
          <w:sz w:val="36"/>
          <w:szCs w:val="36"/>
          <w:highlight w:val="none"/>
          <w:u w:val="none"/>
        </w:rPr>
      </w:pPr>
    </w:p>
    <w:p w14:paraId="41FF4E03">
      <w:pPr>
        <w:tabs>
          <w:tab w:val="left" w:pos="1620"/>
          <w:tab w:val="left" w:pos="1800"/>
          <w:tab w:val="left" w:pos="1980"/>
        </w:tabs>
        <w:spacing w:line="480" w:lineRule="auto"/>
        <w:rPr>
          <w:rFonts w:hint="eastAsia" w:ascii="宋体" w:hAnsi="宋体" w:eastAsia="宋体" w:cs="宋体"/>
          <w:color w:val="auto"/>
          <w:spacing w:val="-20"/>
          <w:sz w:val="36"/>
          <w:szCs w:val="36"/>
          <w:highlight w:val="none"/>
          <w:u w:val="none"/>
          <w:lang w:val="en-US" w:eastAsia="zh-CN"/>
        </w:rPr>
      </w:pPr>
      <w:r>
        <w:rPr>
          <w:rFonts w:hint="eastAsia" w:ascii="宋体" w:hAnsi="宋体" w:eastAsia="宋体" w:cs="宋体"/>
          <w:color w:val="auto"/>
          <w:sz w:val="36"/>
          <w:szCs w:val="36"/>
          <w:highlight w:val="none"/>
          <w:u w:val="none"/>
          <w:lang w:val="en-US" w:eastAsia="zh-CN"/>
        </w:rPr>
        <w:t xml:space="preserve">  </w:t>
      </w:r>
      <w:r>
        <w:rPr>
          <w:rFonts w:hint="eastAsia" w:ascii="宋体" w:hAnsi="宋体" w:eastAsia="宋体" w:cs="宋体"/>
          <w:color w:val="auto"/>
          <w:spacing w:val="-20"/>
          <w:sz w:val="36"/>
          <w:szCs w:val="36"/>
          <w:highlight w:val="none"/>
          <w:u w:val="none"/>
          <w:lang w:val="en-US" w:eastAsia="zh-CN"/>
        </w:rPr>
        <w:t xml:space="preserve">    </w:t>
      </w:r>
    </w:p>
    <w:p w14:paraId="6AEDEAAA">
      <w:pPr>
        <w:rPr>
          <w:rFonts w:hint="eastAsia" w:ascii="宋体" w:hAnsi="宋体" w:eastAsia="宋体" w:cs="宋体"/>
          <w:color w:val="auto"/>
          <w:highlight w:val="none"/>
        </w:rPr>
      </w:pPr>
    </w:p>
    <w:p w14:paraId="31464E62">
      <w:pPr>
        <w:pStyle w:val="34"/>
        <w:rPr>
          <w:rFonts w:hint="eastAsia" w:ascii="宋体" w:hAnsi="宋体" w:eastAsia="宋体" w:cs="宋体"/>
          <w:color w:val="auto"/>
          <w:highlight w:val="none"/>
        </w:rPr>
      </w:pPr>
    </w:p>
    <w:p w14:paraId="7B6E5B68">
      <w:pPr>
        <w:pStyle w:val="34"/>
        <w:rPr>
          <w:rFonts w:hint="eastAsia" w:ascii="宋体" w:hAnsi="宋体" w:eastAsia="宋体" w:cs="宋体"/>
          <w:color w:val="auto"/>
          <w:highlight w:val="none"/>
        </w:rPr>
      </w:pPr>
    </w:p>
    <w:p w14:paraId="0FFF8294">
      <w:pPr>
        <w:pStyle w:val="34"/>
        <w:rPr>
          <w:rFonts w:hint="eastAsia" w:ascii="宋体" w:hAnsi="宋体" w:eastAsia="宋体" w:cs="宋体"/>
          <w:color w:val="auto"/>
          <w:highlight w:val="none"/>
        </w:rPr>
      </w:pPr>
    </w:p>
    <w:p w14:paraId="2C3CEF88">
      <w:pPr>
        <w:pStyle w:val="34"/>
        <w:rPr>
          <w:rFonts w:hint="eastAsia" w:ascii="宋体" w:hAnsi="宋体" w:eastAsia="宋体" w:cs="宋体"/>
          <w:color w:val="auto"/>
          <w:highlight w:val="none"/>
        </w:rPr>
      </w:pPr>
    </w:p>
    <w:p w14:paraId="77AAAC87">
      <w:pPr>
        <w:pStyle w:val="34"/>
        <w:jc w:val="center"/>
        <w:rPr>
          <w:rFonts w:ascii="宋体" w:hAnsi="宋体"/>
          <w:b/>
          <w:color w:val="auto"/>
          <w:sz w:val="44"/>
          <w:szCs w:val="44"/>
          <w:highlight w:val="none"/>
        </w:rPr>
      </w:pPr>
      <w:r>
        <w:rPr>
          <w:rFonts w:hint="eastAsia" w:ascii="宋体" w:hAnsi="宋体" w:eastAsia="宋体" w:cs="宋体"/>
          <w:color w:val="auto"/>
          <w:sz w:val="36"/>
          <w:szCs w:val="36"/>
          <w:highlight w:val="none"/>
        </w:rPr>
        <w:t>202</w:t>
      </w:r>
      <w:r>
        <w:rPr>
          <w:rFonts w:hint="eastAsia" w:ascii="宋体" w:hAnsi="宋体" w:cs="宋体"/>
          <w:color w:val="auto"/>
          <w:sz w:val="36"/>
          <w:szCs w:val="36"/>
          <w:highlight w:val="none"/>
          <w:lang w:val="en-US" w:eastAsia="zh-CN"/>
        </w:rPr>
        <w:t>4</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11</w:t>
      </w:r>
      <w:r>
        <w:rPr>
          <w:rFonts w:hint="eastAsia" w:ascii="宋体" w:hAnsi="宋体" w:eastAsia="宋体" w:cs="宋体"/>
          <w:color w:val="auto"/>
          <w:sz w:val="36"/>
          <w:szCs w:val="36"/>
          <w:highlight w:val="none"/>
        </w:rPr>
        <w:t>月</w:t>
      </w:r>
    </w:p>
    <w:p w14:paraId="03FFE80E">
      <w:pPr>
        <w:jc w:val="center"/>
        <w:rPr>
          <w:rFonts w:hint="eastAsia" w:ascii="宋体" w:hAnsi="宋体"/>
          <w:b/>
          <w:color w:val="auto"/>
          <w:sz w:val="44"/>
          <w:szCs w:val="44"/>
          <w:highlight w:val="none"/>
        </w:rPr>
      </w:pPr>
    </w:p>
    <w:p w14:paraId="356B6D5E">
      <w:pPr>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2FA214F9">
      <w:pPr>
        <w:rPr>
          <w:rFonts w:ascii="宋体" w:hAnsi="宋体"/>
          <w:color w:val="auto"/>
          <w:highlight w:val="none"/>
        </w:rPr>
      </w:pPr>
    </w:p>
    <w:p w14:paraId="2581B6F9">
      <w:pPr>
        <w:pStyle w:val="23"/>
        <w:ind w:firstLine="210"/>
        <w:rPr>
          <w:color w:val="auto"/>
          <w:highlight w:val="none"/>
        </w:rPr>
      </w:pPr>
    </w:p>
    <w:p w14:paraId="66706BD1">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招标公告</w:t>
      </w:r>
    </w:p>
    <w:p w14:paraId="06EE15F4">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招标需求</w:t>
      </w:r>
    </w:p>
    <w:p w14:paraId="5160473B">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投标人须知</w:t>
      </w:r>
    </w:p>
    <w:p w14:paraId="75C396E4">
      <w:pPr>
        <w:spacing w:beforeLines="50" w:line="480" w:lineRule="exact"/>
        <w:ind w:left="1440"/>
        <w:rPr>
          <w:rFonts w:ascii="宋体"/>
          <w:color w:val="auto"/>
          <w:sz w:val="30"/>
          <w:highlight w:val="none"/>
        </w:rPr>
      </w:pPr>
      <w:r>
        <w:rPr>
          <w:rFonts w:hint="eastAsia" w:ascii="宋体"/>
          <w:color w:val="auto"/>
          <w:sz w:val="30"/>
          <w:highlight w:val="none"/>
        </w:rPr>
        <w:t>前附表</w:t>
      </w:r>
    </w:p>
    <w:p w14:paraId="058D4B13">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总 则</w:t>
      </w:r>
    </w:p>
    <w:p w14:paraId="105471BB">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招标文件</w:t>
      </w:r>
    </w:p>
    <w:p w14:paraId="58692507">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投标文件的编制</w:t>
      </w:r>
    </w:p>
    <w:p w14:paraId="48D19596">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开标</w:t>
      </w:r>
    </w:p>
    <w:p w14:paraId="2493BAE4">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评标</w:t>
      </w:r>
    </w:p>
    <w:p w14:paraId="4AD2A0C0">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定标</w:t>
      </w:r>
    </w:p>
    <w:p w14:paraId="2A832B31">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合同授予</w:t>
      </w:r>
    </w:p>
    <w:p w14:paraId="75DE8490">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评标办法及评分标准</w:t>
      </w:r>
    </w:p>
    <w:p w14:paraId="4F165A16">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采购合同</w:t>
      </w:r>
    </w:p>
    <w:p w14:paraId="777CC736">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投标文件格式</w:t>
      </w:r>
    </w:p>
    <w:p w14:paraId="02BF72AD">
      <w:pPr>
        <w:pStyle w:val="23"/>
        <w:ind w:firstLine="210"/>
        <w:rPr>
          <w:color w:val="auto"/>
          <w:highlight w:val="none"/>
        </w:rPr>
      </w:pPr>
    </w:p>
    <w:p w14:paraId="200129DD">
      <w:pPr>
        <w:pStyle w:val="23"/>
        <w:ind w:firstLine="210"/>
        <w:rPr>
          <w:color w:val="auto"/>
          <w:highlight w:val="none"/>
        </w:rPr>
      </w:pPr>
    </w:p>
    <w:p w14:paraId="02CDBDDD">
      <w:pPr>
        <w:pStyle w:val="23"/>
        <w:ind w:firstLine="210"/>
        <w:rPr>
          <w:color w:val="auto"/>
          <w:highlight w:val="none"/>
        </w:rPr>
      </w:pPr>
    </w:p>
    <w:p w14:paraId="497F438B">
      <w:pPr>
        <w:pStyle w:val="23"/>
        <w:ind w:firstLine="210"/>
        <w:rPr>
          <w:color w:val="auto"/>
          <w:highlight w:val="none"/>
        </w:rPr>
      </w:pPr>
    </w:p>
    <w:p w14:paraId="6FA2C1DA">
      <w:pPr>
        <w:pStyle w:val="23"/>
        <w:ind w:firstLine="210"/>
        <w:rPr>
          <w:color w:val="auto"/>
          <w:highlight w:val="none"/>
        </w:rPr>
      </w:pPr>
    </w:p>
    <w:p w14:paraId="7B879D1C">
      <w:pPr>
        <w:pStyle w:val="23"/>
        <w:ind w:firstLine="210"/>
        <w:rPr>
          <w:color w:val="auto"/>
          <w:highlight w:val="none"/>
        </w:rPr>
      </w:pPr>
    </w:p>
    <w:p w14:paraId="634B6095">
      <w:pPr>
        <w:pStyle w:val="23"/>
        <w:ind w:firstLine="210"/>
        <w:rPr>
          <w:color w:val="auto"/>
          <w:highlight w:val="none"/>
        </w:rPr>
      </w:pPr>
    </w:p>
    <w:p w14:paraId="5E64D15D">
      <w:pPr>
        <w:pStyle w:val="23"/>
        <w:ind w:firstLine="210"/>
        <w:rPr>
          <w:color w:val="auto"/>
          <w:highlight w:val="none"/>
        </w:rPr>
      </w:pPr>
    </w:p>
    <w:p w14:paraId="7BB51AE1">
      <w:pPr>
        <w:rPr>
          <w:color w:val="auto"/>
          <w:highlight w:val="none"/>
        </w:rPr>
      </w:pPr>
    </w:p>
    <w:p w14:paraId="36E71903">
      <w:pPr>
        <w:pStyle w:val="2"/>
        <w:jc w:val="center"/>
        <w:rPr>
          <w:rFonts w:hAnsi="宋体" w:eastAsia="宋体"/>
          <w:b w:val="0"/>
          <w:color w:val="auto"/>
          <w:sz w:val="32"/>
          <w:szCs w:val="32"/>
          <w:highlight w:val="none"/>
        </w:rPr>
      </w:pPr>
      <w:r>
        <w:rPr>
          <w:rFonts w:hint="eastAsia" w:hAnsi="宋体" w:eastAsia="宋体"/>
          <w:color w:val="auto"/>
          <w:kern w:val="2"/>
          <w:sz w:val="32"/>
          <w:szCs w:val="32"/>
          <w:highlight w:val="none"/>
        </w:rPr>
        <w:t>第一章   采购公告</w:t>
      </w:r>
    </w:p>
    <w:p w14:paraId="632DD16E">
      <w:pPr>
        <w:pStyle w:val="52"/>
        <w:spacing w:after="120" w:line="360" w:lineRule="auto"/>
        <w:ind w:left="479" w:leftChars="228" w:firstLine="0" w:firstLineChars="0"/>
        <w:rPr>
          <w:rFonts w:hint="eastAsia" w:cs="Times New Roman" w:asciiTheme="minorEastAsia" w:hAnsiTheme="minorEastAsia" w:eastAsiaTheme="minorEastAsia"/>
          <w:color w:val="auto"/>
          <w:kern w:val="0"/>
          <w:sz w:val="24"/>
          <w:szCs w:val="24"/>
          <w:highlight w:val="none"/>
          <w:lang w:val="zh-CN"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根据相关法律法规规定，经批准，现就</w:t>
      </w:r>
      <w:r>
        <w:rPr>
          <w:rFonts w:hint="eastAsia" w:cs="Times New Roman" w:asciiTheme="minorEastAsia" w:hAnsiTheme="minorEastAsia" w:eastAsiaTheme="minorEastAsia"/>
          <w:color w:val="auto"/>
          <w:kern w:val="0"/>
          <w:sz w:val="24"/>
          <w:szCs w:val="24"/>
          <w:highlight w:val="none"/>
          <w:u w:val="single"/>
          <w:lang w:val="en-US" w:eastAsia="zh-CN" w:bidi="ar-SA"/>
        </w:rPr>
        <w:t>桐庐县人民法院档案电动密集架改造升级项目</w:t>
      </w:r>
      <w:r>
        <w:rPr>
          <w:rFonts w:hint="eastAsia" w:cs="Times New Roman" w:asciiTheme="minorEastAsia" w:hAnsiTheme="minorEastAsia" w:eastAsiaTheme="minorEastAsia"/>
          <w:color w:val="auto"/>
          <w:kern w:val="0"/>
          <w:sz w:val="24"/>
          <w:szCs w:val="24"/>
          <w:highlight w:val="none"/>
          <w:lang w:val="en-US" w:eastAsia="zh-CN" w:bidi="ar-SA"/>
        </w:rPr>
        <w:t>采用公开招标的方式进行采购，欢迎符合资格条件的企业来投标：</w:t>
      </w:r>
    </w:p>
    <w:p w14:paraId="44A71C20">
      <w:pPr>
        <w:numPr>
          <w:ilvl w:val="0"/>
          <w:numId w:val="4"/>
        </w:numPr>
        <w:tabs>
          <w:tab w:val="left" w:pos="0"/>
        </w:tabs>
        <w:spacing w:line="360" w:lineRule="auto"/>
        <w:ind w:left="210" w:leftChars="0" w:firstLine="241" w:firstLineChars="100"/>
        <w:rPr>
          <w:rFonts w:hint="eastAsia" w:ascii="宋体" w:hAnsi="宋体" w:cs="Arial"/>
          <w:b/>
          <w:bCs/>
          <w:color w:val="auto"/>
          <w:sz w:val="24"/>
          <w:highlight w:val="none"/>
        </w:rPr>
      </w:pPr>
      <w:r>
        <w:rPr>
          <w:rFonts w:hint="eastAsia" w:ascii="宋体" w:hAnsi="宋体" w:cs="Arial"/>
          <w:b/>
          <w:bCs/>
          <w:color w:val="auto"/>
          <w:sz w:val="24"/>
          <w:highlight w:val="none"/>
        </w:rPr>
        <w:t>项目编号：</w:t>
      </w:r>
      <w:r>
        <w:rPr>
          <w:rFonts w:hint="eastAsia" w:ascii="宋体" w:hAnsi="宋体" w:cs="Arial"/>
          <w:b/>
          <w:bCs/>
          <w:color w:val="auto"/>
          <w:sz w:val="24"/>
          <w:highlight w:val="none"/>
          <w:lang w:eastAsia="zh-CN"/>
        </w:rPr>
        <w:t>HZLZ-TL2024GK-0</w:t>
      </w:r>
      <w:r>
        <w:rPr>
          <w:rFonts w:hint="eastAsia" w:ascii="宋体" w:hAnsi="宋体" w:cs="Arial"/>
          <w:b/>
          <w:bCs/>
          <w:color w:val="auto"/>
          <w:sz w:val="24"/>
          <w:highlight w:val="none"/>
          <w:lang w:val="en-US" w:eastAsia="zh-CN"/>
        </w:rPr>
        <w:t>31</w:t>
      </w:r>
    </w:p>
    <w:p w14:paraId="7202D483">
      <w:pPr>
        <w:numPr>
          <w:ilvl w:val="0"/>
          <w:numId w:val="0"/>
        </w:numPr>
        <w:tabs>
          <w:tab w:val="left" w:pos="0"/>
        </w:tabs>
        <w:spacing w:line="360" w:lineRule="auto"/>
        <w:ind w:leftChars="100" w:firstLine="241" w:firstLineChars="100"/>
        <w:rPr>
          <w:rFonts w:hint="eastAsia" w:ascii="宋体" w:hAnsi="宋体" w:eastAsia="宋体" w:cs="Arial"/>
          <w:b/>
          <w:bCs/>
          <w:color w:val="auto"/>
          <w:sz w:val="24"/>
          <w:highlight w:val="none"/>
          <w:lang w:eastAsia="zh-CN"/>
        </w:rPr>
      </w:pPr>
      <w:r>
        <w:rPr>
          <w:rFonts w:hint="eastAsia" w:ascii="宋体" w:hAnsi="宋体" w:eastAsia="宋体" w:cs="Arial"/>
          <w:b/>
          <w:bCs/>
          <w:color w:val="auto"/>
          <w:sz w:val="24"/>
          <w:highlight w:val="none"/>
          <w:lang w:eastAsia="zh-CN"/>
        </w:rPr>
        <w:t>二、采购组织类型：分散采购委托代理</w:t>
      </w:r>
    </w:p>
    <w:p w14:paraId="3A6B61C9">
      <w:pPr>
        <w:spacing w:line="360" w:lineRule="auto"/>
        <w:ind w:firstLine="482" w:firstLineChars="200"/>
        <w:rPr>
          <w:rFonts w:ascii="宋体" w:hAnsi="宋体" w:cs="Arial"/>
          <w:color w:val="auto"/>
          <w:sz w:val="24"/>
          <w:highlight w:val="none"/>
        </w:rPr>
      </w:pPr>
      <w:r>
        <w:rPr>
          <w:rFonts w:hint="eastAsia" w:ascii="宋体" w:hAnsi="宋体" w:cs="Arial"/>
          <w:b/>
          <w:color w:val="auto"/>
          <w:sz w:val="24"/>
          <w:highlight w:val="none"/>
        </w:rPr>
        <w:t>三、采购方式：</w:t>
      </w:r>
      <w:r>
        <w:rPr>
          <w:rFonts w:hint="eastAsia" w:ascii="宋体" w:hAnsi="宋体" w:cs="Arial"/>
          <w:color w:val="auto"/>
          <w:sz w:val="24"/>
          <w:highlight w:val="none"/>
        </w:rPr>
        <w:t xml:space="preserve"> </w:t>
      </w:r>
      <w:r>
        <w:rPr>
          <w:rFonts w:hint="eastAsia" w:ascii="宋体" w:hAnsi="宋体" w:cs="Arial"/>
          <w:b/>
          <w:bCs/>
          <w:color w:val="auto"/>
          <w:sz w:val="24"/>
          <w:highlight w:val="none"/>
        </w:rPr>
        <w:t>公开招标</w:t>
      </w:r>
    </w:p>
    <w:p w14:paraId="43F90C16">
      <w:pPr>
        <w:snapToGrid w:val="0"/>
        <w:spacing w:afterLines="50" w:line="460" w:lineRule="exact"/>
        <w:ind w:firstLine="482" w:firstLineChars="200"/>
        <w:rPr>
          <w:rFonts w:ascii="宋体" w:hAnsi="宋体" w:cs="Arial"/>
          <w:b/>
          <w:bCs/>
          <w:color w:val="auto"/>
          <w:sz w:val="24"/>
          <w:highlight w:val="none"/>
        </w:rPr>
      </w:pPr>
      <w:r>
        <w:rPr>
          <w:rFonts w:hint="eastAsia" w:ascii="宋体" w:hAnsi="宋体" w:cs="宋体"/>
          <w:b/>
          <w:color w:val="auto"/>
          <w:sz w:val="24"/>
          <w:highlight w:val="none"/>
        </w:rPr>
        <w:t>四、</w:t>
      </w:r>
      <w:r>
        <w:rPr>
          <w:rFonts w:hint="eastAsia" w:ascii="宋体" w:hAnsi="宋体"/>
          <w:b/>
          <w:color w:val="auto"/>
          <w:kern w:val="0"/>
          <w:sz w:val="24"/>
          <w:highlight w:val="none"/>
        </w:rPr>
        <w:t>采购内容：</w:t>
      </w:r>
    </w:p>
    <w:tbl>
      <w:tblPr>
        <w:tblStyle w:val="24"/>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53"/>
        <w:gridCol w:w="840"/>
        <w:gridCol w:w="1635"/>
        <w:gridCol w:w="1142"/>
      </w:tblGrid>
      <w:tr w14:paraId="3473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D985A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序号</w:t>
            </w:r>
          </w:p>
        </w:tc>
        <w:tc>
          <w:tcPr>
            <w:tcW w:w="4153" w:type="dxa"/>
            <w:tcBorders>
              <w:top w:val="single" w:color="auto" w:sz="4" w:space="0"/>
              <w:left w:val="single" w:color="auto" w:sz="4" w:space="0"/>
              <w:bottom w:val="single" w:color="auto" w:sz="4" w:space="0"/>
              <w:right w:val="single" w:color="auto" w:sz="4" w:space="0"/>
            </w:tcBorders>
            <w:noWrap w:val="0"/>
            <w:vAlign w:val="center"/>
          </w:tcPr>
          <w:p w14:paraId="4CC975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采购内容</w:t>
            </w:r>
          </w:p>
        </w:tc>
        <w:tc>
          <w:tcPr>
            <w:tcW w:w="840" w:type="dxa"/>
            <w:tcBorders>
              <w:top w:val="single" w:color="auto" w:sz="4" w:space="0"/>
              <w:left w:val="single" w:color="auto" w:sz="4" w:space="0"/>
              <w:right w:val="single" w:color="auto" w:sz="4" w:space="0"/>
            </w:tcBorders>
            <w:noWrap w:val="0"/>
            <w:vAlign w:val="center"/>
          </w:tcPr>
          <w:p w14:paraId="6A7C22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单位</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EAADF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预算金额</w:t>
            </w:r>
          </w:p>
          <w:p w14:paraId="3172B5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 xml:space="preserve">（最高限价） </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D3211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备注</w:t>
            </w:r>
          </w:p>
        </w:tc>
      </w:tr>
      <w:tr w14:paraId="6525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315E85B">
            <w:pPr>
              <w:spacing w:line="360" w:lineRule="auto"/>
              <w:jc w:val="center"/>
              <w:rPr>
                <w:rFonts w:hint="eastAsia" w:ascii="宋体" w:hAnsi="宋体" w:cs="宋体"/>
                <w:color w:val="000000"/>
                <w:sz w:val="24"/>
                <w:lang w:val="en-US"/>
              </w:rPr>
            </w:pPr>
            <w:bookmarkStart w:id="0" w:name="B11_序号"/>
            <w:r>
              <w:rPr>
                <w:rFonts w:hint="eastAsia" w:ascii="宋体" w:hAnsi="宋体" w:cs="宋体"/>
                <w:color w:val="000000"/>
                <w:sz w:val="24"/>
                <w:lang w:val="en-US" w:eastAsia="zh-CN"/>
              </w:rPr>
              <w:t>1</w:t>
            </w:r>
            <w:bookmarkEnd w:id="0"/>
          </w:p>
        </w:tc>
        <w:tc>
          <w:tcPr>
            <w:tcW w:w="4153" w:type="dxa"/>
            <w:tcBorders>
              <w:top w:val="single" w:color="auto" w:sz="4" w:space="0"/>
              <w:left w:val="single" w:color="auto" w:sz="4" w:space="0"/>
              <w:bottom w:val="single" w:color="auto" w:sz="4" w:space="0"/>
              <w:right w:val="single" w:color="auto" w:sz="4" w:space="0"/>
            </w:tcBorders>
            <w:noWrap w:val="0"/>
            <w:vAlign w:val="center"/>
          </w:tcPr>
          <w:p w14:paraId="58ABC28D">
            <w:pPr>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对桐庐县人民法院一楼档案室的密集架进行整体改造升级</w:t>
            </w:r>
          </w:p>
        </w:tc>
        <w:tc>
          <w:tcPr>
            <w:tcW w:w="840" w:type="dxa"/>
            <w:tcBorders>
              <w:left w:val="single" w:color="auto" w:sz="4" w:space="0"/>
              <w:bottom w:val="single" w:color="auto" w:sz="4" w:space="0"/>
              <w:right w:val="single" w:color="auto" w:sz="4" w:space="0"/>
            </w:tcBorders>
            <w:noWrap w:val="0"/>
            <w:vAlign w:val="center"/>
          </w:tcPr>
          <w:p w14:paraId="252D43EF">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项</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733C6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 xml:space="preserve"> </w:t>
            </w:r>
            <w:r>
              <w:rPr>
                <w:rFonts w:hint="eastAsia" w:ascii="宋体" w:hAnsi="宋体" w:eastAsia="宋体" w:cs="宋体"/>
                <w:b w:val="0"/>
                <w:kern w:val="0"/>
                <w:sz w:val="24"/>
                <w:szCs w:val="24"/>
                <w:highlight w:val="none"/>
                <w:u w:val="single"/>
                <w:lang w:val="en-US" w:eastAsia="zh-CN" w:bidi="ar"/>
              </w:rPr>
              <w:t xml:space="preserve"> </w:t>
            </w:r>
            <w:r>
              <w:rPr>
                <w:rFonts w:hint="eastAsia" w:ascii="宋体" w:hAnsi="宋体" w:cs="宋体"/>
                <w:b w:val="0"/>
                <w:kern w:val="0"/>
                <w:sz w:val="24"/>
                <w:szCs w:val="24"/>
                <w:highlight w:val="none"/>
                <w:u w:val="single"/>
                <w:lang w:val="en-US" w:eastAsia="zh-CN" w:bidi="ar"/>
              </w:rPr>
              <w:t>136420</w:t>
            </w:r>
            <w:r>
              <w:rPr>
                <w:rFonts w:hint="eastAsia" w:ascii="宋体" w:hAnsi="宋体" w:eastAsia="宋体" w:cs="宋体"/>
                <w:b w:val="0"/>
                <w:kern w:val="0"/>
                <w:sz w:val="24"/>
                <w:szCs w:val="24"/>
                <w:highlight w:val="none"/>
                <w:u w:val="single"/>
                <w:lang w:val="en-US" w:eastAsia="zh-CN" w:bidi="ar"/>
              </w:rPr>
              <w:t xml:space="preserve"> </w:t>
            </w:r>
            <w:r>
              <w:rPr>
                <w:rFonts w:hint="eastAsia" w:ascii="宋体" w:hAnsi="宋体" w:eastAsia="宋体" w:cs="宋体"/>
                <w:b w:val="0"/>
                <w:kern w:val="0"/>
                <w:sz w:val="24"/>
                <w:szCs w:val="24"/>
                <w:highlight w:val="none"/>
                <w:lang w:val="en-US" w:eastAsia="zh-CN" w:bidi="ar"/>
              </w:rPr>
              <w:t>元</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1394AD3">
            <w:pPr>
              <w:spacing w:line="240" w:lineRule="auto"/>
              <w:jc w:val="center"/>
              <w:rPr>
                <w:rFonts w:hint="eastAsia" w:ascii="宋体" w:hAnsi="宋体" w:cs="宋体"/>
                <w:color w:val="000000"/>
                <w:sz w:val="24"/>
                <w:lang w:val="en-US" w:eastAsia="zh-CN"/>
              </w:rPr>
            </w:pPr>
            <w:r>
              <w:rPr>
                <w:rFonts w:hint="eastAsia" w:ascii="宋体" w:hAnsi="宋体" w:cs="宋体"/>
                <w:color w:val="000000"/>
                <w:sz w:val="24"/>
              </w:rPr>
              <w:t>详见</w:t>
            </w:r>
            <w:r>
              <w:rPr>
                <w:rFonts w:hint="eastAsia" w:ascii="宋体" w:hAnsi="宋体" w:cs="宋体"/>
                <w:color w:val="000000"/>
                <w:sz w:val="24"/>
                <w:lang w:eastAsia="zh-CN"/>
              </w:rPr>
              <w:t>采购需</w:t>
            </w:r>
            <w:r>
              <w:rPr>
                <w:rFonts w:hint="eastAsia" w:ascii="宋体" w:hAnsi="宋体" w:cs="宋体"/>
                <w:color w:val="000000"/>
                <w:sz w:val="24"/>
              </w:rPr>
              <w:t>求</w:t>
            </w:r>
          </w:p>
        </w:tc>
      </w:tr>
    </w:tbl>
    <w:p w14:paraId="4329C439">
      <w:pPr>
        <w:snapToGrid w:val="0"/>
        <w:spacing w:afterLines="50"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五、合格投标人的资格要求</w:t>
      </w:r>
    </w:p>
    <w:p w14:paraId="6F8382A3">
      <w:pPr>
        <w:spacing w:line="440" w:lineRule="exact"/>
        <w:ind w:firstLine="480" w:firstLineChars="20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1、基本条件</w:t>
      </w:r>
      <w:r>
        <w:rPr>
          <w:rFonts w:hint="eastAsia" w:cs="宋体" w:asciiTheme="minorEastAsia" w:hAnsiTheme="minorEastAsia" w:eastAsiaTheme="minorEastAsia"/>
          <w:color w:val="auto"/>
          <w:kern w:val="0"/>
          <w:sz w:val="24"/>
          <w:highlight w:val="none"/>
          <w:lang w:eastAsia="zh-CN"/>
        </w:rPr>
        <w:t>：</w:t>
      </w:r>
    </w:p>
    <w:p w14:paraId="64C016CB">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（1）具有独立承担民事责任的能力；</w:t>
      </w:r>
    </w:p>
    <w:p w14:paraId="78B7C708">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"_blank" </w:instrText>
      </w:r>
      <w:r>
        <w:rPr>
          <w:color w:val="auto"/>
          <w:highlight w:val="none"/>
        </w:rPr>
        <w:fldChar w:fldCharType="separate"/>
      </w:r>
      <w:r>
        <w:rPr>
          <w:rFonts w:hint="eastAsia" w:asciiTheme="minorEastAsia" w:hAnsiTheme="minorEastAsia" w:eastAsiaTheme="minorEastAsia"/>
          <w:color w:val="auto"/>
          <w:kern w:val="0"/>
          <w:sz w:val="24"/>
          <w:highlight w:val="none"/>
          <w:lang w:val="zh-CN"/>
        </w:rPr>
        <w:t>财务会计制度</w:t>
      </w:r>
      <w:r>
        <w:rPr>
          <w:rFonts w:hint="eastAsia" w:asciiTheme="minorEastAsia" w:hAnsiTheme="minorEastAsia" w:eastAsiaTheme="minorEastAsia"/>
          <w:color w:val="auto"/>
          <w:kern w:val="0"/>
          <w:sz w:val="24"/>
          <w:highlight w:val="none"/>
          <w:lang w:val="zh-CN"/>
        </w:rPr>
        <w:fldChar w:fldCharType="end"/>
      </w:r>
      <w:r>
        <w:rPr>
          <w:rFonts w:hint="eastAsia" w:asciiTheme="minorEastAsia" w:hAnsiTheme="minorEastAsia" w:eastAsiaTheme="minorEastAsia"/>
          <w:color w:val="auto"/>
          <w:kern w:val="0"/>
          <w:sz w:val="24"/>
          <w:highlight w:val="none"/>
          <w:lang w:val="zh-CN"/>
        </w:rPr>
        <w:t>；</w:t>
      </w:r>
    </w:p>
    <w:p w14:paraId="092764BC">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（3）具有履行合同所必需的设备和专业技术能力；</w:t>
      </w:r>
    </w:p>
    <w:p w14:paraId="1AF54A25">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（4）有依法缴纳税收和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"_blank" </w:instrText>
      </w:r>
      <w:r>
        <w:rPr>
          <w:color w:val="auto"/>
          <w:highlight w:val="none"/>
        </w:rPr>
        <w:fldChar w:fldCharType="separate"/>
      </w:r>
      <w:r>
        <w:rPr>
          <w:rFonts w:hint="eastAsia" w:asciiTheme="minorEastAsia" w:hAnsiTheme="minorEastAsia" w:eastAsiaTheme="minorEastAsia"/>
          <w:color w:val="auto"/>
          <w:kern w:val="0"/>
          <w:sz w:val="24"/>
          <w:highlight w:val="none"/>
          <w:lang w:val="zh-CN"/>
        </w:rPr>
        <w:t>社会保障资金</w:t>
      </w:r>
      <w:r>
        <w:rPr>
          <w:rFonts w:hint="eastAsia" w:asciiTheme="minorEastAsia" w:hAnsiTheme="minorEastAsia" w:eastAsiaTheme="minorEastAsia"/>
          <w:color w:val="auto"/>
          <w:kern w:val="0"/>
          <w:sz w:val="24"/>
          <w:highlight w:val="none"/>
          <w:lang w:val="zh-CN"/>
        </w:rPr>
        <w:fldChar w:fldCharType="end"/>
      </w:r>
      <w:r>
        <w:rPr>
          <w:rFonts w:hint="eastAsia" w:asciiTheme="minorEastAsia" w:hAnsiTheme="minorEastAsia" w:eastAsiaTheme="minorEastAsia"/>
          <w:color w:val="auto"/>
          <w:kern w:val="0"/>
          <w:sz w:val="24"/>
          <w:highlight w:val="none"/>
          <w:lang w:val="zh-CN"/>
        </w:rPr>
        <w:t>的良好记录；</w:t>
      </w:r>
    </w:p>
    <w:p w14:paraId="5CE42D97">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（5）参加采购活动前三年内，在经营活动中没有重大违法记录；</w:t>
      </w:r>
    </w:p>
    <w:p w14:paraId="73A54C37">
      <w:pPr>
        <w:spacing w:line="440" w:lineRule="exact"/>
        <w:ind w:firstLine="720" w:firstLineChars="3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zh-CN"/>
        </w:rPr>
        <w:t>（6）本项目拒绝联合体投标，禁止转包和分包。</w:t>
      </w:r>
    </w:p>
    <w:p w14:paraId="37BFDFF1">
      <w:pPr>
        <w:pStyle w:val="10"/>
        <w:spacing w:line="440" w:lineRule="exact"/>
        <w:ind w:firstLine="660" w:firstLineChars="275"/>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7</w:t>
      </w:r>
      <w:r>
        <w:rPr>
          <w:rFonts w:hint="eastAsia" w:asciiTheme="minorEastAsia" w:hAnsiTheme="minorEastAsia" w:eastAsiaTheme="minorEastAsia"/>
          <w:color w:val="auto"/>
          <w:kern w:val="0"/>
          <w:sz w:val="24"/>
          <w:highlight w:val="none"/>
        </w:rPr>
        <w:t>）参加本项目投标供应商需具备良好的商业信誉，且未被“信用中国”（www.creditchina.gov.cn）、中国政府采购网（www.ccgp.gov.cn）列入失信被执行人、重大税收违法案件当事人名单、政府采购严重违法失信行为记录名单，否则将被拒绝（以开标当日采购人或采购代理机构核实的查询结果为准）。</w:t>
      </w:r>
    </w:p>
    <w:p w14:paraId="3438DBD5">
      <w:pPr>
        <w:spacing w:line="440" w:lineRule="exact"/>
        <w:ind w:firstLine="720" w:firstLineChars="30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（8）本项目拒绝联合体投标。</w:t>
      </w:r>
    </w:p>
    <w:p w14:paraId="3BBA53DD">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六、招标文件的获取</w:t>
      </w:r>
    </w:p>
    <w:p w14:paraId="110ABE47">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参加本项目的供应商可到政采云平台（https://www.zcygov.cn/）上自行查看和下载。</w:t>
      </w:r>
    </w:p>
    <w:p w14:paraId="04BE1F3D">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w:t>
      </w:r>
      <w:r>
        <w:rPr>
          <w:rFonts w:hint="eastAsia" w:ascii="宋体" w:hAnsi="宋体" w:eastAsia="宋体" w:cs="宋体"/>
          <w:b/>
          <w:color w:val="auto"/>
          <w:sz w:val="24"/>
          <w:highlight w:val="none"/>
        </w:rPr>
        <w:t xml:space="preserve">公告期限 </w:t>
      </w:r>
    </w:p>
    <w:p w14:paraId="08EE46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个工作日。</w:t>
      </w:r>
    </w:p>
    <w:p w14:paraId="379C8DB0">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八、投标保证金</w:t>
      </w:r>
    </w:p>
    <w:p w14:paraId="45BB062F">
      <w:pPr>
        <w:numPr>
          <w:ilvl w:val="0"/>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本项目无需交纳投标保证金。</w:t>
      </w:r>
    </w:p>
    <w:p w14:paraId="6366294D">
      <w:pPr>
        <w:snapToGrid w:val="0"/>
        <w:spacing w:line="440" w:lineRule="exact"/>
        <w:ind w:left="479" w:leftChars="228" w:firstLine="60" w:firstLineChars="25"/>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lang w:eastAsia="zh-CN"/>
        </w:rPr>
        <w:t>九</w:t>
      </w:r>
      <w:r>
        <w:rPr>
          <w:rFonts w:hint="eastAsia" w:cs="Arial" w:asciiTheme="minorEastAsia" w:hAnsiTheme="minorEastAsia" w:eastAsiaTheme="minorEastAsia"/>
          <w:b/>
          <w:bCs/>
          <w:color w:val="auto"/>
          <w:sz w:val="24"/>
          <w:highlight w:val="none"/>
        </w:rPr>
        <w:t>、投标截止时间和地点</w:t>
      </w:r>
    </w:p>
    <w:p w14:paraId="5ADDC920">
      <w:pPr>
        <w:snapToGrid w:val="0"/>
        <w:spacing w:line="440" w:lineRule="exact"/>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投标人应于</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27</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分</w:t>
      </w:r>
      <w:r>
        <w:rPr>
          <w:rFonts w:hint="eastAsia" w:asciiTheme="minorEastAsia" w:hAnsiTheme="minorEastAsia" w:eastAsiaTheme="minorEastAsia"/>
          <w:color w:val="auto"/>
          <w:sz w:val="24"/>
          <w:highlight w:val="none"/>
        </w:rPr>
        <w:t>前将</w:t>
      </w:r>
      <w:r>
        <w:rPr>
          <w:rFonts w:hint="eastAsia" w:asciiTheme="minorEastAsia" w:hAnsiTheme="minorEastAsia" w:eastAsiaTheme="minorEastAsia"/>
          <w:b/>
          <w:bCs/>
          <w:color w:val="auto"/>
          <w:sz w:val="24"/>
          <w:highlight w:val="none"/>
        </w:rPr>
        <w:t>投标文件</w:t>
      </w:r>
      <w:r>
        <w:rPr>
          <w:rFonts w:hint="eastAsia" w:asciiTheme="minorEastAsia" w:hAnsiTheme="minorEastAsia" w:eastAsiaTheme="minorEastAsia"/>
          <w:color w:val="auto"/>
          <w:sz w:val="24"/>
          <w:highlight w:val="none"/>
        </w:rPr>
        <w:t>送交到</w:t>
      </w:r>
      <w:r>
        <w:rPr>
          <w:rFonts w:hint="eastAsia" w:cs="Times New Roman" w:asciiTheme="minorEastAsia" w:hAnsiTheme="minorEastAsia" w:eastAsiaTheme="minorEastAsia"/>
          <w:b/>
          <w:bCs/>
          <w:color w:val="auto"/>
          <w:sz w:val="24"/>
          <w:highlight w:val="none"/>
          <w:lang w:eastAsia="zh-CN"/>
        </w:rPr>
        <w:t>桐庐县人民法院</w:t>
      </w:r>
      <w:r>
        <w:rPr>
          <w:rFonts w:hint="eastAsia" w:cs="Times New Roman" w:asciiTheme="minorEastAsia" w:hAnsiTheme="minorEastAsia" w:eastAsiaTheme="minorEastAsia"/>
          <w:b/>
          <w:bCs/>
          <w:color w:val="auto"/>
          <w:sz w:val="24"/>
          <w:highlight w:val="none"/>
          <w:lang w:val="en-US" w:eastAsia="zh-CN"/>
        </w:rPr>
        <w:t>2</w:t>
      </w:r>
      <w:r>
        <w:rPr>
          <w:rFonts w:hint="eastAsia" w:cs="Times New Roman" w:asciiTheme="minorEastAsia" w:hAnsiTheme="minorEastAsia" w:eastAsiaTheme="minorEastAsia"/>
          <w:b/>
          <w:bCs/>
          <w:color w:val="auto"/>
          <w:sz w:val="24"/>
          <w:highlight w:val="none"/>
          <w:lang w:eastAsia="zh-CN"/>
        </w:rPr>
        <w:t>楼会议室</w:t>
      </w:r>
      <w:r>
        <w:rPr>
          <w:rFonts w:hint="eastAsia" w:asciiTheme="minorEastAsia" w:hAnsiTheme="minorEastAsia" w:eastAsiaTheme="minorEastAsia"/>
          <w:color w:val="auto"/>
          <w:sz w:val="24"/>
          <w:highlight w:val="none"/>
        </w:rPr>
        <w:t>，逾期送达作无效标处理。</w:t>
      </w:r>
    </w:p>
    <w:p w14:paraId="070569B6">
      <w:pPr>
        <w:snapToGrid w:val="0"/>
        <w:spacing w:line="440" w:lineRule="exact"/>
        <w:ind w:firstLine="482"/>
        <w:rPr>
          <w:rFonts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十</w:t>
      </w:r>
      <w:r>
        <w:rPr>
          <w:rFonts w:asciiTheme="minorEastAsia" w:hAnsiTheme="minorEastAsia" w:eastAsiaTheme="minorEastAsia"/>
          <w:b/>
          <w:color w:val="auto"/>
          <w:sz w:val="24"/>
          <w:highlight w:val="none"/>
        </w:rPr>
        <w:t>、</w:t>
      </w:r>
      <w:r>
        <w:rPr>
          <w:rFonts w:hint="eastAsia" w:cs="Arial" w:asciiTheme="minorEastAsia" w:hAnsiTheme="minorEastAsia" w:eastAsiaTheme="minorEastAsia"/>
          <w:b/>
          <w:bCs/>
          <w:color w:val="auto"/>
          <w:sz w:val="24"/>
          <w:highlight w:val="none"/>
        </w:rPr>
        <w:t>开标时间及地点</w:t>
      </w:r>
    </w:p>
    <w:p w14:paraId="630E2631">
      <w:pPr>
        <w:snapToGrid w:val="0"/>
        <w:spacing w:line="440" w:lineRule="exact"/>
        <w:ind w:firstLine="540" w:firstLineChars="2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本次招标将</w:t>
      </w:r>
      <w:r>
        <w:rPr>
          <w:rFonts w:hint="eastAsia" w:asciiTheme="minorEastAsia" w:hAnsiTheme="minorEastAsia" w:eastAsiaTheme="minorEastAsia"/>
          <w:color w:val="auto"/>
          <w:sz w:val="24"/>
          <w:highlight w:val="none"/>
          <w:lang w:val="en-US" w:eastAsia="zh-CN"/>
        </w:rPr>
        <w:t>于</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27</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分</w:t>
      </w:r>
      <w:r>
        <w:rPr>
          <w:rFonts w:hint="eastAsia" w:asciiTheme="minorEastAsia" w:hAnsiTheme="minorEastAsia" w:eastAsiaTheme="minorEastAsia"/>
          <w:color w:val="auto"/>
          <w:sz w:val="24"/>
          <w:highlight w:val="none"/>
        </w:rPr>
        <w:t>在</w:t>
      </w:r>
      <w:r>
        <w:rPr>
          <w:rFonts w:hint="eastAsia" w:cs="Times New Roman" w:asciiTheme="minorEastAsia" w:hAnsiTheme="minorEastAsia" w:eastAsiaTheme="minorEastAsia"/>
          <w:b/>
          <w:bCs/>
          <w:color w:val="auto"/>
          <w:sz w:val="24"/>
          <w:highlight w:val="none"/>
          <w:lang w:eastAsia="zh-CN"/>
        </w:rPr>
        <w:t>桐庐县人民法院</w:t>
      </w:r>
      <w:r>
        <w:rPr>
          <w:rFonts w:hint="eastAsia" w:cs="Times New Roman" w:asciiTheme="minorEastAsia" w:hAnsiTheme="minorEastAsia" w:eastAsiaTheme="minorEastAsia"/>
          <w:b/>
          <w:bCs/>
          <w:color w:val="auto"/>
          <w:sz w:val="24"/>
          <w:highlight w:val="none"/>
          <w:lang w:val="en-US" w:eastAsia="zh-CN"/>
        </w:rPr>
        <w:t>2</w:t>
      </w:r>
      <w:r>
        <w:rPr>
          <w:rFonts w:hint="eastAsia" w:cs="Times New Roman" w:asciiTheme="minorEastAsia" w:hAnsiTheme="minorEastAsia" w:eastAsiaTheme="minorEastAsia"/>
          <w:b/>
          <w:bCs/>
          <w:color w:val="auto"/>
          <w:sz w:val="24"/>
          <w:highlight w:val="none"/>
          <w:lang w:eastAsia="zh-CN"/>
        </w:rPr>
        <w:t>楼会议室</w:t>
      </w:r>
      <w:r>
        <w:rPr>
          <w:rFonts w:hint="eastAsia" w:cs="宋体" w:asciiTheme="minorEastAsia" w:hAnsiTheme="minorEastAsia" w:eastAsiaTheme="minorEastAsia"/>
          <w:color w:val="auto"/>
          <w:sz w:val="24"/>
          <w:highlight w:val="none"/>
        </w:rPr>
        <w:t>开标，投标代表出席开标会议。</w:t>
      </w:r>
    </w:p>
    <w:p w14:paraId="02B9F281">
      <w:pPr>
        <w:snapToGrid w:val="0"/>
        <w:spacing w:line="440" w:lineRule="exact"/>
        <w:ind w:firstLine="482"/>
        <w:rPr>
          <w:rFonts w:hint="eastAsia" w:cs="Times New Roman" w:asciiTheme="minorEastAsia" w:hAnsiTheme="minorEastAsia" w:eastAsiaTheme="minorEastAsia"/>
          <w:b/>
          <w:color w:val="auto"/>
          <w:sz w:val="24"/>
          <w:highlight w:val="none"/>
          <w:lang w:eastAsia="zh-CN"/>
        </w:rPr>
      </w:pPr>
      <w:r>
        <w:rPr>
          <w:rFonts w:hint="eastAsia" w:cs="Times New Roman" w:asciiTheme="minorEastAsia" w:hAnsiTheme="minorEastAsia" w:eastAsiaTheme="minorEastAsia"/>
          <w:b/>
          <w:color w:val="auto"/>
          <w:sz w:val="24"/>
          <w:highlight w:val="none"/>
          <w:lang w:eastAsia="zh-CN"/>
        </w:rPr>
        <w:t>十一、注意事项</w:t>
      </w:r>
    </w:p>
    <w:p w14:paraId="6011748A">
      <w:pPr>
        <w:widowControl/>
        <w:shd w:val="clear" w:color="auto" w:fill="FFFFFF"/>
        <w:spacing w:line="440" w:lineRule="exact"/>
        <w:ind w:firstLine="600" w:firstLineChars="250"/>
        <w:jc w:val="left"/>
        <w:rPr>
          <w:rFonts w:cs="Times New Roman" w:asciiTheme="minorEastAsia" w:hAnsiTheme="minorEastAsia" w:eastAsiaTheme="minorEastAsia"/>
          <w:color w:val="auto"/>
          <w:sz w:val="24"/>
          <w:highlight w:val="none"/>
        </w:rPr>
      </w:pPr>
      <w:r>
        <w:rPr>
          <w:rFonts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rPr>
        <w:t>投标人投标文件提交方式：现场提交。</w:t>
      </w:r>
    </w:p>
    <w:p w14:paraId="62D3261E">
      <w:pPr>
        <w:widowControl/>
        <w:shd w:val="clear" w:color="auto" w:fill="FFFFFF"/>
        <w:spacing w:line="440" w:lineRule="exact"/>
        <w:ind w:firstLine="600" w:firstLineChars="250"/>
        <w:jc w:val="left"/>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每个投标人限安排</w:t>
      </w:r>
      <w:r>
        <w:rPr>
          <w:rFonts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rPr>
        <w:t>名人员进入</w:t>
      </w:r>
      <w:r>
        <w:rPr>
          <w:rFonts w:hint="eastAsia" w:cs="Times New Roman" w:asciiTheme="minorEastAsia" w:hAnsiTheme="minorEastAsia" w:eastAsiaTheme="minorEastAsia"/>
          <w:color w:val="auto"/>
          <w:sz w:val="24"/>
          <w:highlight w:val="none"/>
          <w:lang w:eastAsia="zh-CN"/>
        </w:rPr>
        <w:t>桐庐县人民法院</w:t>
      </w:r>
      <w:r>
        <w:rPr>
          <w:rFonts w:hint="eastAsia" w:cs="Times New Roman" w:asciiTheme="minorEastAsia" w:hAnsiTheme="minorEastAsia" w:eastAsiaTheme="minorEastAsia"/>
          <w:color w:val="auto"/>
          <w:sz w:val="24"/>
          <w:highlight w:val="none"/>
          <w:lang w:val="en-US" w:eastAsia="zh-CN"/>
        </w:rPr>
        <w:t>2</w:t>
      </w:r>
      <w:r>
        <w:rPr>
          <w:rFonts w:hint="eastAsia" w:cs="Times New Roman" w:asciiTheme="minorEastAsia" w:hAnsiTheme="minorEastAsia" w:eastAsiaTheme="minorEastAsia"/>
          <w:color w:val="auto"/>
          <w:sz w:val="24"/>
          <w:highlight w:val="none"/>
          <w:lang w:eastAsia="zh-CN"/>
        </w:rPr>
        <w:t>楼会议室</w:t>
      </w:r>
      <w:r>
        <w:rPr>
          <w:rFonts w:hint="eastAsia" w:cs="Times New Roman" w:asciiTheme="minorEastAsia" w:hAnsiTheme="minorEastAsia" w:eastAsiaTheme="minorEastAsia"/>
          <w:color w:val="auto"/>
          <w:sz w:val="24"/>
          <w:highlight w:val="none"/>
        </w:rPr>
        <w:t>递交投标书</w:t>
      </w:r>
      <w:r>
        <w:rPr>
          <w:rFonts w:hint="eastAsia" w:cs="Times New Roman" w:asciiTheme="minorEastAsia" w:hAnsiTheme="minorEastAsia" w:eastAsiaTheme="minorEastAsia"/>
          <w:color w:val="auto"/>
          <w:sz w:val="24"/>
          <w:highlight w:val="none"/>
          <w:lang w:eastAsia="zh-CN"/>
        </w:rPr>
        <w:t>。</w:t>
      </w:r>
    </w:p>
    <w:p w14:paraId="684CBDEA">
      <w:pPr>
        <w:widowControl/>
        <w:numPr>
          <w:ilvl w:val="0"/>
          <w:numId w:val="0"/>
        </w:numPr>
        <w:shd w:val="clear" w:color="auto" w:fill="FFFFFF"/>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投标人应预留充足时间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携带身份证明</w:t>
      </w:r>
      <w:r>
        <w:rPr>
          <w:rFonts w:hint="eastAsia" w:asciiTheme="minorEastAsia" w:hAnsiTheme="minorEastAsia" w:eastAsiaTheme="minorEastAsia"/>
          <w:color w:val="auto"/>
          <w:sz w:val="24"/>
          <w:highlight w:val="none"/>
        </w:rPr>
        <w:t>（一般在投标截止前</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小时）到</w:t>
      </w:r>
      <w:r>
        <w:rPr>
          <w:rFonts w:hint="eastAsia" w:cs="Times New Roman" w:asciiTheme="minorEastAsia" w:hAnsiTheme="minorEastAsia" w:eastAsiaTheme="minorEastAsia"/>
          <w:color w:val="auto"/>
          <w:sz w:val="24"/>
          <w:highlight w:val="none"/>
          <w:lang w:eastAsia="zh-CN"/>
        </w:rPr>
        <w:t>桐庐县人民法院</w:t>
      </w:r>
      <w:r>
        <w:rPr>
          <w:rFonts w:hint="eastAsia" w:cs="Times New Roman" w:asciiTheme="minorEastAsia" w:hAnsiTheme="minorEastAsia" w:eastAsiaTheme="minorEastAsia"/>
          <w:color w:val="auto"/>
          <w:sz w:val="24"/>
          <w:highlight w:val="none"/>
          <w:lang w:val="en-US" w:eastAsia="zh-CN"/>
        </w:rPr>
        <w:t>2</w:t>
      </w:r>
      <w:r>
        <w:rPr>
          <w:rFonts w:hint="eastAsia" w:cs="Times New Roman" w:asciiTheme="minorEastAsia" w:hAnsiTheme="minorEastAsia" w:eastAsiaTheme="minorEastAsia"/>
          <w:color w:val="auto"/>
          <w:sz w:val="24"/>
          <w:highlight w:val="none"/>
          <w:lang w:eastAsia="zh-CN"/>
        </w:rPr>
        <w:t>楼会议室</w:t>
      </w:r>
      <w:r>
        <w:rPr>
          <w:rFonts w:hint="eastAsia" w:asciiTheme="minorEastAsia" w:hAnsiTheme="minorEastAsia" w:eastAsiaTheme="minorEastAsia"/>
          <w:color w:val="auto"/>
          <w:sz w:val="24"/>
          <w:highlight w:val="none"/>
        </w:rPr>
        <w:t>开标现场，并按现场工作人员要求进行身份证核验。</w:t>
      </w:r>
    </w:p>
    <w:p w14:paraId="01365BFA">
      <w:pPr>
        <w:snapToGrid w:val="0"/>
        <w:spacing w:line="440" w:lineRule="exact"/>
        <w:ind w:firstLine="600" w:firstLineChars="250"/>
        <w:rPr>
          <w:rFonts w:hint="eastAsia" w:cs="Arial"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投标人联系人在开标期间应当保持电话畅通，若有询标，将以语音电话的方式进行。投标人通讯不通，导致</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分钟内无法联系（或拨打三次未能接通），将视作投标人不予回复或确认，评标委员会作出的决定投标人不能提起质疑。</w:t>
      </w:r>
    </w:p>
    <w:p w14:paraId="1EF9BB5A">
      <w:pPr>
        <w:snapToGrid w:val="0"/>
        <w:spacing w:line="440" w:lineRule="exact"/>
        <w:ind w:firstLine="241" w:firstLineChars="1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十</w:t>
      </w:r>
      <w:r>
        <w:rPr>
          <w:rFonts w:hint="eastAsia" w:cs="Arial" w:asciiTheme="minorEastAsia" w:hAnsiTheme="minorEastAsia" w:eastAsiaTheme="minorEastAsia"/>
          <w:b/>
          <w:color w:val="auto"/>
          <w:sz w:val="24"/>
          <w:highlight w:val="none"/>
          <w:lang w:eastAsia="zh-CN"/>
        </w:rPr>
        <w:t>二</w:t>
      </w:r>
      <w:r>
        <w:rPr>
          <w:rFonts w:hint="eastAsia" w:cs="Arial" w:asciiTheme="minorEastAsia" w:hAnsiTheme="minorEastAsia" w:eastAsiaTheme="minorEastAsia"/>
          <w:b/>
          <w:color w:val="auto"/>
          <w:sz w:val="24"/>
          <w:highlight w:val="none"/>
        </w:rPr>
        <w:t>、业务咨询：</w:t>
      </w:r>
    </w:p>
    <w:p w14:paraId="67708FEE">
      <w:pPr>
        <w:snapToGrid w:val="0"/>
        <w:spacing w:line="360" w:lineRule="auto"/>
        <w:ind w:firstLine="480" w:firstLineChars="200"/>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rPr>
        <w:t>采购代理机构名称：</w:t>
      </w:r>
      <w:r>
        <w:rPr>
          <w:rFonts w:hint="eastAsia" w:ascii="宋体" w:hAnsi="宋体"/>
          <w:color w:val="000000"/>
          <w:kern w:val="0"/>
          <w:sz w:val="24"/>
          <w:szCs w:val="21"/>
          <w:lang w:eastAsia="zh-CN"/>
        </w:rPr>
        <w:t>杭州良筑工程造价咨询有限公司</w:t>
      </w:r>
    </w:p>
    <w:p w14:paraId="14DFBD9C">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cs="宋体"/>
          <w:sz w:val="24"/>
          <w:lang w:eastAsia="zh-CN"/>
        </w:rPr>
        <w:t>翁宇峰</w:t>
      </w:r>
    </w:p>
    <w:p w14:paraId="76EF1053">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联系电话：</w:t>
      </w:r>
      <w:r>
        <w:rPr>
          <w:rFonts w:hint="eastAsia" w:ascii="宋体" w:hAnsi="宋体" w:cs="宋体"/>
          <w:sz w:val="24"/>
          <w:lang w:val="en-US" w:eastAsia="zh-CN"/>
        </w:rPr>
        <w:t>17764584345</w:t>
      </w:r>
    </w:p>
    <w:p w14:paraId="576E6CE7">
      <w:pPr>
        <w:spacing w:line="360" w:lineRule="auto"/>
        <w:ind w:firstLine="480" w:firstLineChars="200"/>
        <w:rPr>
          <w:rFonts w:hint="default" w:ascii="宋体" w:hAnsi="宋体" w:eastAsia="宋体"/>
          <w:color w:val="000000"/>
          <w:kern w:val="0"/>
          <w:sz w:val="24"/>
          <w:szCs w:val="21"/>
          <w:lang w:val="en-US" w:eastAsia="zh-CN"/>
        </w:rPr>
      </w:pPr>
      <w:r>
        <w:rPr>
          <w:rFonts w:hint="eastAsia" w:ascii="宋体" w:hAnsi="宋体" w:eastAsia="宋体" w:cs="宋体"/>
          <w:sz w:val="24"/>
        </w:rPr>
        <w:t>地 址：桐庐县迎春南路中艺大厦16楼</w:t>
      </w:r>
      <w:r>
        <w:rPr>
          <w:rFonts w:hint="eastAsia" w:ascii="宋体" w:hAnsi="宋体" w:cs="宋体"/>
          <w:sz w:val="24"/>
          <w:lang w:val="en-US" w:eastAsia="zh-CN"/>
        </w:rPr>
        <w:t>1618室</w:t>
      </w:r>
    </w:p>
    <w:p w14:paraId="71C4B46B">
      <w:pPr>
        <w:tabs>
          <w:tab w:val="left" w:pos="1440"/>
        </w:tabs>
        <w:spacing w:line="360" w:lineRule="auto"/>
        <w:ind w:firstLine="480" w:firstLineChars="200"/>
        <w:rPr>
          <w:rFonts w:hint="eastAsia" w:ascii="宋体" w:hAnsi="宋体" w:eastAsia="宋体" w:cs="宋体"/>
          <w:sz w:val="24"/>
        </w:rPr>
      </w:pPr>
    </w:p>
    <w:p w14:paraId="33797354">
      <w:pPr>
        <w:spacing w:line="360" w:lineRule="auto"/>
        <w:ind w:firstLine="480" w:firstLineChars="200"/>
        <w:rPr>
          <w:rFonts w:ascii="宋体" w:hAnsi="宋体" w:eastAsia="宋体"/>
          <w:color w:val="000000"/>
          <w:kern w:val="0"/>
          <w:sz w:val="24"/>
          <w:szCs w:val="21"/>
        </w:rPr>
      </w:pPr>
      <w:r>
        <w:rPr>
          <w:rFonts w:hint="eastAsia" w:ascii="宋体" w:hAnsi="宋体" w:eastAsia="宋体"/>
          <w:color w:val="000000"/>
          <w:kern w:val="0"/>
          <w:sz w:val="24"/>
          <w:szCs w:val="21"/>
        </w:rPr>
        <w:t>采购人：</w:t>
      </w:r>
      <w:r>
        <w:rPr>
          <w:rFonts w:hint="eastAsia" w:ascii="宋体" w:hAnsi="宋体"/>
          <w:color w:val="000000"/>
          <w:kern w:val="0"/>
          <w:sz w:val="24"/>
          <w:szCs w:val="21"/>
          <w:lang w:eastAsia="zh-CN"/>
        </w:rPr>
        <w:t>桐庐县人民法院</w:t>
      </w:r>
      <w:r>
        <w:rPr>
          <w:rFonts w:hint="eastAsia" w:ascii="宋体" w:hAnsi="宋体" w:eastAsia="宋体"/>
          <w:color w:val="000000"/>
          <w:kern w:val="0"/>
          <w:sz w:val="24"/>
          <w:szCs w:val="21"/>
        </w:rPr>
        <w:t xml:space="preserve"> </w:t>
      </w:r>
    </w:p>
    <w:p w14:paraId="1CF6A43B">
      <w:pPr>
        <w:spacing w:line="360" w:lineRule="auto"/>
        <w:ind w:firstLine="480" w:firstLineChars="200"/>
        <w:rPr>
          <w:rFonts w:ascii="宋体" w:hAnsi="宋体" w:eastAsia="宋体"/>
          <w:color w:val="000000"/>
          <w:kern w:val="0"/>
          <w:sz w:val="24"/>
          <w:szCs w:val="21"/>
        </w:rPr>
      </w:pPr>
      <w:r>
        <w:rPr>
          <w:rFonts w:hint="eastAsia" w:ascii="宋体" w:hAnsi="宋体" w:eastAsia="宋体"/>
          <w:color w:val="000000"/>
          <w:kern w:val="0"/>
          <w:sz w:val="24"/>
          <w:szCs w:val="21"/>
        </w:rPr>
        <w:t>地  点：</w:t>
      </w:r>
      <w:bookmarkStart w:id="31" w:name="_GoBack"/>
      <w:r>
        <w:rPr>
          <w:rFonts w:hint="eastAsia" w:ascii="宋体" w:hAnsi="宋体" w:eastAsia="宋体"/>
          <w:color w:val="000000"/>
          <w:kern w:val="0"/>
          <w:sz w:val="24"/>
          <w:szCs w:val="21"/>
        </w:rPr>
        <w:t>桐庐县城南街道迎春南路319号</w:t>
      </w:r>
      <w:bookmarkEnd w:id="31"/>
    </w:p>
    <w:p w14:paraId="53ED030E">
      <w:pPr>
        <w:spacing w:line="360" w:lineRule="auto"/>
        <w:ind w:firstLine="480" w:firstLineChars="200"/>
        <w:rPr>
          <w:rFonts w:ascii="宋体" w:hAnsi="宋体" w:eastAsia="宋体"/>
          <w:color w:val="000000"/>
          <w:kern w:val="0"/>
          <w:sz w:val="24"/>
          <w:szCs w:val="21"/>
        </w:rPr>
      </w:pPr>
      <w:r>
        <w:rPr>
          <w:rFonts w:hint="eastAsia" w:ascii="宋体" w:hAnsi="宋体" w:eastAsia="宋体"/>
          <w:color w:val="000000"/>
          <w:kern w:val="0"/>
          <w:sz w:val="24"/>
          <w:szCs w:val="21"/>
        </w:rPr>
        <w:t>联系人：</w:t>
      </w:r>
      <w:r>
        <w:rPr>
          <w:rFonts w:hint="eastAsia" w:ascii="宋体" w:hAnsi="宋体"/>
          <w:color w:val="000000"/>
          <w:kern w:val="0"/>
          <w:sz w:val="24"/>
          <w:szCs w:val="21"/>
          <w:lang w:eastAsia="zh-CN"/>
        </w:rPr>
        <w:t>蔡春华</w:t>
      </w:r>
      <w:r>
        <w:rPr>
          <w:rFonts w:hint="eastAsia" w:ascii="宋体" w:hAnsi="宋体" w:eastAsia="宋体"/>
          <w:color w:val="000000"/>
          <w:kern w:val="0"/>
          <w:sz w:val="24"/>
          <w:szCs w:val="21"/>
        </w:rPr>
        <w:t xml:space="preserve"> </w:t>
      </w:r>
    </w:p>
    <w:p w14:paraId="516D7E61">
      <w:pPr>
        <w:spacing w:line="360" w:lineRule="auto"/>
        <w:ind w:firstLine="480" w:firstLineChars="200"/>
        <w:rPr>
          <w:rFonts w:hint="default" w:ascii="宋体" w:hAnsi="宋体" w:eastAsia="宋体"/>
          <w:color w:val="000000"/>
          <w:kern w:val="0"/>
          <w:sz w:val="24"/>
          <w:szCs w:val="21"/>
          <w:lang w:val="en-US" w:eastAsia="zh-CN"/>
        </w:rPr>
      </w:pPr>
      <w:r>
        <w:rPr>
          <w:rFonts w:hint="eastAsia" w:ascii="宋体" w:hAnsi="宋体" w:eastAsia="宋体"/>
          <w:color w:val="000000"/>
          <w:kern w:val="0"/>
          <w:sz w:val="24"/>
          <w:szCs w:val="21"/>
        </w:rPr>
        <w:t>联系电话：</w:t>
      </w:r>
      <w:r>
        <w:rPr>
          <w:rFonts w:hint="eastAsia" w:ascii="宋体" w:hAnsi="宋体"/>
          <w:color w:val="000000"/>
          <w:kern w:val="0"/>
          <w:sz w:val="24"/>
          <w:szCs w:val="21"/>
          <w:lang w:val="en-US" w:eastAsia="zh-CN"/>
        </w:rPr>
        <w:t>15858273232</w:t>
      </w:r>
    </w:p>
    <w:p w14:paraId="351A18B5"/>
    <w:p w14:paraId="09D0161B">
      <w:pPr>
        <w:pStyle w:val="21"/>
        <w:adjustRightInd w:val="0"/>
        <w:snapToGrid w:val="0"/>
        <w:spacing w:before="0" w:beforeAutospacing="0" w:after="0" w:afterAutospacing="0" w:line="440" w:lineRule="exact"/>
        <w:ind w:firstLine="480" w:firstLineChars="200"/>
        <w:rPr>
          <w:rFonts w:hint="eastAsia" w:ascii="宋体" w:hAnsi="宋体" w:eastAsia="宋体" w:cs="宋体"/>
          <w:color w:val="auto"/>
          <w:sz w:val="24"/>
          <w:szCs w:val="24"/>
          <w:highlight w:val="none"/>
          <w:lang w:val="en-US" w:eastAsia="zh-CN"/>
        </w:rPr>
      </w:pPr>
    </w:p>
    <w:p w14:paraId="5DB78C25">
      <w:pP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br w:type="page"/>
      </w:r>
    </w:p>
    <w:p w14:paraId="345E5FDA">
      <w:pPr>
        <w:numPr>
          <w:ilvl w:val="0"/>
          <w:numId w:val="0"/>
        </w:numPr>
        <w:snapToGrid w:val="0"/>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第二章</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采购需求</w:t>
      </w:r>
    </w:p>
    <w:p w14:paraId="183A48A0">
      <w:pPr>
        <w:pStyle w:val="34"/>
        <w:rPr>
          <w:rFonts w:ascii="宋体" w:hAnsi="宋体"/>
          <w:color w:val="auto"/>
          <w:sz w:val="24"/>
          <w:szCs w:val="24"/>
          <w:highlight w:val="none"/>
        </w:rPr>
      </w:pPr>
      <w:bookmarkStart w:id="1" w:name="_Toc21864494"/>
      <w:bookmarkStart w:id="2" w:name="_Toc91899903"/>
    </w:p>
    <w:bookmarkEnd w:id="1"/>
    <w:p w14:paraId="5C4732BE">
      <w:pPr>
        <w:widowControl/>
        <w:numPr>
          <w:ilvl w:val="0"/>
          <w:numId w:val="5"/>
        </w:numPr>
        <w:shd w:val="clear" w:color="auto" w:fill="FFFFFF"/>
        <w:spacing w:line="440" w:lineRule="exact"/>
        <w:ind w:firstLine="482" w:firstLineChars="200"/>
        <w:jc w:val="left"/>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eastAsia="zh-CN"/>
        </w:rPr>
        <w:t>项目背景</w:t>
      </w:r>
      <w:r>
        <w:rPr>
          <w:rFonts w:hint="eastAsia" w:asciiTheme="minorEastAsia" w:hAnsiTheme="minorEastAsia" w:eastAsiaTheme="minorEastAsia"/>
          <w:b/>
          <w:bCs/>
          <w:color w:val="auto"/>
          <w:sz w:val="24"/>
          <w:highlight w:val="none"/>
        </w:rPr>
        <w:t>：</w:t>
      </w:r>
    </w:p>
    <w:p w14:paraId="35A88B64">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目前档案库房密集架设备老化，无法正常使用，经对库房进行现场勘测后，按照现库房使用情况，要求对库房密集架的配电箱、三角灯、过线架、固定列上侧面板线路及架体整体钣金件等进行升级改造，以保障密集架的正常使用。</w:t>
      </w:r>
    </w:p>
    <w:p w14:paraId="561FBFB8">
      <w:pPr>
        <w:widowControl/>
        <w:numPr>
          <w:ilvl w:val="0"/>
          <w:numId w:val="0"/>
        </w:numPr>
        <w:shd w:val="clear" w:color="auto" w:fill="FFFFFF"/>
        <w:spacing w:line="440" w:lineRule="exact"/>
        <w:ind w:firstLine="482" w:firstLineChars="200"/>
        <w:jc w:val="left"/>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二、服务期限</w:t>
      </w:r>
    </w:p>
    <w:p w14:paraId="0321212E">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 xml:space="preserve"> 双方合同签订起至通过验收。</w:t>
      </w:r>
    </w:p>
    <w:p w14:paraId="6FFD26E5">
      <w:pPr>
        <w:widowControl/>
        <w:numPr>
          <w:ilvl w:val="0"/>
          <w:numId w:val="0"/>
        </w:numPr>
        <w:shd w:val="clear" w:color="auto" w:fill="FFFFFF"/>
        <w:spacing w:line="440" w:lineRule="exact"/>
        <w:ind w:firstLine="482" w:firstLineChars="200"/>
        <w:jc w:val="left"/>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三、</w:t>
      </w:r>
      <w:r>
        <w:rPr>
          <w:rFonts w:hint="eastAsia" w:asciiTheme="minorEastAsia" w:hAnsiTheme="minorEastAsia" w:eastAsiaTheme="minorEastAsia"/>
          <w:b/>
          <w:bCs/>
          <w:color w:val="auto"/>
          <w:sz w:val="24"/>
          <w:highlight w:val="none"/>
          <w:lang w:eastAsia="zh-CN"/>
        </w:rPr>
        <w:t>服务内容及要求</w:t>
      </w:r>
    </w:p>
    <w:p w14:paraId="6DB1AA08">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乙方收到预付款后，3个工作日内进场对甲方密集架的配电箱、列号板、开关电源、红外线立柱对射、接近开关和接触器等进行全面升级（详见清单），全面升级工作需在1个月内完成并提交甲方验收合格，确保甲方密集架能够正常使用。</w:t>
      </w:r>
    </w:p>
    <w:p w14:paraId="404A52DA">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改造升级完成后，乙方为甲方提供三年维保服务（自第2笔款项支付之次日起算3年）。服务期内，乙方每季度对密集架进行一次维护保养；如密集架出现故障，乙方需在接到甲方通知后24小时内派出专业维修人员到场维修，当日不能完成维修的，2个工作日内完成。</w:t>
      </w:r>
    </w:p>
    <w:p w14:paraId="615D3479">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服务期内的维修保养过程中，乙方应及时为甲方密集架更换易损或性能不良部件，确保甲方密集架设施正常使用，产生的设备、配件、人工、检测等费用均已包含在本合同总价内，乙方不得再向甲方另行收取任何费用。</w:t>
      </w:r>
    </w:p>
    <w:p w14:paraId="65E36182">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4.乙方在进行改造升级、维修保养等服务过程中，应确保安全施工。</w:t>
      </w:r>
    </w:p>
    <w:p w14:paraId="67E8D249">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5.乙方在本合同履行过程中，对所接触的涉及甲方保存的档案、文件等材料负有保密责任。</w:t>
      </w:r>
    </w:p>
    <w:p w14:paraId="2D2ECFC6">
      <w:pPr>
        <w:widowControl/>
        <w:numPr>
          <w:ilvl w:val="0"/>
          <w:numId w:val="0"/>
        </w:numPr>
        <w:shd w:val="clear" w:color="auto" w:fill="FFFFFF"/>
        <w:spacing w:line="440" w:lineRule="exact"/>
        <w:ind w:firstLine="482" w:firstLineChars="200"/>
        <w:jc w:val="left"/>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eastAsia="zh-CN"/>
        </w:rPr>
        <w:t>四、采购清单</w:t>
      </w:r>
    </w:p>
    <w:tbl>
      <w:tblPr>
        <w:tblStyle w:val="24"/>
        <w:tblW w:w="84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2411"/>
        <w:gridCol w:w="4021"/>
        <w:gridCol w:w="1203"/>
      </w:tblGrid>
      <w:tr w14:paraId="482E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A63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E55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9B5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26E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数量</w:t>
            </w:r>
          </w:p>
        </w:tc>
      </w:tr>
      <w:tr w14:paraId="2CB0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1A2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14A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7A9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PLC  JS-14R-D</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EE6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1871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846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061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D6A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PLC连接板</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A85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4419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A5B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8B7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81C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线槽40*40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A71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151C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E88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1B0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F9A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塑料外壳</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0B7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5F4F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B04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693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列号板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C5B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24V塑料外壳</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24F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1E966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612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66DA">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129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DFY-400-24V</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0BF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1028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DF6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CB2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红外线立柱对射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A165">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对射2m</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7B8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54套</w:t>
            </w:r>
          </w:p>
        </w:tc>
      </w:tr>
      <w:tr w14:paraId="7A03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F02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DF0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接近开关+接触器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F49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常规</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42E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048C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CB6E">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8EA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三角灯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C8A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常规</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ED5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58套</w:t>
            </w:r>
          </w:p>
        </w:tc>
      </w:tr>
      <w:tr w14:paraId="092C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09B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192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过桥线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7F7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RVV2*1.0线  4米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296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54套</w:t>
            </w:r>
          </w:p>
        </w:tc>
      </w:tr>
      <w:tr w14:paraId="741F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838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39D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EC8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RVV3*1.5 线 4米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B66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54套</w:t>
            </w:r>
          </w:p>
        </w:tc>
      </w:tr>
      <w:tr w14:paraId="26372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4E5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27B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64C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RVV3*0.3 线 4米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5855">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54套</w:t>
            </w:r>
          </w:p>
        </w:tc>
      </w:tr>
      <w:tr w14:paraId="15CB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93F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D73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A65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RVV2*0.3 线 4米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ED85">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54套</w:t>
            </w:r>
          </w:p>
        </w:tc>
      </w:tr>
      <w:tr w14:paraId="5E30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258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6B9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组装集成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CA3E">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定制</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D01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1项</w:t>
            </w:r>
          </w:p>
        </w:tc>
      </w:tr>
      <w:tr w14:paraId="7817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82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562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辅料</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top"/>
          </w:tcPr>
          <w:p w14:paraId="6B53991A">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含垫柱，对接头，螺丝</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269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1项</w:t>
            </w:r>
          </w:p>
        </w:tc>
      </w:tr>
      <w:tr w14:paraId="7601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BDE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7C5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其他事项</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EAA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未列入清单的，但完成本项目并实现系统正常运行所必须实施的工作，如设备系统调试运维、检测、技术培训、售后服务与维保。</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533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1项</w:t>
            </w:r>
          </w:p>
        </w:tc>
      </w:tr>
    </w:tbl>
    <w:p w14:paraId="0843F937">
      <w:pPr>
        <w:widowControl/>
        <w:numPr>
          <w:ilvl w:val="0"/>
          <w:numId w:val="0"/>
        </w:numPr>
        <w:shd w:val="clear" w:color="auto" w:fill="FFFFFF"/>
        <w:spacing w:line="440" w:lineRule="exact"/>
        <w:ind w:firstLine="482" w:firstLineChars="200"/>
        <w:jc w:val="left"/>
        <w:rPr>
          <w:rFonts w:hint="eastAsia" w:cs="Times New Roman" w:asciiTheme="minorEastAsia" w:hAnsiTheme="minorEastAsia" w:eastAsiaTheme="minorEastAsia"/>
          <w:b/>
          <w:bCs/>
          <w:color w:val="auto"/>
          <w:sz w:val="24"/>
          <w:highlight w:val="none"/>
          <w:lang w:eastAsia="zh-CN"/>
        </w:rPr>
      </w:pPr>
      <w:r>
        <w:rPr>
          <w:rFonts w:hint="eastAsia" w:cs="Times New Roman" w:asciiTheme="minorEastAsia" w:hAnsiTheme="minorEastAsia" w:eastAsiaTheme="minorEastAsia"/>
          <w:b/>
          <w:bCs/>
          <w:color w:val="auto"/>
          <w:sz w:val="24"/>
          <w:highlight w:val="none"/>
          <w:lang w:eastAsia="zh-CN"/>
        </w:rPr>
        <w:t>五、需满足的技术要求</w:t>
      </w:r>
    </w:p>
    <w:p w14:paraId="0FB8294A">
      <w:pPr>
        <w:widowControl/>
        <w:numPr>
          <w:ilvl w:val="0"/>
          <w:numId w:val="0"/>
        </w:numPr>
        <w:shd w:val="clear" w:color="auto" w:fill="FFFFFF"/>
        <w:spacing w:line="440" w:lineRule="exact"/>
        <w:ind w:firstLine="480" w:firstLineChars="200"/>
        <w:jc w:val="left"/>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1.配电箱技术要求</w:t>
      </w:r>
    </w:p>
    <w:tbl>
      <w:tblPr>
        <w:tblStyle w:val="24"/>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1620"/>
        <w:gridCol w:w="3033"/>
        <w:gridCol w:w="3033"/>
      </w:tblGrid>
      <w:tr w14:paraId="541B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06E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59F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B61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BA0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2014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8FB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F37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配电箱</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B8C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PLC  JS-14R-D</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1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rPr>
              <w:t>电压直流24V、 通讯模式采用485接口</w:t>
            </w:r>
          </w:p>
        </w:tc>
      </w:tr>
      <w:tr w14:paraId="126E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39F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827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DA1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PLC连接板</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A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napToGrid w:val="0"/>
                <w:color w:val="auto"/>
                <w:kern w:val="0"/>
                <w:sz w:val="24"/>
                <w:szCs w:val="24"/>
                <w:highlight w:val="none"/>
              </w:rPr>
              <w:t>工业级高性能plc控制模块</w:t>
            </w:r>
          </w:p>
        </w:tc>
      </w:tr>
      <w:tr w14:paraId="6E97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FC4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ED2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968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线槽40*40</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971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配套定制</w:t>
            </w:r>
          </w:p>
        </w:tc>
      </w:tr>
      <w:tr w14:paraId="39BE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B82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4CF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DDF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塑料外壳</w:t>
            </w:r>
          </w:p>
        </w:tc>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7F8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配套定制</w:t>
            </w:r>
          </w:p>
        </w:tc>
      </w:tr>
    </w:tbl>
    <w:p w14:paraId="37F7E468">
      <w:pPr>
        <w:widowControl/>
        <w:numPr>
          <w:ilvl w:val="0"/>
          <w:numId w:val="0"/>
        </w:numPr>
        <w:shd w:val="clear" w:color="auto" w:fill="FFFFFF"/>
        <w:spacing w:line="44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2.列号板技术要求</w:t>
      </w:r>
    </w:p>
    <w:tbl>
      <w:tblPr>
        <w:tblStyle w:val="24"/>
        <w:tblW w:w="8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5"/>
        <w:gridCol w:w="2285"/>
        <w:gridCol w:w="2384"/>
        <w:gridCol w:w="2384"/>
      </w:tblGrid>
      <w:tr w14:paraId="3C71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jc w:val="center"/>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41D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372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6CB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409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2530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321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5B3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列号板</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3B0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24V塑料外壳</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C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napToGrid w:val="0"/>
                <w:color w:val="auto"/>
                <w:kern w:val="0"/>
                <w:sz w:val="24"/>
                <w:szCs w:val="24"/>
                <w:highlight w:val="none"/>
              </w:rPr>
              <w:t>列号</w:t>
            </w:r>
            <w:r>
              <w:rPr>
                <w:rFonts w:hint="eastAsia" w:asciiTheme="minorEastAsia" w:hAnsiTheme="minorEastAsia" w:eastAsiaTheme="minorEastAsia" w:cstheme="minorEastAsia"/>
                <w:snapToGrid w:val="0"/>
                <w:color w:val="auto"/>
                <w:kern w:val="0"/>
                <w:sz w:val="24"/>
                <w:szCs w:val="24"/>
                <w:highlight w:val="none"/>
                <w:lang w:val="en-US" w:eastAsia="zh-CN"/>
              </w:rPr>
              <w:t>屏</w:t>
            </w:r>
            <w:r>
              <w:rPr>
                <w:rFonts w:hint="eastAsia" w:asciiTheme="minorEastAsia" w:hAnsiTheme="minorEastAsia" w:eastAsiaTheme="minorEastAsia" w:cstheme="minorEastAsia"/>
                <w:snapToGrid w:val="0"/>
                <w:color w:val="auto"/>
                <w:kern w:val="0"/>
                <w:sz w:val="24"/>
                <w:szCs w:val="24"/>
                <w:highlight w:val="none"/>
              </w:rPr>
              <w:t>采用</w:t>
            </w:r>
            <w:r>
              <w:rPr>
                <w:rFonts w:hint="eastAsia" w:asciiTheme="minorEastAsia" w:hAnsiTheme="minorEastAsia" w:eastAsiaTheme="minorEastAsia" w:cstheme="minorEastAsia"/>
                <w:snapToGrid w:val="0"/>
                <w:color w:val="auto"/>
                <w:kern w:val="0"/>
                <w:sz w:val="24"/>
                <w:szCs w:val="24"/>
                <w:highlight w:val="none"/>
                <w:lang w:val="en-US" w:eastAsia="zh-CN"/>
              </w:rPr>
              <w:t>圆形两</w:t>
            </w:r>
            <w:r>
              <w:rPr>
                <w:rFonts w:hint="eastAsia" w:asciiTheme="minorEastAsia" w:hAnsiTheme="minorEastAsia" w:eastAsiaTheme="minorEastAsia" w:cstheme="minorEastAsia"/>
                <w:snapToGrid w:val="0"/>
                <w:color w:val="auto"/>
                <w:kern w:val="0"/>
                <w:sz w:val="24"/>
                <w:szCs w:val="24"/>
                <w:highlight w:val="none"/>
              </w:rPr>
              <w:t>位数码管显示，能显示列号</w:t>
            </w:r>
            <w:r>
              <w:rPr>
                <w:rFonts w:hint="eastAsia" w:asciiTheme="minorEastAsia" w:hAnsiTheme="minorEastAsia" w:eastAsiaTheme="minorEastAsia" w:cstheme="minorEastAsia"/>
                <w:snapToGrid w:val="0"/>
                <w:color w:val="auto"/>
                <w:kern w:val="0"/>
                <w:sz w:val="24"/>
                <w:szCs w:val="24"/>
                <w:highlight w:val="none"/>
                <w:lang w:eastAsia="zh-CN"/>
              </w:rPr>
              <w:t>，</w:t>
            </w:r>
            <w:r>
              <w:rPr>
                <w:rFonts w:hint="eastAsia" w:asciiTheme="minorEastAsia" w:hAnsiTheme="minorEastAsia" w:eastAsiaTheme="minorEastAsia" w:cstheme="minorEastAsia"/>
                <w:snapToGrid w:val="0"/>
                <w:color w:val="auto"/>
                <w:kern w:val="0"/>
                <w:sz w:val="24"/>
                <w:szCs w:val="24"/>
                <w:highlight w:val="none"/>
                <w:lang w:val="en-US" w:eastAsia="zh-CN"/>
              </w:rPr>
              <w:t>并且列号屏与侧面板齐平。</w:t>
            </w:r>
          </w:p>
        </w:tc>
      </w:tr>
    </w:tbl>
    <w:p w14:paraId="0E80C051">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3.开关电源技术要求</w:t>
      </w:r>
    </w:p>
    <w:tbl>
      <w:tblPr>
        <w:tblStyle w:val="24"/>
        <w:tblW w:w="8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8"/>
        <w:gridCol w:w="2273"/>
        <w:gridCol w:w="2373"/>
        <w:gridCol w:w="2373"/>
      </w:tblGrid>
      <w:tr w14:paraId="602E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E04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406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33B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BC4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4EE7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D4E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EDF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开关电源</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975A">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DFY-400-24V</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A1C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国标DC24V开关电源</w:t>
            </w:r>
          </w:p>
        </w:tc>
      </w:tr>
    </w:tbl>
    <w:p w14:paraId="5400AD25">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4.红外线立柱对射技术要求</w:t>
      </w:r>
    </w:p>
    <w:tbl>
      <w:tblPr>
        <w:tblStyle w:val="24"/>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8"/>
        <w:gridCol w:w="2290"/>
        <w:gridCol w:w="2390"/>
        <w:gridCol w:w="2390"/>
      </w:tblGrid>
      <w:tr w14:paraId="0201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6E5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90A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A24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3F6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0160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BD4A">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5CD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红外线立柱对射</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19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对射2m</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3F0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输入电源DC24V、保护结构≥IP64。密集架设置红外线进行保护。当操作人员进入通道时，触发红外线动作，使密集架处于“禁止移动”状态，以保护操作人员安全。</w:t>
            </w:r>
          </w:p>
        </w:tc>
      </w:tr>
    </w:tbl>
    <w:p w14:paraId="4120142E">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5.接近开关+接触器</w:t>
      </w:r>
      <w:r>
        <w:rPr>
          <w:rFonts w:hint="eastAsia" w:asciiTheme="minorEastAsia" w:hAnsiTheme="minorEastAsia" w:eastAsiaTheme="minorEastAsia" w:cstheme="minorEastAsia"/>
          <w:color w:val="auto"/>
          <w:sz w:val="24"/>
          <w:szCs w:val="24"/>
          <w:highlight w:val="none"/>
          <w:lang w:val="en-US" w:eastAsia="zh-CN"/>
        </w:rPr>
        <w:t>技术要求</w:t>
      </w:r>
    </w:p>
    <w:tbl>
      <w:tblPr>
        <w:tblStyle w:val="24"/>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9"/>
        <w:gridCol w:w="2290"/>
        <w:gridCol w:w="2390"/>
        <w:gridCol w:w="2390"/>
      </w:tblGrid>
      <w:tr w14:paraId="7146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6EC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D69A">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153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900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7FB0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FEF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833B">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接近开关+接触器</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0F8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常规</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94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M30、DC10V-36V</w:t>
            </w:r>
          </w:p>
        </w:tc>
      </w:tr>
    </w:tbl>
    <w:p w14:paraId="174AFE1C">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6.三角灯</w:t>
      </w:r>
      <w:r>
        <w:rPr>
          <w:rFonts w:hint="eastAsia" w:asciiTheme="minorEastAsia" w:hAnsiTheme="minorEastAsia" w:eastAsiaTheme="minorEastAsia" w:cstheme="minorEastAsia"/>
          <w:color w:val="auto"/>
          <w:sz w:val="24"/>
          <w:szCs w:val="24"/>
          <w:highlight w:val="none"/>
          <w:lang w:val="en-US" w:eastAsia="zh-CN"/>
        </w:rPr>
        <w:t>技术要求</w:t>
      </w:r>
    </w:p>
    <w:tbl>
      <w:tblPr>
        <w:tblStyle w:val="24"/>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2274"/>
        <w:gridCol w:w="2373"/>
        <w:gridCol w:w="2373"/>
      </w:tblGrid>
      <w:tr w14:paraId="1215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371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7B0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72D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6E9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3505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9D9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251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三角灯</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2F1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常规</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3D9F">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通道双向导引灯</w:t>
            </w:r>
          </w:p>
        </w:tc>
      </w:tr>
    </w:tbl>
    <w:p w14:paraId="5B77B242">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7.过桥线</w:t>
      </w:r>
      <w:r>
        <w:rPr>
          <w:rFonts w:hint="eastAsia" w:asciiTheme="minorEastAsia" w:hAnsiTheme="minorEastAsia" w:eastAsiaTheme="minorEastAsia" w:cstheme="minorEastAsia"/>
          <w:color w:val="auto"/>
          <w:sz w:val="24"/>
          <w:szCs w:val="24"/>
          <w:highlight w:val="none"/>
          <w:lang w:val="en-US" w:eastAsia="zh-CN"/>
        </w:rPr>
        <w:t>技术要求</w:t>
      </w:r>
    </w:p>
    <w:tbl>
      <w:tblPr>
        <w:tblStyle w:val="24"/>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9"/>
        <w:gridCol w:w="1612"/>
        <w:gridCol w:w="3018"/>
        <w:gridCol w:w="3018"/>
      </w:tblGrid>
      <w:tr w14:paraId="46F9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260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17D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E8D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D13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21D2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5E0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797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过桥线</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C75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RVV2*1.0线  4米</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8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常规国标</w:t>
            </w:r>
          </w:p>
        </w:tc>
      </w:tr>
      <w:tr w14:paraId="5E25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799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919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9BA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RVV3*1.5 线 4米</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2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常规国标</w:t>
            </w:r>
          </w:p>
        </w:tc>
      </w:tr>
      <w:tr w14:paraId="60FD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95A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278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D2E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RVV3*0.3 线 4米</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1686">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常规国标</w:t>
            </w:r>
          </w:p>
        </w:tc>
      </w:tr>
      <w:tr w14:paraId="2D12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D22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A2B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4CEA">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RVV2*0.3 线 4米</w:t>
            </w:r>
          </w:p>
        </w:tc>
        <w:tc>
          <w:tcPr>
            <w:tcW w:w="3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ADB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常规国标</w:t>
            </w:r>
          </w:p>
        </w:tc>
      </w:tr>
    </w:tbl>
    <w:p w14:paraId="3E8B5292">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8.过桥线</w:t>
      </w:r>
      <w:r>
        <w:rPr>
          <w:rFonts w:hint="eastAsia" w:asciiTheme="minorEastAsia" w:hAnsiTheme="minorEastAsia" w:eastAsiaTheme="minorEastAsia" w:cstheme="minorEastAsia"/>
          <w:color w:val="auto"/>
          <w:sz w:val="24"/>
          <w:szCs w:val="24"/>
          <w:highlight w:val="none"/>
          <w:lang w:val="en-US" w:eastAsia="zh-CN"/>
        </w:rPr>
        <w:t>技术要求</w:t>
      </w:r>
    </w:p>
    <w:tbl>
      <w:tblPr>
        <w:tblStyle w:val="24"/>
        <w:tblW w:w="84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9"/>
        <w:gridCol w:w="2289"/>
        <w:gridCol w:w="2390"/>
        <w:gridCol w:w="2390"/>
      </w:tblGrid>
      <w:tr w14:paraId="0586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C9F5">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6D5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B58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1B6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6C16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8F9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845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组装集成</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6FF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定制</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F6EC">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现场定制组装集成</w:t>
            </w:r>
          </w:p>
        </w:tc>
      </w:tr>
    </w:tbl>
    <w:p w14:paraId="3F3FC28B">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9.辅料</w:t>
      </w:r>
      <w:r>
        <w:rPr>
          <w:rFonts w:hint="eastAsia" w:asciiTheme="minorEastAsia" w:hAnsiTheme="minorEastAsia" w:eastAsiaTheme="minorEastAsia" w:cstheme="minorEastAsia"/>
          <w:color w:val="auto"/>
          <w:sz w:val="24"/>
          <w:szCs w:val="24"/>
          <w:highlight w:val="none"/>
          <w:lang w:val="en-US" w:eastAsia="zh-CN"/>
        </w:rPr>
        <w:t>技术要求</w:t>
      </w:r>
    </w:p>
    <w:tbl>
      <w:tblPr>
        <w:tblStyle w:val="24"/>
        <w:tblW w:w="84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2"/>
        <w:gridCol w:w="2295"/>
        <w:gridCol w:w="2396"/>
        <w:gridCol w:w="2396"/>
      </w:tblGrid>
      <w:tr w14:paraId="4913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CD4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D76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5C09">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E7A7">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0B12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6F88">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DA4E">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辅料</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6DBA7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含垫柱，对接头，螺丝</w:t>
            </w:r>
          </w:p>
        </w:tc>
        <w:tc>
          <w:tcPr>
            <w:tcW w:w="2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7503">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满足国标要求</w:t>
            </w:r>
          </w:p>
        </w:tc>
      </w:tr>
    </w:tbl>
    <w:p w14:paraId="22DC6366">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10.其他事项</w:t>
      </w:r>
      <w:r>
        <w:rPr>
          <w:rFonts w:hint="eastAsia" w:asciiTheme="minorEastAsia" w:hAnsiTheme="minorEastAsia" w:eastAsiaTheme="minorEastAsia" w:cstheme="minorEastAsia"/>
          <w:color w:val="auto"/>
          <w:sz w:val="24"/>
          <w:szCs w:val="24"/>
          <w:highlight w:val="none"/>
          <w:lang w:val="en-US" w:eastAsia="zh-CN"/>
        </w:rPr>
        <w:t>技术要求</w:t>
      </w:r>
    </w:p>
    <w:tbl>
      <w:tblPr>
        <w:tblStyle w:val="24"/>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8"/>
        <w:gridCol w:w="2306"/>
        <w:gridCol w:w="2407"/>
        <w:gridCol w:w="2407"/>
      </w:tblGrid>
      <w:tr w14:paraId="79B5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7E6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序号</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EAD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名称</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D754">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内容</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4831">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参数要求</w:t>
            </w:r>
          </w:p>
        </w:tc>
      </w:tr>
      <w:tr w14:paraId="567F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0"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771E">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w:t>
            </w: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0140">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其他事项</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043D">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未列入清单的，但完成本项目并实现系统正常运行所必须实施的工作，如设备系统调试运维、检测、技术培训、售后服务与维保。</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F012">
            <w:pPr>
              <w:keepNext w:val="0"/>
              <w:keepLines w:val="0"/>
              <w:widowControl/>
              <w:suppressLineNumbers w:val="0"/>
              <w:jc w:val="center"/>
              <w:textAlignment w:val="center"/>
              <w:rPr>
                <w:rFonts w:hint="eastAsia" w:asciiTheme="minorEastAsia" w:hAnsiTheme="minorEastAsia" w:eastAsiaTheme="minorEastAsia" w:cstheme="minorEastAsia"/>
                <w:snapToGrid w:val="0"/>
                <w:color w:val="auto"/>
                <w:kern w:val="0"/>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满足业主要求</w:t>
            </w:r>
          </w:p>
        </w:tc>
      </w:tr>
    </w:tbl>
    <w:p w14:paraId="15F4D913">
      <w:pPr>
        <w:pStyle w:val="13"/>
        <w:numPr>
          <w:ilvl w:val="0"/>
          <w:numId w:val="0"/>
        </w:numPr>
        <w:rPr>
          <w:rFonts w:hint="default"/>
          <w:lang w:val="en-US" w:eastAsia="zh-CN"/>
        </w:rPr>
      </w:pPr>
    </w:p>
    <w:p w14:paraId="3616BE0D">
      <w:pPr>
        <w:widowControl/>
        <w:numPr>
          <w:ilvl w:val="0"/>
          <w:numId w:val="0"/>
        </w:numPr>
        <w:shd w:val="clear" w:color="auto" w:fill="FFFFFF"/>
        <w:spacing w:line="440" w:lineRule="exact"/>
        <w:ind w:firstLine="482" w:firstLineChars="200"/>
        <w:jc w:val="left"/>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四、付款方式</w:t>
      </w:r>
    </w:p>
    <w:p w14:paraId="6707D00A">
      <w:pPr>
        <w:widowControl/>
        <w:numPr>
          <w:ilvl w:val="0"/>
          <w:numId w:val="0"/>
        </w:numPr>
        <w:shd w:val="clear" w:color="auto" w:fill="FFFFFF"/>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1.合同签订后，甲方收到乙方发票之日起7个工作日内</w:t>
      </w:r>
      <w:r>
        <w:rPr>
          <w:rFonts w:hint="eastAsia" w:asciiTheme="minorEastAsia" w:hAnsiTheme="minorEastAsia" w:eastAsiaTheme="minorEastAsia"/>
          <w:color w:val="auto"/>
          <w:sz w:val="24"/>
          <w:highlight w:val="none"/>
          <w:lang w:eastAsia="zh-CN"/>
        </w:rPr>
        <w:t>支付至合同价款的</w:t>
      </w:r>
      <w:r>
        <w:rPr>
          <w:rFonts w:hint="eastAsia" w:asciiTheme="minorEastAsia" w:hAnsiTheme="minorEastAsia" w:eastAsiaTheme="minorEastAsia"/>
          <w:color w:val="auto"/>
          <w:sz w:val="24"/>
          <w:highlight w:val="none"/>
          <w:lang w:val="en-US" w:eastAsia="zh-CN"/>
        </w:rPr>
        <w:t>30%作为预付款</w:t>
      </w:r>
      <w:r>
        <w:rPr>
          <w:rFonts w:hint="eastAsia" w:asciiTheme="minorEastAsia" w:hAnsiTheme="minorEastAsia" w:eastAsiaTheme="minorEastAsia"/>
          <w:color w:val="auto"/>
          <w:sz w:val="24"/>
          <w:highlight w:val="none"/>
        </w:rPr>
        <w:t>；</w:t>
      </w:r>
    </w:p>
    <w:p w14:paraId="2CBEAFAC">
      <w:pPr>
        <w:widowControl/>
        <w:numPr>
          <w:ilvl w:val="0"/>
          <w:numId w:val="0"/>
        </w:numPr>
        <w:shd w:val="clear" w:color="auto" w:fill="FFFFFF"/>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2.改造升级完成并经甲方验收合格，甲方收到乙方发票后</w:t>
      </w:r>
      <w:r>
        <w:rPr>
          <w:rFonts w:hint="eastAsia" w:asciiTheme="minorEastAsia" w:hAnsiTheme="minorEastAsia" w:eastAsiaTheme="minorEastAsia"/>
          <w:color w:val="auto"/>
          <w:sz w:val="24"/>
          <w:highlight w:val="none"/>
          <w:lang w:eastAsia="zh-CN"/>
        </w:rPr>
        <w:t>支付合同价款的</w:t>
      </w:r>
      <w:r>
        <w:rPr>
          <w:rFonts w:hint="eastAsia" w:asciiTheme="minorEastAsia" w:hAnsiTheme="minorEastAsia" w:eastAsiaTheme="minorEastAsia"/>
          <w:color w:val="auto"/>
          <w:sz w:val="24"/>
          <w:highlight w:val="none"/>
          <w:lang w:val="en-US" w:eastAsia="zh-CN"/>
        </w:rPr>
        <w:t>40%</w:t>
      </w:r>
      <w:r>
        <w:rPr>
          <w:rFonts w:hint="eastAsia" w:asciiTheme="minorEastAsia" w:hAnsiTheme="minorEastAsia" w:eastAsiaTheme="minorEastAsia"/>
          <w:color w:val="auto"/>
          <w:sz w:val="24"/>
          <w:highlight w:val="none"/>
        </w:rPr>
        <w:t>；</w:t>
      </w:r>
    </w:p>
    <w:p w14:paraId="156E3195">
      <w:pPr>
        <w:widowControl/>
        <w:numPr>
          <w:ilvl w:val="0"/>
          <w:numId w:val="0"/>
        </w:numPr>
        <w:shd w:val="clear" w:color="auto" w:fill="FFFFFF"/>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3.验收合格后满6个月，甲方收到乙方发票后</w:t>
      </w:r>
      <w:r>
        <w:rPr>
          <w:rFonts w:hint="eastAsia" w:asciiTheme="minorEastAsia" w:hAnsiTheme="minorEastAsia" w:eastAsiaTheme="minorEastAsia"/>
          <w:color w:val="auto"/>
          <w:sz w:val="24"/>
          <w:highlight w:val="none"/>
          <w:lang w:eastAsia="zh-CN"/>
        </w:rPr>
        <w:t>支付合同价款的</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w:t>
      </w:r>
    </w:p>
    <w:p w14:paraId="077DBA34">
      <w:pPr>
        <w:pStyle w:val="13"/>
        <w:spacing w:line="360" w:lineRule="auto"/>
        <w:ind w:left="0" w:leftChars="0"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4.三年维保期到期后，甲方收到乙方发票之日起7个工作日内付清剩余尾款。</w:t>
      </w:r>
    </w:p>
    <w:p w14:paraId="237547C2">
      <w:pPr>
        <w:pStyle w:val="13"/>
        <w:spacing w:line="360" w:lineRule="auto"/>
        <w:ind w:left="0" w:leftChars="0" w:firstLine="482" w:firstLineChars="20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五、其他约定</w:t>
      </w:r>
    </w:p>
    <w:p w14:paraId="7ED8542B">
      <w:pPr>
        <w:widowControl/>
        <w:numPr>
          <w:ilvl w:val="0"/>
          <w:numId w:val="0"/>
        </w:numPr>
        <w:shd w:val="clear" w:color="auto" w:fill="FFFFFF"/>
        <w:spacing w:line="360" w:lineRule="auto"/>
        <w:ind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1.履约保证金：本项目不设置履约保证金</w:t>
      </w:r>
    </w:p>
    <w:p w14:paraId="36850CEC">
      <w:pPr>
        <w:pStyle w:val="13"/>
        <w:spacing w:line="360" w:lineRule="auto"/>
        <w:ind w:left="0" w:leftChars="0" w:firstLine="480" w:firstLineChars="200"/>
        <w:rPr>
          <w:rFonts w:hint="default"/>
          <w:lang w:val="en-US" w:eastAsia="zh-CN"/>
        </w:rPr>
      </w:pPr>
      <w:r>
        <w:rPr>
          <w:rFonts w:hint="eastAsia" w:asciiTheme="minorEastAsia" w:hAnsiTheme="minorEastAsia" w:eastAsiaTheme="minorEastAsia"/>
          <w:color w:val="auto"/>
          <w:sz w:val="24"/>
          <w:highlight w:val="none"/>
          <w:lang w:val="en-US" w:eastAsia="zh-CN"/>
        </w:rPr>
        <w:t>2.招标代理费：收费标准按浙价服[2003]77号文件（服务类）收费标准计取。低于3000元的按3000元收取；本项目开标时产生的费用按照实际支出计取；</w:t>
      </w:r>
    </w:p>
    <w:p w14:paraId="01A205CC">
      <w:pPr>
        <w:spacing w:line="360" w:lineRule="auto"/>
        <w:ind w:firstLine="480" w:firstLineChars="200"/>
        <w:rPr>
          <w:rFonts w:hint="eastAsia" w:ascii="黑体" w:hAnsi="宋体" w:eastAsia="黑体"/>
          <w:b/>
          <w:color w:val="auto"/>
          <w:kern w:val="0"/>
          <w:sz w:val="32"/>
          <w:highlight w:val="none"/>
        </w:rPr>
      </w:pPr>
      <w:r>
        <w:rPr>
          <w:rFonts w:hint="eastAsia" w:ascii="宋体" w:hAnsi="宋体" w:cs="宋体"/>
          <w:snapToGrid w:val="0"/>
          <w:color w:val="000000"/>
          <w:kern w:val="0"/>
          <w:sz w:val="24"/>
        </w:rPr>
        <w:t>以上费用均由中标单位在领取中标通知书时，一次性支付给代理公司，上述费用应含在投标报价中（不得单独列项），投标人在投标报价让利中考虑上述</w:t>
      </w:r>
      <w:r>
        <w:rPr>
          <w:rFonts w:hint="eastAsia" w:ascii="宋体" w:hAnsi="宋体" w:cs="宋体"/>
          <w:snapToGrid w:val="0"/>
          <w:color w:val="000000"/>
          <w:kern w:val="0"/>
          <w:sz w:val="24"/>
          <w:lang w:eastAsia="zh-CN"/>
        </w:rPr>
        <w:t>。</w:t>
      </w:r>
      <w:r>
        <w:rPr>
          <w:rFonts w:hint="eastAsia" w:ascii="黑体" w:hAnsi="宋体" w:eastAsia="黑体"/>
          <w:b/>
          <w:color w:val="auto"/>
          <w:kern w:val="0"/>
          <w:sz w:val="32"/>
          <w:highlight w:val="none"/>
        </w:rPr>
        <w:br w:type="page"/>
      </w:r>
    </w:p>
    <w:p w14:paraId="67F30443">
      <w:pPr>
        <w:widowControl/>
        <w:snapToGrid w:val="0"/>
        <w:spacing w:beforeLines="50"/>
        <w:jc w:val="center"/>
        <w:rPr>
          <w:rFonts w:ascii="黑体" w:hAnsi="宋体" w:eastAsia="黑体"/>
          <w:b/>
          <w:color w:val="auto"/>
          <w:kern w:val="0"/>
          <w:sz w:val="32"/>
          <w:highlight w:val="none"/>
        </w:rPr>
      </w:pPr>
      <w:r>
        <w:rPr>
          <w:rFonts w:hint="eastAsia" w:ascii="黑体" w:hAnsi="宋体" w:eastAsia="黑体"/>
          <w:b/>
          <w:color w:val="auto"/>
          <w:kern w:val="0"/>
          <w:sz w:val="32"/>
          <w:highlight w:val="none"/>
        </w:rPr>
        <w:t>第三章 投标方须知</w:t>
      </w:r>
    </w:p>
    <w:p w14:paraId="31CDB1C7">
      <w:pPr>
        <w:pStyle w:val="2"/>
        <w:spacing w:line="240" w:lineRule="auto"/>
        <w:ind w:left="855" w:leftChars="407" w:firstLine="3196" w:firstLineChars="995"/>
        <w:rPr>
          <w:rFonts w:hAnsi="宋体"/>
          <w:color w:val="auto"/>
          <w:kern w:val="2"/>
          <w:sz w:val="32"/>
          <w:szCs w:val="32"/>
          <w:highlight w:val="none"/>
        </w:rPr>
      </w:pPr>
      <w:r>
        <w:rPr>
          <w:rFonts w:hint="eastAsia" w:hAnsi="宋体"/>
          <w:color w:val="auto"/>
          <w:kern w:val="2"/>
          <w:sz w:val="32"/>
          <w:szCs w:val="32"/>
          <w:highlight w:val="none"/>
        </w:rPr>
        <w:t>前附表</w:t>
      </w:r>
    </w:p>
    <w:tbl>
      <w:tblPr>
        <w:tblStyle w:val="24"/>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304"/>
      </w:tblGrid>
      <w:tr w14:paraId="6E42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7" w:type="dxa"/>
            <w:vAlign w:val="center"/>
          </w:tcPr>
          <w:p w14:paraId="70C7DE20">
            <w:pPr>
              <w:snapToGrid w:val="0"/>
              <w:rPr>
                <w:rFonts w:ascii="宋体" w:hAnsi="宋体"/>
                <w:color w:val="auto"/>
                <w:sz w:val="24"/>
                <w:highlight w:val="none"/>
              </w:rPr>
            </w:pPr>
            <w:r>
              <w:rPr>
                <w:rFonts w:hint="eastAsia" w:ascii="宋体" w:hAnsi="宋体"/>
                <w:color w:val="auto"/>
                <w:sz w:val="24"/>
                <w:highlight w:val="none"/>
              </w:rPr>
              <w:t>序号</w:t>
            </w:r>
          </w:p>
        </w:tc>
        <w:tc>
          <w:tcPr>
            <w:tcW w:w="8304" w:type="dxa"/>
            <w:vAlign w:val="center"/>
          </w:tcPr>
          <w:p w14:paraId="44CAF3FB">
            <w:pPr>
              <w:snapToGrid w:val="0"/>
              <w:ind w:firstLine="480"/>
              <w:jc w:val="center"/>
              <w:rPr>
                <w:rFonts w:ascii="宋体" w:hAnsi="宋体"/>
                <w:color w:val="auto"/>
                <w:sz w:val="24"/>
                <w:highlight w:val="none"/>
              </w:rPr>
            </w:pPr>
            <w:r>
              <w:rPr>
                <w:rFonts w:hint="eastAsia" w:ascii="宋体" w:hAnsi="宋体"/>
                <w:color w:val="auto"/>
                <w:sz w:val="24"/>
                <w:highlight w:val="none"/>
              </w:rPr>
              <w:t>内容、要求</w:t>
            </w:r>
          </w:p>
        </w:tc>
      </w:tr>
      <w:tr w14:paraId="3CF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7" w:type="dxa"/>
            <w:vAlign w:val="center"/>
          </w:tcPr>
          <w:p w14:paraId="7F06FEDC">
            <w:pPr>
              <w:snapToGrid w:val="0"/>
              <w:rPr>
                <w:rFonts w:ascii="宋体" w:hAnsi="宋体"/>
                <w:color w:val="auto"/>
                <w:sz w:val="24"/>
                <w:highlight w:val="none"/>
              </w:rPr>
            </w:pPr>
            <w:r>
              <w:rPr>
                <w:rFonts w:hint="eastAsia" w:ascii="宋体" w:hAnsi="宋体"/>
                <w:color w:val="auto"/>
                <w:sz w:val="24"/>
                <w:highlight w:val="none"/>
              </w:rPr>
              <w:t xml:space="preserve">  1</w:t>
            </w:r>
          </w:p>
        </w:tc>
        <w:tc>
          <w:tcPr>
            <w:tcW w:w="8304" w:type="dxa"/>
            <w:vAlign w:val="center"/>
          </w:tcPr>
          <w:p w14:paraId="7F1158D9">
            <w:pPr>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桐庐县人民法院档案电动密集架改造升级项目</w:t>
            </w:r>
          </w:p>
        </w:tc>
      </w:tr>
      <w:tr w14:paraId="69DA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7" w:type="dxa"/>
            <w:vAlign w:val="center"/>
          </w:tcPr>
          <w:p w14:paraId="40844D05">
            <w:pPr>
              <w:snapToGrid w:val="0"/>
              <w:rPr>
                <w:rFonts w:ascii="宋体" w:hAnsi="宋体"/>
                <w:color w:val="auto"/>
                <w:sz w:val="24"/>
                <w:highlight w:val="none"/>
              </w:rPr>
            </w:pPr>
            <w:r>
              <w:rPr>
                <w:rFonts w:hint="eastAsia" w:ascii="宋体" w:hAnsi="宋体"/>
                <w:color w:val="auto"/>
                <w:sz w:val="24"/>
                <w:highlight w:val="none"/>
              </w:rPr>
              <w:t xml:space="preserve">  2</w:t>
            </w:r>
          </w:p>
        </w:tc>
        <w:tc>
          <w:tcPr>
            <w:tcW w:w="8304" w:type="dxa"/>
            <w:vAlign w:val="center"/>
          </w:tcPr>
          <w:p w14:paraId="721D1EE4">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采购数量及单位：详见招标需求</w:t>
            </w:r>
            <w:r>
              <w:rPr>
                <w:rFonts w:hint="eastAsia" w:ascii="宋体" w:hAnsi="宋体" w:eastAsia="宋体" w:cs="宋体"/>
                <w:color w:val="auto"/>
                <w:sz w:val="24"/>
                <w:highlight w:val="none"/>
                <w:lang w:eastAsia="zh-CN"/>
              </w:rPr>
              <w:t>。</w:t>
            </w:r>
          </w:p>
        </w:tc>
      </w:tr>
      <w:tr w14:paraId="243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27" w:type="dxa"/>
            <w:vAlign w:val="center"/>
          </w:tcPr>
          <w:p w14:paraId="4A734BB3">
            <w:pPr>
              <w:snapToGrid w:val="0"/>
              <w:rPr>
                <w:rFonts w:ascii="宋体" w:hAnsi="宋体"/>
                <w:color w:val="auto"/>
                <w:sz w:val="24"/>
                <w:highlight w:val="none"/>
              </w:rPr>
            </w:pPr>
            <w:r>
              <w:rPr>
                <w:rFonts w:hint="eastAsia" w:ascii="宋体" w:hAnsi="宋体"/>
                <w:color w:val="auto"/>
                <w:sz w:val="24"/>
                <w:highlight w:val="none"/>
              </w:rPr>
              <w:t xml:space="preserve">  3</w:t>
            </w:r>
          </w:p>
        </w:tc>
        <w:tc>
          <w:tcPr>
            <w:tcW w:w="8304" w:type="dxa"/>
            <w:vAlign w:val="center"/>
          </w:tcPr>
          <w:p w14:paraId="79355E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投标报价及费用：1.本项目投标应以人民币报价；2.不论投标结果如何，投标人均应自行承担所有与投标有关的全部费用。</w:t>
            </w:r>
          </w:p>
        </w:tc>
      </w:tr>
      <w:tr w14:paraId="552E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trPr>
        <w:tc>
          <w:tcPr>
            <w:tcW w:w="827" w:type="dxa"/>
            <w:vAlign w:val="center"/>
          </w:tcPr>
          <w:p w14:paraId="275D84B1">
            <w:pPr>
              <w:snapToGrid w:val="0"/>
              <w:rPr>
                <w:rFonts w:ascii="宋体" w:hAnsi="宋体"/>
                <w:color w:val="auto"/>
                <w:sz w:val="24"/>
                <w:highlight w:val="none"/>
              </w:rPr>
            </w:pPr>
            <w:r>
              <w:rPr>
                <w:rFonts w:hint="eastAsia" w:ascii="宋体" w:hAnsi="宋体"/>
                <w:color w:val="auto"/>
                <w:sz w:val="24"/>
                <w:highlight w:val="none"/>
              </w:rPr>
              <w:t xml:space="preserve">  4</w:t>
            </w:r>
          </w:p>
        </w:tc>
        <w:tc>
          <w:tcPr>
            <w:tcW w:w="8304" w:type="dxa"/>
            <w:vAlign w:val="center"/>
          </w:tcPr>
          <w:p w14:paraId="77196E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a.投标截止后，在投标有效期内，供应商不能撤销投标文件。供应商强行撤销投标文件的，应按采购预算金额的 2%赔偿对采购组织机构造成损失。</w:t>
            </w:r>
          </w:p>
          <w:p w14:paraId="534998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p w14:paraId="720427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c.存在下列行为的，采购代理机构将其失信行为上报采购主管部门，由主管部门按有关规定对其违法失信行为记录进行公开：</w:t>
            </w:r>
          </w:p>
          <w:p w14:paraId="3387A9D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81"/>
            </w:r>
            <w:r>
              <w:rPr>
                <w:rFonts w:hint="eastAsia" w:ascii="宋体" w:hAnsi="宋体" w:eastAsia="宋体" w:cs="宋体"/>
                <w:color w:val="auto"/>
                <w:sz w:val="24"/>
                <w:highlight w:val="none"/>
              </w:rPr>
              <w:t>中标或者成交后，拒绝签订采购合同的；</w:t>
            </w:r>
          </w:p>
          <w:p w14:paraId="1ED305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82"/>
            </w:r>
            <w:r>
              <w:rPr>
                <w:rFonts w:hint="eastAsia" w:ascii="宋体" w:hAnsi="宋体" w:eastAsia="宋体" w:cs="宋体"/>
                <w:color w:val="auto"/>
                <w:sz w:val="24"/>
                <w:highlight w:val="none"/>
              </w:rPr>
              <w:t>投标有效期内撤销投标文件的。</w:t>
            </w:r>
          </w:p>
        </w:tc>
      </w:tr>
      <w:tr w14:paraId="0456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7" w:type="dxa"/>
            <w:vAlign w:val="center"/>
          </w:tcPr>
          <w:p w14:paraId="44C31325">
            <w:pPr>
              <w:snapToGrid w:val="0"/>
              <w:rPr>
                <w:rFonts w:ascii="宋体" w:hAnsi="宋体"/>
                <w:color w:val="auto"/>
                <w:sz w:val="24"/>
                <w:highlight w:val="none"/>
              </w:rPr>
            </w:pPr>
            <w:r>
              <w:rPr>
                <w:rFonts w:hint="eastAsia" w:ascii="宋体" w:hAnsi="宋体"/>
                <w:color w:val="auto"/>
                <w:sz w:val="24"/>
                <w:highlight w:val="none"/>
              </w:rPr>
              <w:t xml:space="preserve">  5</w:t>
            </w:r>
          </w:p>
        </w:tc>
        <w:tc>
          <w:tcPr>
            <w:tcW w:w="8304" w:type="dxa"/>
            <w:vAlign w:val="center"/>
          </w:tcPr>
          <w:p w14:paraId="1A2F9DC5">
            <w:pPr>
              <w:snapToGrid w:val="0"/>
              <w:spacing w:line="360" w:lineRule="auto"/>
              <w:rPr>
                <w:rFonts w:ascii="宋体" w:hAnsi="宋体" w:eastAsia="宋体" w:cs="宋体"/>
                <w:color w:val="auto"/>
                <w:sz w:val="24"/>
                <w:szCs w:val="24"/>
                <w:highlight w:val="none"/>
              </w:rPr>
            </w:pPr>
            <w:r>
              <w:rPr>
                <w:rFonts w:hint="eastAsia" w:ascii="宋体" w:hAnsi="宋体" w:cs="宋体"/>
                <w:color w:val="auto"/>
                <w:sz w:val="24"/>
                <w:highlight w:val="none"/>
              </w:rPr>
              <w:t>答疑与澄清：</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D56333D">
            <w:pPr>
              <w:snapToGrid w:val="0"/>
              <w:rPr>
                <w:rFonts w:ascii="宋体" w:hAnsi="宋体"/>
                <w:color w:val="auto"/>
                <w:sz w:val="24"/>
                <w:highlight w:val="none"/>
              </w:rPr>
            </w:pPr>
            <w:r>
              <w:rPr>
                <w:rFonts w:hint="eastAsia" w:ascii="宋体" w:hAnsi="宋体" w:eastAsia="宋体" w:cs="宋体"/>
                <w:color w:val="auto"/>
                <w:sz w:val="24"/>
                <w:szCs w:val="24"/>
                <w:highlight w:val="none"/>
              </w:rPr>
              <w:t>质疑和投诉按照《政府采购质疑和投诉办法》（财政部令第94号）规定，范本在《浙江政府采购网》中“下载专区”内下载。质疑时要求供应商在法定质疑期内一次性提出针对同一采购程序环节的质疑。”</w:t>
            </w:r>
          </w:p>
        </w:tc>
      </w:tr>
      <w:tr w14:paraId="0905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7" w:type="dxa"/>
            <w:vAlign w:val="center"/>
          </w:tcPr>
          <w:p w14:paraId="27EABE25">
            <w:pPr>
              <w:snapToGrid w:val="0"/>
              <w:rPr>
                <w:rFonts w:ascii="宋体" w:hAnsi="宋体"/>
                <w:color w:val="auto"/>
                <w:sz w:val="24"/>
                <w:highlight w:val="none"/>
              </w:rPr>
            </w:pPr>
            <w:r>
              <w:rPr>
                <w:rFonts w:hint="eastAsia" w:ascii="宋体" w:hAnsi="宋体"/>
                <w:color w:val="auto"/>
                <w:sz w:val="24"/>
                <w:highlight w:val="none"/>
              </w:rPr>
              <w:t xml:space="preserve">  6</w:t>
            </w:r>
          </w:p>
        </w:tc>
        <w:tc>
          <w:tcPr>
            <w:tcW w:w="8304" w:type="dxa"/>
            <w:vAlign w:val="center"/>
          </w:tcPr>
          <w:p w14:paraId="476FE6DF">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投标文件组成：</w:t>
            </w:r>
            <w:r>
              <w:rPr>
                <w:rFonts w:hint="eastAsia" w:ascii="宋体" w:hAnsi="宋体" w:eastAsia="宋体" w:cs="宋体"/>
                <w:color w:val="auto"/>
                <w:sz w:val="24"/>
                <w:highlight w:val="none"/>
                <w:lang w:eastAsia="zh-CN"/>
              </w:rPr>
              <w:t>资信</w:t>
            </w:r>
            <w:r>
              <w:rPr>
                <w:rFonts w:hint="eastAsia" w:ascii="宋体" w:hAnsi="宋体" w:eastAsia="宋体" w:cs="宋体"/>
                <w:color w:val="auto"/>
                <w:sz w:val="24"/>
                <w:highlight w:val="none"/>
              </w:rPr>
              <w:t>技术文件：正本1份，副本</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份；报价文件：正本1份，副本</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w:t>
            </w:r>
          </w:p>
        </w:tc>
      </w:tr>
      <w:tr w14:paraId="2ECF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27" w:type="dxa"/>
            <w:vAlign w:val="center"/>
          </w:tcPr>
          <w:p w14:paraId="7E3D390E">
            <w:pPr>
              <w:snapToGrid w:val="0"/>
              <w:jc w:val="center"/>
              <w:rPr>
                <w:rFonts w:ascii="宋体" w:hAnsi="宋体"/>
                <w:color w:val="auto"/>
                <w:sz w:val="24"/>
                <w:highlight w:val="none"/>
              </w:rPr>
            </w:pPr>
            <w:r>
              <w:rPr>
                <w:rFonts w:hint="eastAsia" w:ascii="宋体" w:hAnsi="宋体"/>
                <w:color w:val="auto"/>
                <w:sz w:val="24"/>
                <w:highlight w:val="none"/>
              </w:rPr>
              <w:t>7</w:t>
            </w:r>
          </w:p>
        </w:tc>
        <w:tc>
          <w:tcPr>
            <w:tcW w:w="8304" w:type="dxa"/>
            <w:vAlign w:val="center"/>
          </w:tcPr>
          <w:p w14:paraId="60212E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投标截止时间及地点：投标人应于</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27</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分</w:t>
            </w:r>
            <w:r>
              <w:rPr>
                <w:rFonts w:hint="eastAsia" w:ascii="宋体" w:hAnsi="宋体" w:eastAsia="宋体" w:cs="宋体"/>
                <w:color w:val="auto"/>
                <w:sz w:val="24"/>
                <w:highlight w:val="none"/>
              </w:rPr>
              <w:t>前将投标文件送交到</w:t>
            </w:r>
            <w:r>
              <w:rPr>
                <w:rFonts w:hint="eastAsia" w:ascii="宋体" w:hAnsi="宋体" w:cs="宋体"/>
                <w:color w:val="auto"/>
                <w:sz w:val="24"/>
                <w:highlight w:val="none"/>
                <w:lang w:eastAsia="zh-CN"/>
              </w:rPr>
              <w:t>桐庐县人民法院</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楼会议室</w:t>
            </w:r>
            <w:r>
              <w:rPr>
                <w:rFonts w:hint="eastAsia" w:ascii="宋体" w:hAnsi="宋体" w:eastAsia="宋体" w:cs="宋体"/>
                <w:color w:val="auto"/>
                <w:sz w:val="24"/>
                <w:highlight w:val="none"/>
              </w:rPr>
              <w:t>，逾期送达作无效标处理。</w:t>
            </w:r>
          </w:p>
        </w:tc>
      </w:tr>
      <w:tr w14:paraId="73DC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7" w:type="dxa"/>
            <w:vAlign w:val="center"/>
          </w:tcPr>
          <w:p w14:paraId="7450BE86">
            <w:pPr>
              <w:snapToGrid w:val="0"/>
              <w:jc w:val="center"/>
              <w:rPr>
                <w:rFonts w:ascii="宋体" w:hAnsi="宋体"/>
                <w:color w:val="auto"/>
                <w:sz w:val="24"/>
                <w:highlight w:val="none"/>
              </w:rPr>
            </w:pPr>
            <w:r>
              <w:rPr>
                <w:rFonts w:hint="eastAsia" w:ascii="宋体" w:hAnsi="宋体"/>
                <w:color w:val="auto"/>
                <w:sz w:val="24"/>
                <w:highlight w:val="none"/>
              </w:rPr>
              <w:t>8</w:t>
            </w:r>
          </w:p>
        </w:tc>
        <w:tc>
          <w:tcPr>
            <w:tcW w:w="8304" w:type="dxa"/>
            <w:vAlign w:val="center"/>
          </w:tcPr>
          <w:p w14:paraId="2EF18B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开标时间及地点：本次招标将</w:t>
            </w:r>
            <w:r>
              <w:rPr>
                <w:rFonts w:hint="eastAsia" w:ascii="宋体" w:hAnsi="宋体" w:cs="宋体"/>
                <w:color w:val="auto"/>
                <w:sz w:val="24"/>
                <w:highlight w:val="none"/>
                <w:lang w:val="en-US" w:eastAsia="zh-CN"/>
              </w:rPr>
              <w:t>于</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27</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09</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30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桐庐县人民法院</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楼会议室</w:t>
            </w:r>
            <w:r>
              <w:rPr>
                <w:rFonts w:hint="eastAsia" w:ascii="宋体" w:hAnsi="宋体" w:eastAsia="宋体" w:cs="宋体"/>
                <w:color w:val="auto"/>
                <w:sz w:val="24"/>
                <w:highlight w:val="none"/>
              </w:rPr>
              <w:t>开标，投标人派代表出席开标会议。</w:t>
            </w:r>
          </w:p>
        </w:tc>
      </w:tr>
      <w:tr w14:paraId="7982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14:paraId="09E7A8CB">
            <w:pPr>
              <w:snapToGrid w:val="0"/>
              <w:rPr>
                <w:rFonts w:ascii="宋体" w:hAnsi="宋体"/>
                <w:color w:val="auto"/>
                <w:sz w:val="24"/>
                <w:highlight w:val="none"/>
              </w:rPr>
            </w:pPr>
            <w:r>
              <w:rPr>
                <w:rFonts w:hint="eastAsia" w:ascii="宋体" w:hAnsi="宋体"/>
                <w:color w:val="auto"/>
                <w:sz w:val="24"/>
                <w:highlight w:val="none"/>
              </w:rPr>
              <w:t xml:space="preserve">  9</w:t>
            </w:r>
          </w:p>
        </w:tc>
        <w:tc>
          <w:tcPr>
            <w:tcW w:w="8304" w:type="dxa"/>
            <w:vAlign w:val="center"/>
          </w:tcPr>
          <w:p w14:paraId="6D1BAB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评标办法及标准：按照采购文件第四章评标办法及评分标准。</w:t>
            </w:r>
          </w:p>
        </w:tc>
      </w:tr>
      <w:tr w14:paraId="438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27" w:type="dxa"/>
            <w:vAlign w:val="center"/>
          </w:tcPr>
          <w:p w14:paraId="17F3A193">
            <w:pPr>
              <w:snapToGrid w:val="0"/>
              <w:rPr>
                <w:rFonts w:ascii="宋体" w:hAnsi="宋体"/>
                <w:color w:val="auto"/>
                <w:sz w:val="24"/>
                <w:highlight w:val="none"/>
              </w:rPr>
            </w:pPr>
            <w:r>
              <w:rPr>
                <w:rFonts w:hint="eastAsia" w:ascii="宋体" w:hAnsi="宋体"/>
                <w:color w:val="auto"/>
                <w:sz w:val="24"/>
                <w:highlight w:val="none"/>
              </w:rPr>
              <w:t xml:space="preserve">  10</w:t>
            </w:r>
          </w:p>
        </w:tc>
        <w:tc>
          <w:tcPr>
            <w:tcW w:w="8304" w:type="dxa"/>
            <w:vAlign w:val="center"/>
          </w:tcPr>
          <w:p w14:paraId="56186C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中标（成交）公告：采购人确定1名中标人后，在</w:t>
            </w:r>
            <w:r>
              <w:rPr>
                <w:rFonts w:hint="eastAsia" w:ascii="宋体" w:hAnsi="宋体" w:cs="宋体"/>
                <w:color w:val="auto"/>
                <w:sz w:val="24"/>
                <w:highlight w:val="none"/>
                <w:lang w:eastAsia="zh-CN"/>
              </w:rPr>
              <w:t>浙江政府采购网(http://zfcg.czt.zj.gov.cn)</w:t>
            </w:r>
            <w:r>
              <w:rPr>
                <w:rFonts w:hint="eastAsia" w:ascii="宋体" w:hAnsi="宋体" w:eastAsia="宋体" w:cs="宋体"/>
                <w:color w:val="auto"/>
                <w:sz w:val="24"/>
                <w:highlight w:val="none"/>
              </w:rPr>
              <w:t>上进行1个工作日的中标公告。</w:t>
            </w:r>
          </w:p>
        </w:tc>
      </w:tr>
      <w:tr w14:paraId="759B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7" w:type="dxa"/>
            <w:vAlign w:val="center"/>
          </w:tcPr>
          <w:p w14:paraId="6B0BEAA6">
            <w:pPr>
              <w:snapToGrid w:val="0"/>
              <w:rPr>
                <w:rFonts w:ascii="宋体" w:hAnsi="宋体"/>
                <w:color w:val="auto"/>
                <w:sz w:val="24"/>
                <w:highlight w:val="none"/>
              </w:rPr>
            </w:pPr>
            <w:r>
              <w:rPr>
                <w:rFonts w:hint="eastAsia" w:ascii="宋体" w:hAnsi="宋体"/>
                <w:color w:val="auto"/>
                <w:sz w:val="24"/>
                <w:highlight w:val="none"/>
              </w:rPr>
              <w:t xml:space="preserve">  11</w:t>
            </w:r>
          </w:p>
        </w:tc>
        <w:tc>
          <w:tcPr>
            <w:tcW w:w="8304" w:type="dxa"/>
            <w:vAlign w:val="center"/>
          </w:tcPr>
          <w:p w14:paraId="068838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中标（成交）通知书：成交结果在中标（成交）公告时，代理机构以书面形式发出《成交通知书》。</w:t>
            </w:r>
          </w:p>
        </w:tc>
      </w:tr>
      <w:tr w14:paraId="5202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7" w:type="dxa"/>
            <w:vAlign w:val="center"/>
          </w:tcPr>
          <w:p w14:paraId="7C9B183D">
            <w:pPr>
              <w:snapToGrid w:val="0"/>
              <w:rPr>
                <w:rFonts w:ascii="宋体" w:hAnsi="宋体"/>
                <w:color w:val="auto"/>
                <w:sz w:val="24"/>
                <w:highlight w:val="none"/>
              </w:rPr>
            </w:pPr>
            <w:r>
              <w:rPr>
                <w:rFonts w:hint="eastAsia" w:ascii="宋体" w:hAnsi="宋体"/>
                <w:color w:val="auto"/>
                <w:sz w:val="24"/>
                <w:highlight w:val="none"/>
              </w:rPr>
              <w:t xml:space="preserve">  12</w:t>
            </w:r>
          </w:p>
        </w:tc>
        <w:tc>
          <w:tcPr>
            <w:tcW w:w="8304" w:type="dxa"/>
            <w:vAlign w:val="center"/>
          </w:tcPr>
          <w:p w14:paraId="193ED0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签订合同：中标通知书发出后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天内。</w:t>
            </w:r>
          </w:p>
        </w:tc>
      </w:tr>
      <w:tr w14:paraId="33CF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27" w:type="dxa"/>
            <w:vAlign w:val="center"/>
          </w:tcPr>
          <w:p w14:paraId="235895A5">
            <w:pPr>
              <w:snapToGrid w:val="0"/>
              <w:rPr>
                <w:rFonts w:ascii="宋体" w:hAnsi="宋体"/>
                <w:color w:val="auto"/>
                <w:sz w:val="24"/>
                <w:highlight w:val="none"/>
              </w:rPr>
            </w:pPr>
            <w:r>
              <w:rPr>
                <w:rFonts w:hint="eastAsia" w:ascii="宋体" w:hAnsi="宋体"/>
                <w:color w:val="auto"/>
                <w:sz w:val="24"/>
                <w:highlight w:val="none"/>
              </w:rPr>
              <w:t xml:space="preserve">  13</w:t>
            </w:r>
          </w:p>
        </w:tc>
        <w:tc>
          <w:tcPr>
            <w:tcW w:w="8304" w:type="dxa"/>
            <w:vAlign w:val="center"/>
          </w:tcPr>
          <w:p w14:paraId="09DC4E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投标文件有效期：90 天。</w:t>
            </w:r>
          </w:p>
        </w:tc>
      </w:tr>
      <w:tr w14:paraId="1205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7" w:type="dxa"/>
            <w:vAlign w:val="center"/>
          </w:tcPr>
          <w:p w14:paraId="7F504379">
            <w:pPr>
              <w:snapToGrid w:val="0"/>
              <w:rPr>
                <w:rFonts w:ascii="宋体" w:hAnsi="宋体"/>
                <w:color w:val="auto"/>
                <w:sz w:val="24"/>
                <w:highlight w:val="none"/>
              </w:rPr>
            </w:pPr>
            <w:r>
              <w:rPr>
                <w:rFonts w:hint="eastAsia" w:ascii="宋体" w:hAnsi="宋体"/>
                <w:color w:val="auto"/>
                <w:sz w:val="24"/>
                <w:highlight w:val="none"/>
              </w:rPr>
              <w:t xml:space="preserve">  14</w:t>
            </w:r>
          </w:p>
        </w:tc>
        <w:tc>
          <w:tcPr>
            <w:tcW w:w="8304" w:type="dxa"/>
            <w:vAlign w:val="center"/>
          </w:tcPr>
          <w:p w14:paraId="3FBD65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解释：本招标文件的解释权属于招标采购单位。</w:t>
            </w:r>
          </w:p>
        </w:tc>
      </w:tr>
      <w:tr w14:paraId="5DFE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7" w:type="dxa"/>
            <w:vAlign w:val="center"/>
          </w:tcPr>
          <w:p w14:paraId="06C0CD83">
            <w:pPr>
              <w:snapToGrid w:val="0"/>
              <w:jc w:val="center"/>
              <w:rPr>
                <w:rFonts w:ascii="宋体" w:hAnsi="宋体"/>
                <w:color w:val="auto"/>
                <w:sz w:val="24"/>
                <w:highlight w:val="none"/>
              </w:rPr>
            </w:pPr>
            <w:r>
              <w:rPr>
                <w:rFonts w:hint="eastAsia" w:ascii="宋体" w:hAnsi="宋体"/>
                <w:color w:val="auto"/>
                <w:highlight w:val="none"/>
              </w:rPr>
              <w:t>15</w:t>
            </w:r>
          </w:p>
        </w:tc>
        <w:tc>
          <w:tcPr>
            <w:tcW w:w="8304" w:type="dxa"/>
            <w:vAlign w:val="center"/>
          </w:tcPr>
          <w:p w14:paraId="06D3C6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本项目招投标活动适用《中华人民共和国政府招投标法》等有关法律法规规章及其他规范性文件。</w:t>
            </w:r>
          </w:p>
        </w:tc>
      </w:tr>
      <w:tr w14:paraId="5A4F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7" w:type="dxa"/>
            <w:vAlign w:val="center"/>
          </w:tcPr>
          <w:p w14:paraId="341F3718">
            <w:pPr>
              <w:snapToGrid w:val="0"/>
              <w:jc w:val="center"/>
              <w:rPr>
                <w:rFonts w:ascii="宋体" w:hAnsi="宋体"/>
                <w:color w:val="auto"/>
                <w:highlight w:val="none"/>
              </w:rPr>
            </w:pPr>
            <w:r>
              <w:rPr>
                <w:rFonts w:hint="eastAsia" w:ascii="宋体" w:hAnsi="宋体"/>
                <w:color w:val="auto"/>
                <w:highlight w:val="none"/>
              </w:rPr>
              <w:t>16</w:t>
            </w:r>
          </w:p>
        </w:tc>
        <w:tc>
          <w:tcPr>
            <w:tcW w:w="8304" w:type="dxa"/>
            <w:vAlign w:val="center"/>
          </w:tcPr>
          <w:p w14:paraId="7A58B292">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本项目设置上限价（最高限价），上限价为</w:t>
            </w:r>
            <w:r>
              <w:rPr>
                <w:rFonts w:hint="eastAsia" w:ascii="宋体" w:hAnsi="宋体" w:cs="宋体"/>
                <w:color w:val="auto"/>
                <w:sz w:val="24"/>
                <w:highlight w:val="none"/>
                <w:lang w:val="en-US" w:eastAsia="zh-CN"/>
              </w:rPr>
              <w:t>13.6420</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；超过最高限价的作无效标处理。</w:t>
            </w:r>
          </w:p>
        </w:tc>
      </w:tr>
    </w:tbl>
    <w:p w14:paraId="5F0E860B">
      <w:pPr>
        <w:pStyle w:val="14"/>
        <w:snapToGrid w:val="0"/>
        <w:spacing w:before="120" w:after="120" w:line="360" w:lineRule="auto"/>
        <w:rPr>
          <w:rFonts w:hAnsi="宋体"/>
          <w:b/>
          <w:color w:val="auto"/>
          <w:sz w:val="24"/>
          <w:szCs w:val="24"/>
          <w:highlight w:val="none"/>
        </w:rPr>
      </w:pPr>
      <w:r>
        <w:rPr>
          <w:rFonts w:hint="eastAsia" w:hAnsi="宋体"/>
          <w:b/>
          <w:color w:val="auto"/>
          <w:sz w:val="24"/>
          <w:szCs w:val="24"/>
          <w:highlight w:val="none"/>
        </w:rPr>
        <w:t>一 、 总  则</w:t>
      </w:r>
    </w:p>
    <w:p w14:paraId="137163AA">
      <w:pPr>
        <w:tabs>
          <w:tab w:val="left" w:pos="360"/>
          <w:tab w:val="left" w:pos="540"/>
          <w:tab w:val="left" w:pos="720"/>
        </w:tabs>
        <w:snapToGrid w:val="0"/>
        <w:spacing w:line="360" w:lineRule="auto"/>
        <w:ind w:firstLine="482" w:firstLineChars="200"/>
        <w:jc w:val="left"/>
        <w:outlineLvl w:val="1"/>
        <w:rPr>
          <w:rFonts w:ascii="宋体" w:hAnsi="宋体"/>
          <w:b/>
          <w:color w:val="auto"/>
          <w:sz w:val="24"/>
          <w:highlight w:val="none"/>
        </w:rPr>
      </w:pPr>
      <w:bookmarkStart w:id="3" w:name="_Toc177870537"/>
      <w:bookmarkStart w:id="4" w:name="_Toc177825120"/>
      <w:bookmarkStart w:id="5" w:name="_Toc177824872"/>
      <w:bookmarkStart w:id="6" w:name="_Toc177824939"/>
      <w:r>
        <w:rPr>
          <w:rFonts w:hint="eastAsia" w:ascii="宋体" w:hAnsi="宋体"/>
          <w:b/>
          <w:color w:val="auto"/>
          <w:sz w:val="24"/>
          <w:highlight w:val="none"/>
        </w:rPr>
        <w:t>（一）适用范围</w:t>
      </w:r>
      <w:bookmarkEnd w:id="3"/>
      <w:bookmarkEnd w:id="4"/>
      <w:bookmarkEnd w:id="5"/>
      <w:bookmarkEnd w:id="6"/>
    </w:p>
    <w:p w14:paraId="0E2F677D">
      <w:pPr>
        <w:spacing w:line="420" w:lineRule="exact"/>
        <w:ind w:firstLine="424"/>
        <w:rPr>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桐庐县人民法院档案电动密集架改造升级项目</w:t>
      </w:r>
      <w:r>
        <w:rPr>
          <w:rFonts w:hint="eastAsia" w:ascii="宋体" w:hAnsi="宋体"/>
          <w:color w:val="auto"/>
          <w:sz w:val="24"/>
          <w:highlight w:val="none"/>
        </w:rPr>
        <w:t>的招标、评标、定标、验收、合同履约、付款等（法律、法规另有规定的，从其规定）。</w:t>
      </w:r>
    </w:p>
    <w:p w14:paraId="4394790F">
      <w:pPr>
        <w:snapToGrid w:val="0"/>
        <w:spacing w:line="360" w:lineRule="auto"/>
        <w:ind w:firstLine="482" w:firstLineChars="200"/>
        <w:jc w:val="left"/>
        <w:outlineLvl w:val="1"/>
        <w:rPr>
          <w:rFonts w:ascii="宋体" w:hAnsi="宋体"/>
          <w:b/>
          <w:color w:val="auto"/>
          <w:sz w:val="24"/>
          <w:highlight w:val="none"/>
        </w:rPr>
      </w:pPr>
      <w:bookmarkStart w:id="7" w:name="_Toc177870538"/>
      <w:bookmarkStart w:id="8" w:name="_Toc177825121"/>
      <w:bookmarkStart w:id="9" w:name="_Toc177824940"/>
      <w:bookmarkStart w:id="10" w:name="_Toc177824873"/>
      <w:r>
        <w:rPr>
          <w:rFonts w:hint="eastAsia" w:ascii="宋体" w:hAnsi="宋体"/>
          <w:b/>
          <w:color w:val="auto"/>
          <w:sz w:val="24"/>
          <w:highlight w:val="none"/>
        </w:rPr>
        <w:t>（二）定义</w:t>
      </w:r>
      <w:bookmarkEnd w:id="7"/>
      <w:bookmarkEnd w:id="8"/>
      <w:bookmarkEnd w:id="9"/>
      <w:bookmarkEnd w:id="10"/>
    </w:p>
    <w:p w14:paraId="7B08A11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1.“投标人”系指向采购机构提交投标文件的单位。</w:t>
      </w:r>
    </w:p>
    <w:p w14:paraId="0C7BD45A">
      <w:pPr>
        <w:snapToGrid w:val="0"/>
        <w:spacing w:line="360" w:lineRule="auto"/>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2.“采购人”系指</w:t>
      </w:r>
      <w:r>
        <w:rPr>
          <w:rFonts w:hint="eastAsia" w:ascii="宋体" w:hAnsi="宋体"/>
          <w:color w:val="auto"/>
          <w:sz w:val="24"/>
          <w:highlight w:val="none"/>
          <w:lang w:val="en-US" w:eastAsia="zh-CN"/>
        </w:rPr>
        <w:t>桐庐县人民法院。</w:t>
      </w:r>
    </w:p>
    <w:p w14:paraId="729655B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3.“服务”系指招标文件规定投标人须承担的运营、策划、招商、咨询、培训及其他类似的义务。</w:t>
      </w:r>
    </w:p>
    <w:p w14:paraId="7BB4563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4.“培训”系指中标人按合同要求，向采购人提供专业培训、系统管理培训和其他相关培训等。</w:t>
      </w:r>
    </w:p>
    <w:p w14:paraId="15CF228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5.“项目”系指投标人按招标文件规定向采购人提供的服务。</w:t>
      </w:r>
    </w:p>
    <w:p w14:paraId="6CC6BDD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6.“书面形式”包括信函、传真、电报、电子文档等。</w:t>
      </w:r>
    </w:p>
    <w:p w14:paraId="1175032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“★”系指实质性要求条款。</w:t>
      </w:r>
    </w:p>
    <w:p w14:paraId="3FB045C7">
      <w:pPr>
        <w:snapToGrid w:val="0"/>
        <w:spacing w:line="360" w:lineRule="auto"/>
        <w:ind w:firstLine="482" w:firstLineChars="200"/>
        <w:jc w:val="left"/>
        <w:outlineLvl w:val="1"/>
        <w:rPr>
          <w:rFonts w:ascii="宋体" w:hAnsi="宋体"/>
          <w:b/>
          <w:color w:val="auto"/>
          <w:sz w:val="24"/>
          <w:highlight w:val="none"/>
        </w:rPr>
      </w:pPr>
      <w:bookmarkStart w:id="11" w:name="_Toc177870539"/>
      <w:r>
        <w:rPr>
          <w:rFonts w:hint="eastAsia" w:ascii="宋体" w:hAnsi="宋体"/>
          <w:b/>
          <w:color w:val="auto"/>
          <w:sz w:val="24"/>
          <w:highlight w:val="none"/>
        </w:rPr>
        <w:t>（三）招标方式</w:t>
      </w:r>
      <w:bookmarkEnd w:id="11"/>
    </w:p>
    <w:p w14:paraId="0FB29107">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本次招标采用公开招标方式进行。</w:t>
      </w:r>
    </w:p>
    <w:p w14:paraId="3E1D51D9">
      <w:pPr>
        <w:snapToGrid w:val="0"/>
        <w:spacing w:line="360" w:lineRule="auto"/>
        <w:ind w:firstLine="482" w:firstLineChars="200"/>
        <w:jc w:val="left"/>
        <w:outlineLvl w:val="1"/>
        <w:rPr>
          <w:b/>
          <w:color w:val="auto"/>
          <w:sz w:val="24"/>
          <w:highlight w:val="none"/>
        </w:rPr>
      </w:pPr>
      <w:bookmarkStart w:id="12" w:name="_Toc177824941"/>
      <w:bookmarkStart w:id="13" w:name="_Toc177825122"/>
      <w:bookmarkStart w:id="14" w:name="_Toc177870540"/>
      <w:bookmarkStart w:id="15" w:name="_Toc177824874"/>
      <w:r>
        <w:rPr>
          <w:rFonts w:hint="eastAsia"/>
          <w:b/>
          <w:color w:val="auto"/>
          <w:sz w:val="24"/>
          <w:highlight w:val="none"/>
        </w:rPr>
        <w:t>（四）投标委托</w:t>
      </w:r>
      <w:bookmarkEnd w:id="12"/>
      <w:bookmarkEnd w:id="13"/>
      <w:bookmarkEnd w:id="14"/>
      <w:bookmarkEnd w:id="15"/>
    </w:p>
    <w:p w14:paraId="5B3B1241">
      <w:pPr>
        <w:pStyle w:val="14"/>
        <w:snapToGrid w:val="0"/>
        <w:spacing w:line="360" w:lineRule="auto"/>
        <w:ind w:firstLine="482" w:firstLineChars="200"/>
        <w:rPr>
          <w:rFonts w:hAnsi="宋体"/>
          <w:b/>
          <w:bCs/>
          <w:color w:val="auto"/>
          <w:sz w:val="24"/>
          <w:highlight w:val="none"/>
        </w:rPr>
      </w:pPr>
      <w:bookmarkStart w:id="16" w:name="_Toc177825123"/>
      <w:bookmarkStart w:id="17" w:name="_Toc177824875"/>
      <w:bookmarkStart w:id="18" w:name="_Toc177870541"/>
      <w:bookmarkStart w:id="19" w:name="_Toc177824942"/>
      <w:r>
        <w:rPr>
          <w:rFonts w:hint="eastAsia" w:hAnsi="宋体"/>
          <w:b/>
          <w:bCs/>
          <w:color w:val="auto"/>
          <w:sz w:val="24"/>
          <w:highlight w:val="none"/>
        </w:rPr>
        <w:t>法定代表人（携带法定代表人资格证明书）或授权委托代理人（携带法定代表人授权委托书）应准时参加开标会议，并携带本人居民身份证或采购人认可的其他身份证明。</w:t>
      </w:r>
    </w:p>
    <w:p w14:paraId="45793525">
      <w:pPr>
        <w:snapToGrid w:val="0"/>
        <w:spacing w:line="360"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（五）投标费用</w:t>
      </w:r>
      <w:bookmarkEnd w:id="16"/>
      <w:bookmarkEnd w:id="17"/>
      <w:bookmarkEnd w:id="18"/>
      <w:bookmarkEnd w:id="19"/>
    </w:p>
    <w:p w14:paraId="136B8013">
      <w:pPr>
        <w:snapToGrid w:val="0"/>
        <w:spacing w:line="360" w:lineRule="auto"/>
        <w:ind w:firstLine="480" w:firstLineChars="200"/>
        <w:jc w:val="left"/>
        <w:outlineLvl w:val="1"/>
        <w:rPr>
          <w:rFonts w:ascii="宋体" w:hAnsi="宋体" w:cs="宋体"/>
          <w:color w:val="auto"/>
          <w:kern w:val="0"/>
          <w:sz w:val="24"/>
          <w:highlight w:val="none"/>
        </w:rPr>
      </w:pPr>
      <w:r>
        <w:rPr>
          <w:rFonts w:hint="eastAsia" w:ascii="宋体" w:hAnsi="宋体"/>
          <w:color w:val="auto"/>
          <w:sz w:val="24"/>
          <w:highlight w:val="none"/>
        </w:rPr>
        <w:t>不论投标结果如何，投标人均应自行承担所有与投标有关的全部费用。</w:t>
      </w:r>
    </w:p>
    <w:p w14:paraId="19B9E776">
      <w:pPr>
        <w:snapToGrid w:val="0"/>
        <w:spacing w:line="360"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（六）</w:t>
      </w:r>
      <w:bookmarkStart w:id="20" w:name="_Toc177870542"/>
      <w:r>
        <w:rPr>
          <w:rFonts w:hint="eastAsia" w:ascii="宋体" w:hAnsi="宋体"/>
          <w:b/>
          <w:color w:val="auto"/>
          <w:sz w:val="24"/>
          <w:highlight w:val="none"/>
        </w:rPr>
        <w:t>特别说明：</w:t>
      </w:r>
      <w:bookmarkEnd w:id="20"/>
    </w:p>
    <w:p w14:paraId="4401666C">
      <w:pPr>
        <w:snapToGrid w:val="0"/>
        <w:spacing w:line="360" w:lineRule="auto"/>
        <w:ind w:firstLine="480" w:firstLineChars="200"/>
        <w:jc w:val="left"/>
        <w:rPr>
          <w:rFonts w:hint="eastAsia" w:ascii="宋体" w:hAnsi="宋体" w:eastAsia="宋体" w:cs="Times New Roman"/>
          <w:color w:val="auto"/>
          <w:sz w:val="24"/>
          <w:highlight w:val="none"/>
        </w:rPr>
      </w:pPr>
      <w:bookmarkStart w:id="21" w:name="_Toc177870543"/>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0AD72DA7">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投标人投标所使用的资格、信誉、荣誉、业绩与企业认证必须为本企业所拥有。投标人投标所使用的采购项目实施人员可以为其控股公司的工作人员。</w:t>
      </w:r>
    </w:p>
    <w:p w14:paraId="4835911B">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B4BB4EB">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投标人应仔细阅读招标文件的所有内容，按照招标文件的要求提交投标文件。投标文件应对招标文件的要求作出实质性响应，并对所提供的全部资料的真实性承担法律责任。</w:t>
      </w:r>
    </w:p>
    <w:p w14:paraId="23DA9D3C">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（七）质疑</w:t>
      </w:r>
      <w:bookmarkEnd w:id="21"/>
      <w:r>
        <w:rPr>
          <w:rFonts w:hint="eastAsia" w:hAnsi="宋体"/>
          <w:b/>
          <w:bCs/>
          <w:color w:val="auto"/>
          <w:sz w:val="24"/>
          <w:szCs w:val="24"/>
          <w:highlight w:val="none"/>
        </w:rPr>
        <w:t>和投诉</w:t>
      </w:r>
    </w:p>
    <w:p w14:paraId="6CF683D1">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1</w:t>
      </w:r>
      <w:r>
        <w:rPr>
          <w:rFonts w:hint="eastAsia" w:hAnsi="宋体"/>
          <w:bCs/>
          <w:color w:val="auto"/>
          <w:sz w:val="24"/>
          <w:szCs w:val="24"/>
          <w:highlight w:val="none"/>
          <w:lang w:eastAsia="zh-CN"/>
        </w:rPr>
        <w:t>.</w:t>
      </w:r>
      <w:r>
        <w:rPr>
          <w:rFonts w:hint="eastAsia" w:hAnsi="宋体"/>
          <w:bCs/>
          <w:color w:val="auto"/>
          <w:sz w:val="24"/>
          <w:szCs w:val="24"/>
          <w:highlight w:val="none"/>
        </w:rPr>
        <w:t>投标人认为招标文件、招标过程和中标结果使自己的合法权益受到损害的，应当在知道或者应知其权益受到损害之日起七个工作日内，以书面形式向采购机构提出质疑。投标人对采购机构的质疑答复不满意或者招标采购人未在规定时间内作出答复的，可以在答复期满后十五个工作日内向同级采购监管部门投诉。</w:t>
      </w:r>
    </w:p>
    <w:p w14:paraId="685941F4">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2</w:t>
      </w:r>
      <w:r>
        <w:rPr>
          <w:rFonts w:hint="eastAsia" w:hAnsi="宋体"/>
          <w:bCs/>
          <w:color w:val="auto"/>
          <w:sz w:val="24"/>
          <w:szCs w:val="24"/>
          <w:highlight w:val="none"/>
          <w:lang w:eastAsia="zh-CN"/>
        </w:rPr>
        <w:t>.</w:t>
      </w:r>
      <w:r>
        <w:rPr>
          <w:rFonts w:hint="eastAsia" w:hAnsi="宋体"/>
          <w:bCs/>
          <w:color w:val="auto"/>
          <w:sz w:val="24"/>
          <w:szCs w:val="24"/>
          <w:highlight w:val="none"/>
        </w:rPr>
        <w:t>投标供应商在法定质疑期内一次性提出针对同一采购程序环节的质疑。</w:t>
      </w:r>
    </w:p>
    <w:p w14:paraId="0140531F">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eastAsia="zh-CN"/>
        </w:rPr>
        <w:t>.</w:t>
      </w:r>
      <w:r>
        <w:rPr>
          <w:rFonts w:hint="eastAsia" w:hAnsi="宋体"/>
          <w:bCs/>
          <w:color w:val="auto"/>
          <w:sz w:val="24"/>
          <w:szCs w:val="24"/>
          <w:highlight w:val="none"/>
        </w:rPr>
        <w:t>投标人认可采购机构在质疑答复程序中启用的调查和复评等程序，在该程序操作过程未明显违反法律禁止性规定时，不得提出疑义；</w:t>
      </w:r>
    </w:p>
    <w:p w14:paraId="39CF0E1D">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4</w:t>
      </w:r>
      <w:r>
        <w:rPr>
          <w:rFonts w:hint="eastAsia" w:hAnsi="宋体"/>
          <w:bCs/>
          <w:color w:val="auto"/>
          <w:sz w:val="24"/>
          <w:szCs w:val="24"/>
          <w:highlight w:val="none"/>
          <w:lang w:eastAsia="zh-CN"/>
        </w:rPr>
        <w:t>.</w:t>
      </w:r>
      <w:r>
        <w:rPr>
          <w:rFonts w:hint="eastAsia" w:hAnsi="宋体"/>
          <w:bCs/>
          <w:color w:val="auto"/>
          <w:sz w:val="24"/>
          <w:szCs w:val="24"/>
          <w:highlight w:val="none"/>
        </w:rPr>
        <w:t>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14:paraId="5C0BB104">
      <w:pPr>
        <w:pStyle w:val="14"/>
        <w:snapToGrid w:val="0"/>
        <w:spacing w:line="360" w:lineRule="auto"/>
        <w:ind w:firstLine="436" w:firstLineChars="181"/>
        <w:outlineLvl w:val="0"/>
        <w:rPr>
          <w:rFonts w:hAnsi="宋体"/>
          <w:b/>
          <w:color w:val="auto"/>
          <w:sz w:val="24"/>
          <w:szCs w:val="24"/>
          <w:highlight w:val="none"/>
        </w:rPr>
      </w:pPr>
      <w:bookmarkStart w:id="22" w:name="_Toc177870544"/>
      <w:r>
        <w:rPr>
          <w:rFonts w:hint="eastAsia" w:hAnsi="宋体"/>
          <w:b/>
          <w:color w:val="auto"/>
          <w:sz w:val="24"/>
          <w:szCs w:val="24"/>
          <w:highlight w:val="none"/>
        </w:rPr>
        <w:t>二、招标文件</w:t>
      </w:r>
      <w:bookmarkEnd w:id="22"/>
    </w:p>
    <w:p w14:paraId="4B336067">
      <w:pPr>
        <w:snapToGrid w:val="0"/>
        <w:spacing w:line="360" w:lineRule="auto"/>
        <w:ind w:firstLine="316" w:firstLineChars="131"/>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2A64BE8E">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1.招标公告</w:t>
      </w:r>
    </w:p>
    <w:p w14:paraId="0C569A36">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2.招标需求</w:t>
      </w:r>
    </w:p>
    <w:p w14:paraId="64382BE9">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3.投标人须知</w:t>
      </w:r>
    </w:p>
    <w:p w14:paraId="6704DB88">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4.评标办法及标准</w:t>
      </w:r>
    </w:p>
    <w:p w14:paraId="19DB5441">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5.采购合同</w:t>
      </w:r>
    </w:p>
    <w:p w14:paraId="5B57ADF3">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6.投标文件格式</w:t>
      </w:r>
    </w:p>
    <w:p w14:paraId="23E48AF6">
      <w:pPr>
        <w:snapToGrid w:val="0"/>
        <w:spacing w:line="360" w:lineRule="auto"/>
        <w:ind w:firstLine="318" w:firstLineChars="132"/>
        <w:jc w:val="left"/>
        <w:rPr>
          <w:rFonts w:ascii="宋体" w:hAnsi="宋体"/>
          <w:b/>
          <w:color w:val="auto"/>
          <w:sz w:val="24"/>
          <w:highlight w:val="none"/>
        </w:rPr>
      </w:pPr>
      <w:r>
        <w:rPr>
          <w:rFonts w:hint="eastAsia" w:ascii="宋体" w:hAnsi="宋体"/>
          <w:b/>
          <w:color w:val="auto"/>
          <w:sz w:val="24"/>
          <w:highlight w:val="none"/>
        </w:rPr>
        <w:t>（二）投标人的风险</w:t>
      </w:r>
    </w:p>
    <w:p w14:paraId="6E519A1B">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投标人没有按照招标文件要求提供全部资料，或者投标人没有对招标文件在各方面者作出实质性响应是投标人的风险，并可能导致其投标被拒绝。</w:t>
      </w:r>
    </w:p>
    <w:p w14:paraId="689CB0BE">
      <w:pPr>
        <w:pStyle w:val="7"/>
        <w:numPr>
          <w:ilvl w:val="0"/>
          <w:numId w:val="0"/>
        </w:numPr>
        <w:tabs>
          <w:tab w:val="left" w:pos="454"/>
          <w:tab w:val="left" w:pos="720"/>
        </w:tabs>
        <w:snapToGrid w:val="0"/>
        <w:spacing w:line="360" w:lineRule="auto"/>
        <w:ind w:firstLine="318" w:firstLineChars="132"/>
        <w:rPr>
          <w:rFonts w:ascii="宋体" w:hAnsi="宋体"/>
          <w:b/>
          <w:color w:val="auto"/>
          <w:sz w:val="24"/>
          <w:highlight w:val="none"/>
        </w:rPr>
      </w:pPr>
      <w:r>
        <w:rPr>
          <w:rFonts w:hint="eastAsia" w:ascii="宋体" w:hAnsi="宋体"/>
          <w:b/>
          <w:color w:val="auto"/>
          <w:sz w:val="24"/>
          <w:highlight w:val="none"/>
        </w:rPr>
        <w:t xml:space="preserve">（三）招标文件的澄清与修改 </w:t>
      </w:r>
    </w:p>
    <w:p w14:paraId="1236844D">
      <w:pPr>
        <w:spacing w:line="360" w:lineRule="auto"/>
        <w:ind w:firstLine="480"/>
        <w:jc w:val="left"/>
        <w:rPr>
          <w:rFonts w:ascii="宋体" w:hAnsi="宋体" w:cs="宋体"/>
          <w:b/>
          <w:color w:val="auto"/>
          <w:sz w:val="24"/>
          <w:highlight w:val="none"/>
        </w:rPr>
      </w:pPr>
      <w:bookmarkStart w:id="23" w:name="_Toc177870545"/>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投标人应认真阅读本招标文件，发现其中有误或有不合理要求的，投标人应当于</w:t>
      </w:r>
      <w:r>
        <w:rPr>
          <w:rFonts w:hint="eastAsia" w:hAnsi="宋体"/>
          <w:b/>
          <w:color w:val="auto"/>
          <w:sz w:val="24"/>
          <w:highlight w:val="none"/>
          <w:u w:val="single"/>
        </w:rPr>
        <w:t>前附表第</w:t>
      </w:r>
      <w:r>
        <w:rPr>
          <w:rFonts w:hint="eastAsia" w:hAnsi="宋体"/>
          <w:b/>
          <w:color w:val="auto"/>
          <w:sz w:val="24"/>
          <w:highlight w:val="none"/>
          <w:u w:val="single"/>
          <w:lang w:val="en-US" w:eastAsia="zh-CN"/>
        </w:rPr>
        <w:t>5</w:t>
      </w:r>
      <w:r>
        <w:rPr>
          <w:rFonts w:hint="eastAsia" w:hAnsi="宋体"/>
          <w:b/>
          <w:color w:val="auto"/>
          <w:sz w:val="24"/>
          <w:highlight w:val="none"/>
          <w:u w:val="single"/>
        </w:rPr>
        <w:t>项规定时间前</w:t>
      </w:r>
      <w:r>
        <w:rPr>
          <w:rFonts w:hint="eastAsia" w:ascii="宋体" w:hAnsi="宋体" w:cs="宋体"/>
          <w:color w:val="auto"/>
          <w:sz w:val="24"/>
          <w:highlight w:val="none"/>
        </w:rPr>
        <w:t>以书面形式向采购人、采购代理机构提出。招标方将在规定的时间内，在指定的采购信息发布媒体上发布更正公告，潜在投标人请自行查看。</w:t>
      </w:r>
      <w:r>
        <w:rPr>
          <w:rFonts w:hint="eastAsia" w:ascii="宋体" w:hAnsi="宋体" w:cs="宋体"/>
          <w:b/>
          <w:color w:val="auto"/>
          <w:sz w:val="24"/>
          <w:highlight w:val="none"/>
        </w:rPr>
        <w:t>逾期提出招标方将不予受理。</w:t>
      </w:r>
    </w:p>
    <w:p w14:paraId="1621BD5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招标方主动进行的澄清、修改：招标方无论出于何种原因，均可主动对招标文件中的相关事项，用补充文件等方式进行澄清和修改。</w:t>
      </w:r>
    </w:p>
    <w:p w14:paraId="71EC92FB">
      <w:pPr>
        <w:spacing w:line="360" w:lineRule="auto"/>
        <w:ind w:firstLine="480"/>
        <w:jc w:val="left"/>
        <w:rPr>
          <w:rFonts w:ascii="宋体" w:hAnsi="宋体" w:cs="宋体"/>
          <w:b/>
          <w:color w:val="auto"/>
          <w:sz w:val="28"/>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14:paraId="1AC82BE6">
      <w:pPr>
        <w:pStyle w:val="14"/>
        <w:snapToGrid w:val="0"/>
        <w:spacing w:line="360" w:lineRule="auto"/>
        <w:ind w:firstLine="482" w:firstLineChars="200"/>
        <w:outlineLvl w:val="1"/>
        <w:rPr>
          <w:rFonts w:hAnsi="宋体"/>
          <w:b/>
          <w:color w:val="auto"/>
          <w:sz w:val="24"/>
          <w:szCs w:val="24"/>
          <w:highlight w:val="none"/>
        </w:rPr>
      </w:pPr>
      <w:r>
        <w:rPr>
          <w:rFonts w:hint="eastAsia" w:hAnsi="宋体"/>
          <w:b/>
          <w:color w:val="auto"/>
          <w:sz w:val="24"/>
          <w:szCs w:val="24"/>
          <w:highlight w:val="none"/>
        </w:rPr>
        <w:t>三、投标文件</w:t>
      </w:r>
      <w:bookmarkEnd w:id="23"/>
      <w:r>
        <w:rPr>
          <w:rFonts w:hint="eastAsia" w:hAnsi="宋体"/>
          <w:b/>
          <w:color w:val="auto"/>
          <w:sz w:val="24"/>
          <w:szCs w:val="24"/>
          <w:highlight w:val="none"/>
        </w:rPr>
        <w:t>的编制</w:t>
      </w:r>
    </w:p>
    <w:p w14:paraId="2BBF7ACA">
      <w:pPr>
        <w:snapToGrid w:val="0"/>
        <w:spacing w:line="360" w:lineRule="auto"/>
        <w:ind w:firstLine="482" w:firstLineChars="200"/>
        <w:jc w:val="left"/>
        <w:outlineLvl w:val="0"/>
        <w:rPr>
          <w:rFonts w:ascii="宋体" w:hAnsi="宋体"/>
          <w:b/>
          <w:color w:val="auto"/>
          <w:sz w:val="24"/>
          <w:highlight w:val="none"/>
        </w:rPr>
      </w:pPr>
      <w:bookmarkStart w:id="24" w:name="_Toc177870546"/>
      <w:bookmarkStart w:id="25" w:name="_Toc177824943"/>
      <w:bookmarkStart w:id="26" w:name="_Toc177824876"/>
      <w:bookmarkStart w:id="27" w:name="_Toc177825124"/>
      <w:r>
        <w:rPr>
          <w:rFonts w:hint="eastAsia" w:ascii="宋体" w:hAnsi="宋体"/>
          <w:b/>
          <w:color w:val="auto"/>
          <w:sz w:val="24"/>
          <w:highlight w:val="none"/>
        </w:rPr>
        <w:t>（一）投标文件的组成</w:t>
      </w:r>
      <w:bookmarkEnd w:id="24"/>
      <w:bookmarkEnd w:id="25"/>
      <w:bookmarkEnd w:id="26"/>
      <w:bookmarkEnd w:id="27"/>
    </w:p>
    <w:p w14:paraId="13F8140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olor w:val="auto"/>
          <w:sz w:val="24"/>
          <w:highlight w:val="none"/>
          <w:lang w:eastAsia="zh-CN"/>
        </w:rPr>
        <w:t>资信技术</w:t>
      </w:r>
      <w:r>
        <w:rPr>
          <w:rFonts w:hint="eastAsia" w:ascii="宋体" w:hAnsi="宋体"/>
          <w:color w:val="auto"/>
          <w:sz w:val="24"/>
          <w:highlight w:val="none"/>
        </w:rPr>
        <w:t>文件、报价文件二部分组成。</w:t>
      </w:r>
    </w:p>
    <w:p w14:paraId="7980B05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1.资信技术文件（均不含报价）：</w:t>
      </w:r>
    </w:p>
    <w:p w14:paraId="47423551">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）法定代表人授权委托书；（若</w:t>
      </w:r>
      <w:r>
        <w:rPr>
          <w:rFonts w:ascii="宋体" w:hAnsi="宋体" w:cs="宋体"/>
          <w:color w:val="auto"/>
          <w:sz w:val="24"/>
          <w:highlight w:val="none"/>
          <w:lang w:val="zh-CN"/>
        </w:rPr>
        <w:t>法定代表人参加开标会议</w:t>
      </w:r>
      <w:r>
        <w:rPr>
          <w:rFonts w:hint="eastAsia" w:ascii="宋体" w:hAnsi="宋体" w:cs="宋体"/>
          <w:color w:val="auto"/>
          <w:sz w:val="24"/>
          <w:highlight w:val="none"/>
          <w:lang w:val="zh-CN"/>
        </w:rPr>
        <w:t>的</w:t>
      </w:r>
      <w:r>
        <w:rPr>
          <w:rFonts w:ascii="宋体" w:hAnsi="宋体" w:cs="宋体"/>
          <w:color w:val="auto"/>
          <w:sz w:val="24"/>
          <w:highlight w:val="none"/>
          <w:lang w:val="zh-CN"/>
        </w:rPr>
        <w:t>，可不提供</w:t>
      </w:r>
      <w:r>
        <w:rPr>
          <w:rFonts w:hint="eastAsia" w:ascii="宋体" w:hAnsi="宋体" w:cs="宋体"/>
          <w:color w:val="auto"/>
          <w:sz w:val="24"/>
          <w:highlight w:val="none"/>
          <w:lang w:val="zh-CN"/>
        </w:rPr>
        <w:t>）（格式见附件）</w:t>
      </w:r>
    </w:p>
    <w:p w14:paraId="20905A1C">
      <w:pPr>
        <w:tabs>
          <w:tab w:val="left" w:pos="1440"/>
        </w:tabs>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eastAsia="宋体" w:cs="宋体"/>
          <w:bCs/>
          <w:color w:val="auto"/>
          <w:sz w:val="24"/>
          <w:highlight w:val="none"/>
          <w:lang w:val="zh-CN"/>
        </w:rPr>
        <w:t>“供应商的资格要求”规定的证明文件（格式见附件）</w:t>
      </w:r>
      <w:r>
        <w:rPr>
          <w:rFonts w:hint="eastAsia" w:ascii="宋体" w:hAnsi="宋体" w:cs="宋体"/>
          <w:bCs/>
          <w:color w:val="auto"/>
          <w:sz w:val="24"/>
          <w:highlight w:val="none"/>
          <w:lang w:val="zh-CN"/>
        </w:rPr>
        <w:t>及</w:t>
      </w:r>
      <w:r>
        <w:rPr>
          <w:rFonts w:hint="eastAsia" w:ascii="宋体" w:hAnsi="宋体"/>
          <w:color w:val="auto"/>
          <w:sz w:val="24"/>
          <w:highlight w:val="none"/>
          <w:lang w:eastAsia="zh-CN"/>
        </w:rPr>
        <w:t>投标人资质证书及项目负责人证书复印件加盖公章</w:t>
      </w:r>
      <w:r>
        <w:rPr>
          <w:rFonts w:hint="eastAsia" w:ascii="宋体" w:hAnsi="宋体" w:eastAsia="宋体" w:cs="宋体"/>
          <w:bCs/>
          <w:color w:val="auto"/>
          <w:sz w:val="24"/>
          <w:highlight w:val="none"/>
          <w:lang w:val="zh-CN"/>
        </w:rPr>
        <w:t>；</w:t>
      </w:r>
    </w:p>
    <w:p w14:paraId="3255B0FB">
      <w:pPr>
        <w:tabs>
          <w:tab w:val="left" w:pos="1440"/>
        </w:tabs>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zh-CN"/>
        </w:rPr>
        <w:t>法定代表人授权委托书</w:t>
      </w:r>
      <w:r>
        <w:rPr>
          <w:rFonts w:hint="eastAsia" w:ascii="宋体" w:hAnsi="宋体" w:cs="宋体"/>
          <w:bCs/>
          <w:color w:val="auto"/>
          <w:sz w:val="24"/>
          <w:highlight w:val="none"/>
          <w:lang w:val="zh-CN"/>
        </w:rPr>
        <w:t>及投标前廉政诚信承诺书</w:t>
      </w:r>
      <w:r>
        <w:rPr>
          <w:rFonts w:hint="eastAsia" w:ascii="宋体" w:hAnsi="宋体" w:eastAsia="宋体" w:cs="宋体"/>
          <w:bCs/>
          <w:color w:val="auto"/>
          <w:sz w:val="24"/>
          <w:highlight w:val="none"/>
          <w:lang w:val="zh-CN"/>
        </w:rPr>
        <w:t>（格式见附件）；</w:t>
      </w:r>
    </w:p>
    <w:p w14:paraId="634DB5FC">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4</w:t>
      </w:r>
      <w:r>
        <w:rPr>
          <w:rFonts w:hint="eastAsia" w:ascii="宋体" w:hAnsi="宋体" w:cs="宋体"/>
          <w:bCs/>
          <w:sz w:val="24"/>
          <w:lang w:val="zh-CN"/>
        </w:rPr>
        <w:t>）供应商的基本情况介绍；</w:t>
      </w:r>
    </w:p>
    <w:p w14:paraId="05F7A9F5">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5</w:t>
      </w:r>
      <w:r>
        <w:rPr>
          <w:rFonts w:hint="eastAsia" w:ascii="宋体" w:hAnsi="宋体" w:cs="宋体"/>
          <w:bCs/>
          <w:sz w:val="24"/>
          <w:lang w:val="zh-CN"/>
        </w:rPr>
        <w:t>）</w:t>
      </w:r>
      <w:r>
        <w:rPr>
          <w:rFonts w:hint="eastAsia" w:ascii="宋体" w:hAnsi="宋体" w:eastAsia="宋体" w:cs="宋体"/>
          <w:color w:val="auto"/>
          <w:sz w:val="24"/>
          <w:szCs w:val="24"/>
          <w:lang w:eastAsia="zh-CN"/>
        </w:rPr>
        <w:t>评标标准相应的商务技术资料</w:t>
      </w:r>
      <w:r>
        <w:rPr>
          <w:rFonts w:hint="eastAsia" w:ascii="宋体" w:hAnsi="宋体" w:cs="宋体"/>
          <w:bCs/>
          <w:sz w:val="24"/>
          <w:lang w:val="zh-CN"/>
        </w:rPr>
        <w:t>；</w:t>
      </w:r>
    </w:p>
    <w:p w14:paraId="4BCAF89C">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6</w:t>
      </w:r>
      <w:r>
        <w:rPr>
          <w:rFonts w:hint="eastAsia" w:ascii="宋体" w:hAnsi="宋体" w:cs="宋体"/>
          <w:bCs/>
          <w:sz w:val="24"/>
          <w:lang w:val="zh-CN"/>
        </w:rPr>
        <w:t>）供应商需要说明的其他文件和说明。</w:t>
      </w:r>
    </w:p>
    <w:p w14:paraId="21FB6CE0">
      <w:pPr>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2.报价文件：</w:t>
      </w:r>
    </w:p>
    <w:p w14:paraId="346F2767">
      <w:pPr>
        <w:spacing w:line="360" w:lineRule="auto"/>
        <w:ind w:firstLine="48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（1）投标函（格式见附件）</w:t>
      </w:r>
      <w:r>
        <w:rPr>
          <w:rFonts w:hint="eastAsia" w:ascii="宋体" w:hAnsi="宋体" w:eastAsia="宋体" w:cs="宋体"/>
          <w:color w:val="auto"/>
          <w:sz w:val="24"/>
          <w:highlight w:val="none"/>
          <w:lang w:val="zh-CN" w:eastAsia="zh-CN"/>
        </w:rPr>
        <w:t>；</w:t>
      </w:r>
    </w:p>
    <w:p w14:paraId="7A6AC9F1">
      <w:pPr>
        <w:spacing w:line="360" w:lineRule="auto"/>
        <w:ind w:firstLine="48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（2）开标一览表（格式见附件）</w:t>
      </w:r>
      <w:r>
        <w:rPr>
          <w:rFonts w:hint="eastAsia" w:ascii="宋体" w:hAnsi="宋体" w:eastAsia="宋体" w:cs="宋体"/>
          <w:color w:val="auto"/>
          <w:sz w:val="24"/>
          <w:highlight w:val="none"/>
          <w:lang w:val="zh-CN" w:eastAsia="zh-CN"/>
        </w:rPr>
        <w:t>；</w:t>
      </w:r>
    </w:p>
    <w:p w14:paraId="221F65ED">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（3）投标人需要说明的其他文件和说明（格式略）</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ab/>
      </w:r>
    </w:p>
    <w:p w14:paraId="37550698">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（二）投标文件的语言及计量</w:t>
      </w:r>
    </w:p>
    <w:p w14:paraId="18F5932A">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1.投标文件以及投标人与采购机构就有关投标事宜的所有来往函电，均应以中文汉语书写。除签名、盖章、专用名称等特殊情形外，以中文汉语以外的文字表述的投标文件视同未提供。</w:t>
      </w:r>
    </w:p>
    <w:p w14:paraId="1234B5D4">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2.投标计量单位，招标文件已有明确规定的，使用招标文件规定的计量单位；招标文件没有规定的，应采用中华人民共和国法定计量单位（货币单位：人民币元），否则视同未响应。</w:t>
      </w:r>
    </w:p>
    <w:p w14:paraId="792A8E8A">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（三）投标报价</w:t>
      </w:r>
    </w:p>
    <w:p w14:paraId="11ED7A35">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1.投标文件只允许有一个报价，有选择性的报价将不予接受；投标报价应按招标文件中相关附表格式填报，该投标报价应与明细报价汇总相等，且不允许出现报价优惠等字样（明细出现“0”元，视同赠送）。</w:t>
      </w:r>
    </w:p>
    <w:p w14:paraId="59797D30">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本次报价为招标文件和合同中要求完成的所有因完成本项目服务所产生的一切费用；投标报价为总价，此报价包括但不限于工作、生活、交通、通讯、设备（仪器）、人工、材料、差旅费、利润、税收以及服务成果全部验收完毕前可能产生的其他费用；本项目合同实施过程中的一切风险（包括安全和交通事故等），均由投标人考虑并承担。</w:t>
      </w:r>
    </w:p>
    <w:p w14:paraId="56016BED">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3.招标文件未列明，而供应商认为必需的费用也需列入报价。</w:t>
      </w:r>
    </w:p>
    <w:p w14:paraId="1B5B0D36">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4.投标单位综合考虑投标报价。</w:t>
      </w:r>
    </w:p>
    <w:p w14:paraId="1C0CC4F1">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5.本合同实施过程中，采购人对由投标人的失误造成的漏项，不允许再补列，也不承担任何经济责任。</w:t>
      </w:r>
    </w:p>
    <w:p w14:paraId="3CDA49EA">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6.投标期间发生的费用由投标人自行承担。</w:t>
      </w:r>
    </w:p>
    <w:p w14:paraId="407235E9">
      <w:pPr>
        <w:tabs>
          <w:tab w:val="left" w:pos="454"/>
          <w:tab w:val="left" w:pos="720"/>
        </w:tabs>
        <w:autoSpaceDE w:val="0"/>
        <w:autoSpaceDN w:val="0"/>
        <w:adjustRightInd w:val="0"/>
        <w:spacing w:line="360" w:lineRule="auto"/>
        <w:ind w:firstLine="354" w:firstLineChars="147"/>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（四）投标文件的有效期</w:t>
      </w:r>
    </w:p>
    <w:p w14:paraId="3ACE60E9">
      <w:pPr>
        <w:tabs>
          <w:tab w:val="left" w:pos="454"/>
          <w:tab w:val="left" w:pos="720"/>
        </w:tabs>
        <w:autoSpaceDE w:val="0"/>
        <w:autoSpaceDN w:val="0"/>
        <w:adjustRightInd w:val="0"/>
        <w:spacing w:line="360" w:lineRule="auto"/>
        <w:ind w:firstLine="480"/>
        <w:jc w:val="left"/>
        <w:rPr>
          <w:rFonts w:ascii="宋体" w:hAnsi="宋体"/>
          <w:color w:val="auto"/>
          <w:kern w:val="0"/>
          <w:sz w:val="24"/>
          <w:highlight w:val="none"/>
          <w:lang w:val="zh-CN"/>
        </w:rPr>
      </w:pPr>
      <w:r>
        <w:rPr>
          <w:rFonts w:ascii="宋体" w:hAnsi="宋体"/>
          <w:color w:val="auto"/>
          <w:kern w:val="0"/>
          <w:sz w:val="24"/>
          <w:highlight w:val="none"/>
          <w:lang w:val="zh-CN"/>
        </w:rPr>
        <w:t>1.</w:t>
      </w:r>
      <w:r>
        <w:rPr>
          <w:rFonts w:hint="eastAsia" w:ascii="宋体" w:hAnsi="宋体"/>
          <w:color w:val="auto"/>
          <w:kern w:val="0"/>
          <w:sz w:val="24"/>
          <w:highlight w:val="none"/>
          <w:lang w:val="zh-CN"/>
        </w:rPr>
        <w:t>自投标截止日起</w:t>
      </w:r>
      <w:r>
        <w:rPr>
          <w:rFonts w:hint="eastAsia" w:ascii="宋体" w:hAnsi="宋体"/>
          <w:color w:val="auto"/>
          <w:kern w:val="0"/>
          <w:sz w:val="24"/>
          <w:highlight w:val="none"/>
          <w:u w:val="single"/>
          <w:lang w:val="zh-CN"/>
        </w:rPr>
        <w:t>90</w:t>
      </w:r>
      <w:r>
        <w:rPr>
          <w:rFonts w:hint="eastAsia" w:ascii="宋体" w:hAnsi="宋体"/>
          <w:color w:val="auto"/>
          <w:kern w:val="0"/>
          <w:sz w:val="24"/>
          <w:highlight w:val="none"/>
          <w:lang w:val="zh-CN"/>
        </w:rPr>
        <w:t>天投标书应保持有效。有效期短于这个规定期限的投标将被拒绝。</w:t>
      </w:r>
    </w:p>
    <w:p w14:paraId="280DDD81">
      <w:pPr>
        <w:tabs>
          <w:tab w:val="left" w:pos="454"/>
          <w:tab w:val="left" w:pos="720"/>
        </w:tabs>
        <w:autoSpaceDE w:val="0"/>
        <w:autoSpaceDN w:val="0"/>
        <w:adjustRightInd w:val="0"/>
        <w:spacing w:line="360" w:lineRule="auto"/>
        <w:ind w:firstLine="480"/>
        <w:jc w:val="left"/>
        <w:rPr>
          <w:rFonts w:ascii="宋体" w:hAnsi="宋体"/>
          <w:color w:val="auto"/>
          <w:kern w:val="0"/>
          <w:sz w:val="24"/>
          <w:highlight w:val="none"/>
          <w:lang w:val="zh-CN"/>
        </w:rPr>
      </w:pPr>
      <w:r>
        <w:rPr>
          <w:rFonts w:ascii="宋体" w:hAnsi="宋体"/>
          <w:color w:val="auto"/>
          <w:kern w:val="0"/>
          <w:sz w:val="24"/>
          <w:highlight w:val="none"/>
          <w:lang w:val="zh-CN"/>
        </w:rPr>
        <w:t>2.</w:t>
      </w:r>
      <w:r>
        <w:rPr>
          <w:rFonts w:hint="eastAsia" w:ascii="宋体" w:hAnsi="宋体"/>
          <w:color w:val="auto"/>
          <w:kern w:val="0"/>
          <w:sz w:val="24"/>
          <w:highlight w:val="none"/>
          <w:lang w:val="zh-CN"/>
        </w:rPr>
        <w:t>在特殊情况下，采购机构可与投标人协商延长投标书的有效期，这种要求和答复均以书面形式进行。</w:t>
      </w:r>
    </w:p>
    <w:p w14:paraId="41EB2157">
      <w:pPr>
        <w:autoSpaceDE w:val="0"/>
        <w:autoSpaceDN w:val="0"/>
        <w:adjustRightInd w:val="0"/>
        <w:spacing w:line="360" w:lineRule="auto"/>
        <w:ind w:firstLine="480"/>
        <w:jc w:val="left"/>
        <w:rPr>
          <w:rFonts w:ascii="宋体" w:hAnsi="宋体"/>
          <w:b/>
          <w:color w:val="auto"/>
          <w:sz w:val="24"/>
          <w:highlight w:val="none"/>
          <w:lang w:val="zh-CN"/>
        </w:rPr>
      </w:pPr>
      <w:r>
        <w:rPr>
          <w:rFonts w:ascii="宋体" w:hAnsi="宋体"/>
          <w:color w:val="auto"/>
          <w:sz w:val="24"/>
          <w:highlight w:val="none"/>
          <w:lang w:val="zh-CN"/>
        </w:rPr>
        <w:t>3.</w:t>
      </w:r>
      <w:r>
        <w:rPr>
          <w:rFonts w:hint="eastAsia" w:ascii="宋体" w:hAnsi="宋体"/>
          <w:color w:val="auto"/>
          <w:sz w:val="24"/>
          <w:highlight w:val="none"/>
          <w:lang w:val="zh-CN"/>
        </w:rPr>
        <w:t>投标人可拒绝接受延期要求而不会导致投标保证金被没收。同意延长有效期的投标人需要相应延长投标保证金的有效期，但不能修改投标文件。</w:t>
      </w:r>
    </w:p>
    <w:p w14:paraId="0321AE19">
      <w:pPr>
        <w:autoSpaceDE w:val="0"/>
        <w:autoSpaceDN w:val="0"/>
        <w:adjustRightInd w:val="0"/>
        <w:spacing w:line="360" w:lineRule="auto"/>
        <w:ind w:firstLine="480"/>
        <w:jc w:val="left"/>
        <w:rPr>
          <w:rFonts w:ascii="宋体" w:hAnsi="宋体"/>
          <w:color w:val="auto"/>
          <w:sz w:val="24"/>
          <w:highlight w:val="none"/>
          <w:lang w:val="zh-CN"/>
        </w:rPr>
      </w:pPr>
      <w:r>
        <w:rPr>
          <w:rFonts w:ascii="宋体" w:hAnsi="宋体"/>
          <w:color w:val="auto"/>
          <w:sz w:val="24"/>
          <w:highlight w:val="none"/>
          <w:lang w:val="zh-CN"/>
        </w:rPr>
        <w:t>4.</w:t>
      </w:r>
      <w:r>
        <w:rPr>
          <w:rFonts w:hint="eastAsia" w:ascii="宋体" w:hAnsi="宋体"/>
          <w:color w:val="auto"/>
          <w:sz w:val="24"/>
          <w:highlight w:val="none"/>
          <w:lang w:val="zh-CN"/>
        </w:rPr>
        <w:t>中标人的投标文件自开标之日起至合同履行完毕止均应保持有效。</w:t>
      </w:r>
    </w:p>
    <w:p w14:paraId="0752C789">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（五）投标文件的签署和份数</w:t>
      </w:r>
    </w:p>
    <w:p w14:paraId="662A23AB">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.投标人应本招标文件规定的格式编制、装订投标文件，投标文件内容不完整、编排混乱导致投标文件被误读、漏读或者查找不到相关内容的，是投标人的责任。</w:t>
      </w:r>
    </w:p>
    <w:p w14:paraId="50495840">
      <w:pPr>
        <w:spacing w:line="400" w:lineRule="exact"/>
        <w:ind w:firstLine="240" w:firstLineChars="100"/>
        <w:rPr>
          <w:rFonts w:ascii="宋体"/>
          <w:b/>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w:t>
      </w:r>
      <w:r>
        <w:rPr>
          <w:rFonts w:hint="eastAsia" w:ascii="宋体" w:hAnsi="宋体"/>
          <w:bCs/>
          <w:color w:val="auto"/>
          <w:sz w:val="24"/>
          <w:highlight w:val="none"/>
        </w:rPr>
        <w:t>投标人应将</w:t>
      </w:r>
      <w:r>
        <w:rPr>
          <w:rFonts w:hint="eastAsia" w:ascii="宋体"/>
          <w:b/>
          <w:color w:val="auto"/>
          <w:sz w:val="24"/>
          <w:highlight w:val="none"/>
          <w:lang w:val="zh-CN" w:eastAsia="zh-CN"/>
        </w:rPr>
        <w:t>资信技术</w:t>
      </w:r>
      <w:r>
        <w:rPr>
          <w:rFonts w:hint="eastAsia" w:ascii="宋体"/>
          <w:b/>
          <w:color w:val="auto"/>
          <w:sz w:val="24"/>
          <w:highlight w:val="none"/>
          <w:lang w:val="zh-CN"/>
        </w:rPr>
        <w:t>文件</w:t>
      </w:r>
      <w:r>
        <w:rPr>
          <w:rFonts w:hint="eastAsia" w:ascii="宋体"/>
          <w:color w:val="auto"/>
          <w:sz w:val="24"/>
          <w:highlight w:val="none"/>
          <w:lang w:val="zh-CN"/>
        </w:rPr>
        <w:t>正本</w:t>
      </w:r>
      <w:r>
        <w:rPr>
          <w:rFonts w:hint="eastAsia" w:ascii="宋体"/>
          <w:color w:val="auto"/>
          <w:sz w:val="24"/>
          <w:highlight w:val="none"/>
          <w:u w:val="single"/>
          <w:lang w:val="zh-CN"/>
        </w:rPr>
        <w:t>1</w:t>
      </w:r>
      <w:r>
        <w:rPr>
          <w:rFonts w:hint="eastAsia" w:ascii="宋体"/>
          <w:color w:val="auto"/>
          <w:sz w:val="24"/>
          <w:highlight w:val="none"/>
          <w:lang w:val="zh-CN"/>
        </w:rPr>
        <w:t>份，副本</w:t>
      </w:r>
      <w:r>
        <w:rPr>
          <w:rFonts w:hint="eastAsia" w:ascii="宋体"/>
          <w:color w:val="auto"/>
          <w:sz w:val="24"/>
          <w:highlight w:val="none"/>
          <w:lang w:val="en-US" w:eastAsia="zh-CN"/>
        </w:rPr>
        <w:t>2</w:t>
      </w:r>
      <w:r>
        <w:rPr>
          <w:rFonts w:hint="eastAsia" w:ascii="宋体"/>
          <w:color w:val="auto"/>
          <w:sz w:val="24"/>
          <w:highlight w:val="none"/>
          <w:lang w:val="zh-CN"/>
        </w:rPr>
        <w:t>份；</w:t>
      </w:r>
      <w:r>
        <w:rPr>
          <w:rFonts w:hint="eastAsia" w:ascii="宋体"/>
          <w:b/>
          <w:bCs/>
          <w:color w:val="auto"/>
          <w:sz w:val="24"/>
          <w:highlight w:val="none"/>
          <w:lang w:val="zh-CN"/>
        </w:rPr>
        <w:t>报价文件</w:t>
      </w:r>
      <w:r>
        <w:rPr>
          <w:rFonts w:hint="eastAsia" w:ascii="宋体"/>
          <w:color w:val="auto"/>
          <w:sz w:val="24"/>
          <w:highlight w:val="none"/>
          <w:lang w:val="zh-CN"/>
        </w:rPr>
        <w:t>正本</w:t>
      </w:r>
      <w:r>
        <w:rPr>
          <w:rFonts w:hint="eastAsia" w:ascii="宋体"/>
          <w:color w:val="auto"/>
          <w:sz w:val="24"/>
          <w:highlight w:val="none"/>
          <w:u w:val="single"/>
          <w:lang w:val="zh-CN"/>
        </w:rPr>
        <w:t>1</w:t>
      </w:r>
      <w:r>
        <w:rPr>
          <w:rFonts w:hint="eastAsia" w:ascii="宋体"/>
          <w:color w:val="auto"/>
          <w:sz w:val="24"/>
          <w:highlight w:val="none"/>
          <w:lang w:val="zh-CN"/>
        </w:rPr>
        <w:t>份，副本</w:t>
      </w:r>
      <w:r>
        <w:rPr>
          <w:rFonts w:hint="eastAsia" w:ascii="宋体"/>
          <w:color w:val="auto"/>
          <w:sz w:val="24"/>
          <w:highlight w:val="none"/>
          <w:lang w:val="en-US" w:eastAsia="zh-CN"/>
        </w:rPr>
        <w:t>2</w:t>
      </w:r>
      <w:r>
        <w:rPr>
          <w:rFonts w:hint="eastAsia" w:ascii="宋体"/>
          <w:color w:val="auto"/>
          <w:sz w:val="24"/>
          <w:highlight w:val="none"/>
          <w:lang w:val="zh-CN"/>
        </w:rPr>
        <w:t>份分别编制并单独装订成册，投标文件的封面应注明</w:t>
      </w:r>
      <w:r>
        <w:rPr>
          <w:rFonts w:ascii="宋体"/>
          <w:color w:val="auto"/>
          <w:sz w:val="24"/>
          <w:highlight w:val="none"/>
          <w:lang w:val="zh-CN"/>
        </w:rPr>
        <w:t>“</w:t>
      </w:r>
      <w:r>
        <w:rPr>
          <w:rFonts w:hint="eastAsia" w:ascii="宋体"/>
          <w:color w:val="auto"/>
          <w:sz w:val="24"/>
          <w:highlight w:val="none"/>
          <w:lang w:val="zh-CN"/>
        </w:rPr>
        <w:t>正本</w:t>
      </w:r>
      <w:r>
        <w:rPr>
          <w:rFonts w:ascii="宋体"/>
          <w:color w:val="auto"/>
          <w:sz w:val="24"/>
          <w:highlight w:val="none"/>
          <w:lang w:val="zh-CN"/>
        </w:rPr>
        <w:t>”</w:t>
      </w:r>
      <w:r>
        <w:rPr>
          <w:rFonts w:hint="eastAsia" w:ascii="宋体"/>
          <w:color w:val="auto"/>
          <w:sz w:val="24"/>
          <w:highlight w:val="none"/>
          <w:lang w:val="zh-CN"/>
        </w:rPr>
        <w:t>、</w:t>
      </w:r>
      <w:r>
        <w:rPr>
          <w:rFonts w:ascii="宋体"/>
          <w:color w:val="auto"/>
          <w:sz w:val="24"/>
          <w:highlight w:val="none"/>
          <w:lang w:val="zh-CN"/>
        </w:rPr>
        <w:t>“</w:t>
      </w:r>
      <w:r>
        <w:rPr>
          <w:rFonts w:hint="eastAsia" w:ascii="宋体"/>
          <w:color w:val="auto"/>
          <w:sz w:val="24"/>
          <w:highlight w:val="none"/>
          <w:lang w:val="zh-CN"/>
        </w:rPr>
        <w:t>副本</w:t>
      </w:r>
      <w:r>
        <w:rPr>
          <w:rFonts w:ascii="宋体"/>
          <w:color w:val="auto"/>
          <w:sz w:val="24"/>
          <w:highlight w:val="none"/>
          <w:lang w:val="zh-CN"/>
        </w:rPr>
        <w:t>”</w:t>
      </w:r>
      <w:r>
        <w:rPr>
          <w:rFonts w:hint="eastAsia" w:ascii="宋体"/>
          <w:color w:val="auto"/>
          <w:sz w:val="24"/>
          <w:highlight w:val="none"/>
          <w:lang w:val="zh-CN"/>
        </w:rPr>
        <w:t>字样。</w:t>
      </w:r>
      <w:r>
        <w:rPr>
          <w:rFonts w:hint="eastAsia" w:ascii="宋体"/>
          <w:b/>
          <w:color w:val="auto"/>
          <w:sz w:val="24"/>
          <w:highlight w:val="none"/>
          <w:lang w:val="zh-CN"/>
        </w:rPr>
        <w:t xml:space="preserve">推荐使用胶装订本。 </w:t>
      </w:r>
    </w:p>
    <w:p w14:paraId="238DD1F2">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投标文件的正本需打印或用不褪色的墨水填写。正本与副本内容不一致的，以正本为准。</w:t>
      </w:r>
    </w:p>
    <w:p w14:paraId="7887ABC4">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投标文件须由投标人在规定位置盖公章并由法定代表人或法定代表授权人签署，投标人应写全称。</w:t>
      </w:r>
    </w:p>
    <w:p w14:paraId="1613963C">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投标文件不得涂改，若有修改错漏处，须加盖单位公章或者法定代表人或授权委托人签字或盖章。投标文件因字迹潦草或表达不清所引起的后果由投标人负责。</w:t>
      </w:r>
    </w:p>
    <w:p w14:paraId="5B280A90">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（七）投标文件的包装、递交、修改和撤回</w:t>
      </w:r>
    </w:p>
    <w:p w14:paraId="1C20BD39">
      <w:pPr>
        <w:pStyle w:val="10"/>
        <w:snapToGrid w:val="0"/>
        <w:spacing w:line="396" w:lineRule="auto"/>
        <w:ind w:firstLine="434" w:firstLineChars="181"/>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投标人应按资信技术</w:t>
      </w:r>
      <w:r>
        <w:rPr>
          <w:rFonts w:hint="eastAsia" w:ascii="宋体"/>
          <w:b/>
          <w:color w:val="auto"/>
          <w:sz w:val="24"/>
          <w:highlight w:val="none"/>
          <w:lang w:val="zh-CN"/>
        </w:rPr>
        <w:t>文件</w:t>
      </w:r>
      <w:r>
        <w:rPr>
          <w:rFonts w:hint="eastAsia" w:ascii="宋体" w:hAnsi="宋体"/>
          <w:b/>
          <w:color w:val="auto"/>
          <w:sz w:val="24"/>
          <w:highlight w:val="none"/>
        </w:rPr>
        <w:t>、报价文件两部分分别密封封装</w:t>
      </w:r>
      <w:r>
        <w:rPr>
          <w:rFonts w:hint="eastAsia" w:ascii="宋体" w:hAnsi="宋体"/>
          <w:color w:val="auto"/>
          <w:sz w:val="24"/>
          <w:highlight w:val="none"/>
        </w:rPr>
        <w:t>投标文件， [参照《</w:t>
      </w:r>
      <w:r>
        <w:rPr>
          <w:rFonts w:ascii="宋体" w:hAnsi="宋体"/>
          <w:b/>
          <w:color w:val="auto"/>
          <w:sz w:val="24"/>
          <w:highlight w:val="none"/>
        </w:rPr>
        <w:t>投标文件</w:t>
      </w:r>
      <w:r>
        <w:rPr>
          <w:rFonts w:hint="eastAsia" w:ascii="宋体" w:hAnsi="宋体"/>
          <w:b/>
          <w:color w:val="auto"/>
          <w:sz w:val="24"/>
          <w:highlight w:val="none"/>
        </w:rPr>
        <w:t>外层包装</w:t>
      </w:r>
      <w:r>
        <w:rPr>
          <w:rFonts w:ascii="宋体" w:hAnsi="宋体"/>
          <w:b/>
          <w:color w:val="auto"/>
          <w:sz w:val="24"/>
          <w:highlight w:val="none"/>
        </w:rPr>
        <w:t>封面格式</w:t>
      </w:r>
      <w:r>
        <w:rPr>
          <w:rFonts w:hint="eastAsia" w:ascii="宋体" w:hAnsi="宋体"/>
          <w:b/>
          <w:color w:val="auto"/>
          <w:sz w:val="24"/>
          <w:highlight w:val="none"/>
        </w:rPr>
        <w:t>》</w:t>
      </w:r>
      <w:r>
        <w:rPr>
          <w:rFonts w:hint="eastAsia" w:ascii="宋体" w:hAnsi="宋体"/>
          <w:color w:val="auto"/>
          <w:sz w:val="24"/>
          <w:highlight w:val="none"/>
        </w:rPr>
        <w:t>（见附件）的要求]在包装封面上注明投标人名称、</w:t>
      </w:r>
      <w:r>
        <w:rPr>
          <w:rFonts w:ascii="宋体" w:hAnsi="宋体"/>
          <w:color w:val="auto"/>
          <w:sz w:val="24"/>
          <w:highlight w:val="none"/>
        </w:rPr>
        <w:t>投标人地址</w:t>
      </w:r>
      <w:r>
        <w:rPr>
          <w:rFonts w:hint="eastAsia" w:ascii="宋体" w:hAnsi="宋体"/>
          <w:color w:val="auto"/>
          <w:sz w:val="24"/>
          <w:highlight w:val="none"/>
        </w:rPr>
        <w:t>、投标文件名称（资信技术文件、报价文件等）、投标项目名称、项目编号等内容，并加盖投标人公章。</w:t>
      </w:r>
    </w:p>
    <w:p w14:paraId="67E8E59F">
      <w:pPr>
        <w:pStyle w:val="10"/>
        <w:snapToGrid w:val="0"/>
        <w:spacing w:line="396" w:lineRule="auto"/>
        <w:ind w:firstLine="434" w:firstLineChars="181"/>
        <w:rPr>
          <w:rFonts w:ascii="宋体" w:hAnsi="宋体"/>
          <w:bCs/>
          <w:color w:val="auto"/>
          <w:sz w:val="24"/>
          <w:highlight w:val="none"/>
        </w:rPr>
      </w:pPr>
      <w:r>
        <w:rPr>
          <w:rFonts w:hint="eastAsia" w:ascii="宋体" w:hAnsi="宋体"/>
          <w:color w:val="auto"/>
          <w:sz w:val="24"/>
          <w:highlight w:val="none"/>
        </w:rPr>
        <w:t>2.</w:t>
      </w:r>
      <w:r>
        <w:rPr>
          <w:rFonts w:hint="eastAsia" w:ascii="宋体" w:hAnsi="宋体"/>
          <w:bCs/>
          <w:color w:val="auto"/>
          <w:sz w:val="24"/>
          <w:highlight w:val="none"/>
        </w:rPr>
        <w:t>未按规定密封或标记的投标文件将有可能被拒绝，未按规定标记造成投标文件被误投或提前拆封的风险由投标人承担。</w:t>
      </w:r>
    </w:p>
    <w:p w14:paraId="264ED117">
      <w:pPr>
        <w:pStyle w:val="10"/>
        <w:snapToGrid w:val="0"/>
        <w:spacing w:line="396" w:lineRule="auto"/>
        <w:ind w:firstLine="434" w:firstLineChars="181"/>
        <w:rPr>
          <w:rFonts w:ascii="宋体" w:hAnsi="宋体"/>
          <w:bCs/>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14:paraId="2A82B624">
      <w:pPr>
        <w:pStyle w:val="10"/>
        <w:tabs>
          <w:tab w:val="left" w:pos="1365"/>
          <w:tab w:val="left" w:pos="3375"/>
        </w:tabs>
        <w:spacing w:line="360" w:lineRule="auto"/>
        <w:ind w:firstLine="482"/>
        <w:rPr>
          <w:rFonts w:ascii="宋体" w:hAnsi="宋体"/>
          <w:snapToGrid w:val="0"/>
          <w:color w:val="auto"/>
          <w:sz w:val="24"/>
          <w:highlight w:val="none"/>
        </w:rPr>
      </w:pPr>
      <w:r>
        <w:rPr>
          <w:rFonts w:hint="eastAsia" w:ascii="宋体" w:hAnsi="宋体"/>
          <w:b/>
          <w:color w:val="auto"/>
          <w:sz w:val="24"/>
          <w:highlight w:val="none"/>
          <w:lang w:val="zh-CN"/>
        </w:rPr>
        <w:t>（八）投标无效的情形</w:t>
      </w:r>
    </w:p>
    <w:p w14:paraId="48DA5372">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A785575">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val="zh-CN"/>
        </w:rPr>
        <w:t>在符合性审查时，如发现下列情形之一的，投标文件将被视为无效投标：</w:t>
      </w:r>
    </w:p>
    <w:p w14:paraId="7A6242DA">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（1）投标有效期不足的；</w:t>
      </w:r>
    </w:p>
    <w:p w14:paraId="6A0B6846">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（2）投标人被列入失信被执行人、重大税收违法案件当事人名单、采购严重违法失信行为记录名单的；</w:t>
      </w:r>
    </w:p>
    <w:p w14:paraId="4BA1A174">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（3）投标文件未按招标文件要求签署、盖章的；</w:t>
      </w:r>
    </w:p>
    <w:p w14:paraId="1B325A5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（4）与招标文件有重大偏离、未满足带“★”号实质性指标的投标文件；</w:t>
      </w:r>
    </w:p>
    <w:p w14:paraId="272E82BA">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（5）对一个标项提供两个投标方案的；</w:t>
      </w:r>
    </w:p>
    <w:p w14:paraId="3521AE54">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（6）</w:t>
      </w:r>
      <w:r>
        <w:rPr>
          <w:rFonts w:hint="eastAsia" w:ascii="宋体" w:hAnsi="宋体" w:eastAsia="宋体" w:cs="Times New Roman"/>
          <w:color w:val="auto"/>
          <w:sz w:val="24"/>
          <w:highlight w:val="none"/>
          <w:lang w:val="zh-CN" w:eastAsia="zh-CN"/>
        </w:rPr>
        <w:t>资信</w:t>
      </w:r>
      <w:r>
        <w:rPr>
          <w:rFonts w:hint="eastAsia" w:ascii="宋体" w:hAnsi="宋体" w:eastAsia="宋体" w:cs="Times New Roman"/>
          <w:color w:val="auto"/>
          <w:sz w:val="24"/>
          <w:highlight w:val="none"/>
          <w:lang w:val="zh-CN"/>
        </w:rPr>
        <w:t>技术文件中出现投标价格信息的；</w:t>
      </w:r>
    </w:p>
    <w:p w14:paraId="5075BA05">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（7）投标人被视为串通投标的；</w:t>
      </w:r>
    </w:p>
    <w:p w14:paraId="145CF6FB">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（8）投标文件含有采购人不能接受的附加条件的；</w:t>
      </w:r>
    </w:p>
    <w:p w14:paraId="03C7106F">
      <w:pPr>
        <w:pStyle w:val="10"/>
        <w:snapToGrid w:val="0"/>
        <w:spacing w:line="396" w:lineRule="auto"/>
        <w:ind w:firstLine="434" w:firstLineChars="181"/>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w:t>
      </w: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lang w:val="zh-CN" w:eastAsia="zh-CN"/>
        </w:rPr>
        <w:t>）投标人及项目负责人资格不符合招标文件规定的；</w:t>
      </w:r>
    </w:p>
    <w:p w14:paraId="1F0FE68C">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lang w:val="en-US" w:eastAsia="zh-CN"/>
        </w:rPr>
        <w:t>10</w:t>
      </w:r>
      <w:r>
        <w:rPr>
          <w:rFonts w:hint="eastAsia" w:ascii="宋体" w:hAnsi="宋体" w:eastAsia="宋体" w:cs="Times New Roman"/>
          <w:color w:val="auto"/>
          <w:sz w:val="24"/>
          <w:highlight w:val="none"/>
          <w:lang w:val="zh-CN"/>
        </w:rPr>
        <w:t>）不符合法律、法规和本招标文件规定的其他实质性要求的。</w:t>
      </w:r>
    </w:p>
    <w:p w14:paraId="03572E6D">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2.在技术评议时，如发现下列情形之一的，投标文件将被视为无效投标：</w:t>
      </w:r>
    </w:p>
    <w:p w14:paraId="6F80FCDF">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（1）未提供或未如实提供投标货物的技术参数，或者投标文件标明的响应或偏离与事实不符或虚假投标的；</w:t>
      </w:r>
    </w:p>
    <w:p w14:paraId="37F66923">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（2）明显不符合招标文件要求的规格型号、质量标准，或者与招标文件中标“★”的技术指标、主要功能项目发生实质性偏离的；</w:t>
      </w:r>
    </w:p>
    <w:p w14:paraId="5A4383BD">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（3）与其他参加本次投标供应商的投标文件（技术文件）的文字表述内容相同连续20行以上或者差错相同2处以上的；</w:t>
      </w:r>
    </w:p>
    <w:p w14:paraId="74DCA218">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（4）投标技术方案不明确，存在一个或一个以上备选（替代）投标方案的；</w:t>
      </w:r>
    </w:p>
    <w:p w14:paraId="76C580AE">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3.在报价评议时，如发现下列情形之一的，投标文件将被视为无效投标：</w:t>
      </w:r>
    </w:p>
    <w:p w14:paraId="33D085EE">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（1）未采用人民币报价或者未按照招标文件标明的币种报价的；</w:t>
      </w:r>
    </w:p>
    <w:p w14:paraId="7D042E1F">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（2）投标报价超出招标文件规定的最高限价的；</w:t>
      </w:r>
    </w:p>
    <w:p w14:paraId="643BE923">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（3）开标一览表中的投标报价合计与投标报价明细表的总价不一致的，投标人拒绝修正的；</w:t>
      </w:r>
    </w:p>
    <w:p w14:paraId="4E931948">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（4）投标报价具有选择性，唱标价格与投标文件承诺的优惠/折扣后价格不一致的。</w:t>
      </w:r>
    </w:p>
    <w:p w14:paraId="655F7906">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4.符合招标文件明确规定的其他无效投标条款的。</w:t>
      </w:r>
    </w:p>
    <w:p w14:paraId="3C450EF8">
      <w:pPr>
        <w:autoSpaceDE w:val="0"/>
        <w:autoSpaceDN w:val="0"/>
        <w:adjustRightInd w:val="0"/>
        <w:spacing w:line="360" w:lineRule="auto"/>
        <w:ind w:firstLine="482"/>
        <w:rPr>
          <w:rFonts w:ascii="宋体" w:hAnsi="宋体"/>
          <w:b/>
          <w:color w:val="auto"/>
          <w:sz w:val="24"/>
          <w:highlight w:val="none"/>
          <w:lang w:val="zh-CN"/>
        </w:rPr>
      </w:pPr>
      <w:r>
        <w:rPr>
          <w:rFonts w:hint="eastAsia" w:ascii="宋体" w:hAnsi="宋体"/>
          <w:b/>
          <w:color w:val="auto"/>
          <w:sz w:val="24"/>
          <w:highlight w:val="none"/>
          <w:lang w:val="zh-CN"/>
        </w:rPr>
        <w:t>四、开标</w:t>
      </w:r>
    </w:p>
    <w:p w14:paraId="192CA329">
      <w:pPr>
        <w:autoSpaceDE w:val="0"/>
        <w:autoSpaceDN w:val="0"/>
        <w:adjustRightInd w:val="0"/>
        <w:spacing w:line="440" w:lineRule="exact"/>
        <w:ind w:firstLine="354"/>
        <w:rPr>
          <w:rFonts w:ascii="宋体" w:hAnsi="宋体"/>
          <w:b/>
          <w:color w:val="auto"/>
          <w:sz w:val="24"/>
          <w:highlight w:val="none"/>
        </w:rPr>
      </w:pPr>
      <w:r>
        <w:rPr>
          <w:rFonts w:hint="eastAsia" w:ascii="宋体" w:hAnsi="宋体"/>
          <w:b/>
          <w:color w:val="auto"/>
          <w:sz w:val="24"/>
          <w:highlight w:val="none"/>
          <w:lang w:val="zh-CN"/>
        </w:rPr>
        <w:t>（一）开标准备</w:t>
      </w:r>
    </w:p>
    <w:p w14:paraId="30207134">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采购机构将在规定的时间和地点进行开标，投标人的法定代表人或其委托代理人参加开标会并签到。</w:t>
      </w:r>
    </w:p>
    <w:p w14:paraId="6A4E9660">
      <w:pPr>
        <w:autoSpaceDE w:val="0"/>
        <w:autoSpaceDN w:val="0"/>
        <w:adjustRightInd w:val="0"/>
        <w:spacing w:line="440" w:lineRule="exact"/>
        <w:ind w:firstLine="354"/>
        <w:rPr>
          <w:rFonts w:ascii="宋体" w:hAnsi="宋体"/>
          <w:b/>
          <w:color w:val="auto"/>
          <w:sz w:val="24"/>
          <w:highlight w:val="none"/>
          <w:lang w:val="zh-CN"/>
        </w:rPr>
      </w:pPr>
      <w:r>
        <w:rPr>
          <w:rFonts w:hint="eastAsia" w:ascii="宋体" w:hAnsi="宋体"/>
          <w:b/>
          <w:color w:val="auto"/>
          <w:sz w:val="24"/>
          <w:highlight w:val="none"/>
          <w:lang w:val="zh-CN"/>
        </w:rPr>
        <w:t>（二） 开标程序</w:t>
      </w:r>
    </w:p>
    <w:p w14:paraId="0C2CADC3">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1.开标会由采购机构主持，主持人宣布开标会议开始；</w:t>
      </w:r>
    </w:p>
    <w:p w14:paraId="6DE5AC5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2.介绍参加开标会的人员名单；</w:t>
      </w:r>
    </w:p>
    <w:p w14:paraId="40FC95F5">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3.对投标人的法定代表人或委托代理人进行身份验证；</w:t>
      </w:r>
    </w:p>
    <w:p w14:paraId="1C5387DD">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4.打开资信技术文件外包装，清点正本、副本数量，符合招标文件要求的进行评审；不符合要求的，不予评审，并由投标人代表签字确认；</w:t>
      </w:r>
    </w:p>
    <w:p w14:paraId="0DE0831B">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5.资信技术文件评审结束后，由主持人公布评审结果；</w:t>
      </w:r>
    </w:p>
    <w:p w14:paraId="132AE108">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6.宣布有效投标人名单，宣读有效投标人的投标报价；</w:t>
      </w:r>
    </w:p>
    <w:p w14:paraId="395535C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7.宣布本项目的拟中标候选人；</w:t>
      </w:r>
    </w:p>
    <w:p w14:paraId="58FABDEE">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8.开标会议结束。</w:t>
      </w:r>
    </w:p>
    <w:p w14:paraId="11E2E2EE">
      <w:pPr>
        <w:autoSpaceDE w:val="0"/>
        <w:autoSpaceDN w:val="0"/>
        <w:adjustRightInd w:val="0"/>
        <w:spacing w:line="360" w:lineRule="auto"/>
        <w:ind w:firstLine="472" w:firstLineChars="196"/>
        <w:rPr>
          <w:rFonts w:ascii="宋体" w:hAnsi="宋体"/>
          <w:b/>
          <w:color w:val="auto"/>
          <w:sz w:val="24"/>
          <w:highlight w:val="none"/>
          <w:lang w:val="zh-CN"/>
        </w:rPr>
      </w:pPr>
      <w:r>
        <w:rPr>
          <w:rFonts w:hint="eastAsia" w:ascii="宋体" w:hAnsi="宋体"/>
          <w:b/>
          <w:color w:val="auto"/>
          <w:sz w:val="24"/>
          <w:highlight w:val="none"/>
          <w:lang w:val="zh-CN"/>
        </w:rPr>
        <w:t>五、评标</w:t>
      </w:r>
    </w:p>
    <w:bookmarkEnd w:id="2"/>
    <w:p w14:paraId="51CC7428">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（一）组建评标委员会</w:t>
      </w:r>
    </w:p>
    <w:p w14:paraId="4CFE5984">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采购机构依法组建由</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val="zh-CN"/>
        </w:rPr>
        <w:t>人及以上（含）奇数的人员组成的评标委员会，负责对投标文件进行审查、质询、评审和比较等。评标委员会由采购人代表和采购评审专家组成，其中采购咨询专家人数不少于成员总数的三分之二。</w:t>
      </w:r>
    </w:p>
    <w:p w14:paraId="660DF963">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（二）评标的方式</w:t>
      </w:r>
    </w:p>
    <w:p w14:paraId="5AC9FD9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本项目采用不公开方式评标，评标的依据为招标文件和投标文件。</w:t>
      </w:r>
    </w:p>
    <w:p w14:paraId="2B0FEB7E">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（三）评标程序</w:t>
      </w:r>
    </w:p>
    <w:p w14:paraId="3790D2A4">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1.资格审查</w:t>
      </w:r>
    </w:p>
    <w:p w14:paraId="5DA0BE18">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采购人或采购代理机构依据法律法规和招标文件的规定，对投标人的基本资格条件、特定资格条件进行审查。投标人未按照招标文件要求提供与基本资格条件、特定资格条件相应的有效资格证明材料的或资格证明文件不全的，视为投标人不具备招标文件中规定的资格要求，其投标无效。</w:t>
      </w:r>
    </w:p>
    <w:p w14:paraId="04681A86">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评标委员会对投标人的投标文件的完整性、合法性等进行审查。</w:t>
      </w:r>
    </w:p>
    <w:p w14:paraId="4D0BF84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2.实质审查与比较</w:t>
      </w:r>
    </w:p>
    <w:p w14:paraId="21ED7435">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（1）评标委员会审查投标文件的实质性内容是否符合招标文件的实质性要求。</w:t>
      </w:r>
    </w:p>
    <w:p w14:paraId="0CE3F7A8">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（2）评标委员会将根据投标人的投标文件进行审查、核对,如有疑问,将对投标人进行询标,投标人要向评标委员会澄清有关问题,并最终以书面形式进行答复。</w:t>
      </w:r>
    </w:p>
    <w:p w14:paraId="025A191F">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（3）各投标人的资信技术分按照评标委员会成员的独立评分结果汇总数后的算术平均分计算。</w:t>
      </w:r>
    </w:p>
    <w:p w14:paraId="59769D73">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（4）评标委员会根据投标人的商务报价,计算各投标人的价格分。</w:t>
      </w:r>
    </w:p>
    <w:p w14:paraId="47FA009D">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（5）评标委员会完成评标后,评委对各部分得分汇总,得出本项目最终得分,评标委员会按评标原则推荐中标候选人同时起草评标报告。</w:t>
      </w:r>
    </w:p>
    <w:p w14:paraId="0400A5CA">
      <w:pPr>
        <w:autoSpaceDE w:val="0"/>
        <w:autoSpaceDN w:val="0"/>
        <w:adjustRightInd w:val="0"/>
        <w:spacing w:line="360" w:lineRule="auto"/>
        <w:ind w:firstLine="360"/>
        <w:rPr>
          <w:rFonts w:ascii="宋体"/>
          <w:b/>
          <w:color w:val="auto"/>
          <w:sz w:val="24"/>
          <w:highlight w:val="none"/>
          <w:lang w:val="zh-CN"/>
        </w:rPr>
      </w:pPr>
      <w:r>
        <w:rPr>
          <w:rFonts w:hint="eastAsia" w:ascii="宋体"/>
          <w:color w:val="auto"/>
          <w:sz w:val="24"/>
          <w:highlight w:val="none"/>
          <w:lang w:val="zh-CN"/>
        </w:rPr>
        <w:t>（四）</w:t>
      </w:r>
      <w:r>
        <w:rPr>
          <w:rFonts w:hint="eastAsia" w:ascii="宋体"/>
          <w:b/>
          <w:color w:val="auto"/>
          <w:sz w:val="24"/>
          <w:highlight w:val="none"/>
          <w:lang w:val="zh-CN"/>
        </w:rPr>
        <w:t>澄清问题的形式</w:t>
      </w:r>
    </w:p>
    <w:p w14:paraId="33B44F4F">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其委托代理人签字或盖章确认，并不得超出投标文件的范围或者改变投标文件的实质性内容。</w:t>
      </w:r>
    </w:p>
    <w:p w14:paraId="48AB9B77">
      <w:pPr>
        <w:autoSpaceDE w:val="0"/>
        <w:autoSpaceDN w:val="0"/>
        <w:adjustRightInd w:val="0"/>
        <w:spacing w:line="360" w:lineRule="auto"/>
        <w:ind w:firstLine="480"/>
        <w:rPr>
          <w:rFonts w:ascii="宋体"/>
          <w:b/>
          <w:color w:val="auto"/>
          <w:sz w:val="24"/>
          <w:highlight w:val="none"/>
          <w:lang w:val="zh-CN"/>
        </w:rPr>
      </w:pPr>
      <w:r>
        <w:rPr>
          <w:rFonts w:hint="eastAsia" w:ascii="宋体"/>
          <w:color w:val="auto"/>
          <w:sz w:val="24"/>
          <w:highlight w:val="none"/>
          <w:lang w:val="zh-CN"/>
        </w:rPr>
        <w:t>（五）</w:t>
      </w:r>
      <w:r>
        <w:rPr>
          <w:rFonts w:hint="eastAsia" w:ascii="宋体"/>
          <w:b/>
          <w:color w:val="auto"/>
          <w:sz w:val="24"/>
          <w:highlight w:val="none"/>
          <w:lang w:val="zh-CN"/>
        </w:rPr>
        <w:t>错误修正</w:t>
      </w:r>
    </w:p>
    <w:p w14:paraId="0192F79F">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投标文件如果出现计算或表达上的错误，修正错误的原则如下：</w:t>
      </w:r>
    </w:p>
    <w:p w14:paraId="7C514A58">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1.投标文件中开标一览表（报价表）内容与投标文件中相应内容不一致的，以开标一览表（报价表）为准；</w:t>
      </w:r>
    </w:p>
    <w:p w14:paraId="1890148B">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2.大写金额和小写金额不一致的，以大写金额为准；</w:t>
      </w:r>
    </w:p>
    <w:p w14:paraId="3A6562D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 xml:space="preserve">3.单价金额小数点或者百分比有明显错位的，以开标一览表的总价为准，并修改单价； </w:t>
      </w:r>
    </w:p>
    <w:p w14:paraId="6525B365">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4.总价金额与按单价汇总金额不一致的，以单价金额计算结果为准。</w:t>
      </w:r>
    </w:p>
    <w:p w14:paraId="3A37B3DA">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同时出现两种以上不一致的，按照前款规定的顺序修正。修正后的报价《政府采购货物和服务招标投标管理办法》规定经投标人确认后产生约束力，投标人不确认的，其投标无效。</w:t>
      </w:r>
    </w:p>
    <w:p w14:paraId="390193C9">
      <w:pPr>
        <w:tabs>
          <w:tab w:val="left" w:pos="630"/>
        </w:tabs>
        <w:autoSpaceDE w:val="0"/>
        <w:autoSpaceDN w:val="0"/>
        <w:adjustRightInd w:val="0"/>
        <w:spacing w:line="360" w:lineRule="auto"/>
        <w:ind w:firstLine="318"/>
        <w:rPr>
          <w:rFonts w:ascii="宋体"/>
          <w:b/>
          <w:color w:val="auto"/>
          <w:sz w:val="24"/>
          <w:highlight w:val="none"/>
          <w:lang w:val="zh-CN"/>
        </w:rPr>
      </w:pPr>
      <w:r>
        <w:rPr>
          <w:rFonts w:hint="eastAsia" w:ascii="宋体"/>
          <w:b/>
          <w:color w:val="auto"/>
          <w:sz w:val="24"/>
          <w:highlight w:val="none"/>
          <w:lang w:val="zh-CN"/>
        </w:rPr>
        <w:t>（六）评标原则和评标办法</w:t>
      </w:r>
    </w:p>
    <w:p w14:paraId="515B3CF6">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4CD8F2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2.评标办法。根据采购项目的实际情况采用综合评分法。本项目的具体评标办法详见《第四章：评标办法及评分标准》。</w:t>
      </w:r>
    </w:p>
    <w:p w14:paraId="622BD2D1">
      <w:pPr>
        <w:pStyle w:val="14"/>
        <w:keepNext w:val="0"/>
        <w:keepLines w:val="0"/>
        <w:pageBreakBefore w:val="0"/>
        <w:widowControl w:val="0"/>
        <w:kinsoku/>
        <w:wordWrap/>
        <w:overflowPunct/>
        <w:topLinePunct w:val="0"/>
        <w:bidi w:val="0"/>
        <w:snapToGrid w:val="0"/>
        <w:spacing w:line="360" w:lineRule="exact"/>
        <w:ind w:firstLine="482" w:firstLineChars="200"/>
        <w:textAlignment w:val="auto"/>
        <w:rPr>
          <w:rFonts w:hAnsi="宋体"/>
          <w:b/>
          <w:color w:val="auto"/>
          <w:sz w:val="24"/>
          <w:szCs w:val="24"/>
          <w:highlight w:val="none"/>
        </w:rPr>
      </w:pPr>
      <w:bookmarkStart w:id="28" w:name="_Toc177870555"/>
      <w:r>
        <w:rPr>
          <w:rFonts w:hint="eastAsia" w:hAnsi="宋体"/>
          <w:b/>
          <w:color w:val="auto"/>
          <w:sz w:val="24"/>
          <w:szCs w:val="24"/>
          <w:highlight w:val="none"/>
        </w:rPr>
        <w:t>六、</w:t>
      </w:r>
      <w:bookmarkEnd w:id="28"/>
      <w:r>
        <w:rPr>
          <w:rFonts w:hint="eastAsia" w:hAnsi="宋体"/>
          <w:b/>
          <w:color w:val="auto"/>
          <w:sz w:val="24"/>
          <w:szCs w:val="24"/>
          <w:highlight w:val="none"/>
        </w:rPr>
        <w:t>确定中标人</w:t>
      </w:r>
    </w:p>
    <w:p w14:paraId="3AC1BEB8">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1.中标公告：采购机构在评标结束后将采购结果确认函交采购人确认，采购结果经采购人确认后，在发布招标公告的网站上进行1个工作日的中标公告。</w:t>
      </w:r>
    </w:p>
    <w:p w14:paraId="22C28B95">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val="zh-CN"/>
        </w:rPr>
        <w:t>.采购代理机构、在评标结束后2个工作日内将评标报告送采购人。采购人应当自收到评标报告之日起</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zh-CN"/>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中标公告期限为1个工作日</w:t>
      </w:r>
    </w:p>
    <w:p w14:paraId="0970D5FF">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val="zh-CN"/>
        </w:rPr>
        <w:t>.在公告中标结果的同时，采购人或者采购代理机构将向中标人发出中标通知书。中标通知书发出后，采购人不得违法改变中标结果，中标人无正当理由不得放弃中标。</w:t>
      </w:r>
    </w:p>
    <w:p w14:paraId="71E0E7FC">
      <w:pPr>
        <w:keepNext w:val="0"/>
        <w:keepLines w:val="0"/>
        <w:pageBreakBefore w:val="0"/>
        <w:widowControl w:val="0"/>
        <w:kinsoku/>
        <w:wordWrap/>
        <w:overflowPunct/>
        <w:topLinePunct w:val="0"/>
        <w:autoSpaceDE w:val="0"/>
        <w:autoSpaceDN w:val="0"/>
        <w:bidi w:val="0"/>
        <w:adjustRightInd w:val="0"/>
        <w:spacing w:line="360" w:lineRule="exact"/>
        <w:ind w:firstLine="436"/>
        <w:textAlignment w:val="auto"/>
        <w:rPr>
          <w:rFonts w:ascii="宋体"/>
          <w:b/>
          <w:color w:val="auto"/>
          <w:sz w:val="24"/>
          <w:highlight w:val="none"/>
          <w:lang w:val="zh-CN"/>
        </w:rPr>
      </w:pPr>
      <w:r>
        <w:rPr>
          <w:rFonts w:hint="eastAsia" w:ascii="宋体"/>
          <w:b/>
          <w:color w:val="auto"/>
          <w:sz w:val="24"/>
          <w:highlight w:val="none"/>
          <w:lang w:val="zh-CN"/>
        </w:rPr>
        <w:t>七、合同授予</w:t>
      </w:r>
    </w:p>
    <w:p w14:paraId="62444797">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lang w:val="zh-CN"/>
        </w:rPr>
        <w:t>日内与采购人签订合同。</w:t>
      </w:r>
    </w:p>
    <w:p w14:paraId="5FDFDAC0">
      <w:pPr>
        <w:pStyle w:val="10"/>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2.中标人拖延、拒签合同的,将按照相关规定处理并取消中标资格。</w:t>
      </w:r>
    </w:p>
    <w:p w14:paraId="3A64CD2D">
      <w:pPr>
        <w:autoSpaceDE w:val="0"/>
        <w:autoSpaceDN w:val="0"/>
        <w:adjustRightInd w:val="0"/>
        <w:spacing w:line="360" w:lineRule="auto"/>
        <w:ind w:firstLine="480"/>
        <w:jc w:val="left"/>
        <w:rPr>
          <w:rFonts w:hint="eastAsia" w:ascii="宋体" w:hAnsi="宋体"/>
          <w:bCs/>
          <w:sz w:val="24"/>
          <w:lang w:val="en-US" w:eastAsia="zh-CN"/>
        </w:rPr>
      </w:pPr>
      <w:r>
        <w:rPr>
          <w:rFonts w:hint="eastAsia" w:ascii="宋体" w:hAnsi="宋体" w:cs="Times New Roman"/>
          <w:color w:val="auto"/>
          <w:sz w:val="24"/>
          <w:highlight w:val="none"/>
          <w:lang w:val="en-US" w:eastAsia="zh-CN"/>
        </w:rPr>
        <w:t>3.代理服务费：</w:t>
      </w:r>
      <w:r>
        <w:rPr>
          <w:rFonts w:hint="eastAsia" w:ascii="宋体" w:hAnsi="宋体"/>
          <w:bCs/>
          <w:sz w:val="24"/>
          <w:lang w:val="en-US" w:eastAsia="zh-CN"/>
        </w:rPr>
        <w:t>1、本次采购的代理服务费按浙价服【2003】77号文收取；</w:t>
      </w:r>
    </w:p>
    <w:p w14:paraId="406F8670">
      <w:pPr>
        <w:tabs>
          <w:tab w:val="left" w:pos="454"/>
          <w:tab w:val="left" w:pos="720"/>
        </w:tabs>
        <w:autoSpaceDE w:val="0"/>
        <w:autoSpaceDN w:val="0"/>
        <w:adjustRightInd w:val="0"/>
        <w:spacing w:line="360" w:lineRule="auto"/>
        <w:ind w:firstLine="480"/>
        <w:jc w:val="left"/>
        <w:rPr>
          <w:rFonts w:hint="eastAsia" w:ascii="宋体" w:hAnsi="宋体" w:eastAsia="宋体" w:cs="宋体"/>
          <w:b w:val="0"/>
          <w:bCs/>
          <w:color w:val="auto"/>
          <w:sz w:val="24"/>
        </w:rPr>
      </w:pPr>
      <w:r>
        <w:rPr>
          <w:rFonts w:hint="eastAsia" w:ascii="宋体" w:hAnsi="宋体" w:cs="宋体"/>
          <w:b w:val="0"/>
          <w:bCs/>
          <w:color w:val="auto"/>
          <w:sz w:val="24"/>
          <w:lang w:val="en-US" w:eastAsia="zh-CN"/>
        </w:rPr>
        <w:t>4</w:t>
      </w:r>
      <w:r>
        <w:rPr>
          <w:rFonts w:hint="eastAsia" w:ascii="宋体" w:hAnsi="宋体" w:eastAsia="宋体" w:cs="宋体"/>
          <w:b w:val="0"/>
          <w:bCs/>
          <w:color w:val="auto"/>
          <w:sz w:val="24"/>
        </w:rPr>
        <w:t>、开标过程中产生的其他费用按实际支出收取；</w:t>
      </w:r>
    </w:p>
    <w:p w14:paraId="3BA59DE7">
      <w:pPr>
        <w:tabs>
          <w:tab w:val="left" w:pos="454"/>
          <w:tab w:val="left" w:pos="720"/>
        </w:tabs>
        <w:autoSpaceDE w:val="0"/>
        <w:autoSpaceDN w:val="0"/>
        <w:adjustRightInd w:val="0"/>
        <w:spacing w:line="360" w:lineRule="auto"/>
        <w:ind w:firstLine="480"/>
        <w:jc w:val="left"/>
        <w:rPr>
          <w:rFonts w:hint="eastAsia" w:hAnsi="宋体"/>
          <w:b/>
          <w:color w:val="auto"/>
          <w:sz w:val="32"/>
          <w:szCs w:val="32"/>
          <w:highlight w:val="none"/>
        </w:rPr>
      </w:pPr>
      <w:r>
        <w:rPr>
          <w:rFonts w:hint="eastAsia" w:ascii="宋体" w:hAnsi="宋体" w:cs="宋体"/>
          <w:b w:val="0"/>
          <w:bCs/>
          <w:color w:val="auto"/>
          <w:sz w:val="24"/>
          <w:lang w:val="en-US" w:eastAsia="zh-CN"/>
        </w:rPr>
        <w:t>5</w:t>
      </w:r>
      <w:r>
        <w:rPr>
          <w:rFonts w:hint="eastAsia" w:ascii="宋体" w:hAnsi="宋体" w:eastAsia="宋体" w:cs="宋体"/>
          <w:b w:val="0"/>
          <w:bCs/>
          <w:color w:val="auto"/>
          <w:sz w:val="24"/>
        </w:rPr>
        <w:t>、以上费用均由中标单位在领取中标通知书时，一次性支付给代理公司，上述两项费用应含在投标报价中（不得单独列项），</w:t>
      </w:r>
      <w:r>
        <w:rPr>
          <w:rFonts w:hint="eastAsia" w:ascii="宋体" w:hAnsi="宋体" w:eastAsia="宋体" w:cs="宋体"/>
          <w:b w:val="0"/>
          <w:bCs/>
          <w:color w:val="auto"/>
          <w:sz w:val="24"/>
          <w:lang w:eastAsia="zh-CN"/>
        </w:rPr>
        <w:t>供应商</w:t>
      </w:r>
      <w:r>
        <w:rPr>
          <w:rFonts w:hint="eastAsia" w:ascii="宋体" w:hAnsi="宋体" w:eastAsia="宋体" w:cs="宋体"/>
          <w:b w:val="0"/>
          <w:bCs/>
          <w:color w:val="auto"/>
          <w:sz w:val="24"/>
        </w:rPr>
        <w:t>在投标报价中考虑上述费用。</w:t>
      </w:r>
    </w:p>
    <w:p w14:paraId="22B50491">
      <w:pPr>
        <w:snapToGrid w:val="0"/>
        <w:spacing w:line="360" w:lineRule="auto"/>
        <w:ind w:firstLine="585" w:firstLineChars="182"/>
        <w:jc w:val="center"/>
        <w:rPr>
          <w:rFonts w:hint="eastAsia" w:hAnsi="宋体"/>
          <w:b/>
          <w:color w:val="auto"/>
          <w:sz w:val="32"/>
          <w:szCs w:val="32"/>
          <w:highlight w:val="none"/>
        </w:rPr>
      </w:pPr>
    </w:p>
    <w:p w14:paraId="55B1220E">
      <w:pPr>
        <w:snapToGrid w:val="0"/>
        <w:spacing w:line="360" w:lineRule="auto"/>
        <w:ind w:firstLine="585" w:firstLineChars="182"/>
        <w:jc w:val="center"/>
        <w:rPr>
          <w:rFonts w:hAnsi="宋体"/>
          <w:b/>
          <w:color w:val="auto"/>
          <w:sz w:val="32"/>
          <w:szCs w:val="32"/>
          <w:highlight w:val="none"/>
        </w:rPr>
      </w:pPr>
      <w:r>
        <w:rPr>
          <w:rFonts w:hint="eastAsia" w:hAnsi="宋体"/>
          <w:b/>
          <w:color w:val="auto"/>
          <w:sz w:val="32"/>
          <w:szCs w:val="32"/>
          <w:highlight w:val="none"/>
        </w:rPr>
        <w:t>第四章  评标办法及评分标准</w:t>
      </w:r>
    </w:p>
    <w:p w14:paraId="557483C6">
      <w:pPr>
        <w:spacing w:afterLines="50" w:line="360" w:lineRule="auto"/>
        <w:rPr>
          <w:rFonts w:ascii="宋体" w:hAnsi="宋体"/>
          <w:b/>
          <w:color w:val="auto"/>
          <w:sz w:val="24"/>
          <w:highlight w:val="none"/>
        </w:rPr>
      </w:pPr>
      <w:r>
        <w:rPr>
          <w:rFonts w:hint="eastAsia" w:ascii="宋体" w:hAnsi="宋体"/>
          <w:b/>
          <w:color w:val="auto"/>
          <w:sz w:val="24"/>
          <w:highlight w:val="none"/>
        </w:rPr>
        <w:t>一、总则</w:t>
      </w:r>
    </w:p>
    <w:p w14:paraId="693A6035">
      <w:pPr>
        <w:spacing w:afterLines="50" w:line="360" w:lineRule="auto"/>
        <w:ind w:firstLine="480" w:firstLineChars="200"/>
        <w:rPr>
          <w:color w:val="auto"/>
          <w:sz w:val="24"/>
          <w:highlight w:val="none"/>
        </w:rPr>
      </w:pPr>
      <w:r>
        <w:rPr>
          <w:rFonts w:hint="eastAsia" w:ascii="宋体" w:hAnsi="宋体"/>
          <w:color w:val="auto"/>
          <w:sz w:val="24"/>
          <w:highlight w:val="none"/>
        </w:rPr>
        <w:t>本次评标采用综合评分法。合格投标人评标综合得分为商务报价分和资信技术分汇总得分，中标候选资格按评标综合得分由高到低顺序排列，评标委员会推荐综合得分最高的为中标候选人。若综合得分相同的，按投标报价由低到高顺序排列；综合得分和报价都相等时，抽签决定排列顺序。评分过程中采用四舍五入法，并保留小数2位。</w:t>
      </w:r>
    </w:p>
    <w:p w14:paraId="6E21780A">
      <w:pPr>
        <w:spacing w:afterLines="50"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投标人评标综合得分=价格分+资信技术分</w:t>
      </w:r>
      <w:r>
        <w:rPr>
          <w:rFonts w:hint="eastAsia" w:ascii="宋体" w:hAnsi="宋体"/>
          <w:bCs/>
          <w:color w:val="auto"/>
          <w:sz w:val="24"/>
          <w:highlight w:val="none"/>
          <w:lang w:val="en-US" w:eastAsia="zh-CN"/>
        </w:rPr>
        <w:t xml:space="preserve">  </w:t>
      </w:r>
    </w:p>
    <w:p w14:paraId="42C91C24">
      <w:pPr>
        <w:spacing w:afterLines="50" w:line="360" w:lineRule="auto"/>
        <w:rPr>
          <w:b/>
          <w:color w:val="auto"/>
          <w:sz w:val="24"/>
          <w:highlight w:val="none"/>
        </w:rPr>
      </w:pPr>
      <w:r>
        <w:rPr>
          <w:rFonts w:hint="eastAsia"/>
          <w:b/>
          <w:color w:val="auto"/>
          <w:sz w:val="24"/>
          <w:highlight w:val="none"/>
        </w:rPr>
        <w:t>二、评标内容及标准</w:t>
      </w:r>
    </w:p>
    <w:p w14:paraId="15F180D2">
      <w:pPr>
        <w:spacing w:afterLines="50" w:line="360" w:lineRule="auto"/>
        <w:rPr>
          <w:rFonts w:hAnsi="宋体"/>
          <w:b/>
          <w:bCs/>
          <w:color w:val="auto"/>
          <w:sz w:val="24"/>
          <w:highlight w:val="none"/>
        </w:rPr>
      </w:pPr>
      <w:r>
        <w:rPr>
          <w:rFonts w:hAnsi="宋体"/>
          <w:b/>
          <w:color w:val="auto"/>
          <w:sz w:val="24"/>
          <w:highlight w:val="none"/>
        </w:rPr>
        <w:t>（一）</w:t>
      </w:r>
      <w:r>
        <w:rPr>
          <w:rFonts w:hAnsi="宋体"/>
          <w:b/>
          <w:bCs/>
          <w:color w:val="auto"/>
          <w:sz w:val="24"/>
          <w:highlight w:val="none"/>
        </w:rPr>
        <w:t>价格分（</w:t>
      </w:r>
      <w:r>
        <w:rPr>
          <w:rFonts w:hint="eastAsia" w:hAnsi="宋体"/>
          <w:b/>
          <w:bCs/>
          <w:color w:val="auto"/>
          <w:sz w:val="24"/>
          <w:highlight w:val="none"/>
          <w:lang w:val="en-US" w:eastAsia="zh-CN"/>
        </w:rPr>
        <w:t>30</w:t>
      </w:r>
      <w:r>
        <w:rPr>
          <w:rFonts w:ascii="宋体" w:hAnsi="宋体"/>
          <w:b/>
          <w:color w:val="auto"/>
          <w:sz w:val="24"/>
          <w:highlight w:val="none"/>
        </w:rPr>
        <w:t>分</w:t>
      </w:r>
      <w:r>
        <w:rPr>
          <w:rFonts w:hAnsi="宋体"/>
          <w:b/>
          <w:bCs/>
          <w:color w:val="auto"/>
          <w:sz w:val="24"/>
          <w:highlight w:val="none"/>
        </w:rPr>
        <w:t>）</w:t>
      </w:r>
    </w:p>
    <w:p w14:paraId="11FD6784">
      <w:pPr>
        <w:pStyle w:val="12"/>
        <w:spacing w:after="0" w:line="360" w:lineRule="auto"/>
        <w:rPr>
          <w:rFonts w:ascii="宋体" w:hAnsi="宋体" w:cs="宋体"/>
          <w:color w:val="auto"/>
          <w:sz w:val="24"/>
          <w:highlight w:val="none"/>
        </w:rPr>
      </w:pPr>
      <w:r>
        <w:rPr>
          <w:rFonts w:hint="eastAsia" w:ascii="宋体" w:hAnsi="宋体" w:cs="宋体"/>
          <w:color w:val="auto"/>
          <w:sz w:val="24"/>
          <w:highlight w:val="none"/>
        </w:rPr>
        <w:t>1、价格分采用低价优先法计算，即满足招标文件要求且投标价格最低的投标报价为评标基准价，其他投标人的价格分按照下列公式计算：</w:t>
      </w:r>
    </w:p>
    <w:p w14:paraId="466E2E24">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30</w:t>
      </w:r>
    </w:p>
    <w:p w14:paraId="28AFC549">
      <w:pPr>
        <w:pStyle w:val="1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★2、投标人的投标报价超过设定的上限价的作为无效标处理。</w:t>
      </w:r>
    </w:p>
    <w:p w14:paraId="47A254D7">
      <w:pPr>
        <w:tabs>
          <w:tab w:val="left" w:pos="3870"/>
          <w:tab w:val="left" w:pos="4085"/>
        </w:tabs>
        <w:snapToGrid w:val="0"/>
        <w:spacing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bCs/>
          <w:color w:val="auto"/>
          <w:sz w:val="24"/>
          <w:highlight w:val="none"/>
        </w:rPr>
        <w:t>报价是中标的一个重要因素，但最低报价不是中标的唯一依据。</w:t>
      </w:r>
    </w:p>
    <w:p w14:paraId="45F3A6BB">
      <w:pPr>
        <w:tabs>
          <w:tab w:val="left" w:pos="3870"/>
          <w:tab w:val="left" w:pos="4085"/>
        </w:tabs>
        <w:snapToGrid w:val="0"/>
        <w:spacing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w:t>
      </w:r>
      <w:r>
        <w:rPr>
          <w:rFonts w:hint="eastAsia" w:ascii="宋体" w:hAnsi="宋体" w:cs="宋体"/>
          <w:b/>
          <w:bCs/>
          <w:color w:val="auto"/>
          <w:sz w:val="24"/>
          <w:highlight w:val="none"/>
        </w:rPr>
        <w:t>标人不能证明其报价合理性</w:t>
      </w:r>
      <w:r>
        <w:rPr>
          <w:rFonts w:hint="eastAsia" w:ascii="宋体" w:hAnsi="宋体" w:cs="宋体"/>
          <w:color w:val="auto"/>
          <w:sz w:val="24"/>
          <w:highlight w:val="none"/>
        </w:rPr>
        <w:t>的，评标委员会应当将其作为无效投标处理。对弄虚作假、恶意串通的供应商，应将其列入不良行为记录名单，在1至3年内禁止参加采购活动。</w:t>
      </w:r>
    </w:p>
    <w:p w14:paraId="2C08F8CD">
      <w:pPr>
        <w:widowControl/>
        <w:jc w:val="left"/>
        <w:rPr>
          <w:rFonts w:ascii="宋体" w:hAnsi="宋体" w:cs="宋体"/>
          <w:b/>
          <w:bCs/>
          <w:color w:val="auto"/>
          <w:sz w:val="24"/>
          <w:szCs w:val="28"/>
          <w:highlight w:val="none"/>
        </w:rPr>
      </w:pPr>
      <w:r>
        <w:rPr>
          <w:rFonts w:hint="eastAsia" w:ascii="宋体" w:hAnsi="宋体" w:cs="宋体"/>
          <w:b/>
          <w:color w:val="auto"/>
          <w:sz w:val="24"/>
          <w:highlight w:val="none"/>
        </w:rPr>
        <w:t>（二）资信技术评分（</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w:t>
      </w:r>
    </w:p>
    <w:tbl>
      <w:tblPr>
        <w:tblStyle w:val="70"/>
        <w:tblW w:w="8804"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535"/>
        <w:gridCol w:w="5901"/>
        <w:gridCol w:w="587"/>
      </w:tblGrid>
      <w:tr w14:paraId="7DE62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316" w:type="dxa"/>
            <w:gridSpan w:val="2"/>
            <w:vAlign w:val="center"/>
          </w:tcPr>
          <w:p w14:paraId="2577C6EA">
            <w:pPr>
              <w:bidi w:val="0"/>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5901" w:type="dxa"/>
            <w:vAlign w:val="center"/>
          </w:tcPr>
          <w:p w14:paraId="366D2E5E">
            <w:pPr>
              <w:bidi w:val="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587" w:type="dxa"/>
            <w:vAlign w:val="center"/>
          </w:tcPr>
          <w:p w14:paraId="099E6B03">
            <w:pPr>
              <w:bidi w:val="0"/>
              <w:jc w:val="center"/>
              <w:rPr>
                <w:rFonts w:hint="eastAsia" w:ascii="宋体" w:hAnsi="宋体" w:eastAsia="宋体" w:cs="宋体"/>
                <w:sz w:val="24"/>
                <w:szCs w:val="24"/>
              </w:rPr>
            </w:pPr>
            <w:r>
              <w:rPr>
                <w:rFonts w:hint="eastAsia" w:ascii="宋体" w:hAnsi="宋体" w:eastAsia="宋体" w:cs="宋体"/>
                <w:sz w:val="24"/>
                <w:szCs w:val="24"/>
              </w:rPr>
              <w:t>分值</w:t>
            </w:r>
          </w:p>
        </w:tc>
      </w:tr>
      <w:tr w14:paraId="77FC2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81" w:type="dxa"/>
            <w:vMerge w:val="restart"/>
            <w:vAlign w:val="center"/>
          </w:tcPr>
          <w:p w14:paraId="5A9F8876">
            <w:pPr>
              <w:bidi w:val="0"/>
              <w:jc w:val="center"/>
              <w:rPr>
                <w:rFonts w:hint="eastAsia" w:ascii="宋体" w:hAnsi="宋体" w:eastAsia="宋体" w:cs="宋体"/>
                <w:sz w:val="24"/>
                <w:szCs w:val="24"/>
              </w:rPr>
            </w:pPr>
          </w:p>
          <w:p w14:paraId="7F2FB33E">
            <w:pPr>
              <w:bidi w:val="0"/>
              <w:jc w:val="center"/>
              <w:rPr>
                <w:rFonts w:hint="eastAsia" w:ascii="宋体" w:hAnsi="宋体" w:eastAsia="宋体" w:cs="宋体"/>
                <w:sz w:val="24"/>
                <w:szCs w:val="24"/>
              </w:rPr>
            </w:pPr>
          </w:p>
          <w:p w14:paraId="6BD59CE2">
            <w:pPr>
              <w:bidi w:val="0"/>
              <w:jc w:val="center"/>
              <w:rPr>
                <w:rFonts w:hint="eastAsia" w:ascii="宋体" w:hAnsi="宋体" w:eastAsia="宋体" w:cs="宋体"/>
                <w:sz w:val="24"/>
                <w:szCs w:val="24"/>
              </w:rPr>
            </w:pPr>
          </w:p>
          <w:p w14:paraId="0198D691">
            <w:pPr>
              <w:bidi w:val="0"/>
              <w:jc w:val="center"/>
              <w:rPr>
                <w:rFonts w:hint="eastAsia" w:ascii="宋体" w:hAnsi="宋体" w:eastAsia="宋体" w:cs="宋体"/>
                <w:sz w:val="24"/>
                <w:szCs w:val="24"/>
              </w:rPr>
            </w:pPr>
          </w:p>
          <w:p w14:paraId="6CFF333C">
            <w:pPr>
              <w:bidi w:val="0"/>
              <w:jc w:val="center"/>
              <w:rPr>
                <w:rFonts w:hint="eastAsia" w:ascii="宋体" w:hAnsi="宋体" w:eastAsia="宋体" w:cs="宋体"/>
                <w:sz w:val="24"/>
                <w:szCs w:val="24"/>
              </w:rPr>
            </w:pPr>
          </w:p>
          <w:p w14:paraId="4E122FB8">
            <w:pPr>
              <w:bidi w:val="0"/>
              <w:jc w:val="center"/>
              <w:rPr>
                <w:rFonts w:hint="eastAsia" w:ascii="宋体" w:hAnsi="宋体" w:eastAsia="宋体" w:cs="宋体"/>
                <w:sz w:val="24"/>
                <w:szCs w:val="24"/>
              </w:rPr>
            </w:pPr>
          </w:p>
          <w:p w14:paraId="028FEDFA">
            <w:pPr>
              <w:bidi w:val="0"/>
              <w:jc w:val="center"/>
              <w:rPr>
                <w:rFonts w:hint="eastAsia" w:ascii="宋体" w:hAnsi="宋体" w:eastAsia="宋体" w:cs="宋体"/>
                <w:sz w:val="24"/>
                <w:szCs w:val="24"/>
              </w:rPr>
            </w:pPr>
          </w:p>
          <w:p w14:paraId="1ED64421">
            <w:pPr>
              <w:bidi w:val="0"/>
              <w:jc w:val="center"/>
              <w:rPr>
                <w:rFonts w:hint="eastAsia" w:ascii="宋体" w:hAnsi="宋体" w:eastAsia="宋体" w:cs="宋体"/>
                <w:sz w:val="24"/>
                <w:szCs w:val="24"/>
              </w:rPr>
            </w:pPr>
            <w:r>
              <w:rPr>
                <w:rFonts w:hint="eastAsia" w:ascii="宋体" w:hAnsi="宋体" w:eastAsia="宋体" w:cs="宋体"/>
                <w:sz w:val="24"/>
                <w:szCs w:val="24"/>
              </w:rPr>
              <w:t>2</w:t>
            </w:r>
          </w:p>
          <w:p w14:paraId="041467D8">
            <w:pPr>
              <w:bidi w:val="0"/>
              <w:jc w:val="center"/>
              <w:rPr>
                <w:rFonts w:hint="eastAsia" w:ascii="宋体" w:hAnsi="宋体" w:eastAsia="宋体" w:cs="宋体"/>
                <w:sz w:val="24"/>
                <w:szCs w:val="24"/>
              </w:rPr>
            </w:pPr>
          </w:p>
          <w:p w14:paraId="006A48BE">
            <w:pPr>
              <w:bidi w:val="0"/>
              <w:jc w:val="center"/>
              <w:rPr>
                <w:rFonts w:hint="eastAsia" w:ascii="宋体" w:hAnsi="宋体" w:eastAsia="宋体" w:cs="宋体"/>
                <w:sz w:val="24"/>
                <w:szCs w:val="24"/>
              </w:rPr>
            </w:pPr>
          </w:p>
          <w:p w14:paraId="13DD9810">
            <w:pPr>
              <w:bidi w:val="0"/>
              <w:jc w:val="center"/>
              <w:rPr>
                <w:rFonts w:hint="eastAsia" w:ascii="宋体" w:hAnsi="宋体" w:eastAsia="宋体" w:cs="宋体"/>
                <w:sz w:val="24"/>
                <w:szCs w:val="24"/>
              </w:rPr>
            </w:pPr>
          </w:p>
          <w:p w14:paraId="6C904F53">
            <w:pPr>
              <w:bidi w:val="0"/>
              <w:jc w:val="center"/>
              <w:rPr>
                <w:rFonts w:hint="eastAsia" w:ascii="宋体" w:hAnsi="宋体" w:eastAsia="宋体" w:cs="宋体"/>
                <w:sz w:val="24"/>
                <w:szCs w:val="24"/>
              </w:rPr>
            </w:pPr>
          </w:p>
          <w:p w14:paraId="0A770DE2">
            <w:pPr>
              <w:bidi w:val="0"/>
              <w:jc w:val="center"/>
              <w:rPr>
                <w:rFonts w:hint="eastAsia" w:ascii="宋体" w:hAnsi="宋体" w:eastAsia="宋体" w:cs="宋体"/>
                <w:sz w:val="24"/>
                <w:szCs w:val="24"/>
              </w:rPr>
            </w:pPr>
          </w:p>
          <w:p w14:paraId="7EEC3D80">
            <w:pPr>
              <w:bidi w:val="0"/>
              <w:jc w:val="center"/>
              <w:rPr>
                <w:rFonts w:hint="eastAsia" w:ascii="宋体" w:hAnsi="宋体" w:eastAsia="宋体" w:cs="宋体"/>
                <w:sz w:val="24"/>
                <w:szCs w:val="24"/>
              </w:rPr>
            </w:pPr>
          </w:p>
          <w:p w14:paraId="476E5D7E">
            <w:pPr>
              <w:bidi w:val="0"/>
              <w:jc w:val="center"/>
              <w:rPr>
                <w:rFonts w:hint="eastAsia" w:ascii="宋体" w:hAnsi="宋体" w:eastAsia="宋体" w:cs="宋体"/>
                <w:sz w:val="24"/>
                <w:szCs w:val="24"/>
              </w:rPr>
            </w:pPr>
          </w:p>
        </w:tc>
        <w:tc>
          <w:tcPr>
            <w:tcW w:w="1535" w:type="dxa"/>
            <w:vAlign w:val="center"/>
          </w:tcPr>
          <w:p w14:paraId="4054AEA3">
            <w:pPr>
              <w:bidi w:val="0"/>
              <w:jc w:val="center"/>
              <w:rPr>
                <w:rFonts w:hint="eastAsia" w:ascii="宋体" w:hAnsi="宋体" w:eastAsia="宋体" w:cs="宋体"/>
                <w:sz w:val="24"/>
                <w:szCs w:val="24"/>
              </w:rPr>
            </w:pPr>
          </w:p>
          <w:p w14:paraId="1DE618D8">
            <w:pPr>
              <w:bidi w:val="0"/>
              <w:jc w:val="center"/>
              <w:rPr>
                <w:rFonts w:hint="eastAsia" w:ascii="宋体" w:hAnsi="宋体" w:eastAsia="宋体" w:cs="宋体"/>
                <w:sz w:val="24"/>
                <w:szCs w:val="24"/>
              </w:rPr>
            </w:pPr>
            <w:r>
              <w:rPr>
                <w:rFonts w:hint="eastAsia" w:ascii="宋体" w:hAnsi="宋体" w:eastAsia="宋体" w:cs="宋体"/>
                <w:sz w:val="24"/>
                <w:szCs w:val="24"/>
              </w:rPr>
              <w:t>售后服务保障</w:t>
            </w:r>
          </w:p>
        </w:tc>
        <w:tc>
          <w:tcPr>
            <w:tcW w:w="5901" w:type="dxa"/>
            <w:vAlign w:val="top"/>
          </w:tcPr>
          <w:p w14:paraId="3B87882C">
            <w:pPr>
              <w:bidi w:val="0"/>
              <w:jc w:val="both"/>
              <w:rPr>
                <w:rFonts w:hint="eastAsia" w:ascii="宋体" w:hAnsi="宋体" w:eastAsia="宋体" w:cs="宋体"/>
                <w:sz w:val="24"/>
                <w:szCs w:val="24"/>
                <w:lang w:eastAsia="zh-CN"/>
              </w:rPr>
            </w:pPr>
            <w:r>
              <w:rPr>
                <w:rFonts w:hint="eastAsia" w:ascii="宋体" w:hAnsi="宋体" w:eastAsia="宋体" w:cs="宋体"/>
                <w:sz w:val="24"/>
                <w:szCs w:val="24"/>
              </w:rPr>
              <w:t>售后服务的内容、服务范围方案</w:t>
            </w:r>
            <w:r>
              <w:rPr>
                <w:rFonts w:hint="eastAsia" w:ascii="宋体" w:hAnsi="宋体" w:eastAsia="宋体" w:cs="宋体"/>
                <w:sz w:val="24"/>
                <w:szCs w:val="24"/>
                <w:lang w:val="en-US" w:eastAsia="zh-CN"/>
              </w:rPr>
              <w:t>优得15</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分、中等</w:t>
            </w:r>
            <w:r>
              <w:rPr>
                <w:rFonts w:hint="eastAsia" w:ascii="宋体" w:hAnsi="宋体" w:eastAsia="宋体" w:cs="宋体"/>
                <w:sz w:val="24"/>
                <w:szCs w:val="24"/>
                <w:lang w:val="en-US" w:eastAsia="zh-CN"/>
              </w:rPr>
              <w:t>得</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分、一般得 </w:t>
            </w:r>
            <w:r>
              <w:rPr>
                <w:rFonts w:hint="eastAsia" w:ascii="宋体" w:hAnsi="宋体" w:eastAsia="宋体" w:cs="宋体"/>
                <w:sz w:val="24"/>
                <w:szCs w:val="24"/>
                <w:lang w:val="en-US" w:eastAsia="zh-CN"/>
              </w:rPr>
              <w:t>4</w:t>
            </w:r>
            <w:r>
              <w:rPr>
                <w:rFonts w:hint="eastAsia" w:ascii="宋体" w:hAnsi="宋体" w:eastAsia="宋体" w:cs="宋体"/>
                <w:sz w:val="24"/>
                <w:szCs w:val="24"/>
              </w:rPr>
              <w:t>-0  分。</w:t>
            </w:r>
            <w:r>
              <w:rPr>
                <w:rFonts w:hint="eastAsia" w:ascii="宋体" w:hAnsi="宋体" w:eastAsia="宋体" w:cs="宋体"/>
                <w:sz w:val="24"/>
                <w:szCs w:val="24"/>
                <w:lang w:eastAsia="zh-CN"/>
              </w:rPr>
              <w:t>（</w:t>
            </w:r>
            <w:r>
              <w:rPr>
                <w:rFonts w:hint="eastAsia" w:ascii="宋体" w:hAnsi="宋体" w:eastAsia="宋体" w:cs="宋体"/>
                <w:sz w:val="24"/>
                <w:szCs w:val="24"/>
              </w:rPr>
              <w:t>提供证明 材料，格式自拟）</w:t>
            </w:r>
          </w:p>
        </w:tc>
        <w:tc>
          <w:tcPr>
            <w:tcW w:w="587" w:type="dxa"/>
            <w:vAlign w:val="center"/>
          </w:tcPr>
          <w:p w14:paraId="2867D169">
            <w:pPr>
              <w:bidi w:val="0"/>
              <w:jc w:val="center"/>
              <w:rPr>
                <w:rFonts w:hint="eastAsia" w:ascii="宋体" w:hAnsi="宋体" w:eastAsia="宋体" w:cs="宋体"/>
                <w:sz w:val="24"/>
                <w:szCs w:val="24"/>
              </w:rPr>
            </w:pPr>
          </w:p>
          <w:p w14:paraId="7EDAE82C">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54493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781" w:type="dxa"/>
            <w:vMerge w:val="continue"/>
            <w:vAlign w:val="center"/>
          </w:tcPr>
          <w:p w14:paraId="1B3ECF04">
            <w:pPr>
              <w:bidi w:val="0"/>
              <w:jc w:val="center"/>
              <w:rPr>
                <w:rFonts w:hint="eastAsia" w:ascii="宋体" w:hAnsi="宋体" w:eastAsia="宋体" w:cs="宋体"/>
                <w:sz w:val="24"/>
                <w:szCs w:val="24"/>
              </w:rPr>
            </w:pPr>
          </w:p>
        </w:tc>
        <w:tc>
          <w:tcPr>
            <w:tcW w:w="1535" w:type="dxa"/>
            <w:vAlign w:val="center"/>
          </w:tcPr>
          <w:p w14:paraId="1085C0A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体系证书</w:t>
            </w:r>
          </w:p>
        </w:tc>
        <w:tc>
          <w:tcPr>
            <w:tcW w:w="5901" w:type="dxa"/>
            <w:vAlign w:val="top"/>
          </w:tcPr>
          <w:p w14:paraId="6B615AC3">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投标人提供有效期内的质量管理体系认证证书、职业健康管理体系认证、环境管理体系认证，每提供1个得1分，最高得3分，未提供不得分。</w:t>
            </w:r>
          </w:p>
        </w:tc>
        <w:tc>
          <w:tcPr>
            <w:tcW w:w="587" w:type="dxa"/>
            <w:vAlign w:val="center"/>
          </w:tcPr>
          <w:p w14:paraId="055462E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6F403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781" w:type="dxa"/>
            <w:vMerge w:val="continue"/>
            <w:vAlign w:val="center"/>
          </w:tcPr>
          <w:p w14:paraId="2CDF979F">
            <w:pPr>
              <w:bidi w:val="0"/>
              <w:jc w:val="center"/>
              <w:rPr>
                <w:rFonts w:hint="eastAsia" w:ascii="宋体" w:hAnsi="宋体" w:eastAsia="宋体" w:cs="宋体"/>
                <w:sz w:val="24"/>
                <w:szCs w:val="24"/>
              </w:rPr>
            </w:pPr>
          </w:p>
        </w:tc>
        <w:tc>
          <w:tcPr>
            <w:tcW w:w="1535" w:type="dxa"/>
            <w:vAlign w:val="center"/>
          </w:tcPr>
          <w:p w14:paraId="1934ECC4">
            <w:pPr>
              <w:bidi w:val="0"/>
              <w:jc w:val="center"/>
              <w:rPr>
                <w:rFonts w:hint="eastAsia" w:ascii="宋体" w:hAnsi="宋体" w:eastAsia="宋体" w:cs="宋体"/>
                <w:sz w:val="24"/>
                <w:szCs w:val="24"/>
              </w:rPr>
            </w:pPr>
          </w:p>
          <w:p w14:paraId="5FC9073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响应时间</w:t>
            </w:r>
          </w:p>
        </w:tc>
        <w:tc>
          <w:tcPr>
            <w:tcW w:w="5901" w:type="dxa"/>
            <w:vAlign w:val="top"/>
          </w:tcPr>
          <w:p w14:paraId="5008B481">
            <w:pPr>
              <w:bidi w:val="0"/>
              <w:jc w:val="both"/>
              <w:rPr>
                <w:rFonts w:hint="eastAsia" w:ascii="宋体" w:hAnsi="宋体" w:eastAsia="宋体" w:cs="宋体"/>
                <w:sz w:val="24"/>
                <w:szCs w:val="24"/>
              </w:rPr>
            </w:pPr>
            <w:r>
              <w:rPr>
                <w:rFonts w:hint="eastAsia" w:ascii="宋体" w:hAnsi="宋体" w:eastAsia="宋体" w:cs="宋体"/>
                <w:sz w:val="24"/>
                <w:szCs w:val="24"/>
                <w:lang w:eastAsia="zh-CN"/>
              </w:rPr>
              <w:t>响应时间</w:t>
            </w:r>
            <w:r>
              <w:rPr>
                <w:rFonts w:hint="eastAsia" w:ascii="宋体" w:hAnsi="宋体" w:eastAsia="宋体" w:cs="宋体"/>
                <w:sz w:val="24"/>
                <w:szCs w:val="24"/>
              </w:rPr>
              <w:t>（</w:t>
            </w:r>
            <w:r>
              <w:rPr>
                <w:rFonts w:hint="eastAsia" w:ascii="宋体" w:hAnsi="宋体" w:eastAsia="宋体" w:cs="宋体"/>
                <w:sz w:val="24"/>
                <w:szCs w:val="24"/>
                <w:lang w:eastAsia="zh-CN"/>
              </w:rPr>
              <w:t>售后服务响应时间迅速、到场时间快，售后服务可行性，科学、合理、针对性强的得</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分；响应时间合理、售后服务可行的得</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分；售后服务基本可行得</w:t>
            </w:r>
            <w:r>
              <w:rPr>
                <w:rFonts w:hint="eastAsia" w:ascii="宋体" w:hAnsi="宋体" w:eastAsia="宋体" w:cs="宋体"/>
                <w:sz w:val="24"/>
                <w:szCs w:val="24"/>
                <w:lang w:val="en-US" w:eastAsia="zh-CN"/>
              </w:rPr>
              <w:t>4</w:t>
            </w:r>
            <w:r>
              <w:rPr>
                <w:rFonts w:hint="eastAsia" w:ascii="宋体" w:hAnsi="宋体" w:eastAsia="宋体" w:cs="宋体"/>
                <w:sz w:val="24"/>
                <w:szCs w:val="24"/>
              </w:rPr>
              <w:t>-0</w:t>
            </w:r>
            <w:r>
              <w:rPr>
                <w:rFonts w:hint="eastAsia" w:ascii="宋体" w:hAnsi="宋体" w:eastAsia="宋体" w:cs="宋体"/>
                <w:sz w:val="24"/>
                <w:szCs w:val="24"/>
                <w:lang w:eastAsia="zh-CN"/>
              </w:rPr>
              <w:t>分；）</w:t>
            </w:r>
          </w:p>
        </w:tc>
        <w:tc>
          <w:tcPr>
            <w:tcW w:w="587" w:type="dxa"/>
            <w:vAlign w:val="center"/>
          </w:tcPr>
          <w:p w14:paraId="2F207581">
            <w:pPr>
              <w:bidi w:val="0"/>
              <w:jc w:val="center"/>
              <w:rPr>
                <w:rFonts w:hint="eastAsia" w:ascii="宋体" w:hAnsi="宋体" w:eastAsia="宋体" w:cs="宋体"/>
                <w:sz w:val="24"/>
                <w:szCs w:val="24"/>
              </w:rPr>
            </w:pPr>
          </w:p>
          <w:p w14:paraId="5466731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7660D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81" w:type="dxa"/>
            <w:vMerge w:val="continue"/>
            <w:vAlign w:val="center"/>
          </w:tcPr>
          <w:p w14:paraId="13ACED81">
            <w:pPr>
              <w:bidi w:val="0"/>
              <w:jc w:val="center"/>
              <w:rPr>
                <w:rFonts w:hint="eastAsia" w:ascii="宋体" w:hAnsi="宋体" w:eastAsia="宋体" w:cs="宋体"/>
                <w:sz w:val="24"/>
                <w:szCs w:val="24"/>
              </w:rPr>
            </w:pPr>
          </w:p>
        </w:tc>
        <w:tc>
          <w:tcPr>
            <w:tcW w:w="1535" w:type="dxa"/>
            <w:vAlign w:val="center"/>
          </w:tcPr>
          <w:p w14:paraId="3A2125C7">
            <w:pPr>
              <w:bidi w:val="0"/>
              <w:jc w:val="center"/>
              <w:rPr>
                <w:rFonts w:hint="eastAsia" w:ascii="宋体" w:hAnsi="宋体" w:eastAsia="宋体" w:cs="宋体"/>
                <w:sz w:val="24"/>
                <w:szCs w:val="24"/>
              </w:rPr>
            </w:pPr>
            <w:r>
              <w:rPr>
                <w:rFonts w:hint="eastAsia" w:ascii="宋体" w:hAnsi="宋体" w:eastAsia="宋体" w:cs="宋体"/>
                <w:sz w:val="24"/>
                <w:szCs w:val="24"/>
              </w:rPr>
              <w:t>优惠条件</w:t>
            </w:r>
          </w:p>
        </w:tc>
        <w:tc>
          <w:tcPr>
            <w:tcW w:w="5901" w:type="dxa"/>
            <w:vAlign w:val="top"/>
          </w:tcPr>
          <w:p w14:paraId="5B789428">
            <w:pPr>
              <w:bidi w:val="0"/>
              <w:jc w:val="both"/>
              <w:rPr>
                <w:rFonts w:hint="eastAsia" w:ascii="宋体" w:hAnsi="宋体" w:eastAsia="宋体" w:cs="宋体"/>
                <w:sz w:val="24"/>
                <w:szCs w:val="24"/>
              </w:rPr>
            </w:pPr>
            <w:r>
              <w:rPr>
                <w:rFonts w:hint="eastAsia" w:ascii="宋体" w:hAnsi="宋体" w:eastAsia="宋体" w:cs="宋体"/>
                <w:sz w:val="24"/>
                <w:szCs w:val="24"/>
              </w:rPr>
              <w:t xml:space="preserve">根据质保期过后增加免费维修保养情况 的承诺。优得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分、中等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分、一 般得</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87" w:type="dxa"/>
            <w:vAlign w:val="center"/>
          </w:tcPr>
          <w:p w14:paraId="2D96D1FF">
            <w:pPr>
              <w:bidi w:val="0"/>
              <w:jc w:val="center"/>
              <w:rPr>
                <w:rFonts w:hint="eastAsia" w:ascii="宋体" w:hAnsi="宋体" w:eastAsia="宋体" w:cs="宋体"/>
                <w:sz w:val="24"/>
                <w:szCs w:val="24"/>
              </w:rPr>
            </w:pPr>
          </w:p>
          <w:p w14:paraId="48F12E16">
            <w:pPr>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r w14:paraId="35CE2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781" w:type="dxa"/>
            <w:vMerge w:val="restart"/>
            <w:vAlign w:val="center"/>
          </w:tcPr>
          <w:p w14:paraId="73E30412">
            <w:pPr>
              <w:bidi w:val="0"/>
              <w:jc w:val="center"/>
              <w:rPr>
                <w:rFonts w:hint="eastAsia" w:ascii="宋体" w:hAnsi="宋体" w:eastAsia="宋体" w:cs="宋体"/>
                <w:sz w:val="24"/>
                <w:szCs w:val="24"/>
              </w:rPr>
            </w:pPr>
          </w:p>
          <w:p w14:paraId="4A3C8E63">
            <w:pPr>
              <w:bidi w:val="0"/>
              <w:jc w:val="center"/>
              <w:rPr>
                <w:rFonts w:hint="eastAsia" w:ascii="宋体" w:hAnsi="宋体" w:eastAsia="宋体" w:cs="宋体"/>
                <w:sz w:val="24"/>
                <w:szCs w:val="24"/>
              </w:rPr>
            </w:pPr>
          </w:p>
          <w:p w14:paraId="21FF0C52">
            <w:pPr>
              <w:bidi w:val="0"/>
              <w:jc w:val="center"/>
              <w:rPr>
                <w:rFonts w:hint="eastAsia" w:ascii="宋体" w:hAnsi="宋体" w:eastAsia="宋体" w:cs="宋体"/>
                <w:sz w:val="24"/>
                <w:szCs w:val="24"/>
              </w:rPr>
            </w:pPr>
          </w:p>
          <w:p w14:paraId="3282794A">
            <w:pPr>
              <w:bidi w:val="0"/>
              <w:jc w:val="center"/>
              <w:rPr>
                <w:rFonts w:hint="eastAsia" w:ascii="宋体" w:hAnsi="宋体" w:eastAsia="宋体" w:cs="宋体"/>
                <w:sz w:val="24"/>
                <w:szCs w:val="24"/>
              </w:rPr>
            </w:pPr>
          </w:p>
          <w:p w14:paraId="7069FEE0">
            <w:pPr>
              <w:bidi w:val="0"/>
              <w:jc w:val="center"/>
              <w:rPr>
                <w:rFonts w:hint="eastAsia" w:ascii="宋体" w:hAnsi="宋体" w:eastAsia="宋体" w:cs="宋体"/>
                <w:sz w:val="24"/>
                <w:szCs w:val="24"/>
              </w:rPr>
            </w:pPr>
          </w:p>
          <w:p w14:paraId="61B299D6">
            <w:pPr>
              <w:bidi w:val="0"/>
              <w:jc w:val="center"/>
              <w:rPr>
                <w:rFonts w:hint="eastAsia" w:ascii="宋体" w:hAnsi="宋体" w:eastAsia="宋体" w:cs="宋体"/>
                <w:sz w:val="24"/>
                <w:szCs w:val="24"/>
              </w:rPr>
            </w:pPr>
          </w:p>
          <w:p w14:paraId="0223BF05">
            <w:pPr>
              <w:bidi w:val="0"/>
              <w:jc w:val="center"/>
              <w:rPr>
                <w:rFonts w:hint="eastAsia" w:ascii="宋体" w:hAnsi="宋体" w:eastAsia="宋体" w:cs="宋体"/>
                <w:sz w:val="24"/>
                <w:szCs w:val="24"/>
              </w:rPr>
            </w:pPr>
          </w:p>
          <w:p w14:paraId="36967ED6">
            <w:pPr>
              <w:bidi w:val="0"/>
              <w:jc w:val="center"/>
              <w:rPr>
                <w:rFonts w:hint="eastAsia" w:ascii="宋体" w:hAnsi="宋体" w:eastAsia="宋体" w:cs="宋体"/>
                <w:sz w:val="24"/>
                <w:szCs w:val="24"/>
              </w:rPr>
            </w:pPr>
          </w:p>
          <w:p w14:paraId="2EEB6FD0">
            <w:pPr>
              <w:bidi w:val="0"/>
              <w:jc w:val="center"/>
              <w:rPr>
                <w:rFonts w:hint="eastAsia" w:ascii="宋体" w:hAnsi="宋体" w:eastAsia="宋体" w:cs="宋体"/>
                <w:sz w:val="24"/>
                <w:szCs w:val="24"/>
              </w:rPr>
            </w:pPr>
          </w:p>
          <w:p w14:paraId="390B9F63">
            <w:pPr>
              <w:bidi w:val="0"/>
              <w:jc w:val="center"/>
              <w:rPr>
                <w:rFonts w:hint="eastAsia" w:ascii="宋体" w:hAnsi="宋体" w:eastAsia="宋体" w:cs="宋体"/>
                <w:sz w:val="24"/>
                <w:szCs w:val="24"/>
              </w:rPr>
            </w:pPr>
          </w:p>
          <w:p w14:paraId="43A3BC33">
            <w:pPr>
              <w:bidi w:val="0"/>
              <w:jc w:val="center"/>
              <w:rPr>
                <w:rFonts w:hint="eastAsia" w:ascii="宋体" w:hAnsi="宋体" w:eastAsia="宋体" w:cs="宋体"/>
                <w:sz w:val="24"/>
                <w:szCs w:val="24"/>
              </w:rPr>
            </w:pPr>
          </w:p>
          <w:p w14:paraId="245D3425">
            <w:pPr>
              <w:bidi w:val="0"/>
              <w:jc w:val="center"/>
              <w:rPr>
                <w:rFonts w:hint="eastAsia" w:ascii="宋体" w:hAnsi="宋体" w:eastAsia="宋体" w:cs="宋体"/>
                <w:sz w:val="24"/>
                <w:szCs w:val="24"/>
              </w:rPr>
            </w:pPr>
          </w:p>
          <w:p w14:paraId="3A14B2A0">
            <w:pPr>
              <w:bidi w:val="0"/>
              <w:jc w:val="center"/>
              <w:rPr>
                <w:rFonts w:hint="eastAsia" w:ascii="宋体" w:hAnsi="宋体" w:eastAsia="宋体" w:cs="宋体"/>
                <w:sz w:val="24"/>
                <w:szCs w:val="24"/>
              </w:rPr>
            </w:pPr>
          </w:p>
          <w:p w14:paraId="1FF96D52">
            <w:pPr>
              <w:bidi w:val="0"/>
              <w:jc w:val="center"/>
              <w:rPr>
                <w:rFonts w:hint="eastAsia" w:ascii="宋体" w:hAnsi="宋体" w:eastAsia="宋体" w:cs="宋体"/>
                <w:sz w:val="24"/>
                <w:szCs w:val="24"/>
              </w:rPr>
            </w:pPr>
            <w:r>
              <w:rPr>
                <w:rFonts w:hint="eastAsia" w:ascii="宋体" w:hAnsi="宋体" w:eastAsia="宋体" w:cs="宋体"/>
                <w:sz w:val="24"/>
                <w:szCs w:val="24"/>
              </w:rPr>
              <w:t>3</w:t>
            </w:r>
          </w:p>
          <w:p w14:paraId="7C2DCF86">
            <w:pPr>
              <w:bidi w:val="0"/>
              <w:jc w:val="center"/>
              <w:rPr>
                <w:rFonts w:hint="eastAsia" w:ascii="宋体" w:hAnsi="宋体" w:eastAsia="宋体" w:cs="宋体"/>
                <w:sz w:val="24"/>
                <w:szCs w:val="24"/>
              </w:rPr>
            </w:pPr>
          </w:p>
          <w:p w14:paraId="54E7D8F6">
            <w:pPr>
              <w:bidi w:val="0"/>
              <w:jc w:val="center"/>
              <w:rPr>
                <w:rFonts w:hint="eastAsia" w:ascii="宋体" w:hAnsi="宋体" w:eastAsia="宋体" w:cs="宋体"/>
                <w:sz w:val="24"/>
                <w:szCs w:val="24"/>
              </w:rPr>
            </w:pPr>
          </w:p>
          <w:p w14:paraId="61C1997A">
            <w:pPr>
              <w:bidi w:val="0"/>
              <w:jc w:val="center"/>
              <w:rPr>
                <w:rFonts w:hint="eastAsia" w:ascii="宋体" w:hAnsi="宋体" w:eastAsia="宋体" w:cs="宋体"/>
                <w:sz w:val="24"/>
                <w:szCs w:val="24"/>
              </w:rPr>
            </w:pPr>
          </w:p>
          <w:p w14:paraId="7C0B6928">
            <w:pPr>
              <w:bidi w:val="0"/>
              <w:jc w:val="center"/>
              <w:rPr>
                <w:rFonts w:hint="eastAsia" w:ascii="宋体" w:hAnsi="宋体" w:eastAsia="宋体" w:cs="宋体"/>
                <w:sz w:val="24"/>
                <w:szCs w:val="24"/>
              </w:rPr>
            </w:pPr>
          </w:p>
          <w:p w14:paraId="6F7F3D51">
            <w:pPr>
              <w:bidi w:val="0"/>
              <w:jc w:val="center"/>
              <w:rPr>
                <w:rFonts w:hint="eastAsia" w:ascii="宋体" w:hAnsi="宋体" w:eastAsia="宋体" w:cs="宋体"/>
                <w:sz w:val="24"/>
                <w:szCs w:val="24"/>
              </w:rPr>
            </w:pPr>
          </w:p>
          <w:p w14:paraId="3D7FD9E5">
            <w:pPr>
              <w:bidi w:val="0"/>
              <w:jc w:val="center"/>
              <w:rPr>
                <w:rFonts w:hint="eastAsia" w:ascii="宋体" w:hAnsi="宋体" w:eastAsia="宋体" w:cs="宋体"/>
                <w:sz w:val="24"/>
                <w:szCs w:val="24"/>
              </w:rPr>
            </w:pPr>
          </w:p>
          <w:p w14:paraId="65A620BE">
            <w:pPr>
              <w:bidi w:val="0"/>
              <w:jc w:val="center"/>
              <w:rPr>
                <w:rFonts w:hint="eastAsia" w:ascii="宋体" w:hAnsi="宋体" w:eastAsia="宋体" w:cs="宋体"/>
                <w:sz w:val="24"/>
                <w:szCs w:val="24"/>
              </w:rPr>
            </w:pPr>
          </w:p>
          <w:p w14:paraId="1A7F14EF">
            <w:pPr>
              <w:bidi w:val="0"/>
              <w:jc w:val="center"/>
              <w:rPr>
                <w:rFonts w:hint="eastAsia" w:ascii="宋体" w:hAnsi="宋体" w:eastAsia="宋体" w:cs="宋体"/>
                <w:sz w:val="24"/>
                <w:szCs w:val="24"/>
              </w:rPr>
            </w:pPr>
          </w:p>
          <w:p w14:paraId="512FF8EF">
            <w:pPr>
              <w:bidi w:val="0"/>
              <w:jc w:val="center"/>
              <w:rPr>
                <w:rFonts w:hint="eastAsia" w:ascii="宋体" w:hAnsi="宋体" w:eastAsia="宋体" w:cs="宋体"/>
                <w:sz w:val="24"/>
                <w:szCs w:val="24"/>
              </w:rPr>
            </w:pPr>
          </w:p>
          <w:p w14:paraId="3ABEDB76">
            <w:pPr>
              <w:bidi w:val="0"/>
              <w:jc w:val="center"/>
              <w:rPr>
                <w:rFonts w:hint="eastAsia" w:ascii="宋体" w:hAnsi="宋体" w:eastAsia="宋体" w:cs="宋体"/>
                <w:sz w:val="24"/>
                <w:szCs w:val="24"/>
              </w:rPr>
            </w:pPr>
          </w:p>
          <w:p w14:paraId="6893010B">
            <w:pPr>
              <w:bidi w:val="0"/>
              <w:jc w:val="center"/>
              <w:rPr>
                <w:rFonts w:hint="eastAsia" w:ascii="宋体" w:hAnsi="宋体" w:eastAsia="宋体" w:cs="宋体"/>
                <w:sz w:val="24"/>
                <w:szCs w:val="24"/>
              </w:rPr>
            </w:pPr>
          </w:p>
          <w:p w14:paraId="5D96CA33">
            <w:pPr>
              <w:bidi w:val="0"/>
              <w:jc w:val="center"/>
              <w:rPr>
                <w:rFonts w:hint="eastAsia" w:ascii="宋体" w:hAnsi="宋体" w:eastAsia="宋体" w:cs="宋体"/>
                <w:sz w:val="24"/>
                <w:szCs w:val="24"/>
              </w:rPr>
            </w:pPr>
          </w:p>
        </w:tc>
        <w:tc>
          <w:tcPr>
            <w:tcW w:w="1535" w:type="dxa"/>
            <w:vAlign w:val="center"/>
          </w:tcPr>
          <w:p w14:paraId="42C5F030">
            <w:pPr>
              <w:bidi w:val="0"/>
              <w:jc w:val="center"/>
              <w:rPr>
                <w:rFonts w:hint="eastAsia" w:ascii="宋体" w:hAnsi="宋体" w:eastAsia="宋体" w:cs="宋体"/>
                <w:sz w:val="24"/>
                <w:szCs w:val="24"/>
              </w:rPr>
            </w:pPr>
            <w:r>
              <w:rPr>
                <w:rFonts w:hint="eastAsia" w:ascii="宋体" w:hAnsi="宋体" w:eastAsia="宋体" w:cs="宋体"/>
                <w:sz w:val="24"/>
                <w:szCs w:val="24"/>
              </w:rPr>
              <w:t>主要施工机械设备情况</w:t>
            </w:r>
          </w:p>
        </w:tc>
        <w:tc>
          <w:tcPr>
            <w:tcW w:w="5901" w:type="dxa"/>
            <w:vAlign w:val="top"/>
          </w:tcPr>
          <w:p w14:paraId="493C1DDE">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具有生产设备的：</w:t>
            </w:r>
          </w:p>
          <w:p w14:paraId="27C9B2E8">
            <w:pPr>
              <w:bidi w:val="0"/>
              <w:jc w:val="both"/>
              <w:rPr>
                <w:rFonts w:hint="eastAsia" w:ascii="宋体" w:hAnsi="宋体" w:eastAsia="宋体" w:cs="宋体"/>
                <w:sz w:val="24"/>
                <w:szCs w:val="24"/>
              </w:rPr>
            </w:pPr>
            <w:r>
              <w:rPr>
                <w:rFonts w:hint="eastAsia" w:ascii="宋体" w:hAnsi="宋体" w:eastAsia="宋体" w:cs="宋体"/>
                <w:sz w:val="24"/>
                <w:szCs w:val="24"/>
              </w:rPr>
              <w:t>1、全自动化立柱、挂板、层板成型设备；</w:t>
            </w:r>
          </w:p>
          <w:p w14:paraId="0F917261">
            <w:pPr>
              <w:bidi w:val="0"/>
              <w:jc w:val="both"/>
              <w:rPr>
                <w:rFonts w:hint="eastAsia" w:ascii="宋体" w:hAnsi="宋体" w:eastAsia="宋体" w:cs="宋体"/>
                <w:sz w:val="24"/>
                <w:szCs w:val="24"/>
              </w:rPr>
            </w:pPr>
            <w:r>
              <w:rPr>
                <w:rFonts w:hint="eastAsia" w:ascii="宋体" w:hAnsi="宋体" w:eastAsia="宋体" w:cs="宋体"/>
                <w:sz w:val="24"/>
                <w:szCs w:val="24"/>
              </w:rPr>
              <w:t>2、数控加工中心；</w:t>
            </w:r>
          </w:p>
          <w:p w14:paraId="275B8EE8">
            <w:pPr>
              <w:bidi w:val="0"/>
              <w:jc w:val="both"/>
              <w:rPr>
                <w:rFonts w:hint="eastAsia" w:ascii="宋体" w:hAnsi="宋体" w:eastAsia="宋体" w:cs="宋体"/>
                <w:sz w:val="24"/>
                <w:szCs w:val="24"/>
              </w:rPr>
            </w:pPr>
            <w:r>
              <w:rPr>
                <w:rFonts w:hint="eastAsia" w:ascii="宋体" w:hAnsi="宋体" w:eastAsia="宋体" w:cs="宋体"/>
                <w:sz w:val="24"/>
                <w:szCs w:val="24"/>
              </w:rPr>
              <w:t>3、数控多工位冲床设备；</w:t>
            </w:r>
          </w:p>
          <w:p w14:paraId="0DAB68C7">
            <w:pPr>
              <w:bidi w:val="0"/>
              <w:jc w:val="both"/>
              <w:rPr>
                <w:rFonts w:hint="eastAsia" w:ascii="宋体" w:hAnsi="宋体" w:eastAsia="宋体" w:cs="宋体"/>
                <w:sz w:val="24"/>
                <w:szCs w:val="24"/>
              </w:rPr>
            </w:pPr>
            <w:r>
              <w:rPr>
                <w:rFonts w:hint="eastAsia" w:ascii="宋体" w:hAnsi="宋体" w:eastAsia="宋体" w:cs="宋体"/>
                <w:sz w:val="24"/>
                <w:szCs w:val="24"/>
              </w:rPr>
              <w:t>4、数控折弯设备；</w:t>
            </w:r>
          </w:p>
          <w:p w14:paraId="0DE35903">
            <w:pPr>
              <w:bidi w:val="0"/>
              <w:jc w:val="both"/>
              <w:rPr>
                <w:rFonts w:hint="eastAsia" w:ascii="宋体" w:hAnsi="宋体" w:eastAsia="宋体" w:cs="宋体"/>
                <w:sz w:val="24"/>
                <w:szCs w:val="24"/>
              </w:rPr>
            </w:pPr>
            <w:r>
              <w:rPr>
                <w:rFonts w:hint="eastAsia" w:ascii="宋体" w:hAnsi="宋体" w:eastAsia="宋体" w:cs="宋体"/>
                <w:sz w:val="24"/>
                <w:szCs w:val="24"/>
              </w:rPr>
              <w:t>5、激光切割设备；</w:t>
            </w:r>
          </w:p>
          <w:p w14:paraId="79C8EB8C">
            <w:pPr>
              <w:bidi w:val="0"/>
              <w:jc w:val="both"/>
              <w:rPr>
                <w:rFonts w:hint="eastAsia" w:ascii="宋体" w:hAnsi="宋体" w:eastAsia="宋体" w:cs="宋体"/>
                <w:sz w:val="24"/>
                <w:szCs w:val="24"/>
              </w:rPr>
            </w:pPr>
            <w:r>
              <w:rPr>
                <w:rFonts w:hint="eastAsia" w:ascii="宋体" w:hAnsi="宋体" w:eastAsia="宋体" w:cs="宋体"/>
                <w:sz w:val="24"/>
                <w:szCs w:val="24"/>
              </w:rPr>
              <w:t>6、喷粉流水线、污水处理设备；</w:t>
            </w:r>
          </w:p>
          <w:p w14:paraId="209A7662">
            <w:pPr>
              <w:bidi w:val="0"/>
              <w:jc w:val="both"/>
              <w:rPr>
                <w:rFonts w:hint="eastAsia" w:ascii="宋体" w:hAnsi="宋体" w:eastAsia="宋体" w:cs="宋体"/>
                <w:sz w:val="24"/>
                <w:szCs w:val="24"/>
              </w:rPr>
            </w:pPr>
            <w:r>
              <w:rPr>
                <w:rFonts w:hint="eastAsia" w:ascii="宋体" w:hAnsi="宋体" w:eastAsia="宋体" w:cs="宋体"/>
                <w:sz w:val="24"/>
                <w:szCs w:val="24"/>
              </w:rPr>
              <w:t>提供上述设备的购置发票或租赁协议扫描件，每提供1份得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587" w:type="dxa"/>
            <w:vAlign w:val="center"/>
          </w:tcPr>
          <w:p w14:paraId="14F90E02">
            <w:pPr>
              <w:bidi w:val="0"/>
              <w:jc w:val="center"/>
              <w:rPr>
                <w:rFonts w:hint="eastAsia" w:ascii="宋体" w:hAnsi="宋体" w:eastAsia="宋体" w:cs="宋体"/>
                <w:sz w:val="24"/>
                <w:szCs w:val="24"/>
              </w:rPr>
            </w:pPr>
          </w:p>
          <w:p w14:paraId="561F21B5">
            <w:pPr>
              <w:bidi w:val="0"/>
              <w:jc w:val="center"/>
              <w:rPr>
                <w:rFonts w:hint="eastAsia" w:ascii="宋体" w:hAnsi="宋体" w:eastAsia="宋体" w:cs="宋体"/>
                <w:sz w:val="24"/>
                <w:szCs w:val="24"/>
              </w:rPr>
            </w:pPr>
            <w:r>
              <w:rPr>
                <w:rFonts w:hint="eastAsia" w:ascii="宋体" w:hAnsi="宋体" w:eastAsia="宋体" w:cs="宋体"/>
                <w:sz w:val="24"/>
                <w:szCs w:val="24"/>
              </w:rPr>
              <w:t>6</w:t>
            </w:r>
          </w:p>
        </w:tc>
      </w:tr>
      <w:tr w14:paraId="09122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781" w:type="dxa"/>
            <w:vMerge w:val="continue"/>
            <w:vAlign w:val="center"/>
          </w:tcPr>
          <w:p w14:paraId="13EF5188">
            <w:pPr>
              <w:bidi w:val="0"/>
              <w:jc w:val="center"/>
              <w:rPr>
                <w:rFonts w:hint="eastAsia" w:ascii="宋体" w:hAnsi="宋体" w:eastAsia="宋体" w:cs="宋体"/>
                <w:sz w:val="24"/>
                <w:szCs w:val="24"/>
              </w:rPr>
            </w:pPr>
          </w:p>
        </w:tc>
        <w:tc>
          <w:tcPr>
            <w:tcW w:w="1535" w:type="dxa"/>
            <w:vAlign w:val="center"/>
          </w:tcPr>
          <w:p w14:paraId="7A284CFB">
            <w:pPr>
              <w:bidi w:val="0"/>
              <w:ind w:firstLine="240" w:firstLineChars="100"/>
              <w:jc w:val="both"/>
              <w:rPr>
                <w:rFonts w:hint="eastAsia" w:ascii="宋体" w:hAnsi="宋体" w:eastAsia="宋体" w:cs="宋体"/>
                <w:sz w:val="24"/>
                <w:szCs w:val="24"/>
              </w:rPr>
            </w:pPr>
            <w:r>
              <w:rPr>
                <w:rFonts w:hint="eastAsia" w:ascii="宋体" w:hAnsi="宋体" w:eastAsia="宋体" w:cs="宋体"/>
                <w:sz w:val="24"/>
                <w:szCs w:val="24"/>
              </w:rPr>
              <w:t>实施方案</w:t>
            </w:r>
          </w:p>
        </w:tc>
        <w:tc>
          <w:tcPr>
            <w:tcW w:w="5901" w:type="dxa"/>
            <w:vAlign w:val="top"/>
          </w:tcPr>
          <w:p w14:paraId="63251C86">
            <w:pPr>
              <w:bidi w:val="0"/>
              <w:jc w:val="both"/>
              <w:rPr>
                <w:rFonts w:hint="eastAsia" w:ascii="宋体" w:hAnsi="宋体" w:eastAsia="宋体" w:cs="宋体"/>
                <w:sz w:val="24"/>
                <w:szCs w:val="24"/>
              </w:rPr>
            </w:pPr>
            <w:r>
              <w:rPr>
                <w:rFonts w:hint="eastAsia" w:ascii="宋体" w:hAnsi="宋体" w:eastAsia="宋体" w:cs="宋体"/>
                <w:sz w:val="24"/>
                <w:szCs w:val="24"/>
              </w:rPr>
              <w:t>根据本项目特点制定的实施组织方案 （包括安全文明施工保证措施、进度保证措施、环境保证措施等）的科学性、合理性进行综合打分：</w:t>
            </w:r>
          </w:p>
          <w:p w14:paraId="1398A6B3">
            <w:pPr>
              <w:bidi w:val="0"/>
              <w:jc w:val="both"/>
              <w:rPr>
                <w:rFonts w:hint="eastAsia" w:ascii="宋体" w:hAnsi="宋体" w:eastAsia="宋体" w:cs="宋体"/>
                <w:sz w:val="24"/>
                <w:szCs w:val="24"/>
              </w:rPr>
            </w:pPr>
            <w:r>
              <w:rPr>
                <w:rFonts w:hint="eastAsia" w:ascii="宋体" w:hAnsi="宋体" w:eastAsia="宋体" w:cs="宋体"/>
                <w:sz w:val="24"/>
                <w:szCs w:val="24"/>
              </w:rPr>
              <w:t>①方案详实、内容完整、操作性强的得 8-6 分；</w:t>
            </w:r>
          </w:p>
          <w:p w14:paraId="6145DC55">
            <w:pPr>
              <w:bidi w:val="0"/>
              <w:jc w:val="both"/>
              <w:rPr>
                <w:rFonts w:hint="eastAsia" w:ascii="宋体" w:hAnsi="宋体" w:eastAsia="宋体" w:cs="宋体"/>
                <w:sz w:val="24"/>
                <w:szCs w:val="24"/>
              </w:rPr>
            </w:pPr>
            <w:r>
              <w:rPr>
                <w:rFonts w:hint="eastAsia" w:ascii="宋体" w:hAnsi="宋体" w:eastAsia="宋体" w:cs="宋体"/>
                <w:sz w:val="24"/>
                <w:szCs w:val="24"/>
              </w:rPr>
              <w:t>②方案合理、 内容常规、操作性一般的 得 5-3 分；</w:t>
            </w:r>
          </w:p>
          <w:p w14:paraId="04C142A8">
            <w:pPr>
              <w:bidi w:val="0"/>
              <w:jc w:val="both"/>
              <w:rPr>
                <w:rFonts w:hint="eastAsia" w:ascii="宋体" w:hAnsi="宋体" w:eastAsia="宋体" w:cs="宋体"/>
                <w:sz w:val="24"/>
                <w:szCs w:val="24"/>
              </w:rPr>
            </w:pPr>
            <w:r>
              <w:rPr>
                <w:rFonts w:hint="eastAsia" w:ascii="宋体" w:hAnsi="宋体" w:eastAsia="宋体" w:cs="宋体"/>
                <w:sz w:val="24"/>
                <w:szCs w:val="24"/>
              </w:rPr>
              <w:t>③方案粗糙、内容缺漏、操作性差的得 2-0 分。</w:t>
            </w:r>
          </w:p>
        </w:tc>
        <w:tc>
          <w:tcPr>
            <w:tcW w:w="587" w:type="dxa"/>
            <w:vAlign w:val="center"/>
          </w:tcPr>
          <w:p w14:paraId="7E686137">
            <w:pPr>
              <w:bidi w:val="0"/>
              <w:ind w:firstLine="240" w:firstLineChars="100"/>
              <w:jc w:val="both"/>
              <w:rPr>
                <w:rFonts w:hint="eastAsia" w:ascii="宋体" w:hAnsi="宋体" w:eastAsia="宋体" w:cs="宋体"/>
                <w:sz w:val="24"/>
                <w:szCs w:val="24"/>
              </w:rPr>
            </w:pPr>
            <w:r>
              <w:rPr>
                <w:rFonts w:hint="eastAsia" w:ascii="宋体" w:hAnsi="宋体" w:eastAsia="宋体" w:cs="宋体"/>
                <w:sz w:val="24"/>
                <w:szCs w:val="24"/>
              </w:rPr>
              <w:t>8</w:t>
            </w:r>
          </w:p>
        </w:tc>
      </w:tr>
      <w:tr w14:paraId="4F79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81" w:type="dxa"/>
            <w:vMerge w:val="continue"/>
            <w:vAlign w:val="center"/>
          </w:tcPr>
          <w:p w14:paraId="31B60BB9">
            <w:pPr>
              <w:bidi w:val="0"/>
              <w:jc w:val="center"/>
              <w:rPr>
                <w:rFonts w:hint="eastAsia" w:ascii="宋体" w:hAnsi="宋体" w:eastAsia="宋体" w:cs="宋体"/>
                <w:sz w:val="24"/>
                <w:szCs w:val="24"/>
              </w:rPr>
            </w:pPr>
          </w:p>
        </w:tc>
        <w:tc>
          <w:tcPr>
            <w:tcW w:w="1535" w:type="dxa"/>
            <w:vAlign w:val="center"/>
          </w:tcPr>
          <w:p w14:paraId="723995FF">
            <w:pPr>
              <w:bidi w:val="0"/>
              <w:jc w:val="center"/>
              <w:rPr>
                <w:rFonts w:hint="eastAsia" w:ascii="宋体" w:hAnsi="宋体" w:eastAsia="宋体" w:cs="宋体"/>
                <w:sz w:val="24"/>
                <w:szCs w:val="24"/>
              </w:rPr>
            </w:pPr>
            <w:r>
              <w:rPr>
                <w:rFonts w:hint="eastAsia" w:ascii="宋体" w:hAnsi="宋体" w:eastAsia="宋体" w:cs="宋体"/>
                <w:sz w:val="24"/>
                <w:szCs w:val="24"/>
              </w:rPr>
              <w:t>安全施工及应急保障方案</w:t>
            </w:r>
          </w:p>
        </w:tc>
        <w:tc>
          <w:tcPr>
            <w:tcW w:w="5901" w:type="dxa"/>
            <w:vAlign w:val="top"/>
          </w:tcPr>
          <w:p w14:paraId="615AAFEC">
            <w:pPr>
              <w:bidi w:val="0"/>
              <w:jc w:val="left"/>
              <w:rPr>
                <w:rFonts w:hint="eastAsia" w:ascii="宋体" w:hAnsi="宋体" w:eastAsia="宋体" w:cs="宋体"/>
                <w:sz w:val="24"/>
                <w:szCs w:val="24"/>
              </w:rPr>
            </w:pPr>
            <w:r>
              <w:rPr>
                <w:rFonts w:hint="eastAsia" w:ascii="宋体" w:hAnsi="宋体" w:eastAsia="宋体" w:cs="宋体"/>
                <w:sz w:val="24"/>
                <w:szCs w:val="24"/>
              </w:rPr>
              <w:t>根据投标人方案整体的科学性、合理性、 完整性和专业性，是否符合实际情况，工作计划是否完备情况，实施方案的可 行性进行评分。优的得 4-3 分，较好得 2 分，一般得 1 分，未提供得 0 分；</w:t>
            </w:r>
          </w:p>
        </w:tc>
        <w:tc>
          <w:tcPr>
            <w:tcW w:w="587" w:type="dxa"/>
            <w:vAlign w:val="center"/>
          </w:tcPr>
          <w:p w14:paraId="7C685958">
            <w:pPr>
              <w:bidi w:val="0"/>
              <w:jc w:val="center"/>
              <w:rPr>
                <w:rFonts w:hint="eastAsia" w:ascii="宋体" w:hAnsi="宋体" w:eastAsia="宋体" w:cs="宋体"/>
                <w:sz w:val="24"/>
                <w:szCs w:val="24"/>
              </w:rPr>
            </w:pPr>
            <w:r>
              <w:rPr>
                <w:rFonts w:hint="eastAsia" w:ascii="宋体" w:hAnsi="宋体" w:eastAsia="宋体" w:cs="宋体"/>
                <w:sz w:val="24"/>
                <w:szCs w:val="24"/>
              </w:rPr>
              <w:t>4</w:t>
            </w:r>
          </w:p>
        </w:tc>
      </w:tr>
      <w:tr w14:paraId="70C24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781" w:type="dxa"/>
            <w:vMerge w:val="continue"/>
            <w:vAlign w:val="center"/>
          </w:tcPr>
          <w:p w14:paraId="52ABB76D">
            <w:pPr>
              <w:bidi w:val="0"/>
              <w:jc w:val="center"/>
              <w:rPr>
                <w:rFonts w:hint="eastAsia" w:ascii="宋体" w:hAnsi="宋体" w:eastAsia="宋体" w:cs="宋体"/>
                <w:sz w:val="24"/>
                <w:szCs w:val="24"/>
              </w:rPr>
            </w:pPr>
          </w:p>
        </w:tc>
        <w:tc>
          <w:tcPr>
            <w:tcW w:w="1535" w:type="dxa"/>
            <w:shd w:val="clear" w:color="auto" w:fill="auto"/>
            <w:vAlign w:val="top"/>
          </w:tcPr>
          <w:p w14:paraId="1960268B">
            <w:pPr>
              <w:bidi w:val="0"/>
              <w:jc w:val="center"/>
              <w:rPr>
                <w:rFonts w:hint="eastAsia" w:ascii="宋体" w:hAnsi="宋体" w:eastAsia="宋体" w:cs="宋体"/>
                <w:sz w:val="24"/>
                <w:szCs w:val="24"/>
              </w:rPr>
            </w:pPr>
          </w:p>
          <w:p w14:paraId="70AA73D4">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培训方案</w:t>
            </w:r>
          </w:p>
        </w:tc>
        <w:tc>
          <w:tcPr>
            <w:tcW w:w="5901" w:type="dxa"/>
            <w:shd w:val="clear" w:color="auto" w:fill="auto"/>
            <w:vAlign w:val="top"/>
          </w:tcPr>
          <w:p w14:paraId="42CC78F5">
            <w:pPr>
              <w:bidi w:val="0"/>
              <w:jc w:val="left"/>
              <w:rPr>
                <w:rFonts w:hint="eastAsia" w:ascii="宋体" w:hAnsi="宋体" w:eastAsia="宋体" w:cs="宋体"/>
                <w:sz w:val="24"/>
                <w:szCs w:val="24"/>
                <w:lang w:val="en-US" w:eastAsia="en-US"/>
              </w:rPr>
            </w:pPr>
            <w:r>
              <w:rPr>
                <w:rFonts w:hint="eastAsia" w:ascii="宋体" w:hAnsi="宋体" w:eastAsia="宋体" w:cs="宋体"/>
                <w:sz w:val="24"/>
                <w:szCs w:val="24"/>
              </w:rPr>
              <w:t>根据投标人是否能提供详细、周到的培 训计划，保证使用单位熟练操作和正常 使用，培训方案是否完善，可行性强进 行评分。优的得 4 分，较好得 3-2 分， 一般得 1 分，未提供得 0 分</w:t>
            </w:r>
          </w:p>
        </w:tc>
        <w:tc>
          <w:tcPr>
            <w:tcW w:w="587" w:type="dxa"/>
            <w:shd w:val="clear" w:color="auto" w:fill="auto"/>
            <w:vAlign w:val="center"/>
          </w:tcPr>
          <w:p w14:paraId="47DFA4F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p w14:paraId="041B0426">
            <w:pPr>
              <w:bidi w:val="0"/>
              <w:jc w:val="center"/>
              <w:rPr>
                <w:rFonts w:hint="eastAsia" w:ascii="宋体" w:hAnsi="宋体" w:eastAsia="宋体" w:cs="宋体"/>
                <w:sz w:val="24"/>
                <w:szCs w:val="24"/>
              </w:rPr>
            </w:pPr>
          </w:p>
          <w:p w14:paraId="15ABD3EE">
            <w:pPr>
              <w:bidi w:val="0"/>
              <w:jc w:val="center"/>
              <w:rPr>
                <w:rFonts w:hint="eastAsia" w:ascii="宋体" w:hAnsi="宋体" w:eastAsia="宋体" w:cs="宋体"/>
                <w:sz w:val="24"/>
                <w:szCs w:val="24"/>
                <w:lang w:val="en-US" w:eastAsia="en-US"/>
              </w:rPr>
            </w:pPr>
          </w:p>
        </w:tc>
      </w:tr>
      <w:tr w14:paraId="6CB0B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81" w:type="dxa"/>
            <w:vMerge w:val="continue"/>
            <w:vAlign w:val="center"/>
          </w:tcPr>
          <w:p w14:paraId="4DAEFAA7">
            <w:pPr>
              <w:bidi w:val="0"/>
              <w:jc w:val="center"/>
              <w:rPr>
                <w:rFonts w:hint="eastAsia" w:ascii="宋体" w:hAnsi="宋体" w:eastAsia="宋体" w:cs="宋体"/>
                <w:sz w:val="24"/>
                <w:szCs w:val="24"/>
              </w:rPr>
            </w:pPr>
          </w:p>
        </w:tc>
        <w:tc>
          <w:tcPr>
            <w:tcW w:w="1535" w:type="dxa"/>
            <w:shd w:val="clear" w:color="auto" w:fill="auto"/>
            <w:vAlign w:val="top"/>
          </w:tcPr>
          <w:p w14:paraId="456B0E14">
            <w:pPr>
              <w:bidi w:val="0"/>
              <w:jc w:val="center"/>
              <w:rPr>
                <w:rFonts w:hint="eastAsia" w:ascii="宋体" w:hAnsi="宋体" w:eastAsia="宋体" w:cs="宋体"/>
                <w:sz w:val="24"/>
                <w:szCs w:val="24"/>
              </w:rPr>
            </w:pPr>
          </w:p>
          <w:p w14:paraId="7851C46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质量保障方案</w:t>
            </w:r>
          </w:p>
        </w:tc>
        <w:tc>
          <w:tcPr>
            <w:tcW w:w="5901" w:type="dxa"/>
            <w:shd w:val="clear" w:color="auto" w:fill="auto"/>
            <w:vAlign w:val="top"/>
          </w:tcPr>
          <w:p w14:paraId="50B800F8">
            <w:pPr>
              <w:bidi w:val="0"/>
              <w:jc w:val="both"/>
              <w:rPr>
                <w:rFonts w:hint="eastAsia" w:ascii="宋体" w:hAnsi="宋体" w:eastAsia="宋体" w:cs="宋体"/>
                <w:sz w:val="24"/>
                <w:szCs w:val="24"/>
              </w:rPr>
            </w:pPr>
            <w:r>
              <w:rPr>
                <w:rFonts w:hint="eastAsia" w:ascii="宋体" w:hAnsi="宋体" w:eastAsia="宋体" w:cs="宋体"/>
                <w:sz w:val="24"/>
                <w:szCs w:val="24"/>
              </w:rPr>
              <w:t>根据本项目特点制定的质量保障方案的科学性、合理性进行综合打分：</w:t>
            </w:r>
          </w:p>
          <w:p w14:paraId="3100506F">
            <w:pPr>
              <w:bidi w:val="0"/>
              <w:jc w:val="both"/>
              <w:rPr>
                <w:rFonts w:hint="eastAsia" w:ascii="宋体" w:hAnsi="宋体" w:eastAsia="宋体" w:cs="宋体"/>
                <w:sz w:val="24"/>
                <w:szCs w:val="24"/>
              </w:rPr>
            </w:pPr>
            <w:r>
              <w:rPr>
                <w:rFonts w:hint="eastAsia" w:ascii="宋体" w:hAnsi="宋体" w:eastAsia="宋体" w:cs="宋体"/>
                <w:sz w:val="24"/>
                <w:szCs w:val="24"/>
              </w:rPr>
              <w:t>①方案详实、内容完整、操作性强的得 8-6 分；</w:t>
            </w:r>
          </w:p>
          <w:p w14:paraId="2E2B0C1C">
            <w:pPr>
              <w:bidi w:val="0"/>
              <w:jc w:val="both"/>
              <w:rPr>
                <w:rFonts w:hint="eastAsia" w:ascii="宋体" w:hAnsi="宋体" w:eastAsia="宋体" w:cs="宋体"/>
                <w:sz w:val="24"/>
                <w:szCs w:val="24"/>
              </w:rPr>
            </w:pPr>
            <w:r>
              <w:rPr>
                <w:rFonts w:hint="eastAsia" w:ascii="宋体" w:hAnsi="宋体" w:eastAsia="宋体" w:cs="宋体"/>
                <w:sz w:val="24"/>
                <w:szCs w:val="24"/>
              </w:rPr>
              <w:t>②方案合理、 内容常规、操作性一般的 得 5-3 分；</w:t>
            </w:r>
          </w:p>
          <w:p w14:paraId="79C5677A">
            <w:pPr>
              <w:bidi w:val="0"/>
              <w:jc w:val="left"/>
              <w:rPr>
                <w:rFonts w:hint="eastAsia" w:ascii="宋体" w:hAnsi="宋体" w:eastAsia="宋体" w:cs="宋体"/>
                <w:sz w:val="24"/>
                <w:szCs w:val="24"/>
                <w:lang w:val="en-US" w:eastAsia="en-US"/>
              </w:rPr>
            </w:pPr>
            <w:r>
              <w:rPr>
                <w:rFonts w:hint="eastAsia" w:ascii="宋体" w:hAnsi="宋体" w:eastAsia="宋体" w:cs="宋体"/>
                <w:sz w:val="24"/>
                <w:szCs w:val="24"/>
              </w:rPr>
              <w:t>③方案粗糙、内容缺漏、操作性差的得 2-0 分。</w:t>
            </w:r>
          </w:p>
        </w:tc>
        <w:tc>
          <w:tcPr>
            <w:tcW w:w="587" w:type="dxa"/>
            <w:shd w:val="clear" w:color="auto" w:fill="auto"/>
            <w:vAlign w:val="center"/>
          </w:tcPr>
          <w:p w14:paraId="488E3C6D">
            <w:pPr>
              <w:bidi w:val="0"/>
              <w:jc w:val="center"/>
              <w:rPr>
                <w:rFonts w:hint="eastAsia" w:ascii="宋体" w:hAnsi="宋体" w:eastAsia="宋体" w:cs="宋体"/>
                <w:sz w:val="24"/>
                <w:szCs w:val="24"/>
              </w:rPr>
            </w:pPr>
          </w:p>
          <w:p w14:paraId="16B06169">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7F423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81" w:type="dxa"/>
            <w:vMerge w:val="continue"/>
            <w:tcBorders>
              <w:bottom w:val="nil"/>
            </w:tcBorders>
            <w:vAlign w:val="center"/>
          </w:tcPr>
          <w:p w14:paraId="64EDCC6A">
            <w:pPr>
              <w:bidi w:val="0"/>
              <w:jc w:val="center"/>
              <w:rPr>
                <w:rFonts w:hint="eastAsia" w:ascii="宋体" w:hAnsi="宋体" w:eastAsia="宋体" w:cs="宋体"/>
                <w:sz w:val="24"/>
                <w:szCs w:val="24"/>
              </w:rPr>
            </w:pPr>
          </w:p>
        </w:tc>
        <w:tc>
          <w:tcPr>
            <w:tcW w:w="1535" w:type="dxa"/>
            <w:shd w:val="clear" w:color="auto" w:fill="auto"/>
            <w:vAlign w:val="top"/>
          </w:tcPr>
          <w:p w14:paraId="30B3E669">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rPr>
              <w:t>合同产品的交付计划及保 障措施</w:t>
            </w:r>
          </w:p>
        </w:tc>
        <w:tc>
          <w:tcPr>
            <w:tcW w:w="5901" w:type="dxa"/>
            <w:shd w:val="clear" w:color="auto" w:fill="auto"/>
            <w:vAlign w:val="top"/>
          </w:tcPr>
          <w:p w14:paraId="1FBB8D41">
            <w:pPr>
              <w:bidi w:val="0"/>
              <w:jc w:val="left"/>
              <w:rPr>
                <w:rFonts w:hint="eastAsia" w:ascii="宋体" w:hAnsi="宋体" w:eastAsia="宋体" w:cs="宋体"/>
                <w:sz w:val="24"/>
                <w:szCs w:val="24"/>
                <w:lang w:val="en-US" w:eastAsia="en-US"/>
              </w:rPr>
            </w:pPr>
            <w:r>
              <w:rPr>
                <w:rFonts w:hint="eastAsia" w:ascii="宋体" w:hAnsi="宋体" w:eastAsia="宋体" w:cs="宋体"/>
                <w:sz w:val="24"/>
                <w:szCs w:val="24"/>
              </w:rPr>
              <w:t xml:space="preserve">优得 </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分， 良得 </w:t>
            </w:r>
            <w:r>
              <w:rPr>
                <w:rFonts w:hint="eastAsia" w:ascii="宋体" w:hAnsi="宋体" w:eastAsia="宋体" w:cs="宋体"/>
                <w:sz w:val="24"/>
                <w:szCs w:val="24"/>
                <w:lang w:val="en-US" w:eastAsia="zh-CN"/>
              </w:rPr>
              <w:t>3</w:t>
            </w:r>
            <w:r>
              <w:rPr>
                <w:rFonts w:hint="eastAsia" w:ascii="宋体" w:hAnsi="宋体" w:eastAsia="宋体" w:cs="宋体"/>
                <w:sz w:val="24"/>
                <w:szCs w:val="24"/>
              </w:rPr>
              <w:t>-1  分， 差得 0  分</w:t>
            </w:r>
          </w:p>
        </w:tc>
        <w:tc>
          <w:tcPr>
            <w:tcW w:w="587" w:type="dxa"/>
            <w:shd w:val="clear" w:color="auto" w:fill="auto"/>
            <w:vAlign w:val="center"/>
          </w:tcPr>
          <w:p w14:paraId="32BB9493">
            <w:pPr>
              <w:bidi w:val="0"/>
              <w:jc w:val="center"/>
              <w:rPr>
                <w:rFonts w:hint="eastAsia" w:ascii="宋体" w:hAnsi="宋体" w:eastAsia="宋体" w:cs="宋体"/>
                <w:sz w:val="24"/>
                <w:szCs w:val="24"/>
              </w:rPr>
            </w:pPr>
          </w:p>
          <w:p w14:paraId="7807815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bl>
    <w:p w14:paraId="62458ED7">
      <w:pPr>
        <w:spacing w:before="120" w:line="360" w:lineRule="auto"/>
        <w:ind w:firstLine="361" w:firstLineChars="150"/>
        <w:rPr>
          <w:rFonts w:hint="eastAsia" w:ascii="宋体" w:hAnsi="宋体" w:cs="宋体"/>
          <w:b/>
          <w:color w:val="auto"/>
          <w:sz w:val="24"/>
          <w:highlight w:val="none"/>
          <w:lang w:eastAsia="zh-CN"/>
        </w:rPr>
      </w:pPr>
    </w:p>
    <w:p w14:paraId="3D4455AE">
      <w:pPr>
        <w:spacing w:before="120" w:line="360" w:lineRule="auto"/>
        <w:ind w:firstLine="361" w:firstLineChars="150"/>
        <w:rPr>
          <w:rFonts w:ascii="宋体" w:hAnsi="宋体" w:cs="宋体"/>
          <w:b/>
          <w:color w:val="auto"/>
          <w:sz w:val="24"/>
          <w:highlight w:val="none"/>
        </w:rPr>
      </w:pPr>
      <w:r>
        <w:rPr>
          <w:rFonts w:hint="eastAsia" w:ascii="宋体" w:hAnsi="宋体" w:cs="宋体"/>
          <w:b/>
          <w:color w:val="auto"/>
          <w:sz w:val="24"/>
          <w:highlight w:val="none"/>
          <w:lang w:eastAsia="zh-CN"/>
        </w:rPr>
        <w:t>注：</w:t>
      </w:r>
      <w:r>
        <w:rPr>
          <w:rFonts w:hint="eastAsia" w:ascii="宋体" w:hAnsi="宋体" w:cs="宋体"/>
          <w:b/>
          <w:color w:val="auto"/>
          <w:sz w:val="24"/>
          <w:highlight w:val="none"/>
        </w:rPr>
        <w:t xml:space="preserve">资信技术分的计算 </w:t>
      </w:r>
    </w:p>
    <w:p w14:paraId="393FBBFD">
      <w:pPr>
        <w:spacing w:afterLines="50" w:line="360" w:lineRule="auto"/>
        <w:ind w:firstLine="240" w:firstLineChars="100"/>
        <w:jc w:val="left"/>
        <w:rPr>
          <w:rFonts w:hint="eastAsia" w:hAnsi="宋体"/>
          <w:b/>
          <w:color w:val="auto"/>
          <w:sz w:val="32"/>
          <w:szCs w:val="32"/>
          <w:highlight w:val="none"/>
        </w:rPr>
      </w:pPr>
      <w:r>
        <w:rPr>
          <w:rFonts w:hint="eastAsia" w:ascii="宋体" w:hAnsi="宋体" w:cs="宋体"/>
          <w:color w:val="auto"/>
          <w:sz w:val="24"/>
          <w:highlight w:val="none"/>
        </w:rPr>
        <w:t xml:space="preserve">  资信技术评分按照评标委员会成员的独立评分结果汇总后的算术平均分计算，计算公式为：资信技术评分＝评标委员会所有成员评分合计数/评标委员会组成人员数。</w:t>
      </w:r>
    </w:p>
    <w:p w14:paraId="56F2323E">
      <w:pPr>
        <w:snapToGrid w:val="0"/>
        <w:spacing w:line="460" w:lineRule="exact"/>
        <w:jc w:val="center"/>
        <w:rPr>
          <w:rFonts w:hint="eastAsia" w:ascii="宋体"/>
          <w:b/>
          <w:bCs/>
          <w:color w:val="000000"/>
          <w:sz w:val="32"/>
          <w:szCs w:val="32"/>
        </w:rPr>
      </w:pPr>
    </w:p>
    <w:p w14:paraId="43770EEA">
      <w:pPr>
        <w:rPr>
          <w:rFonts w:hint="eastAsia" w:ascii="宋体"/>
          <w:b/>
          <w:bCs/>
          <w:color w:val="000000"/>
          <w:sz w:val="32"/>
          <w:szCs w:val="32"/>
        </w:rPr>
      </w:pPr>
    </w:p>
    <w:p w14:paraId="084E6C0C">
      <w:pPr>
        <w:snapToGrid w:val="0"/>
        <w:spacing w:line="460" w:lineRule="exact"/>
        <w:jc w:val="center"/>
        <w:rPr>
          <w:rFonts w:hint="eastAsia" w:ascii="宋体"/>
          <w:b/>
          <w:bCs/>
          <w:color w:val="000000"/>
          <w:sz w:val="32"/>
          <w:szCs w:val="32"/>
        </w:rPr>
      </w:pPr>
      <w:r>
        <w:rPr>
          <w:rFonts w:hint="eastAsia" w:ascii="宋体"/>
          <w:b/>
          <w:bCs/>
          <w:color w:val="000000"/>
          <w:sz w:val="32"/>
          <w:szCs w:val="32"/>
        </w:rPr>
        <w:t>第五章 采购合同（范本）</w:t>
      </w:r>
    </w:p>
    <w:p w14:paraId="00087F17">
      <w:pPr>
        <w:pStyle w:val="54"/>
        <w:spacing w:before="0"/>
        <w:ind w:firstLineChars="0"/>
        <w:jc w:val="center"/>
        <w:rPr>
          <w:rFonts w:ascii="宋体" w:hAnsi="宋体"/>
        </w:rPr>
      </w:pPr>
      <w:r>
        <w:rPr>
          <w:rFonts w:hint="eastAsia" w:ascii="宋体" w:hAnsi="宋体"/>
        </w:rPr>
        <w:t xml:space="preserve">  （具体文本以实际签署的为准）</w:t>
      </w:r>
    </w:p>
    <w:p w14:paraId="1991E25E">
      <w:pPr>
        <w:snapToGrid w:val="0"/>
        <w:spacing w:before="120" w:after="120" w:line="360" w:lineRule="auto"/>
        <w:rPr>
          <w:rFonts w:ascii="宋体"/>
          <w:sz w:val="24"/>
          <w:szCs w:val="24"/>
        </w:rPr>
      </w:pPr>
      <w:r>
        <w:rPr>
          <w:rFonts w:hint="eastAsia" w:ascii="宋体" w:hAnsi="宋体"/>
          <w:sz w:val="24"/>
          <w:szCs w:val="24"/>
        </w:rPr>
        <w:t>项目名称：</w:t>
      </w:r>
      <w:r>
        <w:rPr>
          <w:rFonts w:ascii="宋体" w:hAnsi="宋体"/>
          <w:sz w:val="24"/>
          <w:szCs w:val="24"/>
        </w:rPr>
        <w:t xml:space="preserve">                                    </w:t>
      </w:r>
      <w:r>
        <w:rPr>
          <w:rFonts w:hint="eastAsia" w:ascii="宋体" w:hAnsi="宋体"/>
          <w:sz w:val="24"/>
          <w:szCs w:val="24"/>
        </w:rPr>
        <w:t>项目编号：</w:t>
      </w:r>
    </w:p>
    <w:p w14:paraId="68CD2A4B">
      <w:pPr>
        <w:snapToGrid w:val="0"/>
        <w:spacing w:before="120" w:after="120" w:line="360" w:lineRule="auto"/>
        <w:rPr>
          <w:rFonts w:ascii="宋体"/>
          <w:sz w:val="24"/>
          <w:szCs w:val="24"/>
        </w:rPr>
      </w:pPr>
      <w:r>
        <w:rPr>
          <w:rFonts w:hint="eastAsia" w:ascii="宋体" w:hAnsi="宋体"/>
          <w:sz w:val="24"/>
          <w:szCs w:val="24"/>
        </w:rPr>
        <w:t>甲方：（</w:t>
      </w:r>
      <w:r>
        <w:rPr>
          <w:rFonts w:hint="eastAsia" w:ascii="宋体" w:hAnsi="宋体"/>
          <w:sz w:val="24"/>
          <w:szCs w:val="24"/>
          <w:lang w:eastAsia="zh-CN"/>
        </w:rPr>
        <w:t>采购单位</w:t>
      </w:r>
      <w:r>
        <w:rPr>
          <w:rFonts w:hint="eastAsia" w:ascii="宋体" w:hAnsi="宋体"/>
          <w:sz w:val="24"/>
          <w:szCs w:val="24"/>
        </w:rPr>
        <w:t>）</w:t>
      </w:r>
    </w:p>
    <w:p w14:paraId="004B2759">
      <w:pPr>
        <w:snapToGrid w:val="0"/>
        <w:spacing w:before="120" w:after="120" w:line="360" w:lineRule="auto"/>
        <w:rPr>
          <w:rFonts w:ascii="宋体"/>
          <w:sz w:val="24"/>
          <w:szCs w:val="24"/>
        </w:rPr>
      </w:pPr>
      <w:r>
        <w:rPr>
          <w:rFonts w:hint="eastAsia" w:ascii="宋体" w:hAnsi="宋体"/>
          <w:sz w:val="24"/>
          <w:szCs w:val="24"/>
        </w:rPr>
        <w:t>乙方：（</w:t>
      </w:r>
      <w:r>
        <w:rPr>
          <w:rFonts w:hint="eastAsia" w:ascii="宋体" w:hAnsi="宋体"/>
          <w:sz w:val="24"/>
          <w:szCs w:val="24"/>
          <w:lang w:eastAsia="zh-CN"/>
        </w:rPr>
        <w:t>中标单位</w:t>
      </w:r>
      <w:r>
        <w:rPr>
          <w:rFonts w:hint="eastAsia" w:ascii="宋体" w:hAnsi="宋体"/>
          <w:sz w:val="24"/>
          <w:szCs w:val="24"/>
        </w:rPr>
        <w:t>）</w:t>
      </w:r>
    </w:p>
    <w:p w14:paraId="71135020">
      <w:pPr>
        <w:snapToGrid w:val="0"/>
        <w:spacing w:before="120" w:after="120" w:line="360" w:lineRule="auto"/>
        <w:rPr>
          <w:rFonts w:ascii="宋体"/>
          <w:b/>
          <w:sz w:val="24"/>
          <w:szCs w:val="24"/>
        </w:rPr>
      </w:pPr>
      <w:r>
        <w:rPr>
          <w:rFonts w:ascii="宋体" w:hAnsi="宋体"/>
          <w:b/>
          <w:sz w:val="24"/>
          <w:szCs w:val="24"/>
        </w:rPr>
        <w:t xml:space="preserve">     </w:t>
      </w:r>
      <w:r>
        <w:rPr>
          <w:rFonts w:hint="eastAsia" w:ascii="宋体" w:hAnsi="宋体"/>
          <w:sz w:val="24"/>
          <w:szCs w:val="24"/>
        </w:rPr>
        <w:t>甲、乙双方</w:t>
      </w:r>
      <w:r>
        <w:rPr>
          <w:rFonts w:hint="eastAsia" w:ascii="宋体" w:hAnsi="宋体" w:cs="宋体"/>
          <w:sz w:val="24"/>
        </w:rPr>
        <w:t>根据《中华人民共和国政府采购法》、《中华人民共和国</w:t>
      </w:r>
      <w:r>
        <w:rPr>
          <w:rFonts w:hint="eastAsia" w:ascii="宋体" w:hAnsi="宋体" w:cs="宋体"/>
          <w:sz w:val="24"/>
          <w:lang w:eastAsia="zh-CN"/>
        </w:rPr>
        <w:t>民法典</w:t>
      </w:r>
      <w:r>
        <w:rPr>
          <w:rFonts w:hint="eastAsia" w:ascii="宋体" w:hAnsi="宋体" w:cs="宋体"/>
          <w:sz w:val="24"/>
        </w:rPr>
        <w:t>》等有关法律法规的规定</w:t>
      </w:r>
      <w:r>
        <w:rPr>
          <w:rFonts w:hint="eastAsia" w:ascii="宋体" w:hAnsi="宋体" w:cs="宋体"/>
          <w:sz w:val="24"/>
          <w:lang w:eastAsia="zh-CN"/>
        </w:rPr>
        <w:t>，</w:t>
      </w:r>
      <w:r>
        <w:rPr>
          <w:rFonts w:hint="eastAsia" w:ascii="宋体" w:hAnsi="宋体"/>
          <w:sz w:val="24"/>
          <w:szCs w:val="24"/>
        </w:rPr>
        <w:t>关于</w:t>
      </w:r>
      <w:r>
        <w:rPr>
          <w:rFonts w:ascii="宋体" w:hAnsi="宋体"/>
          <w:sz w:val="24"/>
          <w:szCs w:val="24"/>
        </w:rPr>
        <w:t>_________</w:t>
      </w:r>
      <w:r>
        <w:rPr>
          <w:rFonts w:hint="eastAsia" w:ascii="宋体" w:hAnsi="宋体"/>
          <w:sz w:val="24"/>
          <w:szCs w:val="24"/>
        </w:rPr>
        <w:t>项目（于</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日以</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方式）招标的结果，签署本合同。</w:t>
      </w:r>
    </w:p>
    <w:p w14:paraId="473B3629">
      <w:pPr>
        <w:numPr>
          <w:ilvl w:val="0"/>
          <w:numId w:val="6"/>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服务内容</w:t>
      </w:r>
    </w:p>
    <w:p w14:paraId="07D6107A">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二、合同金额</w:t>
      </w:r>
    </w:p>
    <w:p w14:paraId="674D81F4">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本合同金额为（大写）：_____________元（￥_________元）人民币。</w:t>
      </w:r>
    </w:p>
    <w:p w14:paraId="14775B3C">
      <w:pPr>
        <w:numPr>
          <w:ilvl w:val="0"/>
          <w:numId w:val="0"/>
        </w:numPr>
        <w:spacing w:line="360" w:lineRule="auto"/>
        <w:ind w:leftChars="0"/>
        <w:jc w:val="both"/>
        <w:rPr>
          <w:rFonts w:hint="eastAsia" w:ascii="宋体" w:hAnsi="宋体" w:cs="宋体"/>
          <w:b/>
          <w:bCs/>
          <w:color w:val="auto"/>
          <w:kern w:val="2"/>
          <w:sz w:val="24"/>
          <w:lang w:val="en-US" w:eastAsia="zh-CN"/>
        </w:rPr>
      </w:pPr>
      <w:r>
        <w:rPr>
          <w:rFonts w:hint="eastAsia" w:ascii="宋体" w:hAnsi="宋体" w:cs="宋体"/>
          <w:b/>
          <w:bCs/>
          <w:color w:val="auto"/>
          <w:kern w:val="2"/>
          <w:sz w:val="24"/>
          <w:lang w:val="en-US" w:eastAsia="zh-CN"/>
        </w:rPr>
        <w:t>三、服务期限</w:t>
      </w:r>
    </w:p>
    <w:p w14:paraId="399F8F66">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四、知识产权</w:t>
      </w:r>
    </w:p>
    <w:p w14:paraId="4E22089E">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乙方应保证提供服务过程中不会侵犯任何第三方的知识产权。</w:t>
      </w:r>
    </w:p>
    <w:p w14:paraId="397FBFF8">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en-US" w:eastAsia="zh-CN"/>
        </w:rPr>
        <w:t>五、</w:t>
      </w:r>
      <w:r>
        <w:rPr>
          <w:rFonts w:hint="eastAsia" w:ascii="宋体" w:hAnsi="宋体" w:eastAsia="宋体" w:cs="宋体"/>
          <w:b/>
          <w:bCs/>
          <w:color w:val="auto"/>
          <w:kern w:val="2"/>
          <w:sz w:val="24"/>
          <w:lang w:val="en-US" w:eastAsia="zh-CN"/>
        </w:rPr>
        <w:t>履约保证金</w:t>
      </w:r>
      <w:r>
        <w:rPr>
          <w:rFonts w:hint="eastAsia" w:ascii="宋体" w:hAnsi="宋体" w:cs="宋体"/>
          <w:b/>
          <w:bCs/>
          <w:color w:val="auto"/>
          <w:kern w:val="2"/>
          <w:sz w:val="24"/>
          <w:lang w:val="en-US" w:eastAsia="zh-CN"/>
        </w:rPr>
        <w:t>（如有）</w:t>
      </w:r>
    </w:p>
    <w:p w14:paraId="11323E31">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在签订合同前，需向采购方支付中标价2%的履约保证金，待该项目完成后15个工作日内无息退还。</w:t>
      </w:r>
    </w:p>
    <w:p w14:paraId="159B812D">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六、转包或分包</w:t>
      </w:r>
    </w:p>
    <w:p w14:paraId="3A20AE76">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1.本合同范围的服务，应由乙方直接供应，不得转让他人供应；</w:t>
      </w:r>
    </w:p>
    <w:p w14:paraId="6EE4204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2.除非得到甲方的书面同意，乙方不得将本合同范围的服务全部或部分分包给他人供应；</w:t>
      </w:r>
    </w:p>
    <w:p w14:paraId="398316CB">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3.如有转让和未经甲方同意的分包行为，甲方有权解除合同，没收履约保证金并追究乙方的违约责任。</w:t>
      </w:r>
    </w:p>
    <w:p w14:paraId="740F56D5">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七、项目进度要求</w:t>
      </w:r>
    </w:p>
    <w:p w14:paraId="2C727D50">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八、款项支付</w:t>
      </w:r>
    </w:p>
    <w:p w14:paraId="7F9EC50C">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九、税费</w:t>
      </w:r>
    </w:p>
    <w:p w14:paraId="7B04DC8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本合同执行中相关的一切税费均由乙方负担。</w:t>
      </w:r>
    </w:p>
    <w:p w14:paraId="17E60A60">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zh-CN" w:eastAsia="zh-CN"/>
        </w:rPr>
        <w:t>十、</w:t>
      </w:r>
      <w:r>
        <w:rPr>
          <w:rFonts w:hint="eastAsia" w:ascii="宋体" w:hAnsi="宋体" w:eastAsia="宋体" w:cs="宋体"/>
          <w:b/>
          <w:bCs/>
          <w:color w:val="auto"/>
          <w:kern w:val="2"/>
          <w:sz w:val="24"/>
          <w:lang w:val="zh-CN" w:eastAsia="zh-CN"/>
        </w:rPr>
        <w:t>甲方的责任与义务</w:t>
      </w:r>
    </w:p>
    <w:p w14:paraId="176E52BC">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甲方应当主要负责项目的所有外部关系的联系与协调，为乙方工作提供良好的外部条件。</w:t>
      </w:r>
    </w:p>
    <w:p w14:paraId="380308F8">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甲方应当按双方约定的内容和时间，向乙方提供与项目有关的资料。</w:t>
      </w:r>
    </w:p>
    <w:p w14:paraId="5042B180">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甲方应授权一名熟悉本项目情况、能迅速做出决定的项目代表，负责与乙方联系。更换代表，要提前通知乙方。</w:t>
      </w:r>
    </w:p>
    <w:p w14:paraId="7E85634F">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val="0"/>
          <w:bCs w:val="0"/>
          <w:color w:val="auto"/>
          <w:kern w:val="2"/>
          <w:sz w:val="24"/>
          <w:lang w:val="en-US" w:eastAsia="zh-CN"/>
        </w:rPr>
        <w:t>甲方有与乙方订立补充合同的签订权。</w:t>
      </w:r>
    </w:p>
    <w:p w14:paraId="27C43549">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zh-CN" w:eastAsia="zh-CN"/>
        </w:rPr>
        <w:t>十一、</w:t>
      </w:r>
      <w:r>
        <w:rPr>
          <w:rFonts w:hint="eastAsia" w:ascii="宋体" w:hAnsi="宋体" w:eastAsia="宋体" w:cs="宋体"/>
          <w:b/>
          <w:bCs/>
          <w:color w:val="auto"/>
          <w:kern w:val="2"/>
          <w:sz w:val="24"/>
          <w:lang w:val="zh-CN" w:eastAsia="zh-CN"/>
        </w:rPr>
        <w:t>乙方的责任与义务</w:t>
      </w:r>
    </w:p>
    <w:p w14:paraId="5E998E4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根据投标文件的承诺向甲方委派项目组人员。</w:t>
      </w:r>
    </w:p>
    <w:p w14:paraId="1DDD830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在履行本合同义务的期间，应运用合理的技能，认真、勤奋的工作。</w:t>
      </w:r>
    </w:p>
    <w:p w14:paraId="27105AA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在本合同期内或合同终止后，未征得有关方同意，不得泄漏与本项目、本合同有关的技术、资料等，不得以任何形式侵害甲方的知识产权。</w:t>
      </w:r>
    </w:p>
    <w:p w14:paraId="2FDDC51F">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负责处理好与相关项目实施单位的协调工作。</w:t>
      </w:r>
    </w:p>
    <w:p w14:paraId="2A758FB1">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十</w:t>
      </w:r>
      <w:r>
        <w:rPr>
          <w:rFonts w:hint="eastAsia" w:ascii="宋体" w:hAnsi="宋体" w:cs="宋体"/>
          <w:b/>
          <w:bCs/>
          <w:color w:val="auto"/>
          <w:kern w:val="2"/>
          <w:sz w:val="24"/>
          <w:lang w:val="en-US" w:eastAsia="zh-CN"/>
        </w:rPr>
        <w:t>二</w:t>
      </w:r>
      <w:r>
        <w:rPr>
          <w:rFonts w:hint="eastAsia" w:ascii="宋体" w:hAnsi="宋体" w:eastAsia="宋体" w:cs="宋体"/>
          <w:b/>
          <w:bCs/>
          <w:color w:val="auto"/>
          <w:kern w:val="2"/>
          <w:sz w:val="24"/>
          <w:lang w:val="en-US" w:eastAsia="zh-CN"/>
        </w:rPr>
        <w:t>、违约责任</w:t>
      </w:r>
    </w:p>
    <w:p w14:paraId="6F2A2163">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1．甲方无正当理由拒收接受服务的，甲方向乙方偿付合同款项百分之五作为违约金。</w:t>
      </w:r>
    </w:p>
    <w:p w14:paraId="5BF7E95A">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2．甲方无故逾期验收和办理款项支付手续的,甲方应按逾期付款总额每日万分之五向乙方支付违约金。</w:t>
      </w:r>
    </w:p>
    <w:p w14:paraId="3DDE4461">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0043C09">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三</w:t>
      </w:r>
      <w:r>
        <w:rPr>
          <w:rFonts w:hAnsi="宋体"/>
          <w:b/>
          <w:sz w:val="24"/>
        </w:rPr>
        <w:t>、不可抗力事件处理</w:t>
      </w:r>
    </w:p>
    <w:p w14:paraId="47C69A2F">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1．在合同有效期内，任何一方因不可抗力事件导致不能履行合同，则合同履行期可延长，其延长期与不可抗力影响期相同。</w:t>
      </w:r>
    </w:p>
    <w:p w14:paraId="50C9B76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2．不可抗力事件发生后，应立即通知对方，并寄送有关权威机构出具的证明。</w:t>
      </w:r>
    </w:p>
    <w:p w14:paraId="48FD1448">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3．不可抗力事件延续120天以上，双方应通过友好协商，确定是否继续履行合同。</w:t>
      </w:r>
    </w:p>
    <w:p w14:paraId="478E56C5">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四</w:t>
      </w:r>
      <w:r>
        <w:rPr>
          <w:rFonts w:hAnsi="宋体"/>
          <w:b/>
          <w:sz w:val="24"/>
        </w:rPr>
        <w:t>、诉讼</w:t>
      </w:r>
    </w:p>
    <w:p w14:paraId="3D502256">
      <w:pPr>
        <w:pStyle w:val="14"/>
        <w:snapToGrid w:val="0"/>
        <w:spacing w:before="120" w:after="120" w:line="360" w:lineRule="auto"/>
        <w:rPr>
          <w:rFonts w:hAnsi="宋体"/>
          <w:sz w:val="24"/>
        </w:rPr>
      </w:pPr>
      <w:r>
        <w:rPr>
          <w:rFonts w:hAnsi="宋体"/>
          <w:sz w:val="24"/>
        </w:rPr>
        <w:t>双方在执行合同中所发生的一切争议，应通过协商解决。如协商不成，</w:t>
      </w:r>
      <w:r>
        <w:rPr>
          <w:rFonts w:hint="eastAsia" w:hAnsi="宋体"/>
          <w:sz w:val="24"/>
        </w:rPr>
        <w:t>可向甲方所在地经济仲裁机构提请仲裁或向人民法院提起诉讼。</w:t>
      </w:r>
    </w:p>
    <w:p w14:paraId="1868D3A4">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五</w:t>
      </w:r>
      <w:r>
        <w:rPr>
          <w:rFonts w:hAnsi="宋体"/>
          <w:b/>
          <w:sz w:val="24"/>
        </w:rPr>
        <w:t>、合同生效及其它</w:t>
      </w:r>
    </w:p>
    <w:p w14:paraId="076A1D89">
      <w:pPr>
        <w:pStyle w:val="14"/>
        <w:snapToGrid w:val="0"/>
        <w:spacing w:before="120" w:after="120" w:line="360" w:lineRule="auto"/>
        <w:rPr>
          <w:rFonts w:hAnsi="宋体"/>
          <w:sz w:val="24"/>
        </w:rPr>
      </w:pPr>
      <w:r>
        <w:rPr>
          <w:rFonts w:hAnsi="宋体"/>
          <w:sz w:val="24"/>
        </w:rPr>
        <w:t>1</w:t>
      </w:r>
      <w:r>
        <w:rPr>
          <w:rFonts w:hint="eastAsia" w:hAnsi="宋体"/>
          <w:sz w:val="24"/>
        </w:rPr>
        <w:t>.</w:t>
      </w:r>
      <w:r>
        <w:rPr>
          <w:rFonts w:hAnsi="宋体"/>
          <w:sz w:val="24"/>
        </w:rPr>
        <w:t xml:space="preserve"> 合同经双方法定代表人或授权代表签字并加盖单位公章后生效。</w:t>
      </w:r>
    </w:p>
    <w:p w14:paraId="113A3C35">
      <w:pPr>
        <w:pStyle w:val="14"/>
        <w:snapToGrid w:val="0"/>
        <w:spacing w:before="120" w:after="120" w:line="360" w:lineRule="auto"/>
        <w:rPr>
          <w:rFonts w:hAnsi="宋体"/>
          <w:sz w:val="24"/>
        </w:rPr>
      </w:pPr>
      <w:r>
        <w:rPr>
          <w:rFonts w:hint="eastAsia" w:hAnsi="宋体"/>
          <w:sz w:val="24"/>
        </w:rPr>
        <w:t xml:space="preserve">2. </w:t>
      </w:r>
      <w:r>
        <w:rPr>
          <w:rFonts w:hAnsi="宋体"/>
          <w:sz w:val="24"/>
        </w:rPr>
        <w:t>本合同未尽事宜，遵照《合同法》有关条文执行。</w:t>
      </w:r>
    </w:p>
    <w:p w14:paraId="0791FE91">
      <w:pPr>
        <w:pStyle w:val="14"/>
        <w:snapToGrid w:val="0"/>
        <w:spacing w:before="120" w:after="120" w:line="360" w:lineRule="auto"/>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.本合同一式</w:t>
      </w:r>
      <w:r>
        <w:rPr>
          <w:rFonts w:hint="eastAsia" w:hAnsi="宋体" w:eastAsia="宋体"/>
          <w:sz w:val="24"/>
          <w:lang w:eastAsia="zh-CN"/>
        </w:rPr>
        <w:t>肆</w:t>
      </w:r>
      <w:r>
        <w:rPr>
          <w:rFonts w:hint="eastAsia" w:ascii="宋体" w:hAnsi="宋体" w:eastAsia="宋体"/>
          <w:sz w:val="24"/>
        </w:rPr>
        <w:t>份，</w:t>
      </w:r>
      <w:r>
        <w:rPr>
          <w:rFonts w:hint="eastAsia" w:hAnsi="宋体"/>
          <w:sz w:val="24"/>
        </w:rPr>
        <w:t>具有同等法律效力</w:t>
      </w:r>
      <w:r>
        <w:rPr>
          <w:rFonts w:hint="eastAsia" w:hAnsi="宋体"/>
          <w:sz w:val="24"/>
          <w:lang w:eastAsia="zh-CN"/>
        </w:rPr>
        <w:t>。</w:t>
      </w:r>
      <w:r>
        <w:rPr>
          <w:rFonts w:hint="eastAsia" w:ascii="宋体" w:hAnsi="宋体" w:eastAsia="宋体"/>
          <w:sz w:val="24"/>
        </w:rPr>
        <w:t>甲方、乙方各执</w:t>
      </w:r>
      <w:r>
        <w:rPr>
          <w:rFonts w:hint="eastAsia" w:hAnsi="宋体" w:eastAsia="宋体"/>
          <w:sz w:val="24"/>
          <w:lang w:eastAsia="zh-CN"/>
        </w:rPr>
        <w:t>贰</w:t>
      </w:r>
      <w:r>
        <w:rPr>
          <w:rFonts w:hint="eastAsia" w:ascii="宋体" w:hAnsi="宋体" w:eastAsia="宋体"/>
          <w:sz w:val="24"/>
        </w:rPr>
        <w:t>份。</w:t>
      </w:r>
    </w:p>
    <w:p w14:paraId="7BAC30BF">
      <w:pPr>
        <w:pStyle w:val="14"/>
        <w:snapToGrid w:val="0"/>
        <w:spacing w:before="120" w:after="120" w:line="360" w:lineRule="auto"/>
        <w:rPr>
          <w:rFonts w:hint="eastAsia" w:hAnsi="宋体"/>
          <w:sz w:val="24"/>
        </w:rPr>
      </w:pPr>
    </w:p>
    <w:p w14:paraId="240E4E6D">
      <w:pPr>
        <w:pStyle w:val="14"/>
        <w:snapToGrid w:val="0"/>
        <w:spacing w:before="120" w:after="120" w:line="360" w:lineRule="auto"/>
        <w:rPr>
          <w:rFonts w:hint="eastAsia" w:hAnsi="宋体"/>
          <w:sz w:val="24"/>
        </w:rPr>
      </w:pPr>
      <w:r>
        <w:rPr>
          <w:rFonts w:hint="eastAsia" w:hAnsi="宋体"/>
          <w:sz w:val="24"/>
        </w:rPr>
        <w:t xml:space="preserve">  甲方：                                   乙方： </w:t>
      </w:r>
    </w:p>
    <w:p w14:paraId="7626CAF2">
      <w:pPr>
        <w:pStyle w:val="14"/>
        <w:snapToGrid w:val="0"/>
        <w:spacing w:before="120" w:after="120" w:line="360" w:lineRule="auto"/>
        <w:rPr>
          <w:rFonts w:hint="eastAsia" w:hAnsi="宋体"/>
          <w:sz w:val="24"/>
        </w:rPr>
      </w:pPr>
      <w:r>
        <w:rPr>
          <w:rFonts w:hint="eastAsia" w:hAnsi="宋体"/>
          <w:sz w:val="24"/>
        </w:rPr>
        <w:t xml:space="preserve">  地址：                                   地址： </w:t>
      </w:r>
    </w:p>
    <w:p w14:paraId="54040F8F">
      <w:pPr>
        <w:pStyle w:val="14"/>
        <w:snapToGrid w:val="0"/>
        <w:spacing w:before="120" w:after="120" w:line="360" w:lineRule="auto"/>
        <w:rPr>
          <w:rFonts w:hint="eastAsia" w:hAnsi="宋体"/>
          <w:sz w:val="24"/>
        </w:rPr>
      </w:pPr>
      <w:r>
        <w:rPr>
          <w:rFonts w:hint="eastAsia" w:hAnsi="宋体"/>
          <w:sz w:val="24"/>
        </w:rPr>
        <w:t xml:space="preserve">  法定（授权）代表人：                     法定（授权）代表人：</w:t>
      </w:r>
    </w:p>
    <w:p w14:paraId="692F8CDA">
      <w:pPr>
        <w:pStyle w:val="14"/>
        <w:snapToGrid w:val="0"/>
        <w:spacing w:before="120" w:after="120" w:line="360" w:lineRule="auto"/>
        <w:ind w:firstLine="5040" w:firstLineChars="2100"/>
        <w:rPr>
          <w:rFonts w:hint="eastAsia"/>
          <w:b/>
          <w:bCs/>
          <w:sz w:val="28"/>
          <w:szCs w:val="28"/>
        </w:rPr>
      </w:pPr>
      <w:r>
        <w:rPr>
          <w:rFonts w:hint="eastAsia" w:hAnsi="宋体"/>
          <w:sz w:val="24"/>
        </w:rPr>
        <w:t xml:space="preserve">签字日期：      年  月  </w:t>
      </w:r>
      <w:r>
        <w:rPr>
          <w:rFonts w:hint="eastAsia" w:hAnsi="宋体"/>
          <w:sz w:val="24"/>
          <w:lang w:val="en-US" w:eastAsia="zh-CN"/>
        </w:rPr>
        <w:t xml:space="preserve"> </w:t>
      </w:r>
      <w:r>
        <w:rPr>
          <w:rFonts w:hint="eastAsia" w:hAnsi="宋体"/>
          <w:sz w:val="24"/>
        </w:rPr>
        <w:t>日</w:t>
      </w:r>
    </w:p>
    <w:p w14:paraId="00F0E710"/>
    <w:p w14:paraId="275E9A6A">
      <w:pPr>
        <w:pStyle w:val="14"/>
        <w:snapToGrid w:val="0"/>
        <w:spacing w:before="120" w:after="120" w:line="360" w:lineRule="auto"/>
        <w:rPr>
          <w:rFonts w:hAnsi="宋体"/>
          <w:color w:val="auto"/>
          <w:sz w:val="24"/>
          <w:highlight w:val="none"/>
        </w:rPr>
      </w:pPr>
    </w:p>
    <w:p w14:paraId="494D3590">
      <w:pPr>
        <w:spacing w:afterLines="50" w:line="360" w:lineRule="auto"/>
        <w:jc w:val="center"/>
        <w:rPr>
          <w:rFonts w:hint="eastAsia" w:hAnsi="宋体"/>
          <w:b/>
          <w:color w:val="auto"/>
          <w:sz w:val="32"/>
          <w:szCs w:val="32"/>
          <w:highlight w:val="none"/>
        </w:rPr>
      </w:pPr>
      <w:bookmarkStart w:id="29" w:name="_Toc194217897"/>
      <w:bookmarkStart w:id="30" w:name="_Toc177870561"/>
    </w:p>
    <w:p w14:paraId="4B95A7DE">
      <w:pPr>
        <w:spacing w:afterLines="50" w:line="360" w:lineRule="auto"/>
        <w:jc w:val="center"/>
        <w:rPr>
          <w:rFonts w:hint="eastAsia" w:hAnsi="宋体"/>
          <w:b/>
          <w:color w:val="auto"/>
          <w:sz w:val="32"/>
          <w:szCs w:val="32"/>
          <w:highlight w:val="none"/>
        </w:rPr>
      </w:pPr>
    </w:p>
    <w:p w14:paraId="04514ABA">
      <w:pPr>
        <w:spacing w:afterLines="50" w:line="360" w:lineRule="auto"/>
        <w:jc w:val="center"/>
        <w:rPr>
          <w:rFonts w:hint="eastAsia" w:hAnsi="宋体"/>
          <w:b/>
          <w:color w:val="auto"/>
          <w:sz w:val="32"/>
          <w:szCs w:val="32"/>
          <w:highlight w:val="none"/>
        </w:rPr>
      </w:pPr>
    </w:p>
    <w:p w14:paraId="114F82F4">
      <w:pPr>
        <w:spacing w:afterLines="50" w:line="360" w:lineRule="auto"/>
        <w:jc w:val="center"/>
        <w:rPr>
          <w:rFonts w:hint="eastAsia" w:hAnsi="宋体"/>
          <w:b/>
          <w:color w:val="auto"/>
          <w:sz w:val="32"/>
          <w:szCs w:val="32"/>
          <w:highlight w:val="none"/>
        </w:rPr>
      </w:pPr>
    </w:p>
    <w:p w14:paraId="048D7824">
      <w:pPr>
        <w:spacing w:afterLines="50" w:line="360" w:lineRule="auto"/>
        <w:jc w:val="center"/>
        <w:rPr>
          <w:rFonts w:hint="eastAsia" w:hAnsi="宋体"/>
          <w:b/>
          <w:color w:val="auto"/>
          <w:sz w:val="32"/>
          <w:szCs w:val="32"/>
          <w:highlight w:val="none"/>
        </w:rPr>
      </w:pPr>
    </w:p>
    <w:p w14:paraId="62472058">
      <w:pPr>
        <w:spacing w:afterLines="50" w:line="360" w:lineRule="auto"/>
        <w:jc w:val="center"/>
        <w:rPr>
          <w:rFonts w:hint="eastAsia" w:hAnsi="宋体"/>
          <w:b/>
          <w:color w:val="auto"/>
          <w:sz w:val="32"/>
          <w:szCs w:val="32"/>
          <w:highlight w:val="none"/>
        </w:rPr>
      </w:pPr>
    </w:p>
    <w:p w14:paraId="0E045146">
      <w:pPr>
        <w:spacing w:afterLines="50" w:line="360" w:lineRule="auto"/>
        <w:jc w:val="center"/>
        <w:rPr>
          <w:rFonts w:hint="eastAsia" w:hAnsi="宋体"/>
          <w:b/>
          <w:color w:val="auto"/>
          <w:sz w:val="32"/>
          <w:szCs w:val="32"/>
          <w:highlight w:val="none"/>
        </w:rPr>
      </w:pPr>
    </w:p>
    <w:p w14:paraId="325DD39A">
      <w:pPr>
        <w:spacing w:afterLines="50" w:line="360" w:lineRule="auto"/>
        <w:jc w:val="center"/>
        <w:rPr>
          <w:rFonts w:hint="eastAsia" w:hAnsi="宋体"/>
          <w:b/>
          <w:color w:val="auto"/>
          <w:sz w:val="32"/>
          <w:szCs w:val="32"/>
          <w:highlight w:val="none"/>
        </w:rPr>
      </w:pPr>
    </w:p>
    <w:p w14:paraId="30571AA3">
      <w:pPr>
        <w:spacing w:afterLines="50" w:line="360" w:lineRule="auto"/>
        <w:jc w:val="center"/>
        <w:rPr>
          <w:rFonts w:hint="eastAsia" w:hAnsi="宋体"/>
          <w:b/>
          <w:color w:val="auto"/>
          <w:sz w:val="32"/>
          <w:szCs w:val="32"/>
          <w:highlight w:val="none"/>
        </w:rPr>
      </w:pPr>
    </w:p>
    <w:p w14:paraId="4FEB87DE">
      <w:pPr>
        <w:spacing w:afterLines="50" w:line="360" w:lineRule="auto"/>
        <w:jc w:val="center"/>
        <w:rPr>
          <w:rFonts w:hint="eastAsia" w:hAnsi="宋体"/>
          <w:b/>
          <w:color w:val="auto"/>
          <w:sz w:val="32"/>
          <w:szCs w:val="32"/>
          <w:highlight w:val="none"/>
        </w:rPr>
      </w:pPr>
    </w:p>
    <w:p w14:paraId="2C3A8858">
      <w:pPr>
        <w:spacing w:afterLines="50" w:line="360" w:lineRule="auto"/>
        <w:jc w:val="center"/>
        <w:rPr>
          <w:rFonts w:hint="eastAsia" w:hAnsi="宋体"/>
          <w:b/>
          <w:color w:val="auto"/>
          <w:sz w:val="32"/>
          <w:szCs w:val="32"/>
          <w:highlight w:val="none"/>
        </w:rPr>
      </w:pPr>
    </w:p>
    <w:p w14:paraId="0E0765B3">
      <w:pPr>
        <w:spacing w:afterLines="50" w:line="360" w:lineRule="auto"/>
        <w:jc w:val="center"/>
        <w:rPr>
          <w:rFonts w:hint="eastAsia" w:hAnsi="宋体"/>
          <w:b/>
          <w:color w:val="auto"/>
          <w:sz w:val="32"/>
          <w:szCs w:val="32"/>
          <w:highlight w:val="none"/>
        </w:rPr>
      </w:pPr>
    </w:p>
    <w:p w14:paraId="5246D170">
      <w:pPr>
        <w:spacing w:afterLines="50" w:line="360" w:lineRule="auto"/>
        <w:jc w:val="center"/>
        <w:rPr>
          <w:rFonts w:hint="eastAsia" w:hAnsi="宋体"/>
          <w:b/>
          <w:color w:val="auto"/>
          <w:sz w:val="32"/>
          <w:szCs w:val="32"/>
          <w:highlight w:val="none"/>
        </w:rPr>
      </w:pPr>
    </w:p>
    <w:p w14:paraId="665D1EDD">
      <w:pPr>
        <w:spacing w:afterLines="50" w:line="360" w:lineRule="auto"/>
        <w:jc w:val="center"/>
        <w:rPr>
          <w:rFonts w:hint="eastAsia" w:hAnsi="宋体"/>
          <w:b/>
          <w:color w:val="auto"/>
          <w:sz w:val="32"/>
          <w:szCs w:val="32"/>
          <w:highlight w:val="none"/>
        </w:rPr>
      </w:pPr>
    </w:p>
    <w:p w14:paraId="37AEDDE8">
      <w:pPr>
        <w:spacing w:afterLines="50" w:line="360" w:lineRule="auto"/>
        <w:jc w:val="center"/>
        <w:rPr>
          <w:rFonts w:hAnsi="宋体"/>
          <w:b/>
          <w:color w:val="auto"/>
          <w:sz w:val="32"/>
          <w:szCs w:val="32"/>
          <w:highlight w:val="none"/>
        </w:rPr>
      </w:pPr>
      <w:r>
        <w:rPr>
          <w:rFonts w:hint="eastAsia" w:hAnsi="宋体"/>
          <w:b/>
          <w:color w:val="auto"/>
          <w:sz w:val="32"/>
          <w:szCs w:val="32"/>
          <w:highlight w:val="none"/>
        </w:rPr>
        <w:t>第六章    投标文件格式</w:t>
      </w:r>
    </w:p>
    <w:p w14:paraId="6FD47E35">
      <w:pPr>
        <w:snapToGrid w:val="0"/>
        <w:spacing w:beforeLines="50" w:after="50"/>
        <w:rPr>
          <w:rFonts w:ascii="宋体" w:hAnsi="宋体"/>
          <w:b/>
          <w:color w:val="auto"/>
          <w:sz w:val="24"/>
          <w:highlight w:val="none"/>
        </w:rPr>
      </w:pPr>
      <w:r>
        <w:rPr>
          <w:rFonts w:hint="eastAsia" w:ascii="宋体" w:hAnsi="宋体"/>
          <w:b/>
          <w:color w:val="auto"/>
          <w:sz w:val="24"/>
          <w:highlight w:val="none"/>
        </w:rPr>
        <w:t>1.所有投标文件的外包装封面格式：</w:t>
      </w:r>
    </w:p>
    <w:p w14:paraId="2E1754A1">
      <w:pPr>
        <w:snapToGrid w:val="0"/>
        <w:spacing w:beforeLines="50" w:after="50" w:line="380" w:lineRule="exact"/>
        <w:jc w:val="center"/>
        <w:rPr>
          <w:rFonts w:ascii="宋体" w:hAnsi="宋体"/>
          <w:bCs/>
          <w:color w:val="auto"/>
          <w:sz w:val="24"/>
          <w:highlight w:val="none"/>
        </w:rPr>
      </w:pPr>
      <w:r>
        <w:rPr>
          <w:rFonts w:hint="eastAsia" w:ascii="宋体" w:hAnsi="宋体"/>
          <w:bCs/>
          <w:color w:val="auto"/>
          <w:sz w:val="24"/>
          <w:highlight w:val="none"/>
        </w:rPr>
        <w:t>×××（投标人名称）</w:t>
      </w:r>
    </w:p>
    <w:p w14:paraId="3FC22E5F">
      <w:pPr>
        <w:snapToGrid w:val="0"/>
        <w:spacing w:beforeLines="50" w:after="50" w:line="380" w:lineRule="exact"/>
        <w:jc w:val="center"/>
        <w:rPr>
          <w:rFonts w:ascii="宋体" w:hAnsi="宋体"/>
          <w:bCs/>
          <w:color w:val="auto"/>
          <w:sz w:val="24"/>
          <w:highlight w:val="none"/>
        </w:rPr>
      </w:pPr>
      <w:r>
        <w:rPr>
          <w:rFonts w:hint="eastAsia" w:ascii="宋体" w:hAnsi="宋体"/>
          <w:bCs/>
          <w:color w:val="auto"/>
          <w:sz w:val="24"/>
          <w:highlight w:val="none"/>
        </w:rPr>
        <w:t>投 标 文 件</w:t>
      </w:r>
    </w:p>
    <w:p w14:paraId="62E27F16">
      <w:pPr>
        <w:snapToGrid w:val="0"/>
        <w:spacing w:beforeLines="50" w:after="50" w:line="380" w:lineRule="exact"/>
        <w:ind w:firstLine="960" w:firstLineChars="400"/>
        <w:rPr>
          <w:rFonts w:ascii="宋体" w:hAnsi="宋体"/>
          <w:bCs/>
          <w:color w:val="auto"/>
          <w:sz w:val="24"/>
          <w:highlight w:val="none"/>
        </w:rPr>
      </w:pPr>
      <w:r>
        <w:rPr>
          <w:rFonts w:hint="eastAsia" w:ascii="宋体" w:hAnsi="宋体"/>
          <w:bCs/>
          <w:color w:val="auto"/>
          <w:sz w:val="24"/>
          <w:highlight w:val="none"/>
        </w:rPr>
        <w:t>项目名称：</w:t>
      </w:r>
    </w:p>
    <w:p w14:paraId="1EBAA087">
      <w:pPr>
        <w:snapToGrid w:val="0"/>
        <w:spacing w:beforeLines="50" w:after="50" w:line="38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2EB25AB9">
      <w:pPr>
        <w:pStyle w:val="10"/>
        <w:snapToGrid w:val="0"/>
        <w:spacing w:before="50" w:after="50" w:line="380" w:lineRule="exact"/>
        <w:ind w:firstLine="1020" w:firstLineChars="425"/>
        <w:rPr>
          <w:rFonts w:ascii="仿宋_GB2312" w:eastAsia="仿宋_GB2312"/>
          <w:bCs/>
          <w:color w:val="auto"/>
          <w:sz w:val="24"/>
          <w:highlight w:val="none"/>
        </w:rPr>
      </w:pPr>
      <w:r>
        <w:rPr>
          <w:rFonts w:ascii="宋体" w:hAnsi="宋体"/>
          <w:bCs/>
          <w:color w:val="auto"/>
          <w:sz w:val="24"/>
          <w:highlight w:val="none"/>
        </w:rPr>
        <w:t>投标文件名称：</w:t>
      </w:r>
      <w:r>
        <w:rPr>
          <w:rFonts w:hint="eastAsia" w:ascii="宋体" w:hAnsi="宋体"/>
          <w:bCs/>
          <w:color w:val="auto"/>
          <w:sz w:val="24"/>
          <w:highlight w:val="none"/>
        </w:rPr>
        <w:t>（资信技术文件）或（报价文件）</w:t>
      </w:r>
    </w:p>
    <w:p w14:paraId="1E8D7873">
      <w:pPr>
        <w:pStyle w:val="10"/>
        <w:snapToGrid w:val="0"/>
        <w:spacing w:before="50" w:after="50" w:line="380" w:lineRule="exact"/>
        <w:ind w:firstLine="998" w:firstLineChars="416"/>
        <w:rPr>
          <w:rFonts w:ascii="宋体" w:hAnsi="宋体"/>
          <w:bCs/>
          <w:color w:val="auto"/>
          <w:sz w:val="24"/>
          <w:highlight w:val="none"/>
        </w:rPr>
      </w:pPr>
      <w:r>
        <w:rPr>
          <w:rFonts w:ascii="宋体" w:hAnsi="宋体"/>
          <w:bCs/>
          <w:color w:val="auto"/>
          <w:sz w:val="24"/>
          <w:highlight w:val="none"/>
        </w:rPr>
        <w:t>投标人名称（盖章）：</w:t>
      </w:r>
    </w:p>
    <w:p w14:paraId="3B16BB65">
      <w:pPr>
        <w:pStyle w:val="10"/>
        <w:snapToGrid w:val="0"/>
        <w:spacing w:before="50" w:after="50" w:line="380" w:lineRule="exact"/>
        <w:ind w:firstLine="998" w:firstLineChars="416"/>
        <w:rPr>
          <w:rFonts w:ascii="宋体" w:hAnsi="宋体"/>
          <w:bCs/>
          <w:color w:val="auto"/>
          <w:sz w:val="24"/>
          <w:highlight w:val="none"/>
        </w:rPr>
      </w:pPr>
      <w:r>
        <w:rPr>
          <w:rFonts w:ascii="宋体" w:hAnsi="宋体"/>
          <w:bCs/>
          <w:color w:val="auto"/>
          <w:sz w:val="24"/>
          <w:highlight w:val="none"/>
        </w:rPr>
        <w:t>投标人地址：</w:t>
      </w:r>
    </w:p>
    <w:p w14:paraId="74934E07">
      <w:pPr>
        <w:pStyle w:val="10"/>
        <w:snapToGrid w:val="0"/>
        <w:spacing w:before="50" w:after="50" w:line="380" w:lineRule="exact"/>
        <w:ind w:firstLine="960" w:firstLineChars="400"/>
        <w:rPr>
          <w:rFonts w:ascii="宋体" w:hAnsi="宋体"/>
          <w:bCs/>
          <w:color w:val="auto"/>
          <w:sz w:val="24"/>
          <w:highlight w:val="none"/>
        </w:rPr>
      </w:pPr>
      <w:r>
        <w:rPr>
          <w:rFonts w:ascii="宋体" w:hAnsi="宋体"/>
          <w:bCs/>
          <w:color w:val="auto"/>
          <w:sz w:val="24"/>
          <w:highlight w:val="none"/>
        </w:rPr>
        <w:t>在  年  月  日  时  分之前不得启封</w:t>
      </w:r>
    </w:p>
    <w:p w14:paraId="5284466A">
      <w:pPr>
        <w:snapToGrid w:val="0"/>
        <w:spacing w:beforeLines="50" w:after="50" w:line="380" w:lineRule="exact"/>
        <w:ind w:firstLine="4080" w:firstLineChars="1700"/>
        <w:rPr>
          <w:rFonts w:ascii="宋体" w:hAnsi="宋体"/>
          <w:bCs/>
          <w:color w:val="auto"/>
          <w:sz w:val="24"/>
          <w:highlight w:val="none"/>
        </w:rPr>
      </w:pPr>
      <w:r>
        <w:rPr>
          <w:rFonts w:hint="eastAsia" w:ascii="宋体" w:hAnsi="宋体"/>
          <w:bCs/>
          <w:color w:val="auto"/>
          <w:sz w:val="24"/>
          <w:highlight w:val="none"/>
        </w:rPr>
        <w:t>法定代表人签字或盖章：</w:t>
      </w:r>
    </w:p>
    <w:p w14:paraId="3C14B901">
      <w:pPr>
        <w:snapToGrid w:val="0"/>
        <w:spacing w:beforeLines="50" w:after="50" w:line="380" w:lineRule="exact"/>
        <w:ind w:firstLine="645"/>
        <w:jc w:val="center"/>
        <w:rPr>
          <w:rFonts w:ascii="宋体" w:hAnsi="宋体"/>
          <w:bCs/>
          <w:color w:val="auto"/>
          <w:sz w:val="24"/>
          <w:highlight w:val="none"/>
        </w:rPr>
      </w:pPr>
      <w:r>
        <w:rPr>
          <w:rFonts w:hint="eastAsia" w:ascii="宋体" w:hAnsi="宋体"/>
          <w:bCs/>
          <w:color w:val="auto"/>
          <w:sz w:val="24"/>
          <w:highlight w:val="none"/>
        </w:rPr>
        <w:t>年月日</w:t>
      </w:r>
    </w:p>
    <w:p w14:paraId="41B8F3C1">
      <w:pPr>
        <w:snapToGrid w:val="0"/>
        <w:spacing w:beforeLines="50" w:after="50" w:line="380" w:lineRule="exact"/>
        <w:ind w:firstLine="645"/>
        <w:jc w:val="center"/>
        <w:rPr>
          <w:rFonts w:ascii="宋体" w:hAnsi="宋体"/>
          <w:bCs/>
          <w:color w:val="auto"/>
          <w:sz w:val="24"/>
          <w:highlight w:val="none"/>
        </w:rPr>
      </w:pPr>
    </w:p>
    <w:p w14:paraId="69322EC8">
      <w:pPr>
        <w:snapToGrid w:val="0"/>
        <w:spacing w:beforeLines="50" w:after="50"/>
        <w:rPr>
          <w:rFonts w:ascii="宋体" w:hAnsi="宋体"/>
          <w:b/>
          <w:color w:val="auto"/>
          <w:sz w:val="24"/>
          <w:highlight w:val="none"/>
        </w:rPr>
      </w:pPr>
      <w:r>
        <w:rPr>
          <w:rFonts w:hint="eastAsia" w:ascii="宋体" w:hAnsi="宋体"/>
          <w:b/>
          <w:color w:val="auto"/>
          <w:sz w:val="24"/>
          <w:highlight w:val="none"/>
        </w:rPr>
        <w:t xml:space="preserve">2. 资信技术（报价）文件封面格式： </w:t>
      </w:r>
    </w:p>
    <w:p w14:paraId="42720E31">
      <w:pPr>
        <w:snapToGrid w:val="0"/>
        <w:spacing w:beforeLines="50" w:after="50"/>
        <w:ind w:firstLine="5542" w:firstLineChars="2300"/>
        <w:rPr>
          <w:rFonts w:ascii="宋体" w:hAnsi="宋体"/>
          <w:b/>
          <w:bCs/>
          <w:color w:val="auto"/>
          <w:sz w:val="24"/>
          <w:highlight w:val="none"/>
        </w:rPr>
      </w:pPr>
      <w:r>
        <w:rPr>
          <w:rFonts w:hint="eastAsia" w:ascii="宋体" w:hAnsi="宋体"/>
          <w:b/>
          <w:bCs/>
          <w:color w:val="auto"/>
          <w:sz w:val="24"/>
          <w:highlight w:val="none"/>
        </w:rPr>
        <w:t>正本/或副本</w:t>
      </w:r>
    </w:p>
    <w:p w14:paraId="360F0BEB">
      <w:pPr>
        <w:snapToGrid w:val="0"/>
        <w:spacing w:beforeLines="50" w:after="50" w:line="360" w:lineRule="exact"/>
        <w:jc w:val="center"/>
        <w:rPr>
          <w:rFonts w:ascii="宋体" w:hAnsi="宋体"/>
          <w:bCs/>
          <w:color w:val="auto"/>
          <w:sz w:val="24"/>
          <w:highlight w:val="none"/>
        </w:rPr>
      </w:pPr>
      <w:r>
        <w:rPr>
          <w:rFonts w:hint="eastAsia" w:ascii="宋体" w:hAnsi="宋体"/>
          <w:bCs/>
          <w:color w:val="auto"/>
          <w:sz w:val="24"/>
          <w:highlight w:val="none"/>
        </w:rPr>
        <w:t>×××（投标人名称）</w:t>
      </w:r>
    </w:p>
    <w:p w14:paraId="44312B25">
      <w:pPr>
        <w:snapToGrid w:val="0"/>
        <w:spacing w:beforeLines="50" w:after="50" w:line="360" w:lineRule="exact"/>
        <w:jc w:val="center"/>
        <w:rPr>
          <w:rFonts w:ascii="宋体" w:hAnsi="宋体"/>
          <w:bCs/>
          <w:color w:val="auto"/>
          <w:sz w:val="24"/>
          <w:highlight w:val="none"/>
        </w:rPr>
      </w:pPr>
      <w:r>
        <w:rPr>
          <w:rFonts w:hint="eastAsia" w:ascii="宋体" w:hAnsi="宋体"/>
          <w:color w:val="auto"/>
          <w:sz w:val="24"/>
          <w:highlight w:val="none"/>
          <w:lang w:val="zh-CN"/>
        </w:rPr>
        <w:t>资信技术文件</w:t>
      </w:r>
      <w:r>
        <w:rPr>
          <w:rFonts w:hint="eastAsia" w:ascii="宋体" w:hAnsi="宋体"/>
          <w:bCs/>
          <w:color w:val="auto"/>
          <w:sz w:val="24"/>
          <w:highlight w:val="none"/>
        </w:rPr>
        <w:t xml:space="preserve">  或   </w:t>
      </w:r>
      <w:r>
        <w:rPr>
          <w:rFonts w:hint="eastAsia" w:ascii="宋体" w:hAnsi="宋体"/>
          <w:color w:val="auto"/>
          <w:sz w:val="24"/>
          <w:highlight w:val="none"/>
        </w:rPr>
        <w:t>报价文件</w:t>
      </w:r>
    </w:p>
    <w:p w14:paraId="4E6B38E3">
      <w:pPr>
        <w:snapToGrid w:val="0"/>
        <w:spacing w:beforeLines="50" w:after="50" w:line="360" w:lineRule="exact"/>
        <w:ind w:firstLine="960" w:firstLineChars="400"/>
        <w:rPr>
          <w:rFonts w:ascii="宋体" w:hAnsi="宋体"/>
          <w:bCs/>
          <w:color w:val="auto"/>
          <w:sz w:val="24"/>
          <w:highlight w:val="none"/>
        </w:rPr>
      </w:pPr>
      <w:r>
        <w:rPr>
          <w:rFonts w:hint="eastAsia" w:ascii="宋体" w:hAnsi="宋体"/>
          <w:bCs/>
          <w:color w:val="auto"/>
          <w:sz w:val="24"/>
          <w:highlight w:val="none"/>
        </w:rPr>
        <w:t>项目名称：</w:t>
      </w:r>
    </w:p>
    <w:p w14:paraId="436D445A">
      <w:pPr>
        <w:snapToGrid w:val="0"/>
        <w:spacing w:beforeLines="50" w:after="50" w:line="36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4F284C27">
      <w:pPr>
        <w:pStyle w:val="10"/>
        <w:snapToGrid w:val="0"/>
        <w:spacing w:before="50" w:after="50" w:line="360" w:lineRule="exact"/>
        <w:ind w:firstLine="998" w:firstLineChars="416"/>
        <w:rPr>
          <w:rFonts w:ascii="宋体" w:hAnsi="宋体"/>
          <w:bCs/>
          <w:color w:val="auto"/>
          <w:sz w:val="24"/>
          <w:highlight w:val="none"/>
        </w:rPr>
      </w:pPr>
      <w:r>
        <w:rPr>
          <w:rFonts w:ascii="宋体" w:hAnsi="宋体"/>
          <w:bCs/>
          <w:color w:val="auto"/>
          <w:sz w:val="24"/>
          <w:highlight w:val="none"/>
        </w:rPr>
        <w:t>投标人名称（盖章）：</w:t>
      </w:r>
    </w:p>
    <w:p w14:paraId="39446D78">
      <w:pPr>
        <w:pStyle w:val="10"/>
        <w:snapToGrid w:val="0"/>
        <w:spacing w:before="50" w:after="50" w:line="360" w:lineRule="exact"/>
        <w:ind w:firstLine="998" w:firstLineChars="416"/>
        <w:rPr>
          <w:rFonts w:ascii="宋体" w:hAnsi="宋体"/>
          <w:bCs/>
          <w:color w:val="auto"/>
          <w:sz w:val="24"/>
          <w:highlight w:val="none"/>
        </w:rPr>
      </w:pPr>
      <w:r>
        <w:rPr>
          <w:rFonts w:ascii="宋体" w:hAnsi="宋体"/>
          <w:bCs/>
          <w:color w:val="auto"/>
          <w:sz w:val="24"/>
          <w:highlight w:val="none"/>
        </w:rPr>
        <w:t>投标人地址：</w:t>
      </w:r>
    </w:p>
    <w:p w14:paraId="7972DCB2">
      <w:pPr>
        <w:snapToGrid w:val="0"/>
        <w:spacing w:beforeLines="50" w:after="50" w:line="360" w:lineRule="exact"/>
        <w:ind w:firstLine="4080" w:firstLineChars="1700"/>
        <w:rPr>
          <w:rFonts w:ascii="宋体" w:hAnsi="宋体"/>
          <w:color w:val="auto"/>
          <w:sz w:val="24"/>
          <w:highlight w:val="none"/>
        </w:rPr>
      </w:pPr>
      <w:r>
        <w:rPr>
          <w:rFonts w:hint="eastAsia" w:ascii="宋体" w:hAnsi="宋体"/>
          <w:color w:val="auto"/>
          <w:sz w:val="24"/>
          <w:highlight w:val="none"/>
        </w:rPr>
        <w:t>法定代表人签字或盖章：</w:t>
      </w:r>
    </w:p>
    <w:p w14:paraId="13531DE1">
      <w:pPr>
        <w:snapToGrid w:val="0"/>
        <w:spacing w:beforeLines="50" w:after="50" w:line="360" w:lineRule="exact"/>
        <w:ind w:firstLine="645"/>
        <w:jc w:val="center"/>
        <w:rPr>
          <w:rFonts w:ascii="宋体" w:hAnsi="宋体"/>
          <w:bCs/>
          <w:color w:val="auto"/>
          <w:sz w:val="24"/>
          <w:highlight w:val="none"/>
        </w:rPr>
      </w:pPr>
      <w:r>
        <w:rPr>
          <w:rFonts w:hint="eastAsia" w:ascii="宋体" w:hAnsi="宋体"/>
          <w:color w:val="auto"/>
          <w:sz w:val="24"/>
          <w:highlight w:val="none"/>
        </w:rPr>
        <w:t>年月日</w:t>
      </w:r>
    </w:p>
    <w:p w14:paraId="7E6A51AD">
      <w:pPr>
        <w:snapToGrid w:val="0"/>
        <w:spacing w:beforeLines="50" w:after="50" w:line="380" w:lineRule="exact"/>
        <w:ind w:firstLine="645"/>
        <w:rPr>
          <w:rFonts w:ascii="宋体" w:hAnsi="宋体"/>
          <w:color w:val="auto"/>
          <w:sz w:val="24"/>
          <w:highlight w:val="none"/>
        </w:rPr>
      </w:pPr>
    </w:p>
    <w:p w14:paraId="707BD101">
      <w:pPr>
        <w:keepNext w:val="0"/>
        <w:keepLines w:val="0"/>
        <w:widowControl/>
        <w:suppressLineNumbers w:val="0"/>
        <w:jc w:val="left"/>
        <w:rPr>
          <w:rFonts w:hint="eastAsia" w:ascii="宋体" w:hAnsi="宋体" w:eastAsia="宋体" w:cs="宋体"/>
          <w:color w:val="auto"/>
          <w:sz w:val="24"/>
          <w:szCs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eastAsia="宋体" w:cs="宋体"/>
          <w:b/>
          <w:color w:val="auto"/>
          <w:kern w:val="0"/>
          <w:sz w:val="24"/>
          <w:szCs w:val="24"/>
          <w:highlight w:val="none"/>
          <w:lang w:val="en-US" w:eastAsia="zh-CN" w:bidi="ar"/>
        </w:rPr>
        <w:t xml:space="preserve">★符合“供应商的资格要求”规定的证明文件 </w:t>
      </w:r>
    </w:p>
    <w:p w14:paraId="11F8B92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（1）★营业执照等证明文件 </w:t>
      </w:r>
    </w:p>
    <w:p w14:paraId="021A8EB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证明材料：营业执照（或事业单位法人证书或执业许可证或自然人有效身份证明）</w:t>
      </w:r>
      <w:r>
        <w:rPr>
          <w:rFonts w:hint="eastAsia" w:ascii="宋体" w:hAnsi="宋体" w:eastAsia="宋体" w:cs="宋体"/>
          <w:color w:val="auto"/>
          <w:kern w:val="0"/>
          <w:sz w:val="24"/>
          <w:szCs w:val="24"/>
          <w:highlight w:val="none"/>
          <w:lang w:val="en-US" w:eastAsia="zh-CN" w:bidi="ar"/>
        </w:rPr>
        <w:t xml:space="preserve">（提供复印件加盖投标供应商公章）。 </w:t>
      </w:r>
    </w:p>
    <w:p w14:paraId="770016E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提示和说明： </w:t>
      </w:r>
    </w:p>
    <w:p w14:paraId="2768A4E1">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217CE22F">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540E8AC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4409DA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CBE9D3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5B2500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C9C140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0967650">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7E0BE8E">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86A0A0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D335BB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（2）★具有良好的商业信誉和健全的财务会计制度的承诺函 </w:t>
      </w:r>
    </w:p>
    <w:p w14:paraId="2D7F961E">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u w:val="singl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 xml:space="preserve">：（采购机构名称） </w:t>
      </w:r>
    </w:p>
    <w:p w14:paraId="6E7126B9">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桐庐县人民法院档案电动密集架改造升级项目</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HZLZ-TL2024GK-031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谈判/中标（成交）/签订合同），我方对此无任何异议，并愿意承担一切后果和责任。 </w:t>
      </w:r>
    </w:p>
    <w:p w14:paraId="2EC58B2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C025C7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10C4C42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FE7B74A">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4D7D669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455D8B3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F41BA2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8D7171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DC474F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F0C03C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426BCAA">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29274CC">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78E379A">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A2F061B">
      <w:pPr>
        <w:pStyle w:val="11"/>
        <w:rPr>
          <w:rFonts w:hint="eastAsia" w:ascii="宋体" w:hAnsi="宋体" w:eastAsia="宋体" w:cs="宋体"/>
          <w:b/>
          <w:color w:val="auto"/>
          <w:kern w:val="0"/>
          <w:sz w:val="24"/>
          <w:szCs w:val="24"/>
          <w:highlight w:val="none"/>
          <w:lang w:val="en-US" w:eastAsia="zh-CN" w:bidi="ar"/>
        </w:rPr>
      </w:pPr>
    </w:p>
    <w:p w14:paraId="194C5713">
      <w:pPr>
        <w:rPr>
          <w:rFonts w:hint="eastAsia" w:ascii="宋体" w:hAnsi="宋体" w:eastAsia="宋体" w:cs="宋体"/>
          <w:b/>
          <w:color w:val="auto"/>
          <w:kern w:val="0"/>
          <w:sz w:val="24"/>
          <w:szCs w:val="24"/>
          <w:highlight w:val="none"/>
          <w:lang w:val="en-US" w:eastAsia="zh-CN" w:bidi="ar"/>
        </w:rPr>
      </w:pPr>
    </w:p>
    <w:p w14:paraId="15D76D68">
      <w:pPr>
        <w:pStyle w:val="11"/>
        <w:rPr>
          <w:rFonts w:hint="eastAsia"/>
          <w:color w:val="auto"/>
          <w:highlight w:val="none"/>
          <w:lang w:val="en-US" w:eastAsia="zh-CN"/>
        </w:rPr>
      </w:pPr>
    </w:p>
    <w:p w14:paraId="610BE6C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4CAA33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（3）★具有履行合同所必需的设备和专业技术能力的承诺函 </w:t>
      </w:r>
    </w:p>
    <w:p w14:paraId="30E3879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b w:val="0"/>
          <w:bCs/>
          <w:color w:val="auto"/>
          <w:kern w:val="0"/>
          <w:sz w:val="24"/>
          <w:szCs w:val="24"/>
          <w:highlight w:val="none"/>
          <w:lang w:val="en-US" w:eastAsia="zh-CN" w:bidi="ar"/>
        </w:rPr>
        <w:t>（采购机构名称）</w:t>
      </w:r>
      <w:r>
        <w:rPr>
          <w:rFonts w:hint="eastAsia" w:ascii="宋体" w:hAnsi="宋体" w:eastAsia="宋体" w:cs="宋体"/>
          <w:b/>
          <w:color w:val="auto"/>
          <w:kern w:val="0"/>
          <w:sz w:val="24"/>
          <w:szCs w:val="24"/>
          <w:highlight w:val="none"/>
          <w:lang w:val="en-US" w:eastAsia="zh-CN" w:bidi="ar"/>
        </w:rPr>
        <w:t xml:space="preserve"> </w:t>
      </w:r>
    </w:p>
    <w:p w14:paraId="2C8A4362">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桐庐县人民法院档案电动密集架改造升级项目</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HZLZ-TL2024GK-031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采购人可取消我方任何资格 （投标/谈判/中标（成交）/签订合同），我方对此无任何异议，并愿意承担一切后果和责任。 </w:t>
      </w:r>
    </w:p>
    <w:p w14:paraId="3C54FCE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546BEE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1EF07AD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ECA35C2">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09C1AB2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4ADC1C6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0BE117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94F433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DB5529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14FA9A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3C625B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60AEF6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8AF697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BB2267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（4）★依法缴纳税收和社会保障金的承诺函 </w:t>
      </w:r>
    </w:p>
    <w:p w14:paraId="5F861AC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b w:val="0"/>
          <w:bCs/>
          <w:color w:val="auto"/>
          <w:kern w:val="0"/>
          <w:sz w:val="24"/>
          <w:szCs w:val="24"/>
          <w:highlight w:val="none"/>
          <w:lang w:val="en-US" w:eastAsia="zh-CN" w:bidi="ar"/>
        </w:rPr>
        <w:t>（采购机构名称）</w:t>
      </w:r>
      <w:r>
        <w:rPr>
          <w:rFonts w:hint="eastAsia" w:ascii="宋体" w:hAnsi="宋体" w:eastAsia="宋体" w:cs="宋体"/>
          <w:b/>
          <w:color w:val="auto"/>
          <w:kern w:val="0"/>
          <w:sz w:val="24"/>
          <w:szCs w:val="24"/>
          <w:highlight w:val="none"/>
          <w:lang w:val="en-US" w:eastAsia="zh-CN" w:bidi="ar"/>
        </w:rPr>
        <w:t xml:space="preserve"> </w:t>
      </w:r>
    </w:p>
    <w:p w14:paraId="35410374">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桐庐县人民法院档案电动密集架改造升级项目</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HZLZ-TL2024GK-031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已依法办理税务、社保登记手续，并依法缴纳税收和社会保障金，符合本项目采购文件规定的投标供应商资格要求，本文件中所提供的相关材料均真实有效，如有虚假或隐瞒，采购人可取消我方任何资格（投标/谈判/中标（成交）/签订合同），我方对此无任何异议，并愿意承担一切后果和责任。 </w:t>
      </w:r>
    </w:p>
    <w:p w14:paraId="7ADEF56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4BFD32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2C0B1A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71890E4">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38D302D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5F76B7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A0CDE7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4DC38B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8B6E0E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A47135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5FD2A3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ED9E23F">
      <w:pPr>
        <w:pStyle w:val="6"/>
        <w:numPr>
          <w:ilvl w:val="4"/>
          <w:numId w:val="0"/>
        </w:numPr>
        <w:ind w:leftChars="0"/>
        <w:rPr>
          <w:rFonts w:hint="eastAsia"/>
          <w:color w:val="auto"/>
          <w:highlight w:val="none"/>
          <w:lang w:val="en-US" w:eastAsia="zh-CN"/>
        </w:rPr>
      </w:pPr>
    </w:p>
    <w:p w14:paraId="38DD7224">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74546A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3D4B803">
      <w:pPr>
        <w:pStyle w:val="11"/>
        <w:rPr>
          <w:rFonts w:hint="eastAsia" w:ascii="宋体" w:hAnsi="宋体" w:eastAsia="宋体" w:cs="宋体"/>
          <w:b/>
          <w:color w:val="auto"/>
          <w:kern w:val="0"/>
          <w:sz w:val="24"/>
          <w:szCs w:val="24"/>
          <w:highlight w:val="none"/>
          <w:lang w:val="en-US" w:eastAsia="zh-CN" w:bidi="ar"/>
        </w:rPr>
      </w:pPr>
    </w:p>
    <w:p w14:paraId="63E74A36">
      <w:pPr>
        <w:rPr>
          <w:rFonts w:hint="eastAsia" w:ascii="宋体" w:hAnsi="宋体" w:eastAsia="宋体" w:cs="宋体"/>
          <w:b/>
          <w:color w:val="auto"/>
          <w:kern w:val="0"/>
          <w:sz w:val="24"/>
          <w:szCs w:val="24"/>
          <w:highlight w:val="none"/>
          <w:lang w:val="en-US" w:eastAsia="zh-CN" w:bidi="ar"/>
        </w:rPr>
      </w:pPr>
    </w:p>
    <w:p w14:paraId="1BC5DD28">
      <w:pPr>
        <w:pStyle w:val="11"/>
        <w:rPr>
          <w:rFonts w:hint="eastAsia"/>
          <w:color w:val="auto"/>
          <w:highlight w:val="none"/>
          <w:lang w:val="en-US" w:eastAsia="zh-CN"/>
        </w:rPr>
      </w:pPr>
    </w:p>
    <w:p w14:paraId="13250F9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8934C3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（5）★近三年内在经营活动中没有重大违法记录的承诺函 </w:t>
      </w:r>
    </w:p>
    <w:p w14:paraId="2707C09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b w:val="0"/>
          <w:bCs/>
          <w:color w:val="auto"/>
          <w:kern w:val="0"/>
          <w:sz w:val="24"/>
          <w:szCs w:val="24"/>
          <w:highlight w:val="none"/>
          <w:lang w:val="en-US" w:eastAsia="zh-CN" w:bidi="ar"/>
        </w:rPr>
        <w:t>（采购机构名称）</w:t>
      </w:r>
      <w:r>
        <w:rPr>
          <w:rFonts w:hint="eastAsia" w:ascii="宋体" w:hAnsi="宋体" w:eastAsia="宋体" w:cs="宋体"/>
          <w:b/>
          <w:color w:val="auto"/>
          <w:kern w:val="0"/>
          <w:sz w:val="24"/>
          <w:szCs w:val="24"/>
          <w:highlight w:val="none"/>
          <w:lang w:val="en-US" w:eastAsia="zh-CN" w:bidi="ar"/>
        </w:rPr>
        <w:t xml:space="preserve"> </w:t>
      </w:r>
    </w:p>
    <w:p w14:paraId="554B64EE">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我方在参加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桐庐县人民法院档案电动密集架改造升级项目</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HZLZ-TL2024GK-031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31D2C5D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E71CDF0">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26ED7F2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BE47805">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5423536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2CB75BF">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F859D7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31E82BF">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2693FB0">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F9CF8E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72EF27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3E56AE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（6）★没有失信记录承诺函 </w:t>
      </w:r>
    </w:p>
    <w:p w14:paraId="1DE776C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b w:val="0"/>
          <w:bCs/>
          <w:color w:val="auto"/>
          <w:kern w:val="0"/>
          <w:sz w:val="24"/>
          <w:szCs w:val="24"/>
          <w:highlight w:val="none"/>
          <w:lang w:val="en-US" w:eastAsia="zh-CN" w:bidi="ar"/>
        </w:rPr>
        <w:t>（采购机构名称）</w:t>
      </w:r>
      <w:r>
        <w:rPr>
          <w:rFonts w:hint="eastAsia" w:ascii="宋体" w:hAnsi="宋体" w:eastAsia="宋体" w:cs="宋体"/>
          <w:b/>
          <w:color w:val="auto"/>
          <w:kern w:val="0"/>
          <w:sz w:val="24"/>
          <w:szCs w:val="24"/>
          <w:highlight w:val="none"/>
          <w:lang w:val="en-US" w:eastAsia="zh-CN" w:bidi="ar"/>
        </w:rPr>
        <w:t xml:space="preserve"> </w:t>
      </w:r>
    </w:p>
    <w:p w14:paraId="5BB33A17">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桐庐县人民法院档案电动密集架改造升级项目</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HZLZ-TL2024GK-031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的采购活动，在投标文件递交前，我方未被“信用中国”（www.creditchina.gov.cn）、中国政府采购网（www.ccgp.gov.cn）列入失信被执行人名单、重大税收违法案件当事人名单、政府采购严重违法失信行为记录名单。 </w:t>
      </w:r>
    </w:p>
    <w:p w14:paraId="31EE6A40">
      <w:pPr>
        <w:keepNext w:val="0"/>
        <w:keepLines w:val="0"/>
        <w:widowControl/>
        <w:suppressLineNumbers w:val="0"/>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我方已经清楚了解本次项目采购文件中有关“供应商信用信息查询、存档与使用”的相关规定，同意由采购人或采购代理机构按采购文件规定对我方的信用信息记录进行统一查询，并以采购人或采购代理机构统一查询的结果为准。 </w:t>
      </w:r>
    </w:p>
    <w:p w14:paraId="3C101CA0">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我方上述承诺内容如有虚假或隐瞒，采购人可取消我方任何资格（投标/谈判/中标（成交）/签订合同），我方对此无任何异议，并愿意承担一切后果和责任。 </w:t>
      </w:r>
    </w:p>
    <w:p w14:paraId="1405D59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B9C301E">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336E98E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5A3853E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109323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2032DFE">
      <w:pPr>
        <w:pStyle w:val="34"/>
        <w:rPr>
          <w:rFonts w:hint="eastAsia"/>
          <w:color w:val="auto"/>
          <w:sz w:val="24"/>
          <w:szCs w:val="24"/>
          <w:highlight w:val="none"/>
          <w:lang w:val="en-US" w:eastAsia="zh-CN"/>
        </w:rPr>
      </w:pPr>
    </w:p>
    <w:p w14:paraId="0C454C5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8912591">
      <w:pPr>
        <w:pStyle w:val="12"/>
        <w:rPr>
          <w:rFonts w:hint="eastAsia" w:ascii="宋体" w:hAnsi="宋体" w:eastAsia="宋体" w:cs="宋体"/>
          <w:b/>
          <w:color w:val="auto"/>
          <w:kern w:val="0"/>
          <w:sz w:val="24"/>
          <w:szCs w:val="24"/>
          <w:highlight w:val="none"/>
          <w:lang w:val="en-US" w:eastAsia="zh-CN" w:bidi="ar"/>
        </w:rPr>
      </w:pPr>
    </w:p>
    <w:p w14:paraId="759F3963">
      <w:pPr>
        <w:pStyle w:val="7"/>
        <w:rPr>
          <w:rFonts w:hint="eastAsia"/>
          <w:lang w:val="en-US" w:eastAsia="zh-CN"/>
        </w:rPr>
      </w:pPr>
    </w:p>
    <w:p w14:paraId="68C05FF7">
      <w:pPr>
        <w:spacing w:line="700" w:lineRule="exact"/>
        <w:outlineLvl w:val="3"/>
        <w:rPr>
          <w:rFonts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法定代表人授权书</w:t>
      </w:r>
    </w:p>
    <w:p w14:paraId="48B68BC7">
      <w:pPr>
        <w:snapToGrid w:val="0"/>
        <w:spacing w:beforeLines="50" w:after="50"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rPr>
        <w:t>（采购机构名称）</w:t>
      </w:r>
    </w:p>
    <w:p w14:paraId="65E67EAE">
      <w:pPr>
        <w:snapToGrid w:val="0"/>
        <w:spacing w:beforeLines="50" w:after="50" w:line="360" w:lineRule="auto"/>
        <w:ind w:firstLine="720" w:firstLineChars="300"/>
        <w:rPr>
          <w:rFonts w:ascii="宋体" w:hAnsi="宋体"/>
          <w:color w:val="auto"/>
          <w:sz w:val="24"/>
          <w:highlight w:val="none"/>
        </w:rPr>
      </w:pPr>
      <w:r>
        <w:rPr>
          <w:rFonts w:hint="eastAsia" w:ascii="宋体" w:hAnsi="宋体"/>
          <w:color w:val="auto"/>
          <w:sz w:val="24"/>
          <w:highlight w:val="none"/>
        </w:rPr>
        <w:t>我（姓名）系（投标人名称）的法定代表人，现授权委托本单位在职职工（姓名）以我方的名义参加项目的投标活动，并代表我方全权办理针对上述项目的投标、开标、询标、签约等具体事务和签署相关文件。</w:t>
      </w:r>
    </w:p>
    <w:p w14:paraId="10C8D71F">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我方对被授权人的签名负全部责任。</w:t>
      </w:r>
    </w:p>
    <w:p w14:paraId="32F481FD">
      <w:pPr>
        <w:snapToGrid w:val="0"/>
        <w:spacing w:beforeLines="50" w:after="50" w:line="360" w:lineRule="auto"/>
        <w:ind w:firstLine="480"/>
        <w:rPr>
          <w:rFonts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14:paraId="5C42EB7A">
      <w:pPr>
        <w:snapToGrid w:val="0"/>
        <w:spacing w:beforeLines="50" w:after="50"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23A2C6C">
      <w:pPr>
        <w:snapToGrid w:val="0"/>
        <w:spacing w:beforeLines="50" w:after="50" w:line="360" w:lineRule="auto"/>
        <w:rPr>
          <w:rFonts w:ascii="宋体" w:hAnsi="宋体"/>
          <w:color w:val="auto"/>
          <w:sz w:val="24"/>
          <w:highlight w:val="none"/>
        </w:rPr>
      </w:pPr>
    </w:p>
    <w:p w14:paraId="34D78A92">
      <w:pPr>
        <w:snapToGrid w:val="0"/>
        <w:spacing w:beforeLines="50" w:after="50" w:line="360" w:lineRule="auto"/>
        <w:rPr>
          <w:rFonts w:ascii="宋体" w:hAnsi="宋体"/>
          <w:color w:val="auto"/>
          <w:sz w:val="24"/>
          <w:highlight w:val="none"/>
          <w:u w:val="single"/>
        </w:rPr>
      </w:pPr>
      <w:r>
        <w:rPr>
          <w:rFonts w:hint="eastAsia" w:ascii="宋体" w:hAnsi="宋体"/>
          <w:color w:val="auto"/>
          <w:sz w:val="24"/>
          <w:highlight w:val="none"/>
        </w:rPr>
        <w:t>被授权人签名：法定代表人签字或盖章</w:t>
      </w:r>
      <w:r>
        <w:rPr>
          <w:rFonts w:ascii="宋体" w:hAnsi="宋体"/>
          <w:color w:val="auto"/>
          <w:sz w:val="24"/>
          <w:highlight w:val="none"/>
        </w:rPr>
        <w:t>：</w:t>
      </w:r>
    </w:p>
    <w:p w14:paraId="6CB6EB47">
      <w:pPr>
        <w:snapToGrid w:val="0"/>
        <w:spacing w:beforeLines="50" w:after="50" w:line="360" w:lineRule="auto"/>
        <w:ind w:firstLine="960" w:firstLineChars="400"/>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rPr>
        <w:t>职务：</w:t>
      </w:r>
    </w:p>
    <w:p w14:paraId="17590646">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被授权人身份证号码：</w:t>
      </w:r>
    </w:p>
    <w:p w14:paraId="0E1A369C">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 xml:space="preserve">                                                   投标人盖章：</w:t>
      </w:r>
    </w:p>
    <w:p w14:paraId="54069CD9">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 xml:space="preserve">                                    年    月    日</w:t>
      </w:r>
    </w:p>
    <w:p w14:paraId="65B75F8C">
      <w:pPr>
        <w:spacing w:line="580" w:lineRule="exact"/>
        <w:rPr>
          <w:rFonts w:ascii="宋体" w:hAnsi="宋体"/>
          <w:color w:val="auto"/>
          <w:sz w:val="24"/>
          <w:highlight w:val="none"/>
        </w:rPr>
      </w:pPr>
      <w:r>
        <w:rPr>
          <w:rFonts w:hint="eastAsia" w:hAnsi="宋体"/>
          <w:b/>
          <w:color w:val="auto"/>
          <w:sz w:val="24"/>
          <w:highlight w:val="none"/>
        </w:rPr>
        <w:t>后附授权代理人身份证复印件</w:t>
      </w:r>
      <w:r>
        <w:rPr>
          <w:rFonts w:hint="eastAsia"/>
          <w:b/>
          <w:color w:val="auto"/>
          <w:sz w:val="24"/>
          <w:highlight w:val="none"/>
        </w:rPr>
        <w:t>（双面）</w:t>
      </w:r>
      <w:r>
        <w:rPr>
          <w:rFonts w:hint="eastAsia"/>
          <w:b/>
          <w:color w:val="auto"/>
          <w:sz w:val="24"/>
          <w:highlight w:val="none"/>
          <w:lang w:eastAsia="zh-CN"/>
        </w:rPr>
        <w:t>及投标前廉政诚信承诺书</w:t>
      </w:r>
      <w:r>
        <w:rPr>
          <w:rFonts w:hAnsi="宋体"/>
          <w:b/>
          <w:color w:val="auto"/>
          <w:sz w:val="24"/>
          <w:highlight w:val="none"/>
        </w:rPr>
        <w:br w:type="page"/>
      </w:r>
    </w:p>
    <w:p w14:paraId="29603BEE">
      <w:pPr>
        <w:ind w:firstLine="3855" w:firstLineChars="1600"/>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投标前廉政诚信承诺书</w:t>
      </w:r>
    </w:p>
    <w:p w14:paraId="6C31DC96">
      <w:pPr>
        <w:rPr>
          <w:rFonts w:hint="eastAsia" w:hAnsi="宋体" w:eastAsia="宋体" w:cs="宋体"/>
          <w:b/>
          <w:color w:val="auto"/>
          <w:sz w:val="24"/>
          <w:szCs w:val="24"/>
          <w:highlight w:val="none"/>
          <w:lang w:val="en-US" w:eastAsia="zh-CN"/>
        </w:rPr>
      </w:pPr>
    </w:p>
    <w:p w14:paraId="03EA24F6">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本人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以法定代表人或授权委托人的身份郑重声明并承诺：本企业在参加桐庐县人民法院（以下简称“招标方”）的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项目投标。投标期间将严格遵守国家相关法律、法规及党风廉政建设，守法经营，诚实信用。接受各级行政主管部门及相关监督机构监管，确保招标工作的公平、公正、公开。同时履行以下各项承诺，如有违反，本企业愿承担相应责任并接受行政主管部门依据法律法规做出的处罚。</w:t>
      </w:r>
    </w:p>
    <w:p w14:paraId="6D436810">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第一条</w:t>
      </w:r>
      <w:r>
        <w:rPr>
          <w:rFonts w:hint="eastAsia" w:ascii="宋体" w:hAnsi="宋体"/>
          <w:color w:val="auto"/>
          <w:sz w:val="24"/>
          <w:highlight w:val="none"/>
          <w:lang w:val="en-US" w:eastAsia="zh-CN"/>
        </w:rPr>
        <w:t xml:space="preserve"> 严格遵守国家招投标法律法规，不以各种方式虚假投标，履行(投标文件或资格预审申请文件)要求的责任和义务。</w:t>
      </w:r>
    </w:p>
    <w:p w14:paraId="38325629">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第二条</w:t>
      </w:r>
      <w:r>
        <w:rPr>
          <w:rFonts w:hint="eastAsia" w:ascii="宋体" w:hAnsi="宋体"/>
          <w:color w:val="auto"/>
          <w:sz w:val="24"/>
          <w:highlight w:val="none"/>
          <w:lang w:val="en-US" w:eastAsia="zh-CN"/>
        </w:rPr>
        <w:t xml:space="preserve"> 保证不提供伪造、涂改的公文及相关证明、证照、证件、业绩或谎报相关信息。</w:t>
      </w:r>
    </w:p>
    <w:p w14:paraId="1712101E">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第三条</w:t>
      </w:r>
      <w:r>
        <w:rPr>
          <w:rFonts w:hint="eastAsia" w:ascii="宋体" w:hAnsi="宋体"/>
          <w:color w:val="auto"/>
          <w:sz w:val="24"/>
          <w:highlight w:val="none"/>
          <w:lang w:val="en-US" w:eastAsia="zh-CN"/>
        </w:rPr>
        <w:t xml:space="preserve"> 保证不借用他人资质投标或出售资质给他人投标，不与其他投标人串通投标、围标，不使用非法手段获取中标。</w:t>
      </w:r>
    </w:p>
    <w:p w14:paraId="61F1AA8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第四条</w:t>
      </w:r>
      <w:r>
        <w:rPr>
          <w:rFonts w:hint="eastAsia" w:ascii="宋体" w:hAnsi="宋体"/>
          <w:color w:val="auto"/>
          <w:sz w:val="24"/>
          <w:highlight w:val="none"/>
          <w:lang w:val="en-US" w:eastAsia="zh-CN"/>
        </w:rPr>
        <w:t xml:space="preserve"> 保证投标文件内容无任何虚假。</w:t>
      </w:r>
    </w:p>
    <w:p w14:paraId="525123F4">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第五条</w:t>
      </w:r>
      <w:r>
        <w:rPr>
          <w:rFonts w:hint="eastAsia" w:ascii="宋体" w:hAnsi="宋体"/>
          <w:color w:val="auto"/>
          <w:sz w:val="24"/>
          <w:highlight w:val="none"/>
          <w:lang w:val="en-US" w:eastAsia="zh-CN"/>
        </w:rPr>
        <w:t xml:space="preserve"> 保证按照招标文件及中标通知书规定签订施工合同或供货合同，并提交履约担保。</w:t>
      </w:r>
    </w:p>
    <w:p w14:paraId="495859B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第六条</w:t>
      </w:r>
      <w:r>
        <w:rPr>
          <w:rFonts w:hint="eastAsia" w:ascii="宋体" w:hAnsi="宋体"/>
          <w:color w:val="auto"/>
          <w:sz w:val="24"/>
          <w:highlight w:val="none"/>
          <w:lang w:val="en-US" w:eastAsia="zh-CN"/>
        </w:rPr>
        <w:t xml:space="preserve"> 若我公司中标，保证在履行合同过程中遵守法律法规，不非法转包。</w:t>
      </w:r>
    </w:p>
    <w:p w14:paraId="307C120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第七条</w:t>
      </w:r>
      <w:r>
        <w:rPr>
          <w:rFonts w:hint="eastAsia" w:ascii="宋体" w:hAnsi="宋体"/>
          <w:color w:val="auto"/>
          <w:sz w:val="24"/>
          <w:highlight w:val="none"/>
          <w:lang w:val="en-US" w:eastAsia="zh-CN"/>
        </w:rPr>
        <w:t xml:space="preserve"> 若我公司中标，保证中标之后按照投标文件和合同承诺派驻现场管理人员及投入设备，严格按照质量和工期要求履行合同。</w:t>
      </w:r>
    </w:p>
    <w:p w14:paraId="42F06B34">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第八条</w:t>
      </w:r>
      <w:r>
        <w:rPr>
          <w:rFonts w:hint="eastAsia" w:ascii="宋体" w:hAnsi="宋体"/>
          <w:color w:val="auto"/>
          <w:sz w:val="24"/>
          <w:highlight w:val="none"/>
          <w:lang w:val="en-US" w:eastAsia="zh-CN"/>
        </w:rPr>
        <w:t xml:space="preserve"> 若我公司中标，保证中标之后加强施工现场管理，安全生产，密切配合建设单位及监理单位开展工作。</w:t>
      </w:r>
    </w:p>
    <w:p w14:paraId="204E585A">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第九条</w:t>
      </w:r>
      <w:r>
        <w:rPr>
          <w:rFonts w:hint="eastAsia" w:ascii="宋体" w:hAnsi="宋体"/>
          <w:color w:val="auto"/>
          <w:sz w:val="24"/>
          <w:highlight w:val="none"/>
          <w:lang w:val="en-US" w:eastAsia="zh-CN"/>
        </w:rPr>
        <w:t xml:space="preserve"> 严格遵守国家有关法律法规及相关政策,以及廉洁从业的各项规定。依法合规参与竞争，努力推进诚信建设，决不从事任何不正当竞争和任何违法违纪行为。</w:t>
      </w:r>
    </w:p>
    <w:p w14:paraId="2B63D4DD">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第十条</w:t>
      </w:r>
      <w:r>
        <w:rPr>
          <w:rFonts w:hint="eastAsia" w:ascii="宋体" w:hAnsi="宋体"/>
          <w:color w:val="auto"/>
          <w:sz w:val="24"/>
          <w:highlight w:val="none"/>
          <w:lang w:val="en-US" w:eastAsia="zh-CN"/>
        </w:rPr>
        <w:t xml:space="preserve"> 不以任何理由、任何形式向招标方的相关工作人员或其亲戚、朋友等利益相关人提供宴请或馈赠礼金、购物卡、会员卡电子礼卡、有价证券、贵重物品及中介费，介绍费、咨询费、回扣等好处费、感谢费。</w:t>
      </w:r>
    </w:p>
    <w:p w14:paraId="751FB09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第十一条</w:t>
      </w:r>
      <w:r>
        <w:rPr>
          <w:rFonts w:hint="eastAsia" w:ascii="宋体" w:hAnsi="宋体"/>
          <w:color w:val="auto"/>
          <w:sz w:val="24"/>
          <w:highlight w:val="none"/>
          <w:lang w:val="en-US" w:eastAsia="zh-CN"/>
        </w:rPr>
        <w:t xml:space="preserve"> 不以任何理由为招标方有关人员及部门组织有可能影响公正执行招投标工作的宴请、健身、娱乐等影响招标公平、公正的任何活动。</w:t>
      </w:r>
    </w:p>
    <w:p w14:paraId="15A9BD98">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第十二条</w:t>
      </w:r>
      <w:r>
        <w:rPr>
          <w:rFonts w:hint="eastAsia" w:ascii="宋体" w:hAnsi="宋体"/>
          <w:color w:val="auto"/>
          <w:sz w:val="24"/>
          <w:highlight w:val="none"/>
          <w:lang w:val="en-US" w:eastAsia="zh-CN"/>
        </w:rPr>
        <w:t xml:space="preserve"> 不接受或暗示为招标方有关人员装修住房、婚丧嫁娶、配偶子女的工作安排以及出国（境）、旅游等提供方便。</w:t>
      </w:r>
    </w:p>
    <w:p w14:paraId="4E80CB26">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第十三条</w:t>
      </w:r>
      <w:r>
        <w:rPr>
          <w:rFonts w:hint="eastAsia" w:ascii="宋体" w:hAnsi="宋体"/>
          <w:color w:val="auto"/>
          <w:sz w:val="24"/>
          <w:highlight w:val="none"/>
          <w:lang w:val="en-US" w:eastAsia="zh-CN"/>
        </w:rPr>
        <w:t xml:space="preserve"> 不向招标方有关人员购置或提供通讯工具、交通工具、电脑和高档办公用品等。</w:t>
      </w:r>
    </w:p>
    <w:p w14:paraId="6B86B9D3">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第十四条</w:t>
      </w:r>
      <w:r>
        <w:rPr>
          <w:rFonts w:hint="eastAsia" w:ascii="宋体" w:hAnsi="宋体"/>
          <w:color w:val="auto"/>
          <w:sz w:val="24"/>
          <w:highlight w:val="none"/>
          <w:lang w:val="en-US" w:eastAsia="zh-CN"/>
        </w:rPr>
        <w:t xml:space="preserve"> 不宴请或邀请招标方的任何人参加高档娱乐消费、旅游等活动。</w:t>
      </w:r>
    </w:p>
    <w:p w14:paraId="2A01601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第十五条</w:t>
      </w:r>
      <w:r>
        <w:rPr>
          <w:rFonts w:hint="eastAsia" w:ascii="宋体" w:hAnsi="宋体"/>
          <w:color w:val="auto"/>
          <w:sz w:val="24"/>
          <w:highlight w:val="none"/>
          <w:lang w:val="en-US" w:eastAsia="zh-CN"/>
        </w:rPr>
        <w:t xml:space="preserve"> 不以任何形式报销招标方的任何人以及亲友的各种票据及费用。</w:t>
      </w:r>
    </w:p>
    <w:p w14:paraId="0B823DAA">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第十六条</w:t>
      </w:r>
      <w:r>
        <w:rPr>
          <w:rFonts w:hint="eastAsia" w:ascii="宋体" w:hAnsi="宋体"/>
          <w:color w:val="auto"/>
          <w:sz w:val="24"/>
          <w:highlight w:val="none"/>
          <w:lang w:val="en-US" w:eastAsia="zh-CN"/>
        </w:rPr>
        <w:t xml:space="preserve"> 定期、不定期对项目建设中的廉政建设和廉洁从业情况进行内部监督检查，同时主动接受外部有关部门依法依纪监督检查，及时发现和整改存在的各种问题。</w:t>
      </w:r>
    </w:p>
    <w:p w14:paraId="17610DF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第十七条</w:t>
      </w:r>
      <w:r>
        <w:rPr>
          <w:rFonts w:hint="eastAsia" w:ascii="宋体" w:hAnsi="宋体"/>
          <w:color w:val="auto"/>
          <w:sz w:val="24"/>
          <w:highlight w:val="none"/>
          <w:lang w:val="en-US" w:eastAsia="zh-CN"/>
        </w:rPr>
        <w:t xml:space="preserve"> 发现我方相关人员在招标过程中有不廉洁行为，坚决予以抵制，对廉政建设和廉洁从业情况进行内部监督检查，并及时向桐庐县纪委监委派驻第七纪检监察组举报。</w:t>
      </w:r>
    </w:p>
    <w:p w14:paraId="50698AA2">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第十八条</w:t>
      </w:r>
      <w:r>
        <w:rPr>
          <w:rFonts w:hint="eastAsia" w:ascii="宋体" w:hAnsi="宋体"/>
          <w:color w:val="auto"/>
          <w:sz w:val="24"/>
          <w:highlight w:val="none"/>
          <w:lang w:val="en-US" w:eastAsia="zh-CN"/>
        </w:rPr>
        <w:t xml:space="preserve"> 我方自愿将本承诺书作为投标文件及合同的附件，具有同等的法律效力。</w:t>
      </w:r>
    </w:p>
    <w:p w14:paraId="13B2B577">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第十九条</w:t>
      </w:r>
      <w:r>
        <w:rPr>
          <w:rFonts w:hint="eastAsia" w:ascii="宋体" w:hAnsi="宋体"/>
          <w:color w:val="auto"/>
          <w:sz w:val="24"/>
          <w:highlight w:val="none"/>
          <w:lang w:val="en-US" w:eastAsia="zh-CN"/>
        </w:rPr>
        <w:t xml:space="preserve"> 若违反上述承诺或违反有关法律法规以及有关规定，我方自愿放弃与招标方所有往来业务，并承担招标方制度规定的赔偿金额(自愿从已付的履约金中扣罚)及一切法律责任。</w:t>
      </w:r>
    </w:p>
    <w:p w14:paraId="5A755A77">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第二十条</w:t>
      </w:r>
      <w:r>
        <w:rPr>
          <w:rFonts w:hint="eastAsia" w:ascii="宋体" w:hAnsi="宋体"/>
          <w:color w:val="auto"/>
          <w:sz w:val="24"/>
          <w:highlight w:val="none"/>
          <w:lang w:val="en-US" w:eastAsia="zh-CN"/>
        </w:rPr>
        <w:t xml:space="preserve"> 本承诺书自签署之日起生效。</w:t>
      </w:r>
    </w:p>
    <w:p w14:paraId="678FBEAB">
      <w:pPr>
        <w:snapToGrid w:val="0"/>
        <w:spacing w:beforeLines="50" w:after="50" w:line="360" w:lineRule="auto"/>
        <w:ind w:firstLine="720" w:firstLineChars="300"/>
        <w:rPr>
          <w:rFonts w:hint="eastAsia" w:ascii="宋体" w:hAnsi="宋体"/>
          <w:color w:val="auto"/>
          <w:sz w:val="24"/>
          <w:highlight w:val="none"/>
          <w:lang w:val="en-US" w:eastAsia="zh-CN"/>
        </w:rPr>
      </w:pPr>
    </w:p>
    <w:p w14:paraId="6A2ADD59">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承诺单位（公章）：</w:t>
      </w:r>
    </w:p>
    <w:p w14:paraId="6656399D">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法定代表人：</w:t>
      </w:r>
    </w:p>
    <w:p w14:paraId="784AA976">
      <w:pPr>
        <w:snapToGrid w:val="0"/>
        <w:spacing w:beforeLines="50" w:after="50" w:line="360" w:lineRule="auto"/>
        <w:ind w:firstLine="720" w:firstLineChars="300"/>
        <w:rPr>
          <w:rFonts w:hint="eastAsia" w:hAnsi="宋体" w:eastAsia="宋体" w:cs="宋体"/>
          <w:b/>
          <w:color w:val="auto"/>
          <w:sz w:val="24"/>
          <w:szCs w:val="24"/>
          <w:highlight w:val="none"/>
          <w:lang w:val="en-US" w:eastAsia="zh-CN"/>
        </w:rPr>
      </w:pPr>
      <w:r>
        <w:rPr>
          <w:rFonts w:hint="eastAsia" w:ascii="宋体" w:hAnsi="宋体"/>
          <w:color w:val="auto"/>
          <w:sz w:val="24"/>
          <w:highlight w:val="none"/>
          <w:lang w:val="en-US" w:eastAsia="zh-CN"/>
        </w:rPr>
        <w:t xml:space="preserve">                    承诺日期：  年   月   日</w:t>
      </w:r>
      <w:r>
        <w:rPr>
          <w:rFonts w:hint="eastAsia" w:hAnsi="宋体" w:eastAsia="宋体" w:cs="宋体"/>
          <w:b/>
          <w:color w:val="auto"/>
          <w:sz w:val="24"/>
          <w:szCs w:val="24"/>
          <w:highlight w:val="none"/>
          <w:lang w:val="en-US" w:eastAsia="zh-CN"/>
        </w:rPr>
        <w:br w:type="page"/>
      </w:r>
    </w:p>
    <w:p w14:paraId="4E1622AF">
      <w:pPr>
        <w:pStyle w:val="56"/>
        <w:spacing w:line="360" w:lineRule="auto"/>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5</w:t>
      </w:r>
      <w:r>
        <w:rPr>
          <w:rFonts w:hint="eastAsia" w:hAnsi="宋体" w:eastAsia="宋体" w:cs="宋体"/>
          <w:b/>
          <w:color w:val="auto"/>
          <w:sz w:val="24"/>
          <w:szCs w:val="24"/>
          <w:highlight w:val="none"/>
        </w:rPr>
        <w:t>. 类似案例成功的业绩一览表</w:t>
      </w:r>
    </w:p>
    <w:p w14:paraId="170A7537">
      <w:pPr>
        <w:pStyle w:val="56"/>
        <w:spacing w:line="360" w:lineRule="auto"/>
        <w:jc w:val="center"/>
        <w:rPr>
          <w:rFonts w:hAnsi="宋体" w:eastAsia="宋体" w:cs="宋体"/>
          <w:bCs/>
          <w:color w:val="auto"/>
          <w:sz w:val="24"/>
          <w:szCs w:val="24"/>
          <w:highlight w:val="none"/>
        </w:rPr>
      </w:pPr>
      <w:r>
        <w:rPr>
          <w:rFonts w:hint="eastAsia" w:hAnsi="宋体" w:eastAsia="宋体" w:cs="宋体"/>
          <w:bCs/>
          <w:color w:val="auto"/>
          <w:sz w:val="24"/>
          <w:szCs w:val="24"/>
          <w:highlight w:val="none"/>
        </w:rPr>
        <w:t>成功案例业绩一览表</w:t>
      </w:r>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68"/>
        <w:gridCol w:w="1240"/>
        <w:gridCol w:w="1785"/>
        <w:gridCol w:w="1365"/>
        <w:gridCol w:w="1213"/>
        <w:gridCol w:w="1738"/>
      </w:tblGrid>
      <w:tr w14:paraId="770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76C5E11">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768" w:type="dxa"/>
            <w:vAlign w:val="center"/>
          </w:tcPr>
          <w:p w14:paraId="5FFACA69">
            <w:pPr>
              <w:jc w:val="center"/>
              <w:rPr>
                <w:rFonts w:ascii="宋体" w:hAnsi="宋体" w:cs="宋体"/>
                <w:bCs/>
                <w:color w:val="auto"/>
                <w:sz w:val="24"/>
                <w:highlight w:val="none"/>
              </w:rPr>
            </w:pPr>
            <w:r>
              <w:rPr>
                <w:rFonts w:hint="eastAsia" w:ascii="宋体" w:hAnsi="宋体" w:cs="宋体"/>
                <w:bCs/>
                <w:color w:val="auto"/>
                <w:sz w:val="24"/>
                <w:highlight w:val="none"/>
              </w:rPr>
              <w:t>采购单位名称</w:t>
            </w:r>
          </w:p>
        </w:tc>
        <w:tc>
          <w:tcPr>
            <w:tcW w:w="1240" w:type="dxa"/>
            <w:vAlign w:val="center"/>
          </w:tcPr>
          <w:p w14:paraId="310FB83A">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1785" w:type="dxa"/>
            <w:vAlign w:val="center"/>
          </w:tcPr>
          <w:p w14:paraId="614E4BD9">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项目简要描述</w:t>
            </w:r>
          </w:p>
        </w:tc>
        <w:tc>
          <w:tcPr>
            <w:tcW w:w="1365" w:type="dxa"/>
            <w:vAlign w:val="center"/>
          </w:tcPr>
          <w:p w14:paraId="130DD2D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合同金额</w:t>
            </w:r>
          </w:p>
          <w:p w14:paraId="4EBA635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（万元）</w:t>
            </w:r>
          </w:p>
        </w:tc>
        <w:tc>
          <w:tcPr>
            <w:tcW w:w="1213" w:type="dxa"/>
            <w:vAlign w:val="center"/>
          </w:tcPr>
          <w:p w14:paraId="721673A2">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实施时间</w:t>
            </w:r>
          </w:p>
        </w:tc>
        <w:tc>
          <w:tcPr>
            <w:tcW w:w="1738" w:type="dxa"/>
          </w:tcPr>
          <w:p w14:paraId="73D4ECE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采购单位联系人及联系电话</w:t>
            </w:r>
          </w:p>
        </w:tc>
      </w:tr>
      <w:tr w14:paraId="5FA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3" w:type="dxa"/>
            <w:vAlign w:val="center"/>
          </w:tcPr>
          <w:p w14:paraId="56AD8886">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768" w:type="dxa"/>
            <w:vAlign w:val="center"/>
          </w:tcPr>
          <w:p w14:paraId="711A30DF">
            <w:pPr>
              <w:jc w:val="center"/>
              <w:rPr>
                <w:rFonts w:ascii="宋体" w:hAnsi="宋体" w:cs="宋体"/>
                <w:bCs/>
                <w:color w:val="auto"/>
                <w:sz w:val="24"/>
                <w:highlight w:val="none"/>
              </w:rPr>
            </w:pPr>
          </w:p>
        </w:tc>
        <w:tc>
          <w:tcPr>
            <w:tcW w:w="1240" w:type="dxa"/>
          </w:tcPr>
          <w:p w14:paraId="5FC019B9">
            <w:pPr>
              <w:jc w:val="center"/>
              <w:rPr>
                <w:rFonts w:ascii="宋体" w:hAnsi="宋体" w:cs="宋体"/>
                <w:bCs/>
                <w:color w:val="auto"/>
                <w:sz w:val="24"/>
                <w:highlight w:val="none"/>
              </w:rPr>
            </w:pPr>
          </w:p>
        </w:tc>
        <w:tc>
          <w:tcPr>
            <w:tcW w:w="1785" w:type="dxa"/>
          </w:tcPr>
          <w:p w14:paraId="05161A5D">
            <w:pPr>
              <w:jc w:val="center"/>
              <w:rPr>
                <w:rFonts w:ascii="宋体" w:hAnsi="宋体" w:cs="宋体"/>
                <w:bCs/>
                <w:color w:val="auto"/>
                <w:sz w:val="24"/>
                <w:highlight w:val="none"/>
              </w:rPr>
            </w:pPr>
          </w:p>
        </w:tc>
        <w:tc>
          <w:tcPr>
            <w:tcW w:w="1365" w:type="dxa"/>
            <w:vAlign w:val="center"/>
          </w:tcPr>
          <w:p w14:paraId="528EACCA">
            <w:pPr>
              <w:jc w:val="center"/>
              <w:rPr>
                <w:rFonts w:ascii="宋体" w:hAnsi="宋体" w:cs="宋体"/>
                <w:bCs/>
                <w:color w:val="auto"/>
                <w:sz w:val="24"/>
                <w:highlight w:val="none"/>
              </w:rPr>
            </w:pPr>
          </w:p>
        </w:tc>
        <w:tc>
          <w:tcPr>
            <w:tcW w:w="1213" w:type="dxa"/>
            <w:vAlign w:val="center"/>
          </w:tcPr>
          <w:p w14:paraId="683250D9">
            <w:pPr>
              <w:jc w:val="center"/>
              <w:rPr>
                <w:rFonts w:ascii="宋体" w:hAnsi="宋体" w:cs="宋体"/>
                <w:bCs/>
                <w:color w:val="auto"/>
                <w:sz w:val="24"/>
                <w:highlight w:val="none"/>
              </w:rPr>
            </w:pPr>
          </w:p>
        </w:tc>
        <w:tc>
          <w:tcPr>
            <w:tcW w:w="1738" w:type="dxa"/>
          </w:tcPr>
          <w:p w14:paraId="67DFA07D">
            <w:pPr>
              <w:jc w:val="center"/>
              <w:rPr>
                <w:rFonts w:ascii="宋体" w:hAnsi="宋体" w:cs="宋体"/>
                <w:bCs/>
                <w:color w:val="auto"/>
                <w:sz w:val="24"/>
                <w:highlight w:val="none"/>
              </w:rPr>
            </w:pPr>
          </w:p>
        </w:tc>
      </w:tr>
      <w:tr w14:paraId="0EFF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3" w:type="dxa"/>
            <w:vAlign w:val="center"/>
          </w:tcPr>
          <w:p w14:paraId="4BF3E5EC">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768" w:type="dxa"/>
            <w:vAlign w:val="center"/>
          </w:tcPr>
          <w:p w14:paraId="2C541C2C">
            <w:pPr>
              <w:jc w:val="center"/>
              <w:rPr>
                <w:rFonts w:ascii="宋体" w:hAnsi="宋体" w:cs="宋体"/>
                <w:bCs/>
                <w:color w:val="auto"/>
                <w:sz w:val="24"/>
                <w:highlight w:val="none"/>
              </w:rPr>
            </w:pPr>
          </w:p>
        </w:tc>
        <w:tc>
          <w:tcPr>
            <w:tcW w:w="1240" w:type="dxa"/>
          </w:tcPr>
          <w:p w14:paraId="3CD7A43D">
            <w:pPr>
              <w:jc w:val="center"/>
              <w:rPr>
                <w:rFonts w:ascii="宋体" w:hAnsi="宋体" w:cs="宋体"/>
                <w:bCs/>
                <w:color w:val="auto"/>
                <w:sz w:val="24"/>
                <w:highlight w:val="none"/>
              </w:rPr>
            </w:pPr>
          </w:p>
        </w:tc>
        <w:tc>
          <w:tcPr>
            <w:tcW w:w="1785" w:type="dxa"/>
          </w:tcPr>
          <w:p w14:paraId="29A65D7C">
            <w:pPr>
              <w:jc w:val="center"/>
              <w:rPr>
                <w:rFonts w:ascii="宋体" w:hAnsi="宋体" w:cs="宋体"/>
                <w:bCs/>
                <w:color w:val="auto"/>
                <w:sz w:val="24"/>
                <w:highlight w:val="none"/>
              </w:rPr>
            </w:pPr>
          </w:p>
        </w:tc>
        <w:tc>
          <w:tcPr>
            <w:tcW w:w="1365" w:type="dxa"/>
            <w:vAlign w:val="center"/>
          </w:tcPr>
          <w:p w14:paraId="3383CE9B">
            <w:pPr>
              <w:jc w:val="center"/>
              <w:rPr>
                <w:rFonts w:ascii="宋体" w:hAnsi="宋体" w:cs="宋体"/>
                <w:bCs/>
                <w:color w:val="auto"/>
                <w:sz w:val="24"/>
                <w:highlight w:val="none"/>
              </w:rPr>
            </w:pPr>
          </w:p>
        </w:tc>
        <w:tc>
          <w:tcPr>
            <w:tcW w:w="1213" w:type="dxa"/>
            <w:vAlign w:val="center"/>
          </w:tcPr>
          <w:p w14:paraId="6ABFDE75">
            <w:pPr>
              <w:jc w:val="center"/>
              <w:rPr>
                <w:rFonts w:ascii="宋体" w:hAnsi="宋体" w:cs="宋体"/>
                <w:bCs/>
                <w:color w:val="auto"/>
                <w:sz w:val="24"/>
                <w:highlight w:val="none"/>
              </w:rPr>
            </w:pPr>
          </w:p>
        </w:tc>
        <w:tc>
          <w:tcPr>
            <w:tcW w:w="1738" w:type="dxa"/>
          </w:tcPr>
          <w:p w14:paraId="7034C848">
            <w:pPr>
              <w:jc w:val="center"/>
              <w:rPr>
                <w:rFonts w:ascii="宋体" w:hAnsi="宋体" w:cs="宋体"/>
                <w:bCs/>
                <w:color w:val="auto"/>
                <w:sz w:val="24"/>
                <w:highlight w:val="none"/>
              </w:rPr>
            </w:pPr>
          </w:p>
        </w:tc>
      </w:tr>
      <w:tr w14:paraId="603B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Align w:val="center"/>
          </w:tcPr>
          <w:p w14:paraId="4EA072EE">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1768" w:type="dxa"/>
            <w:vAlign w:val="center"/>
          </w:tcPr>
          <w:p w14:paraId="1115AC05">
            <w:pPr>
              <w:jc w:val="center"/>
              <w:rPr>
                <w:rFonts w:ascii="宋体" w:hAnsi="宋体" w:cs="宋体"/>
                <w:bCs/>
                <w:color w:val="auto"/>
                <w:sz w:val="24"/>
                <w:highlight w:val="none"/>
              </w:rPr>
            </w:pPr>
          </w:p>
        </w:tc>
        <w:tc>
          <w:tcPr>
            <w:tcW w:w="1240" w:type="dxa"/>
          </w:tcPr>
          <w:p w14:paraId="734F3FD2">
            <w:pPr>
              <w:jc w:val="center"/>
              <w:rPr>
                <w:rFonts w:ascii="宋体" w:hAnsi="宋体" w:cs="宋体"/>
                <w:bCs/>
                <w:color w:val="auto"/>
                <w:sz w:val="24"/>
                <w:highlight w:val="none"/>
              </w:rPr>
            </w:pPr>
          </w:p>
        </w:tc>
        <w:tc>
          <w:tcPr>
            <w:tcW w:w="1785" w:type="dxa"/>
          </w:tcPr>
          <w:p w14:paraId="31FE6B5C">
            <w:pPr>
              <w:jc w:val="center"/>
              <w:rPr>
                <w:rFonts w:ascii="宋体" w:hAnsi="宋体" w:cs="宋体"/>
                <w:bCs/>
                <w:color w:val="auto"/>
                <w:sz w:val="24"/>
                <w:highlight w:val="none"/>
              </w:rPr>
            </w:pPr>
          </w:p>
        </w:tc>
        <w:tc>
          <w:tcPr>
            <w:tcW w:w="1365" w:type="dxa"/>
            <w:vAlign w:val="center"/>
          </w:tcPr>
          <w:p w14:paraId="41E3551F">
            <w:pPr>
              <w:jc w:val="center"/>
              <w:rPr>
                <w:rFonts w:ascii="宋体" w:hAnsi="宋体" w:cs="宋体"/>
                <w:bCs/>
                <w:color w:val="auto"/>
                <w:sz w:val="24"/>
                <w:highlight w:val="none"/>
              </w:rPr>
            </w:pPr>
          </w:p>
        </w:tc>
        <w:tc>
          <w:tcPr>
            <w:tcW w:w="1213" w:type="dxa"/>
            <w:vAlign w:val="center"/>
          </w:tcPr>
          <w:p w14:paraId="2935B125">
            <w:pPr>
              <w:jc w:val="center"/>
              <w:rPr>
                <w:rFonts w:ascii="宋体" w:hAnsi="宋体" w:cs="宋体"/>
                <w:bCs/>
                <w:color w:val="auto"/>
                <w:sz w:val="24"/>
                <w:highlight w:val="none"/>
              </w:rPr>
            </w:pPr>
          </w:p>
        </w:tc>
        <w:tc>
          <w:tcPr>
            <w:tcW w:w="1738" w:type="dxa"/>
          </w:tcPr>
          <w:p w14:paraId="77F92389">
            <w:pPr>
              <w:jc w:val="center"/>
              <w:rPr>
                <w:rFonts w:ascii="宋体" w:hAnsi="宋体" w:cs="宋体"/>
                <w:bCs/>
                <w:color w:val="auto"/>
                <w:sz w:val="24"/>
                <w:highlight w:val="none"/>
              </w:rPr>
            </w:pPr>
          </w:p>
        </w:tc>
      </w:tr>
      <w:tr w14:paraId="4207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3" w:type="dxa"/>
            <w:vAlign w:val="center"/>
          </w:tcPr>
          <w:p w14:paraId="6E731482">
            <w:pPr>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1768" w:type="dxa"/>
            <w:vAlign w:val="center"/>
          </w:tcPr>
          <w:p w14:paraId="680F8F8A">
            <w:pPr>
              <w:jc w:val="center"/>
              <w:rPr>
                <w:rFonts w:ascii="宋体" w:hAnsi="宋体" w:cs="宋体"/>
                <w:bCs/>
                <w:color w:val="auto"/>
                <w:sz w:val="24"/>
                <w:highlight w:val="none"/>
              </w:rPr>
            </w:pPr>
          </w:p>
        </w:tc>
        <w:tc>
          <w:tcPr>
            <w:tcW w:w="1240" w:type="dxa"/>
          </w:tcPr>
          <w:p w14:paraId="28D61391">
            <w:pPr>
              <w:jc w:val="center"/>
              <w:rPr>
                <w:rFonts w:ascii="宋体" w:hAnsi="宋体" w:cs="宋体"/>
                <w:bCs/>
                <w:color w:val="auto"/>
                <w:sz w:val="24"/>
                <w:highlight w:val="none"/>
              </w:rPr>
            </w:pPr>
          </w:p>
        </w:tc>
        <w:tc>
          <w:tcPr>
            <w:tcW w:w="1785" w:type="dxa"/>
          </w:tcPr>
          <w:p w14:paraId="3E85239E">
            <w:pPr>
              <w:jc w:val="center"/>
              <w:rPr>
                <w:rFonts w:ascii="宋体" w:hAnsi="宋体" w:cs="宋体"/>
                <w:bCs/>
                <w:color w:val="auto"/>
                <w:sz w:val="24"/>
                <w:highlight w:val="none"/>
              </w:rPr>
            </w:pPr>
          </w:p>
        </w:tc>
        <w:tc>
          <w:tcPr>
            <w:tcW w:w="1365" w:type="dxa"/>
            <w:vAlign w:val="center"/>
          </w:tcPr>
          <w:p w14:paraId="3CA56D77">
            <w:pPr>
              <w:jc w:val="center"/>
              <w:rPr>
                <w:rFonts w:ascii="宋体" w:hAnsi="宋体" w:cs="宋体"/>
                <w:bCs/>
                <w:color w:val="auto"/>
                <w:sz w:val="24"/>
                <w:highlight w:val="none"/>
              </w:rPr>
            </w:pPr>
          </w:p>
        </w:tc>
        <w:tc>
          <w:tcPr>
            <w:tcW w:w="1213" w:type="dxa"/>
            <w:vAlign w:val="center"/>
          </w:tcPr>
          <w:p w14:paraId="51A6B211">
            <w:pPr>
              <w:jc w:val="center"/>
              <w:rPr>
                <w:rFonts w:ascii="宋体" w:hAnsi="宋体" w:cs="宋体"/>
                <w:bCs/>
                <w:color w:val="auto"/>
                <w:sz w:val="24"/>
                <w:highlight w:val="none"/>
              </w:rPr>
            </w:pPr>
          </w:p>
        </w:tc>
        <w:tc>
          <w:tcPr>
            <w:tcW w:w="1738" w:type="dxa"/>
          </w:tcPr>
          <w:p w14:paraId="31F9621F">
            <w:pPr>
              <w:jc w:val="center"/>
              <w:rPr>
                <w:rFonts w:ascii="宋体" w:hAnsi="宋体" w:cs="宋体"/>
                <w:bCs/>
                <w:color w:val="auto"/>
                <w:sz w:val="24"/>
                <w:highlight w:val="none"/>
              </w:rPr>
            </w:pPr>
          </w:p>
        </w:tc>
      </w:tr>
    </w:tbl>
    <w:p w14:paraId="516A2EA4">
      <w:pPr>
        <w:spacing w:line="400" w:lineRule="exact"/>
        <w:ind w:firstLine="720" w:firstLineChars="300"/>
        <w:rPr>
          <w:rFonts w:ascii="宋体" w:hAnsi="宋体" w:cs="宋体"/>
          <w:bCs/>
          <w:color w:val="auto"/>
          <w:sz w:val="24"/>
          <w:highlight w:val="none"/>
        </w:rPr>
      </w:pPr>
    </w:p>
    <w:p w14:paraId="05A1A140">
      <w:pPr>
        <w:spacing w:line="400" w:lineRule="exact"/>
        <w:ind w:firstLine="360" w:firstLineChars="150"/>
        <w:rPr>
          <w:rFonts w:ascii="宋体" w:hAnsi="宋体" w:cs="宋体"/>
          <w:b/>
          <w:color w:val="auto"/>
          <w:sz w:val="24"/>
          <w:highlight w:val="none"/>
        </w:rPr>
      </w:pPr>
      <w:r>
        <w:rPr>
          <w:rFonts w:hint="eastAsia" w:ascii="宋体" w:hAnsi="宋体" w:cs="宋体"/>
          <w:bCs/>
          <w:color w:val="auto"/>
          <w:sz w:val="24"/>
          <w:highlight w:val="none"/>
        </w:rPr>
        <w:t>注：（业绩证明材料应提供复印件并加盖公章）</w:t>
      </w:r>
    </w:p>
    <w:p w14:paraId="21AE8AB7">
      <w:pPr>
        <w:snapToGrid w:val="0"/>
        <w:spacing w:before="50" w:after="50" w:line="26" w:lineRule="atLeast"/>
        <w:ind w:right="-817" w:rightChars="-389"/>
        <w:rPr>
          <w:rFonts w:ascii="宋体" w:hAnsi="宋体" w:cs="宋体"/>
          <w:color w:val="auto"/>
          <w:sz w:val="24"/>
          <w:highlight w:val="none"/>
        </w:rPr>
      </w:pPr>
    </w:p>
    <w:p w14:paraId="7968A1AE">
      <w:pPr>
        <w:snapToGrid w:val="0"/>
        <w:spacing w:before="50" w:after="50" w:line="26" w:lineRule="atLeast"/>
        <w:ind w:left="-2" w:leftChars="-1" w:right="-817" w:rightChars="-389" w:firstLine="360" w:firstLineChars="150"/>
        <w:rPr>
          <w:rFonts w:ascii="宋体" w:hAnsi="宋体" w:cs="宋体"/>
          <w:color w:val="auto"/>
          <w:sz w:val="24"/>
          <w:highlight w:val="none"/>
        </w:rPr>
      </w:pPr>
    </w:p>
    <w:p w14:paraId="0DC30075">
      <w:pPr>
        <w:snapToGrid w:val="0"/>
        <w:spacing w:before="50" w:after="50" w:line="26" w:lineRule="atLeast"/>
        <w:ind w:right="-817" w:rightChars="-389"/>
        <w:rPr>
          <w:rFonts w:ascii="宋体" w:hAnsi="宋体" w:cs="宋体"/>
          <w:color w:val="auto"/>
          <w:sz w:val="24"/>
          <w:highlight w:val="none"/>
        </w:rPr>
      </w:pPr>
    </w:p>
    <w:p w14:paraId="40108C04">
      <w:pPr>
        <w:pStyle w:val="23"/>
        <w:ind w:firstLine="210"/>
        <w:rPr>
          <w:color w:val="auto"/>
          <w:highlight w:val="none"/>
        </w:rPr>
      </w:pPr>
    </w:p>
    <w:p w14:paraId="18A98AF1">
      <w:pPr>
        <w:snapToGrid w:val="0"/>
        <w:spacing w:before="50" w:after="50" w:line="26" w:lineRule="atLeast"/>
        <w:ind w:left="-2" w:leftChars="-1" w:right="-817" w:rightChars="-389" w:firstLine="360" w:firstLineChars="150"/>
        <w:rPr>
          <w:rFonts w:ascii="宋体" w:hAnsi="宋体" w:cs="宋体"/>
          <w:color w:val="auto"/>
          <w:sz w:val="24"/>
          <w:highlight w:val="none"/>
        </w:rPr>
      </w:pPr>
    </w:p>
    <w:p w14:paraId="7E2A8C1F">
      <w:pPr>
        <w:snapToGrid w:val="0"/>
        <w:spacing w:line="360" w:lineRule="auto"/>
        <w:jc w:val="left"/>
        <w:rPr>
          <w:rFonts w:ascii="宋体" w:hAnsi="宋体" w:cs="宋体"/>
          <w:bCs/>
          <w:color w:val="auto"/>
          <w:sz w:val="24"/>
          <w:highlight w:val="none"/>
          <w:u w:val="single"/>
        </w:rPr>
      </w:pPr>
      <w:r>
        <w:rPr>
          <w:rFonts w:hint="eastAsia" w:ascii="宋体" w:hAnsi="宋体" w:cs="宋体"/>
          <w:bCs/>
          <w:color w:val="auto"/>
          <w:sz w:val="24"/>
          <w:highlight w:val="none"/>
          <w:u w:val="single"/>
        </w:rPr>
        <w:t>法定代表人或委托代理人（签字或盖章）：</w:t>
      </w:r>
    </w:p>
    <w:p w14:paraId="315B4AD5">
      <w:pPr>
        <w:snapToGrid w:val="0"/>
        <w:spacing w:line="360" w:lineRule="auto"/>
        <w:ind w:left="2934" w:leftChars="1397"/>
        <w:jc w:val="left"/>
        <w:rPr>
          <w:rFonts w:ascii="宋体" w:hAnsi="宋体" w:cs="宋体"/>
          <w:bCs/>
          <w:color w:val="auto"/>
          <w:sz w:val="24"/>
          <w:highlight w:val="none"/>
          <w:u w:val="single"/>
        </w:rPr>
      </w:pPr>
    </w:p>
    <w:p w14:paraId="3ACC04ED">
      <w:pPr>
        <w:snapToGrid w:val="0"/>
        <w:spacing w:line="360" w:lineRule="auto"/>
        <w:jc w:val="left"/>
        <w:rPr>
          <w:rFonts w:ascii="宋体" w:hAnsi="宋体" w:cs="宋体"/>
          <w:bCs/>
          <w:color w:val="auto"/>
          <w:sz w:val="24"/>
          <w:highlight w:val="none"/>
          <w:u w:val="single"/>
        </w:rPr>
      </w:pPr>
      <w:r>
        <w:rPr>
          <w:rFonts w:hint="eastAsia" w:ascii="宋体" w:hAnsi="宋体" w:cs="宋体"/>
          <w:bCs/>
          <w:color w:val="auto"/>
          <w:sz w:val="24"/>
          <w:highlight w:val="none"/>
          <w:u w:val="single"/>
        </w:rPr>
        <w:t>投标人名称（盖章）：</w:t>
      </w:r>
    </w:p>
    <w:p w14:paraId="471DCA81">
      <w:pPr>
        <w:snapToGrid w:val="0"/>
        <w:spacing w:line="360" w:lineRule="auto"/>
        <w:ind w:left="2934" w:leftChars="1397"/>
        <w:jc w:val="left"/>
        <w:rPr>
          <w:rFonts w:ascii="宋体" w:hAnsi="宋体" w:cs="宋体"/>
          <w:bCs/>
          <w:color w:val="auto"/>
          <w:sz w:val="24"/>
          <w:highlight w:val="none"/>
          <w:u w:val="single"/>
        </w:rPr>
      </w:pPr>
    </w:p>
    <w:p w14:paraId="45054550">
      <w:pPr>
        <w:snapToGrid w:val="0"/>
        <w:spacing w:line="360" w:lineRule="auto"/>
        <w:jc w:val="left"/>
        <w:rPr>
          <w:rFonts w:ascii="宋体" w:hAnsi="宋体"/>
          <w:color w:val="auto"/>
          <w:sz w:val="24"/>
          <w:highlight w:val="none"/>
        </w:rPr>
        <w:sectPr>
          <w:headerReference r:id="rId3" w:type="default"/>
          <w:footerReference r:id="rId4" w:type="default"/>
          <w:pgSz w:w="11906" w:h="16838"/>
          <w:pgMar w:top="1418" w:right="1134" w:bottom="1134" w:left="1418" w:header="851" w:footer="992" w:gutter="0"/>
          <w:cols w:space="720" w:num="1"/>
          <w:titlePg/>
          <w:docGrid w:linePitch="312" w:charSpace="0"/>
        </w:sectPr>
      </w:pPr>
      <w:r>
        <w:rPr>
          <w:rFonts w:hint="eastAsia" w:ascii="宋体" w:hAnsi="宋体" w:cs="宋体"/>
          <w:bCs/>
          <w:color w:val="auto"/>
          <w:sz w:val="24"/>
          <w:highlight w:val="none"/>
          <w:u w:val="single"/>
        </w:rPr>
        <w:t>日期</w:t>
      </w:r>
    </w:p>
    <w:p w14:paraId="1AD4A128">
      <w:pPr>
        <w:spacing w:line="360" w:lineRule="auto"/>
        <w:rPr>
          <w:rFonts w:ascii="宋体" w:hAnsi="宋体" w:cs="宋体"/>
          <w:b/>
          <w:color w:val="auto"/>
          <w:sz w:val="24"/>
          <w:highlight w:val="none"/>
        </w:rPr>
      </w:pP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cs="宋体"/>
          <w:b/>
          <w:color w:val="auto"/>
          <w:sz w:val="24"/>
          <w:highlight w:val="none"/>
        </w:rPr>
        <w:t>拟派主要人员表</w:t>
      </w:r>
    </w:p>
    <w:p w14:paraId="62622282">
      <w:pPr>
        <w:spacing w:line="26" w:lineRule="atLeast"/>
        <w:rPr>
          <w:rFonts w:ascii="宋体" w:hAnsi="宋体" w:cs="宋体"/>
          <w:color w:val="auto"/>
          <w:sz w:val="24"/>
          <w:highlight w:val="none"/>
          <w:u w:val="single"/>
        </w:rPr>
      </w:pPr>
      <w:r>
        <w:rPr>
          <w:rFonts w:hint="eastAsia" w:ascii="宋体" w:hAnsi="宋体" w:cs="宋体"/>
          <w:color w:val="auto"/>
          <w:sz w:val="24"/>
          <w:highlight w:val="none"/>
        </w:rPr>
        <w:t>项目名称：</w:t>
      </w:r>
    </w:p>
    <w:p w14:paraId="4ABD87CB">
      <w:pPr>
        <w:snapToGrid w:val="0"/>
        <w:spacing w:before="50" w:after="50" w:line="26" w:lineRule="atLeast"/>
        <w:rPr>
          <w:rFonts w:ascii="宋体" w:hAnsi="宋体" w:cs="宋体"/>
          <w:color w:val="auto"/>
          <w:sz w:val="24"/>
          <w:highlight w:val="none"/>
          <w:u w:val="single"/>
        </w:rPr>
      </w:pPr>
      <w:r>
        <w:rPr>
          <w:rFonts w:hint="eastAsia" w:ascii="宋体" w:hAnsi="宋体" w:cs="宋体"/>
          <w:color w:val="auto"/>
          <w:sz w:val="24"/>
          <w:highlight w:val="none"/>
        </w:rPr>
        <w:t>招标编号：</w:t>
      </w:r>
    </w:p>
    <w:p w14:paraId="48CCABFD">
      <w:pPr>
        <w:snapToGrid w:val="0"/>
        <w:spacing w:before="50" w:after="50" w:line="26" w:lineRule="atLeast"/>
        <w:rPr>
          <w:rFonts w:ascii="宋体" w:hAnsi="宋体" w:cs="宋体"/>
          <w:color w:val="auto"/>
          <w:sz w:val="24"/>
          <w:highlight w:val="none"/>
          <w:u w:val="single"/>
        </w:rPr>
      </w:pPr>
      <w:r>
        <w:rPr>
          <w:rFonts w:hint="eastAsia" w:ascii="宋体" w:hAnsi="宋体" w:cs="宋体"/>
          <w:color w:val="auto"/>
          <w:sz w:val="24"/>
          <w:highlight w:val="none"/>
        </w:rPr>
        <w:t>投标人名称：</w:t>
      </w:r>
    </w:p>
    <w:p w14:paraId="3FD3897B">
      <w:pPr>
        <w:snapToGrid w:val="0"/>
        <w:spacing w:before="50" w:after="50" w:line="26" w:lineRule="atLeast"/>
        <w:rPr>
          <w:rFonts w:ascii="宋体" w:hAnsi="宋体" w:cs="宋体"/>
          <w:color w:val="auto"/>
          <w:sz w:val="24"/>
          <w:highlight w:val="none"/>
        </w:rPr>
      </w:pP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619"/>
        <w:gridCol w:w="1587"/>
        <w:gridCol w:w="961"/>
      </w:tblGrid>
      <w:tr w14:paraId="4AEA5F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tcBorders>
              <w:top w:val="single" w:color="auto" w:sz="8" w:space="0"/>
              <w:left w:val="single" w:color="auto" w:sz="8" w:space="0"/>
              <w:bottom w:val="single" w:color="auto" w:sz="6" w:space="0"/>
              <w:right w:val="single" w:color="auto" w:sz="6" w:space="0"/>
            </w:tcBorders>
            <w:vAlign w:val="center"/>
          </w:tcPr>
          <w:p w14:paraId="07AEF61B">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tcBorders>
              <w:top w:val="single" w:color="auto" w:sz="8" w:space="0"/>
              <w:left w:val="single" w:color="auto" w:sz="6" w:space="0"/>
              <w:bottom w:val="single" w:color="auto" w:sz="6" w:space="0"/>
              <w:right w:val="single" w:color="auto" w:sz="6" w:space="0"/>
            </w:tcBorders>
            <w:vAlign w:val="center"/>
          </w:tcPr>
          <w:p w14:paraId="6B06BD5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tcBorders>
              <w:top w:val="single" w:color="auto" w:sz="8" w:space="0"/>
              <w:left w:val="single" w:color="auto" w:sz="6" w:space="0"/>
              <w:bottom w:val="single" w:color="auto" w:sz="6" w:space="0"/>
              <w:right w:val="single" w:color="auto" w:sz="6" w:space="0"/>
            </w:tcBorders>
            <w:vAlign w:val="center"/>
          </w:tcPr>
          <w:p w14:paraId="40709993">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tcBorders>
              <w:top w:val="single" w:color="auto" w:sz="8" w:space="0"/>
              <w:left w:val="single" w:color="auto" w:sz="6" w:space="0"/>
              <w:bottom w:val="single" w:color="auto" w:sz="6" w:space="0"/>
              <w:right w:val="single" w:color="auto" w:sz="6" w:space="0"/>
            </w:tcBorders>
            <w:vAlign w:val="center"/>
          </w:tcPr>
          <w:p w14:paraId="40AF04E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tcBorders>
              <w:top w:val="single" w:color="auto" w:sz="8" w:space="0"/>
              <w:left w:val="single" w:color="auto" w:sz="6" w:space="0"/>
              <w:bottom w:val="single" w:color="auto" w:sz="6" w:space="0"/>
              <w:right w:val="single" w:color="auto" w:sz="6" w:space="0"/>
            </w:tcBorders>
            <w:vAlign w:val="center"/>
          </w:tcPr>
          <w:p w14:paraId="4EF0E272">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tcBorders>
              <w:top w:val="single" w:color="auto" w:sz="8" w:space="0"/>
              <w:left w:val="single" w:color="auto" w:sz="6" w:space="0"/>
              <w:bottom w:val="single" w:color="auto" w:sz="6" w:space="0"/>
              <w:right w:val="single" w:color="auto" w:sz="6" w:space="0"/>
            </w:tcBorders>
            <w:vAlign w:val="center"/>
          </w:tcPr>
          <w:p w14:paraId="0DD2B111">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619" w:type="dxa"/>
            <w:tcBorders>
              <w:top w:val="single" w:color="auto" w:sz="8" w:space="0"/>
              <w:left w:val="single" w:color="auto" w:sz="6" w:space="0"/>
              <w:bottom w:val="single" w:color="auto" w:sz="6" w:space="0"/>
              <w:right w:val="single" w:color="auto" w:sz="6" w:space="0"/>
            </w:tcBorders>
            <w:vAlign w:val="center"/>
          </w:tcPr>
          <w:p w14:paraId="65F8B796">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本项目拟</w:t>
            </w:r>
          </w:p>
          <w:p w14:paraId="75371B2F">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任的岗位</w:t>
            </w:r>
          </w:p>
        </w:tc>
        <w:tc>
          <w:tcPr>
            <w:tcW w:w="1587" w:type="dxa"/>
            <w:tcBorders>
              <w:top w:val="single" w:color="auto" w:sz="8" w:space="0"/>
              <w:left w:val="single" w:color="auto" w:sz="6" w:space="0"/>
              <w:bottom w:val="single" w:color="auto" w:sz="6" w:space="0"/>
              <w:right w:val="single" w:color="auto" w:sz="6" w:space="0"/>
            </w:tcBorders>
            <w:vAlign w:val="center"/>
          </w:tcPr>
          <w:p w14:paraId="14C3AF74">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961" w:type="dxa"/>
            <w:tcBorders>
              <w:top w:val="single" w:color="auto" w:sz="8" w:space="0"/>
              <w:left w:val="single" w:color="auto" w:sz="6" w:space="0"/>
              <w:bottom w:val="single" w:color="auto" w:sz="6" w:space="0"/>
              <w:right w:val="single" w:color="auto" w:sz="8" w:space="0"/>
            </w:tcBorders>
            <w:vAlign w:val="center"/>
          </w:tcPr>
          <w:p w14:paraId="08FC6F4C">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1E03F7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47308E7A">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C40972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59A904D">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FD1A9EA">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356211E1">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792CD442">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4D358F81">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3CB94AE9">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376D42C2">
            <w:pPr>
              <w:spacing w:line="400" w:lineRule="exact"/>
              <w:rPr>
                <w:rFonts w:ascii="宋体" w:hAnsi="宋体" w:cs="宋体"/>
                <w:color w:val="auto"/>
                <w:sz w:val="22"/>
                <w:highlight w:val="none"/>
              </w:rPr>
            </w:pPr>
          </w:p>
        </w:tc>
      </w:tr>
      <w:tr w14:paraId="7FC80A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B78EC1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42E734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D1638C8">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5E132B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54C8B13">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2B7A6DA7">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A0DCC3C">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1CB2378D">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8117608">
            <w:pPr>
              <w:spacing w:line="400" w:lineRule="exact"/>
              <w:rPr>
                <w:rFonts w:ascii="宋体" w:hAnsi="宋体" w:cs="宋体"/>
                <w:color w:val="auto"/>
                <w:sz w:val="22"/>
                <w:highlight w:val="none"/>
              </w:rPr>
            </w:pPr>
          </w:p>
        </w:tc>
      </w:tr>
      <w:tr w14:paraId="630224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2F557CF3">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67DAFC72">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C84444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2B31B6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269369DC">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1355404">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0D42160">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0C6F25B3">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983E50F">
            <w:pPr>
              <w:spacing w:line="400" w:lineRule="exact"/>
              <w:rPr>
                <w:rFonts w:ascii="宋体" w:hAnsi="宋体" w:cs="宋体"/>
                <w:color w:val="auto"/>
                <w:sz w:val="22"/>
                <w:highlight w:val="none"/>
              </w:rPr>
            </w:pPr>
          </w:p>
        </w:tc>
      </w:tr>
      <w:tr w14:paraId="7134FD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4A6BC9E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6A3DEA0">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5A98C165">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653F7AF0">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582F1492">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5DBE834A">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7D8C4D1">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2E78848F">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0D13C3FA">
            <w:pPr>
              <w:spacing w:line="400" w:lineRule="exact"/>
              <w:rPr>
                <w:rFonts w:ascii="宋体" w:hAnsi="宋体" w:cs="宋体"/>
                <w:color w:val="auto"/>
                <w:sz w:val="22"/>
                <w:highlight w:val="none"/>
              </w:rPr>
            </w:pPr>
          </w:p>
        </w:tc>
      </w:tr>
      <w:tr w14:paraId="61F9A4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022FF22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B61F23B">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7A3406A">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EFF53A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794CAC9C">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4DB3E46">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62715C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6D137CA7">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9AD52EB">
            <w:pPr>
              <w:spacing w:line="400" w:lineRule="exact"/>
              <w:rPr>
                <w:rFonts w:ascii="宋体" w:hAnsi="宋体" w:cs="宋体"/>
                <w:color w:val="auto"/>
                <w:sz w:val="22"/>
                <w:highlight w:val="none"/>
              </w:rPr>
            </w:pPr>
          </w:p>
        </w:tc>
      </w:tr>
      <w:tr w14:paraId="33FEEC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120C83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D5C171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72CB6E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BDAF21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2E98A880">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61F686F1">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559C586F">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10E43334">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12FF5CD">
            <w:pPr>
              <w:spacing w:line="400" w:lineRule="exact"/>
              <w:rPr>
                <w:rFonts w:ascii="宋体" w:hAnsi="宋体" w:cs="宋体"/>
                <w:color w:val="auto"/>
                <w:sz w:val="22"/>
                <w:highlight w:val="none"/>
              </w:rPr>
            </w:pPr>
          </w:p>
        </w:tc>
      </w:tr>
      <w:tr w14:paraId="7C2050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706DF530">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5DC01A35">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75D3C9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AE4B0A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690CB432">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71AA0878">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2CB2FE3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79429C9A">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BBE48B2">
            <w:pPr>
              <w:spacing w:line="400" w:lineRule="exact"/>
              <w:rPr>
                <w:rFonts w:ascii="宋体" w:hAnsi="宋体" w:cs="宋体"/>
                <w:color w:val="auto"/>
                <w:sz w:val="22"/>
                <w:highlight w:val="none"/>
              </w:rPr>
            </w:pPr>
          </w:p>
        </w:tc>
      </w:tr>
      <w:tr w14:paraId="2F7E4A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358A0AF">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0D3127BC">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10E18B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AC19D2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52DB479">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4ADAB907">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4B5E082">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5C86CA24">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B3225A8">
            <w:pPr>
              <w:spacing w:line="400" w:lineRule="exact"/>
              <w:rPr>
                <w:rFonts w:ascii="宋体" w:hAnsi="宋体" w:cs="宋体"/>
                <w:color w:val="auto"/>
                <w:sz w:val="22"/>
                <w:highlight w:val="none"/>
              </w:rPr>
            </w:pPr>
          </w:p>
        </w:tc>
      </w:tr>
      <w:tr w14:paraId="240DD7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1574682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5E61F1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3E45AB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5275979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79C7AE30">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499F18BD">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37421EF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69C59851">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276C960">
            <w:pPr>
              <w:spacing w:line="400" w:lineRule="exact"/>
              <w:rPr>
                <w:rFonts w:ascii="宋体" w:hAnsi="宋体" w:cs="宋体"/>
                <w:color w:val="auto"/>
                <w:sz w:val="22"/>
                <w:highlight w:val="none"/>
              </w:rPr>
            </w:pPr>
          </w:p>
        </w:tc>
      </w:tr>
      <w:tr w14:paraId="04CC22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6EAB33F2">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D25C8DC">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67A6A388">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7079B6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3D2BC06">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BF3E2BC">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37B921A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31F8399A">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AD81A9D">
            <w:pPr>
              <w:spacing w:line="400" w:lineRule="exact"/>
              <w:rPr>
                <w:rFonts w:ascii="宋体" w:hAnsi="宋体" w:cs="宋体"/>
                <w:color w:val="auto"/>
                <w:sz w:val="22"/>
                <w:highlight w:val="none"/>
              </w:rPr>
            </w:pPr>
          </w:p>
        </w:tc>
      </w:tr>
    </w:tbl>
    <w:p w14:paraId="510491B3">
      <w:pPr>
        <w:spacing w:line="400" w:lineRule="exact"/>
        <w:ind w:firstLine="221" w:firstLineChars="100"/>
        <w:rPr>
          <w:rFonts w:ascii="宋体" w:hAnsi="宋体" w:cs="宋体"/>
          <w:b/>
          <w:color w:val="auto"/>
          <w:sz w:val="22"/>
          <w:highlight w:val="none"/>
        </w:rPr>
      </w:pPr>
      <w:r>
        <w:rPr>
          <w:rFonts w:hint="eastAsia" w:ascii="宋体" w:hAnsi="宋体" w:cs="宋体"/>
          <w:b/>
          <w:color w:val="auto"/>
          <w:sz w:val="22"/>
          <w:highlight w:val="none"/>
        </w:rPr>
        <w:t>注：1、本表可在不改变格式的情况下根据具体需要自行增减。</w:t>
      </w:r>
    </w:p>
    <w:p w14:paraId="6C1091C9">
      <w:pPr>
        <w:spacing w:line="400" w:lineRule="exact"/>
        <w:ind w:firstLine="663" w:firstLineChars="300"/>
        <w:rPr>
          <w:rFonts w:ascii="宋体" w:hAnsi="宋体" w:cs="宋体"/>
          <w:b/>
          <w:color w:val="auto"/>
          <w:sz w:val="22"/>
          <w:highlight w:val="none"/>
        </w:rPr>
      </w:pPr>
      <w:r>
        <w:rPr>
          <w:rFonts w:hint="eastAsia" w:ascii="宋体" w:hAnsi="宋体" w:cs="宋体"/>
          <w:b/>
          <w:color w:val="auto"/>
          <w:sz w:val="22"/>
          <w:highlight w:val="none"/>
        </w:rPr>
        <w:t>2、提供本表人员的身份证、职称资格证书、认证证书等复印件加盖公章。</w:t>
      </w:r>
    </w:p>
    <w:p w14:paraId="7AFF855B">
      <w:pPr>
        <w:pStyle w:val="14"/>
        <w:spacing w:before="120" w:after="120" w:line="360" w:lineRule="auto"/>
        <w:rPr>
          <w:rFonts w:hAnsi="宋体" w:cs="宋体"/>
          <w:color w:val="auto"/>
          <w:szCs w:val="21"/>
          <w:highlight w:val="none"/>
        </w:rPr>
      </w:pPr>
    </w:p>
    <w:p w14:paraId="3098BD58">
      <w:pPr>
        <w:snapToGrid w:val="0"/>
        <w:spacing w:before="50" w:after="50"/>
        <w:ind w:left="-3" w:leftChars="-72" w:right="-817" w:rightChars="-389" w:hanging="148" w:hangingChars="62"/>
        <w:rPr>
          <w:rFonts w:ascii="宋体" w:hAnsi="宋体" w:cs="宋体"/>
          <w:color w:val="auto"/>
          <w:sz w:val="24"/>
          <w:szCs w:val="20"/>
          <w:highlight w:val="none"/>
        </w:rPr>
      </w:pPr>
      <w:r>
        <w:rPr>
          <w:rFonts w:hint="eastAsia" w:ascii="宋体" w:hAnsi="宋体" w:cs="宋体"/>
          <w:color w:val="auto"/>
          <w:sz w:val="24"/>
          <w:highlight w:val="none"/>
        </w:rPr>
        <w:t xml:space="preserve">法定代表人或授权委托人（签字或盖章）：                    </w:t>
      </w:r>
    </w:p>
    <w:p w14:paraId="18411C95">
      <w:pPr>
        <w:snapToGrid w:val="0"/>
        <w:spacing w:before="50" w:after="50"/>
        <w:ind w:left="-3" w:leftChars="-72" w:right="-817" w:rightChars="-389" w:hanging="148" w:hangingChars="62"/>
        <w:rPr>
          <w:rFonts w:ascii="宋体" w:hAnsi="宋体" w:cs="宋体"/>
          <w:color w:val="auto"/>
          <w:sz w:val="24"/>
          <w:highlight w:val="none"/>
        </w:rPr>
      </w:pPr>
    </w:p>
    <w:p w14:paraId="055AE71A">
      <w:pPr>
        <w:snapToGrid w:val="0"/>
        <w:spacing w:before="50" w:after="50"/>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投标人名称（盖公章）：                                </w:t>
      </w:r>
    </w:p>
    <w:p w14:paraId="3ADE5986">
      <w:pPr>
        <w:snapToGrid w:val="0"/>
        <w:spacing w:before="50" w:after="50"/>
        <w:ind w:left="-3" w:leftChars="-72" w:right="-817" w:rightChars="-389" w:hanging="148" w:hangingChars="62"/>
        <w:rPr>
          <w:rFonts w:ascii="宋体" w:hAnsi="宋体" w:cs="宋体"/>
          <w:color w:val="auto"/>
          <w:sz w:val="24"/>
          <w:highlight w:val="none"/>
        </w:rPr>
      </w:pPr>
    </w:p>
    <w:p w14:paraId="45FF8C86">
      <w:pPr>
        <w:snapToGrid w:val="0"/>
        <w:spacing w:before="50" w:after="50"/>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日期： </w:t>
      </w:r>
    </w:p>
    <w:p w14:paraId="65E0AE45">
      <w:pPr>
        <w:pStyle w:val="23"/>
        <w:ind w:firstLine="0" w:firstLineChars="0"/>
        <w:rPr>
          <w:rFonts w:ascii="宋体" w:hAnsi="宋体" w:cs="宋体"/>
          <w:color w:val="auto"/>
          <w:sz w:val="24"/>
          <w:highlight w:val="none"/>
        </w:rPr>
        <w:sectPr>
          <w:pgSz w:w="11906" w:h="16838"/>
          <w:pgMar w:top="1440" w:right="1080" w:bottom="1440" w:left="1080" w:header="851" w:footer="992" w:gutter="0"/>
          <w:cols w:space="720" w:num="1"/>
          <w:titlePg/>
          <w:docGrid w:linePitch="312" w:charSpace="0"/>
        </w:sectPr>
      </w:pPr>
    </w:p>
    <w:p w14:paraId="0478508C">
      <w:pPr>
        <w:spacing w:line="580" w:lineRule="exact"/>
        <w:rPr>
          <w:rFonts w:ascii="宋体" w:hAnsi="宋体"/>
          <w:b/>
          <w:bCs/>
          <w:color w:val="auto"/>
          <w:sz w:val="24"/>
          <w:highlight w:val="none"/>
        </w:rPr>
      </w:pPr>
      <w:r>
        <w:rPr>
          <w:rFonts w:hint="eastAsia" w:ascii="宋体" w:hAnsi="宋体"/>
          <w:b/>
          <w:color w:val="auto"/>
          <w:sz w:val="24"/>
          <w:highlight w:val="none"/>
          <w:lang w:val="en-US" w:eastAsia="zh-CN"/>
        </w:rPr>
        <w:t>7</w:t>
      </w:r>
      <w:r>
        <w:rPr>
          <w:rFonts w:ascii="宋体" w:hAnsi="宋体"/>
          <w:b/>
          <w:color w:val="auto"/>
          <w:sz w:val="24"/>
          <w:highlight w:val="none"/>
        </w:rPr>
        <w:t>.</w:t>
      </w:r>
      <w:r>
        <w:rPr>
          <w:rFonts w:hint="eastAsia" w:ascii="宋体" w:hAnsi="宋体"/>
          <w:b/>
          <w:color w:val="auto"/>
          <w:sz w:val="24"/>
          <w:highlight w:val="none"/>
        </w:rPr>
        <w:t>投 标 函</w:t>
      </w:r>
    </w:p>
    <w:p w14:paraId="56F22ACE">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致：（采购机构名称）</w:t>
      </w:r>
    </w:p>
    <w:p w14:paraId="1361F962">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根据贵方招标文件的要求，正式授权下述签字人</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代表投标人 </w:t>
      </w:r>
      <w:r>
        <w:rPr>
          <w:rFonts w:hint="eastAsia" w:ascii="宋体" w:hAnsi="宋体"/>
          <w:color w:val="auto"/>
          <w:sz w:val="24"/>
          <w:highlight w:val="none"/>
          <w:u w:val="single"/>
        </w:rPr>
        <w:t xml:space="preserve">（投标人名称） </w:t>
      </w:r>
      <w:r>
        <w:rPr>
          <w:rFonts w:hint="eastAsia" w:ascii="宋体" w:hAnsi="宋体"/>
          <w:color w:val="auto"/>
          <w:sz w:val="24"/>
          <w:highlight w:val="none"/>
        </w:rPr>
        <w:t>，提交下述文件。据此函，签字人兹宣布同意如下：</w:t>
      </w:r>
    </w:p>
    <w:p w14:paraId="0D311604">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1.我方已仔细研究了 (项目名称) 的招标文件的全部内容，愿意以承诺以下内容：</w:t>
      </w:r>
    </w:p>
    <w:p w14:paraId="00F9FD62">
      <w:pPr>
        <w:snapToGrid w:val="0"/>
        <w:spacing w:line="360" w:lineRule="auto"/>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元）的投标总报价；</w:t>
      </w:r>
      <w:r>
        <w:rPr>
          <w:rFonts w:hint="eastAsia" w:ascii="宋体" w:hAnsi="宋体"/>
          <w:color w:val="auto"/>
          <w:sz w:val="24"/>
          <w:highlight w:val="none"/>
          <w:lang w:val="en-US" w:eastAsia="zh-CN"/>
        </w:rPr>
        <w:t>工</w:t>
      </w:r>
      <w:r>
        <w:rPr>
          <w:rFonts w:hint="eastAsia" w:ascii="宋体" w:hAnsi="宋体"/>
          <w:color w:val="auto"/>
          <w:sz w:val="24"/>
          <w:highlight w:val="none"/>
          <w:lang w:eastAsia="zh-CN"/>
        </w:rPr>
        <w:t>期</w:t>
      </w:r>
      <w:r>
        <w:rPr>
          <w:rFonts w:hint="eastAsia" w:ascii="宋体" w:hAnsi="宋体"/>
          <w:color w:val="auto"/>
          <w:sz w:val="24"/>
          <w:highlight w:val="none"/>
        </w:rPr>
        <w:t>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，项目负责人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p>
    <w:p w14:paraId="7BDA8AF5">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2.我方在投标之前已经与贵方进行了充分的沟通，完全理解并接受招标文件的各项规定和要求，对招标文件的合理性、合法性不再有异议。（包括修改文件）</w:t>
      </w:r>
    </w:p>
    <w:p w14:paraId="6B73950E">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3.我方承诺在投标有效期内（从开标之日起</w:t>
      </w:r>
      <w:r>
        <w:rPr>
          <w:rFonts w:hint="eastAsia" w:ascii="宋体" w:hAnsi="宋体"/>
          <w:color w:val="auto"/>
          <w:sz w:val="24"/>
          <w:highlight w:val="none"/>
          <w:u w:val="single"/>
        </w:rPr>
        <w:t>90</w:t>
      </w:r>
      <w:r>
        <w:rPr>
          <w:rFonts w:hint="eastAsia" w:ascii="宋体" w:hAnsi="宋体"/>
          <w:color w:val="auto"/>
          <w:sz w:val="24"/>
          <w:highlight w:val="none"/>
        </w:rPr>
        <w:t>天），其投标文件中的所有内容对我方具有约束力。如在此有效期内，我方出现下列行为之一者，同意无条件没收我方的投标保证金。</w:t>
      </w:r>
    </w:p>
    <w:p w14:paraId="6B053566">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1）在投标有效期内撤回投标文件；</w:t>
      </w:r>
    </w:p>
    <w:p w14:paraId="590489E9">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2）在投标过程中弄虚作假、提供虚假材料的；</w:t>
      </w:r>
    </w:p>
    <w:p w14:paraId="1EEC54CA">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3）如果中标不与采购人签订合同的；</w:t>
      </w:r>
    </w:p>
    <w:p w14:paraId="2651FDB0">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4）有其他严重扰乱招投标程序的。</w:t>
      </w:r>
    </w:p>
    <w:p w14:paraId="788ED87B">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4.如我方中标，我方承诺：</w:t>
      </w:r>
    </w:p>
    <w:p w14:paraId="32F81DB5">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1）收到中标通知书后，在中标通知书规定的期限内与采购人签订合同。</w:t>
      </w:r>
    </w:p>
    <w:p w14:paraId="139A4EF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2）在合同约定的期限内完成并移交全部合同工程。</w:t>
      </w:r>
    </w:p>
    <w:p w14:paraId="17015810">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5.我方在此声明，所递交的投标文件及有关资料内容完整、真实和准确。</w:t>
      </w:r>
    </w:p>
    <w:p w14:paraId="01187F06">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6.我方理解贵方不一定接受最低报价的投标人，且对招标文件中规定的付款方式无异议。</w:t>
      </w:r>
    </w:p>
    <w:p w14:paraId="4B4D0751">
      <w:pPr>
        <w:snapToGrid w:val="0"/>
        <w:spacing w:line="360" w:lineRule="auto"/>
        <w:ind w:left="2940" w:leftChars="257" w:hanging="2400" w:hangingChars="1000"/>
        <w:rPr>
          <w:rFonts w:ascii="宋体" w:hAnsi="宋体"/>
          <w:color w:val="auto"/>
          <w:sz w:val="24"/>
          <w:highlight w:val="none"/>
        </w:rPr>
      </w:pPr>
      <w:r>
        <w:rPr>
          <w:rFonts w:hint="eastAsia" w:ascii="宋体" w:hAnsi="宋体"/>
          <w:color w:val="auto"/>
          <w:sz w:val="24"/>
          <w:highlight w:val="none"/>
        </w:rPr>
        <w:t xml:space="preserve">7.（投标人认为需要的其他补充说明）。 </w:t>
      </w:r>
    </w:p>
    <w:p w14:paraId="52146D87">
      <w:pPr>
        <w:snapToGrid w:val="0"/>
        <w:spacing w:line="360" w:lineRule="auto"/>
        <w:ind w:left="2934" w:leftChars="1397"/>
        <w:rPr>
          <w:rFonts w:ascii="宋体" w:hAnsi="宋体"/>
          <w:b/>
          <w:color w:val="auto"/>
          <w:sz w:val="24"/>
          <w:highlight w:val="none"/>
        </w:rPr>
      </w:pPr>
      <w:r>
        <w:rPr>
          <w:rFonts w:hint="eastAsia" w:ascii="宋体" w:hAnsi="宋体"/>
          <w:b/>
          <w:color w:val="auto"/>
          <w:sz w:val="24"/>
          <w:highlight w:val="none"/>
        </w:rPr>
        <w:t xml:space="preserve">投标人：（盖章） </w:t>
      </w:r>
    </w:p>
    <w:p w14:paraId="7BD58AAD">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法定代表人或</w:t>
      </w:r>
      <w:r>
        <w:rPr>
          <w:rFonts w:ascii="宋体" w:hAnsi="宋体"/>
          <w:b/>
          <w:color w:val="auto"/>
          <w:sz w:val="24"/>
          <w:highlight w:val="none"/>
        </w:rPr>
        <w:t>其委托代理人</w:t>
      </w:r>
      <w:r>
        <w:rPr>
          <w:rFonts w:hint="eastAsia" w:ascii="宋体" w:hAnsi="宋体"/>
          <w:b/>
          <w:color w:val="auto"/>
          <w:sz w:val="24"/>
          <w:highlight w:val="none"/>
        </w:rPr>
        <w:t>：（签字或盖章）</w:t>
      </w:r>
    </w:p>
    <w:p w14:paraId="180AD889">
      <w:pPr>
        <w:snapToGrid w:val="0"/>
        <w:spacing w:line="360" w:lineRule="auto"/>
        <w:ind w:firstLine="2879" w:firstLineChars="1195"/>
        <w:rPr>
          <w:rFonts w:ascii="宋体" w:hAnsi="宋体"/>
          <w:b/>
          <w:color w:val="auto"/>
          <w:sz w:val="24"/>
          <w:highlight w:val="none"/>
          <w:u w:val="single"/>
        </w:rPr>
      </w:pPr>
      <w:r>
        <w:rPr>
          <w:rFonts w:hint="eastAsia" w:ascii="宋体" w:hAnsi="宋体"/>
          <w:b/>
          <w:color w:val="auto"/>
          <w:sz w:val="24"/>
          <w:highlight w:val="none"/>
        </w:rPr>
        <w:t>电话：</w:t>
      </w:r>
    </w:p>
    <w:p w14:paraId="4B816AF1">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日期：</w:t>
      </w:r>
    </w:p>
    <w:p w14:paraId="794A9D40">
      <w:pPr>
        <w:spacing w:beforeLines="50" w:afterLines="50" w:line="480" w:lineRule="exact"/>
        <w:ind w:left="105" w:leftChars="50" w:right="105" w:rightChars="50"/>
        <w:rPr>
          <w:rFonts w:ascii="宋体" w:hAnsi="宋体"/>
          <w:b/>
          <w:color w:val="auto"/>
          <w:spacing w:val="20"/>
          <w:position w:val="2"/>
          <w:sz w:val="24"/>
          <w:highlight w:val="none"/>
        </w:rPr>
      </w:pPr>
      <w:r>
        <w:rPr>
          <w:rFonts w:ascii="宋体" w:hAnsi="宋体"/>
          <w:b/>
          <w:color w:val="auto"/>
          <w:spacing w:val="20"/>
          <w:position w:val="2"/>
          <w:sz w:val="24"/>
          <w:highlight w:val="none"/>
        </w:rPr>
        <w:br w:type="page"/>
      </w:r>
      <w:r>
        <w:rPr>
          <w:rFonts w:hint="eastAsia" w:ascii="宋体" w:hAnsi="宋体"/>
          <w:b/>
          <w:color w:val="auto"/>
          <w:spacing w:val="20"/>
          <w:position w:val="2"/>
          <w:sz w:val="24"/>
          <w:highlight w:val="none"/>
          <w:lang w:val="en-US" w:eastAsia="zh-CN"/>
        </w:rPr>
        <w:t>8</w:t>
      </w:r>
      <w:r>
        <w:rPr>
          <w:rFonts w:hint="eastAsia" w:ascii="宋体" w:hAnsi="宋体"/>
          <w:b/>
          <w:color w:val="auto"/>
          <w:spacing w:val="20"/>
          <w:position w:val="2"/>
          <w:sz w:val="24"/>
          <w:highlight w:val="none"/>
        </w:rPr>
        <w:t>.开标一览表</w:t>
      </w:r>
    </w:p>
    <w:p w14:paraId="07211C93">
      <w:pPr>
        <w:snapToGrid w:val="0"/>
        <w:spacing w:before="50" w:after="50"/>
        <w:rPr>
          <w:rFonts w:ascii="宋体"/>
          <w:color w:val="auto"/>
          <w:sz w:val="24"/>
          <w:highlight w:val="none"/>
        </w:rPr>
      </w:pPr>
      <w:r>
        <w:rPr>
          <w:rFonts w:hint="eastAsia" w:ascii="宋体" w:hAnsi="宋体" w:cs="宋体"/>
          <w:color w:val="auto"/>
          <w:sz w:val="24"/>
          <w:highlight w:val="none"/>
        </w:rPr>
        <w:t>投标人名称：</w:t>
      </w:r>
    </w:p>
    <w:p w14:paraId="2630EF95">
      <w:pPr>
        <w:snapToGrid w:val="0"/>
        <w:spacing w:before="50" w:after="50"/>
        <w:rPr>
          <w:rFonts w:ascii="宋体"/>
          <w:color w:val="auto"/>
          <w:sz w:val="24"/>
          <w:highlight w:val="none"/>
        </w:rPr>
      </w:pPr>
      <w:r>
        <w:rPr>
          <w:rFonts w:hint="eastAsia" w:ascii="宋体" w:hAnsi="宋体" w:cs="宋体"/>
          <w:color w:val="auto"/>
          <w:sz w:val="24"/>
          <w:highlight w:val="none"/>
        </w:rPr>
        <w:t>项目名称：</w:t>
      </w:r>
    </w:p>
    <w:p w14:paraId="3E63C5F4">
      <w:pPr>
        <w:snapToGrid w:val="0"/>
        <w:spacing w:before="50" w:after="50"/>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单位</w:t>
      </w:r>
      <w:r>
        <w:rPr>
          <w:rFonts w:ascii="宋体" w:hAnsi="宋体" w:cs="宋体"/>
          <w:color w:val="auto"/>
          <w:sz w:val="24"/>
          <w:highlight w:val="none"/>
        </w:rPr>
        <w:t>：元</w:t>
      </w:r>
    </w:p>
    <w:tbl>
      <w:tblPr>
        <w:tblStyle w:val="24"/>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439"/>
        <w:gridCol w:w="1119"/>
        <w:gridCol w:w="2908"/>
      </w:tblGrid>
      <w:tr w14:paraId="7C94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vAlign w:val="center"/>
          </w:tcPr>
          <w:p w14:paraId="305D13FB">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标项</w:t>
            </w:r>
          </w:p>
        </w:tc>
        <w:tc>
          <w:tcPr>
            <w:tcW w:w="3439" w:type="dxa"/>
            <w:vAlign w:val="center"/>
          </w:tcPr>
          <w:p w14:paraId="0D30C2A5">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内容</w:t>
            </w:r>
          </w:p>
        </w:tc>
        <w:tc>
          <w:tcPr>
            <w:tcW w:w="1119" w:type="dxa"/>
            <w:vAlign w:val="center"/>
          </w:tcPr>
          <w:p w14:paraId="06AC8B02">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数量</w:t>
            </w:r>
          </w:p>
        </w:tc>
        <w:tc>
          <w:tcPr>
            <w:tcW w:w="2908" w:type="dxa"/>
            <w:vAlign w:val="center"/>
          </w:tcPr>
          <w:p w14:paraId="64E6470B">
            <w:pPr>
              <w:spacing w:line="360" w:lineRule="auto"/>
              <w:jc w:val="center"/>
              <w:rPr>
                <w:rFonts w:hint="eastAsia" w:ascii="宋体" w:hAnsi="宋体" w:eastAsia="宋体"/>
                <w:b/>
                <w:color w:val="auto"/>
                <w:spacing w:val="-6"/>
                <w:szCs w:val="21"/>
                <w:highlight w:val="none"/>
                <w:lang w:eastAsia="zh-CN"/>
              </w:rPr>
            </w:pPr>
            <w:r>
              <w:rPr>
                <w:rFonts w:hint="eastAsia" w:ascii="宋体" w:hAnsi="宋体"/>
                <w:b/>
                <w:color w:val="auto"/>
                <w:spacing w:val="-6"/>
                <w:szCs w:val="21"/>
                <w:highlight w:val="none"/>
                <w:lang w:eastAsia="zh-CN"/>
              </w:rPr>
              <w:t>投标报价</w:t>
            </w:r>
          </w:p>
        </w:tc>
      </w:tr>
      <w:tr w14:paraId="4CE8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3" w:type="dxa"/>
            <w:vAlign w:val="center"/>
          </w:tcPr>
          <w:p w14:paraId="46FDAE9A">
            <w:pPr>
              <w:spacing w:line="380" w:lineRule="exact"/>
              <w:jc w:val="center"/>
              <w:rPr>
                <w:rFonts w:ascii="宋体" w:hAnsi="宋体"/>
                <w:b/>
                <w:color w:val="auto"/>
                <w:spacing w:val="-6"/>
                <w:szCs w:val="21"/>
                <w:highlight w:val="none"/>
              </w:rPr>
            </w:pPr>
            <w:r>
              <w:rPr>
                <w:rFonts w:hint="eastAsia" w:ascii="宋体" w:hAnsi="宋体"/>
                <w:b/>
                <w:color w:val="auto"/>
                <w:spacing w:val="-6"/>
                <w:szCs w:val="21"/>
                <w:highlight w:val="none"/>
              </w:rPr>
              <w:t>1</w:t>
            </w:r>
          </w:p>
        </w:tc>
        <w:tc>
          <w:tcPr>
            <w:tcW w:w="3439" w:type="dxa"/>
            <w:vAlign w:val="center"/>
          </w:tcPr>
          <w:p w14:paraId="5B98AE92">
            <w:pPr>
              <w:pStyle w:val="52"/>
              <w:widowControl w:val="0"/>
              <w:spacing w:afterLines="0" w:line="380" w:lineRule="exact"/>
              <w:ind w:firstLine="0" w:firstLineChars="0"/>
              <w:jc w:val="center"/>
              <w:rPr>
                <w:rFonts w:hint="eastAsia" w:eastAsia="宋体"/>
                <w:color w:val="auto"/>
                <w:highlight w:val="none"/>
                <w:lang w:eastAsia="zh-CN"/>
              </w:rPr>
            </w:pPr>
            <w:r>
              <w:rPr>
                <w:rFonts w:hint="eastAsia"/>
                <w:color w:val="auto"/>
                <w:highlight w:val="none"/>
                <w:lang w:eastAsia="zh-CN"/>
              </w:rPr>
              <w:t xml:space="preserve">桐庐县人民法院档案电动密集架改造升级项目 </w:t>
            </w:r>
          </w:p>
        </w:tc>
        <w:tc>
          <w:tcPr>
            <w:tcW w:w="1119" w:type="dxa"/>
            <w:vAlign w:val="center"/>
          </w:tcPr>
          <w:p w14:paraId="77A46282">
            <w:pPr>
              <w:pStyle w:val="52"/>
              <w:widowControl w:val="0"/>
              <w:spacing w:afterLines="0" w:line="380" w:lineRule="exact"/>
              <w:ind w:firstLine="0" w:firstLineChars="0"/>
              <w:jc w:val="center"/>
              <w:rPr>
                <w:color w:val="auto"/>
                <w:highlight w:val="none"/>
              </w:rPr>
            </w:pPr>
            <w:r>
              <w:rPr>
                <w:rFonts w:hint="eastAsia"/>
                <w:color w:val="auto"/>
                <w:highlight w:val="none"/>
              </w:rPr>
              <w:t>1项</w:t>
            </w:r>
          </w:p>
        </w:tc>
        <w:tc>
          <w:tcPr>
            <w:tcW w:w="2908" w:type="dxa"/>
            <w:vAlign w:val="center"/>
          </w:tcPr>
          <w:p w14:paraId="048BD22E">
            <w:pPr>
              <w:pStyle w:val="52"/>
              <w:widowControl w:val="0"/>
              <w:spacing w:afterLines="0" w:line="380" w:lineRule="exact"/>
              <w:ind w:firstLine="0" w:firstLineChars="0"/>
              <w:jc w:val="both"/>
              <w:rPr>
                <w:rFonts w:hint="eastAsia"/>
                <w:color w:val="auto"/>
                <w:highlight w:val="none"/>
                <w:u w:val="single"/>
                <w:lang w:val="en-US" w:eastAsia="zh-CN"/>
              </w:rPr>
            </w:pPr>
            <w:r>
              <w:rPr>
                <w:rFonts w:hint="eastAsia"/>
                <w:color w:val="auto"/>
                <w:highlight w:val="none"/>
                <w:lang w:eastAsia="zh-CN"/>
              </w:rPr>
              <w:t>大写：</w:t>
            </w:r>
            <w:r>
              <w:rPr>
                <w:rFonts w:hint="eastAsia"/>
                <w:color w:val="auto"/>
                <w:highlight w:val="none"/>
                <w:u w:val="single"/>
                <w:lang w:val="en-US" w:eastAsia="zh-CN"/>
              </w:rPr>
              <w:t xml:space="preserve">             </w:t>
            </w:r>
          </w:p>
          <w:p w14:paraId="6A543711">
            <w:pPr>
              <w:pStyle w:val="52"/>
              <w:widowControl w:val="0"/>
              <w:spacing w:afterLines="0" w:line="380" w:lineRule="exact"/>
              <w:ind w:firstLine="0" w:firstLineChars="0"/>
              <w:jc w:val="both"/>
              <w:rPr>
                <w:rFonts w:hint="default"/>
                <w:color w:val="auto"/>
                <w:highlight w:val="none"/>
                <w:u w:val="single"/>
                <w:lang w:val="en-US" w:eastAsia="zh-CN"/>
              </w:rPr>
            </w:pPr>
            <w:r>
              <w:rPr>
                <w:rFonts w:hint="eastAsia"/>
                <w:color w:val="auto"/>
                <w:highlight w:val="none"/>
                <w:u w:val="none"/>
                <w:lang w:val="en-US" w:eastAsia="zh-CN"/>
              </w:rPr>
              <w:t>小写：</w:t>
            </w:r>
            <w:r>
              <w:rPr>
                <w:rFonts w:hint="eastAsia"/>
                <w:color w:val="auto"/>
                <w:highlight w:val="none"/>
                <w:u w:val="single"/>
                <w:lang w:val="en-US" w:eastAsia="zh-CN"/>
              </w:rPr>
              <w:t xml:space="preserve">             </w:t>
            </w:r>
          </w:p>
        </w:tc>
      </w:tr>
    </w:tbl>
    <w:p w14:paraId="063C6101">
      <w:pPr>
        <w:snapToGrid w:val="0"/>
        <w:spacing w:before="50" w:after="50"/>
        <w:rPr>
          <w:rFonts w:ascii="宋体" w:hAnsi="宋体" w:cs="宋体"/>
          <w:color w:val="auto"/>
          <w:sz w:val="24"/>
          <w:highlight w:val="none"/>
          <w:u w:val="single"/>
        </w:rPr>
      </w:pPr>
    </w:p>
    <w:p w14:paraId="19691849">
      <w:pPr>
        <w:pStyle w:val="14"/>
        <w:spacing w:line="460" w:lineRule="atLeast"/>
        <w:rPr>
          <w:rFonts w:hAnsi="宋体"/>
          <w:color w:val="auto"/>
          <w:sz w:val="24"/>
          <w:szCs w:val="24"/>
          <w:highlight w:val="none"/>
        </w:rPr>
      </w:pPr>
      <w:r>
        <w:rPr>
          <w:rFonts w:hint="eastAsia" w:hAnsi="宋体"/>
          <w:color w:val="auto"/>
          <w:sz w:val="24"/>
          <w:szCs w:val="24"/>
          <w:highlight w:val="none"/>
        </w:rPr>
        <w:t>备注：1、大写总价与小写总价不一致，以大写总价为准。“投标报价合计”应与投标函中的“投标总报价”相一致。</w:t>
      </w:r>
    </w:p>
    <w:p w14:paraId="666CF99C">
      <w:pPr>
        <w:pStyle w:val="14"/>
        <w:spacing w:line="460" w:lineRule="atLeast"/>
        <w:ind w:firstLine="720" w:firstLineChars="300"/>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highlight w:val="none"/>
        </w:rPr>
        <w:t>投标报价是履行合同的最终价格，包括设备费（包括必备的附件）、安装材料费、运输装卸费、安装调试费和税费等一切费用。本项目投标报价单价不做调整，数量按实调整。</w:t>
      </w:r>
    </w:p>
    <w:p w14:paraId="725AF46C">
      <w:pPr>
        <w:pStyle w:val="14"/>
        <w:spacing w:line="460" w:lineRule="atLeast"/>
        <w:ind w:firstLine="720" w:firstLineChars="300"/>
        <w:rPr>
          <w:rFonts w:hAnsi="宋体"/>
          <w:color w:val="auto"/>
          <w:sz w:val="24"/>
          <w:szCs w:val="24"/>
          <w:highlight w:val="none"/>
        </w:rPr>
      </w:pPr>
      <w:r>
        <w:rPr>
          <w:rFonts w:hint="eastAsia" w:hAnsi="宋体"/>
          <w:color w:val="auto"/>
          <w:sz w:val="24"/>
          <w:szCs w:val="24"/>
          <w:highlight w:val="none"/>
        </w:rPr>
        <w:t>3、投标报价不得超过招标文件设定的上限价。</w:t>
      </w:r>
    </w:p>
    <w:p w14:paraId="0CBD24F1">
      <w:pPr>
        <w:autoSpaceDE w:val="0"/>
        <w:autoSpaceDN w:val="0"/>
        <w:adjustRightInd w:val="0"/>
        <w:spacing w:line="440" w:lineRule="exact"/>
        <w:ind w:firstLine="3600" w:firstLineChars="1500"/>
        <w:rPr>
          <w:rFonts w:ascii="宋体" w:hAnsi="宋体" w:cs="仿宋_GB2312"/>
          <w:color w:val="auto"/>
          <w:kern w:val="0"/>
          <w:sz w:val="24"/>
          <w:highlight w:val="none"/>
          <w:lang w:val="zh-CN"/>
        </w:rPr>
      </w:pPr>
    </w:p>
    <w:p w14:paraId="1A66A57B">
      <w:pPr>
        <w:pStyle w:val="23"/>
        <w:ind w:firstLine="210"/>
        <w:rPr>
          <w:color w:val="auto"/>
          <w:highlight w:val="none"/>
          <w:lang w:val="zh-CN"/>
        </w:rPr>
      </w:pPr>
    </w:p>
    <w:p w14:paraId="448602CD">
      <w:pPr>
        <w:spacing w:beforeLines="50" w:afterLines="50" w:line="480" w:lineRule="exact"/>
        <w:ind w:left="2551" w:leftChars="1215" w:right="105" w:rightChars="50"/>
        <w:rPr>
          <w:rFonts w:ascii="宋体" w:hAnsi="宋体"/>
          <w:b/>
          <w:color w:val="auto"/>
          <w:spacing w:val="20"/>
          <w:position w:val="2"/>
          <w:sz w:val="24"/>
          <w:highlight w:val="none"/>
        </w:rPr>
      </w:pPr>
      <w:r>
        <w:rPr>
          <w:rFonts w:hint="eastAsia" w:ascii="宋体" w:hAnsi="宋体"/>
          <w:b/>
          <w:color w:val="auto"/>
          <w:spacing w:val="20"/>
          <w:position w:val="2"/>
          <w:sz w:val="24"/>
          <w:highlight w:val="none"/>
        </w:rPr>
        <w:t>投标人： （盖章）</w:t>
      </w:r>
    </w:p>
    <w:p w14:paraId="710F1ED3">
      <w:pPr>
        <w:spacing w:beforeLines="50" w:afterLines="50" w:line="480" w:lineRule="exact"/>
        <w:ind w:left="2551" w:leftChars="1215" w:right="105" w:rightChars="50"/>
        <w:rPr>
          <w:rFonts w:ascii="宋体" w:hAnsi="宋体"/>
          <w:b/>
          <w:color w:val="auto"/>
          <w:sz w:val="24"/>
          <w:highlight w:val="none"/>
        </w:rPr>
      </w:pPr>
      <w:r>
        <w:rPr>
          <w:rFonts w:hint="eastAsia" w:ascii="宋体" w:hAnsi="宋体"/>
          <w:b/>
          <w:color w:val="auto"/>
          <w:sz w:val="24"/>
          <w:highlight w:val="none"/>
        </w:rPr>
        <w:t>法定代表人或委托代理人：（签字或盖章）</w:t>
      </w:r>
    </w:p>
    <w:p w14:paraId="782E8574">
      <w:pPr>
        <w:spacing w:line="480" w:lineRule="exact"/>
        <w:ind w:right="105" w:rightChars="50" w:firstLine="2528" w:firstLineChars="900"/>
        <w:jc w:val="left"/>
        <w:rPr>
          <w:rFonts w:hint="eastAsia" w:ascii="宋体" w:hAnsi="宋体"/>
          <w:b/>
          <w:color w:val="auto"/>
          <w:spacing w:val="20"/>
          <w:position w:val="2"/>
          <w:sz w:val="24"/>
          <w:highlight w:val="none"/>
          <w:lang w:eastAsia="zh-CN"/>
        </w:rPr>
      </w:pPr>
      <w:r>
        <w:rPr>
          <w:rFonts w:hint="eastAsia" w:ascii="宋体" w:hAnsi="宋体"/>
          <w:b/>
          <w:color w:val="auto"/>
          <w:spacing w:val="20"/>
          <w:position w:val="2"/>
          <w:sz w:val="24"/>
          <w:highlight w:val="none"/>
        </w:rPr>
        <w:t>日 期</w:t>
      </w:r>
      <w:r>
        <w:rPr>
          <w:rFonts w:hint="eastAsia" w:ascii="宋体" w:hAnsi="宋体"/>
          <w:b/>
          <w:color w:val="auto"/>
          <w:spacing w:val="20"/>
          <w:position w:val="2"/>
          <w:sz w:val="24"/>
          <w:highlight w:val="none"/>
          <w:lang w:eastAsia="zh-CN"/>
        </w:rPr>
        <w:t>：</w:t>
      </w:r>
    </w:p>
    <w:p w14:paraId="7D682A68">
      <w:pPr>
        <w:spacing w:line="480" w:lineRule="exact"/>
        <w:ind w:left="105" w:leftChars="50" w:right="105" w:rightChars="50" w:firstLine="4200" w:firstLineChars="1750"/>
        <w:jc w:val="left"/>
        <w:rPr>
          <w:rFonts w:ascii="宋体" w:hAnsi="宋体" w:cs="仿宋_GB2312"/>
          <w:color w:val="auto"/>
          <w:kern w:val="0"/>
          <w:sz w:val="24"/>
          <w:highlight w:val="none"/>
        </w:rPr>
      </w:pPr>
    </w:p>
    <w:p w14:paraId="02B49225">
      <w:pPr>
        <w:spacing w:line="480" w:lineRule="exact"/>
        <w:ind w:left="105" w:leftChars="50" w:right="105" w:rightChars="50" w:firstLine="4200" w:firstLineChars="1750"/>
        <w:jc w:val="left"/>
        <w:rPr>
          <w:rFonts w:ascii="宋体" w:hAnsi="宋体" w:cs="仿宋_GB2312"/>
          <w:color w:val="auto"/>
          <w:kern w:val="0"/>
          <w:sz w:val="24"/>
          <w:highlight w:val="none"/>
        </w:rPr>
      </w:pPr>
    </w:p>
    <w:p w14:paraId="35729217">
      <w:pPr>
        <w:bidi w:val="0"/>
        <w:rPr>
          <w:rFonts w:hint="eastAsia"/>
          <w:color w:val="auto"/>
          <w:highlight w:val="none"/>
          <w:lang w:val="en-US" w:eastAsia="zh-CN"/>
        </w:rPr>
      </w:pPr>
    </w:p>
    <w:p w14:paraId="3DB0EEF6">
      <w:pPr>
        <w:bidi w:val="0"/>
        <w:rPr>
          <w:rFonts w:hint="eastAsia"/>
          <w:color w:val="auto"/>
          <w:highlight w:val="none"/>
          <w:lang w:val="en-US" w:eastAsia="zh-CN"/>
        </w:rPr>
      </w:pPr>
    </w:p>
    <w:p w14:paraId="1CFE2288">
      <w:pPr>
        <w:bidi w:val="0"/>
        <w:rPr>
          <w:rFonts w:hint="eastAsia"/>
          <w:color w:val="auto"/>
          <w:highlight w:val="none"/>
          <w:lang w:val="en-US" w:eastAsia="zh-CN"/>
        </w:rPr>
      </w:pPr>
    </w:p>
    <w:p w14:paraId="7F59A359">
      <w:pPr>
        <w:bidi w:val="0"/>
        <w:rPr>
          <w:rFonts w:hint="eastAsia"/>
          <w:color w:val="auto"/>
          <w:highlight w:val="none"/>
          <w:lang w:val="en-US" w:eastAsia="zh-CN"/>
        </w:rPr>
      </w:pPr>
    </w:p>
    <w:bookmarkEnd w:id="29"/>
    <w:bookmarkEnd w:id="30"/>
    <w:p w14:paraId="110FBFAE">
      <w:pPr>
        <w:tabs>
          <w:tab w:val="left" w:pos="2723"/>
        </w:tabs>
        <w:bidi w:val="0"/>
        <w:jc w:val="left"/>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03DF">
    <w:pPr>
      <w:pStyle w:val="1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1361">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1" name="文本框 20"/>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14:paraId="56D46986">
                          <w:pPr>
                            <w:pStyle w:val="16"/>
                          </w:pPr>
                          <w:r>
                            <w:rPr>
                              <w:rFonts w:hint="eastAsia"/>
                            </w:rPr>
                            <w:t xml:space="preserve">第 </w:t>
                          </w:r>
                          <w:r>
                            <w:fldChar w:fldCharType="begin"/>
                          </w:r>
                          <w:r>
                            <w:instrText xml:space="preserve"> PAGE  \* MERGEFORMAT </w:instrText>
                          </w:r>
                          <w:r>
                            <w:fldChar w:fldCharType="separate"/>
                          </w:r>
                          <w:r>
                            <w:t>41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qhE71QAAAAMBAAAPAAAAAAAAAAEAIAAA&#10;ACIAAABkcnMvZG93bnJldi54bWxQSwECFAAUAAAACACHTuJAmnqKX9YBAACiAwAADgAAAAAAAAAB&#10;ACAAAAAkAQAAZHJzL2Uyb0RvYy54bWxQSwUGAAAAAAYABgBZAQAAbAUAAAAA&#10;">
              <v:fill on="f" focussize="0,0"/>
              <v:stroke on="f" weight="1.25pt"/>
              <v:imagedata o:title=""/>
              <o:lock v:ext="edit" aspectratio="f"/>
              <v:textbox inset="0mm,0mm,0mm,0mm" style="mso-fit-shape-to-text:t;">
                <w:txbxContent>
                  <w:p w14:paraId="56D46986">
                    <w:pPr>
                      <w:pStyle w:val="16"/>
                    </w:pPr>
                    <w:r>
                      <w:rPr>
                        <w:rFonts w:hint="eastAsia"/>
                      </w:rPr>
                      <w:t xml:space="preserve">第 </w:t>
                    </w:r>
                    <w:r>
                      <w:fldChar w:fldCharType="begin"/>
                    </w:r>
                    <w:r>
                      <w:instrText xml:space="preserve"> PAGE  \* MERGEFORMAT </w:instrText>
                    </w:r>
                    <w:r>
                      <w:fldChar w:fldCharType="separate"/>
                    </w:r>
                    <w:r>
                      <w:t>41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83DF">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2A0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5C89"/>
    <w:multiLevelType w:val="singleLevel"/>
    <w:tmpl w:val="8D215C89"/>
    <w:lvl w:ilvl="0" w:tentative="0">
      <w:start w:val="1"/>
      <w:numFmt w:val="chineseCounting"/>
      <w:suff w:val="nothing"/>
      <w:lvlText w:val="%1、"/>
      <w:lvlJc w:val="left"/>
      <w:rPr>
        <w:rFonts w:hint="eastAsia"/>
      </w:rPr>
    </w:lvl>
  </w:abstractNum>
  <w:abstractNum w:abstractNumId="1">
    <w:nsid w:val="07D852C8"/>
    <w:multiLevelType w:val="singleLevel"/>
    <w:tmpl w:val="07D852C8"/>
    <w:lvl w:ilvl="0" w:tentative="0">
      <w:start w:val="1"/>
      <w:numFmt w:val="chineseCounting"/>
      <w:suff w:val="nothing"/>
      <w:lvlText w:val="%1、"/>
      <w:lvlJc w:val="left"/>
      <w:rPr>
        <w:rFonts w:hint="eastAsia"/>
      </w:rPr>
    </w:lvl>
  </w:abstractNum>
  <w:abstractNum w:abstractNumId="2">
    <w:nsid w:val="084F73A4"/>
    <w:multiLevelType w:val="singleLevel"/>
    <w:tmpl w:val="084F73A4"/>
    <w:lvl w:ilvl="0" w:tentative="0">
      <w:start w:val="1"/>
      <w:numFmt w:val="decimal"/>
      <w:pStyle w:val="7"/>
      <w:lvlText w:val="%1."/>
      <w:lvlJc w:val="left"/>
      <w:pPr>
        <w:tabs>
          <w:tab w:val="left" w:pos="360"/>
        </w:tabs>
        <w:ind w:left="360" w:hanging="360"/>
      </w:pPr>
    </w:lvl>
  </w:abstractNum>
  <w:abstractNum w:abstractNumId="3">
    <w:nsid w:val="186A3D88"/>
    <w:multiLevelType w:val="singleLevel"/>
    <w:tmpl w:val="186A3D88"/>
    <w:lvl w:ilvl="0" w:tentative="0">
      <w:start w:val="1"/>
      <w:numFmt w:val="chineseCounting"/>
      <w:suff w:val="nothing"/>
      <w:lvlText w:val="%1、"/>
      <w:lvlJc w:val="left"/>
      <w:rPr>
        <w:rFonts w:hint="eastAsia"/>
      </w:rPr>
    </w:lvl>
  </w:abstractNum>
  <w:abstractNum w:abstractNumId="4">
    <w:nsid w:val="479B5BBA"/>
    <w:multiLevelType w:val="multilevel"/>
    <w:tmpl w:val="479B5BBA"/>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5">
    <w:nsid w:val="763060DB"/>
    <w:multiLevelType w:val="multilevel"/>
    <w:tmpl w:val="763060DB"/>
    <w:lvl w:ilvl="0" w:tentative="0">
      <w:start w:val="1"/>
      <w:numFmt w:val="japaneseCounting"/>
      <w:lvlText w:val="第%1章"/>
      <w:lvlJc w:val="left"/>
      <w:pPr>
        <w:tabs>
          <w:tab w:val="left" w:pos="4155"/>
        </w:tabs>
        <w:ind w:left="415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jY5ODExYWQ5MjRjMzNmN2M0MWIyZjAwZjliOTQifQ=="/>
  </w:docVars>
  <w:rsids>
    <w:rsidRoot w:val="00A139C6"/>
    <w:rsid w:val="0002510E"/>
    <w:rsid w:val="00066124"/>
    <w:rsid w:val="000B4DA6"/>
    <w:rsid w:val="000B7CB0"/>
    <w:rsid w:val="000E2D3D"/>
    <w:rsid w:val="000E783E"/>
    <w:rsid w:val="00103F8F"/>
    <w:rsid w:val="001056E8"/>
    <w:rsid w:val="00114B49"/>
    <w:rsid w:val="001531CA"/>
    <w:rsid w:val="00156E54"/>
    <w:rsid w:val="00190B3E"/>
    <w:rsid w:val="00190CC4"/>
    <w:rsid w:val="001C6359"/>
    <w:rsid w:val="001D21D5"/>
    <w:rsid w:val="002103CE"/>
    <w:rsid w:val="00236FF9"/>
    <w:rsid w:val="0029273C"/>
    <w:rsid w:val="002A0552"/>
    <w:rsid w:val="002D47C8"/>
    <w:rsid w:val="002E3440"/>
    <w:rsid w:val="003075F6"/>
    <w:rsid w:val="00317CBA"/>
    <w:rsid w:val="00327C0F"/>
    <w:rsid w:val="00337BB6"/>
    <w:rsid w:val="00343F80"/>
    <w:rsid w:val="00393C8F"/>
    <w:rsid w:val="003E63DD"/>
    <w:rsid w:val="004024D4"/>
    <w:rsid w:val="0043789B"/>
    <w:rsid w:val="00445E4E"/>
    <w:rsid w:val="0045096B"/>
    <w:rsid w:val="004573E2"/>
    <w:rsid w:val="0047316E"/>
    <w:rsid w:val="00476133"/>
    <w:rsid w:val="00476D6C"/>
    <w:rsid w:val="00501AA4"/>
    <w:rsid w:val="00513378"/>
    <w:rsid w:val="005245F0"/>
    <w:rsid w:val="00526786"/>
    <w:rsid w:val="00536736"/>
    <w:rsid w:val="005555F0"/>
    <w:rsid w:val="00584E95"/>
    <w:rsid w:val="005A5221"/>
    <w:rsid w:val="005B634C"/>
    <w:rsid w:val="005C02B9"/>
    <w:rsid w:val="005D3D03"/>
    <w:rsid w:val="00605DF4"/>
    <w:rsid w:val="00606250"/>
    <w:rsid w:val="00610F8F"/>
    <w:rsid w:val="00620E0F"/>
    <w:rsid w:val="00635338"/>
    <w:rsid w:val="00647B9E"/>
    <w:rsid w:val="006617BF"/>
    <w:rsid w:val="006636A9"/>
    <w:rsid w:val="00665A1F"/>
    <w:rsid w:val="0069722F"/>
    <w:rsid w:val="006A3BD7"/>
    <w:rsid w:val="006C216C"/>
    <w:rsid w:val="006D71A8"/>
    <w:rsid w:val="006E1D83"/>
    <w:rsid w:val="00702D8B"/>
    <w:rsid w:val="00712875"/>
    <w:rsid w:val="00715ECC"/>
    <w:rsid w:val="00722326"/>
    <w:rsid w:val="00740C64"/>
    <w:rsid w:val="00742ADD"/>
    <w:rsid w:val="007811A0"/>
    <w:rsid w:val="0079283C"/>
    <w:rsid w:val="007E1B2F"/>
    <w:rsid w:val="00844090"/>
    <w:rsid w:val="00844A82"/>
    <w:rsid w:val="00855BE8"/>
    <w:rsid w:val="00892407"/>
    <w:rsid w:val="008B6D2F"/>
    <w:rsid w:val="008E3A95"/>
    <w:rsid w:val="008E6A68"/>
    <w:rsid w:val="008F1E93"/>
    <w:rsid w:val="008F2649"/>
    <w:rsid w:val="009410B4"/>
    <w:rsid w:val="0097055F"/>
    <w:rsid w:val="00975788"/>
    <w:rsid w:val="009856E1"/>
    <w:rsid w:val="009944E4"/>
    <w:rsid w:val="009E19AD"/>
    <w:rsid w:val="00A02BB1"/>
    <w:rsid w:val="00A041F2"/>
    <w:rsid w:val="00A139C6"/>
    <w:rsid w:val="00A26247"/>
    <w:rsid w:val="00A30AB9"/>
    <w:rsid w:val="00A31304"/>
    <w:rsid w:val="00A4427C"/>
    <w:rsid w:val="00A6098D"/>
    <w:rsid w:val="00AF3378"/>
    <w:rsid w:val="00AF7D40"/>
    <w:rsid w:val="00B0201D"/>
    <w:rsid w:val="00B332DD"/>
    <w:rsid w:val="00B40BA3"/>
    <w:rsid w:val="00B73318"/>
    <w:rsid w:val="00BF065D"/>
    <w:rsid w:val="00C75835"/>
    <w:rsid w:val="00CA71ED"/>
    <w:rsid w:val="00CD23AD"/>
    <w:rsid w:val="00CE2C3B"/>
    <w:rsid w:val="00D02105"/>
    <w:rsid w:val="00D24108"/>
    <w:rsid w:val="00D4150D"/>
    <w:rsid w:val="00D51893"/>
    <w:rsid w:val="00D9360D"/>
    <w:rsid w:val="00DA6962"/>
    <w:rsid w:val="00DB1FE1"/>
    <w:rsid w:val="00DB47A7"/>
    <w:rsid w:val="00DE1DEC"/>
    <w:rsid w:val="00DF2400"/>
    <w:rsid w:val="00DF4FF7"/>
    <w:rsid w:val="00E17407"/>
    <w:rsid w:val="00E608B1"/>
    <w:rsid w:val="00E7211D"/>
    <w:rsid w:val="00EA71B8"/>
    <w:rsid w:val="00EB143E"/>
    <w:rsid w:val="00EB3251"/>
    <w:rsid w:val="00ED618B"/>
    <w:rsid w:val="00EF7183"/>
    <w:rsid w:val="00F33F66"/>
    <w:rsid w:val="00F44A07"/>
    <w:rsid w:val="00F67C3C"/>
    <w:rsid w:val="00F91414"/>
    <w:rsid w:val="00FA112A"/>
    <w:rsid w:val="00FB6103"/>
    <w:rsid w:val="00FC0963"/>
    <w:rsid w:val="00FC1225"/>
    <w:rsid w:val="00FC4609"/>
    <w:rsid w:val="00FD0626"/>
    <w:rsid w:val="00FD2BE8"/>
    <w:rsid w:val="00FD4B1D"/>
    <w:rsid w:val="00FE032B"/>
    <w:rsid w:val="011473B7"/>
    <w:rsid w:val="012B64AF"/>
    <w:rsid w:val="01395070"/>
    <w:rsid w:val="01644352"/>
    <w:rsid w:val="029F503E"/>
    <w:rsid w:val="02D31DB7"/>
    <w:rsid w:val="02F32E07"/>
    <w:rsid w:val="03372BDE"/>
    <w:rsid w:val="03570B2C"/>
    <w:rsid w:val="043556B5"/>
    <w:rsid w:val="047F2744"/>
    <w:rsid w:val="049B1BBF"/>
    <w:rsid w:val="04A56402"/>
    <w:rsid w:val="0550391B"/>
    <w:rsid w:val="059211F2"/>
    <w:rsid w:val="05BC381C"/>
    <w:rsid w:val="05DB66F5"/>
    <w:rsid w:val="06032B60"/>
    <w:rsid w:val="066D219D"/>
    <w:rsid w:val="067C00F5"/>
    <w:rsid w:val="06AB60C8"/>
    <w:rsid w:val="06BD481F"/>
    <w:rsid w:val="06F51A39"/>
    <w:rsid w:val="07375BAD"/>
    <w:rsid w:val="07541B99"/>
    <w:rsid w:val="07E55609"/>
    <w:rsid w:val="07FD17DC"/>
    <w:rsid w:val="080A32C2"/>
    <w:rsid w:val="08276DEE"/>
    <w:rsid w:val="08716E9D"/>
    <w:rsid w:val="08B95574"/>
    <w:rsid w:val="08F81AB7"/>
    <w:rsid w:val="09093EA8"/>
    <w:rsid w:val="09B856AC"/>
    <w:rsid w:val="0A320086"/>
    <w:rsid w:val="0AC736EC"/>
    <w:rsid w:val="0B291CB1"/>
    <w:rsid w:val="0B570B11"/>
    <w:rsid w:val="0B9C6927"/>
    <w:rsid w:val="0BD24168"/>
    <w:rsid w:val="0C9377D8"/>
    <w:rsid w:val="0CB91E30"/>
    <w:rsid w:val="0CB960EA"/>
    <w:rsid w:val="0E2941D4"/>
    <w:rsid w:val="0E311F05"/>
    <w:rsid w:val="0E485F85"/>
    <w:rsid w:val="0E534AE1"/>
    <w:rsid w:val="0F0740B7"/>
    <w:rsid w:val="0F372A10"/>
    <w:rsid w:val="0F377C18"/>
    <w:rsid w:val="0F3D5DB7"/>
    <w:rsid w:val="0F4A0448"/>
    <w:rsid w:val="0F53091D"/>
    <w:rsid w:val="0F63097F"/>
    <w:rsid w:val="0F933B9D"/>
    <w:rsid w:val="0FC67BF2"/>
    <w:rsid w:val="0FCE2E27"/>
    <w:rsid w:val="0FD56288"/>
    <w:rsid w:val="10545AEF"/>
    <w:rsid w:val="10947326"/>
    <w:rsid w:val="10DC1574"/>
    <w:rsid w:val="11154CEA"/>
    <w:rsid w:val="11DE7533"/>
    <w:rsid w:val="12085D3A"/>
    <w:rsid w:val="12445622"/>
    <w:rsid w:val="1299159B"/>
    <w:rsid w:val="146A1F96"/>
    <w:rsid w:val="148D505F"/>
    <w:rsid w:val="15113833"/>
    <w:rsid w:val="154141BE"/>
    <w:rsid w:val="15B22B1C"/>
    <w:rsid w:val="166D7F44"/>
    <w:rsid w:val="16CB04F1"/>
    <w:rsid w:val="16EB58FD"/>
    <w:rsid w:val="179D1A5D"/>
    <w:rsid w:val="17BB32AF"/>
    <w:rsid w:val="17C53D06"/>
    <w:rsid w:val="1831583C"/>
    <w:rsid w:val="183269FC"/>
    <w:rsid w:val="186B3909"/>
    <w:rsid w:val="187A6A62"/>
    <w:rsid w:val="189A5F9C"/>
    <w:rsid w:val="18A8749F"/>
    <w:rsid w:val="18FF04FE"/>
    <w:rsid w:val="190A2B2D"/>
    <w:rsid w:val="19246A0B"/>
    <w:rsid w:val="19744A3F"/>
    <w:rsid w:val="19751590"/>
    <w:rsid w:val="19766A09"/>
    <w:rsid w:val="199822B8"/>
    <w:rsid w:val="19B66E06"/>
    <w:rsid w:val="19E46493"/>
    <w:rsid w:val="19F64268"/>
    <w:rsid w:val="1A6156EF"/>
    <w:rsid w:val="1A6A58A1"/>
    <w:rsid w:val="1B5B6566"/>
    <w:rsid w:val="1BE8301C"/>
    <w:rsid w:val="1BFB6E27"/>
    <w:rsid w:val="1C2C1601"/>
    <w:rsid w:val="1C3438EB"/>
    <w:rsid w:val="1C527208"/>
    <w:rsid w:val="1C9B5EE2"/>
    <w:rsid w:val="1C9B5FE2"/>
    <w:rsid w:val="1DDE252B"/>
    <w:rsid w:val="1E05210A"/>
    <w:rsid w:val="1E5C7D08"/>
    <w:rsid w:val="1E8E0344"/>
    <w:rsid w:val="1E935967"/>
    <w:rsid w:val="1F525822"/>
    <w:rsid w:val="1F5E66A2"/>
    <w:rsid w:val="1F6364A1"/>
    <w:rsid w:val="1F716968"/>
    <w:rsid w:val="1FD71884"/>
    <w:rsid w:val="1FE02DE5"/>
    <w:rsid w:val="20A538D8"/>
    <w:rsid w:val="20E309A6"/>
    <w:rsid w:val="21D02A2F"/>
    <w:rsid w:val="21DA565B"/>
    <w:rsid w:val="21FE03AF"/>
    <w:rsid w:val="221F4465"/>
    <w:rsid w:val="222C1D3E"/>
    <w:rsid w:val="225C2514"/>
    <w:rsid w:val="22BA5BB9"/>
    <w:rsid w:val="22D402FC"/>
    <w:rsid w:val="23615FB0"/>
    <w:rsid w:val="2366325C"/>
    <w:rsid w:val="237F2512"/>
    <w:rsid w:val="23843B36"/>
    <w:rsid w:val="23A7428B"/>
    <w:rsid w:val="2422350E"/>
    <w:rsid w:val="24BE227A"/>
    <w:rsid w:val="250015BF"/>
    <w:rsid w:val="25073CB6"/>
    <w:rsid w:val="25261CB0"/>
    <w:rsid w:val="256B38F9"/>
    <w:rsid w:val="25B274BA"/>
    <w:rsid w:val="25B966E0"/>
    <w:rsid w:val="25CD7992"/>
    <w:rsid w:val="261179B5"/>
    <w:rsid w:val="263E317D"/>
    <w:rsid w:val="26416A11"/>
    <w:rsid w:val="26AB4D95"/>
    <w:rsid w:val="26B96FD8"/>
    <w:rsid w:val="26F879AF"/>
    <w:rsid w:val="27147861"/>
    <w:rsid w:val="271E2A35"/>
    <w:rsid w:val="27637EA1"/>
    <w:rsid w:val="278E3170"/>
    <w:rsid w:val="27B971F3"/>
    <w:rsid w:val="27D16B3F"/>
    <w:rsid w:val="27FE5726"/>
    <w:rsid w:val="28446BDF"/>
    <w:rsid w:val="289F174B"/>
    <w:rsid w:val="28E5130A"/>
    <w:rsid w:val="291B0E2C"/>
    <w:rsid w:val="292D69B8"/>
    <w:rsid w:val="294F692F"/>
    <w:rsid w:val="29792D36"/>
    <w:rsid w:val="299D58EC"/>
    <w:rsid w:val="29A70519"/>
    <w:rsid w:val="2A037928"/>
    <w:rsid w:val="2A36189D"/>
    <w:rsid w:val="2A887ED8"/>
    <w:rsid w:val="2B12589E"/>
    <w:rsid w:val="2B7935AF"/>
    <w:rsid w:val="2C2D310D"/>
    <w:rsid w:val="2C2E719C"/>
    <w:rsid w:val="2CDC792B"/>
    <w:rsid w:val="2D1F736F"/>
    <w:rsid w:val="2DBA2E0B"/>
    <w:rsid w:val="2E220AB6"/>
    <w:rsid w:val="2ED129D7"/>
    <w:rsid w:val="2EE846BD"/>
    <w:rsid w:val="2F0562EB"/>
    <w:rsid w:val="2F3445FD"/>
    <w:rsid w:val="2F983987"/>
    <w:rsid w:val="2FC7668E"/>
    <w:rsid w:val="2FD933F6"/>
    <w:rsid w:val="2FF975F4"/>
    <w:rsid w:val="300930AE"/>
    <w:rsid w:val="30150224"/>
    <w:rsid w:val="306E1EC1"/>
    <w:rsid w:val="30A21CC5"/>
    <w:rsid w:val="30B70DAA"/>
    <w:rsid w:val="31216E03"/>
    <w:rsid w:val="312E1520"/>
    <w:rsid w:val="312E220D"/>
    <w:rsid w:val="31446865"/>
    <w:rsid w:val="31503B28"/>
    <w:rsid w:val="31813D3E"/>
    <w:rsid w:val="31D97811"/>
    <w:rsid w:val="3256624B"/>
    <w:rsid w:val="32B90F1F"/>
    <w:rsid w:val="32EF6BBC"/>
    <w:rsid w:val="34594B05"/>
    <w:rsid w:val="345C332C"/>
    <w:rsid w:val="34CF439C"/>
    <w:rsid w:val="34D75DBA"/>
    <w:rsid w:val="350A0244"/>
    <w:rsid w:val="354535B9"/>
    <w:rsid w:val="356C5546"/>
    <w:rsid w:val="35862349"/>
    <w:rsid w:val="35AD269B"/>
    <w:rsid w:val="37265173"/>
    <w:rsid w:val="376F75C7"/>
    <w:rsid w:val="37741019"/>
    <w:rsid w:val="37A4078E"/>
    <w:rsid w:val="37D11B96"/>
    <w:rsid w:val="37DE3270"/>
    <w:rsid w:val="37EE5E3A"/>
    <w:rsid w:val="38506549"/>
    <w:rsid w:val="38A547BD"/>
    <w:rsid w:val="38BD38B5"/>
    <w:rsid w:val="39B2476E"/>
    <w:rsid w:val="3A9B7C54"/>
    <w:rsid w:val="3B223EA3"/>
    <w:rsid w:val="3B552E28"/>
    <w:rsid w:val="3B55433A"/>
    <w:rsid w:val="3B7B6A49"/>
    <w:rsid w:val="3BFD3A52"/>
    <w:rsid w:val="3C0F5D01"/>
    <w:rsid w:val="3C5E715D"/>
    <w:rsid w:val="3C6F3A4A"/>
    <w:rsid w:val="3C701FC2"/>
    <w:rsid w:val="3D5D4658"/>
    <w:rsid w:val="3DA87BCD"/>
    <w:rsid w:val="3DB4451E"/>
    <w:rsid w:val="3E057CB4"/>
    <w:rsid w:val="3E463404"/>
    <w:rsid w:val="3E6D3687"/>
    <w:rsid w:val="3EDA50E9"/>
    <w:rsid w:val="3EE037B8"/>
    <w:rsid w:val="3EE226C5"/>
    <w:rsid w:val="3EEA61FB"/>
    <w:rsid w:val="3EEB1340"/>
    <w:rsid w:val="3EF6262B"/>
    <w:rsid w:val="3F10189F"/>
    <w:rsid w:val="3FD57E98"/>
    <w:rsid w:val="3FD77FBC"/>
    <w:rsid w:val="3FF027C2"/>
    <w:rsid w:val="40C4228E"/>
    <w:rsid w:val="412130E0"/>
    <w:rsid w:val="4169503B"/>
    <w:rsid w:val="4180784A"/>
    <w:rsid w:val="41C061C4"/>
    <w:rsid w:val="423B19A8"/>
    <w:rsid w:val="4243519E"/>
    <w:rsid w:val="424401C9"/>
    <w:rsid w:val="424C431B"/>
    <w:rsid w:val="429351BF"/>
    <w:rsid w:val="42D00998"/>
    <w:rsid w:val="42EB59BD"/>
    <w:rsid w:val="43032909"/>
    <w:rsid w:val="4304261B"/>
    <w:rsid w:val="445D5F4C"/>
    <w:rsid w:val="446817D6"/>
    <w:rsid w:val="44D206E8"/>
    <w:rsid w:val="44E43BF4"/>
    <w:rsid w:val="44E71A39"/>
    <w:rsid w:val="44EB3558"/>
    <w:rsid w:val="4590465C"/>
    <w:rsid w:val="45A6681C"/>
    <w:rsid w:val="45BA2751"/>
    <w:rsid w:val="45BA68A7"/>
    <w:rsid w:val="464949DA"/>
    <w:rsid w:val="465810C1"/>
    <w:rsid w:val="46655989"/>
    <w:rsid w:val="4679084C"/>
    <w:rsid w:val="468C2B19"/>
    <w:rsid w:val="469C5726"/>
    <w:rsid w:val="46E04B14"/>
    <w:rsid w:val="46F34946"/>
    <w:rsid w:val="46FB68B7"/>
    <w:rsid w:val="47446987"/>
    <w:rsid w:val="47822CC0"/>
    <w:rsid w:val="479B74B7"/>
    <w:rsid w:val="47A80038"/>
    <w:rsid w:val="47BD1B53"/>
    <w:rsid w:val="48004C2D"/>
    <w:rsid w:val="4802267D"/>
    <w:rsid w:val="481325CB"/>
    <w:rsid w:val="484054DD"/>
    <w:rsid w:val="48A2638E"/>
    <w:rsid w:val="48BA4827"/>
    <w:rsid w:val="48BD16AF"/>
    <w:rsid w:val="48F454C0"/>
    <w:rsid w:val="49066BB2"/>
    <w:rsid w:val="4924651B"/>
    <w:rsid w:val="49DB5E2A"/>
    <w:rsid w:val="4A5D4FB9"/>
    <w:rsid w:val="4AA11227"/>
    <w:rsid w:val="4AC565F9"/>
    <w:rsid w:val="4AD14F9E"/>
    <w:rsid w:val="4B370FD5"/>
    <w:rsid w:val="4B46746A"/>
    <w:rsid w:val="4B5D4A84"/>
    <w:rsid w:val="4B9F6E4A"/>
    <w:rsid w:val="4BD24EF9"/>
    <w:rsid w:val="4C0A7203"/>
    <w:rsid w:val="4C101B77"/>
    <w:rsid w:val="4C3D7BCC"/>
    <w:rsid w:val="4C5715E9"/>
    <w:rsid w:val="4C9269AF"/>
    <w:rsid w:val="4C9C0B16"/>
    <w:rsid w:val="4D203A7E"/>
    <w:rsid w:val="4D6761CB"/>
    <w:rsid w:val="4D6B4F55"/>
    <w:rsid w:val="4D9D7E4D"/>
    <w:rsid w:val="4DAF3ED9"/>
    <w:rsid w:val="4E256286"/>
    <w:rsid w:val="4E2646C0"/>
    <w:rsid w:val="4EC36AA5"/>
    <w:rsid w:val="4F1F7AFC"/>
    <w:rsid w:val="4F3330A7"/>
    <w:rsid w:val="4F443F90"/>
    <w:rsid w:val="4F876573"/>
    <w:rsid w:val="4F882685"/>
    <w:rsid w:val="4F971BA3"/>
    <w:rsid w:val="50267B3A"/>
    <w:rsid w:val="502D3266"/>
    <w:rsid w:val="50B83409"/>
    <w:rsid w:val="50BA0B02"/>
    <w:rsid w:val="511D0D77"/>
    <w:rsid w:val="5145340B"/>
    <w:rsid w:val="51953212"/>
    <w:rsid w:val="520E5D83"/>
    <w:rsid w:val="522D3402"/>
    <w:rsid w:val="524E5126"/>
    <w:rsid w:val="52527700"/>
    <w:rsid w:val="529A47B9"/>
    <w:rsid w:val="529B480F"/>
    <w:rsid w:val="52A1794C"/>
    <w:rsid w:val="535058A7"/>
    <w:rsid w:val="53530C46"/>
    <w:rsid w:val="544B7B6F"/>
    <w:rsid w:val="5471223B"/>
    <w:rsid w:val="54ED6E78"/>
    <w:rsid w:val="55D10546"/>
    <w:rsid w:val="55D9153C"/>
    <w:rsid w:val="55DE2FB4"/>
    <w:rsid w:val="55FB26A1"/>
    <w:rsid w:val="56355705"/>
    <w:rsid w:val="563A15EF"/>
    <w:rsid w:val="56721D2E"/>
    <w:rsid w:val="57121B06"/>
    <w:rsid w:val="575C2CD0"/>
    <w:rsid w:val="57C87748"/>
    <w:rsid w:val="57D57CC2"/>
    <w:rsid w:val="587C29ED"/>
    <w:rsid w:val="58CA32B4"/>
    <w:rsid w:val="58F16DF2"/>
    <w:rsid w:val="591746CB"/>
    <w:rsid w:val="5947326F"/>
    <w:rsid w:val="599F44A1"/>
    <w:rsid w:val="59AD4E28"/>
    <w:rsid w:val="59D15BB1"/>
    <w:rsid w:val="59D46D07"/>
    <w:rsid w:val="5A3B68D8"/>
    <w:rsid w:val="5A5A4FB0"/>
    <w:rsid w:val="5AA760DC"/>
    <w:rsid w:val="5AD97E37"/>
    <w:rsid w:val="5B036727"/>
    <w:rsid w:val="5B3C2907"/>
    <w:rsid w:val="5B7F5ADF"/>
    <w:rsid w:val="5BAC4CDC"/>
    <w:rsid w:val="5BEE5DD0"/>
    <w:rsid w:val="5BFF35E1"/>
    <w:rsid w:val="5D042FB1"/>
    <w:rsid w:val="5D9F24CC"/>
    <w:rsid w:val="5DB6074F"/>
    <w:rsid w:val="5DFE7A32"/>
    <w:rsid w:val="5ED8301D"/>
    <w:rsid w:val="5F055CA5"/>
    <w:rsid w:val="5F094892"/>
    <w:rsid w:val="5FC058B5"/>
    <w:rsid w:val="6047263F"/>
    <w:rsid w:val="60DD47E0"/>
    <w:rsid w:val="61D76EE6"/>
    <w:rsid w:val="62AE3B4D"/>
    <w:rsid w:val="636E5628"/>
    <w:rsid w:val="63836581"/>
    <w:rsid w:val="63E354F0"/>
    <w:rsid w:val="641B0F20"/>
    <w:rsid w:val="64354769"/>
    <w:rsid w:val="643B637A"/>
    <w:rsid w:val="651F0203"/>
    <w:rsid w:val="65BF4C54"/>
    <w:rsid w:val="66666BF8"/>
    <w:rsid w:val="666C3444"/>
    <w:rsid w:val="66791B58"/>
    <w:rsid w:val="66837C48"/>
    <w:rsid w:val="6708637A"/>
    <w:rsid w:val="67430BF2"/>
    <w:rsid w:val="675A3074"/>
    <w:rsid w:val="676C4773"/>
    <w:rsid w:val="67892392"/>
    <w:rsid w:val="67BB0CE9"/>
    <w:rsid w:val="681C5653"/>
    <w:rsid w:val="683805B6"/>
    <w:rsid w:val="68527E66"/>
    <w:rsid w:val="689E0B09"/>
    <w:rsid w:val="68B72522"/>
    <w:rsid w:val="68EB7ABC"/>
    <w:rsid w:val="6914371D"/>
    <w:rsid w:val="697551C8"/>
    <w:rsid w:val="697B37CA"/>
    <w:rsid w:val="69C8788B"/>
    <w:rsid w:val="69F907E9"/>
    <w:rsid w:val="69FC1BE0"/>
    <w:rsid w:val="6A236F0C"/>
    <w:rsid w:val="6A631351"/>
    <w:rsid w:val="6ABC128E"/>
    <w:rsid w:val="6B1116BB"/>
    <w:rsid w:val="6B411B54"/>
    <w:rsid w:val="6B710834"/>
    <w:rsid w:val="6B9F6CC6"/>
    <w:rsid w:val="6BC95AF1"/>
    <w:rsid w:val="6C150D37"/>
    <w:rsid w:val="6C5B3FAA"/>
    <w:rsid w:val="6C6627AF"/>
    <w:rsid w:val="6C893CB1"/>
    <w:rsid w:val="6CF14AE8"/>
    <w:rsid w:val="6CFC1CD2"/>
    <w:rsid w:val="6D0F039F"/>
    <w:rsid w:val="6D8702B2"/>
    <w:rsid w:val="6E330556"/>
    <w:rsid w:val="6EEF1AE8"/>
    <w:rsid w:val="6F081520"/>
    <w:rsid w:val="6F1B52F1"/>
    <w:rsid w:val="6F3E67F6"/>
    <w:rsid w:val="6F67169E"/>
    <w:rsid w:val="6F742218"/>
    <w:rsid w:val="6F857F81"/>
    <w:rsid w:val="6FCC0D4E"/>
    <w:rsid w:val="707C7F92"/>
    <w:rsid w:val="70F76C5D"/>
    <w:rsid w:val="71164CCF"/>
    <w:rsid w:val="711E37A1"/>
    <w:rsid w:val="718304F0"/>
    <w:rsid w:val="71A031CF"/>
    <w:rsid w:val="71AF12E6"/>
    <w:rsid w:val="71C11D77"/>
    <w:rsid w:val="721101F2"/>
    <w:rsid w:val="72332E5E"/>
    <w:rsid w:val="72663F9C"/>
    <w:rsid w:val="73A35A1D"/>
    <w:rsid w:val="743A1CD5"/>
    <w:rsid w:val="74401E3C"/>
    <w:rsid w:val="744C5512"/>
    <w:rsid w:val="745E6FF3"/>
    <w:rsid w:val="749874CC"/>
    <w:rsid w:val="749A2558"/>
    <w:rsid w:val="753A7A60"/>
    <w:rsid w:val="75DD6D9D"/>
    <w:rsid w:val="760636E6"/>
    <w:rsid w:val="76B7084E"/>
    <w:rsid w:val="777E5C7B"/>
    <w:rsid w:val="77882D05"/>
    <w:rsid w:val="778C1CBA"/>
    <w:rsid w:val="779E2611"/>
    <w:rsid w:val="77EA34D4"/>
    <w:rsid w:val="79FF3026"/>
    <w:rsid w:val="7AA70489"/>
    <w:rsid w:val="7AFD57B8"/>
    <w:rsid w:val="7B114DBF"/>
    <w:rsid w:val="7C4473F6"/>
    <w:rsid w:val="7C707121"/>
    <w:rsid w:val="7C7E7F1B"/>
    <w:rsid w:val="7CBD3FBA"/>
    <w:rsid w:val="7CD54F91"/>
    <w:rsid w:val="7D1331F6"/>
    <w:rsid w:val="7D5F72C3"/>
    <w:rsid w:val="7D891584"/>
    <w:rsid w:val="7DAC6785"/>
    <w:rsid w:val="7DDC0FFC"/>
    <w:rsid w:val="7E26326C"/>
    <w:rsid w:val="7E5B1AAC"/>
    <w:rsid w:val="7F1971B9"/>
    <w:rsid w:val="7F5856E2"/>
    <w:rsid w:val="7F633869"/>
    <w:rsid w:val="7F895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link w:val="37"/>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8"/>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9"/>
    <w:autoRedefine/>
    <w:qFormat/>
    <w:uiPriority w:val="0"/>
    <w:pPr>
      <w:keepNext/>
      <w:keepLines/>
      <w:numPr>
        <w:ilvl w:val="4"/>
        <w:numId w:val="1"/>
      </w:numPr>
      <w:snapToGrid w:val="0"/>
      <w:spacing w:beforeLines="50"/>
      <w:jc w:val="left"/>
      <w:outlineLvl w:val="4"/>
    </w:pPr>
    <w:rPr>
      <w:rFonts w:eastAsia="黑体"/>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7">
    <w:name w:val="List Number"/>
    <w:basedOn w:val="1"/>
    <w:next w:val="8"/>
    <w:autoRedefine/>
    <w:qFormat/>
    <w:uiPriority w:val="0"/>
    <w:pPr>
      <w:numPr>
        <w:ilvl w:val="0"/>
        <w:numId w:val="2"/>
      </w:numPr>
    </w:pPr>
  </w:style>
  <w:style w:type="paragraph" w:styleId="8">
    <w:name w:val="Balloon Text"/>
    <w:basedOn w:val="1"/>
    <w:next w:val="9"/>
    <w:link w:val="55"/>
    <w:autoRedefine/>
    <w:qFormat/>
    <w:uiPriority w:val="0"/>
    <w:rPr>
      <w:sz w:val="18"/>
      <w:szCs w:val="18"/>
    </w:rPr>
  </w:style>
  <w:style w:type="paragraph" w:styleId="9">
    <w:name w:val="toc 8"/>
    <w:basedOn w:val="1"/>
    <w:next w:val="1"/>
    <w:autoRedefine/>
    <w:semiHidden/>
    <w:qFormat/>
    <w:uiPriority w:val="0"/>
    <w:pPr>
      <w:ind w:left="1470"/>
      <w:jc w:val="left"/>
    </w:pPr>
    <w:rPr>
      <w:sz w:val="18"/>
      <w:szCs w:val="18"/>
    </w:rPr>
  </w:style>
  <w:style w:type="paragraph" w:styleId="10">
    <w:name w:val="Normal Indent"/>
    <w:basedOn w:val="1"/>
    <w:qFormat/>
    <w:uiPriority w:val="0"/>
    <w:pPr>
      <w:ind w:firstLine="420" w:firstLineChars="200"/>
    </w:pPr>
  </w:style>
  <w:style w:type="paragraph" w:styleId="11">
    <w:name w:val="Body Text"/>
    <w:basedOn w:val="1"/>
    <w:next w:val="1"/>
    <w:link w:val="41"/>
    <w:autoRedefine/>
    <w:unhideWhenUsed/>
    <w:qFormat/>
    <w:uiPriority w:val="0"/>
    <w:pPr>
      <w:spacing w:after="120"/>
    </w:pPr>
  </w:style>
  <w:style w:type="paragraph" w:styleId="12">
    <w:name w:val="Body Text Indent"/>
    <w:basedOn w:val="1"/>
    <w:next w:val="13"/>
    <w:link w:val="46"/>
    <w:autoRedefine/>
    <w:qFormat/>
    <w:uiPriority w:val="0"/>
    <w:pPr>
      <w:spacing w:after="120"/>
      <w:ind w:left="420" w:leftChars="200"/>
    </w:pPr>
  </w:style>
  <w:style w:type="paragraph" w:styleId="13">
    <w:name w:val="Body Text First Indent 2"/>
    <w:basedOn w:val="12"/>
    <w:next w:val="1"/>
    <w:autoRedefine/>
    <w:semiHidden/>
    <w:unhideWhenUsed/>
    <w:qFormat/>
    <w:uiPriority w:val="0"/>
    <w:pPr>
      <w:ind w:firstLine="420" w:firstLineChars="200"/>
    </w:pPr>
    <w:rPr>
      <w:szCs w:val="22"/>
    </w:rPr>
  </w:style>
  <w:style w:type="paragraph" w:styleId="14">
    <w:name w:val="Plain Text"/>
    <w:basedOn w:val="1"/>
    <w:next w:val="1"/>
    <w:link w:val="47"/>
    <w:qFormat/>
    <w:uiPriority w:val="0"/>
    <w:rPr>
      <w:rFonts w:ascii="宋体" w:hAnsi="Courier New"/>
      <w:szCs w:val="20"/>
    </w:rPr>
  </w:style>
  <w:style w:type="paragraph" w:styleId="15">
    <w:name w:val="Date"/>
    <w:basedOn w:val="1"/>
    <w:next w:val="1"/>
    <w:qFormat/>
    <w:uiPriority w:val="0"/>
    <w:pPr>
      <w:ind w:left="100"/>
    </w:pPr>
    <w:rPr>
      <w:sz w:val="28"/>
      <w:szCs w:val="20"/>
    </w:rPr>
  </w:style>
  <w:style w:type="paragraph" w:styleId="16">
    <w:name w:val="footer"/>
    <w:basedOn w:val="1"/>
    <w:link w:val="45"/>
    <w:autoRedefine/>
    <w:qFormat/>
    <w:uiPriority w:val="0"/>
    <w:pPr>
      <w:tabs>
        <w:tab w:val="center" w:pos="4153"/>
        <w:tab w:val="right" w:pos="8306"/>
      </w:tabs>
      <w:snapToGrid w:val="0"/>
      <w:jc w:val="left"/>
    </w:pPr>
    <w:rPr>
      <w:sz w:val="18"/>
      <w:szCs w:val="18"/>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11"/>
    <w:pPr>
      <w:spacing w:afterLines="50"/>
      <w:jc w:val="center"/>
    </w:pPr>
    <w:rPr>
      <w:rFonts w:eastAsia="Times New Roman"/>
      <w:sz w:val="18"/>
      <w:szCs w:val="18"/>
    </w:rPr>
  </w:style>
  <w:style w:type="paragraph" w:styleId="19">
    <w:name w:val="toc 6"/>
    <w:basedOn w:val="1"/>
    <w:next w:val="1"/>
    <w:autoRedefine/>
    <w:semiHidden/>
    <w:qFormat/>
    <w:uiPriority w:val="0"/>
    <w:pPr>
      <w:ind w:left="1050"/>
      <w:jc w:val="left"/>
    </w:pPr>
    <w:rPr>
      <w:sz w:val="18"/>
      <w:szCs w:val="18"/>
    </w:rPr>
  </w:style>
  <w:style w:type="paragraph" w:styleId="20">
    <w:name w:val="Body Text 2"/>
    <w:basedOn w:val="1"/>
    <w:link w:val="44"/>
    <w:autoRedefine/>
    <w:qFormat/>
    <w:uiPriority w:val="0"/>
    <w:pPr>
      <w:spacing w:after="120" w:line="480" w:lineRule="auto"/>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43"/>
    <w:qFormat/>
    <w:uiPriority w:val="0"/>
    <w:pPr>
      <w:widowControl/>
      <w:spacing w:before="240" w:after="60"/>
      <w:jc w:val="center"/>
      <w:outlineLvl w:val="0"/>
    </w:pPr>
    <w:rPr>
      <w:rFonts w:ascii="@华文中宋" w:hAnsi="@华文中宋"/>
      <w:b/>
      <w:bCs/>
      <w:sz w:val="32"/>
      <w:szCs w:val="32"/>
    </w:rPr>
  </w:style>
  <w:style w:type="paragraph" w:styleId="23">
    <w:name w:val="Body Text First Indent"/>
    <w:basedOn w:val="11"/>
    <w:next w:val="19"/>
    <w:link w:val="42"/>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rPr>
  </w:style>
  <w:style w:type="character" w:styleId="28">
    <w:name w:val="page number"/>
    <w:basedOn w:val="26"/>
    <w:qFormat/>
    <w:uiPriority w:val="0"/>
  </w:style>
  <w:style w:type="character" w:styleId="29">
    <w:name w:val="FollowedHyperlink"/>
    <w:basedOn w:val="26"/>
    <w:autoRedefine/>
    <w:semiHidden/>
    <w:unhideWhenUsed/>
    <w:qFormat/>
    <w:uiPriority w:val="99"/>
    <w:rPr>
      <w:color w:val="000000"/>
      <w:u w:val="single"/>
    </w:rPr>
  </w:style>
  <w:style w:type="character" w:styleId="30">
    <w:name w:val="Hyperlink"/>
    <w:qFormat/>
    <w:uiPriority w:val="99"/>
    <w:rPr>
      <w:rFonts w:cs="Times New Roman"/>
      <w:color w:val="0000FF"/>
      <w:u w:val="single"/>
    </w:rPr>
  </w:style>
  <w:style w:type="character" w:styleId="31">
    <w:name w:val="HTML Sample"/>
    <w:basedOn w:val="26"/>
    <w:semiHidden/>
    <w:unhideWhenUsed/>
    <w:qFormat/>
    <w:uiPriority w:val="99"/>
    <w:rPr>
      <w:rFonts w:ascii="Courier New" w:hAnsi="Courier New"/>
    </w:rPr>
  </w:style>
  <w:style w:type="paragraph" w:customStyle="1" w:styleId="32">
    <w:name w:val="[Normal]"/>
    <w:qFormat/>
    <w:uiPriority w:val="0"/>
    <w:rPr>
      <w:rFonts w:ascii="宋体" w:hAnsi="宋体" w:eastAsia="宋体" w:cs="Times New Roman"/>
      <w:sz w:val="24"/>
      <w:szCs w:val="22"/>
      <w:lang w:val="zh-CN" w:eastAsia="zh-CN" w:bidi="ar-SA"/>
    </w:rPr>
  </w:style>
  <w:style w:type="paragraph" w:customStyle="1" w:styleId="33">
    <w:name w:val="正文缩进1"/>
    <w:basedOn w:val="1"/>
    <w:autoRedefine/>
    <w:qFormat/>
    <w:uiPriority w:val="0"/>
    <w:pPr>
      <w:ind w:firstLine="420" w:firstLineChars="200"/>
    </w:pPr>
  </w:style>
  <w:style w:type="paragraph" w:customStyle="1" w:styleId="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UserStyle_0"/>
    <w:next w:val="1"/>
    <w:qFormat/>
    <w:uiPriority w:val="0"/>
    <w:pPr>
      <w:spacing w:line="312" w:lineRule="atLeast"/>
      <w:jc w:val="both"/>
      <w:textAlignment w:val="baseline"/>
    </w:pPr>
    <w:rPr>
      <w:rFonts w:ascii="宋体" w:hAnsi="宋体" w:eastAsia="宋体" w:cs="Times New Roman"/>
      <w:sz w:val="24"/>
      <w:szCs w:val="22"/>
      <w:lang w:val="en-US" w:eastAsia="zh-CN" w:bidi="ar-SA"/>
    </w:rPr>
  </w:style>
  <w:style w:type="character" w:customStyle="1" w:styleId="36">
    <w:name w:val="标题 1 Char"/>
    <w:basedOn w:val="26"/>
    <w:link w:val="2"/>
    <w:qFormat/>
    <w:uiPriority w:val="0"/>
    <w:rPr>
      <w:rFonts w:ascii="宋体" w:hAnsi="Arial" w:eastAsia="黑体" w:cs="Times New Roman"/>
      <w:b/>
      <w:color w:val="000000"/>
      <w:kern w:val="44"/>
      <w:sz w:val="36"/>
      <w:szCs w:val="20"/>
    </w:rPr>
  </w:style>
  <w:style w:type="character" w:customStyle="1" w:styleId="37">
    <w:name w:val="标题 2 Char"/>
    <w:basedOn w:val="26"/>
    <w:link w:val="3"/>
    <w:qFormat/>
    <w:uiPriority w:val="0"/>
    <w:rPr>
      <w:rFonts w:ascii="Arial" w:hAnsi="Arial" w:eastAsia="黑体" w:cs="Times New Roman"/>
      <w:b/>
      <w:bCs/>
      <w:sz w:val="32"/>
      <w:szCs w:val="32"/>
    </w:rPr>
  </w:style>
  <w:style w:type="character" w:customStyle="1" w:styleId="38">
    <w:name w:val="标题 3 Char"/>
    <w:basedOn w:val="26"/>
    <w:link w:val="4"/>
    <w:qFormat/>
    <w:uiPriority w:val="0"/>
    <w:rPr>
      <w:rFonts w:ascii="黑体" w:hAnsi="Times New Roman" w:eastAsia="黑体" w:cs="Times New Roman"/>
      <w:b/>
      <w:color w:val="000000"/>
      <w:kern w:val="0"/>
      <w:sz w:val="28"/>
      <w:szCs w:val="20"/>
    </w:rPr>
  </w:style>
  <w:style w:type="character" w:customStyle="1" w:styleId="39">
    <w:name w:val="标题 5 Char"/>
    <w:basedOn w:val="26"/>
    <w:link w:val="6"/>
    <w:qFormat/>
    <w:uiPriority w:val="0"/>
    <w:rPr>
      <w:rFonts w:ascii="Times New Roman" w:hAnsi="Times New Roman" w:eastAsia="黑体" w:cs="Times New Roman"/>
      <w:bCs/>
      <w:sz w:val="28"/>
      <w:szCs w:val="28"/>
    </w:rPr>
  </w:style>
  <w:style w:type="character" w:customStyle="1" w:styleId="40">
    <w:name w:val="页眉 Char"/>
    <w:basedOn w:val="26"/>
    <w:link w:val="17"/>
    <w:qFormat/>
    <w:uiPriority w:val="0"/>
    <w:rPr>
      <w:rFonts w:ascii="Times New Roman" w:hAnsi="Times New Roman" w:eastAsia="宋体" w:cs="Times New Roman"/>
      <w:sz w:val="18"/>
      <w:szCs w:val="18"/>
    </w:rPr>
  </w:style>
  <w:style w:type="character" w:customStyle="1" w:styleId="41">
    <w:name w:val="正文文本 Char"/>
    <w:basedOn w:val="26"/>
    <w:link w:val="11"/>
    <w:semiHidden/>
    <w:qFormat/>
    <w:uiPriority w:val="99"/>
    <w:rPr>
      <w:rFonts w:ascii="Times New Roman" w:hAnsi="Times New Roman" w:eastAsia="宋体" w:cs="Times New Roman"/>
      <w:szCs w:val="24"/>
    </w:rPr>
  </w:style>
  <w:style w:type="character" w:customStyle="1" w:styleId="42">
    <w:name w:val="正文首行缩进 Char"/>
    <w:basedOn w:val="41"/>
    <w:link w:val="23"/>
    <w:qFormat/>
    <w:uiPriority w:val="0"/>
    <w:rPr>
      <w:rFonts w:ascii="Times New Roman" w:hAnsi="Times New Roman" w:eastAsia="宋体" w:cs="Times New Roman"/>
      <w:szCs w:val="24"/>
    </w:rPr>
  </w:style>
  <w:style w:type="character" w:customStyle="1" w:styleId="43">
    <w:name w:val="标题 Char"/>
    <w:basedOn w:val="26"/>
    <w:link w:val="22"/>
    <w:qFormat/>
    <w:uiPriority w:val="0"/>
    <w:rPr>
      <w:rFonts w:ascii="@华文中宋" w:hAnsi="@华文中宋" w:eastAsia="宋体" w:cs="Times New Roman"/>
      <w:b/>
      <w:bCs/>
      <w:sz w:val="32"/>
      <w:szCs w:val="32"/>
    </w:rPr>
  </w:style>
  <w:style w:type="character" w:customStyle="1" w:styleId="44">
    <w:name w:val="正文文本 2 Char"/>
    <w:basedOn w:val="26"/>
    <w:link w:val="20"/>
    <w:qFormat/>
    <w:uiPriority w:val="0"/>
    <w:rPr>
      <w:rFonts w:ascii="Times New Roman" w:hAnsi="Times New Roman" w:eastAsia="宋体" w:cs="Times New Roman"/>
      <w:szCs w:val="24"/>
    </w:rPr>
  </w:style>
  <w:style w:type="character" w:customStyle="1" w:styleId="45">
    <w:name w:val="页脚 Char"/>
    <w:basedOn w:val="26"/>
    <w:link w:val="16"/>
    <w:qFormat/>
    <w:uiPriority w:val="0"/>
    <w:rPr>
      <w:rFonts w:ascii="Times New Roman" w:hAnsi="Times New Roman" w:eastAsia="宋体" w:cs="Times New Roman"/>
      <w:sz w:val="18"/>
      <w:szCs w:val="18"/>
    </w:rPr>
  </w:style>
  <w:style w:type="character" w:customStyle="1" w:styleId="46">
    <w:name w:val="正文文本缩进 Char"/>
    <w:basedOn w:val="26"/>
    <w:link w:val="12"/>
    <w:qFormat/>
    <w:uiPriority w:val="0"/>
    <w:rPr>
      <w:rFonts w:ascii="Times New Roman" w:hAnsi="Times New Roman" w:eastAsia="宋体" w:cs="Times New Roman"/>
      <w:szCs w:val="24"/>
    </w:rPr>
  </w:style>
  <w:style w:type="character" w:customStyle="1" w:styleId="47">
    <w:name w:val="纯文本 Char"/>
    <w:basedOn w:val="26"/>
    <w:link w:val="14"/>
    <w:qFormat/>
    <w:uiPriority w:val="99"/>
    <w:rPr>
      <w:rFonts w:ascii="宋体" w:hAnsi="Courier New" w:eastAsia="宋体" w:cs="Times New Roman"/>
      <w:szCs w:val="20"/>
    </w:rPr>
  </w:style>
  <w:style w:type="paragraph" w:customStyle="1" w:styleId="48">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表内文字"/>
    <w:basedOn w:val="1"/>
    <w:qFormat/>
    <w:uiPriority w:val="0"/>
    <w:pPr>
      <w:snapToGrid w:val="0"/>
      <w:spacing w:before="50" w:after="50"/>
      <w:jc w:val="center"/>
    </w:pPr>
    <w:rPr>
      <w:rFonts w:ascii="宋体" w:hAnsi="宋体"/>
      <w:sz w:val="24"/>
      <w:szCs w:val="20"/>
    </w:rPr>
  </w:style>
  <w:style w:type="paragraph" w:customStyle="1" w:styleId="50">
    <w:name w:val="默认段落字体 Para Char Char Char Char Char Char Char Char Char1 Char Char Char Char"/>
    <w:basedOn w:val="1"/>
    <w:autoRedefine/>
    <w:qFormat/>
    <w:uiPriority w:val="0"/>
    <w:rPr>
      <w:rFonts w:ascii="Tahoma" w:hAnsi="Tahoma"/>
      <w:sz w:val="24"/>
      <w:szCs w:val="20"/>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正文段"/>
    <w:basedOn w:val="1"/>
    <w:autoRedefine/>
    <w:qFormat/>
    <w:uiPriority w:val="0"/>
    <w:pPr>
      <w:widowControl/>
      <w:snapToGrid w:val="0"/>
      <w:spacing w:afterLines="50"/>
      <w:ind w:firstLine="200" w:firstLineChars="200"/>
    </w:pPr>
    <w:rPr>
      <w:kern w:val="0"/>
      <w:sz w:val="24"/>
      <w:szCs w:val="20"/>
    </w:rPr>
  </w:style>
  <w:style w:type="paragraph" w:customStyle="1" w:styleId="53">
    <w:name w:val="样式1"/>
    <w:basedOn w:val="3"/>
    <w:qFormat/>
    <w:uiPriority w:val="0"/>
    <w:pPr>
      <w:jc w:val="center"/>
    </w:pPr>
    <w:rPr>
      <w:rFonts w:ascii="@华文中宋" w:hAnsi="@华文中宋" w:eastAsia="@华文中宋"/>
      <w:sz w:val="36"/>
      <w:szCs w:val="36"/>
    </w:rPr>
  </w:style>
  <w:style w:type="paragraph" w:customStyle="1" w:styleId="54">
    <w:name w:val="标准中文版式_正文"/>
    <w:basedOn w:val="1"/>
    <w:autoRedefine/>
    <w:qFormat/>
    <w:uiPriority w:val="0"/>
    <w:pPr>
      <w:spacing w:before="30" w:line="360" w:lineRule="auto"/>
      <w:ind w:firstLine="200" w:firstLineChars="200"/>
    </w:pPr>
    <w:rPr>
      <w:rFonts w:ascii="Arial" w:hAnsi="Arial"/>
      <w:sz w:val="24"/>
    </w:rPr>
  </w:style>
  <w:style w:type="character" w:customStyle="1" w:styleId="55">
    <w:name w:val="批注框文本 Char"/>
    <w:basedOn w:val="26"/>
    <w:link w:val="8"/>
    <w:qFormat/>
    <w:uiPriority w:val="0"/>
    <w:rPr>
      <w:rFonts w:ascii="Times New Roman" w:hAnsi="Times New Roman" w:eastAsia="宋体" w:cs="Times New Roman"/>
      <w:sz w:val="18"/>
      <w:szCs w:val="18"/>
    </w:rPr>
  </w:style>
  <w:style w:type="paragraph" w:customStyle="1" w:styleId="56">
    <w:name w:val="纯文本1"/>
    <w:basedOn w:val="1"/>
    <w:qFormat/>
    <w:uiPriority w:val="0"/>
    <w:pPr>
      <w:adjustRightInd w:val="0"/>
      <w:textAlignment w:val="baseline"/>
    </w:pPr>
    <w:rPr>
      <w:rFonts w:ascii="宋体" w:hAnsi="Courier New" w:eastAsia="楷体_GB2312"/>
      <w:sz w:val="26"/>
      <w:szCs w:val="20"/>
    </w:rPr>
  </w:style>
  <w:style w:type="character" w:customStyle="1" w:styleId="57">
    <w:name w:val="font81"/>
    <w:basedOn w:val="26"/>
    <w:qFormat/>
    <w:uiPriority w:val="0"/>
    <w:rPr>
      <w:rFonts w:hint="eastAsia" w:ascii="宋体" w:hAnsi="宋体" w:eastAsia="宋体" w:cs="宋体"/>
      <w:color w:val="000000"/>
      <w:sz w:val="20"/>
      <w:szCs w:val="20"/>
      <w:u w:val="none"/>
    </w:rPr>
  </w:style>
  <w:style w:type="character" w:customStyle="1" w:styleId="58">
    <w:name w:val="font71"/>
    <w:basedOn w:val="26"/>
    <w:qFormat/>
    <w:uiPriority w:val="0"/>
    <w:rPr>
      <w:rFonts w:hint="default" w:ascii="Times New Roman" w:hAnsi="Times New Roman" w:cs="Times New Roman"/>
      <w:color w:val="000000"/>
      <w:sz w:val="20"/>
      <w:szCs w:val="20"/>
      <w:u w:val="none"/>
    </w:rPr>
  </w:style>
  <w:style w:type="character" w:customStyle="1" w:styleId="59">
    <w:name w:val="font111"/>
    <w:basedOn w:val="26"/>
    <w:qFormat/>
    <w:uiPriority w:val="0"/>
    <w:rPr>
      <w:rFonts w:hint="eastAsia" w:ascii="宋体" w:hAnsi="宋体" w:eastAsia="宋体" w:cs="宋体"/>
      <w:color w:val="000000"/>
      <w:sz w:val="20"/>
      <w:szCs w:val="20"/>
      <w:u w:val="none"/>
    </w:rPr>
  </w:style>
  <w:style w:type="character" w:customStyle="1" w:styleId="60">
    <w:name w:val="font11"/>
    <w:basedOn w:val="26"/>
    <w:autoRedefine/>
    <w:qFormat/>
    <w:uiPriority w:val="0"/>
    <w:rPr>
      <w:rFonts w:hint="default" w:ascii="Calibri" w:hAnsi="Calibri" w:cs="Calibri"/>
      <w:color w:val="000000"/>
      <w:sz w:val="16"/>
      <w:szCs w:val="16"/>
      <w:u w:val="none"/>
    </w:rPr>
  </w:style>
  <w:style w:type="character" w:customStyle="1" w:styleId="61">
    <w:name w:val="font21"/>
    <w:basedOn w:val="26"/>
    <w:qFormat/>
    <w:uiPriority w:val="0"/>
    <w:rPr>
      <w:rFonts w:hint="eastAsia" w:ascii="宋体" w:hAnsi="宋体" w:eastAsia="宋体" w:cs="宋体"/>
      <w:color w:val="000000"/>
      <w:sz w:val="16"/>
      <w:szCs w:val="16"/>
      <w:u w:val="none"/>
    </w:rPr>
  </w:style>
  <w:style w:type="paragraph" w:customStyle="1" w:styleId="62">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图片表格"/>
    <w:basedOn w:val="1"/>
    <w:qFormat/>
    <w:uiPriority w:val="6"/>
    <w:pPr>
      <w:adjustRightInd w:val="0"/>
      <w:jc w:val="center"/>
    </w:pPr>
    <w:rPr>
      <w:szCs w:val="21"/>
    </w:rPr>
  </w:style>
  <w:style w:type="paragraph" w:customStyle="1" w:styleId="65">
    <w:name w:val="p0"/>
    <w:basedOn w:val="1"/>
    <w:qFormat/>
    <w:uiPriority w:val="0"/>
    <w:pPr>
      <w:widowControl/>
    </w:pPr>
    <w:rPr>
      <w:kern w:val="0"/>
      <w:szCs w:val="21"/>
    </w:rPr>
  </w:style>
  <w:style w:type="paragraph" w:customStyle="1" w:styleId="66">
    <w:name w:val="正文首行缩进 21"/>
    <w:basedOn w:val="1"/>
    <w:qFormat/>
    <w:uiPriority w:val="0"/>
    <w:pPr>
      <w:spacing w:after="120"/>
      <w:ind w:left="420" w:leftChars="200" w:firstLine="420"/>
    </w:pPr>
    <w:rPr>
      <w:rFonts w:cs="宋体"/>
      <w:color w:val="000000"/>
      <w:szCs w:val="21"/>
    </w:rPr>
  </w:style>
  <w:style w:type="character" w:customStyle="1" w:styleId="67">
    <w:name w:val="NormalCharacter"/>
    <w:link w:val="68"/>
    <w:autoRedefine/>
    <w:semiHidden/>
    <w:qFormat/>
    <w:uiPriority w:val="0"/>
    <w:rPr>
      <w:rFonts w:ascii="Tahoma" w:hAnsi="Tahoma"/>
      <w:sz w:val="24"/>
    </w:rPr>
  </w:style>
  <w:style w:type="paragraph" w:customStyle="1" w:styleId="68">
    <w:name w:val="UserStyle_85"/>
    <w:basedOn w:val="1"/>
    <w:link w:val="67"/>
    <w:qFormat/>
    <w:uiPriority w:val="0"/>
    <w:rPr>
      <w:rFonts w:ascii="Tahoma" w:hAnsi="Tahoma"/>
      <w:sz w:val="24"/>
    </w:rPr>
  </w:style>
  <w:style w:type="paragraph" w:styleId="69">
    <w:name w:val="List Paragraph"/>
    <w:basedOn w:val="1"/>
    <w:unhideWhenUsed/>
    <w:qFormat/>
    <w:uiPriority w:val="99"/>
    <w:pPr>
      <w:ind w:firstLine="420" w:firstLineChars="200"/>
    </w:pPr>
  </w:style>
  <w:style w:type="table" w:customStyle="1" w:styleId="7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14505</Words>
  <Characters>15186</Characters>
  <Lines>171</Lines>
  <Paragraphs>48</Paragraphs>
  <TotalTime>15</TotalTime>
  <ScaleCrop>false</ScaleCrop>
  <LinksUpToDate>false</LinksUpToDate>
  <CharactersWithSpaces>16059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2020-08-23T02:49:00Z</dcterms:created>
  <dc:creator>浙江华耀建设咨询有限公司</dc:creator>
  <cp:lastModifiedBy>逗逼</cp:lastModifiedBy>
  <cp:lastPrinted>2021-12-15T01:08:00Z</cp:lastPrinted>
  <dcterms:modified xsi:type="dcterms:W3CDTF">2024-11-19T06:07:04Z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8A6929B5EEFB44E09573CD2C5A229B55_13</vt:lpwstr>
  </property>
</Properties>
</file>