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9D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</w:t>
      </w:r>
      <w:bookmarkStart w:id="0" w:name="_Toc5588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采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购内容及要求</w:t>
      </w:r>
      <w:bookmarkEnd w:id="0"/>
      <w:bookmarkStart w:id="1" w:name="_GoBack"/>
      <w:bookmarkEnd w:id="1"/>
    </w:p>
    <w:p w14:paraId="12CCF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一、制作、安装内容</w:t>
      </w: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825"/>
        <w:gridCol w:w="750"/>
        <w:gridCol w:w="765"/>
        <w:gridCol w:w="2726"/>
      </w:tblGrid>
      <w:tr w14:paraId="1B82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1" w:type="dxa"/>
            <w:noWrap w:val="0"/>
            <w:vAlign w:val="center"/>
          </w:tcPr>
          <w:p w14:paraId="0B945EE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 w14:paraId="64412CB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50" w:type="dxa"/>
            <w:noWrap w:val="0"/>
            <w:vAlign w:val="center"/>
          </w:tcPr>
          <w:p w14:paraId="7FF5011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65" w:type="dxa"/>
            <w:noWrap w:val="0"/>
            <w:vAlign w:val="center"/>
          </w:tcPr>
          <w:p w14:paraId="32704D3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26" w:type="dxa"/>
            <w:noWrap w:val="0"/>
            <w:vAlign w:val="center"/>
          </w:tcPr>
          <w:p w14:paraId="016D127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419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center"/>
          </w:tcPr>
          <w:p w14:paraId="390C599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 w14:paraId="46CFFEF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一级户外发光字（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楼顶大字）</w:t>
            </w:r>
          </w:p>
        </w:tc>
        <w:tc>
          <w:tcPr>
            <w:tcW w:w="750" w:type="dxa"/>
            <w:noWrap w:val="0"/>
            <w:vAlign w:val="center"/>
          </w:tcPr>
          <w:p w14:paraId="337371F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 w14:paraId="1620056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6" w:type="dxa"/>
            <w:noWrap w:val="0"/>
            <w:vAlign w:val="center"/>
          </w:tcPr>
          <w:p w14:paraId="65A749F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衢州市眼科医院</w:t>
            </w:r>
          </w:p>
        </w:tc>
      </w:tr>
    </w:tbl>
    <w:p w14:paraId="36CF1F31">
      <w:pPr>
        <w:numPr>
          <w:ilvl w:val="0"/>
          <w:numId w:val="1"/>
        </w:numPr>
        <w:autoSpaceDE w:val="0"/>
        <w:autoSpaceDN w:val="0"/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规格、材质要求</w:t>
      </w:r>
    </w:p>
    <w:p w14:paraId="0D3F58C3">
      <w:pPr>
        <w:autoSpaceDE w:val="0"/>
        <w:autoSpaceDN w:val="0"/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正门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/>
        </w:rPr>
        <w:t>楼顶大字</w:t>
      </w:r>
    </w:p>
    <w:p w14:paraId="61AE7F8C">
      <w:pPr>
        <w:pStyle w:val="8"/>
        <w:rPr>
          <w:rFonts w:hint="eastAsia" w:ascii="宋体" w:hAnsi="宋体" w:eastAsia="宋体" w:cs="宋体"/>
          <w:lang w:val="en-US" w:eastAsia="zh-CN"/>
        </w:rPr>
      </w:pPr>
    </w:p>
    <w:p w14:paraId="56F3D489">
      <w:pPr>
        <w:pStyle w:val="9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3810</wp:posOffset>
            </wp:positionV>
            <wp:extent cx="6794500" cy="1158240"/>
            <wp:effectExtent l="0" t="0" r="6350" b="3810"/>
            <wp:wrapNone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2F047D">
      <w:pPr>
        <w:rPr>
          <w:rFonts w:hint="eastAsia" w:ascii="宋体" w:hAnsi="宋体" w:eastAsia="宋体" w:cs="宋体"/>
          <w:lang w:val="zh-CN"/>
        </w:rPr>
      </w:pPr>
    </w:p>
    <w:p w14:paraId="556E9A07">
      <w:pPr>
        <w:rPr>
          <w:rFonts w:hint="eastAsia" w:ascii="宋体" w:hAnsi="宋体" w:eastAsia="宋体" w:cs="宋体"/>
          <w:lang w:val="zh-CN"/>
        </w:rPr>
      </w:pPr>
    </w:p>
    <w:p w14:paraId="74401687">
      <w:pPr>
        <w:rPr>
          <w:rFonts w:hint="eastAsia" w:ascii="宋体" w:hAnsi="宋体" w:eastAsia="宋体" w:cs="宋体"/>
          <w:lang w:val="zh-CN"/>
        </w:rPr>
      </w:pPr>
    </w:p>
    <w:p w14:paraId="1E79F232">
      <w:pPr>
        <w:rPr>
          <w:rFonts w:hint="eastAsia" w:ascii="宋体" w:hAnsi="宋体" w:eastAsia="宋体" w:cs="宋体"/>
          <w:lang w:val="zh-CN"/>
        </w:rPr>
      </w:pPr>
    </w:p>
    <w:p w14:paraId="1C996202">
      <w:pPr>
        <w:rPr>
          <w:rFonts w:hint="eastAsia" w:ascii="宋体" w:hAnsi="宋体" w:eastAsia="宋体" w:cs="宋体"/>
          <w:lang w:val="zh-CN"/>
        </w:rPr>
      </w:pPr>
    </w:p>
    <w:p w14:paraId="20784DB8">
      <w:pPr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278765</wp:posOffset>
            </wp:positionV>
            <wp:extent cx="5274310" cy="1447800"/>
            <wp:effectExtent l="0" t="0" r="2540" b="0"/>
            <wp:wrapNone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1F276">
      <w:pPr>
        <w:rPr>
          <w:rFonts w:hint="eastAsia" w:ascii="宋体" w:hAnsi="宋体" w:eastAsia="宋体" w:cs="宋体"/>
          <w:lang w:val="zh-CN"/>
        </w:rPr>
      </w:pPr>
    </w:p>
    <w:p w14:paraId="305D1E47">
      <w:pPr>
        <w:rPr>
          <w:rFonts w:hint="eastAsia" w:ascii="宋体" w:hAnsi="宋体" w:eastAsia="宋体" w:cs="宋体"/>
          <w:lang w:val="zh-CN"/>
        </w:rPr>
      </w:pPr>
    </w:p>
    <w:p w14:paraId="196EE52A">
      <w:pPr>
        <w:rPr>
          <w:rFonts w:hint="eastAsia" w:ascii="宋体" w:hAnsi="宋体" w:eastAsia="宋体" w:cs="宋体"/>
          <w:lang w:val="zh-CN"/>
        </w:rPr>
      </w:pPr>
    </w:p>
    <w:p w14:paraId="28B0B5AC">
      <w:pPr>
        <w:rPr>
          <w:rFonts w:hint="eastAsia" w:ascii="宋体" w:hAnsi="宋体" w:eastAsia="宋体" w:cs="宋体"/>
          <w:lang w:val="zh-CN"/>
        </w:rPr>
      </w:pPr>
    </w:p>
    <w:p w14:paraId="7B43B2DB">
      <w:pPr>
        <w:rPr>
          <w:rFonts w:hint="eastAsia" w:ascii="宋体" w:hAnsi="宋体" w:eastAsia="宋体" w:cs="宋体"/>
          <w:lang w:val="zh-CN"/>
        </w:rPr>
      </w:pPr>
    </w:p>
    <w:p w14:paraId="584A2906">
      <w:pPr>
        <w:rPr>
          <w:rFonts w:hint="eastAsia" w:ascii="宋体" w:hAnsi="宋体" w:eastAsia="宋体" w:cs="宋体"/>
          <w:lang w:val="zh-CN"/>
        </w:rPr>
      </w:pPr>
    </w:p>
    <w:p w14:paraId="580EE62A">
      <w:pPr>
        <w:rPr>
          <w:rFonts w:hint="eastAsia" w:ascii="宋体" w:hAnsi="宋体" w:eastAsia="宋体" w:cs="宋体"/>
          <w:lang w:val="zh-CN"/>
        </w:rPr>
      </w:pPr>
    </w:p>
    <w:p w14:paraId="0D20BF64">
      <w:pPr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36195</wp:posOffset>
            </wp:positionV>
            <wp:extent cx="5276850" cy="1362710"/>
            <wp:effectExtent l="0" t="0" r="0" b="8890"/>
            <wp:wrapNone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091018">
      <w:pPr>
        <w:rPr>
          <w:rFonts w:hint="eastAsia" w:ascii="宋体" w:hAnsi="宋体" w:eastAsia="宋体" w:cs="宋体"/>
          <w:lang w:val="zh-CN"/>
        </w:rPr>
      </w:pPr>
    </w:p>
    <w:p w14:paraId="59662B7B">
      <w:pPr>
        <w:rPr>
          <w:rFonts w:hint="eastAsia" w:ascii="宋体" w:hAnsi="宋体" w:eastAsia="宋体" w:cs="宋体"/>
          <w:lang w:val="zh-CN"/>
        </w:rPr>
      </w:pPr>
    </w:p>
    <w:p w14:paraId="4982DB6F">
      <w:pPr>
        <w:rPr>
          <w:rFonts w:hint="eastAsia" w:ascii="宋体" w:hAnsi="宋体" w:eastAsia="宋体" w:cs="宋体"/>
          <w:lang w:val="zh-CN"/>
        </w:rPr>
      </w:pPr>
    </w:p>
    <w:p w14:paraId="0E8C8132">
      <w:pPr>
        <w:rPr>
          <w:rFonts w:hint="eastAsia" w:ascii="宋体" w:hAnsi="宋体" w:eastAsia="宋体" w:cs="宋体"/>
          <w:lang w:val="zh-CN"/>
        </w:rPr>
      </w:pPr>
    </w:p>
    <w:p w14:paraId="41853C7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1517D0C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钢结构图</w:t>
      </w:r>
    </w:p>
    <w:p w14:paraId="6F678374">
      <w:pPr>
        <w:rPr>
          <w:rFonts w:hint="eastAsia" w:ascii="仿宋" w:hAnsi="仿宋" w:eastAsia="仿宋" w:cs="仿宋"/>
          <w:sz w:val="24"/>
          <w:szCs w:val="24"/>
          <w:lang w:val="zh-CN"/>
        </w:rPr>
      </w:pPr>
    </w:p>
    <w:p w14:paraId="68A8C1B2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9525</wp:posOffset>
            </wp:positionV>
            <wp:extent cx="7098030" cy="810895"/>
            <wp:effectExtent l="0" t="0" r="7620" b="8255"/>
            <wp:wrapNone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2E1C9C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3D9DFC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B62F57C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130175</wp:posOffset>
            </wp:positionV>
            <wp:extent cx="4054475" cy="2435860"/>
            <wp:effectExtent l="0" t="0" r="3175" b="2540"/>
            <wp:wrapNone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12B34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96E3AD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2F844E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DE4ADCB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824369C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0136D3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DABC33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56B5C4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9AA883">
      <w:pPr>
        <w:autoSpaceDE w:val="0"/>
        <w:autoSpaceDN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B59ABC">
      <w:pPr>
        <w:autoSpaceDE w:val="0"/>
        <w:autoSpaceDN w:val="0"/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①发光字规格：2mm厚度铝板激光切割穿孔，打磨抛光，字体厚度150mm,立体字做氟碳底漆，面漆烤红色汽车漆。</w:t>
      </w:r>
    </w:p>
    <w:p w14:paraId="61F886C0">
      <w:pPr>
        <w:autoSpaceDE w:val="0"/>
        <w:autoSpaceDN w:val="0"/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②结构：背面支架采用热镀锌方管、钢板（详见钢结构图），穿孔LED12mm，防水模组，灯源四周间距为30mm，400W防水电源、时控开关、漏电保护器。</w:t>
      </w:r>
    </w:p>
    <w:p w14:paraId="0C9DE8A5">
      <w:pPr>
        <w:autoSpaceDE w:val="0"/>
        <w:autoSpaceDN w:val="0"/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③照明：夜间亮红光，灯源由标识字背面插入孔洞，使用铜芯导线将灯源串起，经无酸性结构胶黏贴，保证灯源及导线不易脱落。</w:t>
      </w:r>
    </w:p>
    <w:p w14:paraId="6F5B193E">
      <w:pPr>
        <w:autoSpaceDE w:val="0"/>
        <w:autoSpaceDN w:val="0"/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④电源线及套管：主线采用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6㎡ 三芯线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49EBA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三、具体清单：</w:t>
      </w:r>
    </w:p>
    <w:tbl>
      <w:tblPr>
        <w:tblStyle w:val="5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22"/>
        <w:gridCol w:w="1020"/>
        <w:gridCol w:w="2205"/>
        <w:gridCol w:w="1125"/>
        <w:gridCol w:w="1035"/>
      </w:tblGrid>
      <w:tr w14:paraId="194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0" w:type="dxa"/>
            <w:noWrap w:val="0"/>
            <w:vAlign w:val="center"/>
          </w:tcPr>
          <w:p w14:paraId="556E8A7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22" w:type="dxa"/>
            <w:noWrap w:val="0"/>
            <w:vAlign w:val="center"/>
          </w:tcPr>
          <w:p w14:paraId="6726142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20" w:type="dxa"/>
            <w:noWrap w:val="0"/>
            <w:vAlign w:val="center"/>
          </w:tcPr>
          <w:p w14:paraId="58FC0CB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205" w:type="dxa"/>
            <w:noWrap w:val="0"/>
            <w:vAlign w:val="center"/>
          </w:tcPr>
          <w:p w14:paraId="126150F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尺寸</w:t>
            </w:r>
          </w:p>
        </w:tc>
        <w:tc>
          <w:tcPr>
            <w:tcW w:w="1125" w:type="dxa"/>
            <w:noWrap w:val="0"/>
            <w:vAlign w:val="center"/>
          </w:tcPr>
          <w:p w14:paraId="5D94773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35" w:type="dxa"/>
            <w:noWrap w:val="0"/>
            <w:vAlign w:val="center"/>
          </w:tcPr>
          <w:p w14:paraId="573837E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8A1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07" w:type="dxa"/>
            <w:gridSpan w:val="6"/>
            <w:noWrap w:val="0"/>
            <w:vAlign w:val="center"/>
          </w:tcPr>
          <w:p w14:paraId="5961D67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衢州市眼科医院 </w:t>
            </w:r>
          </w:p>
        </w:tc>
      </w:tr>
      <w:tr w14:paraId="535E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0" w:type="dxa"/>
            <w:noWrap w:val="0"/>
            <w:vAlign w:val="center"/>
          </w:tcPr>
          <w:p w14:paraId="1F9C372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22" w:type="dxa"/>
            <w:noWrap w:val="0"/>
            <w:vAlign w:val="center"/>
          </w:tcPr>
          <w:p w14:paraId="7B87C03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衢州市眼科医院    </w:t>
            </w:r>
          </w:p>
        </w:tc>
        <w:tc>
          <w:tcPr>
            <w:tcW w:w="1020" w:type="dxa"/>
            <w:noWrap w:val="0"/>
            <w:vAlign w:val="center"/>
          </w:tcPr>
          <w:p w14:paraId="3BC6889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平方米</w:t>
            </w:r>
          </w:p>
        </w:tc>
        <w:tc>
          <w:tcPr>
            <w:tcW w:w="2205" w:type="dxa"/>
            <w:noWrap w:val="0"/>
            <w:vAlign w:val="center"/>
          </w:tcPr>
          <w:p w14:paraId="2313BF1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7个</w:t>
            </w:r>
          </w:p>
        </w:tc>
        <w:tc>
          <w:tcPr>
            <w:tcW w:w="1125" w:type="dxa"/>
            <w:noWrap w:val="0"/>
            <w:vAlign w:val="center"/>
          </w:tcPr>
          <w:p w14:paraId="5DABD55C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90.72</w:t>
            </w:r>
          </w:p>
        </w:tc>
        <w:tc>
          <w:tcPr>
            <w:tcW w:w="1035" w:type="dxa"/>
            <w:noWrap w:val="0"/>
            <w:vAlign w:val="center"/>
          </w:tcPr>
          <w:p w14:paraId="2DC305C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3E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700" w:type="dxa"/>
            <w:noWrap w:val="0"/>
            <w:vAlign w:val="center"/>
          </w:tcPr>
          <w:p w14:paraId="2ABBB95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22" w:type="dxa"/>
            <w:noWrap w:val="0"/>
            <w:vAlign w:val="center"/>
          </w:tcPr>
          <w:p w14:paraId="556EBA6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60mm×60mm×2.5mm热镀锌方管</w:t>
            </w:r>
          </w:p>
          <w:p w14:paraId="5359927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25mm×25mm×1.8mm热镀锌方管</w:t>
            </w:r>
          </w:p>
        </w:tc>
        <w:tc>
          <w:tcPr>
            <w:tcW w:w="1020" w:type="dxa"/>
            <w:noWrap w:val="0"/>
            <w:vAlign w:val="center"/>
          </w:tcPr>
          <w:p w14:paraId="0C75774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平方米</w:t>
            </w:r>
          </w:p>
        </w:tc>
        <w:tc>
          <w:tcPr>
            <w:tcW w:w="2205" w:type="dxa"/>
            <w:noWrap w:val="0"/>
            <w:vAlign w:val="center"/>
          </w:tcPr>
          <w:p w14:paraId="7FCBCEE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 w14:paraId="3651278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90.72</w:t>
            </w:r>
          </w:p>
        </w:tc>
        <w:tc>
          <w:tcPr>
            <w:tcW w:w="1035" w:type="dxa"/>
            <w:noWrap w:val="0"/>
            <w:vAlign w:val="center"/>
          </w:tcPr>
          <w:p w14:paraId="0824DB1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D2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0" w:type="dxa"/>
            <w:noWrap w:val="0"/>
            <w:vAlign w:val="center"/>
          </w:tcPr>
          <w:p w14:paraId="305EEB9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22" w:type="dxa"/>
            <w:noWrap w:val="0"/>
            <w:vAlign w:val="center"/>
          </w:tcPr>
          <w:p w14:paraId="4415742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电源</w:t>
            </w:r>
          </w:p>
        </w:tc>
        <w:tc>
          <w:tcPr>
            <w:tcW w:w="1020" w:type="dxa"/>
            <w:noWrap w:val="0"/>
            <w:vAlign w:val="center"/>
          </w:tcPr>
          <w:p w14:paraId="0A72568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205" w:type="dxa"/>
            <w:noWrap w:val="0"/>
            <w:vAlign w:val="center"/>
          </w:tcPr>
          <w:p w14:paraId="7350904C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400w12v</w:t>
            </w:r>
          </w:p>
        </w:tc>
        <w:tc>
          <w:tcPr>
            <w:tcW w:w="1125" w:type="dxa"/>
            <w:noWrap w:val="0"/>
            <w:vAlign w:val="center"/>
          </w:tcPr>
          <w:p w14:paraId="5139E34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35" w:type="dxa"/>
            <w:noWrap w:val="0"/>
            <w:vAlign w:val="center"/>
          </w:tcPr>
          <w:p w14:paraId="73592E0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AE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700" w:type="dxa"/>
            <w:noWrap w:val="0"/>
            <w:vAlign w:val="center"/>
          </w:tcPr>
          <w:p w14:paraId="43ECED8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22" w:type="dxa"/>
            <w:noWrap w:val="0"/>
            <w:vAlign w:val="center"/>
          </w:tcPr>
          <w:p w14:paraId="71A6E05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6㎡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三芯电缆线，接到配电柜电缆</w:t>
            </w:r>
          </w:p>
        </w:tc>
        <w:tc>
          <w:tcPr>
            <w:tcW w:w="1020" w:type="dxa"/>
            <w:noWrap w:val="0"/>
            <w:vAlign w:val="center"/>
          </w:tcPr>
          <w:p w14:paraId="283C960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2205" w:type="dxa"/>
            <w:noWrap w:val="0"/>
            <w:vAlign w:val="center"/>
          </w:tcPr>
          <w:p w14:paraId="71F95D1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 w14:paraId="71496FA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 w14:paraId="3346945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D89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0" w:type="dxa"/>
            <w:noWrap w:val="0"/>
            <w:vAlign w:val="center"/>
          </w:tcPr>
          <w:p w14:paraId="529E241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522" w:type="dxa"/>
            <w:noWrap w:val="0"/>
            <w:vAlign w:val="center"/>
          </w:tcPr>
          <w:p w14:paraId="29A2B99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9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-60" w:leftChars="-70" w:right="0" w:hanging="108" w:hangingChars="4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不锈钢配电箱及时控器</w:t>
            </w:r>
          </w:p>
        </w:tc>
        <w:tc>
          <w:tcPr>
            <w:tcW w:w="1020" w:type="dxa"/>
            <w:noWrap w:val="0"/>
            <w:vAlign w:val="center"/>
          </w:tcPr>
          <w:p w14:paraId="66D20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205" w:type="dxa"/>
            <w:noWrap w:val="0"/>
            <w:vAlign w:val="center"/>
          </w:tcPr>
          <w:p w14:paraId="540DF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 w14:paraId="20066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62C2D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65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0" w:type="dxa"/>
            <w:noWrap w:val="0"/>
            <w:vAlign w:val="center"/>
          </w:tcPr>
          <w:p w14:paraId="6CD0BB2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522" w:type="dxa"/>
            <w:noWrap w:val="0"/>
            <w:vAlign w:val="center"/>
          </w:tcPr>
          <w:p w14:paraId="34D43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250mm×250mm×10mm钢板</w:t>
            </w:r>
          </w:p>
        </w:tc>
        <w:tc>
          <w:tcPr>
            <w:tcW w:w="1020" w:type="dxa"/>
            <w:noWrap w:val="0"/>
            <w:vAlign w:val="center"/>
          </w:tcPr>
          <w:p w14:paraId="56A83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2205" w:type="dxa"/>
            <w:noWrap w:val="0"/>
            <w:vAlign w:val="center"/>
          </w:tcPr>
          <w:p w14:paraId="3A81D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 w14:paraId="1BAFB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 w14:paraId="27D76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29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00" w:type="dxa"/>
            <w:noWrap w:val="0"/>
            <w:vAlign w:val="center"/>
          </w:tcPr>
          <w:p w14:paraId="0B498E5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22" w:type="dxa"/>
            <w:noWrap w:val="0"/>
            <w:vAlign w:val="center"/>
          </w:tcPr>
          <w:p w14:paraId="451A215C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高空安装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费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及人工费</w:t>
            </w:r>
          </w:p>
        </w:tc>
        <w:tc>
          <w:tcPr>
            <w:tcW w:w="1020" w:type="dxa"/>
            <w:noWrap w:val="0"/>
            <w:vAlign w:val="center"/>
          </w:tcPr>
          <w:p w14:paraId="10222CD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平方米</w:t>
            </w:r>
          </w:p>
        </w:tc>
        <w:tc>
          <w:tcPr>
            <w:tcW w:w="2205" w:type="dxa"/>
            <w:noWrap w:val="0"/>
            <w:vAlign w:val="center"/>
          </w:tcPr>
          <w:p w14:paraId="13AFEF4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125" w:type="dxa"/>
            <w:noWrap w:val="0"/>
            <w:vAlign w:val="center"/>
          </w:tcPr>
          <w:p w14:paraId="4B8C1CE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90.72</w:t>
            </w:r>
          </w:p>
        </w:tc>
        <w:tc>
          <w:tcPr>
            <w:tcW w:w="1035" w:type="dxa"/>
            <w:noWrap w:val="0"/>
            <w:vAlign w:val="center"/>
          </w:tcPr>
          <w:p w14:paraId="17EDACA1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E76E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四、其他要求</w:t>
      </w:r>
    </w:p>
    <w:tbl>
      <w:tblPr>
        <w:tblStyle w:val="5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7606"/>
      </w:tblGrid>
      <w:tr w14:paraId="6C42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3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质保期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6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验收合格并办理正式移交使用手续后5年。</w:t>
            </w:r>
          </w:p>
        </w:tc>
      </w:tr>
      <w:tr w14:paraId="5F0A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7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技术服务要求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E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供应商应以优良的服务态度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便利、快捷的方式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在2小时内响应，并在12小时内完成采购人提出的维修要求（特殊配件更换除外）。</w:t>
            </w:r>
          </w:p>
        </w:tc>
      </w:tr>
      <w:tr w14:paraId="6137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6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交货时间及地点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4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交货时间：合同签订后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天内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制作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制作完成后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天内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安装。</w:t>
            </w:r>
          </w:p>
          <w:p w14:paraId="5F542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地点：采购人指定地点</w:t>
            </w:r>
          </w:p>
        </w:tc>
      </w:tr>
      <w:tr w14:paraId="3C75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3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付款条件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5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第一期付款：合同签订后，采购人收到中标单位提供的增值税普通发票后，支付合同金额的40%作为预付款。</w:t>
            </w:r>
          </w:p>
          <w:p w14:paraId="7D701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第二期付款：项目完成终验合格后，采购人收到中标单位提供的增值税普通发票后，支付剩余款项。</w:t>
            </w:r>
          </w:p>
        </w:tc>
      </w:tr>
      <w:tr w14:paraId="0598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9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0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Style w:val="10"/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本项目大型机械设备配合吊装、安装及进出场费</w:t>
            </w:r>
            <w:r>
              <w:rPr>
                <w:rStyle w:val="10"/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钢板及辅助材料等完成本项目的所有费用</w:t>
            </w:r>
            <w:r>
              <w:rPr>
                <w:rStyle w:val="10"/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均</w:t>
            </w:r>
            <w:r>
              <w:rPr>
                <w:rStyle w:val="10"/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Style w:val="10"/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包含在本项目投标报价中。</w:t>
            </w:r>
          </w:p>
        </w:tc>
      </w:tr>
    </w:tbl>
    <w:p w14:paraId="617D0A55">
      <w:pPr>
        <w:spacing w:line="54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C8F7B8D">
      <w:pPr>
        <w:pStyle w:val="11"/>
        <w:rPr>
          <w:rFonts w:hint="eastAsia" w:ascii="仿宋" w:hAnsi="仿宋" w:eastAsia="仿宋" w:cs="仿宋"/>
          <w:b/>
          <w:color w:val="FF0000"/>
          <w:sz w:val="32"/>
          <w:szCs w:val="32"/>
        </w:rPr>
      </w:pPr>
    </w:p>
    <w:p w14:paraId="4854F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4DBA3"/>
    <w:multiLevelType w:val="singleLevel"/>
    <w:tmpl w:val="72B4DB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249A5"/>
    <w:rsid w:val="0D32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0" w:firstLineChars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仿宋_GB2312" w:hAnsi="宋体" w:eastAsia="仿宋_GB2312"/>
      <w:szCs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435"/>
    </w:pPr>
    <w:rPr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9">
    <w:name w:val="toc 7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character" w:customStyle="1" w:styleId="10">
    <w:name w:val="textfont1"/>
    <w:qFormat/>
    <w:uiPriority w:val="0"/>
    <w:rPr>
      <w:sz w:val="22"/>
      <w:szCs w:val="22"/>
    </w:rPr>
  </w:style>
  <w:style w:type="paragraph" w:customStyle="1" w:styleId="11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2024-12-12T08:01:00Z</dcterms:created>
  <dc:creator>11</dc:creator>
  <cp:lastModifiedBy>11</cp:lastModifiedBy>
  <dcterms:modified xsi:type="dcterms:W3CDTF">2024-12-12T08:02:23Z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DC544EAD219A4D05BC0AC878270F8BA9_11</vt:lpwstr>
  </property>
</Properties>
</file>