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B674F6">
      <w:pPr>
        <w:rPr>
          <w:rFonts w:hint="eastAsia" w:ascii="仿宋" w:hAnsi="仿宋" w:eastAsia="仿宋" w:cs="仿宋"/>
          <w:b/>
          <w:color w:val="000000"/>
          <w:sz w:val="28"/>
          <w:szCs w:val="28"/>
          <w:highlight w:val="none"/>
        </w:rPr>
      </w:pPr>
      <w:r>
        <w:rPr>
          <w:rFonts w:hint="eastAsia" w:ascii="仿宋" w:hAnsi="仿宋" w:eastAsia="仿宋" w:cs="仿宋"/>
          <w:b/>
          <w:color w:val="000000"/>
          <w:sz w:val="28"/>
          <w:szCs w:val="28"/>
          <w:highlight w:val="none"/>
        </w:rPr>
        <w:t>基本格式：</w:t>
      </w:r>
    </w:p>
    <w:p w14:paraId="2CFD2940">
      <w:pPr>
        <w:jc w:val="center"/>
        <w:rPr>
          <w:rFonts w:hint="eastAsia" w:ascii="仿宋" w:hAnsi="仿宋" w:eastAsia="仿宋" w:cs="仿宋"/>
          <w:b/>
          <w:color w:val="000000"/>
          <w:sz w:val="44"/>
          <w:szCs w:val="44"/>
          <w:highlight w:val="none"/>
        </w:rPr>
      </w:pPr>
    </w:p>
    <w:p w14:paraId="1BE571C0">
      <w:pPr>
        <w:rPr>
          <w:rFonts w:hint="eastAsia" w:ascii="仿宋" w:hAnsi="仿宋" w:eastAsia="仿宋" w:cs="仿宋"/>
          <w:sz w:val="28"/>
          <w:szCs w:val="28"/>
          <w:highlight w:val="none"/>
        </w:rPr>
      </w:pPr>
      <w:r>
        <w:rPr>
          <w:rFonts w:hint="eastAsia" w:ascii="仿宋" w:hAnsi="仿宋" w:eastAsia="仿宋" w:cs="仿宋"/>
          <w:b/>
          <w:sz w:val="32"/>
          <w:szCs w:val="32"/>
          <w:highlight w:val="none"/>
        </w:rPr>
        <w:t>关于对★★★★★★★★★★★★★★项目的意见建议</w:t>
      </w:r>
    </w:p>
    <w:p w14:paraId="48E5AF2E">
      <w:pPr>
        <w:rPr>
          <w:rFonts w:hint="eastAsia" w:ascii="仿宋" w:hAnsi="仿宋" w:eastAsia="仿宋" w:cs="仿宋"/>
          <w:sz w:val="28"/>
          <w:szCs w:val="28"/>
          <w:highlight w:val="none"/>
        </w:rPr>
      </w:pPr>
      <w:r>
        <w:rPr>
          <w:rFonts w:hint="eastAsia" w:ascii="仿宋" w:hAnsi="仿宋" w:eastAsia="仿宋" w:cs="仿宋"/>
          <w:sz w:val="28"/>
          <w:szCs w:val="28"/>
          <w:highlight w:val="none"/>
        </w:rPr>
        <w:t>致：</w:t>
      </w:r>
      <w:r>
        <w:rPr>
          <w:rFonts w:hint="eastAsia" w:ascii="仿宋" w:hAnsi="仿宋" w:eastAsia="仿宋" w:cs="仿宋"/>
          <w:b/>
          <w:sz w:val="32"/>
          <w:szCs w:val="32"/>
          <w:highlight w:val="none"/>
        </w:rPr>
        <w:t>★★★★</w:t>
      </w:r>
      <w:r>
        <w:rPr>
          <w:rFonts w:hint="eastAsia" w:ascii="仿宋" w:hAnsi="仿宋" w:eastAsia="仿宋" w:cs="仿宋"/>
          <w:sz w:val="28"/>
          <w:szCs w:val="28"/>
          <w:highlight w:val="none"/>
        </w:rPr>
        <w:t>有限公司</w:t>
      </w:r>
    </w:p>
    <w:p w14:paraId="09D27067">
      <w:pPr>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对于贵公司于20</w:t>
      </w:r>
      <w:r>
        <w:rPr>
          <w:rFonts w:hint="eastAsia" w:ascii="仿宋" w:hAnsi="仿宋" w:eastAsia="仿宋" w:cs="仿宋"/>
          <w:sz w:val="28"/>
          <w:szCs w:val="28"/>
          <w:highlight w:val="none"/>
          <w:lang w:val="en-US" w:eastAsia="zh-CN"/>
        </w:rPr>
        <w:t>25</w:t>
      </w:r>
      <w:r>
        <w:rPr>
          <w:rFonts w:hint="eastAsia" w:ascii="仿宋" w:hAnsi="仿宋" w:eastAsia="仿宋" w:cs="仿宋"/>
          <w:sz w:val="28"/>
          <w:szCs w:val="28"/>
          <w:highlight w:val="none"/>
        </w:rPr>
        <w:t>年★月★日公示的★★★★★★★★★★★★★★★★★★★★★项目采购要素，我公司有如下意见建议：</w:t>
      </w:r>
    </w:p>
    <w:tbl>
      <w:tblPr>
        <w:tblStyle w:val="19"/>
        <w:tblW w:w="0" w:type="auto"/>
        <w:tblInd w:w="0" w:type="dxa"/>
        <w:tblLayout w:type="fixed"/>
        <w:tblCellMar>
          <w:top w:w="0" w:type="dxa"/>
          <w:left w:w="108" w:type="dxa"/>
          <w:bottom w:w="0" w:type="dxa"/>
          <w:right w:w="108" w:type="dxa"/>
        </w:tblCellMar>
      </w:tblPr>
      <w:tblGrid>
        <w:gridCol w:w="4261"/>
        <w:gridCol w:w="4261"/>
      </w:tblGrid>
      <w:tr w14:paraId="16BA1395">
        <w:tc>
          <w:tcPr>
            <w:tcW w:w="4261" w:type="dxa"/>
            <w:tcBorders>
              <w:top w:val="single" w:color="auto" w:sz="4" w:space="0"/>
              <w:left w:val="single" w:color="auto" w:sz="4" w:space="0"/>
              <w:bottom w:val="single" w:color="auto" w:sz="4" w:space="0"/>
              <w:right w:val="single" w:color="auto" w:sz="4" w:space="0"/>
            </w:tcBorders>
            <w:noWrap w:val="0"/>
            <w:vAlign w:val="top"/>
          </w:tcPr>
          <w:p w14:paraId="298A8C5B">
            <w:pPr>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原条款</w:t>
            </w:r>
          </w:p>
        </w:tc>
        <w:tc>
          <w:tcPr>
            <w:tcW w:w="4261" w:type="dxa"/>
            <w:tcBorders>
              <w:top w:val="single" w:color="auto" w:sz="4" w:space="0"/>
              <w:left w:val="single" w:color="auto" w:sz="4" w:space="0"/>
              <w:bottom w:val="single" w:color="auto" w:sz="4" w:space="0"/>
              <w:right w:val="single" w:color="auto" w:sz="4" w:space="0"/>
            </w:tcBorders>
            <w:noWrap w:val="0"/>
            <w:vAlign w:val="top"/>
          </w:tcPr>
          <w:p w14:paraId="0EA0BC08">
            <w:pPr>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本公司意见建议</w:t>
            </w:r>
          </w:p>
        </w:tc>
      </w:tr>
      <w:tr w14:paraId="4F28FF84">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192CCE5F">
            <w:pPr>
              <w:jc w:val="center"/>
              <w:rPr>
                <w:rFonts w:hint="eastAsia" w:ascii="仿宋" w:hAnsi="仿宋" w:eastAsia="仿宋" w:cs="仿宋"/>
                <w:sz w:val="28"/>
                <w:szCs w:val="28"/>
                <w:highlight w:val="none"/>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223DE834">
            <w:pPr>
              <w:jc w:val="center"/>
              <w:rPr>
                <w:rFonts w:hint="eastAsia" w:ascii="仿宋" w:hAnsi="仿宋" w:eastAsia="仿宋" w:cs="仿宋"/>
                <w:sz w:val="28"/>
                <w:szCs w:val="28"/>
                <w:highlight w:val="none"/>
              </w:rPr>
            </w:pPr>
          </w:p>
        </w:tc>
      </w:tr>
      <w:tr w14:paraId="657AABE2">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48E10DA3">
            <w:pPr>
              <w:jc w:val="center"/>
              <w:rPr>
                <w:rFonts w:hint="eastAsia" w:ascii="仿宋" w:hAnsi="仿宋" w:eastAsia="仿宋" w:cs="仿宋"/>
                <w:sz w:val="28"/>
                <w:szCs w:val="28"/>
                <w:highlight w:val="none"/>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50104F0E">
            <w:pPr>
              <w:jc w:val="center"/>
              <w:rPr>
                <w:rFonts w:hint="eastAsia" w:ascii="仿宋" w:hAnsi="仿宋" w:eastAsia="仿宋" w:cs="仿宋"/>
                <w:sz w:val="28"/>
                <w:szCs w:val="28"/>
                <w:highlight w:val="none"/>
              </w:rPr>
            </w:pPr>
          </w:p>
        </w:tc>
      </w:tr>
      <w:tr w14:paraId="45C62BB3">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0B76640F">
            <w:pPr>
              <w:jc w:val="center"/>
              <w:rPr>
                <w:rFonts w:hint="eastAsia" w:ascii="仿宋" w:hAnsi="仿宋" w:eastAsia="仿宋" w:cs="仿宋"/>
                <w:sz w:val="28"/>
                <w:szCs w:val="28"/>
                <w:highlight w:val="none"/>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3E093084">
            <w:pPr>
              <w:jc w:val="center"/>
              <w:rPr>
                <w:rFonts w:hint="eastAsia" w:ascii="仿宋" w:hAnsi="仿宋" w:eastAsia="仿宋" w:cs="仿宋"/>
                <w:sz w:val="28"/>
                <w:szCs w:val="28"/>
                <w:highlight w:val="none"/>
              </w:rPr>
            </w:pPr>
          </w:p>
        </w:tc>
      </w:tr>
    </w:tbl>
    <w:p w14:paraId="2FCCE142">
      <w:pPr>
        <w:rPr>
          <w:rFonts w:hint="eastAsia" w:ascii="仿宋" w:hAnsi="仿宋" w:eastAsia="仿宋" w:cs="仿宋"/>
          <w:sz w:val="28"/>
          <w:szCs w:val="28"/>
          <w:highlight w:val="none"/>
        </w:rPr>
      </w:pPr>
      <w:r>
        <w:rPr>
          <w:rFonts w:hint="eastAsia" w:ascii="仿宋" w:hAnsi="仿宋" w:eastAsia="仿宋" w:cs="仿宋"/>
          <w:sz w:val="28"/>
          <w:szCs w:val="28"/>
          <w:highlight w:val="none"/>
        </w:rPr>
        <w:t>传    真：★★★★★★★★</w:t>
      </w:r>
    </w:p>
    <w:p w14:paraId="3C6EEC66">
      <w:pPr>
        <w:rPr>
          <w:rFonts w:hint="eastAsia" w:ascii="仿宋" w:hAnsi="仿宋" w:eastAsia="仿宋" w:cs="仿宋"/>
          <w:sz w:val="28"/>
          <w:szCs w:val="28"/>
          <w:highlight w:val="none"/>
        </w:rPr>
      </w:pPr>
      <w:r>
        <w:rPr>
          <w:rFonts w:hint="eastAsia" w:ascii="仿宋" w:hAnsi="仿宋" w:eastAsia="仿宋" w:cs="仿宋"/>
          <w:sz w:val="28"/>
          <w:szCs w:val="28"/>
          <w:highlight w:val="none"/>
        </w:rPr>
        <w:t>联 系 人：★★★★★★★★</w:t>
      </w:r>
    </w:p>
    <w:p w14:paraId="51468E3A">
      <w:pPr>
        <w:rPr>
          <w:rFonts w:hint="eastAsia" w:ascii="仿宋" w:hAnsi="仿宋" w:eastAsia="仿宋" w:cs="仿宋"/>
          <w:sz w:val="28"/>
          <w:szCs w:val="28"/>
          <w:highlight w:val="none"/>
        </w:rPr>
      </w:pPr>
      <w:r>
        <w:rPr>
          <w:rFonts w:hint="eastAsia" w:ascii="仿宋" w:hAnsi="仿宋" w:eastAsia="仿宋" w:cs="仿宋"/>
          <w:sz w:val="28"/>
          <w:szCs w:val="28"/>
          <w:highlight w:val="none"/>
        </w:rPr>
        <w:t>联系电话：★★★★★★★★</w:t>
      </w:r>
    </w:p>
    <w:p w14:paraId="11A8F233">
      <w:pPr>
        <w:rPr>
          <w:rFonts w:hint="eastAsia" w:ascii="仿宋" w:hAnsi="仿宋" w:eastAsia="仿宋" w:cs="仿宋"/>
          <w:sz w:val="28"/>
          <w:szCs w:val="28"/>
          <w:highlight w:val="none"/>
        </w:rPr>
      </w:pPr>
      <w:r>
        <w:rPr>
          <w:rFonts w:hint="eastAsia" w:ascii="仿宋" w:hAnsi="仿宋" w:eastAsia="仿宋" w:cs="仿宋"/>
          <w:sz w:val="28"/>
          <w:szCs w:val="28"/>
          <w:highlight w:val="none"/>
        </w:rPr>
        <w:t>联系手机：★★★★★★★★</w:t>
      </w:r>
    </w:p>
    <w:p w14:paraId="67E8629C">
      <w:pPr>
        <w:ind w:left="4480" w:hanging="4480" w:hangingChars="160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电子邮箱：★★★★★★★★                       </w:t>
      </w:r>
    </w:p>
    <w:p w14:paraId="4FAB47CC">
      <w:pPr>
        <w:ind w:left="4481" w:leftChars="2134" w:firstLine="140" w:firstLineChars="50"/>
        <w:rPr>
          <w:rFonts w:hint="eastAsia" w:ascii="仿宋" w:hAnsi="仿宋" w:eastAsia="仿宋" w:cs="仿宋"/>
          <w:sz w:val="28"/>
          <w:szCs w:val="28"/>
          <w:highlight w:val="none"/>
        </w:rPr>
      </w:pPr>
    </w:p>
    <w:p w14:paraId="409D8611">
      <w:pPr>
        <w:ind w:left="4481" w:leftChars="2134" w:firstLine="140" w:firstLineChar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单位名称：（加盖公章）</w:t>
      </w:r>
    </w:p>
    <w:p w14:paraId="1E7106C4">
      <w:pPr>
        <w:ind w:left="4760" w:hanging="4760" w:hangingChars="170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eastAsia="zh-CN"/>
        </w:rPr>
        <w:t>二〇</w:t>
      </w:r>
      <w:r>
        <w:rPr>
          <w:rFonts w:hint="eastAsia" w:ascii="仿宋" w:hAnsi="仿宋" w:eastAsia="仿宋" w:cs="仿宋"/>
          <w:sz w:val="28"/>
          <w:szCs w:val="28"/>
          <w:highlight w:val="none"/>
        </w:rPr>
        <w:t>二</w:t>
      </w:r>
      <w:r>
        <w:rPr>
          <w:rFonts w:hint="eastAsia" w:ascii="仿宋" w:hAnsi="仿宋" w:eastAsia="仿宋" w:cs="仿宋"/>
          <w:sz w:val="28"/>
          <w:szCs w:val="28"/>
          <w:highlight w:val="none"/>
          <w:lang w:val="en-US" w:eastAsia="zh-CN"/>
        </w:rPr>
        <w:t>五</w:t>
      </w:r>
      <w:r>
        <w:rPr>
          <w:rFonts w:hint="eastAsia" w:ascii="仿宋" w:hAnsi="仿宋" w:eastAsia="仿宋" w:cs="仿宋"/>
          <w:sz w:val="28"/>
          <w:szCs w:val="28"/>
          <w:highlight w:val="none"/>
        </w:rPr>
        <w:t>年★月★日</w:t>
      </w:r>
    </w:p>
    <w:p w14:paraId="758EB9EC">
      <w:pPr>
        <w:rPr>
          <w:rFonts w:hint="eastAsia" w:ascii="仿宋" w:hAnsi="仿宋" w:eastAsia="仿宋" w:cs="仿宋"/>
          <w:highlight w:val="none"/>
        </w:rPr>
      </w:pPr>
    </w:p>
    <w:p w14:paraId="1B870E65">
      <w:pPr>
        <w:rPr>
          <w:rFonts w:hint="eastAsia" w:ascii="仿宋" w:hAnsi="仿宋" w:eastAsia="仿宋" w:cs="仿宋"/>
          <w:highlight w:val="none"/>
        </w:rPr>
      </w:pPr>
      <w:r>
        <w:rPr>
          <w:rFonts w:hint="eastAsia" w:ascii="仿宋" w:hAnsi="仿宋" w:eastAsia="仿宋" w:cs="仿宋"/>
          <w:highlight w:val="none"/>
        </w:rPr>
        <w:t>注：</w:t>
      </w:r>
    </w:p>
    <w:p w14:paraId="31B0003C">
      <w:pPr>
        <w:rPr>
          <w:rFonts w:hint="eastAsia" w:ascii="仿宋" w:hAnsi="仿宋" w:eastAsia="仿宋" w:cs="仿宋"/>
          <w:highlight w:val="none"/>
        </w:rPr>
      </w:pPr>
      <w:r>
        <w:rPr>
          <w:rFonts w:hint="eastAsia" w:ascii="仿宋" w:hAnsi="仿宋" w:eastAsia="仿宋" w:cs="仿宋"/>
          <w:highlight w:val="none"/>
        </w:rPr>
        <w:t>1、针对本项目的意见建议仅供采购人完善采购需求参考所用！</w:t>
      </w:r>
    </w:p>
    <w:p w14:paraId="40AEBE3A">
      <w:pPr>
        <w:pageBreakBefore w:val="0"/>
        <w:kinsoku/>
        <w:wordWrap/>
        <w:overflowPunct/>
        <w:topLinePunct w:val="0"/>
        <w:autoSpaceDE/>
        <w:autoSpaceDN/>
        <w:bidi w:val="0"/>
        <w:snapToGrid w:val="0"/>
        <w:spacing w:line="400" w:lineRule="exact"/>
        <w:ind w:left="0" w:leftChars="0" w:right="0" w:rightChars="0"/>
        <w:jc w:val="left"/>
        <w:rPr>
          <w:rFonts w:hint="eastAsia" w:ascii="仿宋" w:hAnsi="仿宋" w:eastAsia="仿宋" w:cs="仿宋"/>
          <w:highlight w:val="none"/>
        </w:rPr>
      </w:pPr>
      <w:r>
        <w:rPr>
          <w:rFonts w:hint="eastAsia" w:ascii="仿宋" w:hAnsi="仿宋" w:eastAsia="仿宋" w:cs="仿宋"/>
          <w:highlight w:val="none"/>
        </w:rPr>
        <w:t>2、意见建议以书面（含传真）为准，供应商必须同时提供WORD版电子稿，并电话与公司项目联系人确认接收，否则视为供应商未提交书面意见建议。</w:t>
      </w:r>
    </w:p>
    <w:p w14:paraId="53A27E53">
      <w:pPr>
        <w:jc w:val="center"/>
        <w:rPr>
          <w:rFonts w:hint="eastAsia" w:ascii="仿宋" w:hAnsi="仿宋" w:eastAsia="仿宋" w:cs="宋体"/>
          <w:b/>
          <w:sz w:val="32"/>
          <w:szCs w:val="32"/>
          <w:highlight w:val="none"/>
          <w:lang w:eastAsia="zh-CN"/>
        </w:rPr>
      </w:pPr>
    </w:p>
    <w:p w14:paraId="3A49E15C">
      <w:pPr>
        <w:jc w:val="center"/>
        <w:rPr>
          <w:rFonts w:hint="eastAsia" w:ascii="仿宋" w:hAnsi="仿宋" w:eastAsia="仿宋" w:cs="宋体"/>
          <w:b/>
          <w:sz w:val="32"/>
          <w:szCs w:val="32"/>
          <w:highlight w:val="none"/>
          <w:lang w:eastAsia="zh-CN"/>
        </w:rPr>
      </w:pPr>
    </w:p>
    <w:p w14:paraId="7E4AF1A1">
      <w:pPr>
        <w:jc w:val="center"/>
        <w:rPr>
          <w:rFonts w:ascii="华文中宋" w:hAnsi="华文中宋" w:eastAsia="华文中宋" w:cs="仿宋"/>
          <w:b/>
          <w:sz w:val="28"/>
          <w:szCs w:val="28"/>
          <w:highlight w:val="none"/>
        </w:rPr>
      </w:pPr>
      <w:r>
        <w:rPr>
          <w:rFonts w:hint="eastAsia" w:ascii="仿宋" w:hAnsi="仿宋" w:eastAsia="仿宋" w:cs="宋体"/>
          <w:b/>
          <w:sz w:val="28"/>
          <w:szCs w:val="28"/>
          <w:highlight w:val="none"/>
          <w:lang w:eastAsia="zh-CN"/>
        </w:rPr>
        <w:t>诸暨市</w:t>
      </w:r>
      <w:r>
        <w:rPr>
          <w:rFonts w:hint="eastAsia" w:ascii="仿宋" w:hAnsi="仿宋" w:eastAsia="仿宋" w:cs="宋体"/>
          <w:b/>
          <w:sz w:val="28"/>
          <w:szCs w:val="28"/>
          <w:highlight w:val="none"/>
          <w:lang w:val="en-US" w:eastAsia="zh-CN"/>
        </w:rPr>
        <w:t>马剑镇建辉村老年活动中心改造布展采购要素</w:t>
      </w:r>
    </w:p>
    <w:p w14:paraId="3C2F99A3">
      <w:pPr>
        <w:spacing w:line="360" w:lineRule="auto"/>
        <w:rPr>
          <w:rFonts w:hint="eastAsia" w:ascii="仿宋" w:hAnsi="仿宋" w:eastAsia="仿宋" w:cs="仿宋"/>
          <w:sz w:val="28"/>
          <w:szCs w:val="28"/>
          <w:highlight w:val="none"/>
          <w:lang w:eastAsia="zh-CN"/>
        </w:rPr>
      </w:pPr>
      <w:r>
        <w:rPr>
          <w:rFonts w:hint="eastAsia" w:ascii="仿宋" w:hAnsi="仿宋" w:eastAsia="仿宋" w:cs="宋体"/>
          <w:b/>
          <w:sz w:val="24"/>
          <w:szCs w:val="24"/>
          <w:highlight w:val="none"/>
        </w:rPr>
        <w:t>一、项目名称：</w:t>
      </w:r>
      <w:bookmarkStart w:id="0" w:name="_Hlk44572922"/>
      <w:r>
        <w:rPr>
          <w:rFonts w:hint="eastAsia" w:ascii="仿宋" w:hAnsi="仿宋" w:eastAsia="仿宋" w:cs="宋体"/>
          <w:sz w:val="24"/>
          <w:highlight w:val="none"/>
          <w:lang w:val="en-US" w:eastAsia="zh-CN"/>
        </w:rPr>
        <w:t>诸暨市马剑镇建辉村老年活动中心改造布展采购</w:t>
      </w:r>
      <w:r>
        <w:rPr>
          <w:rFonts w:hint="eastAsia" w:ascii="仿宋" w:hAnsi="仿宋" w:eastAsia="仿宋" w:cs="宋体"/>
          <w:sz w:val="24"/>
          <w:highlight w:val="none"/>
          <w:lang w:eastAsia="zh-CN"/>
        </w:rPr>
        <w:t xml:space="preserve">项目 </w:t>
      </w:r>
    </w:p>
    <w:bookmarkEnd w:id="0"/>
    <w:p w14:paraId="4CF58E50">
      <w:pPr>
        <w:spacing w:line="360" w:lineRule="auto"/>
        <w:rPr>
          <w:rFonts w:ascii="仿宋" w:hAnsi="仿宋" w:eastAsia="仿宋" w:cs="宋体"/>
          <w:b/>
          <w:sz w:val="24"/>
          <w:highlight w:val="none"/>
        </w:rPr>
      </w:pPr>
      <w:r>
        <w:rPr>
          <w:rFonts w:hint="eastAsia" w:ascii="仿宋" w:hAnsi="仿宋" w:eastAsia="仿宋" w:cs="宋体"/>
          <w:b/>
          <w:sz w:val="24"/>
          <w:highlight w:val="none"/>
        </w:rPr>
        <w:t>二、项目内容及规模</w:t>
      </w:r>
    </w:p>
    <w:p w14:paraId="6265B4B3">
      <w:pPr>
        <w:autoSpaceDE/>
        <w:autoSpaceDN/>
        <w:adjustRightInd/>
        <w:spacing w:line="360" w:lineRule="auto"/>
        <w:ind w:firstLine="480" w:firstLineChars="200"/>
        <w:rPr>
          <w:rFonts w:ascii="仿宋" w:hAnsi="仿宋" w:eastAsia="仿宋" w:cs="宋体"/>
          <w:sz w:val="24"/>
          <w:szCs w:val="24"/>
          <w:highlight w:val="none"/>
        </w:rPr>
      </w:pPr>
      <w:bookmarkStart w:id="1" w:name="_Hlk44574602"/>
      <w:r>
        <w:rPr>
          <w:rFonts w:hint="eastAsia" w:ascii="仿宋" w:hAnsi="仿宋" w:eastAsia="仿宋" w:cs="宋体"/>
          <w:sz w:val="24"/>
          <w:highlight w:val="none"/>
          <w:lang w:val="en-US" w:eastAsia="zh-CN"/>
        </w:rPr>
        <w:t>诸暨市马剑镇建辉村老年活动中心改造布展采购</w:t>
      </w:r>
      <w:r>
        <w:rPr>
          <w:rFonts w:hint="eastAsia" w:ascii="仿宋" w:hAnsi="仿宋" w:eastAsia="仿宋" w:cs="宋体"/>
          <w:sz w:val="24"/>
          <w:highlight w:val="none"/>
          <w:lang w:eastAsia="zh-CN"/>
        </w:rPr>
        <w:t>项目</w:t>
      </w:r>
      <w:r>
        <w:rPr>
          <w:rFonts w:hint="eastAsia" w:ascii="仿宋" w:hAnsi="仿宋" w:eastAsia="仿宋"/>
          <w:color w:val="auto"/>
          <w:sz w:val="24"/>
          <w:szCs w:val="24"/>
          <w:highlight w:val="none"/>
        </w:rPr>
        <w:t>，采购预算</w:t>
      </w:r>
      <w:r>
        <w:rPr>
          <w:rFonts w:hint="eastAsia" w:ascii="仿宋" w:hAnsi="仿宋" w:eastAsia="仿宋"/>
          <w:color w:val="auto"/>
          <w:sz w:val="24"/>
          <w:szCs w:val="24"/>
          <w:highlight w:val="none"/>
          <w:lang w:val="en-US" w:eastAsia="zh-CN"/>
        </w:rPr>
        <w:t>29</w:t>
      </w:r>
      <w:r>
        <w:rPr>
          <w:rFonts w:hint="eastAsia" w:ascii="仿宋" w:hAnsi="仿宋" w:eastAsia="仿宋"/>
          <w:color w:val="auto"/>
          <w:sz w:val="24"/>
          <w:szCs w:val="24"/>
          <w:highlight w:val="none"/>
        </w:rPr>
        <w:t>万元</w:t>
      </w:r>
      <w:r>
        <w:rPr>
          <w:rFonts w:hint="eastAsia" w:ascii="仿宋" w:hAnsi="仿宋" w:eastAsia="仿宋"/>
          <w:color w:val="auto"/>
          <w:sz w:val="24"/>
          <w:szCs w:val="24"/>
          <w:highlight w:val="none"/>
          <w:lang w:val="en-US" w:eastAsia="zh-CN"/>
        </w:rPr>
        <w:t>整</w:t>
      </w:r>
      <w:r>
        <w:rPr>
          <w:rFonts w:hint="eastAsia" w:ascii="仿宋" w:hAnsi="仿宋" w:eastAsia="仿宋"/>
          <w:color w:val="auto"/>
          <w:sz w:val="24"/>
          <w:szCs w:val="24"/>
          <w:highlight w:val="none"/>
        </w:rPr>
        <w:t>，详见采购需求。</w:t>
      </w:r>
    </w:p>
    <w:bookmarkEnd w:id="1"/>
    <w:p w14:paraId="44DF693B">
      <w:pPr>
        <w:spacing w:line="360" w:lineRule="auto"/>
        <w:rPr>
          <w:rFonts w:ascii="仿宋" w:hAnsi="仿宋" w:eastAsia="仿宋" w:cs="宋体"/>
          <w:b/>
          <w:sz w:val="24"/>
          <w:highlight w:val="none"/>
        </w:rPr>
      </w:pPr>
      <w:r>
        <w:rPr>
          <w:rFonts w:hint="eastAsia" w:ascii="仿宋" w:hAnsi="仿宋" w:eastAsia="仿宋" w:cs="宋体"/>
          <w:b/>
          <w:sz w:val="24"/>
          <w:highlight w:val="none"/>
        </w:rPr>
        <w:t>三、投标人（供应商）资格要求</w:t>
      </w:r>
    </w:p>
    <w:p w14:paraId="1869A48B">
      <w:pPr>
        <w:autoSpaceDE/>
        <w:autoSpaceDN/>
        <w:adjustRightInd/>
        <w:spacing w:line="360" w:lineRule="auto"/>
        <w:ind w:firstLine="480" w:firstLineChars="200"/>
        <w:rPr>
          <w:rFonts w:hint="eastAsia" w:ascii="仿宋" w:hAnsi="仿宋" w:eastAsia="仿宋"/>
          <w:color w:val="auto"/>
          <w:sz w:val="24"/>
          <w:szCs w:val="24"/>
          <w:highlight w:val="none"/>
        </w:rPr>
      </w:pPr>
      <w:bookmarkStart w:id="2" w:name="_Hlk44574667"/>
      <w:r>
        <w:rPr>
          <w:rFonts w:hint="eastAsia" w:ascii="仿宋" w:hAnsi="仿宋" w:eastAsia="仿宋"/>
          <w:color w:val="auto"/>
          <w:sz w:val="24"/>
          <w:szCs w:val="24"/>
          <w:highlight w:val="none"/>
        </w:rPr>
        <w:t>1.符合《中华人民共和国政府采购法》第二十二条规定；</w:t>
      </w:r>
    </w:p>
    <w:p w14:paraId="799A7833">
      <w:pPr>
        <w:autoSpaceDE/>
        <w:autoSpaceDN/>
        <w:adjustRightInd/>
        <w:spacing w:line="360" w:lineRule="auto"/>
        <w:ind w:firstLine="480" w:firstLineChars="200"/>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2</w:t>
      </w:r>
      <w:r>
        <w:rPr>
          <w:rFonts w:hint="eastAsia" w:ascii="仿宋" w:hAnsi="仿宋" w:eastAsia="仿宋"/>
          <w:color w:val="auto"/>
          <w:sz w:val="24"/>
          <w:szCs w:val="24"/>
          <w:highlight w:val="none"/>
        </w:rPr>
        <w:t>.未被“信用中国”（www.creditchina.gov.cn）、中国政府采购网（www.ccgp.gov.cn）列入失信被执行人、重大税收违法案件当事人名单、政府采购严重违法失信行为记录名单</w:t>
      </w:r>
      <w:r>
        <w:rPr>
          <w:rFonts w:hint="eastAsia" w:ascii="仿宋" w:hAnsi="仿宋" w:eastAsia="仿宋"/>
          <w:color w:val="auto"/>
          <w:sz w:val="24"/>
          <w:szCs w:val="24"/>
          <w:highlight w:val="none"/>
          <w:lang w:eastAsia="zh-CN"/>
        </w:rPr>
        <w:t>；</w:t>
      </w:r>
    </w:p>
    <w:p w14:paraId="4DEAE9B3">
      <w:pPr>
        <w:adjustRightInd w:val="0"/>
        <w:snapToGrid w:val="0"/>
        <w:spacing w:line="360" w:lineRule="auto"/>
        <w:ind w:firstLine="480" w:firstLineChars="200"/>
        <w:rPr>
          <w:rFonts w:ascii="仿宋" w:hAnsi="仿宋" w:eastAsia="仿宋" w:cs="宋体"/>
          <w:sz w:val="24"/>
          <w:szCs w:val="24"/>
          <w:highlight w:val="none"/>
        </w:rPr>
      </w:pPr>
      <w:r>
        <w:rPr>
          <w:rFonts w:hint="eastAsia" w:ascii="仿宋" w:hAnsi="仿宋" w:eastAsia="仿宋"/>
          <w:color w:val="auto"/>
          <w:sz w:val="24"/>
          <w:szCs w:val="24"/>
          <w:highlight w:val="none"/>
          <w:lang w:val="en-US" w:eastAsia="zh-CN"/>
        </w:rPr>
        <w:t>3</w:t>
      </w:r>
      <w:r>
        <w:rPr>
          <w:rFonts w:hint="eastAsia" w:ascii="仿宋" w:hAnsi="仿宋" w:eastAsia="仿宋"/>
          <w:color w:val="auto"/>
          <w:sz w:val="24"/>
          <w:szCs w:val="24"/>
          <w:highlight w:val="none"/>
        </w:rPr>
        <w:t>. 本项目不接受联合体投标。</w:t>
      </w:r>
    </w:p>
    <w:bookmarkEnd w:id="2"/>
    <w:p w14:paraId="3F6E535A">
      <w:pPr>
        <w:spacing w:line="360" w:lineRule="auto"/>
        <w:rPr>
          <w:rFonts w:ascii="仿宋" w:hAnsi="仿宋" w:eastAsia="仿宋" w:cs="宋体"/>
          <w:b/>
          <w:sz w:val="24"/>
          <w:highlight w:val="none"/>
        </w:rPr>
      </w:pPr>
      <w:r>
        <w:rPr>
          <w:rFonts w:hint="eastAsia" w:ascii="仿宋" w:hAnsi="仿宋" w:eastAsia="仿宋" w:cs="宋体"/>
          <w:b/>
          <w:sz w:val="24"/>
          <w:highlight w:val="none"/>
        </w:rPr>
        <w:t>四、评标办法：综合评分法</w:t>
      </w:r>
    </w:p>
    <w:p w14:paraId="16891C8D">
      <w:pPr>
        <w:autoSpaceDE/>
        <w:autoSpaceDN/>
        <w:adjustRightInd/>
        <w:spacing w:line="320" w:lineRule="atLeast"/>
        <w:ind w:firstLine="480" w:firstLineChars="20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（1）满分为100分。总得分=技术得分+商务得分；</w:t>
      </w:r>
    </w:p>
    <w:p w14:paraId="2132544B">
      <w:pPr>
        <w:autoSpaceDE/>
        <w:autoSpaceDN/>
        <w:adjustRightInd/>
        <w:spacing w:line="320" w:lineRule="atLeast"/>
        <w:ind w:firstLine="480" w:firstLineChars="20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（2）技术得分=技术评分，技术评分=各评委效评分的平均数。</w:t>
      </w:r>
    </w:p>
    <w:p w14:paraId="12430436">
      <w:pPr>
        <w:autoSpaceDE/>
        <w:autoSpaceDN/>
        <w:adjustRightInd/>
        <w:spacing w:line="320" w:lineRule="atLeast"/>
        <w:ind w:firstLine="480" w:firstLineChars="20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（3）商务得分=（评标基准价/投标报价）*价格权值*100，评标基准价=有效投标人的最低投标报价，价格权值=</w:t>
      </w:r>
      <w:r>
        <w:rPr>
          <w:rFonts w:hint="eastAsia" w:ascii="仿宋" w:hAnsi="仿宋" w:eastAsia="仿宋" w:cs="仿宋"/>
          <w:color w:val="auto"/>
          <w:kern w:val="2"/>
          <w:sz w:val="24"/>
          <w:szCs w:val="24"/>
          <w:highlight w:val="none"/>
          <w:lang w:val="en-US" w:eastAsia="zh-CN"/>
        </w:rPr>
        <w:t>3</w:t>
      </w:r>
      <w:r>
        <w:rPr>
          <w:rFonts w:hint="eastAsia" w:ascii="仿宋" w:hAnsi="仿宋" w:eastAsia="仿宋" w:cs="仿宋"/>
          <w:color w:val="auto"/>
          <w:kern w:val="2"/>
          <w:sz w:val="24"/>
          <w:szCs w:val="24"/>
          <w:highlight w:val="none"/>
        </w:rPr>
        <w:t>0%。</w:t>
      </w:r>
    </w:p>
    <w:p w14:paraId="1BA361A0">
      <w:pPr>
        <w:pStyle w:val="63"/>
        <w:widowControl w:val="0"/>
        <w:spacing w:line="320" w:lineRule="atLeas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（4）技术分评分细则（</w:t>
      </w: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rPr>
        <w:t>0分）</w:t>
      </w:r>
    </w:p>
    <w:tbl>
      <w:tblPr>
        <w:tblStyle w:val="19"/>
        <w:tblW w:w="95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7187"/>
        <w:gridCol w:w="985"/>
      </w:tblGrid>
      <w:tr w14:paraId="44645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18" w:type="dxa"/>
            <w:noWrap w:val="0"/>
            <w:vAlign w:val="center"/>
          </w:tcPr>
          <w:p w14:paraId="1A1219FB">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187" w:type="dxa"/>
            <w:noWrap w:val="0"/>
            <w:vAlign w:val="center"/>
          </w:tcPr>
          <w:p w14:paraId="241CAE13">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评分细则</w:t>
            </w:r>
          </w:p>
        </w:tc>
        <w:tc>
          <w:tcPr>
            <w:tcW w:w="985" w:type="dxa"/>
            <w:noWrap w:val="0"/>
            <w:vAlign w:val="center"/>
          </w:tcPr>
          <w:p w14:paraId="2546BEA2">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分值</w:t>
            </w:r>
          </w:p>
        </w:tc>
      </w:tr>
      <w:tr w14:paraId="2473C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jc w:val="center"/>
        </w:trPr>
        <w:tc>
          <w:tcPr>
            <w:tcW w:w="1418" w:type="dxa"/>
            <w:shd w:val="clear" w:color="auto" w:fill="auto"/>
            <w:noWrap w:val="0"/>
            <w:vAlign w:val="center"/>
          </w:tcPr>
          <w:p w14:paraId="43DFBA80">
            <w:pPr>
              <w:keepNext w:val="0"/>
              <w:keepLines w:val="0"/>
              <w:pageBreakBefore w:val="0"/>
              <w:widowControl w:val="0"/>
              <w:kinsoku/>
              <w:wordWrap/>
              <w:overflowPunct/>
              <w:topLinePunct w:val="0"/>
              <w:bidi w:val="0"/>
              <w:snapToGrid w:val="0"/>
              <w:spacing w:line="360" w:lineRule="exact"/>
              <w:ind w:left="0" w:left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1.企业实力</w:t>
            </w:r>
          </w:p>
        </w:tc>
        <w:tc>
          <w:tcPr>
            <w:tcW w:w="7187" w:type="dxa"/>
            <w:shd w:val="clear" w:color="auto" w:fill="auto"/>
            <w:noWrap w:val="0"/>
            <w:vAlign w:val="top"/>
          </w:tcPr>
          <w:p w14:paraId="5D90E7E7">
            <w:pPr>
              <w:keepNext w:val="0"/>
              <w:keepLines w:val="0"/>
              <w:pageBreakBefore w:val="0"/>
              <w:widowControl w:val="0"/>
              <w:kinsoku/>
              <w:wordWrap/>
              <w:overflowPunct/>
              <w:topLinePunct w:val="0"/>
              <w:autoSpaceDE/>
              <w:autoSpaceDN/>
              <w:bidi w:val="0"/>
              <w:adjustRightInd/>
              <w:spacing w:line="360" w:lineRule="exact"/>
              <w:ind w:left="0" w:left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投标人具有有效的质量管理体系认证、环境管理体系</w:t>
            </w:r>
            <w:r>
              <w:rPr>
                <w:rFonts w:hint="eastAsia" w:ascii="仿宋" w:hAnsi="仿宋" w:eastAsia="仿宋" w:cs="仿宋"/>
                <w:color w:val="auto"/>
                <w:sz w:val="24"/>
                <w:szCs w:val="24"/>
                <w:highlight w:val="none"/>
                <w:lang w:val="en-US" w:eastAsia="zh-CN"/>
              </w:rPr>
              <w:t>认证</w:t>
            </w:r>
            <w:r>
              <w:rPr>
                <w:rFonts w:hint="eastAsia" w:ascii="仿宋" w:hAnsi="仿宋" w:eastAsia="仿宋" w:cs="仿宋"/>
                <w:color w:val="auto"/>
                <w:sz w:val="24"/>
                <w:szCs w:val="24"/>
                <w:highlight w:val="none"/>
                <w:lang w:val="zh-CN"/>
              </w:rPr>
              <w:t>、职业健康</w:t>
            </w:r>
            <w:r>
              <w:rPr>
                <w:rFonts w:hint="eastAsia" w:ascii="仿宋" w:hAnsi="仿宋" w:eastAsia="仿宋" w:cs="仿宋"/>
                <w:color w:val="auto"/>
                <w:sz w:val="24"/>
                <w:szCs w:val="24"/>
                <w:highlight w:val="none"/>
                <w:lang w:val="en-US" w:eastAsia="zh-CN"/>
              </w:rPr>
              <w:t>与</w:t>
            </w:r>
            <w:r>
              <w:rPr>
                <w:rFonts w:hint="eastAsia" w:ascii="仿宋" w:hAnsi="仿宋" w:eastAsia="仿宋" w:cs="仿宋"/>
                <w:color w:val="auto"/>
                <w:sz w:val="24"/>
                <w:szCs w:val="24"/>
                <w:highlight w:val="none"/>
                <w:lang w:val="zh-CN"/>
              </w:rPr>
              <w:t>安全管理体系</w:t>
            </w:r>
            <w:r>
              <w:rPr>
                <w:rFonts w:hint="eastAsia" w:ascii="仿宋" w:hAnsi="仿宋" w:eastAsia="仿宋" w:cs="仿宋"/>
                <w:color w:val="auto"/>
                <w:sz w:val="24"/>
                <w:szCs w:val="24"/>
                <w:highlight w:val="none"/>
                <w:lang w:val="en-US" w:eastAsia="zh-CN"/>
              </w:rPr>
              <w:t>认证</w:t>
            </w:r>
            <w:r>
              <w:rPr>
                <w:rFonts w:hint="eastAsia" w:ascii="仿宋" w:hAnsi="仿宋" w:eastAsia="仿宋" w:cs="仿宋"/>
                <w:color w:val="auto"/>
                <w:sz w:val="24"/>
                <w:szCs w:val="24"/>
                <w:highlight w:val="none"/>
                <w:lang w:val="zh-CN"/>
              </w:rPr>
              <w:t>证书、</w:t>
            </w:r>
            <w:r>
              <w:rPr>
                <w:rFonts w:hint="eastAsia" w:ascii="仿宋" w:hAnsi="仿宋" w:eastAsia="仿宋" w:cs="仿宋"/>
                <w:color w:val="auto"/>
                <w:sz w:val="24"/>
                <w:szCs w:val="24"/>
                <w:highlight w:val="none"/>
                <w:lang w:val="en-US" w:eastAsia="zh-CN"/>
              </w:rPr>
              <w:t>信息安全管理体系认证</w:t>
            </w:r>
            <w:r>
              <w:rPr>
                <w:rFonts w:hint="eastAsia" w:ascii="仿宋" w:hAnsi="仿宋" w:eastAsia="仿宋" w:cs="仿宋"/>
                <w:color w:val="auto"/>
                <w:sz w:val="24"/>
                <w:szCs w:val="24"/>
                <w:highlight w:val="none"/>
                <w:lang w:val="zh-CN"/>
              </w:rPr>
              <w:t>证书的，每一个证书得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rPr>
              <w:t>分。</w:t>
            </w:r>
          </w:p>
          <w:p w14:paraId="7E5E5F2F">
            <w:pPr>
              <w:pStyle w:val="55"/>
              <w:keepNext w:val="0"/>
              <w:keepLines w:val="0"/>
              <w:pageBreakBefore w:val="0"/>
              <w:widowControl w:val="0"/>
              <w:kinsoku/>
              <w:wordWrap/>
              <w:overflowPunct/>
              <w:topLinePunct w:val="0"/>
              <w:bidi w:val="0"/>
              <w:spacing w:line="360" w:lineRule="exact"/>
              <w:ind w:left="0" w:leftChars="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rPr>
              <w:t>以上证书须在有效期内，投标时提供证书复印件</w:t>
            </w:r>
            <w:r>
              <w:rPr>
                <w:rFonts w:hint="eastAsia" w:ascii="仿宋" w:hAnsi="仿宋" w:eastAsia="仿宋" w:cs="仿宋"/>
                <w:color w:val="auto"/>
                <w:sz w:val="24"/>
                <w:szCs w:val="24"/>
                <w:highlight w:val="none"/>
                <w:lang w:val="en-US" w:eastAsia="zh-CN"/>
              </w:rPr>
              <w:t>或扫描件并加盖投标人公章</w:t>
            </w:r>
            <w:r>
              <w:rPr>
                <w:rFonts w:hint="eastAsia" w:ascii="仿宋" w:hAnsi="仿宋" w:eastAsia="仿宋" w:cs="仿宋"/>
                <w:color w:val="auto"/>
                <w:sz w:val="24"/>
                <w:szCs w:val="24"/>
                <w:highlight w:val="none"/>
              </w:rPr>
              <w:t>，不提供不得分</w:t>
            </w:r>
            <w:r>
              <w:rPr>
                <w:rFonts w:hint="eastAsia" w:ascii="仿宋" w:hAnsi="仿宋" w:eastAsia="仿宋" w:cs="仿宋"/>
                <w:color w:val="auto"/>
                <w:sz w:val="24"/>
                <w:szCs w:val="24"/>
                <w:highlight w:val="none"/>
                <w:lang w:eastAsia="zh-CN"/>
              </w:rPr>
              <w:t>。</w:t>
            </w:r>
          </w:p>
        </w:tc>
        <w:tc>
          <w:tcPr>
            <w:tcW w:w="985" w:type="dxa"/>
            <w:noWrap w:val="0"/>
            <w:vAlign w:val="center"/>
          </w:tcPr>
          <w:p w14:paraId="7A8A8584">
            <w:pPr>
              <w:keepNext w:val="0"/>
              <w:keepLines w:val="0"/>
              <w:pageBreakBefore w:val="0"/>
              <w:widowControl w:val="0"/>
              <w:kinsoku/>
              <w:wordWrap/>
              <w:overflowPunct/>
              <w:topLinePunct w:val="0"/>
              <w:bidi w:val="0"/>
              <w:adjustRightInd w:val="0"/>
              <w:snapToGrid/>
              <w:spacing w:line="24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0-3分</w:t>
            </w:r>
          </w:p>
        </w:tc>
      </w:tr>
      <w:tr w14:paraId="0A6F6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jc w:val="center"/>
        </w:trPr>
        <w:tc>
          <w:tcPr>
            <w:tcW w:w="1418" w:type="dxa"/>
            <w:noWrap w:val="0"/>
            <w:vAlign w:val="center"/>
          </w:tcPr>
          <w:p w14:paraId="78055236">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2.项目经验</w:t>
            </w:r>
          </w:p>
        </w:tc>
        <w:tc>
          <w:tcPr>
            <w:tcW w:w="7187" w:type="dxa"/>
            <w:noWrap w:val="0"/>
            <w:vAlign w:val="center"/>
          </w:tcPr>
          <w:p w14:paraId="172E784F">
            <w:pPr>
              <w:keepNext w:val="0"/>
              <w:keepLines w:val="0"/>
              <w:pageBreakBefore w:val="0"/>
              <w:widowControl w:val="0"/>
              <w:kinsoku/>
              <w:wordWrap/>
              <w:overflowPunct/>
              <w:topLinePunct w:val="0"/>
              <w:bidi w:val="0"/>
              <w:adjustRightInd w:val="0"/>
              <w:snapToGrid/>
              <w:spacing w:line="24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rPr>
              <w:t>自20</w:t>
            </w:r>
            <w:r>
              <w:rPr>
                <w:rFonts w:hint="eastAsia" w:ascii="仿宋" w:hAnsi="仿宋" w:eastAsia="仿宋" w:cs="仿宋"/>
                <w:color w:val="auto"/>
                <w:sz w:val="24"/>
                <w:szCs w:val="24"/>
                <w:highlight w:val="none"/>
                <w:lang w:val="en-US" w:eastAsia="zh-CN"/>
              </w:rPr>
              <w:t>21</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1月1日</w:t>
            </w:r>
            <w:r>
              <w:rPr>
                <w:rFonts w:hint="eastAsia" w:ascii="仿宋" w:hAnsi="仿宋" w:eastAsia="仿宋" w:cs="仿宋"/>
                <w:color w:val="auto"/>
                <w:sz w:val="24"/>
                <w:szCs w:val="24"/>
                <w:highlight w:val="none"/>
              </w:rPr>
              <w:t>以来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以合同签订时间为准）</w:t>
            </w:r>
            <w:r>
              <w:rPr>
                <w:rFonts w:hint="eastAsia" w:ascii="仿宋" w:hAnsi="仿宋" w:eastAsia="仿宋" w:cs="仿宋"/>
                <w:color w:val="auto"/>
                <w:sz w:val="24"/>
                <w:szCs w:val="24"/>
                <w:highlight w:val="none"/>
              </w:rPr>
              <w:t>策划过</w:t>
            </w:r>
            <w:r>
              <w:rPr>
                <w:rFonts w:hint="eastAsia" w:ascii="仿宋" w:hAnsi="仿宋" w:eastAsia="仿宋" w:cs="仿宋"/>
                <w:color w:val="auto"/>
                <w:sz w:val="24"/>
                <w:szCs w:val="24"/>
                <w:highlight w:val="none"/>
                <w:lang w:val="en-US" w:eastAsia="zh-CN"/>
              </w:rPr>
              <w:t>同类项目</w:t>
            </w:r>
            <w:r>
              <w:rPr>
                <w:rFonts w:hint="eastAsia" w:ascii="仿宋" w:hAnsi="仿宋" w:eastAsia="仿宋" w:cs="仿宋"/>
                <w:color w:val="auto"/>
                <w:sz w:val="24"/>
                <w:szCs w:val="24"/>
                <w:highlight w:val="none"/>
              </w:rPr>
              <w:t>案例的每个得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本项</w:t>
            </w:r>
            <w:r>
              <w:rPr>
                <w:rFonts w:hint="eastAsia" w:ascii="仿宋" w:hAnsi="仿宋" w:eastAsia="仿宋" w:cs="仿宋"/>
                <w:color w:val="auto"/>
                <w:sz w:val="24"/>
                <w:szCs w:val="24"/>
                <w:highlight w:val="none"/>
              </w:rPr>
              <w:t>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6C4392CA">
            <w:pPr>
              <w:keepNext w:val="0"/>
              <w:keepLines w:val="0"/>
              <w:pageBreakBefore w:val="0"/>
              <w:widowControl w:val="0"/>
              <w:kinsoku/>
              <w:wordWrap/>
              <w:overflowPunct/>
              <w:topLinePunct w:val="0"/>
              <w:bidi w:val="0"/>
              <w:adjustRightInd w:val="0"/>
              <w:snapToGrid/>
              <w:spacing w:line="240" w:lineRule="auto"/>
              <w:jc w:val="both"/>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提供</w:t>
            </w:r>
            <w:r>
              <w:rPr>
                <w:rFonts w:hint="eastAsia" w:ascii="仿宋" w:hAnsi="仿宋" w:eastAsia="仿宋" w:cs="仿宋"/>
                <w:b/>
                <w:bCs/>
                <w:color w:val="auto"/>
                <w:sz w:val="24"/>
                <w:szCs w:val="24"/>
                <w:highlight w:val="none"/>
                <w:lang w:val="en-US" w:eastAsia="zh-CN"/>
              </w:rPr>
              <w:t>相关</w:t>
            </w:r>
            <w:r>
              <w:rPr>
                <w:rFonts w:hint="eastAsia" w:ascii="仿宋" w:hAnsi="仿宋" w:eastAsia="仿宋" w:cs="仿宋"/>
                <w:b/>
                <w:bCs/>
                <w:color w:val="auto"/>
                <w:sz w:val="24"/>
                <w:szCs w:val="24"/>
                <w:highlight w:val="none"/>
              </w:rPr>
              <w:t>合同复印件</w:t>
            </w:r>
            <w:r>
              <w:rPr>
                <w:rFonts w:hint="eastAsia" w:ascii="仿宋" w:hAnsi="仿宋" w:eastAsia="仿宋" w:cs="仿宋"/>
                <w:b/>
                <w:bCs/>
                <w:color w:val="auto"/>
                <w:sz w:val="24"/>
                <w:szCs w:val="24"/>
                <w:highlight w:val="none"/>
                <w:lang w:val="en-US" w:eastAsia="zh-CN"/>
              </w:rPr>
              <w:t>并加盖投标人公章</w:t>
            </w:r>
            <w:r>
              <w:rPr>
                <w:rFonts w:hint="eastAsia" w:ascii="仿宋" w:hAnsi="仿宋" w:eastAsia="仿宋" w:cs="仿宋"/>
                <w:b/>
                <w:bCs/>
                <w:color w:val="auto"/>
                <w:sz w:val="24"/>
                <w:szCs w:val="24"/>
                <w:highlight w:val="none"/>
              </w:rPr>
              <w:t>，不提供不得分</w:t>
            </w:r>
            <w:r>
              <w:rPr>
                <w:rFonts w:hint="eastAsia" w:ascii="仿宋" w:hAnsi="仿宋" w:eastAsia="仿宋" w:cs="仿宋"/>
                <w:b/>
                <w:bCs/>
                <w:color w:val="auto"/>
                <w:sz w:val="24"/>
                <w:szCs w:val="24"/>
                <w:highlight w:val="none"/>
                <w:lang w:eastAsia="zh-CN"/>
              </w:rPr>
              <w:t>。</w:t>
            </w:r>
          </w:p>
        </w:tc>
        <w:tc>
          <w:tcPr>
            <w:tcW w:w="985" w:type="dxa"/>
            <w:noWrap w:val="0"/>
            <w:vAlign w:val="center"/>
          </w:tcPr>
          <w:p w14:paraId="7FF1878F">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tc>
      </w:tr>
      <w:tr w14:paraId="0F365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18" w:type="dxa"/>
            <w:noWrap w:val="0"/>
            <w:vAlign w:val="center"/>
          </w:tcPr>
          <w:p w14:paraId="1804067E">
            <w:pPr>
              <w:widowControl/>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现场踏勘</w:t>
            </w:r>
          </w:p>
        </w:tc>
        <w:tc>
          <w:tcPr>
            <w:tcW w:w="7187" w:type="dxa"/>
            <w:noWrap w:val="0"/>
            <w:vAlign w:val="center"/>
          </w:tcPr>
          <w:p w14:paraId="109DEE65">
            <w:pPr>
              <w:widowControl/>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rPr>
              <w:t>根据投标人对布置现场的熟悉情况、收集到的有关设计布展要求的资料编制的勘察报告内容</w:t>
            </w:r>
            <w:r>
              <w:rPr>
                <w:rFonts w:hint="eastAsia" w:ascii="仿宋" w:hAnsi="仿宋" w:eastAsia="仿宋" w:cs="仿宋"/>
                <w:color w:val="auto"/>
                <w:sz w:val="24"/>
                <w:szCs w:val="24"/>
                <w:highlight w:val="none"/>
                <w:lang w:val="zh-CN"/>
              </w:rPr>
              <w:t>完整性、可行性、合理性</w:t>
            </w:r>
            <w:r>
              <w:rPr>
                <w:rFonts w:hint="eastAsia" w:ascii="仿宋" w:hAnsi="仿宋" w:eastAsia="仿宋" w:cs="仿宋"/>
                <w:color w:val="auto"/>
                <w:sz w:val="24"/>
                <w:szCs w:val="24"/>
                <w:highlight w:val="none"/>
              </w:rPr>
              <w:t>进行打分。（勘察报告提供现场勘察图片、勘探说明、深入挖掘资料等</w:t>
            </w:r>
            <w:r>
              <w:rPr>
                <w:rFonts w:hint="eastAsia" w:ascii="仿宋" w:hAnsi="仿宋" w:eastAsia="仿宋" w:cs="仿宋"/>
                <w:color w:val="auto"/>
                <w:sz w:val="24"/>
                <w:szCs w:val="24"/>
                <w:highlight w:val="none"/>
                <w:lang w:val="en-US" w:eastAsia="zh-CN"/>
              </w:rPr>
              <w:t>资料</w:t>
            </w:r>
            <w:r>
              <w:rPr>
                <w:rFonts w:hint="eastAsia" w:ascii="仿宋" w:hAnsi="仿宋" w:eastAsia="仿宋" w:cs="仿宋"/>
                <w:color w:val="auto"/>
                <w:sz w:val="24"/>
                <w:szCs w:val="24"/>
                <w:highlight w:val="none"/>
              </w:rPr>
              <w:t>，不提供不得分）</w:t>
            </w:r>
            <w:r>
              <w:rPr>
                <w:rFonts w:hint="eastAsia" w:ascii="仿宋" w:hAnsi="仿宋" w:eastAsia="仿宋" w:cs="仿宋"/>
                <w:color w:val="auto"/>
                <w:sz w:val="24"/>
                <w:szCs w:val="24"/>
                <w:highlight w:val="none"/>
                <w:lang w:eastAsia="zh-CN"/>
              </w:rPr>
              <w:t>。</w:t>
            </w:r>
          </w:p>
        </w:tc>
        <w:tc>
          <w:tcPr>
            <w:tcW w:w="985" w:type="dxa"/>
            <w:noWrap w:val="0"/>
            <w:vAlign w:val="center"/>
          </w:tcPr>
          <w:p w14:paraId="3560EFEC">
            <w:pPr>
              <w:keepNext w:val="0"/>
              <w:keepLines w:val="0"/>
              <w:pageBreakBefore w:val="0"/>
              <w:widowControl w:val="0"/>
              <w:tabs>
                <w:tab w:val="left" w:pos="420"/>
              </w:tabs>
              <w:kinsoku/>
              <w:wordWrap/>
              <w:overflowPunct/>
              <w:topLinePunct w:val="0"/>
              <w:autoSpaceDE/>
              <w:autoSpaceDN/>
              <w:bidi w:val="0"/>
              <w:adjustRightInd w:val="0"/>
              <w:snapToGrid/>
              <w:spacing w:line="240" w:lineRule="auto"/>
              <w:jc w:val="center"/>
              <w:textAlignment w:val="auto"/>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highlight w:val="none"/>
                <w:lang w:val="en-US" w:eastAsia="zh-CN"/>
              </w:rPr>
              <w:t>0-12分</w:t>
            </w:r>
          </w:p>
        </w:tc>
      </w:tr>
      <w:tr w14:paraId="57B64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18" w:type="dxa"/>
            <w:vMerge w:val="restart"/>
            <w:noWrap w:val="0"/>
            <w:vAlign w:val="center"/>
          </w:tcPr>
          <w:p w14:paraId="2B3798D9">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4.设计方案</w:t>
            </w:r>
          </w:p>
        </w:tc>
        <w:tc>
          <w:tcPr>
            <w:tcW w:w="7187" w:type="dxa"/>
            <w:noWrap w:val="0"/>
            <w:vAlign w:val="top"/>
          </w:tcPr>
          <w:p w14:paraId="34C8A64A">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暖心</w:t>
            </w:r>
            <w:r>
              <w:rPr>
                <w:rFonts w:hint="eastAsia" w:ascii="仿宋" w:hAnsi="仿宋" w:eastAsia="仿宋" w:cs="宋体"/>
                <w:sz w:val="24"/>
                <w:highlight w:val="none"/>
                <w:lang w:val="en-US" w:eastAsia="zh-CN"/>
              </w:rPr>
              <w:t>驿站</w:t>
            </w:r>
            <w:r>
              <w:rPr>
                <w:rFonts w:hint="eastAsia" w:ascii="仿宋" w:hAnsi="仿宋" w:eastAsia="仿宋" w:cs="仿宋"/>
                <w:color w:val="auto"/>
                <w:sz w:val="24"/>
                <w:szCs w:val="24"/>
                <w:highlight w:val="none"/>
              </w:rPr>
              <w:t>布展效果图</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根据投标人的设计效果图综合评定，效果图应符</w:t>
            </w:r>
            <w:r>
              <w:rPr>
                <w:rFonts w:hint="eastAsia" w:ascii="仿宋" w:hAnsi="仿宋" w:eastAsia="仿宋" w:cs="仿宋"/>
                <w:color w:val="auto"/>
                <w:sz w:val="24"/>
                <w:szCs w:val="24"/>
                <w:highlight w:val="none"/>
                <w:lang w:val="en-US" w:eastAsia="zh-CN"/>
              </w:rPr>
              <w:t>合</w:t>
            </w:r>
            <w:r>
              <w:rPr>
                <w:rFonts w:hint="eastAsia" w:ascii="仿宋" w:hAnsi="仿宋" w:eastAsia="仿宋" w:cs="仿宋"/>
                <w:color w:val="auto"/>
                <w:sz w:val="24"/>
                <w:szCs w:val="24"/>
                <w:highlight w:val="none"/>
              </w:rPr>
              <w:t>对每个区域整体效果图，符合主题规划，并对照整体平面图详细标明方位和角度。</w:t>
            </w:r>
          </w:p>
          <w:p w14:paraId="1555BC3E">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1.效果图完整全面、层次分明、布局合理、色彩鲜明、可行性强的得8—12分；</w:t>
            </w:r>
          </w:p>
          <w:p w14:paraId="04614366">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2.效果图相对完整全面、布局相对合理、具有一定可行性的得4—8分；</w:t>
            </w:r>
          </w:p>
          <w:p w14:paraId="15C45425">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3.效果图较为简单、层次模糊、色彩单调的得0-4分；</w:t>
            </w:r>
          </w:p>
          <w:p w14:paraId="39DDB750">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不符合项目布展理念、主题的该项不得分。</w:t>
            </w:r>
          </w:p>
        </w:tc>
        <w:tc>
          <w:tcPr>
            <w:tcW w:w="985" w:type="dxa"/>
            <w:noWrap w:val="0"/>
            <w:vAlign w:val="center"/>
          </w:tcPr>
          <w:p w14:paraId="61591AA3">
            <w:pPr>
              <w:widowControl/>
              <w:wordWrap w:val="0"/>
              <w:autoSpaceDE/>
              <w:autoSpaceDN/>
              <w:adjustRightInd/>
              <w:spacing w:line="240" w:lineRule="auto"/>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分</w:t>
            </w:r>
          </w:p>
        </w:tc>
      </w:tr>
      <w:tr w14:paraId="48E52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18" w:type="dxa"/>
            <w:vMerge w:val="continue"/>
            <w:noWrap w:val="0"/>
            <w:vAlign w:val="center"/>
          </w:tcPr>
          <w:p w14:paraId="4B26954F">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color w:val="auto"/>
                <w:sz w:val="24"/>
                <w:szCs w:val="24"/>
                <w:highlight w:val="none"/>
              </w:rPr>
            </w:pPr>
          </w:p>
        </w:tc>
        <w:tc>
          <w:tcPr>
            <w:tcW w:w="7187" w:type="dxa"/>
            <w:noWrap w:val="0"/>
            <w:vAlign w:val="top"/>
          </w:tcPr>
          <w:p w14:paraId="505AC8BF">
            <w:pPr>
              <w:keepNext w:val="0"/>
              <w:keepLines w:val="0"/>
              <w:pageBreakBefore w:val="0"/>
              <w:widowControl/>
              <w:kinsoku/>
              <w:wordWrap w:val="0"/>
              <w:overflowPunct/>
              <w:topLinePunct w:val="0"/>
              <w:autoSpaceDE/>
              <w:autoSpaceDN/>
              <w:bidi w:val="0"/>
              <w:adjustRightInd/>
              <w:snapToGrid/>
              <w:spacing w:line="24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标识标牌平面</w:t>
            </w:r>
            <w:r>
              <w:rPr>
                <w:rFonts w:hint="eastAsia" w:ascii="仿宋" w:hAnsi="仿宋" w:eastAsia="仿宋" w:cs="仿宋"/>
                <w:color w:val="auto"/>
                <w:sz w:val="24"/>
                <w:szCs w:val="24"/>
                <w:highlight w:val="none"/>
              </w:rPr>
              <w:t>图：根据投标人的设计效果图综合评定，对应每个区域的主题规划，并对照详细标明方位和角度，并附设计说明。</w:t>
            </w:r>
          </w:p>
          <w:p w14:paraId="0A3ABCB8">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1.平面图完整全面、层次分明、布局合理、色彩鲜明、可行性强的得8—12分；</w:t>
            </w:r>
          </w:p>
          <w:p w14:paraId="7CA2637C">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2.项目相对完整全面、布局相对合理、具有一定可行性的得4—8分；</w:t>
            </w:r>
          </w:p>
          <w:p w14:paraId="38A9C95A">
            <w:pPr>
              <w:keepNext w:val="0"/>
              <w:keepLines w:val="0"/>
              <w:pageBreakBefore w:val="0"/>
              <w:widowControl/>
              <w:kinsoku/>
              <w:wordWrap w:val="0"/>
              <w:overflowPunct/>
              <w:topLinePunct w:val="0"/>
              <w:autoSpaceDE/>
              <w:autoSpaceDN/>
              <w:bidi w:val="0"/>
              <w:adjustRightInd w:val="0"/>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3.项目较为简单、层次模糊、色彩单调的得0-4分；</w:t>
            </w:r>
          </w:p>
          <w:p w14:paraId="43558F48">
            <w:pPr>
              <w:pStyle w:val="7"/>
              <w:keepNext w:val="0"/>
              <w:keepLines w:val="0"/>
              <w:pageBreakBefore w:val="0"/>
              <w:kinsoku/>
              <w:overflowPunct/>
              <w:topLinePunct w:val="0"/>
              <w:bidi w:val="0"/>
              <w:snapToGrid/>
              <w:spacing w:after="0" w:line="24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不符合项目理念、主题的该项不得分。</w:t>
            </w:r>
          </w:p>
        </w:tc>
        <w:tc>
          <w:tcPr>
            <w:tcW w:w="985" w:type="dxa"/>
            <w:noWrap w:val="0"/>
            <w:vAlign w:val="center"/>
          </w:tcPr>
          <w:p w14:paraId="37C97B7D">
            <w:pPr>
              <w:widowControl/>
              <w:wordWrap w:val="0"/>
              <w:autoSpaceDE/>
              <w:autoSpaceDN/>
              <w:adjustRightInd/>
              <w:spacing w:line="240" w:lineRule="auto"/>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分</w:t>
            </w:r>
          </w:p>
        </w:tc>
      </w:tr>
      <w:tr w14:paraId="77B3D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418" w:type="dxa"/>
            <w:noWrap w:val="0"/>
            <w:vAlign w:val="center"/>
          </w:tcPr>
          <w:p w14:paraId="3F9C7293">
            <w:pPr>
              <w:widowControl/>
              <w:autoSpaceDE/>
              <w:autoSpaceDN/>
              <w:adjustRightInd/>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rPr>
              <w:t>5.</w:t>
            </w:r>
            <w:r>
              <w:rPr>
                <w:rFonts w:hint="eastAsia" w:ascii="仿宋" w:hAnsi="仿宋" w:eastAsia="仿宋" w:cs="仿宋"/>
                <w:color w:val="auto"/>
                <w:kern w:val="2"/>
                <w:sz w:val="24"/>
                <w:szCs w:val="24"/>
                <w:highlight w:val="none"/>
              </w:rPr>
              <w:t>项目时间保证</w:t>
            </w:r>
          </w:p>
        </w:tc>
        <w:tc>
          <w:tcPr>
            <w:tcW w:w="7187" w:type="dxa"/>
            <w:noWrap w:val="0"/>
            <w:vAlign w:val="center"/>
          </w:tcPr>
          <w:p w14:paraId="77F46CFA">
            <w:pPr>
              <w:keepNext w:val="0"/>
              <w:keepLines w:val="0"/>
              <w:pageBreakBefore w:val="0"/>
              <w:widowControl/>
              <w:kinsoku/>
              <w:overflowPunct/>
              <w:topLinePunct w:val="0"/>
              <w:autoSpaceDE/>
              <w:autoSpaceDN/>
              <w:bidi w:val="0"/>
              <w:adjustRightInd/>
              <w:snapToGrid/>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rPr>
              <w:t>根据投标人对完工时间的确保、配合工程施工、满足业主方供货要求等的措施及承诺内容</w:t>
            </w:r>
            <w:r>
              <w:rPr>
                <w:rFonts w:hint="eastAsia" w:ascii="仿宋" w:hAnsi="仿宋" w:eastAsia="仿宋" w:cs="仿宋"/>
                <w:color w:val="auto"/>
                <w:sz w:val="24"/>
                <w:szCs w:val="24"/>
                <w:highlight w:val="none"/>
              </w:rPr>
              <w:t>进行</w:t>
            </w:r>
            <w:r>
              <w:rPr>
                <w:rFonts w:hint="eastAsia" w:ascii="仿宋" w:hAnsi="仿宋" w:eastAsia="仿宋" w:cs="仿宋"/>
                <w:color w:val="auto"/>
                <w:sz w:val="24"/>
                <w:szCs w:val="24"/>
                <w:highlight w:val="none"/>
                <w:lang w:val="en-US" w:eastAsia="zh-CN"/>
              </w:rPr>
              <w:t>综合比较</w:t>
            </w:r>
            <w:r>
              <w:rPr>
                <w:rFonts w:hint="eastAsia" w:ascii="仿宋" w:hAnsi="仿宋" w:eastAsia="仿宋" w:cs="仿宋"/>
                <w:color w:val="auto"/>
                <w:sz w:val="24"/>
                <w:szCs w:val="24"/>
                <w:highlight w:val="none"/>
              </w:rPr>
              <w:t>打分。</w:t>
            </w:r>
          </w:p>
        </w:tc>
        <w:tc>
          <w:tcPr>
            <w:tcW w:w="985" w:type="dxa"/>
            <w:noWrap w:val="0"/>
            <w:vAlign w:val="center"/>
          </w:tcPr>
          <w:p w14:paraId="37798684">
            <w:pPr>
              <w:widowControl/>
              <w:autoSpaceDE/>
              <w:autoSpaceDN/>
              <w:adjustRightInd/>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分</w:t>
            </w:r>
          </w:p>
        </w:tc>
      </w:tr>
      <w:tr w14:paraId="0B789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18" w:type="dxa"/>
            <w:noWrap w:val="0"/>
            <w:vAlign w:val="center"/>
          </w:tcPr>
          <w:p w14:paraId="2EEF3D0A">
            <w:pPr>
              <w:widowControl/>
              <w:autoSpaceDE/>
              <w:autoSpaceDN/>
              <w:adjustRightInd/>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rPr>
              <w:t>6.实施方案</w:t>
            </w:r>
          </w:p>
        </w:tc>
        <w:tc>
          <w:tcPr>
            <w:tcW w:w="7187" w:type="dxa"/>
            <w:noWrap w:val="0"/>
            <w:vAlign w:val="center"/>
          </w:tcPr>
          <w:p w14:paraId="195B22D6">
            <w:pPr>
              <w:keepNext w:val="0"/>
              <w:keepLines w:val="0"/>
              <w:pageBreakBefore w:val="0"/>
              <w:widowControl/>
              <w:kinsoku/>
              <w:overflowPunct/>
              <w:topLinePunct w:val="0"/>
              <w:autoSpaceDE/>
              <w:autoSpaceDN/>
              <w:bidi w:val="0"/>
              <w:adjustRightInd/>
              <w:snapToGrid/>
              <w:spacing w:line="240" w:lineRule="auto"/>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rPr>
              <w:t>根据投标人提供的</w:t>
            </w:r>
            <w:r>
              <w:rPr>
                <w:rFonts w:hint="eastAsia" w:ascii="仿宋" w:hAnsi="仿宋" w:eastAsia="仿宋" w:cs="仿宋"/>
                <w:color w:val="auto"/>
                <w:kern w:val="2"/>
                <w:sz w:val="24"/>
                <w:szCs w:val="24"/>
                <w:highlight w:val="none"/>
                <w:lang w:eastAsia="zh-CN"/>
              </w:rPr>
              <w:t>安全</w:t>
            </w:r>
            <w:r>
              <w:rPr>
                <w:rFonts w:hint="eastAsia" w:ascii="仿宋" w:hAnsi="仿宋" w:eastAsia="仿宋" w:cs="仿宋"/>
                <w:color w:val="auto"/>
                <w:kern w:val="2"/>
                <w:sz w:val="24"/>
                <w:szCs w:val="24"/>
                <w:highlight w:val="none"/>
              </w:rPr>
              <w:t>文明</w:t>
            </w:r>
            <w:r>
              <w:rPr>
                <w:rFonts w:hint="eastAsia" w:ascii="仿宋" w:hAnsi="仿宋" w:eastAsia="仿宋" w:cs="仿宋"/>
                <w:color w:val="auto"/>
                <w:kern w:val="2"/>
                <w:sz w:val="24"/>
                <w:szCs w:val="24"/>
                <w:highlight w:val="none"/>
                <w:lang w:val="en-US" w:eastAsia="zh-CN"/>
              </w:rPr>
              <w:t>实施</w:t>
            </w:r>
            <w:r>
              <w:rPr>
                <w:rFonts w:hint="eastAsia" w:ascii="仿宋" w:hAnsi="仿宋" w:eastAsia="仿宋" w:cs="仿宋"/>
                <w:color w:val="auto"/>
                <w:kern w:val="2"/>
                <w:sz w:val="24"/>
                <w:szCs w:val="24"/>
                <w:highlight w:val="none"/>
              </w:rPr>
              <w:t>方案，</w:t>
            </w:r>
            <w:r>
              <w:rPr>
                <w:rFonts w:hint="eastAsia" w:ascii="仿宋" w:hAnsi="仿宋" w:eastAsia="仿宋" w:cs="仿宋"/>
                <w:color w:val="auto"/>
                <w:kern w:val="2"/>
                <w:sz w:val="24"/>
                <w:szCs w:val="24"/>
                <w:highlight w:val="none"/>
                <w:lang w:eastAsia="zh-CN"/>
              </w:rPr>
              <w:t>包括</w:t>
            </w:r>
            <w:r>
              <w:rPr>
                <w:rFonts w:hint="eastAsia" w:ascii="仿宋" w:hAnsi="仿宋" w:eastAsia="仿宋" w:cs="仿宋"/>
                <w:color w:val="auto"/>
                <w:kern w:val="2"/>
                <w:sz w:val="24"/>
                <w:szCs w:val="24"/>
                <w:highlight w:val="none"/>
              </w:rPr>
              <w:t>安全目标、安全教育、管理体系及措施、各级安全生产责任制等内容进行</w:t>
            </w:r>
            <w:r>
              <w:rPr>
                <w:rFonts w:hint="eastAsia" w:ascii="仿宋" w:hAnsi="仿宋" w:eastAsia="仿宋" w:cs="仿宋"/>
                <w:color w:val="auto"/>
                <w:sz w:val="24"/>
                <w:szCs w:val="24"/>
                <w:highlight w:val="none"/>
                <w:lang w:val="en-US" w:eastAsia="zh-CN"/>
              </w:rPr>
              <w:t>综合比较</w:t>
            </w:r>
            <w:r>
              <w:rPr>
                <w:rFonts w:hint="eastAsia" w:ascii="仿宋" w:hAnsi="仿宋" w:eastAsia="仿宋" w:cs="仿宋"/>
                <w:color w:val="auto"/>
                <w:kern w:val="2"/>
                <w:sz w:val="24"/>
                <w:szCs w:val="24"/>
                <w:highlight w:val="none"/>
              </w:rPr>
              <w:t>打分</w:t>
            </w:r>
            <w:r>
              <w:rPr>
                <w:rFonts w:hint="eastAsia" w:ascii="仿宋" w:hAnsi="仿宋" w:eastAsia="仿宋" w:cs="仿宋"/>
                <w:color w:val="auto"/>
                <w:kern w:val="2"/>
                <w:sz w:val="24"/>
                <w:szCs w:val="24"/>
                <w:highlight w:val="none"/>
                <w:lang w:eastAsia="zh-CN"/>
              </w:rPr>
              <w:t>。</w:t>
            </w:r>
          </w:p>
        </w:tc>
        <w:tc>
          <w:tcPr>
            <w:tcW w:w="985" w:type="dxa"/>
            <w:noWrap w:val="0"/>
            <w:vAlign w:val="center"/>
          </w:tcPr>
          <w:p w14:paraId="676F21BB">
            <w:pPr>
              <w:widowControl/>
              <w:autoSpaceDE/>
              <w:autoSpaceDN/>
              <w:adjustRightInd/>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rPr>
              <w:t>0-</w:t>
            </w:r>
            <w:r>
              <w:rPr>
                <w:rFonts w:hint="eastAsia" w:ascii="仿宋" w:hAnsi="仿宋" w:eastAsia="仿宋" w:cs="仿宋"/>
                <w:color w:val="auto"/>
                <w:kern w:val="2"/>
                <w:sz w:val="24"/>
                <w:szCs w:val="24"/>
                <w:highlight w:val="none"/>
                <w:lang w:val="en-US" w:eastAsia="zh-CN"/>
              </w:rPr>
              <w:t>12</w:t>
            </w:r>
            <w:r>
              <w:rPr>
                <w:rFonts w:hint="eastAsia" w:ascii="仿宋" w:hAnsi="仿宋" w:eastAsia="仿宋" w:cs="仿宋"/>
                <w:color w:val="auto"/>
                <w:kern w:val="2"/>
                <w:sz w:val="24"/>
                <w:szCs w:val="24"/>
                <w:highlight w:val="none"/>
              </w:rPr>
              <w:t>分</w:t>
            </w:r>
          </w:p>
        </w:tc>
      </w:tr>
      <w:tr w14:paraId="7FA79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0" w:type="auto"/>
            <w:noWrap w:val="0"/>
            <w:vAlign w:val="center"/>
          </w:tcPr>
          <w:p w14:paraId="2001CEE2">
            <w:pPr>
              <w:adjustRightInd/>
              <w:spacing w:line="24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7.</w:t>
            </w:r>
            <w:r>
              <w:rPr>
                <w:rFonts w:hint="eastAsia" w:ascii="仿宋" w:hAnsi="仿宋" w:eastAsia="仿宋" w:cs="仿宋"/>
                <w:bCs/>
                <w:color w:val="auto"/>
                <w:sz w:val="24"/>
                <w:szCs w:val="24"/>
                <w:highlight w:val="none"/>
              </w:rPr>
              <w:t>售后服务</w:t>
            </w:r>
          </w:p>
          <w:p w14:paraId="7DA74B09">
            <w:pPr>
              <w:adjustRightInd/>
              <w:spacing w:line="240" w:lineRule="auto"/>
              <w:jc w:val="center"/>
              <w:rPr>
                <w:rFonts w:hint="eastAsia" w:ascii="仿宋" w:hAnsi="仿宋" w:eastAsia="仿宋" w:cs="仿宋"/>
                <w:bCs/>
                <w:color w:val="auto"/>
                <w:sz w:val="24"/>
                <w:szCs w:val="24"/>
                <w:highlight w:val="none"/>
                <w:lang w:val="en-US" w:eastAsia="zh-CN" w:bidi="ar-SA"/>
              </w:rPr>
            </w:pPr>
            <w:r>
              <w:rPr>
                <w:rFonts w:hint="eastAsia" w:ascii="仿宋" w:hAnsi="仿宋" w:eastAsia="仿宋" w:cs="仿宋"/>
                <w:bCs/>
                <w:color w:val="auto"/>
                <w:sz w:val="24"/>
                <w:szCs w:val="24"/>
                <w:highlight w:val="none"/>
              </w:rPr>
              <w:t>情况</w:t>
            </w:r>
          </w:p>
        </w:tc>
        <w:tc>
          <w:tcPr>
            <w:tcW w:w="7187" w:type="dxa"/>
            <w:noWrap w:val="0"/>
            <w:vAlign w:val="center"/>
          </w:tcPr>
          <w:p w14:paraId="5F3CE46E">
            <w:pPr>
              <w:keepNext w:val="0"/>
              <w:keepLines w:val="0"/>
              <w:pageBreakBefore w:val="0"/>
              <w:kinsoku/>
              <w:overflowPunct/>
              <w:topLinePunct w:val="0"/>
              <w:bidi w:val="0"/>
              <w:adjustRightInd/>
              <w:snapToGrid/>
              <w:spacing w:line="24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rPr>
              <w:t>根据投标人服务能力、服务水平、服务响应时间等情况</w:t>
            </w:r>
            <w:r>
              <w:rPr>
                <w:rFonts w:hint="eastAsia" w:ascii="仿宋" w:hAnsi="仿宋" w:eastAsia="仿宋" w:cs="仿宋"/>
                <w:color w:val="auto"/>
                <w:sz w:val="24"/>
                <w:szCs w:val="24"/>
                <w:highlight w:val="none"/>
              </w:rPr>
              <w:t>进行</w:t>
            </w:r>
            <w:r>
              <w:rPr>
                <w:rFonts w:hint="eastAsia" w:ascii="仿宋" w:hAnsi="仿宋" w:eastAsia="仿宋" w:cs="仿宋"/>
                <w:color w:val="auto"/>
                <w:sz w:val="24"/>
                <w:szCs w:val="24"/>
                <w:highlight w:val="none"/>
                <w:lang w:val="en-US" w:eastAsia="zh-CN"/>
              </w:rPr>
              <w:t>综合比较</w:t>
            </w:r>
            <w:r>
              <w:rPr>
                <w:rFonts w:hint="eastAsia" w:ascii="仿宋" w:hAnsi="仿宋" w:eastAsia="仿宋" w:cs="仿宋"/>
                <w:color w:val="auto"/>
                <w:sz w:val="24"/>
                <w:szCs w:val="24"/>
                <w:highlight w:val="none"/>
              </w:rPr>
              <w:t>打分。</w:t>
            </w:r>
          </w:p>
        </w:tc>
        <w:tc>
          <w:tcPr>
            <w:tcW w:w="985" w:type="dxa"/>
            <w:noWrap w:val="0"/>
            <w:vAlign w:val="center"/>
          </w:tcPr>
          <w:p w14:paraId="74403EC2">
            <w:pPr>
              <w:adjustRightInd/>
              <w:spacing w:line="240" w:lineRule="auto"/>
              <w:jc w:val="center"/>
              <w:rPr>
                <w:rFonts w:hint="eastAsia" w:ascii="仿宋" w:hAnsi="仿宋" w:eastAsia="仿宋" w:cs="仿宋"/>
                <w:bCs/>
                <w:color w:val="auto"/>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r>
    </w:tbl>
    <w:p w14:paraId="5A981DDC">
      <w:pPr>
        <w:bidi w:val="0"/>
        <w:rPr>
          <w:rFonts w:hint="eastAsia"/>
          <w:highlight w:val="none"/>
        </w:rPr>
      </w:pPr>
    </w:p>
    <w:p w14:paraId="759F3CD4">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5</w:t>
      </w:r>
      <w:r>
        <w:rPr>
          <w:rFonts w:hint="eastAsia" w:ascii="仿宋" w:hAnsi="仿宋" w:eastAsia="仿宋" w:cs="仿宋"/>
          <w:sz w:val="24"/>
          <w:highlight w:val="none"/>
          <w:lang w:eastAsia="zh-CN"/>
        </w:rPr>
        <w:t>）</w:t>
      </w:r>
      <w:r>
        <w:rPr>
          <w:rFonts w:hint="eastAsia" w:ascii="仿宋" w:hAnsi="仿宋" w:eastAsia="仿宋" w:cs="仿宋"/>
          <w:sz w:val="24"/>
          <w:highlight w:val="none"/>
        </w:rPr>
        <w:t>本次评审通过资格审查和符合性评审的单位全部入围进行</w:t>
      </w:r>
      <w:r>
        <w:rPr>
          <w:rFonts w:hint="eastAsia" w:ascii="仿宋" w:hAnsi="仿宋" w:eastAsia="仿宋" w:cs="仿宋"/>
          <w:sz w:val="24"/>
          <w:highlight w:val="none"/>
          <w:lang w:val="en-US" w:eastAsia="zh-CN"/>
        </w:rPr>
        <w:t>报价</w:t>
      </w:r>
      <w:r>
        <w:rPr>
          <w:rFonts w:hint="eastAsia" w:ascii="仿宋" w:hAnsi="仿宋" w:eastAsia="仿宋" w:cs="仿宋"/>
          <w:sz w:val="24"/>
          <w:highlight w:val="none"/>
        </w:rPr>
        <w:t>评审。</w:t>
      </w:r>
    </w:p>
    <w:p w14:paraId="11E7C700">
      <w:pPr>
        <w:spacing w:beforeLines="50" w:afterLines="50" w:line="360" w:lineRule="auto"/>
        <w:jc w:val="center"/>
        <w:rPr>
          <w:rFonts w:ascii="仿宋" w:hAnsi="仿宋" w:eastAsia="仿宋" w:cs="宋体"/>
          <w:b/>
          <w:sz w:val="32"/>
          <w:szCs w:val="32"/>
          <w:highlight w:val="none"/>
        </w:rPr>
      </w:pPr>
      <w:r>
        <w:rPr>
          <w:rFonts w:hint="eastAsia" w:ascii="仿宋" w:hAnsi="仿宋" w:eastAsia="仿宋" w:cs="宋体"/>
          <w:b/>
          <w:sz w:val="32"/>
          <w:szCs w:val="32"/>
          <w:highlight w:val="none"/>
        </w:rPr>
        <w:t>采购需求</w:t>
      </w:r>
    </w:p>
    <w:p w14:paraId="7F0DDAEC">
      <w:pPr>
        <w:tabs>
          <w:tab w:val="left" w:pos="8190"/>
        </w:tabs>
        <w:spacing w:line="240" w:lineRule="auto"/>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（一）</w:t>
      </w:r>
      <w:r>
        <w:rPr>
          <w:rFonts w:hint="eastAsia" w:ascii="仿宋" w:hAnsi="仿宋" w:eastAsia="仿宋" w:cs="仿宋"/>
          <w:b/>
          <w:color w:val="auto"/>
          <w:sz w:val="24"/>
          <w:szCs w:val="24"/>
          <w:highlight w:val="none"/>
        </w:rPr>
        <w:t>总体要求</w:t>
      </w:r>
    </w:p>
    <w:p w14:paraId="411E52A1">
      <w:pPr>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该项目分为：制菜区、户外休闲区、就餐区、棋牌室、阅读区、影音室、理发区、茶水间等，总计约450平米。按照要求布展，设计需结合当地使用要求，给村民提供便利服务为切入点。</w:t>
      </w:r>
    </w:p>
    <w:p w14:paraId="1B5E49E2">
      <w:pPr>
        <w:spacing w:line="312" w:lineRule="auto"/>
        <w:ind w:firstLine="480" w:firstLineChars="20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现场踏勘联系人：</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工作</w:t>
      </w: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lang w:val="en-US" w:eastAsia="zh-CN"/>
        </w:rPr>
        <w:t xml:space="preserve"> </w:t>
      </w:r>
    </w:p>
    <w:p w14:paraId="5BC2B724">
      <w:pPr>
        <w:pStyle w:val="55"/>
        <w:numPr>
          <w:ilvl w:val="0"/>
          <w:numId w:val="1"/>
        </w:numPr>
        <w:spacing w:line="240" w:lineRule="auto"/>
        <w:ind w:firstLine="480" w:firstLineChars="200"/>
        <w:rPr>
          <w:rFonts w:hint="eastAsia" w:ascii="仿宋" w:hAnsi="仿宋" w:eastAsia="仿宋" w:cs="仿宋"/>
          <w:highlight w:val="none"/>
          <w:lang w:val="en-US" w:eastAsia="zh-CN"/>
        </w:rPr>
      </w:pPr>
      <w:r>
        <w:rPr>
          <w:rFonts w:hint="eastAsia" w:ascii="仿宋" w:hAnsi="仿宋" w:eastAsia="仿宋" w:cs="仿宋"/>
          <w:b/>
          <w:color w:val="auto"/>
          <w:sz w:val="24"/>
          <w:szCs w:val="24"/>
          <w:highlight w:val="none"/>
          <w:lang w:val="en-US" w:eastAsia="zh-CN" w:bidi="ar-SA"/>
        </w:rPr>
        <w:t>设计布展内容</w:t>
      </w:r>
    </w:p>
    <w:tbl>
      <w:tblPr>
        <w:tblStyle w:val="19"/>
        <w:tblpPr w:leftFromText="180" w:rightFromText="180" w:vertAnchor="text" w:horzAnchor="page" w:tblpX="922" w:tblpY="678"/>
        <w:tblOverlap w:val="never"/>
        <w:tblW w:w="101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90"/>
        <w:gridCol w:w="1216"/>
        <w:gridCol w:w="2216"/>
        <w:gridCol w:w="2303"/>
        <w:gridCol w:w="1870"/>
        <w:gridCol w:w="880"/>
        <w:gridCol w:w="690"/>
      </w:tblGrid>
      <w:tr w14:paraId="241FD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C65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E3A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区域范围</w:t>
            </w: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0A1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名称</w:t>
            </w:r>
          </w:p>
        </w:tc>
        <w:tc>
          <w:tcPr>
            <w:tcW w:w="23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9C1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参考样式</w:t>
            </w: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3E9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规格（mm）</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9F5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E0D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6B4228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990" w:type="dxa"/>
            <w:vMerge w:val="restart"/>
            <w:tcBorders>
              <w:top w:val="single" w:color="000000" w:sz="4" w:space="0"/>
              <w:left w:val="single" w:color="000000" w:sz="4" w:space="0"/>
              <w:bottom w:val="nil"/>
              <w:right w:val="single" w:color="000000" w:sz="4" w:space="0"/>
            </w:tcBorders>
            <w:shd w:val="clear" w:color="auto" w:fill="auto"/>
            <w:noWrap/>
            <w:vAlign w:val="center"/>
          </w:tcPr>
          <w:p w14:paraId="61E084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216" w:type="dxa"/>
            <w:vMerge w:val="restart"/>
            <w:tcBorders>
              <w:top w:val="single" w:color="000000" w:sz="4" w:space="0"/>
              <w:left w:val="single" w:color="000000" w:sz="4" w:space="0"/>
              <w:bottom w:val="nil"/>
              <w:right w:val="single" w:color="000000" w:sz="4" w:space="0"/>
            </w:tcBorders>
            <w:shd w:val="clear" w:color="auto" w:fill="auto"/>
            <w:noWrap/>
            <w:vAlign w:val="center"/>
          </w:tcPr>
          <w:p w14:paraId="6E2460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餐厅区布展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766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文化墙布展1</w:t>
            </w:r>
          </w:p>
        </w:tc>
        <w:tc>
          <w:tcPr>
            <w:tcW w:w="2303" w:type="dxa"/>
            <w:vMerge w:val="restart"/>
            <w:tcBorders>
              <w:top w:val="single" w:color="000000" w:sz="4" w:space="0"/>
              <w:left w:val="single" w:color="000000" w:sz="4" w:space="0"/>
              <w:bottom w:val="nil"/>
              <w:right w:val="single" w:color="000000" w:sz="4" w:space="0"/>
            </w:tcBorders>
            <w:shd w:val="clear" w:color="auto" w:fill="auto"/>
            <w:noWrap/>
            <w:vAlign w:val="center"/>
          </w:tcPr>
          <w:p w14:paraId="444E7F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46355</wp:posOffset>
                  </wp:positionH>
                  <wp:positionV relativeFrom="paragraph">
                    <wp:posOffset>101600</wp:posOffset>
                  </wp:positionV>
                  <wp:extent cx="1229360" cy="1645285"/>
                  <wp:effectExtent l="0" t="0" r="8890" b="12065"/>
                  <wp:wrapNone/>
                  <wp:docPr id="14" name="图片_3"/>
                  <wp:cNvGraphicFramePr/>
                  <a:graphic xmlns:a="http://schemas.openxmlformats.org/drawingml/2006/main">
                    <a:graphicData uri="http://schemas.openxmlformats.org/drawingml/2006/picture">
                      <pic:pic xmlns:pic="http://schemas.openxmlformats.org/drawingml/2006/picture">
                        <pic:nvPicPr>
                          <pic:cNvPr id="14" name="图片_3"/>
                          <pic:cNvPicPr/>
                        </pic:nvPicPr>
                        <pic:blipFill>
                          <a:blip r:embed="rId6"/>
                          <a:stretch>
                            <a:fillRect/>
                          </a:stretch>
                        </pic:blipFill>
                        <pic:spPr>
                          <a:xfrm>
                            <a:off x="0" y="0"/>
                            <a:ext cx="1229360" cy="1645285"/>
                          </a:xfrm>
                          <a:prstGeom prst="rect">
                            <a:avLst/>
                          </a:prstGeom>
                          <a:noFill/>
                          <a:ln>
                            <a:noFill/>
                          </a:ln>
                        </pic:spPr>
                      </pic:pic>
                    </a:graphicData>
                  </a:graphic>
                </wp:anchor>
              </w:drawing>
            </w:r>
          </w:p>
        </w:tc>
        <w:tc>
          <w:tcPr>
            <w:tcW w:w="1870" w:type="dxa"/>
            <w:tcBorders>
              <w:top w:val="single" w:color="000000" w:sz="4" w:space="0"/>
              <w:left w:val="single" w:color="000000" w:sz="4" w:space="0"/>
              <w:bottom w:val="nil"/>
              <w:right w:val="single" w:color="000000" w:sz="4" w:space="0"/>
            </w:tcBorders>
            <w:shd w:val="clear" w:color="auto" w:fill="auto"/>
            <w:noWrap/>
            <w:vAlign w:val="center"/>
          </w:tcPr>
          <w:p w14:paraId="5BEBDF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3000X5000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EE3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F7F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49924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99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2677B54">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9995423">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419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实木火烧漆桌</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79238C8">
            <w:pPr>
              <w:jc w:val="center"/>
              <w:rPr>
                <w:rFonts w:hint="eastAsia" w:ascii="宋体" w:hAnsi="宋体" w:eastAsia="宋体" w:cs="宋体"/>
                <w:i w:val="0"/>
                <w:iCs w:val="0"/>
                <w:color w:val="000000"/>
                <w:sz w:val="20"/>
                <w:szCs w:val="20"/>
                <w:u w:val="none"/>
              </w:rPr>
            </w:pPr>
          </w:p>
        </w:tc>
        <w:tc>
          <w:tcPr>
            <w:tcW w:w="18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B316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长1200X宽600高730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664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539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6686B4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99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D542ADB">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99658B2">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212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实木火烧漆椅</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5AA3194">
            <w:pPr>
              <w:jc w:val="center"/>
              <w:rPr>
                <w:rFonts w:hint="eastAsia" w:ascii="宋体" w:hAnsi="宋体" w:eastAsia="宋体" w:cs="宋体"/>
                <w:i w:val="0"/>
                <w:iCs w:val="0"/>
                <w:color w:val="000000"/>
                <w:sz w:val="20"/>
                <w:szCs w:val="20"/>
                <w:u w:val="none"/>
              </w:rPr>
            </w:pPr>
          </w:p>
        </w:tc>
        <w:tc>
          <w:tcPr>
            <w:tcW w:w="18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CB059">
            <w:pPr>
              <w:jc w:val="cente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1DA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5E9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r>
      <w:tr w14:paraId="3E9D8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99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DA93968">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66DDFAC">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BAA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1.5米圆桌+转盘</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3C0099E">
            <w:pPr>
              <w:jc w:val="center"/>
              <w:rPr>
                <w:rFonts w:hint="eastAsia" w:ascii="宋体" w:hAnsi="宋体" w:eastAsia="宋体" w:cs="宋体"/>
                <w:i w:val="0"/>
                <w:iCs w:val="0"/>
                <w:color w:val="000000"/>
                <w:sz w:val="20"/>
                <w:szCs w:val="20"/>
                <w:u w:val="none"/>
              </w:rPr>
            </w:pPr>
          </w:p>
        </w:tc>
        <w:tc>
          <w:tcPr>
            <w:tcW w:w="1870" w:type="dxa"/>
            <w:tcBorders>
              <w:top w:val="nil"/>
              <w:left w:val="single" w:color="000000" w:sz="4" w:space="0"/>
              <w:bottom w:val="single" w:color="000000" w:sz="4" w:space="0"/>
              <w:right w:val="single" w:color="000000" w:sz="4" w:space="0"/>
            </w:tcBorders>
            <w:shd w:val="clear" w:color="auto" w:fill="FFFFFF"/>
            <w:noWrap/>
            <w:vAlign w:val="center"/>
          </w:tcPr>
          <w:p w14:paraId="7BCE1E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1500*1500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828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201A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42F6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9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F296ECE">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2ABCB13">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289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空调</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31B15B6">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8069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变频3匹</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01F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EBF3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C588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C0C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211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医务室布展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77B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医务室实木一桌一椅</w:t>
            </w:r>
          </w:p>
        </w:tc>
        <w:tc>
          <w:tcPr>
            <w:tcW w:w="2303" w:type="dxa"/>
            <w:vMerge w:val="restart"/>
            <w:tcBorders>
              <w:top w:val="single" w:color="000000" w:sz="4" w:space="0"/>
              <w:left w:val="single" w:color="000000" w:sz="4" w:space="0"/>
              <w:bottom w:val="nil"/>
              <w:right w:val="single" w:color="000000" w:sz="4" w:space="0"/>
            </w:tcBorders>
            <w:shd w:val="clear" w:color="auto" w:fill="auto"/>
            <w:noWrap/>
            <w:vAlign w:val="center"/>
          </w:tcPr>
          <w:p w14:paraId="2328BB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11430</wp:posOffset>
                  </wp:positionH>
                  <wp:positionV relativeFrom="paragraph">
                    <wp:posOffset>234315</wp:posOffset>
                  </wp:positionV>
                  <wp:extent cx="1316355" cy="1896745"/>
                  <wp:effectExtent l="0" t="0" r="17145" b="8255"/>
                  <wp:wrapNone/>
                  <wp:docPr id="15" name="ID_703E6842E274489CBF135D7102FB948A"/>
                  <wp:cNvGraphicFramePr/>
                  <a:graphic xmlns:a="http://schemas.openxmlformats.org/drawingml/2006/main">
                    <a:graphicData uri="http://schemas.openxmlformats.org/drawingml/2006/picture">
                      <pic:pic xmlns:pic="http://schemas.openxmlformats.org/drawingml/2006/picture">
                        <pic:nvPicPr>
                          <pic:cNvPr id="15" name="ID_703E6842E274489CBF135D7102FB948A"/>
                          <pic:cNvPicPr/>
                        </pic:nvPicPr>
                        <pic:blipFill>
                          <a:blip r:embed="rId7"/>
                          <a:stretch>
                            <a:fillRect/>
                          </a:stretch>
                        </pic:blipFill>
                        <pic:spPr>
                          <a:xfrm>
                            <a:off x="0" y="0"/>
                            <a:ext cx="1316355" cy="1896745"/>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3A2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长1400X宽600高720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64B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01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7735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A1560">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0DD30">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693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药柜</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F5F4353">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71C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419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157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F1AE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27373">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00D14">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6C5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文化墙布展2</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D9CF574">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nil"/>
              <w:right w:val="single" w:color="000000" w:sz="4" w:space="0"/>
            </w:tcBorders>
            <w:shd w:val="clear" w:color="auto" w:fill="auto"/>
            <w:noWrap/>
            <w:vAlign w:val="center"/>
          </w:tcPr>
          <w:p w14:paraId="31F0C8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3000X5000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312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D20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19C1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198DD">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21657">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F49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空调</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57B0427">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03FE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变频1.5匹</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E70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918A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B851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990" w:type="dxa"/>
            <w:vMerge w:val="restart"/>
            <w:tcBorders>
              <w:top w:val="nil"/>
              <w:left w:val="single" w:color="000000" w:sz="4" w:space="0"/>
              <w:bottom w:val="single" w:color="000000" w:sz="4" w:space="0"/>
              <w:right w:val="single" w:color="000000" w:sz="4" w:space="0"/>
            </w:tcBorders>
            <w:shd w:val="clear" w:color="auto" w:fill="auto"/>
            <w:noWrap/>
            <w:vAlign w:val="center"/>
          </w:tcPr>
          <w:p w14:paraId="220968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FE8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棋牌室布展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780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桌椅一桌四椅</w:t>
            </w:r>
          </w:p>
        </w:tc>
        <w:tc>
          <w:tcPr>
            <w:tcW w:w="2303" w:type="dxa"/>
            <w:vMerge w:val="restart"/>
            <w:tcBorders>
              <w:top w:val="single" w:color="000000" w:sz="4" w:space="0"/>
              <w:left w:val="single" w:color="000000" w:sz="4" w:space="0"/>
              <w:bottom w:val="nil"/>
              <w:right w:val="single" w:color="000000" w:sz="4" w:space="0"/>
            </w:tcBorders>
            <w:shd w:val="clear" w:color="auto" w:fill="auto"/>
            <w:noWrap/>
            <w:vAlign w:val="center"/>
          </w:tcPr>
          <w:p w14:paraId="0C71F4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184785</wp:posOffset>
                  </wp:positionH>
                  <wp:positionV relativeFrom="paragraph">
                    <wp:posOffset>339725</wp:posOffset>
                  </wp:positionV>
                  <wp:extent cx="935355" cy="668655"/>
                  <wp:effectExtent l="0" t="0" r="17145" b="17145"/>
                  <wp:wrapNone/>
                  <wp:docPr id="16" name="ID_3895047F6C894EC08D88A3A135101DA7"/>
                  <wp:cNvGraphicFramePr/>
                  <a:graphic xmlns:a="http://schemas.openxmlformats.org/drawingml/2006/main">
                    <a:graphicData uri="http://schemas.openxmlformats.org/drawingml/2006/picture">
                      <pic:pic xmlns:pic="http://schemas.openxmlformats.org/drawingml/2006/picture">
                        <pic:nvPicPr>
                          <pic:cNvPr id="16" name="ID_3895047F6C894EC08D88A3A135101DA7"/>
                          <pic:cNvPicPr/>
                        </pic:nvPicPr>
                        <pic:blipFill>
                          <a:blip r:embed="rId8"/>
                          <a:stretch>
                            <a:fillRect/>
                          </a:stretch>
                        </pic:blipFill>
                        <pic:spPr>
                          <a:xfrm>
                            <a:off x="0" y="0"/>
                            <a:ext cx="935355" cy="66865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5080</wp:posOffset>
                  </wp:positionH>
                  <wp:positionV relativeFrom="paragraph">
                    <wp:posOffset>1257935</wp:posOffset>
                  </wp:positionV>
                  <wp:extent cx="1254760" cy="930275"/>
                  <wp:effectExtent l="0" t="0" r="2540" b="3175"/>
                  <wp:wrapNone/>
                  <wp:docPr id="20" name="图片_8"/>
                  <wp:cNvGraphicFramePr/>
                  <a:graphic xmlns:a="http://schemas.openxmlformats.org/drawingml/2006/main">
                    <a:graphicData uri="http://schemas.openxmlformats.org/drawingml/2006/picture">
                      <pic:pic xmlns:pic="http://schemas.openxmlformats.org/drawingml/2006/picture">
                        <pic:nvPicPr>
                          <pic:cNvPr id="20" name="图片_8"/>
                          <pic:cNvPicPr/>
                        </pic:nvPicPr>
                        <pic:blipFill>
                          <a:blip r:embed="rId9"/>
                          <a:stretch>
                            <a:fillRect/>
                          </a:stretch>
                        </pic:blipFill>
                        <pic:spPr>
                          <a:xfrm>
                            <a:off x="0" y="0"/>
                            <a:ext cx="1254760" cy="930275"/>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AD6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980X980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83F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B51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5A6F7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99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23384F6A">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B8849">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58D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全自动麻将桌一桌四椅</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0CF06BF">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55A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2000X800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D28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3C9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070C5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99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4C2831DE">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A8086">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C33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文化墙布展3</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8BF3343">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nil"/>
              <w:right w:val="single" w:color="000000" w:sz="4" w:space="0"/>
            </w:tcBorders>
            <w:shd w:val="clear" w:color="auto" w:fill="auto"/>
            <w:noWrap/>
            <w:vAlign w:val="center"/>
          </w:tcPr>
          <w:p w14:paraId="3477B8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3000X5000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B5B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A5F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268EE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9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24FDCAF8">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A5C6A">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CB1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茶水桌</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A251CE0">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nil"/>
              <w:right w:val="single" w:color="000000" w:sz="4" w:space="0"/>
            </w:tcBorders>
            <w:shd w:val="clear" w:color="auto" w:fill="FFFFFF"/>
            <w:noWrap/>
            <w:vAlign w:val="center"/>
          </w:tcPr>
          <w:p w14:paraId="73DD14E4">
            <w:pPr>
              <w:jc w:val="cente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D04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407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0699F2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99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D1D0BB4">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793A2">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D4F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排气扇</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FE78714">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nil"/>
              <w:right w:val="single" w:color="000000" w:sz="4" w:space="0"/>
            </w:tcBorders>
            <w:shd w:val="clear" w:color="auto" w:fill="FFFFFF"/>
            <w:noWrap/>
            <w:vAlign w:val="center"/>
          </w:tcPr>
          <w:p w14:paraId="7CBC8B44">
            <w:pPr>
              <w:jc w:val="cente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AAD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只</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9C5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6FFCD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99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FE45B55">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06862">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B82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空调</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3BC8908">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CD65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奥克斯变频3匹</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3ED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E798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1EE598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990" w:type="dxa"/>
            <w:vMerge w:val="restart"/>
            <w:tcBorders>
              <w:top w:val="nil"/>
              <w:left w:val="single" w:color="000000" w:sz="4" w:space="0"/>
              <w:bottom w:val="nil"/>
              <w:right w:val="single" w:color="000000" w:sz="4" w:space="0"/>
            </w:tcBorders>
            <w:shd w:val="clear" w:color="auto" w:fill="auto"/>
            <w:noWrap/>
            <w:vAlign w:val="center"/>
          </w:tcPr>
          <w:p w14:paraId="3D647C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216" w:type="dxa"/>
            <w:vMerge w:val="restart"/>
            <w:tcBorders>
              <w:top w:val="nil"/>
              <w:left w:val="single" w:color="000000" w:sz="4" w:space="0"/>
              <w:bottom w:val="nil"/>
              <w:right w:val="single" w:color="000000" w:sz="4" w:space="0"/>
            </w:tcBorders>
            <w:shd w:val="clear" w:color="auto" w:fill="auto"/>
            <w:vAlign w:val="center"/>
          </w:tcPr>
          <w:p w14:paraId="69A4C6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茶室直播间布展</w:t>
            </w:r>
          </w:p>
        </w:tc>
        <w:tc>
          <w:tcPr>
            <w:tcW w:w="2216" w:type="dxa"/>
            <w:tcBorders>
              <w:top w:val="single" w:color="000000" w:sz="4" w:space="0"/>
              <w:left w:val="single" w:color="000000" w:sz="4" w:space="0"/>
              <w:bottom w:val="nil"/>
              <w:right w:val="single" w:color="000000" w:sz="4" w:space="0"/>
            </w:tcBorders>
            <w:shd w:val="clear" w:color="auto" w:fill="auto"/>
            <w:noWrap/>
            <w:vAlign w:val="center"/>
          </w:tcPr>
          <w:p w14:paraId="1F181B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茶室实木一桌一椅</w:t>
            </w:r>
          </w:p>
        </w:tc>
        <w:tc>
          <w:tcPr>
            <w:tcW w:w="2303" w:type="dxa"/>
            <w:vMerge w:val="restart"/>
            <w:tcBorders>
              <w:top w:val="single" w:color="000000" w:sz="4" w:space="0"/>
              <w:left w:val="single" w:color="000000" w:sz="4" w:space="0"/>
              <w:bottom w:val="nil"/>
              <w:right w:val="single" w:color="000000" w:sz="4" w:space="0"/>
            </w:tcBorders>
            <w:shd w:val="clear" w:color="auto" w:fill="auto"/>
            <w:noWrap/>
            <w:vAlign w:val="center"/>
          </w:tcPr>
          <w:p w14:paraId="60BC3E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177800</wp:posOffset>
                  </wp:positionH>
                  <wp:positionV relativeFrom="paragraph">
                    <wp:posOffset>83185</wp:posOffset>
                  </wp:positionV>
                  <wp:extent cx="981075" cy="867410"/>
                  <wp:effectExtent l="0" t="0" r="9525" b="8890"/>
                  <wp:wrapNone/>
                  <wp:docPr id="22" name="图片_6"/>
                  <wp:cNvGraphicFramePr/>
                  <a:graphic xmlns:a="http://schemas.openxmlformats.org/drawingml/2006/main">
                    <a:graphicData uri="http://schemas.openxmlformats.org/drawingml/2006/picture">
                      <pic:pic xmlns:pic="http://schemas.openxmlformats.org/drawingml/2006/picture">
                        <pic:nvPicPr>
                          <pic:cNvPr id="22" name="图片_6"/>
                          <pic:cNvPicPr/>
                        </pic:nvPicPr>
                        <pic:blipFill>
                          <a:blip r:embed="rId10"/>
                          <a:stretch>
                            <a:fillRect/>
                          </a:stretch>
                        </pic:blipFill>
                        <pic:spPr>
                          <a:xfrm>
                            <a:off x="0" y="0"/>
                            <a:ext cx="981075" cy="867410"/>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E45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2000X800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205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F5A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0A2BE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990" w:type="dxa"/>
            <w:vMerge w:val="continue"/>
            <w:tcBorders>
              <w:top w:val="nil"/>
              <w:left w:val="single" w:color="000000" w:sz="4" w:space="0"/>
              <w:bottom w:val="nil"/>
              <w:right w:val="single" w:color="000000" w:sz="4" w:space="0"/>
            </w:tcBorders>
            <w:shd w:val="clear" w:color="auto" w:fill="auto"/>
            <w:noWrap/>
            <w:vAlign w:val="center"/>
          </w:tcPr>
          <w:p w14:paraId="04B94D64">
            <w:pPr>
              <w:jc w:val="center"/>
              <w:rPr>
                <w:rFonts w:hint="eastAsia" w:ascii="宋体" w:hAnsi="宋体" w:eastAsia="宋体" w:cs="宋体"/>
                <w:i w:val="0"/>
                <w:iCs w:val="0"/>
                <w:color w:val="000000"/>
                <w:sz w:val="20"/>
                <w:szCs w:val="20"/>
                <w:u w:val="none"/>
              </w:rPr>
            </w:pPr>
          </w:p>
        </w:tc>
        <w:tc>
          <w:tcPr>
            <w:tcW w:w="1216" w:type="dxa"/>
            <w:vMerge w:val="continue"/>
            <w:tcBorders>
              <w:top w:val="nil"/>
              <w:left w:val="single" w:color="000000" w:sz="4" w:space="0"/>
              <w:bottom w:val="nil"/>
              <w:right w:val="single" w:color="000000" w:sz="4" w:space="0"/>
            </w:tcBorders>
            <w:shd w:val="clear" w:color="auto" w:fill="auto"/>
            <w:vAlign w:val="center"/>
          </w:tcPr>
          <w:p w14:paraId="34257CEB">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F5D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文化墙布展4</w:t>
            </w:r>
          </w:p>
        </w:tc>
        <w:tc>
          <w:tcPr>
            <w:tcW w:w="2303"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147EE3B">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nil"/>
              <w:right w:val="single" w:color="000000" w:sz="4" w:space="0"/>
            </w:tcBorders>
            <w:shd w:val="clear" w:color="auto" w:fill="auto"/>
            <w:noWrap/>
            <w:vAlign w:val="center"/>
          </w:tcPr>
          <w:p w14:paraId="3B90C9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3000X5000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51E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F71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1AE1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5F8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038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阅读室布展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125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实木桌椅</w:t>
            </w:r>
          </w:p>
        </w:tc>
        <w:tc>
          <w:tcPr>
            <w:tcW w:w="230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829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155575</wp:posOffset>
                  </wp:positionH>
                  <wp:positionV relativeFrom="paragraph">
                    <wp:posOffset>137795</wp:posOffset>
                  </wp:positionV>
                  <wp:extent cx="1037590" cy="1386205"/>
                  <wp:effectExtent l="0" t="0" r="10160" b="4445"/>
                  <wp:wrapNone/>
                  <wp:docPr id="21" name="图片_10"/>
                  <wp:cNvGraphicFramePr/>
                  <a:graphic xmlns:a="http://schemas.openxmlformats.org/drawingml/2006/main">
                    <a:graphicData uri="http://schemas.openxmlformats.org/drawingml/2006/picture">
                      <pic:pic xmlns:pic="http://schemas.openxmlformats.org/drawingml/2006/picture">
                        <pic:nvPicPr>
                          <pic:cNvPr id="21" name="图片_10"/>
                          <pic:cNvPicPr/>
                        </pic:nvPicPr>
                        <pic:blipFill>
                          <a:blip r:embed="rId11"/>
                          <a:stretch>
                            <a:fillRect/>
                          </a:stretch>
                        </pic:blipFill>
                        <pic:spPr>
                          <a:xfrm>
                            <a:off x="0" y="0"/>
                            <a:ext cx="1037590" cy="1386205"/>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1009F">
            <w:pPr>
              <w:jc w:val="cente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FC0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ACE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051DE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0" w:hRule="atLeast"/>
        </w:trPr>
        <w:tc>
          <w:tcPr>
            <w:tcW w:w="990" w:type="dxa"/>
            <w:tcBorders>
              <w:top w:val="nil"/>
              <w:left w:val="single" w:color="000000" w:sz="4" w:space="0"/>
              <w:bottom w:val="single" w:color="000000" w:sz="4" w:space="0"/>
              <w:right w:val="single" w:color="000000" w:sz="4" w:space="0"/>
            </w:tcBorders>
            <w:shd w:val="clear" w:color="auto" w:fill="auto"/>
            <w:noWrap/>
            <w:vAlign w:val="center"/>
          </w:tcPr>
          <w:p w14:paraId="2F4CBD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A131E">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42A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阅读室书柜</w:t>
            </w:r>
          </w:p>
        </w:tc>
        <w:tc>
          <w:tcPr>
            <w:tcW w:w="230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DBDC1">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DF5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2000X1200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410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D55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3CA29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990" w:type="dxa"/>
            <w:vMerge w:val="restart"/>
            <w:tcBorders>
              <w:top w:val="single" w:color="000000" w:sz="4" w:space="0"/>
              <w:left w:val="single" w:color="000000" w:sz="4" w:space="0"/>
              <w:bottom w:val="nil"/>
              <w:right w:val="single" w:color="000000" w:sz="4" w:space="0"/>
            </w:tcBorders>
            <w:shd w:val="clear" w:color="auto" w:fill="auto"/>
            <w:noWrap/>
            <w:vAlign w:val="center"/>
          </w:tcPr>
          <w:p w14:paraId="2F6534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216" w:type="dxa"/>
            <w:vMerge w:val="restart"/>
            <w:tcBorders>
              <w:top w:val="single" w:color="000000" w:sz="4" w:space="0"/>
              <w:left w:val="single" w:color="000000" w:sz="4" w:space="0"/>
              <w:bottom w:val="nil"/>
              <w:right w:val="single" w:color="000000" w:sz="4" w:space="0"/>
            </w:tcBorders>
            <w:shd w:val="clear" w:color="auto" w:fill="auto"/>
            <w:noWrap/>
            <w:vAlign w:val="center"/>
          </w:tcPr>
          <w:p w14:paraId="1FC4A1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观影区布展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138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音响话筒</w:t>
            </w:r>
          </w:p>
        </w:tc>
        <w:tc>
          <w:tcPr>
            <w:tcW w:w="2303" w:type="dxa"/>
            <w:vMerge w:val="restart"/>
            <w:tcBorders>
              <w:top w:val="single" w:color="000000" w:sz="4" w:space="0"/>
              <w:left w:val="single" w:color="000000" w:sz="4" w:space="0"/>
              <w:bottom w:val="nil"/>
              <w:right w:val="single" w:color="000000" w:sz="4" w:space="0"/>
            </w:tcBorders>
            <w:shd w:val="clear" w:color="auto" w:fill="FFFFFF"/>
            <w:noWrap/>
            <w:vAlign w:val="center"/>
          </w:tcPr>
          <w:p w14:paraId="276A03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4445</wp:posOffset>
                  </wp:positionH>
                  <wp:positionV relativeFrom="paragraph">
                    <wp:posOffset>280035</wp:posOffset>
                  </wp:positionV>
                  <wp:extent cx="1292860" cy="808990"/>
                  <wp:effectExtent l="0" t="0" r="2540" b="10160"/>
                  <wp:wrapNone/>
                  <wp:docPr id="17" name="图片_12"/>
                  <wp:cNvGraphicFramePr/>
                  <a:graphic xmlns:a="http://schemas.openxmlformats.org/drawingml/2006/main">
                    <a:graphicData uri="http://schemas.openxmlformats.org/drawingml/2006/picture">
                      <pic:pic xmlns:pic="http://schemas.openxmlformats.org/drawingml/2006/picture">
                        <pic:nvPicPr>
                          <pic:cNvPr id="17" name="图片_12"/>
                          <pic:cNvPicPr/>
                        </pic:nvPicPr>
                        <pic:blipFill>
                          <a:blip r:embed="rId12"/>
                          <a:stretch>
                            <a:fillRect/>
                          </a:stretch>
                        </pic:blipFill>
                        <pic:spPr>
                          <a:xfrm>
                            <a:off x="0" y="0"/>
                            <a:ext cx="1292860" cy="808990"/>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FF31C">
            <w:pP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839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9542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CBCC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99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292AF57">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2D3F43C">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D83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电视机</w:t>
            </w:r>
          </w:p>
        </w:tc>
        <w:tc>
          <w:tcPr>
            <w:tcW w:w="2303" w:type="dxa"/>
            <w:vMerge w:val="continue"/>
            <w:tcBorders>
              <w:top w:val="single" w:color="000000" w:sz="4" w:space="0"/>
              <w:left w:val="single" w:color="000000" w:sz="4" w:space="0"/>
              <w:bottom w:val="nil"/>
              <w:right w:val="single" w:color="000000" w:sz="4" w:space="0"/>
            </w:tcBorders>
            <w:shd w:val="clear" w:color="auto" w:fill="FFFFFF"/>
            <w:noWrap/>
            <w:vAlign w:val="center"/>
          </w:tcPr>
          <w:p w14:paraId="260A2AD6">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B09A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85英寸电视机</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4CA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DAD0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5837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99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25F0706">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2F61AFA">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835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沙发</w:t>
            </w:r>
          </w:p>
        </w:tc>
        <w:tc>
          <w:tcPr>
            <w:tcW w:w="2303" w:type="dxa"/>
            <w:vMerge w:val="continue"/>
            <w:tcBorders>
              <w:top w:val="single" w:color="000000" w:sz="4" w:space="0"/>
              <w:left w:val="single" w:color="000000" w:sz="4" w:space="0"/>
              <w:bottom w:val="nil"/>
              <w:right w:val="single" w:color="000000" w:sz="4" w:space="0"/>
            </w:tcBorders>
            <w:shd w:val="clear" w:color="auto" w:fill="FFFFFF"/>
            <w:noWrap/>
            <w:vAlign w:val="center"/>
          </w:tcPr>
          <w:p w14:paraId="6F748F30">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793D3">
            <w:pPr>
              <w:jc w:val="cente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FAA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EA96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398329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99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55C8128">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A85DB7D">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C43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空调</w:t>
            </w:r>
          </w:p>
        </w:tc>
        <w:tc>
          <w:tcPr>
            <w:tcW w:w="2303" w:type="dxa"/>
            <w:vMerge w:val="continue"/>
            <w:tcBorders>
              <w:top w:val="single" w:color="000000" w:sz="4" w:space="0"/>
              <w:left w:val="single" w:color="000000" w:sz="4" w:space="0"/>
              <w:bottom w:val="nil"/>
              <w:right w:val="single" w:color="000000" w:sz="4" w:space="0"/>
            </w:tcBorders>
            <w:shd w:val="clear" w:color="auto" w:fill="FFFFFF"/>
            <w:noWrap/>
            <w:vAlign w:val="center"/>
          </w:tcPr>
          <w:p w14:paraId="683C07B6">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97F9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奥克斯变频1.5匹</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D36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F674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2E75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CA0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DF74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入口及户外休闲区布展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7EA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文化墙布展5</w:t>
            </w:r>
          </w:p>
        </w:tc>
        <w:tc>
          <w:tcPr>
            <w:tcW w:w="2303"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A2B1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635</wp:posOffset>
                  </wp:positionH>
                  <wp:positionV relativeFrom="paragraph">
                    <wp:posOffset>224155</wp:posOffset>
                  </wp:positionV>
                  <wp:extent cx="1241425" cy="767715"/>
                  <wp:effectExtent l="0" t="0" r="15875" b="13335"/>
                  <wp:wrapNone/>
                  <wp:docPr id="19" name="图片_9"/>
                  <wp:cNvGraphicFramePr/>
                  <a:graphic xmlns:a="http://schemas.openxmlformats.org/drawingml/2006/main">
                    <a:graphicData uri="http://schemas.openxmlformats.org/drawingml/2006/picture">
                      <pic:pic xmlns:pic="http://schemas.openxmlformats.org/drawingml/2006/picture">
                        <pic:nvPicPr>
                          <pic:cNvPr id="19" name="图片_9"/>
                          <pic:cNvPicPr/>
                        </pic:nvPicPr>
                        <pic:blipFill>
                          <a:blip r:embed="rId13"/>
                          <a:stretch>
                            <a:fillRect/>
                          </a:stretch>
                        </pic:blipFill>
                        <pic:spPr>
                          <a:xfrm>
                            <a:off x="0" y="0"/>
                            <a:ext cx="1241425" cy="767715"/>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73AF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6000X3500</w:t>
            </w:r>
          </w:p>
        </w:tc>
        <w:tc>
          <w:tcPr>
            <w:tcW w:w="8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C853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7917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37AE1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B7EC4">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50DCB">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210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露天桌椅</w:t>
            </w:r>
          </w:p>
        </w:tc>
        <w:tc>
          <w:tcPr>
            <w:tcW w:w="2303"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62EE72">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482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980X980</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1EF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3EA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6BF053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3AB58">
            <w:pPr>
              <w:jc w:val="center"/>
              <w:rPr>
                <w:rFonts w:hint="eastAsia" w:ascii="宋体" w:hAnsi="宋体" w:eastAsia="宋体" w:cs="宋体"/>
                <w:i w:val="0"/>
                <w:iCs w:val="0"/>
                <w:color w:val="000000"/>
                <w:sz w:val="20"/>
                <w:szCs w:val="20"/>
                <w:u w:val="non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85D430">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4C4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入口布展</w:t>
            </w:r>
          </w:p>
        </w:tc>
        <w:tc>
          <w:tcPr>
            <w:tcW w:w="230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51F2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74930</wp:posOffset>
                  </wp:positionH>
                  <wp:positionV relativeFrom="paragraph">
                    <wp:posOffset>9525</wp:posOffset>
                  </wp:positionV>
                  <wp:extent cx="1391920" cy="803910"/>
                  <wp:effectExtent l="0" t="0" r="17780" b="15240"/>
                  <wp:wrapNone/>
                  <wp:docPr id="18" name="图片_10_SpCnt_1"/>
                  <wp:cNvGraphicFramePr/>
                  <a:graphic xmlns:a="http://schemas.openxmlformats.org/drawingml/2006/main">
                    <a:graphicData uri="http://schemas.openxmlformats.org/drawingml/2006/picture">
                      <pic:pic xmlns:pic="http://schemas.openxmlformats.org/drawingml/2006/picture">
                        <pic:nvPicPr>
                          <pic:cNvPr id="18" name="图片_10_SpCnt_1"/>
                          <pic:cNvPicPr/>
                        </pic:nvPicPr>
                        <pic:blipFill>
                          <a:blip r:embed="rId14"/>
                          <a:stretch>
                            <a:fillRect/>
                          </a:stretch>
                        </pic:blipFill>
                        <pic:spPr>
                          <a:xfrm>
                            <a:off x="0" y="0"/>
                            <a:ext cx="1391920" cy="803910"/>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C880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1500X4000</w:t>
            </w:r>
          </w:p>
        </w:tc>
        <w:tc>
          <w:tcPr>
            <w:tcW w:w="8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2494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5333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5281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2CE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216" w:type="dxa"/>
            <w:tcBorders>
              <w:top w:val="nil"/>
              <w:left w:val="single" w:color="000000" w:sz="4" w:space="0"/>
              <w:bottom w:val="single" w:color="000000" w:sz="4" w:space="0"/>
              <w:right w:val="single" w:color="000000" w:sz="4" w:space="0"/>
            </w:tcBorders>
            <w:shd w:val="clear" w:color="auto" w:fill="auto"/>
            <w:vAlign w:val="center"/>
          </w:tcPr>
          <w:p w14:paraId="4501A9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厨房区布展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939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厨房及仓库设计布展</w:t>
            </w:r>
          </w:p>
        </w:tc>
        <w:tc>
          <w:tcPr>
            <w:tcW w:w="23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227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99060</wp:posOffset>
                  </wp:positionH>
                  <wp:positionV relativeFrom="paragraph">
                    <wp:posOffset>113665</wp:posOffset>
                  </wp:positionV>
                  <wp:extent cx="1299210" cy="735965"/>
                  <wp:effectExtent l="0" t="0" r="15240" b="6985"/>
                  <wp:wrapNone/>
                  <wp:docPr id="12" name="图片_1"/>
                  <wp:cNvGraphicFramePr/>
                  <a:graphic xmlns:a="http://schemas.openxmlformats.org/drawingml/2006/main">
                    <a:graphicData uri="http://schemas.openxmlformats.org/drawingml/2006/picture">
                      <pic:pic xmlns:pic="http://schemas.openxmlformats.org/drawingml/2006/picture">
                        <pic:nvPicPr>
                          <pic:cNvPr id="12" name="图片_1"/>
                          <pic:cNvPicPr/>
                        </pic:nvPicPr>
                        <pic:blipFill>
                          <a:blip r:embed="rId15"/>
                          <a:stretch>
                            <a:fillRect/>
                          </a:stretch>
                        </pic:blipFill>
                        <pic:spPr>
                          <a:xfrm>
                            <a:off x="0" y="0"/>
                            <a:ext cx="1299210" cy="735965"/>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0E1DA">
            <w:pPr>
              <w:jc w:val="cente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748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116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8B28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990" w:type="dxa"/>
            <w:vMerge w:val="restart"/>
            <w:tcBorders>
              <w:top w:val="nil"/>
              <w:left w:val="single" w:color="000000" w:sz="4" w:space="0"/>
              <w:bottom w:val="single" w:color="000000" w:sz="4" w:space="0"/>
              <w:right w:val="single" w:color="000000" w:sz="4" w:space="0"/>
            </w:tcBorders>
            <w:shd w:val="clear" w:color="auto" w:fill="auto"/>
            <w:noWrap/>
            <w:vAlign w:val="center"/>
          </w:tcPr>
          <w:p w14:paraId="503A55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216" w:type="dxa"/>
            <w:vMerge w:val="restart"/>
            <w:tcBorders>
              <w:top w:val="nil"/>
              <w:left w:val="single" w:color="000000" w:sz="4" w:space="0"/>
              <w:bottom w:val="single" w:color="000000" w:sz="4" w:space="0"/>
              <w:right w:val="single" w:color="000000" w:sz="4" w:space="0"/>
            </w:tcBorders>
            <w:shd w:val="clear" w:color="auto" w:fill="auto"/>
            <w:vAlign w:val="center"/>
          </w:tcPr>
          <w:p w14:paraId="6CC892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出菜区布展</w:t>
            </w:r>
          </w:p>
        </w:tc>
        <w:tc>
          <w:tcPr>
            <w:tcW w:w="2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A9A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文化墙布展6</w:t>
            </w:r>
          </w:p>
        </w:tc>
        <w:tc>
          <w:tcPr>
            <w:tcW w:w="2303"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74C3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255270</wp:posOffset>
                  </wp:positionH>
                  <wp:positionV relativeFrom="paragraph">
                    <wp:posOffset>150495</wp:posOffset>
                  </wp:positionV>
                  <wp:extent cx="1079500" cy="953135"/>
                  <wp:effectExtent l="0" t="0" r="6350" b="18415"/>
                  <wp:wrapNone/>
                  <wp:docPr id="13" name="图片_13"/>
                  <wp:cNvGraphicFramePr/>
                  <a:graphic xmlns:a="http://schemas.openxmlformats.org/drawingml/2006/main">
                    <a:graphicData uri="http://schemas.openxmlformats.org/drawingml/2006/picture">
                      <pic:pic xmlns:pic="http://schemas.openxmlformats.org/drawingml/2006/picture">
                        <pic:nvPicPr>
                          <pic:cNvPr id="13" name="图片_13"/>
                          <pic:cNvPicPr/>
                        </pic:nvPicPr>
                        <pic:blipFill>
                          <a:blip r:embed="rId16"/>
                          <a:stretch>
                            <a:fillRect/>
                          </a:stretch>
                        </pic:blipFill>
                        <pic:spPr>
                          <a:xfrm>
                            <a:off x="0" y="0"/>
                            <a:ext cx="1079500" cy="953135"/>
                          </a:xfrm>
                          <a:prstGeom prst="rect">
                            <a:avLst/>
                          </a:prstGeom>
                          <a:noFill/>
                          <a:ln>
                            <a:noFill/>
                          </a:ln>
                        </pic:spPr>
                      </pic:pic>
                    </a:graphicData>
                  </a:graphic>
                </wp:anchor>
              </w:drawing>
            </w: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1680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6000X3500</w:t>
            </w:r>
          </w:p>
        </w:tc>
        <w:tc>
          <w:tcPr>
            <w:tcW w:w="8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F30E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6A1A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17B1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99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223F34E">
            <w:pPr>
              <w:jc w:val="center"/>
              <w:rPr>
                <w:rFonts w:hint="eastAsia" w:ascii="宋体" w:hAnsi="宋体" w:eastAsia="宋体" w:cs="宋体"/>
                <w:i w:val="0"/>
                <w:iCs w:val="0"/>
                <w:color w:val="000000"/>
                <w:sz w:val="20"/>
                <w:szCs w:val="20"/>
                <w:u w:val="none"/>
              </w:rPr>
            </w:pPr>
          </w:p>
        </w:tc>
        <w:tc>
          <w:tcPr>
            <w:tcW w:w="1216" w:type="dxa"/>
            <w:vMerge w:val="continue"/>
            <w:tcBorders>
              <w:top w:val="nil"/>
              <w:left w:val="single" w:color="000000" w:sz="4" w:space="0"/>
              <w:bottom w:val="single" w:color="000000" w:sz="4" w:space="0"/>
              <w:right w:val="single" w:color="000000" w:sz="4" w:space="0"/>
            </w:tcBorders>
            <w:shd w:val="clear" w:color="auto" w:fill="auto"/>
            <w:vAlign w:val="center"/>
          </w:tcPr>
          <w:p w14:paraId="48F0D7EB">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D1A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空调</w:t>
            </w:r>
          </w:p>
        </w:tc>
        <w:tc>
          <w:tcPr>
            <w:tcW w:w="2303"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87DCF6">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85DB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变频1.5匹</w:t>
            </w:r>
          </w:p>
        </w:tc>
        <w:tc>
          <w:tcPr>
            <w:tcW w:w="8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A3A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B5E5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D2186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50B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79107">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864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零星采购（屏风、科室牌、锅碗等）</w:t>
            </w:r>
          </w:p>
        </w:tc>
        <w:tc>
          <w:tcPr>
            <w:tcW w:w="230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F370A1">
            <w:pPr>
              <w:jc w:val="center"/>
              <w:rPr>
                <w:rFonts w:hint="eastAsia" w:ascii="宋体" w:hAnsi="宋体" w:eastAsia="宋体" w:cs="宋体"/>
                <w:i w:val="0"/>
                <w:iCs w:val="0"/>
                <w:color w:val="000000"/>
                <w:sz w:val="20"/>
                <w:szCs w:val="20"/>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9EDE07">
            <w:pPr>
              <w:jc w:val="center"/>
              <w:rPr>
                <w:rFonts w:hint="eastAsia" w:ascii="宋体" w:hAnsi="宋体" w:eastAsia="宋体" w:cs="宋体"/>
                <w:i w:val="0"/>
                <w:iCs w:val="0"/>
                <w:color w:val="000000"/>
                <w:sz w:val="20"/>
                <w:szCs w:val="20"/>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F0CD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BDB2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833F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9A3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CC441">
            <w:pPr>
              <w:jc w:val="center"/>
              <w:rPr>
                <w:rFonts w:hint="eastAsia" w:ascii="宋体" w:hAnsi="宋体" w:eastAsia="宋体" w:cs="宋体"/>
                <w:i w:val="0"/>
                <w:iCs w:val="0"/>
                <w:color w:val="000000"/>
                <w:sz w:val="20"/>
                <w:szCs w:val="20"/>
                <w:u w:val="none"/>
              </w:rPr>
            </w:pPr>
          </w:p>
        </w:tc>
        <w:tc>
          <w:tcPr>
            <w:tcW w:w="2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910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窗帘</w:t>
            </w:r>
          </w:p>
        </w:tc>
        <w:tc>
          <w:tcPr>
            <w:tcW w:w="230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B5024F">
            <w:pPr>
              <w:jc w:val="center"/>
              <w:rPr>
                <w:rFonts w:hint="eastAsia" w:ascii="宋体" w:hAnsi="宋体" w:eastAsia="宋体" w:cs="宋体"/>
                <w:i w:val="0"/>
                <w:iCs w:val="0"/>
                <w:color w:val="000000"/>
                <w:sz w:val="22"/>
                <w:szCs w:val="22"/>
                <w:u w:val="none"/>
              </w:rPr>
            </w:pPr>
          </w:p>
        </w:tc>
        <w:tc>
          <w:tcPr>
            <w:tcW w:w="187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F013F0">
            <w:pPr>
              <w:jc w:val="center"/>
              <w:rPr>
                <w:rFonts w:hint="eastAsia" w:ascii="宋体" w:hAnsi="宋体" w:eastAsia="宋体" w:cs="宋体"/>
                <w:i w:val="0"/>
                <w:iCs w:val="0"/>
                <w:color w:val="000000"/>
                <w:sz w:val="22"/>
                <w:szCs w:val="22"/>
                <w:u w:val="none"/>
              </w:rPr>
            </w:pPr>
          </w:p>
        </w:tc>
        <w:tc>
          <w:tcPr>
            <w:tcW w:w="8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6529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AA24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bl>
    <w:p w14:paraId="08E2B635">
      <w:pPr>
        <w:pStyle w:val="8"/>
        <w:rPr>
          <w:rFonts w:hint="eastAsia" w:ascii="仿宋" w:hAnsi="仿宋" w:eastAsia="仿宋" w:cs="仿宋"/>
          <w:highlight w:val="none"/>
          <w:lang w:val="en-US" w:eastAsia="zh-CN"/>
        </w:rPr>
      </w:pPr>
    </w:p>
    <w:p w14:paraId="41E64C49">
      <w:pPr>
        <w:pStyle w:val="9"/>
        <w:rPr>
          <w:rFonts w:hint="eastAsia" w:ascii="仿宋" w:hAnsi="仿宋" w:eastAsia="仿宋" w:cs="仿宋"/>
          <w:highlight w:val="none"/>
          <w:lang w:val="en-US" w:eastAsia="zh-CN"/>
        </w:rPr>
      </w:pPr>
    </w:p>
    <w:p w14:paraId="1235C068">
      <w:pPr>
        <w:pStyle w:val="23"/>
        <w:rPr>
          <w:rFonts w:hint="eastAsia" w:ascii="仿宋" w:hAnsi="仿宋" w:eastAsia="仿宋" w:cs="仿宋"/>
          <w:highlight w:val="none"/>
          <w:lang w:val="en-US" w:eastAsia="zh-CN"/>
        </w:rPr>
      </w:pPr>
    </w:p>
    <w:p w14:paraId="7A51425F">
      <w:pPr>
        <w:pStyle w:val="23"/>
        <w:rPr>
          <w:rFonts w:hint="eastAsia" w:ascii="仿宋" w:hAnsi="仿宋" w:eastAsia="仿宋" w:cs="仿宋"/>
          <w:highlight w:val="none"/>
          <w:lang w:val="en-US" w:eastAsia="zh-CN"/>
        </w:rPr>
      </w:pPr>
    </w:p>
    <w:p w14:paraId="2F10DB24">
      <w:pPr>
        <w:keepNext w:val="0"/>
        <w:keepLines w:val="0"/>
        <w:pageBreakBefore w:val="0"/>
        <w:tabs>
          <w:tab w:val="left" w:pos="8190"/>
        </w:tabs>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设计要求</w:t>
      </w:r>
    </w:p>
    <w:p w14:paraId="2805F638">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设计基本要求</w:t>
      </w:r>
    </w:p>
    <w:p w14:paraId="2D45026F">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投标人应对</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的理念和构思有充分</w:t>
      </w:r>
      <w:r>
        <w:rPr>
          <w:rFonts w:hint="eastAsia" w:ascii="仿宋" w:hAnsi="仿宋" w:eastAsia="仿宋" w:cs="仿宋"/>
          <w:color w:val="auto"/>
          <w:sz w:val="24"/>
          <w:szCs w:val="24"/>
          <w:highlight w:val="none"/>
          <w:lang w:eastAsia="zh-CN"/>
        </w:rPr>
        <w:t>地</w:t>
      </w:r>
      <w:r>
        <w:rPr>
          <w:rFonts w:hint="eastAsia" w:ascii="仿宋" w:hAnsi="仿宋" w:eastAsia="仿宋" w:cs="仿宋"/>
          <w:color w:val="auto"/>
          <w:sz w:val="24"/>
          <w:szCs w:val="24"/>
          <w:highlight w:val="none"/>
        </w:rPr>
        <w:t>理解；</w:t>
      </w:r>
    </w:p>
    <w:p w14:paraId="094A84EF">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投标人在设计过程中，要严格按照招标文件的约定，围绕相关现场勘测资料，并结合</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的意见，进行设计工作；</w:t>
      </w:r>
    </w:p>
    <w:p w14:paraId="3BD2012E">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中标人在施工过程中，接受相关的监督指导，不断完善、细化设计；</w:t>
      </w:r>
    </w:p>
    <w:p w14:paraId="23E4F37F">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满足规划方案与施工要求； </w:t>
      </w:r>
    </w:p>
    <w:p w14:paraId="42C60E65">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设计必须保证房屋的整体性、抗震性、消防要求和结构的安全性，要内外协调； </w:t>
      </w:r>
    </w:p>
    <w:p w14:paraId="5AD703B2">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设计方案应符合招标文件要求及国家有关规范规定；</w:t>
      </w:r>
    </w:p>
    <w:p w14:paraId="15532D05">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设计上要品位高雅，充分体现</w:t>
      </w:r>
      <w:r>
        <w:rPr>
          <w:rFonts w:hint="eastAsia" w:ascii="仿宋" w:hAnsi="仿宋" w:eastAsia="仿宋" w:cs="仿宋"/>
          <w:color w:val="auto"/>
          <w:sz w:val="24"/>
          <w:szCs w:val="24"/>
          <w:highlight w:val="none"/>
          <w:lang w:eastAsia="zh-CN"/>
        </w:rPr>
        <w:t>尚学幼儿园</w:t>
      </w:r>
      <w:r>
        <w:rPr>
          <w:rFonts w:hint="eastAsia" w:ascii="仿宋" w:hAnsi="仿宋" w:eastAsia="仿宋" w:cs="仿宋"/>
          <w:color w:val="auto"/>
          <w:sz w:val="24"/>
          <w:szCs w:val="24"/>
          <w:highlight w:val="none"/>
        </w:rPr>
        <w:t>的特色或文化，风格不限；</w:t>
      </w:r>
    </w:p>
    <w:p w14:paraId="57BE7971">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材料选择得当，色彩选配考究，线条处理协调，并且符合国家规范要求，主要部件及配件选用同类产品中的优质品牌；</w:t>
      </w:r>
    </w:p>
    <w:p w14:paraId="6D3E0A6F">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体现“以人为本”的原则，充分满足人的需求，充分考虑不同层次群体的要求；</w:t>
      </w:r>
    </w:p>
    <w:p w14:paraId="47994182">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充分考虑安全性，符合公共场所安全、消防规范；</w:t>
      </w:r>
    </w:p>
    <w:p w14:paraId="1133B76E">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标准及规范必须达到以下现行版的中华人民共和国有关法规的要求，如下列标准及规范要求与标书要求有出入则以较严格者为准。</w:t>
      </w:r>
    </w:p>
    <w:p w14:paraId="0A215913">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《中华人民共和国工程建设标准强制性条文（房屋建筑部分）》</w:t>
      </w:r>
    </w:p>
    <w:p w14:paraId="60DFC365">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《建筑工程设计文件编制深度规定》</w:t>
      </w:r>
    </w:p>
    <w:p w14:paraId="681BE01C">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《建筑内部装修设计防火规范》（GB50222）</w:t>
      </w:r>
    </w:p>
    <w:p w14:paraId="6761A96F">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《建筑装修工程质量验收规范》（GB50210）</w:t>
      </w:r>
    </w:p>
    <w:p w14:paraId="569E46BD">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国家、地方、行业及其它有关规定。</w:t>
      </w:r>
    </w:p>
    <w:p w14:paraId="048F653A">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若设计人使用的标准在本标书的规定外，则应明确说明用于替代的标准或使用规范，并提供所使用的标准，该标准必须是国际公认的同等或更高级的标准。</w:t>
      </w:r>
    </w:p>
    <w:p w14:paraId="662B3342">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设计深度</w:t>
      </w:r>
    </w:p>
    <w:p w14:paraId="1FD0820E">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设计的深度应满足策划方案要求并能按图进行施工（制作），包括（但不限于以下内容）：</w:t>
      </w:r>
    </w:p>
    <w:p w14:paraId="7B7A15B2">
      <w:pPr>
        <w:keepNext w:val="0"/>
        <w:keepLines w:val="0"/>
        <w:pageBreakBefore w:val="0"/>
        <w:kinsoku/>
        <w:wordWrap/>
        <w:overflowPunct/>
        <w:topLinePunct w:val="0"/>
        <w:autoSpaceDE w:val="0"/>
        <w:autoSpaceDN w:val="0"/>
        <w:bidi w:val="0"/>
        <w:adjustRightInd w:val="0"/>
        <w:snapToGrid/>
        <w:spacing w:line="24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设计应包含所有专业的施工（制作）设计图及展项制作与现场施工设计图，其中包括设计说明、材料说明等； </w:t>
      </w:r>
    </w:p>
    <w:p w14:paraId="756C5E26">
      <w:pPr>
        <w:keepNext w:val="0"/>
        <w:keepLines w:val="0"/>
        <w:pageBreakBefore w:val="0"/>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设计文件应提供项目的平面、立面</w:t>
      </w:r>
      <w:r>
        <w:rPr>
          <w:rFonts w:hint="eastAsia" w:ascii="仿宋" w:hAnsi="仿宋" w:eastAsia="仿宋" w:cs="仿宋"/>
          <w:color w:val="auto"/>
          <w:sz w:val="24"/>
          <w:szCs w:val="24"/>
          <w:highlight w:val="none"/>
          <w:shd w:val="clear" w:color="auto" w:fill="FFFFFF"/>
        </w:rPr>
        <w:t>、大样、主要节点图纸、</w:t>
      </w:r>
      <w:r>
        <w:rPr>
          <w:rFonts w:hint="eastAsia" w:ascii="仿宋" w:hAnsi="仿宋" w:eastAsia="仿宋" w:cs="仿宋"/>
          <w:color w:val="auto"/>
          <w:sz w:val="24"/>
          <w:szCs w:val="24"/>
          <w:highlight w:val="none"/>
        </w:rPr>
        <w:t>分解图、</w:t>
      </w:r>
      <w:r>
        <w:rPr>
          <w:rFonts w:hint="eastAsia" w:ascii="仿宋" w:hAnsi="仿宋" w:eastAsia="仿宋" w:cs="仿宋"/>
          <w:color w:val="auto"/>
          <w:sz w:val="24"/>
          <w:szCs w:val="24"/>
          <w:highlight w:val="none"/>
          <w:shd w:val="clear" w:color="auto" w:fill="FFFFFF"/>
        </w:rPr>
        <w:t>透</w:t>
      </w:r>
      <w:r>
        <w:rPr>
          <w:rFonts w:hint="eastAsia" w:ascii="仿宋" w:hAnsi="仿宋" w:eastAsia="仿宋" w:cs="仿宋"/>
          <w:color w:val="auto"/>
          <w:sz w:val="24"/>
          <w:szCs w:val="24"/>
          <w:highlight w:val="none"/>
        </w:rPr>
        <w:t>视效果图、用料及规格、性能、技术标准、制作程序、详细的材料及其报价分析表以及其它要求的各项技术参数；</w:t>
      </w:r>
    </w:p>
    <w:p w14:paraId="1B07B9FE">
      <w:pPr>
        <w:keepNext w:val="0"/>
        <w:keepLines w:val="0"/>
        <w:pageBreakBefore w:val="0"/>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设计应包含项目的尺寸、形状、结构、材质、模型、技术、字体、排版、颜色、布局、印刷方式、工艺、功能等；</w:t>
      </w:r>
    </w:p>
    <w:p w14:paraId="21092BFC">
      <w:pPr>
        <w:keepNext w:val="0"/>
        <w:keepLines w:val="0"/>
        <w:pageBreakBefore w:val="0"/>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设计单位应用文字的形式详细叙述将如何以展示策划文本为基础推进深化设计，包括深化（施工图）设计的顺序、方法、具体的工程制作顺序以及在制作阶段（短期内）从制作到设置安装的实施办法；</w:t>
      </w:r>
    </w:p>
    <w:p w14:paraId="2FA72D3B">
      <w:pPr>
        <w:keepNext w:val="0"/>
        <w:keepLines w:val="0"/>
        <w:pageBreakBefore w:val="0"/>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本次设计必须满足安防监控要求、防火规范、消防设施设计规范及有关规定。</w:t>
      </w:r>
    </w:p>
    <w:p w14:paraId="344FBB4E">
      <w:pPr>
        <w:keepNext w:val="0"/>
        <w:keepLines w:val="0"/>
        <w:pageBreakBefore w:val="0"/>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项目管理的要求</w:t>
      </w:r>
    </w:p>
    <w:p w14:paraId="7A0585DB">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本项目发包范围内的设计项目，未经</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同意，不得分包。一经发现立即取消中标资格，作违约处理，并承担由此引起的一切经济损失。</w:t>
      </w:r>
    </w:p>
    <w:p w14:paraId="39284580">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中标人应严格按设计图纸和已确认的布展技术方案组织布展，并无条件地接受</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对布展质量的监督和管理。</w:t>
      </w:r>
    </w:p>
    <w:p w14:paraId="499DBBDB">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投标人在投标文件中承诺的设计负责人、设计班子主要成员、项目经理及相应资质的专业技术、管理人员未经</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书面同意，不得调换和撤离，并按工程进度及时到位。</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有权要求中标人撤换工作不负责任、管理不力、贻误工期和造成严重的安全事故和工程质量事故、违法乱纪的专业技术、管理人员直至项目经理，直至</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满意为止。如项目经理及相应资质的专业技术人员未按要求到位，视作违约，</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有权单方面终止合同。</w:t>
      </w:r>
    </w:p>
    <w:p w14:paraId="20067313">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由于布展场地和项目的特殊性，要求中标人在开工之前和布展期间做好安全文明标化管理，要求在投标文件中阐述有关布展方案和管理措施，并作出相应承诺，确保场内外道路清洁畅通，确保来往车辆、人员、布展安全</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项目服务期间发生的所有安全责任事故，由中标单位负全部责任。</w:t>
      </w:r>
      <w:r>
        <w:rPr>
          <w:rFonts w:hint="eastAsia" w:ascii="仿宋" w:hAnsi="仿宋" w:eastAsia="仿宋" w:cs="仿宋"/>
          <w:b/>
          <w:bCs/>
          <w:color w:val="auto"/>
          <w:sz w:val="24"/>
          <w:szCs w:val="24"/>
          <w:highlight w:val="none"/>
          <w:lang w:val="en-US" w:eastAsia="zh-CN"/>
        </w:rPr>
        <w:t>技术文件中须</w:t>
      </w:r>
      <w:r>
        <w:rPr>
          <w:rFonts w:hint="eastAsia" w:ascii="仿宋" w:hAnsi="仿宋" w:eastAsia="仿宋" w:cs="仿宋"/>
          <w:b/>
          <w:bCs/>
          <w:color w:val="auto"/>
          <w:sz w:val="24"/>
          <w:szCs w:val="24"/>
          <w:highlight w:val="none"/>
        </w:rPr>
        <w:t>提供书面承诺</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格式自拟</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w:t>
      </w:r>
    </w:p>
    <w:p w14:paraId="558B794B">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lang w:val="en-US" w:eastAsia="zh-CN"/>
        </w:rPr>
        <w:t>（四）</w:t>
      </w:r>
      <w:r>
        <w:rPr>
          <w:rFonts w:hint="eastAsia" w:ascii="仿宋" w:hAnsi="仿宋" w:eastAsia="仿宋" w:cs="仿宋"/>
          <w:b/>
          <w:bCs/>
          <w:color w:val="auto"/>
          <w:sz w:val="24"/>
          <w:szCs w:val="24"/>
          <w:highlight w:val="none"/>
        </w:rPr>
        <w:t>其他要求</w:t>
      </w:r>
    </w:p>
    <w:p w14:paraId="4E164A38">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w:t>
      </w:r>
      <w:r>
        <w:rPr>
          <w:rFonts w:hint="eastAsia" w:ascii="仿宋" w:hAnsi="仿宋" w:eastAsia="仿宋" w:cs="仿宋"/>
          <w:color w:val="auto"/>
          <w:sz w:val="24"/>
          <w:szCs w:val="24"/>
          <w:highlight w:val="none"/>
          <w:lang w:val="en-US" w:eastAsia="zh-CN"/>
        </w:rPr>
        <w:t>可进行</w:t>
      </w:r>
      <w:r>
        <w:rPr>
          <w:rFonts w:hint="eastAsia" w:ascii="仿宋" w:hAnsi="仿宋" w:eastAsia="仿宋" w:cs="仿宋"/>
          <w:color w:val="auto"/>
          <w:sz w:val="24"/>
          <w:szCs w:val="24"/>
          <w:highlight w:val="none"/>
        </w:rPr>
        <w:t>现场勘察，与采购人充分对接沟通，了解采购人的项目需求情况，自行设计提升设计制作方案，在投标时提供主题规划、空间原始照片、效果图、材质说明、平立面CAD及尺寸标注等设计方案。</w:t>
      </w:r>
    </w:p>
    <w:p w14:paraId="749CD951">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2.中标人的深化设计得到</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的确认合格后，方可进入下一步的制作布展。</w:t>
      </w:r>
    </w:p>
    <w:p w14:paraId="01AB5413">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★3.中标方案不作为最终布展方案，业主有权要求中标人对方案进行修改，直至业主确认为止，其间发生的费用由中标人承担。若经修改、完善后仍不能达到要求，则</w:t>
      </w:r>
      <w:r>
        <w:rPr>
          <w:rFonts w:hint="eastAsia" w:ascii="仿宋" w:hAnsi="仿宋" w:eastAsia="仿宋" w:cs="仿宋"/>
          <w:b/>
          <w:bCs/>
          <w:color w:val="auto"/>
          <w:sz w:val="24"/>
          <w:szCs w:val="24"/>
          <w:highlight w:val="none"/>
          <w:lang w:eastAsia="zh-CN"/>
        </w:rPr>
        <w:t>采购人</w:t>
      </w:r>
      <w:r>
        <w:rPr>
          <w:rFonts w:hint="eastAsia" w:ascii="仿宋" w:hAnsi="仿宋" w:eastAsia="仿宋" w:cs="仿宋"/>
          <w:b/>
          <w:bCs/>
          <w:color w:val="auto"/>
          <w:sz w:val="24"/>
          <w:szCs w:val="24"/>
          <w:highlight w:val="none"/>
        </w:rPr>
        <w:t>有权不支付该项的费用并处以中标人该工程造价的</w:t>
      </w:r>
      <w:r>
        <w:rPr>
          <w:rFonts w:hint="eastAsia" w:ascii="仿宋" w:hAnsi="仿宋" w:eastAsia="仿宋" w:cs="仿宋"/>
          <w:b/>
          <w:bCs/>
          <w:color w:val="auto"/>
          <w:sz w:val="24"/>
          <w:szCs w:val="24"/>
          <w:highlight w:val="none"/>
          <w:lang w:eastAsia="zh-CN"/>
        </w:rPr>
        <w:t>50%-100%</w:t>
      </w:r>
      <w:r>
        <w:rPr>
          <w:rFonts w:hint="eastAsia" w:ascii="仿宋" w:hAnsi="仿宋" w:eastAsia="仿宋" w:cs="仿宋"/>
          <w:b/>
          <w:bCs/>
          <w:color w:val="auto"/>
          <w:sz w:val="24"/>
          <w:szCs w:val="24"/>
          <w:highlight w:val="none"/>
        </w:rPr>
        <w:t>的罚款，并要求其承担相关责任。</w:t>
      </w:r>
      <w:r>
        <w:rPr>
          <w:rFonts w:hint="eastAsia" w:ascii="仿宋" w:hAnsi="仿宋" w:eastAsia="仿宋" w:cs="仿宋"/>
          <w:b/>
          <w:bCs/>
          <w:color w:val="auto"/>
          <w:sz w:val="24"/>
          <w:szCs w:val="24"/>
          <w:highlight w:val="none"/>
          <w:lang w:val="en-US" w:eastAsia="zh-CN"/>
        </w:rPr>
        <w:t>技术文件中须</w:t>
      </w:r>
      <w:r>
        <w:rPr>
          <w:rFonts w:hint="eastAsia" w:ascii="仿宋" w:hAnsi="仿宋" w:eastAsia="仿宋" w:cs="仿宋"/>
          <w:b/>
          <w:bCs/>
          <w:color w:val="auto"/>
          <w:sz w:val="24"/>
          <w:szCs w:val="24"/>
          <w:highlight w:val="none"/>
        </w:rPr>
        <w:t>提供书面承诺</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格式自拟</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w:t>
      </w:r>
    </w:p>
    <w:p w14:paraId="2F857858">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本项目工期为</w:t>
      </w:r>
      <w:r>
        <w:rPr>
          <w:rFonts w:hint="eastAsia" w:ascii="仿宋" w:hAnsi="仿宋" w:eastAsia="仿宋" w:cs="仿宋"/>
          <w:color w:val="auto"/>
          <w:sz w:val="24"/>
          <w:szCs w:val="24"/>
          <w:highlight w:val="none"/>
          <w:lang w:val="en-US" w:eastAsia="zh-CN"/>
        </w:rPr>
        <w:t>20日历天。</w:t>
      </w:r>
    </w:p>
    <w:p w14:paraId="73FB4C22">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中标人应提供不少于一年的免费保修期（自最终验收合格之日起计）。</w:t>
      </w:r>
      <w:r>
        <w:rPr>
          <w:rFonts w:hint="eastAsia" w:ascii="仿宋" w:hAnsi="仿宋" w:eastAsia="仿宋" w:cs="仿宋"/>
          <w:color w:val="auto"/>
          <w:sz w:val="24"/>
          <w:szCs w:val="24"/>
          <w:highlight w:val="none"/>
          <w:lang w:val="en-US" w:eastAsia="zh-CN"/>
        </w:rPr>
        <w:t xml:space="preserve"> </w:t>
      </w:r>
    </w:p>
    <w:p w14:paraId="4E6FC250">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保修期内，中标人应在接到</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通知二十四小时内到场保修；否则，</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将另派人员修理，修理费从质量保证金中按实扣支。</w:t>
      </w:r>
    </w:p>
    <w:p w14:paraId="3919D54F">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保修期结束后，中标人仍应对</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保证及时、良好的维护服务</w:t>
      </w:r>
      <w:r>
        <w:rPr>
          <w:rFonts w:hint="eastAsia" w:ascii="仿宋" w:hAnsi="仿宋" w:eastAsia="仿宋" w:cs="仿宋"/>
          <w:color w:val="auto"/>
          <w:sz w:val="24"/>
          <w:szCs w:val="24"/>
          <w:highlight w:val="none"/>
          <w:lang w:eastAsia="zh-CN"/>
        </w:rPr>
        <w:t>，维护费用中只包括材料费、人工费、税费、运输费，不涵盖企业利润</w:t>
      </w:r>
      <w:r>
        <w:rPr>
          <w:rFonts w:hint="eastAsia" w:ascii="仿宋" w:hAnsi="仿宋" w:eastAsia="仿宋" w:cs="仿宋"/>
          <w:color w:val="auto"/>
          <w:sz w:val="24"/>
          <w:szCs w:val="24"/>
          <w:highlight w:val="none"/>
        </w:rPr>
        <w:t>。</w:t>
      </w:r>
    </w:p>
    <w:p w14:paraId="55ABC51A">
      <w:pPr>
        <w:keepNext w:val="0"/>
        <w:keepLines w:val="0"/>
        <w:pageBreakBefore w:val="0"/>
        <w:shd w:val="clear" w:color="auto" w:fill="auto"/>
        <w:kinsoku/>
        <w:wordWrap/>
        <w:overflowPunct/>
        <w:topLinePunct w:val="0"/>
        <w:autoSpaceDE w:val="0"/>
        <w:autoSpaceDN w:val="0"/>
        <w:bidi w:val="0"/>
        <w:adjustRightInd w:val="0"/>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.项目服务期间发生的所有安全责任事故，由中标单位负全部责任。</w:t>
      </w:r>
    </w:p>
    <w:p w14:paraId="08A804CA">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.本项目发包范围内，不得分包和转包。一经发现立即取消中标资格，作违约处理，并承担由此引起的一切经济损失。</w:t>
      </w:r>
    </w:p>
    <w:p w14:paraId="1B3D6C6D">
      <w:pPr>
        <w:spacing w:line="240" w:lineRule="auto"/>
        <w:ind w:firstLine="480" w:firstLineChars="200"/>
        <w:rPr>
          <w:rFonts w:hint="eastAsia" w:ascii="仿宋" w:hAnsi="仿宋" w:eastAsia="仿宋" w:cs="仿宋"/>
          <w:color w:val="auto"/>
          <w:sz w:val="24"/>
          <w:szCs w:val="24"/>
          <w:highlight w:val="none"/>
        </w:rPr>
      </w:pPr>
    </w:p>
    <w:p w14:paraId="47F78BA4">
      <w:pPr>
        <w:spacing w:line="24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（五）履约保证金及付款方式</w:t>
      </w:r>
    </w:p>
    <w:p w14:paraId="6886535F">
      <w:pPr>
        <w:keepNext w:val="0"/>
        <w:keepLines w:val="0"/>
        <w:pageBreakBefore w:val="0"/>
        <w:widowControl w:val="0"/>
        <w:kinsoku/>
        <w:wordWrap/>
        <w:overflowPunct/>
        <w:topLinePunct w:val="0"/>
        <w:autoSpaceDE/>
        <w:autoSpaceDN/>
        <w:bidi w:val="0"/>
        <w:adjustRightInd w:val="0"/>
        <w:snapToGrid w:val="0"/>
        <w:spacing w:line="240" w:lineRule="auto"/>
        <w:ind w:left="0"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履约保证金：</w:t>
      </w:r>
      <w:r>
        <w:rPr>
          <w:rFonts w:hint="eastAsia" w:ascii="仿宋" w:hAnsi="仿宋" w:eastAsia="仿宋" w:cs="仿宋"/>
          <w:color w:val="auto"/>
          <w:kern w:val="2"/>
          <w:sz w:val="24"/>
          <w:szCs w:val="24"/>
          <w:highlight w:val="none"/>
          <w:lang w:val="en-US" w:eastAsia="zh-CN" w:bidi="ar-SA"/>
        </w:rPr>
        <w:t>签订合同时，中标人须向采购人缴纳合同金额2%的履约保证金，项目实施完成并经验收合格无任何问题15天内退回（不计息）。</w:t>
      </w:r>
    </w:p>
    <w:p w14:paraId="5F6C1D99">
      <w:pPr>
        <w:keepNext w:val="0"/>
        <w:keepLines w:val="0"/>
        <w:pageBreakBefore w:val="0"/>
        <w:widowControl w:val="0"/>
        <w:kinsoku/>
        <w:wordWrap/>
        <w:overflowPunct/>
        <w:topLinePunct w:val="0"/>
        <w:autoSpaceDE/>
        <w:autoSpaceDN/>
        <w:bidi w:val="0"/>
        <w:adjustRightInd w:val="0"/>
        <w:snapToGrid w:val="0"/>
        <w:spacing w:line="240" w:lineRule="auto"/>
        <w:ind w:left="0"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注：中标人通过基本账户银行转账或电汇方式缴纳履约保证金，凭银行缴款凭证至马剑镇建辉村经济股份合作社开具履约保证金收据。</w:t>
      </w:r>
    </w:p>
    <w:p w14:paraId="0B056611">
      <w:pPr>
        <w:keepNext w:val="0"/>
        <w:keepLines w:val="0"/>
        <w:pageBreakBefore w:val="0"/>
        <w:widowControl w:val="0"/>
        <w:kinsoku/>
        <w:wordWrap/>
        <w:overflowPunct/>
        <w:topLinePunct w:val="0"/>
        <w:autoSpaceDE/>
        <w:autoSpaceDN/>
        <w:bidi w:val="0"/>
        <w:adjustRightInd w:val="0"/>
        <w:snapToGrid w:val="0"/>
        <w:spacing w:line="240" w:lineRule="auto"/>
        <w:ind w:left="0"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收款单位：诸暨市马剑镇建辉村股份经济合作社</w:t>
      </w:r>
    </w:p>
    <w:p w14:paraId="72864ABD">
      <w:pPr>
        <w:keepNext w:val="0"/>
        <w:keepLines w:val="0"/>
        <w:pageBreakBefore w:val="0"/>
        <w:widowControl w:val="0"/>
        <w:kinsoku/>
        <w:wordWrap/>
        <w:overflowPunct/>
        <w:topLinePunct w:val="0"/>
        <w:autoSpaceDE/>
        <w:autoSpaceDN/>
        <w:bidi w:val="0"/>
        <w:adjustRightInd w:val="0"/>
        <w:snapToGrid w:val="0"/>
        <w:spacing w:line="240" w:lineRule="auto"/>
        <w:ind w:left="0"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开户银行：浙江诸暨农村商业银行股份有限公司马剑支行 </w:t>
      </w:r>
    </w:p>
    <w:p w14:paraId="4BFFB7A2">
      <w:pPr>
        <w:keepNext w:val="0"/>
        <w:keepLines w:val="0"/>
        <w:pageBreakBefore w:val="0"/>
        <w:widowControl w:val="0"/>
        <w:kinsoku/>
        <w:wordWrap/>
        <w:overflowPunct/>
        <w:topLinePunct w:val="0"/>
        <w:autoSpaceDE/>
        <w:autoSpaceDN/>
        <w:bidi w:val="0"/>
        <w:adjustRightInd w:val="0"/>
        <w:snapToGrid w:val="0"/>
        <w:spacing w:line="240" w:lineRule="auto"/>
        <w:ind w:left="0"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银行帐号：201000032602942</w:t>
      </w:r>
    </w:p>
    <w:p w14:paraId="698BE80E">
      <w:pPr>
        <w:spacing w:line="24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付款方式：项目全部</w:t>
      </w:r>
      <w:r>
        <w:rPr>
          <w:rFonts w:hint="eastAsia" w:ascii="仿宋" w:hAnsi="仿宋" w:eastAsia="仿宋" w:cs="仿宋"/>
          <w:bCs/>
          <w:color w:val="auto"/>
          <w:sz w:val="24"/>
          <w:szCs w:val="24"/>
          <w:highlight w:val="none"/>
          <w:lang w:val="en-US" w:eastAsia="zh-CN"/>
        </w:rPr>
        <w:t>布展内容</w:t>
      </w:r>
      <w:r>
        <w:rPr>
          <w:rFonts w:hint="eastAsia" w:ascii="仿宋" w:hAnsi="仿宋" w:eastAsia="仿宋" w:cs="仿宋"/>
          <w:bCs/>
          <w:color w:val="auto"/>
          <w:sz w:val="24"/>
          <w:szCs w:val="24"/>
          <w:highlight w:val="none"/>
        </w:rPr>
        <w:t>完工并通过验收后</w:t>
      </w:r>
      <w:r>
        <w:rPr>
          <w:rFonts w:hint="eastAsia" w:ascii="仿宋" w:hAnsi="仿宋" w:eastAsia="仿宋" w:cs="仿宋"/>
          <w:bCs/>
          <w:color w:val="auto"/>
          <w:sz w:val="24"/>
          <w:szCs w:val="24"/>
          <w:highlight w:val="none"/>
          <w:lang w:val="en-US" w:eastAsia="zh-CN"/>
        </w:rPr>
        <w:t>以镇里拨付为准付款，中标人需按照采购人要求提供正规的增值税发票，采购人在收到发票后30日内支付相应费用</w:t>
      </w:r>
      <w:r>
        <w:rPr>
          <w:rFonts w:hint="eastAsia" w:ascii="仿宋" w:hAnsi="仿宋" w:eastAsia="仿宋" w:cs="仿宋"/>
          <w:bCs/>
          <w:color w:val="auto"/>
          <w:sz w:val="24"/>
          <w:szCs w:val="24"/>
          <w:highlight w:val="none"/>
        </w:rPr>
        <w:t>。</w:t>
      </w:r>
    </w:p>
    <w:p w14:paraId="7F420844">
      <w:pPr>
        <w:spacing w:line="240" w:lineRule="auto"/>
        <w:ind w:firstLine="480" w:firstLineChars="200"/>
        <w:rPr>
          <w:rFonts w:hint="eastAsia" w:ascii="仿宋" w:hAnsi="仿宋" w:eastAsia="仿宋" w:cs="仿宋"/>
          <w:bCs/>
          <w:color w:val="auto"/>
          <w:sz w:val="24"/>
          <w:szCs w:val="24"/>
          <w:highlight w:val="none"/>
        </w:rPr>
      </w:pPr>
    </w:p>
    <w:p w14:paraId="6037C8B9">
      <w:pPr>
        <w:spacing w:line="240" w:lineRule="auto"/>
        <w:ind w:firstLine="480"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（六）最高限价</w:t>
      </w:r>
    </w:p>
    <w:p w14:paraId="5EB25B40">
      <w:pPr>
        <w:widowControl/>
        <w:autoSpaceDE/>
        <w:autoSpaceDN/>
        <w:adjustRightInd/>
        <w:spacing w:line="24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highlight w:val="none"/>
        </w:rPr>
        <w:t>本次采购最高限价为人民币</w:t>
      </w:r>
      <w:r>
        <w:rPr>
          <w:rFonts w:hint="eastAsia" w:ascii="仿宋" w:hAnsi="仿宋" w:eastAsia="仿宋" w:cs="仿宋"/>
          <w:bCs/>
          <w:color w:val="auto"/>
          <w:sz w:val="24"/>
          <w:highlight w:val="none"/>
          <w:lang w:val="en-US" w:eastAsia="zh-CN"/>
        </w:rPr>
        <w:t>贰拾玖万</w:t>
      </w:r>
      <w:r>
        <w:rPr>
          <w:rFonts w:hint="eastAsia" w:ascii="仿宋" w:hAnsi="仿宋" w:eastAsia="仿宋" w:cs="仿宋"/>
          <w:bCs/>
          <w:color w:val="auto"/>
          <w:sz w:val="24"/>
          <w:highlight w:val="none"/>
        </w:rPr>
        <w:t>元（¥</w:t>
      </w:r>
      <w:r>
        <w:rPr>
          <w:rFonts w:hint="eastAsia" w:ascii="仿宋" w:hAnsi="仿宋" w:eastAsia="仿宋" w:cs="仿宋"/>
          <w:bCs/>
          <w:color w:val="auto"/>
          <w:sz w:val="24"/>
          <w:highlight w:val="none"/>
          <w:lang w:val="en-US" w:eastAsia="zh-CN"/>
        </w:rPr>
        <w:t>:290000</w:t>
      </w:r>
      <w:r>
        <w:rPr>
          <w:rFonts w:hint="eastAsia" w:ascii="仿宋" w:hAnsi="仿宋" w:eastAsia="仿宋" w:cs="仿宋"/>
          <w:bCs/>
          <w:color w:val="auto"/>
          <w:sz w:val="24"/>
          <w:highlight w:val="none"/>
        </w:rPr>
        <w:t>.00）整，任何超过最高限价的报价将被认定为无效报价。</w:t>
      </w:r>
      <w:r>
        <w:rPr>
          <w:rFonts w:hint="eastAsia" w:ascii="仿宋" w:hAnsi="仿宋" w:eastAsia="仿宋" w:cs="仿宋"/>
          <w:bCs/>
          <w:color w:val="auto"/>
          <w:sz w:val="24"/>
          <w:highlight w:val="none"/>
          <w:lang w:val="en-US" w:eastAsia="zh-CN"/>
        </w:rPr>
        <w:t>报价包含了设计、材料、人工、运费、方案深化、安全文明措施、税费等所有费用。</w:t>
      </w:r>
    </w:p>
    <w:p w14:paraId="7D11B9CD">
      <w:pPr>
        <w:spacing w:line="240" w:lineRule="auto"/>
        <w:ind w:firstLine="480" w:firstLineChars="200"/>
        <w:outlineLvl w:val="1"/>
        <w:rPr>
          <w:rFonts w:ascii="仿宋" w:hAnsi="仿宋" w:eastAsia="仿宋"/>
          <w:b/>
          <w:color w:val="auto"/>
          <w:sz w:val="24"/>
          <w:szCs w:val="24"/>
          <w:highlight w:val="none"/>
        </w:rPr>
      </w:pPr>
      <w:r>
        <w:rPr>
          <w:rFonts w:hint="eastAsia" w:ascii="仿宋" w:hAnsi="仿宋" w:eastAsia="仿宋" w:cs="仿宋"/>
          <w:sz w:val="24"/>
          <w:szCs w:val="24"/>
          <w:highlight w:val="none"/>
          <w:lang w:val="en-US" w:eastAsia="zh-CN"/>
        </w:rPr>
        <w:t xml:space="preserve"> 注：</w:t>
      </w:r>
      <w:r>
        <w:rPr>
          <w:rFonts w:hint="eastAsia" w:ascii="仿宋" w:hAnsi="仿宋" w:eastAsia="仿宋" w:cs="仿宋"/>
          <w:b/>
          <w:sz w:val="24"/>
          <w:szCs w:val="24"/>
          <w:highlight w:val="none"/>
        </w:rPr>
        <w:t>★为实质性响应条款，不满足作无效标处理</w:t>
      </w:r>
      <w:r>
        <w:rPr>
          <w:rFonts w:hint="eastAsia" w:ascii="仿宋" w:hAnsi="仿宋" w:eastAsia="仿宋" w:cs="仿宋"/>
          <w:b/>
          <w:sz w:val="24"/>
          <w:szCs w:val="24"/>
          <w:highlight w:val="none"/>
          <w:lang w:eastAsia="zh-CN"/>
        </w:rPr>
        <w:t>。</w:t>
      </w:r>
      <w:bookmarkStart w:id="3" w:name="_GoBack"/>
      <w:bookmarkEnd w:id="3"/>
    </w:p>
    <w:sectPr>
      <w:headerReference r:id="rId3" w:type="default"/>
      <w:footerReference r:id="rId4" w:type="default"/>
      <w:pgSz w:w="11906" w:h="16838"/>
      <w:pgMar w:top="1134" w:right="1418" w:bottom="1021" w:left="1418" w:header="0" w:footer="283" w:gutter="0"/>
      <w:pgNumType w:fmt="numberInDash"/>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0C608">
    <w:pPr>
      <w:pStyle w:val="14"/>
      <w:jc w:val="center"/>
    </w:pPr>
    <w:r>
      <w:fldChar w:fldCharType="begin"/>
    </w:r>
    <w:r>
      <w:instrText xml:space="preserve">PAGE   \* MERGEFORMAT</w:instrText>
    </w:r>
    <w:r>
      <w:fldChar w:fldCharType="separate"/>
    </w:r>
    <w:r>
      <w:rPr>
        <w:lang w:val="zh-CN"/>
      </w:rPr>
      <w:t>-</w:t>
    </w:r>
    <w:r>
      <w:t xml:space="preserve"> 10 -</w:t>
    </w:r>
    <w:r>
      <w:fldChar w:fldCharType="end"/>
    </w:r>
  </w:p>
  <w:p w14:paraId="6A85F8D1">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DC2EB">
    <w:pPr>
      <w:pStyle w:val="15"/>
      <w:pBdr>
        <w:bottom w:val="none" w:color="auto" w:sz="0" w:space="1"/>
      </w:pBdr>
      <w:rPr>
        <w:sz w:val="21"/>
        <w:szCs w:val="21"/>
      </w:rPr>
    </w:pPr>
  </w:p>
  <w:p w14:paraId="7C13D844">
    <w:pPr>
      <w:pStyle w:val="15"/>
      <w:pBdr>
        <w:bottom w:val="none" w:color="auto" w:sz="0" w:space="1"/>
      </w:pBdr>
      <w:rPr>
        <w:sz w:val="21"/>
        <w:szCs w:val="21"/>
      </w:rPr>
    </w:pPr>
  </w:p>
  <w:p w14:paraId="6745813D">
    <w:pPr>
      <w:pStyle w:val="15"/>
      <w:pBdr>
        <w:bottom w:val="none" w:color="auto" w:sz="0" w:space="1"/>
      </w:pBdr>
      <w:rPr>
        <w:rFonts w:ascii="宋体" w:hAnsi="宋体" w:eastAsia="宋体"/>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E2BF4D"/>
    <w:multiLevelType w:val="singleLevel"/>
    <w:tmpl w:val="ACE2BF4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FhYjQ2MzEzMTY3NTJmMGQyZjA0NzlkYmQwMWQyNzQifQ=="/>
  </w:docVars>
  <w:rsids>
    <w:rsidRoot w:val="00F478FD"/>
    <w:rsid w:val="000006C2"/>
    <w:rsid w:val="00000D0E"/>
    <w:rsid w:val="00001FAC"/>
    <w:rsid w:val="000020E9"/>
    <w:rsid w:val="00003271"/>
    <w:rsid w:val="000055CE"/>
    <w:rsid w:val="00006852"/>
    <w:rsid w:val="00006916"/>
    <w:rsid w:val="0000717E"/>
    <w:rsid w:val="00007ADD"/>
    <w:rsid w:val="0001026C"/>
    <w:rsid w:val="00011BB2"/>
    <w:rsid w:val="00011C1C"/>
    <w:rsid w:val="00012846"/>
    <w:rsid w:val="00013291"/>
    <w:rsid w:val="00013AF4"/>
    <w:rsid w:val="00013DA0"/>
    <w:rsid w:val="000140A6"/>
    <w:rsid w:val="00014BBE"/>
    <w:rsid w:val="00016553"/>
    <w:rsid w:val="00024653"/>
    <w:rsid w:val="00026E63"/>
    <w:rsid w:val="00027A4D"/>
    <w:rsid w:val="00030DCB"/>
    <w:rsid w:val="00031084"/>
    <w:rsid w:val="00031713"/>
    <w:rsid w:val="00031950"/>
    <w:rsid w:val="00031DD5"/>
    <w:rsid w:val="00033078"/>
    <w:rsid w:val="00033A5C"/>
    <w:rsid w:val="00034062"/>
    <w:rsid w:val="00034CA8"/>
    <w:rsid w:val="000350EA"/>
    <w:rsid w:val="000362D4"/>
    <w:rsid w:val="000404A2"/>
    <w:rsid w:val="00040AB1"/>
    <w:rsid w:val="00042D71"/>
    <w:rsid w:val="000437B5"/>
    <w:rsid w:val="00044329"/>
    <w:rsid w:val="00044382"/>
    <w:rsid w:val="000446D8"/>
    <w:rsid w:val="00045C5B"/>
    <w:rsid w:val="00046634"/>
    <w:rsid w:val="00046650"/>
    <w:rsid w:val="00046776"/>
    <w:rsid w:val="00050316"/>
    <w:rsid w:val="00050799"/>
    <w:rsid w:val="00051AE2"/>
    <w:rsid w:val="000521A7"/>
    <w:rsid w:val="000523F7"/>
    <w:rsid w:val="000525CB"/>
    <w:rsid w:val="0005454E"/>
    <w:rsid w:val="000568CF"/>
    <w:rsid w:val="00057029"/>
    <w:rsid w:val="00057FB9"/>
    <w:rsid w:val="00060F8D"/>
    <w:rsid w:val="0006171A"/>
    <w:rsid w:val="0006188A"/>
    <w:rsid w:val="00062841"/>
    <w:rsid w:val="00062A04"/>
    <w:rsid w:val="00063130"/>
    <w:rsid w:val="00065BD0"/>
    <w:rsid w:val="000711AD"/>
    <w:rsid w:val="00071DA9"/>
    <w:rsid w:val="00071E18"/>
    <w:rsid w:val="0007774D"/>
    <w:rsid w:val="000805BE"/>
    <w:rsid w:val="0008172B"/>
    <w:rsid w:val="00084124"/>
    <w:rsid w:val="000842B9"/>
    <w:rsid w:val="000870D5"/>
    <w:rsid w:val="00090297"/>
    <w:rsid w:val="00090637"/>
    <w:rsid w:val="00092E25"/>
    <w:rsid w:val="000943B0"/>
    <w:rsid w:val="00094E7A"/>
    <w:rsid w:val="00095AA9"/>
    <w:rsid w:val="000968BB"/>
    <w:rsid w:val="00097165"/>
    <w:rsid w:val="000A0484"/>
    <w:rsid w:val="000A2E4E"/>
    <w:rsid w:val="000A3333"/>
    <w:rsid w:val="000A3DAE"/>
    <w:rsid w:val="000A5EC6"/>
    <w:rsid w:val="000B1DE7"/>
    <w:rsid w:val="000B6E19"/>
    <w:rsid w:val="000B7327"/>
    <w:rsid w:val="000C17E3"/>
    <w:rsid w:val="000C3023"/>
    <w:rsid w:val="000C384D"/>
    <w:rsid w:val="000C5990"/>
    <w:rsid w:val="000C5E5C"/>
    <w:rsid w:val="000D000F"/>
    <w:rsid w:val="000D1471"/>
    <w:rsid w:val="000D1F31"/>
    <w:rsid w:val="000D343C"/>
    <w:rsid w:val="000D4C80"/>
    <w:rsid w:val="000D4E1D"/>
    <w:rsid w:val="000D797D"/>
    <w:rsid w:val="000E0607"/>
    <w:rsid w:val="000E2FA3"/>
    <w:rsid w:val="000E6E8C"/>
    <w:rsid w:val="000F01CA"/>
    <w:rsid w:val="000F036B"/>
    <w:rsid w:val="000F52B2"/>
    <w:rsid w:val="000F6EBF"/>
    <w:rsid w:val="00100703"/>
    <w:rsid w:val="00100983"/>
    <w:rsid w:val="001013F1"/>
    <w:rsid w:val="00101918"/>
    <w:rsid w:val="00101FD0"/>
    <w:rsid w:val="0010222C"/>
    <w:rsid w:val="0010304F"/>
    <w:rsid w:val="00104EAF"/>
    <w:rsid w:val="0011026A"/>
    <w:rsid w:val="00110D5A"/>
    <w:rsid w:val="00111C2D"/>
    <w:rsid w:val="00112E22"/>
    <w:rsid w:val="00114534"/>
    <w:rsid w:val="001161A2"/>
    <w:rsid w:val="001165C5"/>
    <w:rsid w:val="0012189B"/>
    <w:rsid w:val="00124C2A"/>
    <w:rsid w:val="0012503A"/>
    <w:rsid w:val="001303B2"/>
    <w:rsid w:val="00131EC3"/>
    <w:rsid w:val="00132C99"/>
    <w:rsid w:val="0013395F"/>
    <w:rsid w:val="001355A0"/>
    <w:rsid w:val="00137674"/>
    <w:rsid w:val="001376FA"/>
    <w:rsid w:val="00137BE9"/>
    <w:rsid w:val="00140F3D"/>
    <w:rsid w:val="001441FC"/>
    <w:rsid w:val="0014489F"/>
    <w:rsid w:val="00144A21"/>
    <w:rsid w:val="00144F63"/>
    <w:rsid w:val="001456C4"/>
    <w:rsid w:val="00150763"/>
    <w:rsid w:val="00150D5E"/>
    <w:rsid w:val="00153434"/>
    <w:rsid w:val="0015643E"/>
    <w:rsid w:val="00156750"/>
    <w:rsid w:val="0016013B"/>
    <w:rsid w:val="00160CEF"/>
    <w:rsid w:val="00161E93"/>
    <w:rsid w:val="00162A5D"/>
    <w:rsid w:val="00162F84"/>
    <w:rsid w:val="00163130"/>
    <w:rsid w:val="0016391F"/>
    <w:rsid w:val="00170AC5"/>
    <w:rsid w:val="00171955"/>
    <w:rsid w:val="001719A2"/>
    <w:rsid w:val="0017327A"/>
    <w:rsid w:val="0017362E"/>
    <w:rsid w:val="001761B9"/>
    <w:rsid w:val="00180430"/>
    <w:rsid w:val="00181AC2"/>
    <w:rsid w:val="00183E05"/>
    <w:rsid w:val="00185D23"/>
    <w:rsid w:val="0018602B"/>
    <w:rsid w:val="001875A1"/>
    <w:rsid w:val="00191B89"/>
    <w:rsid w:val="0019343D"/>
    <w:rsid w:val="0019345A"/>
    <w:rsid w:val="00195610"/>
    <w:rsid w:val="001A1A74"/>
    <w:rsid w:val="001A2636"/>
    <w:rsid w:val="001A4104"/>
    <w:rsid w:val="001A4869"/>
    <w:rsid w:val="001A5EC8"/>
    <w:rsid w:val="001B00CD"/>
    <w:rsid w:val="001B1BC7"/>
    <w:rsid w:val="001B1C0D"/>
    <w:rsid w:val="001B2167"/>
    <w:rsid w:val="001B3A7C"/>
    <w:rsid w:val="001B4E3F"/>
    <w:rsid w:val="001B6D61"/>
    <w:rsid w:val="001C0596"/>
    <w:rsid w:val="001C06BA"/>
    <w:rsid w:val="001C0D04"/>
    <w:rsid w:val="001C191D"/>
    <w:rsid w:val="001C2748"/>
    <w:rsid w:val="001C2D23"/>
    <w:rsid w:val="001D2830"/>
    <w:rsid w:val="001D4C80"/>
    <w:rsid w:val="001D7E5E"/>
    <w:rsid w:val="001E3021"/>
    <w:rsid w:val="001E4234"/>
    <w:rsid w:val="001F00AD"/>
    <w:rsid w:val="001F0A89"/>
    <w:rsid w:val="001F0FC9"/>
    <w:rsid w:val="001F1589"/>
    <w:rsid w:val="001F2F0D"/>
    <w:rsid w:val="001F2FC1"/>
    <w:rsid w:val="001F5D7C"/>
    <w:rsid w:val="001F70C5"/>
    <w:rsid w:val="0020006C"/>
    <w:rsid w:val="002007E8"/>
    <w:rsid w:val="00201391"/>
    <w:rsid w:val="002023B7"/>
    <w:rsid w:val="00205B00"/>
    <w:rsid w:val="002068D9"/>
    <w:rsid w:val="00207E30"/>
    <w:rsid w:val="00210E5B"/>
    <w:rsid w:val="002122E5"/>
    <w:rsid w:val="00212A22"/>
    <w:rsid w:val="0021337B"/>
    <w:rsid w:val="002140DA"/>
    <w:rsid w:val="0021494A"/>
    <w:rsid w:val="0021651A"/>
    <w:rsid w:val="00220681"/>
    <w:rsid w:val="00222862"/>
    <w:rsid w:val="00223EED"/>
    <w:rsid w:val="002248D3"/>
    <w:rsid w:val="00226429"/>
    <w:rsid w:val="0022752A"/>
    <w:rsid w:val="00231892"/>
    <w:rsid w:val="00233AB8"/>
    <w:rsid w:val="002372C0"/>
    <w:rsid w:val="00237973"/>
    <w:rsid w:val="00243161"/>
    <w:rsid w:val="00245904"/>
    <w:rsid w:val="00246FF6"/>
    <w:rsid w:val="002471ED"/>
    <w:rsid w:val="0024775E"/>
    <w:rsid w:val="00247EC1"/>
    <w:rsid w:val="00251224"/>
    <w:rsid w:val="00252B67"/>
    <w:rsid w:val="00252E21"/>
    <w:rsid w:val="0025419C"/>
    <w:rsid w:val="00255E63"/>
    <w:rsid w:val="0025771B"/>
    <w:rsid w:val="00261027"/>
    <w:rsid w:val="002622CC"/>
    <w:rsid w:val="00262F9D"/>
    <w:rsid w:val="0026462B"/>
    <w:rsid w:val="00270422"/>
    <w:rsid w:val="00272E77"/>
    <w:rsid w:val="0027454C"/>
    <w:rsid w:val="00274748"/>
    <w:rsid w:val="00275AA7"/>
    <w:rsid w:val="00281468"/>
    <w:rsid w:val="00281A1A"/>
    <w:rsid w:val="00281D5F"/>
    <w:rsid w:val="002828B7"/>
    <w:rsid w:val="00284F65"/>
    <w:rsid w:val="00285ABF"/>
    <w:rsid w:val="00285F99"/>
    <w:rsid w:val="00286ABF"/>
    <w:rsid w:val="0029116A"/>
    <w:rsid w:val="00291B3F"/>
    <w:rsid w:val="00291D5C"/>
    <w:rsid w:val="00291F7C"/>
    <w:rsid w:val="00292E9C"/>
    <w:rsid w:val="00293F5F"/>
    <w:rsid w:val="00294CE4"/>
    <w:rsid w:val="00294EB4"/>
    <w:rsid w:val="00296206"/>
    <w:rsid w:val="00296885"/>
    <w:rsid w:val="00297B42"/>
    <w:rsid w:val="002A0C99"/>
    <w:rsid w:val="002A4F38"/>
    <w:rsid w:val="002A59E5"/>
    <w:rsid w:val="002B29B2"/>
    <w:rsid w:val="002B360A"/>
    <w:rsid w:val="002B4F30"/>
    <w:rsid w:val="002B5DA9"/>
    <w:rsid w:val="002B5F58"/>
    <w:rsid w:val="002B6772"/>
    <w:rsid w:val="002B67FB"/>
    <w:rsid w:val="002B76A1"/>
    <w:rsid w:val="002C06F7"/>
    <w:rsid w:val="002C7E3C"/>
    <w:rsid w:val="002D173A"/>
    <w:rsid w:val="002D421D"/>
    <w:rsid w:val="002D4B74"/>
    <w:rsid w:val="002D4DA1"/>
    <w:rsid w:val="002D6157"/>
    <w:rsid w:val="002D6445"/>
    <w:rsid w:val="002D7E00"/>
    <w:rsid w:val="002D7EE1"/>
    <w:rsid w:val="002E1868"/>
    <w:rsid w:val="002E3B0E"/>
    <w:rsid w:val="002E4D52"/>
    <w:rsid w:val="002F0196"/>
    <w:rsid w:val="002F1146"/>
    <w:rsid w:val="00302273"/>
    <w:rsid w:val="0030251F"/>
    <w:rsid w:val="00302F22"/>
    <w:rsid w:val="00303648"/>
    <w:rsid w:val="00304237"/>
    <w:rsid w:val="00304776"/>
    <w:rsid w:val="00307B06"/>
    <w:rsid w:val="00310638"/>
    <w:rsid w:val="00311300"/>
    <w:rsid w:val="00311C5C"/>
    <w:rsid w:val="0031279A"/>
    <w:rsid w:val="00312A65"/>
    <w:rsid w:val="00312B03"/>
    <w:rsid w:val="0031395A"/>
    <w:rsid w:val="003146BA"/>
    <w:rsid w:val="0031689F"/>
    <w:rsid w:val="00320576"/>
    <w:rsid w:val="003209F0"/>
    <w:rsid w:val="00320BAF"/>
    <w:rsid w:val="00320C04"/>
    <w:rsid w:val="00320EF2"/>
    <w:rsid w:val="0032242E"/>
    <w:rsid w:val="00330242"/>
    <w:rsid w:val="00330427"/>
    <w:rsid w:val="00330722"/>
    <w:rsid w:val="0033184D"/>
    <w:rsid w:val="00331F5A"/>
    <w:rsid w:val="0033307E"/>
    <w:rsid w:val="003348BC"/>
    <w:rsid w:val="00337956"/>
    <w:rsid w:val="00340EEE"/>
    <w:rsid w:val="003416A7"/>
    <w:rsid w:val="003419D4"/>
    <w:rsid w:val="00342F88"/>
    <w:rsid w:val="00344336"/>
    <w:rsid w:val="003500C4"/>
    <w:rsid w:val="00352526"/>
    <w:rsid w:val="00352910"/>
    <w:rsid w:val="00353451"/>
    <w:rsid w:val="00355945"/>
    <w:rsid w:val="00355BF2"/>
    <w:rsid w:val="003576A3"/>
    <w:rsid w:val="00357C02"/>
    <w:rsid w:val="00360F25"/>
    <w:rsid w:val="003654D3"/>
    <w:rsid w:val="00365F5E"/>
    <w:rsid w:val="003708D6"/>
    <w:rsid w:val="00370C72"/>
    <w:rsid w:val="00371228"/>
    <w:rsid w:val="003715BC"/>
    <w:rsid w:val="00371DEB"/>
    <w:rsid w:val="00373FDE"/>
    <w:rsid w:val="00375652"/>
    <w:rsid w:val="003764A0"/>
    <w:rsid w:val="00377D21"/>
    <w:rsid w:val="003801E3"/>
    <w:rsid w:val="003809AA"/>
    <w:rsid w:val="00384E65"/>
    <w:rsid w:val="00385C42"/>
    <w:rsid w:val="00385D1A"/>
    <w:rsid w:val="00386474"/>
    <w:rsid w:val="003869CD"/>
    <w:rsid w:val="00386AB5"/>
    <w:rsid w:val="00386B45"/>
    <w:rsid w:val="003871CD"/>
    <w:rsid w:val="00390D13"/>
    <w:rsid w:val="00391002"/>
    <w:rsid w:val="00391D14"/>
    <w:rsid w:val="00392139"/>
    <w:rsid w:val="003926A4"/>
    <w:rsid w:val="003934C7"/>
    <w:rsid w:val="00393B61"/>
    <w:rsid w:val="003A3EC1"/>
    <w:rsid w:val="003A4133"/>
    <w:rsid w:val="003B008E"/>
    <w:rsid w:val="003B01B6"/>
    <w:rsid w:val="003B2FB9"/>
    <w:rsid w:val="003B3AFB"/>
    <w:rsid w:val="003B6116"/>
    <w:rsid w:val="003B6A28"/>
    <w:rsid w:val="003C797B"/>
    <w:rsid w:val="003D1B7E"/>
    <w:rsid w:val="003D22B5"/>
    <w:rsid w:val="003D2F9F"/>
    <w:rsid w:val="003D5379"/>
    <w:rsid w:val="003D58E4"/>
    <w:rsid w:val="003E176F"/>
    <w:rsid w:val="003E2090"/>
    <w:rsid w:val="003E2523"/>
    <w:rsid w:val="003E2E88"/>
    <w:rsid w:val="003F0BE8"/>
    <w:rsid w:val="003F16EC"/>
    <w:rsid w:val="003F4D4C"/>
    <w:rsid w:val="003F5F59"/>
    <w:rsid w:val="003F66F1"/>
    <w:rsid w:val="003F69BD"/>
    <w:rsid w:val="003F74EC"/>
    <w:rsid w:val="003F7ECF"/>
    <w:rsid w:val="004004F8"/>
    <w:rsid w:val="004058E1"/>
    <w:rsid w:val="0040664B"/>
    <w:rsid w:val="00410BC2"/>
    <w:rsid w:val="00411187"/>
    <w:rsid w:val="0041165E"/>
    <w:rsid w:val="00413B2D"/>
    <w:rsid w:val="00416841"/>
    <w:rsid w:val="00416C14"/>
    <w:rsid w:val="00421F52"/>
    <w:rsid w:val="004245B4"/>
    <w:rsid w:val="00424B09"/>
    <w:rsid w:val="00424C40"/>
    <w:rsid w:val="004264AF"/>
    <w:rsid w:val="004279C5"/>
    <w:rsid w:val="00432406"/>
    <w:rsid w:val="00432F5F"/>
    <w:rsid w:val="00434E48"/>
    <w:rsid w:val="004368C7"/>
    <w:rsid w:val="00437488"/>
    <w:rsid w:val="00440DEE"/>
    <w:rsid w:val="00440F41"/>
    <w:rsid w:val="0044188A"/>
    <w:rsid w:val="00443245"/>
    <w:rsid w:val="004455C9"/>
    <w:rsid w:val="004514BB"/>
    <w:rsid w:val="00451FA8"/>
    <w:rsid w:val="0045525B"/>
    <w:rsid w:val="0045556C"/>
    <w:rsid w:val="00457167"/>
    <w:rsid w:val="00461699"/>
    <w:rsid w:val="00462C20"/>
    <w:rsid w:val="00465F2F"/>
    <w:rsid w:val="004673EB"/>
    <w:rsid w:val="00467B85"/>
    <w:rsid w:val="00470A48"/>
    <w:rsid w:val="00470DC9"/>
    <w:rsid w:val="004716BD"/>
    <w:rsid w:val="00471712"/>
    <w:rsid w:val="00471C07"/>
    <w:rsid w:val="00471DBC"/>
    <w:rsid w:val="004733D9"/>
    <w:rsid w:val="00476AE5"/>
    <w:rsid w:val="00476EF2"/>
    <w:rsid w:val="00476EF9"/>
    <w:rsid w:val="004800E1"/>
    <w:rsid w:val="0048016E"/>
    <w:rsid w:val="00480D87"/>
    <w:rsid w:val="00484D8A"/>
    <w:rsid w:val="00485260"/>
    <w:rsid w:val="00487505"/>
    <w:rsid w:val="00487FCE"/>
    <w:rsid w:val="004909E3"/>
    <w:rsid w:val="00492A0E"/>
    <w:rsid w:val="004956EF"/>
    <w:rsid w:val="00495CAE"/>
    <w:rsid w:val="00496851"/>
    <w:rsid w:val="00496E68"/>
    <w:rsid w:val="00496F65"/>
    <w:rsid w:val="004972F0"/>
    <w:rsid w:val="00497B81"/>
    <w:rsid w:val="004A0861"/>
    <w:rsid w:val="004A2BE9"/>
    <w:rsid w:val="004A546A"/>
    <w:rsid w:val="004A58D7"/>
    <w:rsid w:val="004A5C10"/>
    <w:rsid w:val="004A614D"/>
    <w:rsid w:val="004A6A05"/>
    <w:rsid w:val="004B1CB3"/>
    <w:rsid w:val="004B4761"/>
    <w:rsid w:val="004B5640"/>
    <w:rsid w:val="004B56B9"/>
    <w:rsid w:val="004B70B5"/>
    <w:rsid w:val="004C1435"/>
    <w:rsid w:val="004C3B05"/>
    <w:rsid w:val="004C41B8"/>
    <w:rsid w:val="004C6AC4"/>
    <w:rsid w:val="004C78AC"/>
    <w:rsid w:val="004C7F80"/>
    <w:rsid w:val="004D051E"/>
    <w:rsid w:val="004D0573"/>
    <w:rsid w:val="004D06B2"/>
    <w:rsid w:val="004D2004"/>
    <w:rsid w:val="004D2461"/>
    <w:rsid w:val="004D4E76"/>
    <w:rsid w:val="004D776A"/>
    <w:rsid w:val="004E5241"/>
    <w:rsid w:val="004F0D39"/>
    <w:rsid w:val="004F12AB"/>
    <w:rsid w:val="004F5F0A"/>
    <w:rsid w:val="004F72EF"/>
    <w:rsid w:val="00500F67"/>
    <w:rsid w:val="00501C4C"/>
    <w:rsid w:val="00502D38"/>
    <w:rsid w:val="00505451"/>
    <w:rsid w:val="00506825"/>
    <w:rsid w:val="00507137"/>
    <w:rsid w:val="00520028"/>
    <w:rsid w:val="0052028D"/>
    <w:rsid w:val="00520462"/>
    <w:rsid w:val="0052214B"/>
    <w:rsid w:val="00522444"/>
    <w:rsid w:val="00522E97"/>
    <w:rsid w:val="00523768"/>
    <w:rsid w:val="00524A52"/>
    <w:rsid w:val="0052620A"/>
    <w:rsid w:val="005268AA"/>
    <w:rsid w:val="0053052E"/>
    <w:rsid w:val="00532C10"/>
    <w:rsid w:val="00534173"/>
    <w:rsid w:val="005346FB"/>
    <w:rsid w:val="005363BF"/>
    <w:rsid w:val="005364E1"/>
    <w:rsid w:val="00537B6F"/>
    <w:rsid w:val="0054021F"/>
    <w:rsid w:val="005405B7"/>
    <w:rsid w:val="005413F4"/>
    <w:rsid w:val="00541D3C"/>
    <w:rsid w:val="005434EC"/>
    <w:rsid w:val="005474C2"/>
    <w:rsid w:val="00550FAA"/>
    <w:rsid w:val="00551113"/>
    <w:rsid w:val="00551877"/>
    <w:rsid w:val="00552531"/>
    <w:rsid w:val="005531D7"/>
    <w:rsid w:val="00554A92"/>
    <w:rsid w:val="00562D6E"/>
    <w:rsid w:val="005658A5"/>
    <w:rsid w:val="005761C2"/>
    <w:rsid w:val="00577015"/>
    <w:rsid w:val="0057763A"/>
    <w:rsid w:val="0058142B"/>
    <w:rsid w:val="00582F82"/>
    <w:rsid w:val="0058581D"/>
    <w:rsid w:val="00586DCE"/>
    <w:rsid w:val="005901F0"/>
    <w:rsid w:val="005917AE"/>
    <w:rsid w:val="00591AEA"/>
    <w:rsid w:val="005936EC"/>
    <w:rsid w:val="005937A7"/>
    <w:rsid w:val="0059568B"/>
    <w:rsid w:val="00596E40"/>
    <w:rsid w:val="005A0694"/>
    <w:rsid w:val="005A09F3"/>
    <w:rsid w:val="005A23F6"/>
    <w:rsid w:val="005A2FE6"/>
    <w:rsid w:val="005B0FFE"/>
    <w:rsid w:val="005B3F85"/>
    <w:rsid w:val="005B5E00"/>
    <w:rsid w:val="005C29C4"/>
    <w:rsid w:val="005C433C"/>
    <w:rsid w:val="005C6E4B"/>
    <w:rsid w:val="005C73C0"/>
    <w:rsid w:val="005D101E"/>
    <w:rsid w:val="005D1342"/>
    <w:rsid w:val="005D500B"/>
    <w:rsid w:val="005D5E60"/>
    <w:rsid w:val="005E1175"/>
    <w:rsid w:val="005E1CF2"/>
    <w:rsid w:val="005E2AF5"/>
    <w:rsid w:val="005E354A"/>
    <w:rsid w:val="005E42CC"/>
    <w:rsid w:val="005E441F"/>
    <w:rsid w:val="005E7595"/>
    <w:rsid w:val="005F5932"/>
    <w:rsid w:val="005F5EE7"/>
    <w:rsid w:val="005F6371"/>
    <w:rsid w:val="005F7661"/>
    <w:rsid w:val="006000F9"/>
    <w:rsid w:val="00601429"/>
    <w:rsid w:val="006026EA"/>
    <w:rsid w:val="00602A09"/>
    <w:rsid w:val="006039C7"/>
    <w:rsid w:val="00603F7C"/>
    <w:rsid w:val="00604984"/>
    <w:rsid w:val="006051B7"/>
    <w:rsid w:val="0060686B"/>
    <w:rsid w:val="00607A28"/>
    <w:rsid w:val="00607CF1"/>
    <w:rsid w:val="00610D03"/>
    <w:rsid w:val="0061308E"/>
    <w:rsid w:val="00614413"/>
    <w:rsid w:val="006147DD"/>
    <w:rsid w:val="00615AD7"/>
    <w:rsid w:val="0061753D"/>
    <w:rsid w:val="00617CC7"/>
    <w:rsid w:val="00617E88"/>
    <w:rsid w:val="006205A4"/>
    <w:rsid w:val="006224A2"/>
    <w:rsid w:val="0062381F"/>
    <w:rsid w:val="006242EA"/>
    <w:rsid w:val="00626833"/>
    <w:rsid w:val="00627110"/>
    <w:rsid w:val="0062735B"/>
    <w:rsid w:val="00631E29"/>
    <w:rsid w:val="00632D19"/>
    <w:rsid w:val="00634001"/>
    <w:rsid w:val="00635087"/>
    <w:rsid w:val="00635C10"/>
    <w:rsid w:val="00635EDB"/>
    <w:rsid w:val="0063669E"/>
    <w:rsid w:val="00640936"/>
    <w:rsid w:val="00640B75"/>
    <w:rsid w:val="00645995"/>
    <w:rsid w:val="00647D85"/>
    <w:rsid w:val="00647F9C"/>
    <w:rsid w:val="0065144C"/>
    <w:rsid w:val="00652DCD"/>
    <w:rsid w:val="0065457F"/>
    <w:rsid w:val="00656FA9"/>
    <w:rsid w:val="006570AE"/>
    <w:rsid w:val="00660245"/>
    <w:rsid w:val="0066048A"/>
    <w:rsid w:val="006611D9"/>
    <w:rsid w:val="00662628"/>
    <w:rsid w:val="00662CA3"/>
    <w:rsid w:val="00664F9A"/>
    <w:rsid w:val="006656A7"/>
    <w:rsid w:val="006666A1"/>
    <w:rsid w:val="0066672C"/>
    <w:rsid w:val="00675407"/>
    <w:rsid w:val="00675CA3"/>
    <w:rsid w:val="006767F5"/>
    <w:rsid w:val="00680293"/>
    <w:rsid w:val="00680769"/>
    <w:rsid w:val="00683908"/>
    <w:rsid w:val="006840D6"/>
    <w:rsid w:val="00685C0F"/>
    <w:rsid w:val="006876FD"/>
    <w:rsid w:val="00690407"/>
    <w:rsid w:val="006936DD"/>
    <w:rsid w:val="0069398F"/>
    <w:rsid w:val="006941CB"/>
    <w:rsid w:val="00694D03"/>
    <w:rsid w:val="006970A1"/>
    <w:rsid w:val="00697EE9"/>
    <w:rsid w:val="006A1A65"/>
    <w:rsid w:val="006A3485"/>
    <w:rsid w:val="006A3E7D"/>
    <w:rsid w:val="006A45DB"/>
    <w:rsid w:val="006A612B"/>
    <w:rsid w:val="006A7299"/>
    <w:rsid w:val="006B0D57"/>
    <w:rsid w:val="006B1986"/>
    <w:rsid w:val="006B198C"/>
    <w:rsid w:val="006B2D2C"/>
    <w:rsid w:val="006B3B48"/>
    <w:rsid w:val="006B3BD7"/>
    <w:rsid w:val="006B3FAE"/>
    <w:rsid w:val="006C19F4"/>
    <w:rsid w:val="006C439A"/>
    <w:rsid w:val="006C596D"/>
    <w:rsid w:val="006C6644"/>
    <w:rsid w:val="006D0BF9"/>
    <w:rsid w:val="006D2A14"/>
    <w:rsid w:val="006D3644"/>
    <w:rsid w:val="006D59BF"/>
    <w:rsid w:val="006D6E33"/>
    <w:rsid w:val="006E1243"/>
    <w:rsid w:val="006E4E1C"/>
    <w:rsid w:val="006E7346"/>
    <w:rsid w:val="006E758A"/>
    <w:rsid w:val="006F148A"/>
    <w:rsid w:val="006F174B"/>
    <w:rsid w:val="006F1AC8"/>
    <w:rsid w:val="006F2DDA"/>
    <w:rsid w:val="006F3742"/>
    <w:rsid w:val="006F7017"/>
    <w:rsid w:val="00700984"/>
    <w:rsid w:val="00701484"/>
    <w:rsid w:val="007037A8"/>
    <w:rsid w:val="00705586"/>
    <w:rsid w:val="00707216"/>
    <w:rsid w:val="007114D2"/>
    <w:rsid w:val="00712F59"/>
    <w:rsid w:val="00713F79"/>
    <w:rsid w:val="007148C7"/>
    <w:rsid w:val="007156C8"/>
    <w:rsid w:val="00715CA7"/>
    <w:rsid w:val="00717554"/>
    <w:rsid w:val="0071774F"/>
    <w:rsid w:val="00722458"/>
    <w:rsid w:val="00722AD0"/>
    <w:rsid w:val="00722D3D"/>
    <w:rsid w:val="00722E87"/>
    <w:rsid w:val="0072372B"/>
    <w:rsid w:val="00724BFB"/>
    <w:rsid w:val="00727232"/>
    <w:rsid w:val="00732722"/>
    <w:rsid w:val="007329B0"/>
    <w:rsid w:val="007335F8"/>
    <w:rsid w:val="00735C74"/>
    <w:rsid w:val="00735E78"/>
    <w:rsid w:val="00736073"/>
    <w:rsid w:val="007414B5"/>
    <w:rsid w:val="00741D4C"/>
    <w:rsid w:val="00742500"/>
    <w:rsid w:val="007427F4"/>
    <w:rsid w:val="00742F85"/>
    <w:rsid w:val="00744705"/>
    <w:rsid w:val="00750A37"/>
    <w:rsid w:val="00750FE6"/>
    <w:rsid w:val="00752900"/>
    <w:rsid w:val="00753554"/>
    <w:rsid w:val="0075373D"/>
    <w:rsid w:val="00753E6B"/>
    <w:rsid w:val="00753F91"/>
    <w:rsid w:val="0075426D"/>
    <w:rsid w:val="007560D5"/>
    <w:rsid w:val="00756EA8"/>
    <w:rsid w:val="00757C0D"/>
    <w:rsid w:val="00757C83"/>
    <w:rsid w:val="00761364"/>
    <w:rsid w:val="00762CAB"/>
    <w:rsid w:val="00763BB2"/>
    <w:rsid w:val="00766484"/>
    <w:rsid w:val="00767035"/>
    <w:rsid w:val="007673A8"/>
    <w:rsid w:val="00771094"/>
    <w:rsid w:val="0077280B"/>
    <w:rsid w:val="00773164"/>
    <w:rsid w:val="007755C5"/>
    <w:rsid w:val="007767D5"/>
    <w:rsid w:val="00776A48"/>
    <w:rsid w:val="00781C3C"/>
    <w:rsid w:val="00783808"/>
    <w:rsid w:val="00783B72"/>
    <w:rsid w:val="0078464B"/>
    <w:rsid w:val="00787EE8"/>
    <w:rsid w:val="00790B0A"/>
    <w:rsid w:val="0079331B"/>
    <w:rsid w:val="00794EB5"/>
    <w:rsid w:val="0079585A"/>
    <w:rsid w:val="00795D5D"/>
    <w:rsid w:val="00797562"/>
    <w:rsid w:val="007A1AF9"/>
    <w:rsid w:val="007A38D1"/>
    <w:rsid w:val="007A4A35"/>
    <w:rsid w:val="007A4E47"/>
    <w:rsid w:val="007A52CD"/>
    <w:rsid w:val="007A52FE"/>
    <w:rsid w:val="007A77C7"/>
    <w:rsid w:val="007B2370"/>
    <w:rsid w:val="007B4404"/>
    <w:rsid w:val="007B634E"/>
    <w:rsid w:val="007C1859"/>
    <w:rsid w:val="007C1FBB"/>
    <w:rsid w:val="007C382F"/>
    <w:rsid w:val="007C40E3"/>
    <w:rsid w:val="007C6E1D"/>
    <w:rsid w:val="007D0055"/>
    <w:rsid w:val="007D0A77"/>
    <w:rsid w:val="007D12C3"/>
    <w:rsid w:val="007D2116"/>
    <w:rsid w:val="007D5EB3"/>
    <w:rsid w:val="007D6E22"/>
    <w:rsid w:val="007D7120"/>
    <w:rsid w:val="007D720A"/>
    <w:rsid w:val="007E04E3"/>
    <w:rsid w:val="007E11FB"/>
    <w:rsid w:val="007E2C39"/>
    <w:rsid w:val="007E3519"/>
    <w:rsid w:val="007E4F32"/>
    <w:rsid w:val="007E552A"/>
    <w:rsid w:val="007E66DC"/>
    <w:rsid w:val="007E7857"/>
    <w:rsid w:val="007E7BBE"/>
    <w:rsid w:val="007F03B8"/>
    <w:rsid w:val="007F0613"/>
    <w:rsid w:val="007F11EC"/>
    <w:rsid w:val="007F2E04"/>
    <w:rsid w:val="007F3881"/>
    <w:rsid w:val="007F5055"/>
    <w:rsid w:val="00801F1D"/>
    <w:rsid w:val="00802039"/>
    <w:rsid w:val="0080275D"/>
    <w:rsid w:val="00803B99"/>
    <w:rsid w:val="00804038"/>
    <w:rsid w:val="00804CB7"/>
    <w:rsid w:val="00805957"/>
    <w:rsid w:val="00806A36"/>
    <w:rsid w:val="00807CF0"/>
    <w:rsid w:val="00812D93"/>
    <w:rsid w:val="00812E39"/>
    <w:rsid w:val="00813878"/>
    <w:rsid w:val="00814520"/>
    <w:rsid w:val="00814C00"/>
    <w:rsid w:val="00815BFB"/>
    <w:rsid w:val="00815DCE"/>
    <w:rsid w:val="00815E4C"/>
    <w:rsid w:val="008168AB"/>
    <w:rsid w:val="008238AE"/>
    <w:rsid w:val="00826305"/>
    <w:rsid w:val="008269CD"/>
    <w:rsid w:val="00827442"/>
    <w:rsid w:val="008300EF"/>
    <w:rsid w:val="00831226"/>
    <w:rsid w:val="0083277F"/>
    <w:rsid w:val="0083345E"/>
    <w:rsid w:val="008355F4"/>
    <w:rsid w:val="008402C9"/>
    <w:rsid w:val="008404AE"/>
    <w:rsid w:val="00841648"/>
    <w:rsid w:val="008448E5"/>
    <w:rsid w:val="008500AF"/>
    <w:rsid w:val="00860201"/>
    <w:rsid w:val="00860C2C"/>
    <w:rsid w:val="00862700"/>
    <w:rsid w:val="00863A86"/>
    <w:rsid w:val="0086437F"/>
    <w:rsid w:val="00866451"/>
    <w:rsid w:val="008716E8"/>
    <w:rsid w:val="00875E15"/>
    <w:rsid w:val="008776DF"/>
    <w:rsid w:val="0088037C"/>
    <w:rsid w:val="0088163C"/>
    <w:rsid w:val="00881D74"/>
    <w:rsid w:val="00882427"/>
    <w:rsid w:val="00884116"/>
    <w:rsid w:val="00884945"/>
    <w:rsid w:val="00886E7F"/>
    <w:rsid w:val="00886FD4"/>
    <w:rsid w:val="008901BC"/>
    <w:rsid w:val="00890B9C"/>
    <w:rsid w:val="00890FFE"/>
    <w:rsid w:val="008919DF"/>
    <w:rsid w:val="00892CD8"/>
    <w:rsid w:val="00896B63"/>
    <w:rsid w:val="00897DF9"/>
    <w:rsid w:val="008A2891"/>
    <w:rsid w:val="008A35E3"/>
    <w:rsid w:val="008A37F8"/>
    <w:rsid w:val="008A389D"/>
    <w:rsid w:val="008A7897"/>
    <w:rsid w:val="008A78E8"/>
    <w:rsid w:val="008B06F3"/>
    <w:rsid w:val="008B09D0"/>
    <w:rsid w:val="008B417C"/>
    <w:rsid w:val="008B6B0E"/>
    <w:rsid w:val="008B72F5"/>
    <w:rsid w:val="008C05E4"/>
    <w:rsid w:val="008C0BBB"/>
    <w:rsid w:val="008C0C63"/>
    <w:rsid w:val="008C2102"/>
    <w:rsid w:val="008C2BD6"/>
    <w:rsid w:val="008C3936"/>
    <w:rsid w:val="008C3BA2"/>
    <w:rsid w:val="008C4639"/>
    <w:rsid w:val="008C465B"/>
    <w:rsid w:val="008C5476"/>
    <w:rsid w:val="008C6319"/>
    <w:rsid w:val="008C7347"/>
    <w:rsid w:val="008D3E31"/>
    <w:rsid w:val="008D4147"/>
    <w:rsid w:val="008D4B85"/>
    <w:rsid w:val="008D7FA8"/>
    <w:rsid w:val="008E08C5"/>
    <w:rsid w:val="008E30C1"/>
    <w:rsid w:val="008E4355"/>
    <w:rsid w:val="008E4A02"/>
    <w:rsid w:val="008E5D39"/>
    <w:rsid w:val="008E6073"/>
    <w:rsid w:val="008F1CA1"/>
    <w:rsid w:val="008F337F"/>
    <w:rsid w:val="008F4114"/>
    <w:rsid w:val="008F447F"/>
    <w:rsid w:val="008F4585"/>
    <w:rsid w:val="008F46DE"/>
    <w:rsid w:val="008F4E5B"/>
    <w:rsid w:val="008F63A6"/>
    <w:rsid w:val="009003E5"/>
    <w:rsid w:val="00901C01"/>
    <w:rsid w:val="0090215D"/>
    <w:rsid w:val="00902370"/>
    <w:rsid w:val="009023D6"/>
    <w:rsid w:val="00902BEB"/>
    <w:rsid w:val="00903D81"/>
    <w:rsid w:val="0090459D"/>
    <w:rsid w:val="009046A1"/>
    <w:rsid w:val="00904CFA"/>
    <w:rsid w:val="00910763"/>
    <w:rsid w:val="00910C50"/>
    <w:rsid w:val="0091157F"/>
    <w:rsid w:val="00911643"/>
    <w:rsid w:val="00913483"/>
    <w:rsid w:val="009149C5"/>
    <w:rsid w:val="009162CE"/>
    <w:rsid w:val="0091662C"/>
    <w:rsid w:val="00917794"/>
    <w:rsid w:val="009220B3"/>
    <w:rsid w:val="00923136"/>
    <w:rsid w:val="00923A3F"/>
    <w:rsid w:val="009258D8"/>
    <w:rsid w:val="00932760"/>
    <w:rsid w:val="009332DF"/>
    <w:rsid w:val="00933584"/>
    <w:rsid w:val="0093448B"/>
    <w:rsid w:val="009356C3"/>
    <w:rsid w:val="00936E85"/>
    <w:rsid w:val="00937A91"/>
    <w:rsid w:val="009422B9"/>
    <w:rsid w:val="009425AE"/>
    <w:rsid w:val="00946AED"/>
    <w:rsid w:val="00950B59"/>
    <w:rsid w:val="00951931"/>
    <w:rsid w:val="00951BFC"/>
    <w:rsid w:val="0095278A"/>
    <w:rsid w:val="009529F0"/>
    <w:rsid w:val="00952B04"/>
    <w:rsid w:val="00954166"/>
    <w:rsid w:val="00955BAB"/>
    <w:rsid w:val="00956BCA"/>
    <w:rsid w:val="0096016D"/>
    <w:rsid w:val="009603CA"/>
    <w:rsid w:val="00961F80"/>
    <w:rsid w:val="009631E2"/>
    <w:rsid w:val="00964062"/>
    <w:rsid w:val="00964519"/>
    <w:rsid w:val="00964AEC"/>
    <w:rsid w:val="00966DA7"/>
    <w:rsid w:val="0096747A"/>
    <w:rsid w:val="00970ADC"/>
    <w:rsid w:val="00970BF4"/>
    <w:rsid w:val="009722E1"/>
    <w:rsid w:val="0097375C"/>
    <w:rsid w:val="00977351"/>
    <w:rsid w:val="009775C5"/>
    <w:rsid w:val="00977E21"/>
    <w:rsid w:val="00980A6F"/>
    <w:rsid w:val="0098492F"/>
    <w:rsid w:val="00984998"/>
    <w:rsid w:val="00985618"/>
    <w:rsid w:val="00986F85"/>
    <w:rsid w:val="00990AF2"/>
    <w:rsid w:val="00992BB6"/>
    <w:rsid w:val="00995B5E"/>
    <w:rsid w:val="0099640A"/>
    <w:rsid w:val="00997010"/>
    <w:rsid w:val="009A102E"/>
    <w:rsid w:val="009A10D4"/>
    <w:rsid w:val="009A39BF"/>
    <w:rsid w:val="009A432F"/>
    <w:rsid w:val="009A5B12"/>
    <w:rsid w:val="009A6B0D"/>
    <w:rsid w:val="009A7104"/>
    <w:rsid w:val="009B2958"/>
    <w:rsid w:val="009B495B"/>
    <w:rsid w:val="009B5D17"/>
    <w:rsid w:val="009B6B45"/>
    <w:rsid w:val="009C04FA"/>
    <w:rsid w:val="009C142F"/>
    <w:rsid w:val="009C1EE6"/>
    <w:rsid w:val="009C456F"/>
    <w:rsid w:val="009C46D0"/>
    <w:rsid w:val="009C4FDA"/>
    <w:rsid w:val="009C61EE"/>
    <w:rsid w:val="009C698A"/>
    <w:rsid w:val="009C6EA5"/>
    <w:rsid w:val="009D047F"/>
    <w:rsid w:val="009D13C3"/>
    <w:rsid w:val="009D1CFA"/>
    <w:rsid w:val="009D45E1"/>
    <w:rsid w:val="009E087A"/>
    <w:rsid w:val="009E15FE"/>
    <w:rsid w:val="009E29FA"/>
    <w:rsid w:val="009E6274"/>
    <w:rsid w:val="009E7807"/>
    <w:rsid w:val="009F0D15"/>
    <w:rsid w:val="009F124A"/>
    <w:rsid w:val="009F1385"/>
    <w:rsid w:val="009F2D9F"/>
    <w:rsid w:val="00A0113D"/>
    <w:rsid w:val="00A025CB"/>
    <w:rsid w:val="00A03718"/>
    <w:rsid w:val="00A05515"/>
    <w:rsid w:val="00A057F6"/>
    <w:rsid w:val="00A07FC6"/>
    <w:rsid w:val="00A102CF"/>
    <w:rsid w:val="00A104F9"/>
    <w:rsid w:val="00A13B65"/>
    <w:rsid w:val="00A154C1"/>
    <w:rsid w:val="00A16D08"/>
    <w:rsid w:val="00A201BF"/>
    <w:rsid w:val="00A2034C"/>
    <w:rsid w:val="00A225CE"/>
    <w:rsid w:val="00A2381F"/>
    <w:rsid w:val="00A2692D"/>
    <w:rsid w:val="00A2704F"/>
    <w:rsid w:val="00A31F84"/>
    <w:rsid w:val="00A3326A"/>
    <w:rsid w:val="00A3405E"/>
    <w:rsid w:val="00A34AEE"/>
    <w:rsid w:val="00A3684F"/>
    <w:rsid w:val="00A40DD1"/>
    <w:rsid w:val="00A434CB"/>
    <w:rsid w:val="00A47AA2"/>
    <w:rsid w:val="00A47ADC"/>
    <w:rsid w:val="00A5063C"/>
    <w:rsid w:val="00A50D10"/>
    <w:rsid w:val="00A51047"/>
    <w:rsid w:val="00A5290F"/>
    <w:rsid w:val="00A5698D"/>
    <w:rsid w:val="00A57BE1"/>
    <w:rsid w:val="00A57E31"/>
    <w:rsid w:val="00A60691"/>
    <w:rsid w:val="00A607E9"/>
    <w:rsid w:val="00A64512"/>
    <w:rsid w:val="00A64C00"/>
    <w:rsid w:val="00A65869"/>
    <w:rsid w:val="00A670B5"/>
    <w:rsid w:val="00A6760E"/>
    <w:rsid w:val="00A73423"/>
    <w:rsid w:val="00A73458"/>
    <w:rsid w:val="00A73D4A"/>
    <w:rsid w:val="00A74050"/>
    <w:rsid w:val="00A752A6"/>
    <w:rsid w:val="00A76215"/>
    <w:rsid w:val="00A7689B"/>
    <w:rsid w:val="00A76CA8"/>
    <w:rsid w:val="00A772DC"/>
    <w:rsid w:val="00A80C38"/>
    <w:rsid w:val="00A833C1"/>
    <w:rsid w:val="00A834F1"/>
    <w:rsid w:val="00A834F3"/>
    <w:rsid w:val="00A84117"/>
    <w:rsid w:val="00A85BAA"/>
    <w:rsid w:val="00A9076B"/>
    <w:rsid w:val="00A92326"/>
    <w:rsid w:val="00A943C3"/>
    <w:rsid w:val="00A9477D"/>
    <w:rsid w:val="00A94C92"/>
    <w:rsid w:val="00A9521B"/>
    <w:rsid w:val="00A95980"/>
    <w:rsid w:val="00A9752E"/>
    <w:rsid w:val="00AA173F"/>
    <w:rsid w:val="00AA2BDC"/>
    <w:rsid w:val="00AA3A9B"/>
    <w:rsid w:val="00AA5BC3"/>
    <w:rsid w:val="00AA5C37"/>
    <w:rsid w:val="00AA6F1E"/>
    <w:rsid w:val="00AB05D5"/>
    <w:rsid w:val="00AB0A6B"/>
    <w:rsid w:val="00AB0A87"/>
    <w:rsid w:val="00AB1866"/>
    <w:rsid w:val="00AB3A07"/>
    <w:rsid w:val="00AB3B35"/>
    <w:rsid w:val="00AB790E"/>
    <w:rsid w:val="00AC15DC"/>
    <w:rsid w:val="00AC2E18"/>
    <w:rsid w:val="00AC5428"/>
    <w:rsid w:val="00AC587E"/>
    <w:rsid w:val="00AC7E67"/>
    <w:rsid w:val="00AD1A13"/>
    <w:rsid w:val="00AD241E"/>
    <w:rsid w:val="00AD27F2"/>
    <w:rsid w:val="00AD2E63"/>
    <w:rsid w:val="00AD3D7D"/>
    <w:rsid w:val="00AE1D0B"/>
    <w:rsid w:val="00AE2050"/>
    <w:rsid w:val="00AE2CF6"/>
    <w:rsid w:val="00AE4FCC"/>
    <w:rsid w:val="00AF2F06"/>
    <w:rsid w:val="00AF5A2A"/>
    <w:rsid w:val="00AF6181"/>
    <w:rsid w:val="00AF6300"/>
    <w:rsid w:val="00AF6D6F"/>
    <w:rsid w:val="00AF7F77"/>
    <w:rsid w:val="00B01ADA"/>
    <w:rsid w:val="00B02597"/>
    <w:rsid w:val="00B03710"/>
    <w:rsid w:val="00B03BD1"/>
    <w:rsid w:val="00B044DE"/>
    <w:rsid w:val="00B0454D"/>
    <w:rsid w:val="00B04C4D"/>
    <w:rsid w:val="00B06E04"/>
    <w:rsid w:val="00B07C4C"/>
    <w:rsid w:val="00B10E9C"/>
    <w:rsid w:val="00B11760"/>
    <w:rsid w:val="00B1310E"/>
    <w:rsid w:val="00B15379"/>
    <w:rsid w:val="00B17EA4"/>
    <w:rsid w:val="00B20257"/>
    <w:rsid w:val="00B202DC"/>
    <w:rsid w:val="00B2032D"/>
    <w:rsid w:val="00B2176E"/>
    <w:rsid w:val="00B21C35"/>
    <w:rsid w:val="00B238A3"/>
    <w:rsid w:val="00B34950"/>
    <w:rsid w:val="00B35376"/>
    <w:rsid w:val="00B3557B"/>
    <w:rsid w:val="00B413C8"/>
    <w:rsid w:val="00B4178C"/>
    <w:rsid w:val="00B4400E"/>
    <w:rsid w:val="00B467B0"/>
    <w:rsid w:val="00B50355"/>
    <w:rsid w:val="00B5059C"/>
    <w:rsid w:val="00B533D0"/>
    <w:rsid w:val="00B53F69"/>
    <w:rsid w:val="00B5661D"/>
    <w:rsid w:val="00B57167"/>
    <w:rsid w:val="00B63DC6"/>
    <w:rsid w:val="00B70A42"/>
    <w:rsid w:val="00B71C37"/>
    <w:rsid w:val="00B730DA"/>
    <w:rsid w:val="00B7342E"/>
    <w:rsid w:val="00B755D7"/>
    <w:rsid w:val="00B76B3F"/>
    <w:rsid w:val="00B817BA"/>
    <w:rsid w:val="00B8246A"/>
    <w:rsid w:val="00B83003"/>
    <w:rsid w:val="00B847A5"/>
    <w:rsid w:val="00B8582A"/>
    <w:rsid w:val="00B85FAB"/>
    <w:rsid w:val="00B8653C"/>
    <w:rsid w:val="00B93CC1"/>
    <w:rsid w:val="00B94310"/>
    <w:rsid w:val="00BA0523"/>
    <w:rsid w:val="00BA0EE1"/>
    <w:rsid w:val="00BA19D9"/>
    <w:rsid w:val="00BA3735"/>
    <w:rsid w:val="00BA3842"/>
    <w:rsid w:val="00BA4EDB"/>
    <w:rsid w:val="00BA7511"/>
    <w:rsid w:val="00BB23C7"/>
    <w:rsid w:val="00BB2B71"/>
    <w:rsid w:val="00BC11C9"/>
    <w:rsid w:val="00BC1A9A"/>
    <w:rsid w:val="00BC245A"/>
    <w:rsid w:val="00BC3515"/>
    <w:rsid w:val="00BC7F73"/>
    <w:rsid w:val="00BD14FC"/>
    <w:rsid w:val="00BD27F6"/>
    <w:rsid w:val="00BD3B74"/>
    <w:rsid w:val="00BD4416"/>
    <w:rsid w:val="00BD4C2A"/>
    <w:rsid w:val="00BD4D10"/>
    <w:rsid w:val="00BD6EB5"/>
    <w:rsid w:val="00BD7ACE"/>
    <w:rsid w:val="00BD7B8E"/>
    <w:rsid w:val="00BD7C22"/>
    <w:rsid w:val="00BE044B"/>
    <w:rsid w:val="00BE267F"/>
    <w:rsid w:val="00BE4F19"/>
    <w:rsid w:val="00BE5BA0"/>
    <w:rsid w:val="00BE5D94"/>
    <w:rsid w:val="00BE6907"/>
    <w:rsid w:val="00BE758D"/>
    <w:rsid w:val="00BE77F1"/>
    <w:rsid w:val="00BE7CDF"/>
    <w:rsid w:val="00BF0178"/>
    <w:rsid w:val="00BF05E6"/>
    <w:rsid w:val="00BF3F7E"/>
    <w:rsid w:val="00BF424C"/>
    <w:rsid w:val="00BF4D1C"/>
    <w:rsid w:val="00BF50FB"/>
    <w:rsid w:val="00BF5193"/>
    <w:rsid w:val="00BF7782"/>
    <w:rsid w:val="00C0171D"/>
    <w:rsid w:val="00C152AD"/>
    <w:rsid w:val="00C1762D"/>
    <w:rsid w:val="00C20166"/>
    <w:rsid w:val="00C20FE2"/>
    <w:rsid w:val="00C215BB"/>
    <w:rsid w:val="00C22EE0"/>
    <w:rsid w:val="00C23C7C"/>
    <w:rsid w:val="00C24604"/>
    <w:rsid w:val="00C25031"/>
    <w:rsid w:val="00C267C9"/>
    <w:rsid w:val="00C267CA"/>
    <w:rsid w:val="00C321EF"/>
    <w:rsid w:val="00C40A03"/>
    <w:rsid w:val="00C40EFB"/>
    <w:rsid w:val="00C41F60"/>
    <w:rsid w:val="00C464E2"/>
    <w:rsid w:val="00C4704A"/>
    <w:rsid w:val="00C5185E"/>
    <w:rsid w:val="00C53172"/>
    <w:rsid w:val="00C53B60"/>
    <w:rsid w:val="00C54BA6"/>
    <w:rsid w:val="00C56FF0"/>
    <w:rsid w:val="00C6001D"/>
    <w:rsid w:val="00C62B3D"/>
    <w:rsid w:val="00C64A4D"/>
    <w:rsid w:val="00C6546B"/>
    <w:rsid w:val="00C6630A"/>
    <w:rsid w:val="00C665E5"/>
    <w:rsid w:val="00C6797B"/>
    <w:rsid w:val="00C70F3B"/>
    <w:rsid w:val="00C71BC4"/>
    <w:rsid w:val="00C730E8"/>
    <w:rsid w:val="00C737CE"/>
    <w:rsid w:val="00C7386E"/>
    <w:rsid w:val="00C73AA6"/>
    <w:rsid w:val="00C74718"/>
    <w:rsid w:val="00C80BFD"/>
    <w:rsid w:val="00C812E0"/>
    <w:rsid w:val="00C85A05"/>
    <w:rsid w:val="00C86815"/>
    <w:rsid w:val="00C8743B"/>
    <w:rsid w:val="00C90892"/>
    <w:rsid w:val="00C92A18"/>
    <w:rsid w:val="00C966A8"/>
    <w:rsid w:val="00C96D80"/>
    <w:rsid w:val="00C97788"/>
    <w:rsid w:val="00CA0817"/>
    <w:rsid w:val="00CA1B00"/>
    <w:rsid w:val="00CA419F"/>
    <w:rsid w:val="00CA49F6"/>
    <w:rsid w:val="00CA52BE"/>
    <w:rsid w:val="00CA5D83"/>
    <w:rsid w:val="00CA619E"/>
    <w:rsid w:val="00CA72FC"/>
    <w:rsid w:val="00CA79B1"/>
    <w:rsid w:val="00CB2336"/>
    <w:rsid w:val="00CB376E"/>
    <w:rsid w:val="00CB3E75"/>
    <w:rsid w:val="00CB687C"/>
    <w:rsid w:val="00CB72DC"/>
    <w:rsid w:val="00CC12B1"/>
    <w:rsid w:val="00CC39DC"/>
    <w:rsid w:val="00CC415A"/>
    <w:rsid w:val="00CC59B2"/>
    <w:rsid w:val="00CC6261"/>
    <w:rsid w:val="00CD11C0"/>
    <w:rsid w:val="00CD1A5E"/>
    <w:rsid w:val="00CD2554"/>
    <w:rsid w:val="00CD2F4C"/>
    <w:rsid w:val="00CD605B"/>
    <w:rsid w:val="00CD6EC2"/>
    <w:rsid w:val="00CE13A9"/>
    <w:rsid w:val="00CE2E1F"/>
    <w:rsid w:val="00CE378E"/>
    <w:rsid w:val="00CE5611"/>
    <w:rsid w:val="00CE5D33"/>
    <w:rsid w:val="00CF041D"/>
    <w:rsid w:val="00CF1A9B"/>
    <w:rsid w:val="00CF1D3E"/>
    <w:rsid w:val="00CF48C6"/>
    <w:rsid w:val="00CF7287"/>
    <w:rsid w:val="00CF76B1"/>
    <w:rsid w:val="00D01833"/>
    <w:rsid w:val="00D026A4"/>
    <w:rsid w:val="00D030BC"/>
    <w:rsid w:val="00D04514"/>
    <w:rsid w:val="00D075CB"/>
    <w:rsid w:val="00D07E4B"/>
    <w:rsid w:val="00D10B1D"/>
    <w:rsid w:val="00D11FA8"/>
    <w:rsid w:val="00D13B0F"/>
    <w:rsid w:val="00D16CCA"/>
    <w:rsid w:val="00D17DE0"/>
    <w:rsid w:val="00D221A6"/>
    <w:rsid w:val="00D22BE2"/>
    <w:rsid w:val="00D231E5"/>
    <w:rsid w:val="00D2375B"/>
    <w:rsid w:val="00D257A1"/>
    <w:rsid w:val="00D32A07"/>
    <w:rsid w:val="00D32B40"/>
    <w:rsid w:val="00D34685"/>
    <w:rsid w:val="00D3483E"/>
    <w:rsid w:val="00D3611A"/>
    <w:rsid w:val="00D367C8"/>
    <w:rsid w:val="00D37325"/>
    <w:rsid w:val="00D37F78"/>
    <w:rsid w:val="00D4071F"/>
    <w:rsid w:val="00D40BF6"/>
    <w:rsid w:val="00D4182B"/>
    <w:rsid w:val="00D43666"/>
    <w:rsid w:val="00D436A3"/>
    <w:rsid w:val="00D441BF"/>
    <w:rsid w:val="00D44DA8"/>
    <w:rsid w:val="00D44DE1"/>
    <w:rsid w:val="00D47B76"/>
    <w:rsid w:val="00D52F48"/>
    <w:rsid w:val="00D53140"/>
    <w:rsid w:val="00D53659"/>
    <w:rsid w:val="00D538AB"/>
    <w:rsid w:val="00D54973"/>
    <w:rsid w:val="00D55874"/>
    <w:rsid w:val="00D55E0D"/>
    <w:rsid w:val="00D55F86"/>
    <w:rsid w:val="00D56025"/>
    <w:rsid w:val="00D57605"/>
    <w:rsid w:val="00D6391E"/>
    <w:rsid w:val="00D663B1"/>
    <w:rsid w:val="00D66D49"/>
    <w:rsid w:val="00D7146F"/>
    <w:rsid w:val="00D74423"/>
    <w:rsid w:val="00D74ED9"/>
    <w:rsid w:val="00D758E3"/>
    <w:rsid w:val="00D81BFB"/>
    <w:rsid w:val="00D8360D"/>
    <w:rsid w:val="00D83A11"/>
    <w:rsid w:val="00D84DB9"/>
    <w:rsid w:val="00D8630F"/>
    <w:rsid w:val="00D91B75"/>
    <w:rsid w:val="00D940A6"/>
    <w:rsid w:val="00DA00A9"/>
    <w:rsid w:val="00DA06F6"/>
    <w:rsid w:val="00DA2204"/>
    <w:rsid w:val="00DA2384"/>
    <w:rsid w:val="00DA428F"/>
    <w:rsid w:val="00DA4337"/>
    <w:rsid w:val="00DA6320"/>
    <w:rsid w:val="00DA675D"/>
    <w:rsid w:val="00DA74AF"/>
    <w:rsid w:val="00DA7F5C"/>
    <w:rsid w:val="00DB1650"/>
    <w:rsid w:val="00DB5F70"/>
    <w:rsid w:val="00DB76C8"/>
    <w:rsid w:val="00DB799C"/>
    <w:rsid w:val="00DC3CC4"/>
    <w:rsid w:val="00DC41AD"/>
    <w:rsid w:val="00DC57C3"/>
    <w:rsid w:val="00DC7E27"/>
    <w:rsid w:val="00DD01D9"/>
    <w:rsid w:val="00DD2F06"/>
    <w:rsid w:val="00DD370C"/>
    <w:rsid w:val="00DD6532"/>
    <w:rsid w:val="00DD7438"/>
    <w:rsid w:val="00DE09D8"/>
    <w:rsid w:val="00DE14E7"/>
    <w:rsid w:val="00DE4433"/>
    <w:rsid w:val="00DE44C8"/>
    <w:rsid w:val="00DE533A"/>
    <w:rsid w:val="00DE6776"/>
    <w:rsid w:val="00DF0E79"/>
    <w:rsid w:val="00DF124A"/>
    <w:rsid w:val="00DF7534"/>
    <w:rsid w:val="00E01E5E"/>
    <w:rsid w:val="00E02F10"/>
    <w:rsid w:val="00E03B9A"/>
    <w:rsid w:val="00E045E3"/>
    <w:rsid w:val="00E04641"/>
    <w:rsid w:val="00E05A91"/>
    <w:rsid w:val="00E067A0"/>
    <w:rsid w:val="00E10A78"/>
    <w:rsid w:val="00E155D4"/>
    <w:rsid w:val="00E16540"/>
    <w:rsid w:val="00E1697F"/>
    <w:rsid w:val="00E172F1"/>
    <w:rsid w:val="00E17846"/>
    <w:rsid w:val="00E17B9C"/>
    <w:rsid w:val="00E243F2"/>
    <w:rsid w:val="00E269AF"/>
    <w:rsid w:val="00E26F73"/>
    <w:rsid w:val="00E27163"/>
    <w:rsid w:val="00E275CC"/>
    <w:rsid w:val="00E3039D"/>
    <w:rsid w:val="00E30D5E"/>
    <w:rsid w:val="00E3107D"/>
    <w:rsid w:val="00E320B2"/>
    <w:rsid w:val="00E32379"/>
    <w:rsid w:val="00E3510D"/>
    <w:rsid w:val="00E360A4"/>
    <w:rsid w:val="00E366AE"/>
    <w:rsid w:val="00E368B9"/>
    <w:rsid w:val="00E36998"/>
    <w:rsid w:val="00E4030E"/>
    <w:rsid w:val="00E42444"/>
    <w:rsid w:val="00E4319C"/>
    <w:rsid w:val="00E43D04"/>
    <w:rsid w:val="00E44722"/>
    <w:rsid w:val="00E45663"/>
    <w:rsid w:val="00E469FC"/>
    <w:rsid w:val="00E507D8"/>
    <w:rsid w:val="00E52E8A"/>
    <w:rsid w:val="00E53E0B"/>
    <w:rsid w:val="00E5420A"/>
    <w:rsid w:val="00E546BD"/>
    <w:rsid w:val="00E574B3"/>
    <w:rsid w:val="00E57AAA"/>
    <w:rsid w:val="00E57F39"/>
    <w:rsid w:val="00E57F96"/>
    <w:rsid w:val="00E64777"/>
    <w:rsid w:val="00E648AF"/>
    <w:rsid w:val="00E6638E"/>
    <w:rsid w:val="00E66CF9"/>
    <w:rsid w:val="00E675F7"/>
    <w:rsid w:val="00E6776D"/>
    <w:rsid w:val="00E67DB5"/>
    <w:rsid w:val="00E716C4"/>
    <w:rsid w:val="00E72D2B"/>
    <w:rsid w:val="00E731CA"/>
    <w:rsid w:val="00E73D85"/>
    <w:rsid w:val="00E746CE"/>
    <w:rsid w:val="00E74A95"/>
    <w:rsid w:val="00E7512C"/>
    <w:rsid w:val="00E75B42"/>
    <w:rsid w:val="00E85D21"/>
    <w:rsid w:val="00E8754B"/>
    <w:rsid w:val="00E87F9B"/>
    <w:rsid w:val="00E9051A"/>
    <w:rsid w:val="00E907CE"/>
    <w:rsid w:val="00E92F7E"/>
    <w:rsid w:val="00E93808"/>
    <w:rsid w:val="00E96590"/>
    <w:rsid w:val="00E976EE"/>
    <w:rsid w:val="00EA030E"/>
    <w:rsid w:val="00EA0AE6"/>
    <w:rsid w:val="00EA1299"/>
    <w:rsid w:val="00EA1AF5"/>
    <w:rsid w:val="00EA32EF"/>
    <w:rsid w:val="00EA33AB"/>
    <w:rsid w:val="00EB08ED"/>
    <w:rsid w:val="00EB1EEF"/>
    <w:rsid w:val="00EB3888"/>
    <w:rsid w:val="00EB3A6B"/>
    <w:rsid w:val="00EB4A2D"/>
    <w:rsid w:val="00EB5167"/>
    <w:rsid w:val="00EB55A9"/>
    <w:rsid w:val="00EB6E6A"/>
    <w:rsid w:val="00EC34CE"/>
    <w:rsid w:val="00EC3930"/>
    <w:rsid w:val="00EC3FF3"/>
    <w:rsid w:val="00EC54CD"/>
    <w:rsid w:val="00EC589D"/>
    <w:rsid w:val="00EC713B"/>
    <w:rsid w:val="00EC7735"/>
    <w:rsid w:val="00EC7C78"/>
    <w:rsid w:val="00ED2B82"/>
    <w:rsid w:val="00ED3B50"/>
    <w:rsid w:val="00ED4338"/>
    <w:rsid w:val="00ED5599"/>
    <w:rsid w:val="00ED5CD3"/>
    <w:rsid w:val="00ED6634"/>
    <w:rsid w:val="00ED679F"/>
    <w:rsid w:val="00ED7524"/>
    <w:rsid w:val="00EE1B65"/>
    <w:rsid w:val="00EE2ACB"/>
    <w:rsid w:val="00EE3B13"/>
    <w:rsid w:val="00EE5566"/>
    <w:rsid w:val="00EE6FF2"/>
    <w:rsid w:val="00EE6FFC"/>
    <w:rsid w:val="00EF0B84"/>
    <w:rsid w:val="00EF6E6C"/>
    <w:rsid w:val="00EF78C5"/>
    <w:rsid w:val="00EF7CBE"/>
    <w:rsid w:val="00F031A6"/>
    <w:rsid w:val="00F031DE"/>
    <w:rsid w:val="00F03370"/>
    <w:rsid w:val="00F03CD6"/>
    <w:rsid w:val="00F0619D"/>
    <w:rsid w:val="00F061EB"/>
    <w:rsid w:val="00F06E4F"/>
    <w:rsid w:val="00F115A8"/>
    <w:rsid w:val="00F13541"/>
    <w:rsid w:val="00F14A32"/>
    <w:rsid w:val="00F17CEA"/>
    <w:rsid w:val="00F21DD7"/>
    <w:rsid w:val="00F248B8"/>
    <w:rsid w:val="00F2567C"/>
    <w:rsid w:val="00F31268"/>
    <w:rsid w:val="00F33CC9"/>
    <w:rsid w:val="00F346C8"/>
    <w:rsid w:val="00F34737"/>
    <w:rsid w:val="00F3658A"/>
    <w:rsid w:val="00F368EA"/>
    <w:rsid w:val="00F37CA4"/>
    <w:rsid w:val="00F40D65"/>
    <w:rsid w:val="00F41F20"/>
    <w:rsid w:val="00F4299B"/>
    <w:rsid w:val="00F43A72"/>
    <w:rsid w:val="00F43CD4"/>
    <w:rsid w:val="00F442CB"/>
    <w:rsid w:val="00F4522E"/>
    <w:rsid w:val="00F478FD"/>
    <w:rsid w:val="00F53F8C"/>
    <w:rsid w:val="00F5418B"/>
    <w:rsid w:val="00F54EBC"/>
    <w:rsid w:val="00F559D4"/>
    <w:rsid w:val="00F55FA7"/>
    <w:rsid w:val="00F57270"/>
    <w:rsid w:val="00F57BE4"/>
    <w:rsid w:val="00F656AA"/>
    <w:rsid w:val="00F65F53"/>
    <w:rsid w:val="00F668A9"/>
    <w:rsid w:val="00F66CEB"/>
    <w:rsid w:val="00F67261"/>
    <w:rsid w:val="00F712E1"/>
    <w:rsid w:val="00F71346"/>
    <w:rsid w:val="00F763D9"/>
    <w:rsid w:val="00F80C22"/>
    <w:rsid w:val="00F820F5"/>
    <w:rsid w:val="00F83187"/>
    <w:rsid w:val="00F8382B"/>
    <w:rsid w:val="00F8598A"/>
    <w:rsid w:val="00F90AC5"/>
    <w:rsid w:val="00F912C4"/>
    <w:rsid w:val="00F934F1"/>
    <w:rsid w:val="00F935CD"/>
    <w:rsid w:val="00F9604F"/>
    <w:rsid w:val="00F96C5A"/>
    <w:rsid w:val="00F97015"/>
    <w:rsid w:val="00FA08DF"/>
    <w:rsid w:val="00FA0EF9"/>
    <w:rsid w:val="00FA1461"/>
    <w:rsid w:val="00FA20E9"/>
    <w:rsid w:val="00FA227B"/>
    <w:rsid w:val="00FA2CE1"/>
    <w:rsid w:val="00FA4CB2"/>
    <w:rsid w:val="00FA5232"/>
    <w:rsid w:val="00FA573D"/>
    <w:rsid w:val="00FA795D"/>
    <w:rsid w:val="00FB0395"/>
    <w:rsid w:val="00FB047A"/>
    <w:rsid w:val="00FB6878"/>
    <w:rsid w:val="00FB6AD9"/>
    <w:rsid w:val="00FC138C"/>
    <w:rsid w:val="00FC681B"/>
    <w:rsid w:val="00FC6BB9"/>
    <w:rsid w:val="00FC6C58"/>
    <w:rsid w:val="00FD3753"/>
    <w:rsid w:val="00FD4549"/>
    <w:rsid w:val="00FD4564"/>
    <w:rsid w:val="00FD4914"/>
    <w:rsid w:val="00FD5A87"/>
    <w:rsid w:val="00FE0208"/>
    <w:rsid w:val="00FE09C0"/>
    <w:rsid w:val="00FE0BD9"/>
    <w:rsid w:val="00FE1380"/>
    <w:rsid w:val="00FE2223"/>
    <w:rsid w:val="00FE2A52"/>
    <w:rsid w:val="00FE2D80"/>
    <w:rsid w:val="00FE3F87"/>
    <w:rsid w:val="00FE45C9"/>
    <w:rsid w:val="00FE5152"/>
    <w:rsid w:val="00FE5312"/>
    <w:rsid w:val="00FE6F9A"/>
    <w:rsid w:val="00FF1502"/>
    <w:rsid w:val="00FF25E0"/>
    <w:rsid w:val="00FF2F31"/>
    <w:rsid w:val="00FF30D5"/>
    <w:rsid w:val="00FF5CDF"/>
    <w:rsid w:val="00FF6B82"/>
    <w:rsid w:val="00FF7802"/>
    <w:rsid w:val="01934C43"/>
    <w:rsid w:val="04ED45B7"/>
    <w:rsid w:val="05A46810"/>
    <w:rsid w:val="066C6F8C"/>
    <w:rsid w:val="084E1821"/>
    <w:rsid w:val="098E229C"/>
    <w:rsid w:val="0DB05190"/>
    <w:rsid w:val="13BD7771"/>
    <w:rsid w:val="143D3A1D"/>
    <w:rsid w:val="15630407"/>
    <w:rsid w:val="15AF28E5"/>
    <w:rsid w:val="16F775BF"/>
    <w:rsid w:val="1CF23DDC"/>
    <w:rsid w:val="21A442AF"/>
    <w:rsid w:val="2216237D"/>
    <w:rsid w:val="22D66406"/>
    <w:rsid w:val="25E53141"/>
    <w:rsid w:val="27ED0572"/>
    <w:rsid w:val="28B641F4"/>
    <w:rsid w:val="2CA014EB"/>
    <w:rsid w:val="2CCE2AFA"/>
    <w:rsid w:val="2F8F422C"/>
    <w:rsid w:val="2F911A4F"/>
    <w:rsid w:val="340C1D01"/>
    <w:rsid w:val="3B570F6E"/>
    <w:rsid w:val="3E222612"/>
    <w:rsid w:val="3FD82221"/>
    <w:rsid w:val="4A9477D1"/>
    <w:rsid w:val="4AFE3607"/>
    <w:rsid w:val="4D2B6E28"/>
    <w:rsid w:val="4E48780D"/>
    <w:rsid w:val="4FDD5418"/>
    <w:rsid w:val="504B713B"/>
    <w:rsid w:val="53085B6D"/>
    <w:rsid w:val="53686C4C"/>
    <w:rsid w:val="57347C1D"/>
    <w:rsid w:val="57D815C6"/>
    <w:rsid w:val="5E096E73"/>
    <w:rsid w:val="672E0609"/>
    <w:rsid w:val="6C862549"/>
    <w:rsid w:val="6D506EE4"/>
    <w:rsid w:val="7780084E"/>
    <w:rsid w:val="7C662816"/>
    <w:rsid w:val="7E8D79D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iPriority="39" w:semiHidden="0"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qFormat="1" w:uiPriority="0" w:semiHidden="0" w:name="Body Text First Indent 2"/>
    <w:lsdException w:uiPriority="99" w:name="Note Heading"/>
    <w:lsdException w:uiPriority="99" w:name="Body Text 2"/>
    <w:lsdException w:qFormat="1" w:uiPriority="0"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7"/>
    <w:qFormat/>
    <w:uiPriority w:val="0"/>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54"/>
    <w:qFormat/>
    <w:uiPriority w:val="0"/>
    <w:pPr>
      <w:keepNext/>
      <w:keepLines/>
      <w:spacing w:before="260" w:after="260" w:line="416" w:lineRule="auto"/>
      <w:outlineLvl w:val="1"/>
    </w:pPr>
    <w:rPr>
      <w:rFonts w:ascii="Arial" w:hAnsi="Arial" w:eastAsia="黑体" w:cs="Times New Roman"/>
      <w:b/>
      <w:bCs/>
      <w:sz w:val="32"/>
      <w:szCs w:val="32"/>
    </w:rPr>
  </w:style>
  <w:style w:type="paragraph" w:styleId="4">
    <w:name w:val="heading 4"/>
    <w:basedOn w:val="1"/>
    <w:next w:val="1"/>
    <w:qFormat/>
    <w:uiPriority w:val="0"/>
    <w:pPr>
      <w:keepNext/>
      <w:keepLines/>
      <w:spacing w:before="280" w:after="290" w:line="377" w:lineRule="auto"/>
      <w:outlineLvl w:val="3"/>
    </w:pPr>
    <w:rPr>
      <w:rFonts w:ascii="Cambria" w:hAnsi="Cambria" w:eastAsia="黑体" w:cs="Times New Roman"/>
      <w:b/>
      <w:bCs/>
      <w:kern w:val="2"/>
      <w:sz w:val="24"/>
      <w:szCs w:val="28"/>
      <w:lang w:val="en-US" w:eastAsia="zh-CN" w:bidi="ar-SA"/>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5">
    <w:name w:val="table of authorities"/>
    <w:basedOn w:val="1"/>
    <w:next w:val="1"/>
    <w:qFormat/>
    <w:uiPriority w:val="0"/>
    <w:pPr>
      <w:ind w:left="420" w:leftChars="200"/>
    </w:pPr>
    <w:rPr>
      <w:rFonts w:ascii="Calibri" w:hAnsi="Calibri" w:eastAsia="宋体" w:cs="Times New Roman"/>
      <w:szCs w:val="24"/>
    </w:rPr>
  </w:style>
  <w:style w:type="paragraph" w:styleId="6">
    <w:name w:val="annotation text"/>
    <w:basedOn w:val="1"/>
    <w:link w:val="52"/>
    <w:unhideWhenUsed/>
    <w:qFormat/>
    <w:uiPriority w:val="99"/>
    <w:pPr>
      <w:jc w:val="left"/>
    </w:pPr>
  </w:style>
  <w:style w:type="paragraph" w:styleId="7">
    <w:name w:val="Body Text"/>
    <w:basedOn w:val="1"/>
    <w:next w:val="8"/>
    <w:link w:val="36"/>
    <w:semiHidden/>
    <w:unhideWhenUsed/>
    <w:qFormat/>
    <w:uiPriority w:val="99"/>
    <w:pPr>
      <w:spacing w:after="120"/>
    </w:pPr>
  </w:style>
  <w:style w:type="paragraph" w:styleId="8">
    <w:name w:val="Body Text First Indent"/>
    <w:basedOn w:val="7"/>
    <w:next w:val="9"/>
    <w:link w:val="37"/>
    <w:unhideWhenUsed/>
    <w:qFormat/>
    <w:uiPriority w:val="99"/>
    <w:pPr>
      <w:ind w:firstLine="420" w:firstLineChars="100"/>
    </w:pPr>
  </w:style>
  <w:style w:type="paragraph" w:styleId="9">
    <w:name w:val="toc 6"/>
    <w:basedOn w:val="1"/>
    <w:next w:val="1"/>
    <w:unhideWhenUsed/>
    <w:qFormat/>
    <w:uiPriority w:val="39"/>
    <w:pPr>
      <w:widowControl w:val="0"/>
      <w:ind w:left="2100" w:leftChars="1000"/>
      <w:jc w:val="both"/>
    </w:pPr>
    <w:rPr>
      <w:rFonts w:ascii="等线" w:hAnsi="等线" w:eastAsia="等线" w:cs="Times New Roman"/>
      <w:kern w:val="2"/>
      <w:sz w:val="21"/>
      <w:szCs w:val="22"/>
      <w:lang w:val="en-US" w:eastAsia="zh-CN" w:bidi="ar-SA"/>
    </w:rPr>
  </w:style>
  <w:style w:type="paragraph" w:styleId="10">
    <w:name w:val="Body Text Indent"/>
    <w:basedOn w:val="1"/>
    <w:link w:val="28"/>
    <w:unhideWhenUsed/>
    <w:qFormat/>
    <w:uiPriority w:val="0"/>
    <w:pPr>
      <w:spacing w:after="120"/>
      <w:ind w:left="420" w:leftChars="200"/>
    </w:pPr>
  </w:style>
  <w:style w:type="paragraph" w:styleId="11">
    <w:name w:val="Plain Text"/>
    <w:basedOn w:val="1"/>
    <w:next w:val="12"/>
    <w:qFormat/>
    <w:uiPriority w:val="0"/>
    <w:pPr>
      <w:autoSpaceDE/>
      <w:autoSpaceDN/>
      <w:adjustRightInd/>
    </w:pPr>
    <w:rPr>
      <w:rFonts w:ascii="Calibri" w:hAnsi="Calibri" w:eastAsia="宋体"/>
      <w:kern w:val="2"/>
      <w:sz w:val="24"/>
      <w:lang w:val="en-US" w:eastAsia="zh-CN" w:bidi="ar-SA"/>
    </w:rPr>
  </w:style>
  <w:style w:type="paragraph" w:styleId="12">
    <w:name w:val="index 7"/>
    <w:basedOn w:val="1"/>
    <w:next w:val="1"/>
    <w:qFormat/>
    <w:uiPriority w:val="0"/>
    <w:pPr>
      <w:ind w:left="1200" w:leftChars="1200"/>
    </w:pPr>
  </w:style>
  <w:style w:type="paragraph" w:styleId="13">
    <w:name w:val="Balloon Text"/>
    <w:basedOn w:val="1"/>
    <w:link w:val="44"/>
    <w:semiHidden/>
    <w:unhideWhenUsed/>
    <w:qFormat/>
    <w:uiPriority w:val="99"/>
    <w:rPr>
      <w:sz w:val="18"/>
      <w:szCs w:val="18"/>
    </w:rPr>
  </w:style>
  <w:style w:type="paragraph" w:styleId="14">
    <w:name w:val="footer"/>
    <w:basedOn w:val="1"/>
    <w:link w:val="30"/>
    <w:qFormat/>
    <w:uiPriority w:val="0"/>
    <w:pPr>
      <w:tabs>
        <w:tab w:val="center" w:pos="4153"/>
        <w:tab w:val="right" w:pos="8306"/>
      </w:tabs>
      <w:snapToGrid w:val="0"/>
      <w:jc w:val="left"/>
    </w:pPr>
    <w:rPr>
      <w:sz w:val="18"/>
      <w:szCs w:val="18"/>
    </w:rPr>
  </w:style>
  <w:style w:type="paragraph" w:styleId="15">
    <w:name w:val="header"/>
    <w:basedOn w:val="1"/>
    <w:link w:val="31"/>
    <w:qFormat/>
    <w:uiPriority w:val="0"/>
    <w:pPr>
      <w:pBdr>
        <w:bottom w:val="single" w:color="auto" w:sz="6" w:space="1"/>
      </w:pBdr>
      <w:tabs>
        <w:tab w:val="center" w:pos="4153"/>
        <w:tab w:val="right" w:pos="8306"/>
      </w:tabs>
      <w:snapToGrid w:val="0"/>
      <w:jc w:val="center"/>
    </w:pPr>
    <w:rPr>
      <w:sz w:val="18"/>
      <w:szCs w:val="18"/>
    </w:rPr>
  </w:style>
  <w:style w:type="paragraph" w:styleId="16">
    <w:name w:val="Normal (Web)"/>
    <w:basedOn w:val="1"/>
    <w:link w:val="34"/>
    <w:qFormat/>
    <w:uiPriority w:val="0"/>
    <w:pPr>
      <w:widowControl/>
      <w:spacing w:before="100" w:beforeAutospacing="1" w:after="100" w:afterAutospacing="1"/>
      <w:jc w:val="left"/>
    </w:pPr>
    <w:rPr>
      <w:rFonts w:ascii="宋体" w:hAnsi="宋体" w:eastAsia="宋体" w:cs="宋体"/>
      <w:kern w:val="0"/>
      <w:sz w:val="24"/>
      <w:szCs w:val="24"/>
    </w:rPr>
  </w:style>
  <w:style w:type="paragraph" w:styleId="17">
    <w:name w:val="annotation subject"/>
    <w:basedOn w:val="6"/>
    <w:next w:val="6"/>
    <w:link w:val="53"/>
    <w:semiHidden/>
    <w:unhideWhenUsed/>
    <w:qFormat/>
    <w:uiPriority w:val="99"/>
    <w:rPr>
      <w:b/>
      <w:bCs/>
    </w:rPr>
  </w:style>
  <w:style w:type="paragraph" w:styleId="18">
    <w:name w:val="Body Text First Indent 2"/>
    <w:basedOn w:val="10"/>
    <w:link w:val="29"/>
    <w:unhideWhenUsed/>
    <w:qFormat/>
    <w:uiPriority w:val="0"/>
    <w:pPr>
      <w:ind w:firstLine="420" w:firstLineChars="200"/>
    </w:pPr>
    <w:rPr>
      <w:rFonts w:ascii="Times New Roman" w:hAnsi="Times New Roman" w:eastAsia="宋体" w:cs="Times New Roman"/>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annotation reference"/>
    <w:basedOn w:val="21"/>
    <w:semiHidden/>
    <w:unhideWhenUsed/>
    <w:qFormat/>
    <w:uiPriority w:val="99"/>
    <w:rPr>
      <w:sz w:val="21"/>
      <w:szCs w:val="21"/>
    </w:rPr>
  </w:style>
  <w:style w:type="paragraph" w:customStyle="1" w:styleId="23">
    <w:name w:val="Body Text 31"/>
    <w:basedOn w:val="1"/>
    <w:qFormat/>
    <w:uiPriority w:val="0"/>
    <w:pPr>
      <w:spacing w:after="120" w:afterLines="0"/>
    </w:pPr>
    <w:rPr>
      <w:sz w:val="16"/>
      <w:szCs w:val="16"/>
    </w:rPr>
  </w:style>
  <w:style w:type="paragraph" w:customStyle="1" w:styleId="24">
    <w:name w:val="BodyText1I"/>
    <w:basedOn w:val="25"/>
    <w:next w:val="1"/>
    <w:qFormat/>
    <w:uiPriority w:val="0"/>
    <w:pPr>
      <w:spacing w:line="360" w:lineRule="auto"/>
      <w:ind w:firstLine="420"/>
      <w:jc w:val="both"/>
      <w:textAlignment w:val="baseline"/>
    </w:pPr>
    <w:rPr>
      <w:rFonts w:ascii="宋体" w:hAnsi="Times New Roman" w:eastAsia="宋体"/>
      <w:kern w:val="2"/>
      <w:sz w:val="24"/>
      <w:szCs w:val="20"/>
      <w:lang w:val="zh-CN" w:eastAsia="zh-CN" w:bidi="ar-SA"/>
    </w:rPr>
  </w:style>
  <w:style w:type="paragraph" w:customStyle="1" w:styleId="25">
    <w:name w:val="BodyText"/>
    <w:basedOn w:val="1"/>
    <w:next w:val="24"/>
    <w:qFormat/>
    <w:uiPriority w:val="0"/>
    <w:pPr>
      <w:jc w:val="both"/>
      <w:textAlignment w:val="baseline"/>
    </w:pPr>
    <w:rPr>
      <w:rFonts w:ascii="Times New Roman" w:hAnsi="Times New Roman" w:eastAsia="宋体"/>
      <w:color w:val="000000"/>
      <w:kern w:val="0"/>
      <w:sz w:val="24"/>
      <w:szCs w:val="24"/>
      <w:lang w:val="en-US" w:eastAsia="zh-CN" w:bidi="ar-SA"/>
    </w:rPr>
  </w:style>
  <w:style w:type="paragraph" w:customStyle="1" w:styleId="26">
    <w:name w:val="_Style 3"/>
    <w:basedOn w:val="1"/>
    <w:qFormat/>
    <w:uiPriority w:val="99"/>
    <w:pPr>
      <w:adjustRightInd/>
      <w:ind w:firstLine="420" w:firstLineChars="200"/>
    </w:pPr>
    <w:rPr>
      <w:rFonts w:eastAsia="仿宋_GB2312"/>
      <w:sz w:val="28"/>
    </w:rPr>
  </w:style>
  <w:style w:type="character" w:customStyle="1" w:styleId="27">
    <w:name w:val="标题 1 Char"/>
    <w:basedOn w:val="21"/>
    <w:link w:val="2"/>
    <w:qFormat/>
    <w:uiPriority w:val="0"/>
    <w:rPr>
      <w:rFonts w:ascii="Times New Roman" w:hAnsi="Times New Roman" w:eastAsia="宋体" w:cs="Times New Roman"/>
      <w:b/>
      <w:bCs/>
      <w:kern w:val="44"/>
      <w:sz w:val="44"/>
      <w:szCs w:val="44"/>
    </w:rPr>
  </w:style>
  <w:style w:type="character" w:customStyle="1" w:styleId="28">
    <w:name w:val="正文文本缩进 Char"/>
    <w:basedOn w:val="21"/>
    <w:link w:val="10"/>
    <w:semiHidden/>
    <w:qFormat/>
    <w:uiPriority w:val="99"/>
  </w:style>
  <w:style w:type="character" w:customStyle="1" w:styleId="29">
    <w:name w:val="正文首行缩进 2 Char"/>
    <w:basedOn w:val="28"/>
    <w:link w:val="18"/>
    <w:qFormat/>
    <w:uiPriority w:val="0"/>
    <w:rPr>
      <w:rFonts w:ascii="Times New Roman" w:hAnsi="Times New Roman" w:eastAsia="宋体" w:cs="Times New Roman"/>
    </w:rPr>
  </w:style>
  <w:style w:type="character" w:customStyle="1" w:styleId="30">
    <w:name w:val="页脚 Char"/>
    <w:link w:val="14"/>
    <w:qFormat/>
    <w:uiPriority w:val="99"/>
    <w:rPr>
      <w:sz w:val="18"/>
      <w:szCs w:val="18"/>
    </w:rPr>
  </w:style>
  <w:style w:type="character" w:customStyle="1" w:styleId="31">
    <w:name w:val="页眉 Char"/>
    <w:link w:val="15"/>
    <w:qFormat/>
    <w:uiPriority w:val="0"/>
    <w:rPr>
      <w:sz w:val="18"/>
      <w:szCs w:val="18"/>
    </w:rPr>
  </w:style>
  <w:style w:type="character" w:customStyle="1" w:styleId="32">
    <w:name w:val="页脚 字符1"/>
    <w:basedOn w:val="21"/>
    <w:semiHidden/>
    <w:qFormat/>
    <w:uiPriority w:val="99"/>
    <w:rPr>
      <w:sz w:val="18"/>
      <w:szCs w:val="18"/>
    </w:rPr>
  </w:style>
  <w:style w:type="character" w:customStyle="1" w:styleId="33">
    <w:name w:val="页眉 字符1"/>
    <w:basedOn w:val="21"/>
    <w:semiHidden/>
    <w:qFormat/>
    <w:uiPriority w:val="99"/>
    <w:rPr>
      <w:sz w:val="18"/>
      <w:szCs w:val="18"/>
    </w:rPr>
  </w:style>
  <w:style w:type="character" w:customStyle="1" w:styleId="34">
    <w:name w:val="普通(网站) Char"/>
    <w:link w:val="16"/>
    <w:qFormat/>
    <w:uiPriority w:val="0"/>
    <w:rPr>
      <w:rFonts w:ascii="宋体" w:hAnsi="宋体" w:eastAsia="宋体" w:cs="宋体"/>
      <w:kern w:val="0"/>
      <w:sz w:val="24"/>
      <w:szCs w:val="24"/>
    </w:rPr>
  </w:style>
  <w:style w:type="paragraph" w:customStyle="1" w:styleId="35">
    <w:name w:val="Default"/>
    <w:qFormat/>
    <w:uiPriority w:val="0"/>
    <w:pPr>
      <w:widowControl w:val="0"/>
      <w:autoSpaceDE w:val="0"/>
      <w:autoSpaceDN w:val="0"/>
      <w:adjustRightInd w:val="0"/>
      <w:spacing w:line="360" w:lineRule="auto"/>
      <w:jc w:val="both"/>
    </w:pPr>
    <w:rPr>
      <w:rFonts w:ascii="黑体" w:hAnsi="Times New Roman" w:eastAsia="黑体" w:cs="黑体"/>
      <w:color w:val="000000"/>
      <w:sz w:val="24"/>
      <w:szCs w:val="24"/>
      <w:lang w:val="en-US" w:eastAsia="zh-CN" w:bidi="ar-SA"/>
    </w:rPr>
  </w:style>
  <w:style w:type="character" w:customStyle="1" w:styleId="36">
    <w:name w:val="正文文本 Char"/>
    <w:basedOn w:val="21"/>
    <w:link w:val="7"/>
    <w:semiHidden/>
    <w:qFormat/>
    <w:uiPriority w:val="99"/>
  </w:style>
  <w:style w:type="character" w:customStyle="1" w:styleId="37">
    <w:name w:val="正文首行缩进 Char"/>
    <w:basedOn w:val="36"/>
    <w:link w:val="8"/>
    <w:qFormat/>
    <w:uiPriority w:val="99"/>
  </w:style>
  <w:style w:type="paragraph" w:customStyle="1" w:styleId="38">
    <w:name w:val="四级目录 Char Char Char Char Char"/>
    <w:next w:val="1"/>
    <w:qFormat/>
    <w:uiPriority w:val="0"/>
    <w:pPr>
      <w:spacing w:line="360" w:lineRule="auto"/>
      <w:ind w:left="200" w:leftChars="200"/>
    </w:pPr>
    <w:rPr>
      <w:rFonts w:ascii="Calibri" w:hAnsi="Calibri" w:eastAsia="宋体" w:cs="Times New Roman"/>
      <w:lang w:val="en-US" w:eastAsia="zh-CN" w:bidi="ar-SA"/>
    </w:rPr>
  </w:style>
  <w:style w:type="paragraph" w:styleId="39">
    <w:name w:val="List Paragraph"/>
    <w:basedOn w:val="1"/>
    <w:link w:val="43"/>
    <w:qFormat/>
    <w:uiPriority w:val="0"/>
    <w:pPr>
      <w:ind w:firstLine="420" w:firstLineChars="200"/>
    </w:pPr>
  </w:style>
  <w:style w:type="character" w:customStyle="1" w:styleId="40">
    <w:name w:val="bookmark-item"/>
    <w:basedOn w:val="21"/>
    <w:qFormat/>
    <w:uiPriority w:val="0"/>
  </w:style>
  <w:style w:type="paragraph" w:customStyle="1" w:styleId="41">
    <w:name w:val="表格内容"/>
    <w:link w:val="42"/>
    <w:qFormat/>
    <w:uiPriority w:val="0"/>
    <w:pPr>
      <w:jc w:val="center"/>
    </w:pPr>
    <w:rPr>
      <w:rFonts w:ascii="Times New Roman" w:hAnsi="Times New Roman" w:eastAsia="宋体" w:cs="Times New Roman"/>
      <w:sz w:val="24"/>
      <w:szCs w:val="28"/>
      <w:lang w:val="en-US" w:eastAsia="zh-CN" w:bidi="ar-SA"/>
    </w:rPr>
  </w:style>
  <w:style w:type="character" w:customStyle="1" w:styleId="42">
    <w:name w:val="表格内容 字符"/>
    <w:basedOn w:val="21"/>
    <w:link w:val="41"/>
    <w:qFormat/>
    <w:uiPriority w:val="0"/>
    <w:rPr>
      <w:rFonts w:ascii="Times New Roman" w:hAnsi="Times New Roman" w:eastAsia="宋体" w:cs="Times New Roman"/>
      <w:kern w:val="0"/>
      <w:sz w:val="24"/>
      <w:szCs w:val="28"/>
    </w:rPr>
  </w:style>
  <w:style w:type="character" w:customStyle="1" w:styleId="43">
    <w:name w:val="列出段落 Char"/>
    <w:link w:val="39"/>
    <w:qFormat/>
    <w:uiPriority w:val="34"/>
  </w:style>
  <w:style w:type="character" w:customStyle="1" w:styleId="44">
    <w:name w:val="批注框文本 Char"/>
    <w:basedOn w:val="21"/>
    <w:link w:val="13"/>
    <w:semiHidden/>
    <w:qFormat/>
    <w:uiPriority w:val="99"/>
    <w:rPr>
      <w:sz w:val="18"/>
      <w:szCs w:val="18"/>
    </w:rPr>
  </w:style>
  <w:style w:type="paragraph" w:customStyle="1" w:styleId="45">
    <w:name w:val="表格标题"/>
    <w:next w:val="1"/>
    <w:link w:val="46"/>
    <w:qFormat/>
    <w:uiPriority w:val="0"/>
    <w:pPr>
      <w:tabs>
        <w:tab w:val="center" w:pos="4395"/>
      </w:tabs>
      <w:spacing w:line="360" w:lineRule="auto"/>
      <w:jc w:val="center"/>
    </w:pPr>
    <w:rPr>
      <w:rFonts w:ascii="Times New Roman" w:hAnsi="Times New Roman" w:eastAsia="宋体" w:cs="宋体"/>
      <w:b/>
      <w:sz w:val="28"/>
      <w:szCs w:val="28"/>
      <w:lang w:val="en-US" w:eastAsia="zh-CN" w:bidi="ar-SA"/>
    </w:rPr>
  </w:style>
  <w:style w:type="character" w:customStyle="1" w:styleId="46">
    <w:name w:val="表格标题 Char"/>
    <w:link w:val="45"/>
    <w:qFormat/>
    <w:uiPriority w:val="0"/>
    <w:rPr>
      <w:rFonts w:ascii="Times New Roman" w:hAnsi="Times New Roman" w:eastAsia="宋体" w:cs="宋体"/>
      <w:b/>
      <w:kern w:val="0"/>
      <w:sz w:val="28"/>
      <w:szCs w:val="28"/>
    </w:rPr>
  </w:style>
  <w:style w:type="paragraph" w:customStyle="1" w:styleId="47">
    <w:name w:val="Table Paragraph"/>
    <w:basedOn w:val="1"/>
    <w:qFormat/>
    <w:uiPriority w:val="1"/>
    <w:pPr>
      <w:autoSpaceDE w:val="0"/>
      <w:autoSpaceDN w:val="0"/>
      <w:adjustRightInd w:val="0"/>
      <w:jc w:val="left"/>
    </w:pPr>
    <w:rPr>
      <w:rFonts w:ascii="Times New Roman" w:hAnsi="Times New Roman" w:cs="Times New Roman"/>
      <w:kern w:val="0"/>
      <w:sz w:val="24"/>
      <w:szCs w:val="24"/>
    </w:rPr>
  </w:style>
  <w:style w:type="character" w:customStyle="1" w:styleId="48">
    <w:name w:val="正文文本 3 Char"/>
    <w:basedOn w:val="21"/>
    <w:qFormat/>
    <w:uiPriority w:val="0"/>
    <w:rPr>
      <w:color w:val="000000"/>
      <w:sz w:val="16"/>
      <w:szCs w:val="16"/>
    </w:rPr>
  </w:style>
  <w:style w:type="character" w:customStyle="1" w:styleId="49">
    <w:name w:val="NormalCharacter"/>
    <w:qFormat/>
    <w:uiPriority w:val="0"/>
    <w:rPr>
      <w:rFonts w:ascii="Calibri" w:hAnsi="Calibri" w:eastAsia="宋体" w:cs="Times New Roman"/>
      <w:kern w:val="2"/>
      <w:sz w:val="21"/>
      <w:szCs w:val="22"/>
      <w:lang w:val="en-US" w:eastAsia="zh-CN" w:bidi="ar-SA"/>
    </w:rPr>
  </w:style>
  <w:style w:type="paragraph" w:customStyle="1" w:styleId="50">
    <w:name w:val="BodyText1I2"/>
    <w:basedOn w:val="1"/>
    <w:qFormat/>
    <w:uiPriority w:val="0"/>
    <w:pPr>
      <w:adjustRightInd w:val="0"/>
      <w:spacing w:after="120" w:line="360" w:lineRule="auto"/>
      <w:ind w:left="420" w:leftChars="200" w:firstLine="420" w:firstLineChars="200"/>
      <w:textAlignment w:val="baseline"/>
    </w:pPr>
    <w:rPr>
      <w:rFonts w:ascii="Calibri" w:hAnsi="Calibri" w:eastAsia="宋体" w:cs="Times New Roman"/>
      <w:color w:val="000000"/>
      <w:sz w:val="24"/>
    </w:rPr>
  </w:style>
  <w:style w:type="paragraph" w:customStyle="1" w:styleId="51">
    <w:name w:val="标准正文"/>
    <w:basedOn w:val="1"/>
    <w:qFormat/>
    <w:uiPriority w:val="0"/>
    <w:pPr>
      <w:spacing w:afterLines="50"/>
      <w:ind w:firstLine="200" w:firstLineChars="200"/>
    </w:pPr>
    <w:rPr>
      <w:rFonts w:ascii="Times New Roman" w:hAnsi="Times New Roman" w:eastAsia="宋体" w:cs="Times New Roman"/>
      <w:sz w:val="24"/>
      <w:szCs w:val="21"/>
    </w:rPr>
  </w:style>
  <w:style w:type="character" w:customStyle="1" w:styleId="52">
    <w:name w:val="批注文字 Char"/>
    <w:basedOn w:val="21"/>
    <w:link w:val="6"/>
    <w:qFormat/>
    <w:uiPriority w:val="99"/>
    <w:rPr>
      <w:rFonts w:asciiTheme="minorHAnsi" w:hAnsiTheme="minorHAnsi" w:eastAsiaTheme="minorEastAsia" w:cstheme="minorBidi"/>
      <w:kern w:val="2"/>
      <w:sz w:val="21"/>
      <w:szCs w:val="22"/>
    </w:rPr>
  </w:style>
  <w:style w:type="character" w:customStyle="1" w:styleId="53">
    <w:name w:val="批注主题 Char"/>
    <w:basedOn w:val="52"/>
    <w:link w:val="17"/>
    <w:semiHidden/>
    <w:qFormat/>
    <w:uiPriority w:val="99"/>
    <w:rPr>
      <w:b/>
      <w:bCs/>
    </w:rPr>
  </w:style>
  <w:style w:type="character" w:customStyle="1" w:styleId="54">
    <w:name w:val="标题 2 Char"/>
    <w:basedOn w:val="21"/>
    <w:link w:val="3"/>
    <w:qFormat/>
    <w:uiPriority w:val="0"/>
    <w:rPr>
      <w:rFonts w:ascii="Arial" w:hAnsi="Arial" w:eastAsia="黑体"/>
      <w:b/>
      <w:bCs/>
      <w:kern w:val="2"/>
      <w:sz w:val="32"/>
      <w:szCs w:val="32"/>
    </w:rPr>
  </w:style>
  <w:style w:type="paragraph" w:customStyle="1" w:styleId="55">
    <w:name w:val="表格文字"/>
    <w:basedOn w:val="56"/>
    <w:next w:val="7"/>
    <w:qFormat/>
    <w:uiPriority w:val="0"/>
    <w:pPr>
      <w:autoSpaceDE w:val="0"/>
      <w:autoSpaceDN w:val="0"/>
      <w:adjustRightInd w:val="0"/>
      <w:spacing w:line="420" w:lineRule="atLeast"/>
      <w:textAlignment w:val="baseline"/>
    </w:pPr>
    <w:rPr>
      <w:rFonts w:ascii="Times New Roman" w:hAnsi="Times New Roman" w:eastAsia="宋体" w:cs="Times New Roman"/>
      <w:color w:val="000000"/>
      <w:kern w:val="0"/>
      <w:szCs w:val="24"/>
    </w:rPr>
  </w:style>
  <w:style w:type="paragraph" w:customStyle="1" w:styleId="56">
    <w:name w:val="表格文字（两侧对齐）"/>
    <w:basedOn w:val="1"/>
    <w:qFormat/>
    <w:uiPriority w:val="0"/>
    <w:pPr>
      <w:snapToGrid w:val="0"/>
    </w:pPr>
    <w:rPr>
      <w:sz w:val="20"/>
      <w:szCs w:val="24"/>
    </w:rPr>
  </w:style>
  <w:style w:type="character" w:customStyle="1" w:styleId="57">
    <w:name w:val="标题 1 Char Char"/>
    <w:basedOn w:val="21"/>
    <w:qFormat/>
    <w:uiPriority w:val="0"/>
    <w:rPr>
      <w:rFonts w:eastAsia="宋体"/>
      <w:b/>
      <w:spacing w:val="-2"/>
      <w:sz w:val="24"/>
      <w:lang w:val="en-US" w:eastAsia="zh-CN" w:bidi="ar-SA"/>
    </w:rPr>
  </w:style>
  <w:style w:type="paragraph" w:customStyle="1" w:styleId="58">
    <w:name w:val="正文首行缩进 21"/>
    <w:basedOn w:val="1"/>
    <w:qFormat/>
    <w:uiPriority w:val="0"/>
    <w:pPr>
      <w:autoSpaceDE w:val="0"/>
      <w:autoSpaceDN w:val="0"/>
      <w:adjustRightInd w:val="0"/>
      <w:ind w:left="420" w:leftChars="200" w:firstLine="420"/>
    </w:pPr>
    <w:rPr>
      <w:rFonts w:ascii="Times New Roman" w:hAnsi="Times New Roman" w:eastAsia="宋体" w:cs="宋体"/>
      <w:color w:val="000000"/>
      <w:kern w:val="0"/>
      <w:szCs w:val="21"/>
    </w:rPr>
  </w:style>
  <w:style w:type="character" w:customStyle="1" w:styleId="59">
    <w:name w:val="正文文本缩进 Char3"/>
    <w:qFormat/>
    <w:uiPriority w:val="0"/>
    <w:rPr>
      <w:rFonts w:ascii="宋体" w:hAnsi="宋体"/>
      <w:kern w:val="2"/>
      <w:sz w:val="24"/>
      <w:szCs w:val="24"/>
    </w:rPr>
  </w:style>
  <w:style w:type="paragraph" w:customStyle="1" w:styleId="60">
    <w:name w:val="Body Text First Indent 2"/>
    <w:basedOn w:val="61"/>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61">
    <w:name w:val="Body Text Indent"/>
    <w:basedOn w:val="1"/>
    <w:next w:val="1"/>
    <w:qFormat/>
    <w:uiPriority w:val="0"/>
    <w:pPr>
      <w:spacing w:after="120" w:afterLines="0"/>
      <w:ind w:left="420" w:leftChars="200"/>
    </w:pPr>
    <w:rPr>
      <w:color w:val="000000"/>
      <w:sz w:val="21"/>
      <w:szCs w:val="21"/>
    </w:rPr>
  </w:style>
  <w:style w:type="table" w:customStyle="1" w:styleId="62">
    <w:name w:val="Table Normal"/>
    <w:unhideWhenUsed/>
    <w:qFormat/>
    <w:uiPriority w:val="0"/>
    <w:tblPr>
      <w:tblCellMar>
        <w:top w:w="0" w:type="dxa"/>
        <w:left w:w="0" w:type="dxa"/>
        <w:bottom w:w="0" w:type="dxa"/>
        <w:right w:w="0" w:type="dxa"/>
      </w:tblCellMar>
    </w:tblPr>
  </w:style>
  <w:style w:type="paragraph" w:customStyle="1" w:styleId="63">
    <w:name w:val="正文段"/>
    <w:basedOn w:val="1"/>
    <w:next w:val="64"/>
    <w:qFormat/>
    <w:uiPriority w:val="0"/>
    <w:pPr>
      <w:widowControl/>
      <w:autoSpaceDE/>
      <w:autoSpaceDN/>
      <w:adjustRightInd/>
      <w:snapToGrid w:val="0"/>
      <w:spacing w:after="156" w:afterLines="50"/>
      <w:ind w:firstLine="200" w:firstLineChars="200"/>
    </w:pPr>
    <w:rPr>
      <w:color w:val="auto"/>
      <w:sz w:val="24"/>
      <w:szCs w:val="20"/>
    </w:rPr>
  </w:style>
  <w:style w:type="paragraph" w:customStyle="1" w:styleId="64">
    <w:name w:val="索引 51"/>
    <w:basedOn w:val="1"/>
    <w:next w:val="1"/>
    <w:qFormat/>
    <w:uiPriority w:val="0"/>
    <w:pPr>
      <w:ind w:left="800" w:leftChars="800"/>
    </w:p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numbering" Target="numbering.xml"/><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CCE98-4BA4-47F7-AF34-55E13C2B50C2}">
  <ds:schemaRefs/>
</ds:datastoreItem>
</file>

<file path=docProps/app.xml><?xml version="1.0" encoding="utf-8"?>
<Properties xmlns="http://schemas.openxmlformats.org/officeDocument/2006/extended-properties" xmlns:vt="http://schemas.openxmlformats.org/officeDocument/2006/docPropsVTypes">
  <Template>Normal</Template>
  <Pages>7</Pages>
  <Words>4159</Words>
  <Characters>4440</Characters>
  <Lines>56</Lines>
  <Paragraphs>16</Paragraphs>
  <TotalTime>32</TotalTime>
  <ScaleCrop>false</ScaleCrop>
  <LinksUpToDate>false</LinksUpToDate>
  <CharactersWithSpaces>4521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2020-07-09T06:16:00Z</dcterms:created>
  <dc:creator>小蛮 吴</dc:creator>
  <cp:lastModifiedBy>WPS_1684829066</cp:lastModifiedBy>
  <dcterms:modified xsi:type="dcterms:W3CDTF">2025-03-31T08:03:26Z</dcterms:modified>
  <cp:revision>1056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10166E8A69424DB4873CD57B821A8B48_13</vt:lpwstr>
  </property>
  <property fmtid="{D5CDD505-2E9C-101B-9397-08002B2CF9AE}" pid="4" name="KSOTemplateDocerSaveRecord">
    <vt:lpwstr>eyJoZGlkIjoiZTdjZWJjZjRmMzg0NjZmZjBhMGVjYWMxMGZkZWRkMGEiLCJ1c2VySWQiOiIxNDk2ODM5ODg1In0=</vt:lpwstr>
  </property>
</Properties>
</file>