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97480">
      <w:pPr>
        <w:spacing w:line="380" w:lineRule="atLeast"/>
        <w:jc w:val="left"/>
        <w:rPr>
          <w:rFonts w:hint="eastAsia" w:ascii="Times New Roman" w:hAnsi="Times New Roman" w:eastAsia="楷体"/>
          <w:b/>
          <w:lang w:eastAsia="zh-CN"/>
        </w:rPr>
      </w:pPr>
      <w:bookmarkStart w:id="0" w:name="OLE_LINK3"/>
      <w:r>
        <w:rPr>
          <w:rFonts w:ascii="Times New Roman" w:hAnsi="Times New Roman"/>
          <w:b/>
        </w:rPr>
        <w:t>合</w:t>
      </w:r>
      <w:bookmarkStart w:id="1" w:name="_Ref442190211"/>
      <w:bookmarkEnd w:id="1"/>
      <w:r>
        <w:rPr>
          <w:rFonts w:ascii="Times New Roman" w:hAnsi="Times New Roman"/>
          <w:b/>
        </w:rPr>
        <w:t>同编号：</w:t>
      </w:r>
      <w:r>
        <w:rPr>
          <w:rFonts w:hint="eastAsia" w:ascii="Times New Roman" w:hAnsi="Times New Roman"/>
          <w:b/>
          <w:lang w:eastAsia="zh-CN"/>
        </w:rPr>
        <w:t>【】</w:t>
      </w:r>
    </w:p>
    <w:p w14:paraId="52A7E0C3">
      <w:pPr>
        <w:spacing w:line="380" w:lineRule="atLeast"/>
        <w:jc w:val="left"/>
        <w:rPr>
          <w:rFonts w:ascii="Times New Roman" w:hAnsi="Times New Roman"/>
        </w:rPr>
      </w:pPr>
      <w:r>
        <w:rPr>
          <w:rFonts w:hint="eastAsia" w:ascii="Times New Roman" w:hAnsi="Times New Roman"/>
          <w:b/>
        </w:rPr>
        <w:t>产品编码：</w:t>
      </w:r>
      <w:r>
        <w:rPr>
          <w:rFonts w:ascii="Times New Roman" w:hAnsi="Times New Roman"/>
          <w:b/>
        </w:rPr>
        <w:t xml:space="preserve"> </w:t>
      </w:r>
    </w:p>
    <w:bookmarkEnd w:id="0"/>
    <w:p w14:paraId="50CDC0FA">
      <w:pPr>
        <w:spacing w:line="380" w:lineRule="atLeast"/>
        <w:jc w:val="center"/>
        <w:rPr>
          <w:rFonts w:ascii="Times New Roman" w:hAnsi="Times New Roman"/>
          <w:b/>
          <w:sz w:val="32"/>
          <w:szCs w:val="32"/>
        </w:rPr>
      </w:pPr>
      <w:r>
        <w:rPr>
          <w:rFonts w:ascii="Times New Roman" w:hAnsi="Times New Roman"/>
          <w:b/>
          <w:sz w:val="32"/>
          <w:szCs w:val="32"/>
        </w:rPr>
        <mc:AlternateContent>
          <mc:Choice Requires="wps">
            <w:drawing>
              <wp:anchor distT="0" distB="0" distL="114300" distR="114300" simplePos="0" relativeHeight="251659264" behindDoc="0" locked="0" layoutInCell="1" allowOverlap="1">
                <wp:simplePos x="0" y="0"/>
                <wp:positionH relativeFrom="column">
                  <wp:posOffset>3000375</wp:posOffset>
                </wp:positionH>
                <wp:positionV relativeFrom="paragraph">
                  <wp:posOffset>208915</wp:posOffset>
                </wp:positionV>
                <wp:extent cx="3269615" cy="2279650"/>
                <wp:effectExtent l="0" t="0" r="32385" b="31750"/>
                <wp:wrapSquare wrapText="bothSides"/>
                <wp:docPr id="3" name="文本框 3"/>
                <wp:cNvGraphicFramePr/>
                <a:graphic xmlns:a="http://schemas.openxmlformats.org/drawingml/2006/main">
                  <a:graphicData uri="http://schemas.microsoft.com/office/word/2010/wordprocessingShape">
                    <wps:wsp>
                      <wps:cNvSpPr txBox="1"/>
                      <wps:spPr>
                        <a:xfrm>
                          <a:off x="0" y="0"/>
                          <a:ext cx="3269615" cy="2279650"/>
                        </a:xfrm>
                        <a:prstGeom prst="rect">
                          <a:avLst/>
                        </a:prstGeom>
                        <a:noFill/>
                        <a:ln>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075F5D3D">
                            <w:pPr>
                              <w:widowControl/>
                              <w:rPr>
                                <w:rFonts w:ascii="楷体" w:hAnsi="楷体"/>
                                <w:kern w:val="0"/>
                              </w:rPr>
                            </w:pPr>
                            <w:r>
                              <w:rPr>
                                <w:rFonts w:ascii="楷体" w:hAnsi="楷体" w:cs="MS Mincho"/>
                                <w:color w:val="333333"/>
                                <w:kern w:val="0"/>
                                <w:shd w:val="clear" w:color="auto" w:fill="FFFFFF"/>
                              </w:rPr>
                              <w:t>信托公司管理信托</w:t>
                            </w:r>
                            <w:r>
                              <w:rPr>
                                <w:rFonts w:ascii="楷体" w:hAnsi="楷体" w:cs="宋体"/>
                                <w:color w:val="333333"/>
                                <w:kern w:val="0"/>
                                <w:shd w:val="clear" w:color="auto" w:fill="FFFFFF"/>
                              </w:rPr>
                              <w:t>财产应</w:t>
                            </w:r>
                            <w:r>
                              <w:rPr>
                                <w:rFonts w:ascii="楷体" w:hAnsi="楷体" w:cs="MS Mincho"/>
                                <w:color w:val="333333"/>
                                <w:kern w:val="0"/>
                                <w:shd w:val="clear" w:color="auto" w:fill="FFFFFF"/>
                              </w:rPr>
                              <w:t>恪尽</w:t>
                            </w:r>
                            <w:r>
                              <w:rPr>
                                <w:rFonts w:ascii="楷体" w:hAnsi="楷体" w:cs="宋体"/>
                                <w:color w:val="333333"/>
                                <w:kern w:val="0"/>
                                <w:shd w:val="clear" w:color="auto" w:fill="FFFFFF"/>
                              </w:rPr>
                              <w:t>职</w:t>
                            </w:r>
                            <w:r>
                              <w:rPr>
                                <w:rFonts w:ascii="楷体" w:hAnsi="楷体" w:cs="MS Mincho"/>
                                <w:color w:val="333333"/>
                                <w:kern w:val="0"/>
                                <w:shd w:val="clear" w:color="auto" w:fill="FFFFFF"/>
                              </w:rPr>
                              <w:t>守，履行</w:t>
                            </w:r>
                            <w:r>
                              <w:rPr>
                                <w:rFonts w:ascii="楷体" w:hAnsi="楷体" w:cs="宋体"/>
                                <w:color w:val="333333"/>
                                <w:kern w:val="0"/>
                                <w:shd w:val="clear" w:color="auto" w:fill="FFFFFF"/>
                              </w:rPr>
                              <w:t>诚实</w:t>
                            </w:r>
                            <w:r>
                              <w:rPr>
                                <w:rFonts w:ascii="楷体" w:hAnsi="楷体" w:cs="MS Mincho"/>
                                <w:color w:val="333333"/>
                                <w:kern w:val="0"/>
                                <w:shd w:val="clear" w:color="auto" w:fill="FFFFFF"/>
                              </w:rPr>
                              <w:t>、信用、</w:t>
                            </w:r>
                            <w:r>
                              <w:rPr>
                                <w:rFonts w:ascii="楷体" w:hAnsi="楷体" w:cs="宋体"/>
                                <w:color w:val="333333"/>
                                <w:kern w:val="0"/>
                                <w:shd w:val="clear" w:color="auto" w:fill="FFFFFF"/>
                              </w:rPr>
                              <w:t>谨</w:t>
                            </w:r>
                            <w:r>
                              <w:rPr>
                                <w:rFonts w:ascii="楷体" w:hAnsi="楷体" w:cs="MS Mincho"/>
                                <w:color w:val="333333"/>
                                <w:kern w:val="0"/>
                                <w:shd w:val="clear" w:color="auto" w:fill="FFFFFF"/>
                              </w:rPr>
                              <w:t>慎、有效管理的</w:t>
                            </w:r>
                            <w:r>
                              <w:rPr>
                                <w:rFonts w:ascii="楷体" w:hAnsi="楷体" w:cs="宋体"/>
                                <w:color w:val="333333"/>
                                <w:kern w:val="0"/>
                                <w:shd w:val="clear" w:color="auto" w:fill="FFFFFF"/>
                              </w:rPr>
                              <w:t>义务</w:t>
                            </w:r>
                            <w:r>
                              <w:rPr>
                                <w:rFonts w:ascii="楷体" w:hAnsi="楷体" w:cs="MS Mincho"/>
                                <w:color w:val="333333"/>
                                <w:kern w:val="0"/>
                                <w:shd w:val="clear" w:color="auto" w:fill="FFFFFF"/>
                              </w:rPr>
                              <w:t>。信托公司依据本信托合同</w:t>
                            </w:r>
                            <w:r>
                              <w:rPr>
                                <w:rFonts w:ascii="楷体" w:hAnsi="楷体" w:cs="宋体"/>
                                <w:color w:val="333333"/>
                                <w:kern w:val="0"/>
                                <w:shd w:val="clear" w:color="auto" w:fill="FFFFFF"/>
                              </w:rPr>
                              <w:t>约</w:t>
                            </w:r>
                            <w:r>
                              <w:rPr>
                                <w:rFonts w:ascii="楷体" w:hAnsi="楷体" w:cs="MS Mincho"/>
                                <w:color w:val="333333"/>
                                <w:kern w:val="0"/>
                                <w:shd w:val="clear" w:color="auto" w:fill="FFFFFF"/>
                              </w:rPr>
                              <w:t>定管理信托</w:t>
                            </w:r>
                            <w:r>
                              <w:rPr>
                                <w:rFonts w:ascii="楷体" w:hAnsi="楷体" w:cs="宋体"/>
                                <w:color w:val="333333"/>
                                <w:kern w:val="0"/>
                                <w:shd w:val="clear" w:color="auto" w:fill="FFFFFF"/>
                              </w:rPr>
                              <w:t>财产</w:t>
                            </w:r>
                            <w:r>
                              <w:rPr>
                                <w:rFonts w:ascii="楷体" w:hAnsi="楷体" w:cs="MS Mincho"/>
                                <w:color w:val="333333"/>
                                <w:kern w:val="0"/>
                                <w:shd w:val="clear" w:color="auto" w:fill="FFFFFF"/>
                              </w:rPr>
                              <w:t>所</w:t>
                            </w:r>
                            <w:r>
                              <w:rPr>
                                <w:rFonts w:ascii="楷体" w:hAnsi="楷体" w:cs="宋体"/>
                                <w:color w:val="333333"/>
                                <w:kern w:val="0"/>
                                <w:shd w:val="clear" w:color="auto" w:fill="FFFFFF"/>
                              </w:rPr>
                              <w:t>产</w:t>
                            </w:r>
                            <w:r>
                              <w:rPr>
                                <w:rFonts w:ascii="楷体" w:hAnsi="楷体" w:cs="MS Mincho"/>
                                <w:color w:val="333333"/>
                                <w:kern w:val="0"/>
                                <w:shd w:val="clear" w:color="auto" w:fill="FFFFFF"/>
                              </w:rPr>
                              <w:t>生的</w:t>
                            </w:r>
                            <w:r>
                              <w:rPr>
                                <w:rFonts w:ascii="楷体" w:hAnsi="楷体" w:cs="宋体"/>
                                <w:color w:val="333333"/>
                                <w:kern w:val="0"/>
                                <w:shd w:val="clear" w:color="auto" w:fill="FFFFFF"/>
                              </w:rPr>
                              <w:t>风险</w:t>
                            </w:r>
                            <w:r>
                              <w:rPr>
                                <w:rFonts w:ascii="楷体" w:hAnsi="楷体" w:cs="MS Mincho"/>
                                <w:color w:val="333333"/>
                                <w:kern w:val="0"/>
                                <w:shd w:val="clear" w:color="auto" w:fill="FFFFFF"/>
                              </w:rPr>
                              <w:t>，由信托</w:t>
                            </w:r>
                            <w:r>
                              <w:rPr>
                                <w:rFonts w:ascii="楷体" w:hAnsi="楷体" w:cs="宋体"/>
                                <w:color w:val="333333"/>
                                <w:kern w:val="0"/>
                                <w:shd w:val="clear" w:color="auto" w:fill="FFFFFF"/>
                              </w:rPr>
                              <w:t>财产</w:t>
                            </w:r>
                            <w:r>
                              <w:rPr>
                                <w:rFonts w:ascii="楷体" w:hAnsi="楷体" w:cs="MS Mincho"/>
                                <w:color w:val="333333"/>
                                <w:kern w:val="0"/>
                                <w:shd w:val="clear" w:color="auto" w:fill="FFFFFF"/>
                              </w:rPr>
                              <w:t>承担。信托公司因</w:t>
                            </w:r>
                            <w:r>
                              <w:rPr>
                                <w:rFonts w:ascii="楷体" w:hAnsi="楷体" w:cs="宋体"/>
                                <w:color w:val="333333"/>
                                <w:kern w:val="0"/>
                                <w:shd w:val="clear" w:color="auto" w:fill="FFFFFF"/>
                              </w:rPr>
                              <w:t>违</w:t>
                            </w:r>
                            <w:r>
                              <w:rPr>
                                <w:rFonts w:ascii="楷体" w:hAnsi="楷体" w:cs="MS Mincho"/>
                                <w:color w:val="333333"/>
                                <w:kern w:val="0"/>
                                <w:shd w:val="clear" w:color="auto" w:fill="FFFFFF"/>
                              </w:rPr>
                              <w:t>背本信托合同、</w:t>
                            </w:r>
                            <w:r>
                              <w:rPr>
                                <w:rFonts w:ascii="楷体" w:hAnsi="楷体" w:cs="宋体"/>
                                <w:color w:val="333333"/>
                                <w:kern w:val="0"/>
                                <w:shd w:val="clear" w:color="auto" w:fill="FFFFFF"/>
                              </w:rPr>
                              <w:t>处</w:t>
                            </w:r>
                            <w:r>
                              <w:rPr>
                                <w:rFonts w:ascii="楷体" w:hAnsi="楷体" w:cs="MS Mincho"/>
                                <w:color w:val="333333"/>
                                <w:kern w:val="0"/>
                                <w:shd w:val="clear" w:color="auto" w:fill="FFFFFF"/>
                              </w:rPr>
                              <w:t>理信托事</w:t>
                            </w:r>
                            <w:r>
                              <w:rPr>
                                <w:rFonts w:ascii="楷体" w:hAnsi="楷体" w:cs="宋体"/>
                                <w:color w:val="333333"/>
                                <w:kern w:val="0"/>
                                <w:shd w:val="clear" w:color="auto" w:fill="FFFFFF"/>
                              </w:rPr>
                              <w:t>务</w:t>
                            </w:r>
                            <w:r>
                              <w:rPr>
                                <w:rFonts w:ascii="楷体" w:hAnsi="楷体" w:cs="MS Mincho"/>
                                <w:color w:val="333333"/>
                                <w:kern w:val="0"/>
                                <w:shd w:val="clear" w:color="auto" w:fill="FFFFFF"/>
                              </w:rPr>
                              <w:t>不当而造成信托</w:t>
                            </w:r>
                            <w:r>
                              <w:rPr>
                                <w:rFonts w:ascii="楷体" w:hAnsi="楷体" w:cs="宋体"/>
                                <w:color w:val="333333"/>
                                <w:kern w:val="0"/>
                                <w:shd w:val="clear" w:color="auto" w:fill="FFFFFF"/>
                              </w:rPr>
                              <w:t>财产损</w:t>
                            </w:r>
                            <w:r>
                              <w:rPr>
                                <w:rFonts w:ascii="楷体" w:hAnsi="楷体" w:cs="MS Mincho"/>
                                <w:color w:val="333333"/>
                                <w:kern w:val="0"/>
                                <w:shd w:val="clear" w:color="auto" w:fill="FFFFFF"/>
                              </w:rPr>
                              <w:t>失的，由信托公司以固有</w:t>
                            </w:r>
                            <w:r>
                              <w:rPr>
                                <w:rFonts w:ascii="楷体" w:hAnsi="楷体" w:cs="宋体"/>
                                <w:color w:val="333333"/>
                                <w:kern w:val="0"/>
                                <w:shd w:val="clear" w:color="auto" w:fill="FFFFFF"/>
                              </w:rPr>
                              <w:t>财产赔偿</w:t>
                            </w:r>
                            <w:r>
                              <w:rPr>
                                <w:rFonts w:ascii="楷体" w:hAnsi="楷体" w:cs="MS Mincho"/>
                                <w:color w:val="333333"/>
                                <w:kern w:val="0"/>
                                <w:shd w:val="clear" w:color="auto" w:fill="FFFFFF"/>
                              </w:rPr>
                              <w:t>；不足</w:t>
                            </w:r>
                            <w:r>
                              <w:rPr>
                                <w:rFonts w:ascii="楷体" w:hAnsi="楷体" w:cs="宋体"/>
                                <w:color w:val="333333"/>
                                <w:kern w:val="0"/>
                                <w:shd w:val="clear" w:color="auto" w:fill="FFFFFF"/>
                              </w:rPr>
                              <w:t>赔偿时</w:t>
                            </w:r>
                            <w:r>
                              <w:rPr>
                                <w:rFonts w:ascii="楷体" w:hAnsi="楷体" w:cs="MS Mincho"/>
                                <w:color w:val="333333"/>
                                <w:kern w:val="0"/>
                                <w:shd w:val="clear" w:color="auto" w:fill="FFFFFF"/>
                              </w:rPr>
                              <w:t>，由投</w:t>
                            </w:r>
                            <w:r>
                              <w:rPr>
                                <w:rFonts w:ascii="楷体" w:hAnsi="楷体" w:cs="宋体"/>
                                <w:color w:val="333333"/>
                                <w:kern w:val="0"/>
                                <w:shd w:val="clear" w:color="auto" w:fill="FFFFFF"/>
                              </w:rPr>
                              <w:t>资</w:t>
                            </w:r>
                            <w:r>
                              <w:rPr>
                                <w:rFonts w:ascii="楷体" w:hAnsi="楷体" w:cs="MS Mincho"/>
                                <w:color w:val="333333"/>
                                <w:kern w:val="0"/>
                                <w:shd w:val="clear" w:color="auto" w:fill="FFFFFF"/>
                              </w:rPr>
                              <w:t>者自担。</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6.25pt;margin-top:16.45pt;height:179.5pt;width:257.45pt;mso-wrap-distance-bottom:0pt;mso-wrap-distance-left:9pt;mso-wrap-distance-right:9pt;mso-wrap-distance-top:0pt;z-index:251659264;mso-width-relative:page;mso-height-relative:page;" filled="f" stroked="t" coordsize="21600,21600" o:gfxdata="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XQIkbXAAAACgEAAA8A&#10;AAAAAAAAAQAgAAAAIgAAAGRycy9kb3ducmV2LnhtbFBLAQIUABQAAAAIAIdO4kBARCGkUQIAAJUE&#10;AAAOAAAAAAAAAAEAIAAAACYBAABkcnMvZTJvRG9jLnhtbFBLBQYAAAAABgAGAFkBAADpBQAAAAA=&#10;">
                <v:fill on="f" focussize="0,0"/>
                <v:stroke color="#000000 [3213]" joinstyle="round"/>
                <v:imagedata o:title=""/>
                <o:lock v:ext="edit" aspectratio="f"/>
                <v:textbox>
                  <w:txbxContent>
                    <w:p w14:paraId="075F5D3D">
                      <w:pPr>
                        <w:widowControl/>
                        <w:rPr>
                          <w:rFonts w:ascii="楷体" w:hAnsi="楷体"/>
                          <w:kern w:val="0"/>
                        </w:rPr>
                      </w:pPr>
                      <w:r>
                        <w:rPr>
                          <w:rFonts w:ascii="楷体" w:hAnsi="楷体" w:cs="MS Mincho"/>
                          <w:color w:val="333333"/>
                          <w:kern w:val="0"/>
                          <w:shd w:val="clear" w:color="auto" w:fill="FFFFFF"/>
                        </w:rPr>
                        <w:t>信托公司管理信托</w:t>
                      </w:r>
                      <w:r>
                        <w:rPr>
                          <w:rFonts w:ascii="楷体" w:hAnsi="楷体" w:cs="宋体"/>
                          <w:color w:val="333333"/>
                          <w:kern w:val="0"/>
                          <w:shd w:val="clear" w:color="auto" w:fill="FFFFFF"/>
                        </w:rPr>
                        <w:t>财产应</w:t>
                      </w:r>
                      <w:r>
                        <w:rPr>
                          <w:rFonts w:ascii="楷体" w:hAnsi="楷体" w:cs="MS Mincho"/>
                          <w:color w:val="333333"/>
                          <w:kern w:val="0"/>
                          <w:shd w:val="clear" w:color="auto" w:fill="FFFFFF"/>
                        </w:rPr>
                        <w:t>恪尽</w:t>
                      </w:r>
                      <w:r>
                        <w:rPr>
                          <w:rFonts w:ascii="楷体" w:hAnsi="楷体" w:cs="宋体"/>
                          <w:color w:val="333333"/>
                          <w:kern w:val="0"/>
                          <w:shd w:val="clear" w:color="auto" w:fill="FFFFFF"/>
                        </w:rPr>
                        <w:t>职</w:t>
                      </w:r>
                      <w:r>
                        <w:rPr>
                          <w:rFonts w:ascii="楷体" w:hAnsi="楷体" w:cs="MS Mincho"/>
                          <w:color w:val="333333"/>
                          <w:kern w:val="0"/>
                          <w:shd w:val="clear" w:color="auto" w:fill="FFFFFF"/>
                        </w:rPr>
                        <w:t>守，履行</w:t>
                      </w:r>
                      <w:r>
                        <w:rPr>
                          <w:rFonts w:ascii="楷体" w:hAnsi="楷体" w:cs="宋体"/>
                          <w:color w:val="333333"/>
                          <w:kern w:val="0"/>
                          <w:shd w:val="clear" w:color="auto" w:fill="FFFFFF"/>
                        </w:rPr>
                        <w:t>诚实</w:t>
                      </w:r>
                      <w:r>
                        <w:rPr>
                          <w:rFonts w:ascii="楷体" w:hAnsi="楷体" w:cs="MS Mincho"/>
                          <w:color w:val="333333"/>
                          <w:kern w:val="0"/>
                          <w:shd w:val="clear" w:color="auto" w:fill="FFFFFF"/>
                        </w:rPr>
                        <w:t>、信用、</w:t>
                      </w:r>
                      <w:r>
                        <w:rPr>
                          <w:rFonts w:ascii="楷体" w:hAnsi="楷体" w:cs="宋体"/>
                          <w:color w:val="333333"/>
                          <w:kern w:val="0"/>
                          <w:shd w:val="clear" w:color="auto" w:fill="FFFFFF"/>
                        </w:rPr>
                        <w:t>谨</w:t>
                      </w:r>
                      <w:r>
                        <w:rPr>
                          <w:rFonts w:ascii="楷体" w:hAnsi="楷体" w:cs="MS Mincho"/>
                          <w:color w:val="333333"/>
                          <w:kern w:val="0"/>
                          <w:shd w:val="clear" w:color="auto" w:fill="FFFFFF"/>
                        </w:rPr>
                        <w:t>慎、有效管理的</w:t>
                      </w:r>
                      <w:r>
                        <w:rPr>
                          <w:rFonts w:ascii="楷体" w:hAnsi="楷体" w:cs="宋体"/>
                          <w:color w:val="333333"/>
                          <w:kern w:val="0"/>
                          <w:shd w:val="clear" w:color="auto" w:fill="FFFFFF"/>
                        </w:rPr>
                        <w:t>义务</w:t>
                      </w:r>
                      <w:r>
                        <w:rPr>
                          <w:rFonts w:ascii="楷体" w:hAnsi="楷体" w:cs="MS Mincho"/>
                          <w:color w:val="333333"/>
                          <w:kern w:val="0"/>
                          <w:shd w:val="clear" w:color="auto" w:fill="FFFFFF"/>
                        </w:rPr>
                        <w:t>。信托公司依据本信托合同</w:t>
                      </w:r>
                      <w:r>
                        <w:rPr>
                          <w:rFonts w:ascii="楷体" w:hAnsi="楷体" w:cs="宋体"/>
                          <w:color w:val="333333"/>
                          <w:kern w:val="0"/>
                          <w:shd w:val="clear" w:color="auto" w:fill="FFFFFF"/>
                        </w:rPr>
                        <w:t>约</w:t>
                      </w:r>
                      <w:r>
                        <w:rPr>
                          <w:rFonts w:ascii="楷体" w:hAnsi="楷体" w:cs="MS Mincho"/>
                          <w:color w:val="333333"/>
                          <w:kern w:val="0"/>
                          <w:shd w:val="clear" w:color="auto" w:fill="FFFFFF"/>
                        </w:rPr>
                        <w:t>定管理信托</w:t>
                      </w:r>
                      <w:r>
                        <w:rPr>
                          <w:rFonts w:ascii="楷体" w:hAnsi="楷体" w:cs="宋体"/>
                          <w:color w:val="333333"/>
                          <w:kern w:val="0"/>
                          <w:shd w:val="clear" w:color="auto" w:fill="FFFFFF"/>
                        </w:rPr>
                        <w:t>财产</w:t>
                      </w:r>
                      <w:r>
                        <w:rPr>
                          <w:rFonts w:ascii="楷体" w:hAnsi="楷体" w:cs="MS Mincho"/>
                          <w:color w:val="333333"/>
                          <w:kern w:val="0"/>
                          <w:shd w:val="clear" w:color="auto" w:fill="FFFFFF"/>
                        </w:rPr>
                        <w:t>所</w:t>
                      </w:r>
                      <w:r>
                        <w:rPr>
                          <w:rFonts w:ascii="楷体" w:hAnsi="楷体" w:cs="宋体"/>
                          <w:color w:val="333333"/>
                          <w:kern w:val="0"/>
                          <w:shd w:val="clear" w:color="auto" w:fill="FFFFFF"/>
                        </w:rPr>
                        <w:t>产</w:t>
                      </w:r>
                      <w:r>
                        <w:rPr>
                          <w:rFonts w:ascii="楷体" w:hAnsi="楷体" w:cs="MS Mincho"/>
                          <w:color w:val="333333"/>
                          <w:kern w:val="0"/>
                          <w:shd w:val="clear" w:color="auto" w:fill="FFFFFF"/>
                        </w:rPr>
                        <w:t>生的</w:t>
                      </w:r>
                      <w:r>
                        <w:rPr>
                          <w:rFonts w:ascii="楷体" w:hAnsi="楷体" w:cs="宋体"/>
                          <w:color w:val="333333"/>
                          <w:kern w:val="0"/>
                          <w:shd w:val="clear" w:color="auto" w:fill="FFFFFF"/>
                        </w:rPr>
                        <w:t>风险</w:t>
                      </w:r>
                      <w:r>
                        <w:rPr>
                          <w:rFonts w:ascii="楷体" w:hAnsi="楷体" w:cs="MS Mincho"/>
                          <w:color w:val="333333"/>
                          <w:kern w:val="0"/>
                          <w:shd w:val="clear" w:color="auto" w:fill="FFFFFF"/>
                        </w:rPr>
                        <w:t>，由信托</w:t>
                      </w:r>
                      <w:r>
                        <w:rPr>
                          <w:rFonts w:ascii="楷体" w:hAnsi="楷体" w:cs="宋体"/>
                          <w:color w:val="333333"/>
                          <w:kern w:val="0"/>
                          <w:shd w:val="clear" w:color="auto" w:fill="FFFFFF"/>
                        </w:rPr>
                        <w:t>财产</w:t>
                      </w:r>
                      <w:r>
                        <w:rPr>
                          <w:rFonts w:ascii="楷体" w:hAnsi="楷体" w:cs="MS Mincho"/>
                          <w:color w:val="333333"/>
                          <w:kern w:val="0"/>
                          <w:shd w:val="clear" w:color="auto" w:fill="FFFFFF"/>
                        </w:rPr>
                        <w:t>承担。信托公司因</w:t>
                      </w:r>
                      <w:r>
                        <w:rPr>
                          <w:rFonts w:ascii="楷体" w:hAnsi="楷体" w:cs="宋体"/>
                          <w:color w:val="333333"/>
                          <w:kern w:val="0"/>
                          <w:shd w:val="clear" w:color="auto" w:fill="FFFFFF"/>
                        </w:rPr>
                        <w:t>违</w:t>
                      </w:r>
                      <w:r>
                        <w:rPr>
                          <w:rFonts w:ascii="楷体" w:hAnsi="楷体" w:cs="MS Mincho"/>
                          <w:color w:val="333333"/>
                          <w:kern w:val="0"/>
                          <w:shd w:val="clear" w:color="auto" w:fill="FFFFFF"/>
                        </w:rPr>
                        <w:t>背本信托合同、</w:t>
                      </w:r>
                      <w:r>
                        <w:rPr>
                          <w:rFonts w:ascii="楷体" w:hAnsi="楷体" w:cs="宋体"/>
                          <w:color w:val="333333"/>
                          <w:kern w:val="0"/>
                          <w:shd w:val="clear" w:color="auto" w:fill="FFFFFF"/>
                        </w:rPr>
                        <w:t>处</w:t>
                      </w:r>
                      <w:r>
                        <w:rPr>
                          <w:rFonts w:ascii="楷体" w:hAnsi="楷体" w:cs="MS Mincho"/>
                          <w:color w:val="333333"/>
                          <w:kern w:val="0"/>
                          <w:shd w:val="clear" w:color="auto" w:fill="FFFFFF"/>
                        </w:rPr>
                        <w:t>理信托事</w:t>
                      </w:r>
                      <w:r>
                        <w:rPr>
                          <w:rFonts w:ascii="楷体" w:hAnsi="楷体" w:cs="宋体"/>
                          <w:color w:val="333333"/>
                          <w:kern w:val="0"/>
                          <w:shd w:val="clear" w:color="auto" w:fill="FFFFFF"/>
                        </w:rPr>
                        <w:t>务</w:t>
                      </w:r>
                      <w:r>
                        <w:rPr>
                          <w:rFonts w:ascii="楷体" w:hAnsi="楷体" w:cs="MS Mincho"/>
                          <w:color w:val="333333"/>
                          <w:kern w:val="0"/>
                          <w:shd w:val="clear" w:color="auto" w:fill="FFFFFF"/>
                        </w:rPr>
                        <w:t>不当而造成信托</w:t>
                      </w:r>
                      <w:r>
                        <w:rPr>
                          <w:rFonts w:ascii="楷体" w:hAnsi="楷体" w:cs="宋体"/>
                          <w:color w:val="333333"/>
                          <w:kern w:val="0"/>
                          <w:shd w:val="clear" w:color="auto" w:fill="FFFFFF"/>
                        </w:rPr>
                        <w:t>财产损</w:t>
                      </w:r>
                      <w:r>
                        <w:rPr>
                          <w:rFonts w:ascii="楷体" w:hAnsi="楷体" w:cs="MS Mincho"/>
                          <w:color w:val="333333"/>
                          <w:kern w:val="0"/>
                          <w:shd w:val="clear" w:color="auto" w:fill="FFFFFF"/>
                        </w:rPr>
                        <w:t>失的，由信托公司以固有</w:t>
                      </w:r>
                      <w:r>
                        <w:rPr>
                          <w:rFonts w:ascii="楷体" w:hAnsi="楷体" w:cs="宋体"/>
                          <w:color w:val="333333"/>
                          <w:kern w:val="0"/>
                          <w:shd w:val="clear" w:color="auto" w:fill="FFFFFF"/>
                        </w:rPr>
                        <w:t>财产赔偿</w:t>
                      </w:r>
                      <w:r>
                        <w:rPr>
                          <w:rFonts w:ascii="楷体" w:hAnsi="楷体" w:cs="MS Mincho"/>
                          <w:color w:val="333333"/>
                          <w:kern w:val="0"/>
                          <w:shd w:val="clear" w:color="auto" w:fill="FFFFFF"/>
                        </w:rPr>
                        <w:t>；不足</w:t>
                      </w:r>
                      <w:r>
                        <w:rPr>
                          <w:rFonts w:ascii="楷体" w:hAnsi="楷体" w:cs="宋体"/>
                          <w:color w:val="333333"/>
                          <w:kern w:val="0"/>
                          <w:shd w:val="clear" w:color="auto" w:fill="FFFFFF"/>
                        </w:rPr>
                        <w:t>赔偿时</w:t>
                      </w:r>
                      <w:r>
                        <w:rPr>
                          <w:rFonts w:ascii="楷体" w:hAnsi="楷体" w:cs="MS Mincho"/>
                          <w:color w:val="333333"/>
                          <w:kern w:val="0"/>
                          <w:shd w:val="clear" w:color="auto" w:fill="FFFFFF"/>
                        </w:rPr>
                        <w:t>，由投</w:t>
                      </w:r>
                      <w:r>
                        <w:rPr>
                          <w:rFonts w:ascii="楷体" w:hAnsi="楷体" w:cs="宋体"/>
                          <w:color w:val="333333"/>
                          <w:kern w:val="0"/>
                          <w:shd w:val="clear" w:color="auto" w:fill="FFFFFF"/>
                        </w:rPr>
                        <w:t>资</w:t>
                      </w:r>
                      <w:r>
                        <w:rPr>
                          <w:rFonts w:ascii="楷体" w:hAnsi="楷体" w:cs="MS Mincho"/>
                          <w:color w:val="333333"/>
                          <w:kern w:val="0"/>
                          <w:shd w:val="clear" w:color="auto" w:fill="FFFFFF"/>
                        </w:rPr>
                        <w:t>者自担。</w:t>
                      </w:r>
                    </w:p>
                  </w:txbxContent>
                </v:textbox>
                <w10:wrap type="square"/>
              </v:shape>
            </w:pict>
          </mc:Fallback>
        </mc:AlternateContent>
      </w:r>
    </w:p>
    <w:p w14:paraId="5AA057CD">
      <w:pPr>
        <w:spacing w:line="380" w:lineRule="atLeast"/>
        <w:jc w:val="center"/>
        <w:rPr>
          <w:rFonts w:ascii="Times New Roman" w:hAnsi="Times New Roman"/>
          <w:b/>
          <w:sz w:val="32"/>
          <w:szCs w:val="32"/>
        </w:rPr>
      </w:pPr>
    </w:p>
    <w:p w14:paraId="0D423211">
      <w:pPr>
        <w:pStyle w:val="2"/>
        <w:ind w:firstLine="0" w:firstLineChars="0"/>
        <w:rPr>
          <w:rFonts w:ascii="Times New Roman" w:hAnsi="Times New Roman"/>
        </w:rPr>
      </w:pPr>
    </w:p>
    <w:p w14:paraId="60F60F63">
      <w:pPr>
        <w:pStyle w:val="2"/>
        <w:rPr>
          <w:rFonts w:ascii="Times New Roman" w:hAnsi="Times New Roman" w:eastAsia="宋体"/>
          <w:sz w:val="21"/>
        </w:rPr>
      </w:pPr>
    </w:p>
    <w:p w14:paraId="379577A0">
      <w:pPr>
        <w:pStyle w:val="2"/>
        <w:rPr>
          <w:rFonts w:ascii="Times New Roman" w:hAnsi="Times New Roman" w:eastAsia="宋体"/>
          <w:sz w:val="21"/>
        </w:rPr>
      </w:pPr>
    </w:p>
    <w:p w14:paraId="0BA022A2">
      <w:pPr>
        <w:pStyle w:val="77"/>
        <w:widowControl w:val="0"/>
        <w:spacing w:before="156" w:beforeLines="50" w:after="156" w:afterLines="50"/>
        <w:jc w:val="center"/>
        <w:rPr>
          <w:bCs/>
          <w:lang w:eastAsia="zh-CN"/>
        </w:rPr>
      </w:pPr>
      <w:r>
        <w:rPr>
          <w:rFonts w:hint="eastAsia"/>
          <w:sz w:val="36"/>
          <w:szCs w:val="36"/>
          <w:lang w:val="en-US" w:eastAsia="zh-CN"/>
        </w:rPr>
        <w:t>【】</w:t>
      </w:r>
    </w:p>
    <w:p w14:paraId="4AA30D8A">
      <w:pPr>
        <w:spacing w:before="156" w:beforeLines="50" w:after="156" w:afterLines="50"/>
        <w:jc w:val="center"/>
        <w:rPr>
          <w:rFonts w:ascii="Times New Roman" w:hAnsi="Times New Roman"/>
          <w:sz w:val="36"/>
          <w:szCs w:val="36"/>
        </w:rPr>
      </w:pPr>
      <w:r>
        <w:rPr>
          <w:rFonts w:ascii="Times New Roman" w:hAnsi="Times New Roman"/>
          <w:sz w:val="36"/>
          <w:szCs w:val="36"/>
        </w:rPr>
        <w:t>与</w:t>
      </w:r>
    </w:p>
    <w:p w14:paraId="23B09BEC">
      <w:pPr>
        <w:spacing w:before="156" w:beforeLines="50" w:after="156" w:afterLines="50"/>
        <w:jc w:val="center"/>
        <w:rPr>
          <w:rFonts w:ascii="Times New Roman" w:hAnsi="Times New Roman"/>
          <w:b/>
          <w:sz w:val="36"/>
          <w:szCs w:val="36"/>
        </w:rPr>
      </w:pPr>
    </w:p>
    <w:p w14:paraId="527BA6E2">
      <w:pPr>
        <w:spacing w:before="156" w:beforeLines="50" w:after="156" w:afterLines="50"/>
        <w:jc w:val="center"/>
        <w:rPr>
          <w:rFonts w:hint="eastAsia" w:ascii="Times New Roman" w:hAnsi="Times New Roman" w:eastAsia="楷体"/>
          <w:b/>
          <w:sz w:val="32"/>
          <w:szCs w:val="32"/>
          <w:lang w:eastAsia="zh-CN"/>
        </w:rPr>
      </w:pPr>
      <w:bookmarkStart w:id="1412" w:name="_GoBack"/>
      <w:r>
        <w:rPr>
          <w:rFonts w:ascii="Times New Roman" w:hAnsi="Times New Roman"/>
          <w:b/>
          <w:sz w:val="32"/>
          <w:szCs w:val="32"/>
        </w:rPr>
        <w:t>信托合同</w:t>
      </w:r>
      <w:r>
        <w:rPr>
          <w:rFonts w:hint="eastAsia" w:ascii="Times New Roman" w:hAnsi="Times New Roman"/>
          <w:b/>
          <w:sz w:val="32"/>
          <w:szCs w:val="32"/>
          <w:lang w:eastAsia="zh-CN"/>
        </w:rPr>
        <w:t>（</w:t>
      </w:r>
      <w:r>
        <w:rPr>
          <w:rFonts w:hint="eastAsia" w:ascii="Times New Roman" w:hAnsi="Times New Roman"/>
          <w:b/>
          <w:sz w:val="32"/>
          <w:szCs w:val="32"/>
          <w:lang w:val="en-US" w:eastAsia="zh-CN"/>
        </w:rPr>
        <w:t>专项</w:t>
      </w:r>
      <w:r>
        <w:rPr>
          <w:rFonts w:hint="eastAsia" w:ascii="Times New Roman" w:hAnsi="Times New Roman"/>
          <w:b/>
          <w:sz w:val="32"/>
          <w:szCs w:val="32"/>
          <w:lang w:eastAsia="zh-CN"/>
        </w:rPr>
        <w:t>）</w:t>
      </w:r>
    </w:p>
    <w:bookmarkEnd w:id="1412"/>
    <w:p w14:paraId="639FFD88">
      <w:pPr>
        <w:spacing w:line="380" w:lineRule="atLeast"/>
        <w:rPr>
          <w:rFonts w:ascii="Times New Roman" w:hAnsi="Times New Roman"/>
          <w:sz w:val="28"/>
        </w:rPr>
      </w:pPr>
    </w:p>
    <w:p w14:paraId="494E2ABA">
      <w:pPr>
        <w:pStyle w:val="2"/>
        <w:ind w:firstLine="0" w:firstLineChars="0"/>
        <w:jc w:val="center"/>
        <w:rPr>
          <w:rFonts w:ascii="Times New Roman" w:hAnsi="Times New Roman"/>
          <w:sz w:val="28"/>
          <w:szCs w:val="28"/>
        </w:rPr>
      </w:pPr>
      <w:r>
        <w:rPr>
          <w:rFonts w:hint="eastAsia" w:ascii="Times New Roman" w:hAnsi="Times New Roman"/>
          <w:sz w:val="28"/>
          <w:szCs w:val="28"/>
        </w:rPr>
        <w:t>【</w:t>
      </w:r>
      <w:r>
        <w:rPr>
          <w:rFonts w:hint="eastAsia" w:ascii="Times New Roman" w:hAnsi="Times New Roman"/>
          <w:sz w:val="28"/>
          <w:szCs w:val="28"/>
          <w:lang w:val="en-US" w:eastAsia="zh-CN"/>
        </w:rPr>
        <w:t xml:space="preserve">  </w:t>
      </w:r>
      <w:r>
        <w:rPr>
          <w:rFonts w:hint="eastAsia" w:ascii="Times New Roman" w:hAnsi="Times New Roman"/>
          <w:sz w:val="28"/>
          <w:szCs w:val="28"/>
        </w:rPr>
        <w:t>】</w:t>
      </w:r>
      <w:r>
        <w:rPr>
          <w:rFonts w:ascii="Times New Roman" w:hAnsi="Times New Roman"/>
          <w:sz w:val="28"/>
          <w:szCs w:val="28"/>
        </w:rPr>
        <w:t>年【  】月</w:t>
      </w:r>
    </w:p>
    <w:p w14:paraId="081B5CD9">
      <w:pPr>
        <w:pStyle w:val="2"/>
        <w:ind w:firstLine="480"/>
        <w:rPr>
          <w:rFonts w:ascii="Times New Roman" w:hAnsi="Times New Roman"/>
        </w:rPr>
      </w:pPr>
    </w:p>
    <w:p w14:paraId="531BFFC4">
      <w:pPr>
        <w:pStyle w:val="2"/>
        <w:ind w:firstLine="480"/>
        <w:rPr>
          <w:rFonts w:ascii="Times New Roman" w:hAnsi="Times New Roman"/>
        </w:rPr>
      </w:pPr>
      <w:r>
        <w:rPr>
          <w:rFonts w:ascii="Times New Roman" w:hAnsi="Times New Roman"/>
        </w:rPr>
        <w:br w:type="page"/>
      </w:r>
    </w:p>
    <w:p w14:paraId="78C4DD94">
      <w:pPr>
        <w:pStyle w:val="2"/>
        <w:ind w:firstLine="640"/>
        <w:jc w:val="center"/>
        <w:rPr>
          <w:rFonts w:ascii="Times New Roman" w:hAnsi="Times New Roman"/>
          <w:sz w:val="32"/>
          <w:szCs w:val="32"/>
        </w:rPr>
      </w:pPr>
      <w:r>
        <w:rPr>
          <w:rFonts w:ascii="Times New Roman" w:hAnsi="Times New Roman"/>
          <w:sz w:val="32"/>
          <w:szCs w:val="32"/>
        </w:rPr>
        <w:t>目录</w:t>
      </w:r>
    </w:p>
    <w:p w14:paraId="7041C179">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fldChar w:fldCharType="begin"/>
      </w:r>
      <w:r>
        <w:rPr>
          <w:rFonts w:ascii="Times New Roman" w:hAnsi="Times New Roman"/>
          <w:sz w:val="28"/>
          <w:szCs w:val="28"/>
        </w:rPr>
        <w:instrText xml:space="preserve"> TOC \o "1-3" </w:instrText>
      </w:r>
      <w:r>
        <w:rPr>
          <w:rFonts w:ascii="Times New Roman" w:hAnsi="Times New Roman"/>
          <w:sz w:val="28"/>
          <w:szCs w:val="28"/>
        </w:rPr>
        <w:fldChar w:fldCharType="separate"/>
      </w:r>
      <w:r>
        <w:rPr>
          <w:rFonts w:ascii="Times New Roman" w:hAnsi="Times New Roman"/>
          <w:sz w:val="28"/>
          <w:szCs w:val="28"/>
        </w:rPr>
        <w:t>1.</w:t>
      </w:r>
      <w:r>
        <w:rPr>
          <w:rFonts w:ascii="Times New Roman" w:hAnsi="Times New Roman" w:eastAsiaTheme="minorEastAsia"/>
          <w:b w:val="0"/>
          <w:bCs w:val="0"/>
          <w:caps w:val="0"/>
          <w:sz w:val="28"/>
          <w:szCs w:val="28"/>
        </w:rPr>
        <w:tab/>
      </w:r>
      <w:r>
        <w:rPr>
          <w:rFonts w:ascii="Times New Roman" w:hAnsi="Times New Roman"/>
          <w:sz w:val="28"/>
          <w:szCs w:val="28"/>
        </w:rPr>
        <w:t>定义</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_Toc101976668 \h </w:instrText>
      </w:r>
      <w:r>
        <w:rPr>
          <w:rFonts w:ascii="Times New Roman" w:hAnsi="Times New Roman"/>
          <w:sz w:val="28"/>
          <w:szCs w:val="28"/>
        </w:rPr>
        <w:fldChar w:fldCharType="separate"/>
      </w:r>
      <w:r>
        <w:rPr>
          <w:rFonts w:ascii="Times New Roman" w:hAnsi="Times New Roman"/>
          <w:sz w:val="28"/>
          <w:szCs w:val="28"/>
        </w:rPr>
        <w:t>5</w:t>
      </w:r>
      <w:r>
        <w:rPr>
          <w:rFonts w:ascii="Times New Roman" w:hAnsi="Times New Roman"/>
          <w:sz w:val="28"/>
          <w:szCs w:val="28"/>
        </w:rPr>
        <w:fldChar w:fldCharType="end"/>
      </w:r>
    </w:p>
    <w:p w14:paraId="48614561">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w:t>
      </w:r>
      <w:r>
        <w:rPr>
          <w:rFonts w:ascii="Times New Roman" w:hAnsi="Times New Roman" w:eastAsiaTheme="minorEastAsia"/>
          <w:b w:val="0"/>
          <w:bCs w:val="0"/>
          <w:caps w:val="0"/>
          <w:sz w:val="28"/>
          <w:szCs w:val="28"/>
        </w:rPr>
        <w:tab/>
      </w:r>
      <w:r>
        <w:rPr>
          <w:rFonts w:ascii="Times New Roman" w:hAnsi="Times New Roman"/>
          <w:sz w:val="28"/>
          <w:szCs w:val="28"/>
        </w:rPr>
        <w:t>信托目的</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_Toc101976669 \h </w:instrText>
      </w:r>
      <w:r>
        <w:rPr>
          <w:rFonts w:ascii="Times New Roman" w:hAnsi="Times New Roman"/>
          <w:sz w:val="28"/>
          <w:szCs w:val="28"/>
        </w:rPr>
        <w:fldChar w:fldCharType="separate"/>
      </w:r>
      <w:r>
        <w:rPr>
          <w:rFonts w:ascii="Times New Roman" w:hAnsi="Times New Roman"/>
          <w:sz w:val="28"/>
          <w:szCs w:val="28"/>
        </w:rPr>
        <w:t>13</w:t>
      </w:r>
      <w:r>
        <w:rPr>
          <w:rFonts w:ascii="Times New Roman" w:hAnsi="Times New Roman"/>
          <w:sz w:val="28"/>
          <w:szCs w:val="28"/>
        </w:rPr>
        <w:fldChar w:fldCharType="end"/>
      </w:r>
    </w:p>
    <w:p w14:paraId="213F76A1">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3.</w:t>
      </w:r>
      <w:r>
        <w:rPr>
          <w:rFonts w:ascii="Times New Roman" w:hAnsi="Times New Roman" w:eastAsiaTheme="minorEastAsia"/>
          <w:b w:val="0"/>
          <w:bCs w:val="0"/>
          <w:caps w:val="0"/>
          <w:sz w:val="28"/>
          <w:szCs w:val="28"/>
        </w:rPr>
        <w:tab/>
      </w:r>
      <w:r>
        <w:rPr>
          <w:rFonts w:ascii="Times New Roman" w:hAnsi="Times New Roman"/>
          <w:sz w:val="28"/>
          <w:szCs w:val="28"/>
        </w:rPr>
        <w:t>信托的基本情况</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_Toc101976670 \h </w:instrText>
      </w:r>
      <w:r>
        <w:rPr>
          <w:rFonts w:ascii="Times New Roman" w:hAnsi="Times New Roman"/>
          <w:sz w:val="28"/>
          <w:szCs w:val="28"/>
        </w:rPr>
        <w:fldChar w:fldCharType="separate"/>
      </w:r>
      <w:r>
        <w:rPr>
          <w:rFonts w:ascii="Times New Roman" w:hAnsi="Times New Roman"/>
          <w:sz w:val="28"/>
          <w:szCs w:val="28"/>
        </w:rPr>
        <w:t>14</w:t>
      </w:r>
      <w:r>
        <w:rPr>
          <w:rFonts w:ascii="Times New Roman" w:hAnsi="Times New Roman"/>
          <w:sz w:val="28"/>
          <w:szCs w:val="28"/>
        </w:rPr>
        <w:fldChar w:fldCharType="end"/>
      </w:r>
    </w:p>
    <w:p w14:paraId="0821DFE3">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4.</w:t>
      </w:r>
      <w:r>
        <w:rPr>
          <w:rFonts w:ascii="Times New Roman" w:hAnsi="Times New Roman" w:eastAsiaTheme="minorEastAsia"/>
          <w:b w:val="0"/>
          <w:bCs w:val="0"/>
          <w:caps w:val="0"/>
          <w:sz w:val="28"/>
          <w:szCs w:val="28"/>
        </w:rPr>
        <w:tab/>
      </w:r>
      <w:r>
        <w:rPr>
          <w:rFonts w:ascii="Times New Roman" w:hAnsi="Times New Roman"/>
          <w:sz w:val="28"/>
          <w:szCs w:val="28"/>
        </w:rPr>
        <w:t>委托人的声明与承诺</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_Toc101976671 \h </w:instrText>
      </w:r>
      <w:r>
        <w:rPr>
          <w:rFonts w:ascii="Times New Roman" w:hAnsi="Times New Roman"/>
          <w:sz w:val="28"/>
          <w:szCs w:val="28"/>
        </w:rPr>
        <w:fldChar w:fldCharType="separate"/>
      </w:r>
      <w:r>
        <w:rPr>
          <w:rFonts w:ascii="Times New Roman" w:hAnsi="Times New Roman"/>
          <w:sz w:val="28"/>
          <w:szCs w:val="28"/>
        </w:rPr>
        <w:t>16</w:t>
      </w:r>
      <w:r>
        <w:rPr>
          <w:rFonts w:ascii="Times New Roman" w:hAnsi="Times New Roman"/>
          <w:sz w:val="28"/>
          <w:szCs w:val="28"/>
        </w:rPr>
        <w:fldChar w:fldCharType="end"/>
      </w:r>
    </w:p>
    <w:p w14:paraId="40A95013">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5.</w:t>
      </w:r>
      <w:r>
        <w:rPr>
          <w:rFonts w:ascii="Times New Roman" w:hAnsi="Times New Roman" w:eastAsiaTheme="minorEastAsia"/>
          <w:b w:val="0"/>
          <w:bCs w:val="0"/>
          <w:caps w:val="0"/>
          <w:sz w:val="28"/>
          <w:szCs w:val="28"/>
        </w:rPr>
        <w:tab/>
      </w:r>
      <w:r>
        <w:rPr>
          <w:rFonts w:ascii="Times New Roman" w:hAnsi="Times New Roman"/>
          <w:sz w:val="28"/>
          <w:szCs w:val="28"/>
        </w:rPr>
        <w:t>信托的成立与生效</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_Toc101976672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p>
    <w:p w14:paraId="79E96387">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6.</w:t>
      </w:r>
      <w:r>
        <w:rPr>
          <w:rFonts w:ascii="Times New Roman" w:hAnsi="Times New Roman" w:eastAsiaTheme="minorEastAsia"/>
          <w:b w:val="0"/>
          <w:bCs w:val="0"/>
          <w:caps w:val="0"/>
          <w:sz w:val="28"/>
          <w:szCs w:val="28"/>
        </w:rPr>
        <w:tab/>
      </w:r>
      <w:r>
        <w:rPr>
          <w:rFonts w:ascii="Times New Roman" w:hAnsi="Times New Roman"/>
          <w:sz w:val="28"/>
          <w:szCs w:val="28"/>
        </w:rPr>
        <w:t>信托的期限</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_Toc101976673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p>
    <w:p w14:paraId="5416DAD2">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7.</w:t>
      </w:r>
      <w:r>
        <w:rPr>
          <w:rFonts w:ascii="Times New Roman" w:hAnsi="Times New Roman" w:eastAsiaTheme="minorEastAsia"/>
          <w:b w:val="0"/>
          <w:bCs w:val="0"/>
          <w:caps w:val="0"/>
          <w:sz w:val="28"/>
          <w:szCs w:val="28"/>
        </w:rPr>
        <w:tab/>
      </w:r>
      <w:r>
        <w:rPr>
          <w:rFonts w:ascii="Times New Roman" w:hAnsi="Times New Roman"/>
          <w:sz w:val="28"/>
          <w:szCs w:val="28"/>
        </w:rPr>
        <w:t>信托受益权</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_Toc101976674 \h </w:instrText>
      </w:r>
      <w:r>
        <w:rPr>
          <w:rFonts w:ascii="Times New Roman" w:hAnsi="Times New Roman"/>
          <w:sz w:val="28"/>
          <w:szCs w:val="28"/>
        </w:rPr>
        <w:fldChar w:fldCharType="separate"/>
      </w:r>
      <w:r>
        <w:rPr>
          <w:rFonts w:ascii="Times New Roman" w:hAnsi="Times New Roman"/>
          <w:sz w:val="28"/>
          <w:szCs w:val="28"/>
        </w:rPr>
        <w:t>17</w:t>
      </w:r>
      <w:r>
        <w:rPr>
          <w:rFonts w:ascii="Times New Roman" w:hAnsi="Times New Roman"/>
          <w:sz w:val="28"/>
          <w:szCs w:val="28"/>
        </w:rPr>
        <w:fldChar w:fldCharType="end"/>
      </w:r>
    </w:p>
    <w:p w14:paraId="08F08815">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8.</w:t>
      </w:r>
      <w:r>
        <w:rPr>
          <w:rFonts w:ascii="Times New Roman" w:hAnsi="Times New Roman" w:eastAsiaTheme="minorEastAsia"/>
          <w:b w:val="0"/>
          <w:bCs w:val="0"/>
          <w:caps w:val="0"/>
          <w:sz w:val="28"/>
          <w:szCs w:val="28"/>
        </w:rPr>
        <w:tab/>
      </w:r>
      <w:r>
        <w:rPr>
          <w:rFonts w:ascii="Times New Roman" w:hAnsi="Times New Roman"/>
          <w:sz w:val="28"/>
          <w:szCs w:val="28"/>
        </w:rPr>
        <w:t>信托账户</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_Toc101976675 \h </w:instrText>
      </w:r>
      <w:r>
        <w:rPr>
          <w:rFonts w:ascii="Times New Roman" w:hAnsi="Times New Roman"/>
          <w:sz w:val="28"/>
          <w:szCs w:val="28"/>
        </w:rPr>
        <w:fldChar w:fldCharType="separate"/>
      </w:r>
      <w:r>
        <w:rPr>
          <w:rFonts w:ascii="Times New Roman" w:hAnsi="Times New Roman"/>
          <w:sz w:val="28"/>
          <w:szCs w:val="28"/>
        </w:rPr>
        <w:t>19</w:t>
      </w:r>
      <w:r>
        <w:rPr>
          <w:rFonts w:ascii="Times New Roman" w:hAnsi="Times New Roman"/>
          <w:sz w:val="28"/>
          <w:szCs w:val="28"/>
        </w:rPr>
        <w:fldChar w:fldCharType="end"/>
      </w:r>
    </w:p>
    <w:p w14:paraId="7F825B46">
      <w:pPr>
        <w:pStyle w:val="25"/>
        <w:tabs>
          <w:tab w:val="left" w:pos="48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9.</w:t>
      </w:r>
      <w:r>
        <w:rPr>
          <w:rFonts w:ascii="Times New Roman" w:hAnsi="Times New Roman" w:eastAsiaTheme="minorEastAsia"/>
          <w:b w:val="0"/>
          <w:bCs w:val="0"/>
          <w:caps w:val="0"/>
          <w:sz w:val="28"/>
          <w:szCs w:val="28"/>
        </w:rPr>
        <w:tab/>
      </w:r>
      <w:r>
        <w:rPr>
          <w:rFonts w:ascii="Times New Roman" w:hAnsi="Times New Roman"/>
          <w:sz w:val="28"/>
          <w:szCs w:val="28"/>
        </w:rPr>
        <w:t>信托财产的管理、运用和处分</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_Toc101976676 \h </w:instrText>
      </w:r>
      <w:r>
        <w:rPr>
          <w:rFonts w:ascii="Times New Roman" w:hAnsi="Times New Roman"/>
          <w:sz w:val="28"/>
          <w:szCs w:val="28"/>
        </w:rPr>
        <w:fldChar w:fldCharType="separate"/>
      </w:r>
      <w:r>
        <w:rPr>
          <w:rFonts w:ascii="Times New Roman" w:hAnsi="Times New Roman"/>
          <w:sz w:val="28"/>
          <w:szCs w:val="28"/>
        </w:rPr>
        <w:t>19</w:t>
      </w:r>
      <w:r>
        <w:rPr>
          <w:rFonts w:ascii="Times New Roman" w:hAnsi="Times New Roman"/>
          <w:sz w:val="28"/>
          <w:szCs w:val="28"/>
        </w:rPr>
        <w:fldChar w:fldCharType="end"/>
      </w:r>
    </w:p>
    <w:p w14:paraId="573B1B57">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10.</w:t>
      </w:r>
      <w:r>
        <w:rPr>
          <w:rFonts w:ascii="Times New Roman" w:hAnsi="Times New Roman" w:eastAsiaTheme="minorEastAsia"/>
          <w:b w:val="0"/>
          <w:bCs w:val="0"/>
          <w:caps w:val="0"/>
          <w:sz w:val="28"/>
          <w:szCs w:val="28"/>
        </w:rPr>
        <w:tab/>
      </w:r>
      <w:r>
        <w:rPr>
          <w:rFonts w:ascii="Times New Roman" w:hAnsi="Times New Roman"/>
          <w:sz w:val="28"/>
          <w:szCs w:val="28"/>
        </w:rPr>
        <w:t>信托保障措施</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_Toc101976677 \h </w:instrText>
      </w:r>
      <w:r>
        <w:rPr>
          <w:rFonts w:ascii="Times New Roman" w:hAnsi="Times New Roman"/>
          <w:sz w:val="28"/>
          <w:szCs w:val="28"/>
        </w:rPr>
        <w:fldChar w:fldCharType="separate"/>
      </w:r>
      <w:r>
        <w:rPr>
          <w:rFonts w:ascii="Times New Roman" w:hAnsi="Times New Roman"/>
          <w:sz w:val="28"/>
          <w:szCs w:val="28"/>
        </w:rPr>
        <w:t>22</w:t>
      </w:r>
      <w:r>
        <w:rPr>
          <w:rFonts w:ascii="Times New Roman" w:hAnsi="Times New Roman"/>
          <w:sz w:val="28"/>
          <w:szCs w:val="28"/>
        </w:rPr>
        <w:fldChar w:fldCharType="end"/>
      </w:r>
    </w:p>
    <w:p w14:paraId="55375826">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11.</w:t>
      </w:r>
      <w:r>
        <w:rPr>
          <w:rFonts w:ascii="Times New Roman" w:hAnsi="Times New Roman" w:eastAsiaTheme="minorEastAsia"/>
          <w:b w:val="0"/>
          <w:bCs w:val="0"/>
          <w:caps w:val="0"/>
          <w:sz w:val="28"/>
          <w:szCs w:val="28"/>
        </w:rPr>
        <w:tab/>
      </w:r>
      <w:r>
        <w:rPr>
          <w:rFonts w:ascii="Times New Roman" w:hAnsi="Times New Roman"/>
          <w:sz w:val="28"/>
          <w:szCs w:val="28"/>
        </w:rPr>
        <w:t>延长期</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_Toc101976678 \h </w:instrText>
      </w:r>
      <w:r>
        <w:rPr>
          <w:rFonts w:ascii="Times New Roman" w:hAnsi="Times New Roman"/>
          <w:sz w:val="28"/>
          <w:szCs w:val="28"/>
        </w:rPr>
        <w:fldChar w:fldCharType="separate"/>
      </w:r>
      <w:r>
        <w:rPr>
          <w:rFonts w:ascii="Times New Roman" w:hAnsi="Times New Roman"/>
          <w:sz w:val="28"/>
          <w:szCs w:val="28"/>
        </w:rPr>
        <w:t>24</w:t>
      </w:r>
      <w:r>
        <w:rPr>
          <w:rFonts w:ascii="Times New Roman" w:hAnsi="Times New Roman"/>
          <w:sz w:val="28"/>
          <w:szCs w:val="28"/>
        </w:rPr>
        <w:fldChar w:fldCharType="end"/>
      </w:r>
    </w:p>
    <w:p w14:paraId="7318FDB0">
      <w:pPr>
        <w:pStyle w:val="25"/>
        <w:tabs>
          <w:tab w:val="left" w:pos="720"/>
          <w:tab w:val="right" w:leader="dot" w:pos="8296"/>
        </w:tabs>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ab/>
      </w:r>
      <w:r>
        <w:rPr>
          <w:rFonts w:ascii="Times New Roman" w:hAnsi="Times New Roman"/>
          <w:sz w:val="28"/>
          <w:szCs w:val="28"/>
        </w:rPr>
        <w:t>管理权限</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_Toc101976679 \h </w:instrText>
      </w:r>
      <w:r>
        <w:rPr>
          <w:rFonts w:ascii="Times New Roman" w:hAnsi="Times New Roman"/>
          <w:sz w:val="28"/>
          <w:szCs w:val="28"/>
        </w:rPr>
        <w:fldChar w:fldCharType="separate"/>
      </w:r>
      <w:r>
        <w:rPr>
          <w:rFonts w:ascii="Times New Roman" w:hAnsi="Times New Roman"/>
          <w:sz w:val="28"/>
          <w:szCs w:val="28"/>
        </w:rPr>
        <w:t>24</w:t>
      </w:r>
      <w:r>
        <w:rPr>
          <w:rFonts w:ascii="Times New Roman" w:hAnsi="Times New Roman"/>
          <w:sz w:val="28"/>
          <w:szCs w:val="28"/>
        </w:rPr>
        <w:fldChar w:fldCharType="end"/>
      </w:r>
    </w:p>
    <w:p w14:paraId="7E7FCF43">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13.</w:t>
      </w:r>
      <w:r>
        <w:rPr>
          <w:rFonts w:ascii="Times New Roman" w:hAnsi="Times New Roman" w:eastAsiaTheme="minorEastAsia"/>
          <w:b w:val="0"/>
          <w:bCs w:val="0"/>
          <w:caps w:val="0"/>
          <w:sz w:val="28"/>
          <w:szCs w:val="28"/>
        </w:rPr>
        <w:tab/>
      </w:r>
      <w:r>
        <w:rPr>
          <w:rFonts w:ascii="Times New Roman" w:hAnsi="Times New Roman"/>
          <w:sz w:val="28"/>
          <w:szCs w:val="28"/>
        </w:rPr>
        <w:t>信托财产的保管</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_Toc101976680 \h </w:instrText>
      </w:r>
      <w:r>
        <w:rPr>
          <w:rFonts w:ascii="Times New Roman" w:hAnsi="Times New Roman"/>
          <w:sz w:val="28"/>
          <w:szCs w:val="28"/>
        </w:rPr>
        <w:fldChar w:fldCharType="separate"/>
      </w:r>
      <w:r>
        <w:rPr>
          <w:rFonts w:ascii="Times New Roman" w:hAnsi="Times New Roman"/>
          <w:sz w:val="28"/>
          <w:szCs w:val="28"/>
        </w:rPr>
        <w:t>25</w:t>
      </w:r>
      <w:r>
        <w:rPr>
          <w:rFonts w:ascii="Times New Roman" w:hAnsi="Times New Roman"/>
          <w:sz w:val="28"/>
          <w:szCs w:val="28"/>
        </w:rPr>
        <w:fldChar w:fldCharType="end"/>
      </w:r>
    </w:p>
    <w:p w14:paraId="1C314268">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14.</w:t>
      </w:r>
      <w:r>
        <w:rPr>
          <w:rFonts w:ascii="Times New Roman" w:hAnsi="Times New Roman" w:eastAsiaTheme="minorEastAsia"/>
          <w:b w:val="0"/>
          <w:bCs w:val="0"/>
          <w:caps w:val="0"/>
          <w:sz w:val="28"/>
          <w:szCs w:val="28"/>
        </w:rPr>
        <w:tab/>
      </w:r>
      <w:r>
        <w:rPr>
          <w:rFonts w:ascii="Times New Roman" w:hAnsi="Times New Roman"/>
          <w:sz w:val="28"/>
          <w:szCs w:val="28"/>
        </w:rPr>
        <w:t>相关税费和信托费用的计提和收取</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_Toc101976681 \h </w:instrText>
      </w:r>
      <w:r>
        <w:rPr>
          <w:rFonts w:ascii="Times New Roman" w:hAnsi="Times New Roman"/>
          <w:sz w:val="28"/>
          <w:szCs w:val="28"/>
        </w:rPr>
        <w:fldChar w:fldCharType="separate"/>
      </w:r>
      <w:r>
        <w:rPr>
          <w:rFonts w:ascii="Times New Roman" w:hAnsi="Times New Roman"/>
          <w:sz w:val="28"/>
          <w:szCs w:val="28"/>
        </w:rPr>
        <w:t>25</w:t>
      </w:r>
      <w:r>
        <w:rPr>
          <w:rFonts w:ascii="Times New Roman" w:hAnsi="Times New Roman"/>
          <w:sz w:val="28"/>
          <w:szCs w:val="28"/>
        </w:rPr>
        <w:fldChar w:fldCharType="end"/>
      </w:r>
    </w:p>
    <w:p w14:paraId="67902D6E">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15.</w:t>
      </w:r>
      <w:r>
        <w:rPr>
          <w:rFonts w:ascii="Times New Roman" w:hAnsi="Times New Roman" w:eastAsiaTheme="minorEastAsia"/>
          <w:b w:val="0"/>
          <w:bCs w:val="0"/>
          <w:caps w:val="0"/>
          <w:sz w:val="28"/>
          <w:szCs w:val="28"/>
        </w:rPr>
        <w:tab/>
      </w:r>
      <w:r>
        <w:rPr>
          <w:rFonts w:ascii="Times New Roman" w:hAnsi="Times New Roman"/>
          <w:sz w:val="28"/>
          <w:szCs w:val="28"/>
        </w:rPr>
        <w:t>信托利益的计算和支付</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_Toc101976682 \h </w:instrText>
      </w:r>
      <w:r>
        <w:rPr>
          <w:rFonts w:ascii="Times New Roman" w:hAnsi="Times New Roman"/>
          <w:sz w:val="28"/>
          <w:szCs w:val="28"/>
        </w:rPr>
        <w:fldChar w:fldCharType="separate"/>
      </w:r>
      <w:r>
        <w:rPr>
          <w:rFonts w:ascii="Times New Roman" w:hAnsi="Times New Roman"/>
          <w:sz w:val="28"/>
          <w:szCs w:val="28"/>
        </w:rPr>
        <w:t>28</w:t>
      </w:r>
      <w:r>
        <w:rPr>
          <w:rFonts w:ascii="Times New Roman" w:hAnsi="Times New Roman"/>
          <w:sz w:val="28"/>
          <w:szCs w:val="28"/>
        </w:rPr>
        <w:fldChar w:fldCharType="end"/>
      </w:r>
    </w:p>
    <w:p w14:paraId="0BF95A3A">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16.</w:t>
      </w:r>
      <w:r>
        <w:rPr>
          <w:rFonts w:ascii="Times New Roman" w:hAnsi="Times New Roman" w:eastAsiaTheme="minorEastAsia"/>
          <w:b w:val="0"/>
          <w:bCs w:val="0"/>
          <w:caps w:val="0"/>
          <w:sz w:val="28"/>
          <w:szCs w:val="28"/>
        </w:rPr>
        <w:tab/>
      </w:r>
      <w:r>
        <w:rPr>
          <w:rFonts w:ascii="Times New Roman" w:hAnsi="Times New Roman"/>
          <w:sz w:val="28"/>
          <w:szCs w:val="28"/>
        </w:rPr>
        <w:t>信托的终止和信托终止后信托财产的分配</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_Toc101976683 \h </w:instrText>
      </w:r>
      <w:r>
        <w:rPr>
          <w:rFonts w:ascii="Times New Roman" w:hAnsi="Times New Roman"/>
          <w:sz w:val="28"/>
          <w:szCs w:val="28"/>
        </w:rPr>
        <w:fldChar w:fldCharType="separate"/>
      </w:r>
      <w:r>
        <w:rPr>
          <w:rFonts w:ascii="Times New Roman" w:hAnsi="Times New Roman"/>
          <w:sz w:val="28"/>
          <w:szCs w:val="28"/>
        </w:rPr>
        <w:t>30</w:t>
      </w:r>
      <w:r>
        <w:rPr>
          <w:rFonts w:ascii="Times New Roman" w:hAnsi="Times New Roman"/>
          <w:sz w:val="28"/>
          <w:szCs w:val="28"/>
        </w:rPr>
        <w:fldChar w:fldCharType="end"/>
      </w:r>
    </w:p>
    <w:p w14:paraId="77A4C760">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17.</w:t>
      </w:r>
      <w:r>
        <w:rPr>
          <w:rFonts w:ascii="Times New Roman" w:hAnsi="Times New Roman" w:eastAsiaTheme="minorEastAsia"/>
          <w:b w:val="0"/>
          <w:bCs w:val="0"/>
          <w:caps w:val="0"/>
          <w:sz w:val="28"/>
          <w:szCs w:val="28"/>
        </w:rPr>
        <w:tab/>
      </w:r>
      <w:r>
        <w:rPr>
          <w:rFonts w:ascii="Times New Roman" w:hAnsi="Times New Roman"/>
          <w:sz w:val="28"/>
          <w:szCs w:val="28"/>
        </w:rPr>
        <w:t>委托人的陈述和保证</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_Toc101976684 \h </w:instrText>
      </w:r>
      <w:r>
        <w:rPr>
          <w:rFonts w:ascii="Times New Roman" w:hAnsi="Times New Roman"/>
          <w:sz w:val="28"/>
          <w:szCs w:val="28"/>
        </w:rPr>
        <w:fldChar w:fldCharType="separate"/>
      </w:r>
      <w:r>
        <w:rPr>
          <w:rFonts w:ascii="Times New Roman" w:hAnsi="Times New Roman"/>
          <w:sz w:val="28"/>
          <w:szCs w:val="28"/>
        </w:rPr>
        <w:t>32</w:t>
      </w:r>
      <w:r>
        <w:rPr>
          <w:rFonts w:ascii="Times New Roman" w:hAnsi="Times New Roman"/>
          <w:sz w:val="28"/>
          <w:szCs w:val="28"/>
        </w:rPr>
        <w:fldChar w:fldCharType="end"/>
      </w:r>
    </w:p>
    <w:p w14:paraId="720101FC">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18.</w:t>
      </w:r>
      <w:r>
        <w:rPr>
          <w:rFonts w:ascii="Times New Roman" w:hAnsi="Times New Roman" w:eastAsiaTheme="minorEastAsia"/>
          <w:b w:val="0"/>
          <w:bCs w:val="0"/>
          <w:caps w:val="0"/>
          <w:sz w:val="28"/>
          <w:szCs w:val="28"/>
        </w:rPr>
        <w:tab/>
      </w:r>
      <w:r>
        <w:rPr>
          <w:rFonts w:ascii="Times New Roman" w:hAnsi="Times New Roman"/>
          <w:sz w:val="28"/>
          <w:szCs w:val="28"/>
        </w:rPr>
        <w:t>委托人和受托人的权利与义务</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_Toc101976685 \h </w:instrText>
      </w:r>
      <w:r>
        <w:rPr>
          <w:rFonts w:ascii="Times New Roman" w:hAnsi="Times New Roman"/>
          <w:sz w:val="28"/>
          <w:szCs w:val="28"/>
        </w:rPr>
        <w:fldChar w:fldCharType="separate"/>
      </w:r>
      <w:r>
        <w:rPr>
          <w:rFonts w:ascii="Times New Roman" w:hAnsi="Times New Roman"/>
          <w:sz w:val="28"/>
          <w:szCs w:val="28"/>
        </w:rPr>
        <w:t>33</w:t>
      </w:r>
      <w:r>
        <w:rPr>
          <w:rFonts w:ascii="Times New Roman" w:hAnsi="Times New Roman"/>
          <w:sz w:val="28"/>
          <w:szCs w:val="28"/>
        </w:rPr>
        <w:fldChar w:fldCharType="end"/>
      </w:r>
    </w:p>
    <w:p w14:paraId="76BAB8B3">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19.</w:t>
      </w:r>
      <w:r>
        <w:rPr>
          <w:rFonts w:ascii="Times New Roman" w:hAnsi="Times New Roman" w:eastAsiaTheme="minorEastAsia"/>
          <w:b w:val="0"/>
          <w:bCs w:val="0"/>
          <w:caps w:val="0"/>
          <w:sz w:val="28"/>
          <w:szCs w:val="28"/>
        </w:rPr>
        <w:tab/>
      </w:r>
      <w:r>
        <w:rPr>
          <w:rFonts w:ascii="Times New Roman" w:hAnsi="Times New Roman"/>
          <w:sz w:val="28"/>
          <w:szCs w:val="28"/>
        </w:rPr>
        <w:t>受益人的权利</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_Toc101976686 \h </w:instrText>
      </w:r>
      <w:r>
        <w:rPr>
          <w:rFonts w:ascii="Times New Roman" w:hAnsi="Times New Roman"/>
          <w:sz w:val="28"/>
          <w:szCs w:val="28"/>
        </w:rPr>
        <w:fldChar w:fldCharType="separate"/>
      </w:r>
      <w:r>
        <w:rPr>
          <w:rFonts w:ascii="Times New Roman" w:hAnsi="Times New Roman"/>
          <w:sz w:val="28"/>
          <w:szCs w:val="28"/>
        </w:rPr>
        <w:t>35</w:t>
      </w:r>
      <w:r>
        <w:rPr>
          <w:rFonts w:ascii="Times New Roman" w:hAnsi="Times New Roman"/>
          <w:sz w:val="28"/>
          <w:szCs w:val="28"/>
        </w:rPr>
        <w:fldChar w:fldCharType="end"/>
      </w:r>
    </w:p>
    <w:p w14:paraId="5C28F320">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20.</w:t>
      </w:r>
      <w:r>
        <w:rPr>
          <w:rFonts w:ascii="Times New Roman" w:hAnsi="Times New Roman" w:eastAsiaTheme="minorEastAsia"/>
          <w:b w:val="0"/>
          <w:bCs w:val="0"/>
          <w:caps w:val="0"/>
          <w:sz w:val="28"/>
          <w:szCs w:val="28"/>
        </w:rPr>
        <w:tab/>
      </w:r>
      <w:r>
        <w:rPr>
          <w:rFonts w:ascii="Times New Roman" w:hAnsi="Times New Roman"/>
          <w:sz w:val="28"/>
          <w:szCs w:val="28"/>
        </w:rPr>
        <w:t>信息披露</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_Toc101976687 \h </w:instrText>
      </w:r>
      <w:r>
        <w:rPr>
          <w:rFonts w:ascii="Times New Roman" w:hAnsi="Times New Roman"/>
          <w:sz w:val="28"/>
          <w:szCs w:val="28"/>
        </w:rPr>
        <w:fldChar w:fldCharType="separate"/>
      </w:r>
      <w:r>
        <w:rPr>
          <w:rFonts w:ascii="Times New Roman" w:hAnsi="Times New Roman"/>
          <w:sz w:val="28"/>
          <w:szCs w:val="28"/>
        </w:rPr>
        <w:t>35</w:t>
      </w:r>
      <w:r>
        <w:rPr>
          <w:rFonts w:ascii="Times New Roman" w:hAnsi="Times New Roman"/>
          <w:sz w:val="28"/>
          <w:szCs w:val="28"/>
        </w:rPr>
        <w:fldChar w:fldCharType="end"/>
      </w:r>
    </w:p>
    <w:p w14:paraId="6C1BD42B">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21.</w:t>
      </w:r>
      <w:r>
        <w:rPr>
          <w:rFonts w:ascii="Times New Roman" w:hAnsi="Times New Roman" w:eastAsiaTheme="minorEastAsia"/>
          <w:b w:val="0"/>
          <w:bCs w:val="0"/>
          <w:caps w:val="0"/>
          <w:sz w:val="28"/>
          <w:szCs w:val="28"/>
        </w:rPr>
        <w:tab/>
      </w:r>
      <w:r>
        <w:rPr>
          <w:rFonts w:ascii="Times New Roman" w:hAnsi="Times New Roman"/>
          <w:sz w:val="28"/>
          <w:szCs w:val="28"/>
        </w:rPr>
        <w:t>受益人大会</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_Toc101976688 \h </w:instrText>
      </w:r>
      <w:r>
        <w:rPr>
          <w:rFonts w:ascii="Times New Roman" w:hAnsi="Times New Roman"/>
          <w:sz w:val="28"/>
          <w:szCs w:val="28"/>
        </w:rPr>
        <w:fldChar w:fldCharType="separate"/>
      </w:r>
      <w:r>
        <w:rPr>
          <w:rFonts w:ascii="Times New Roman" w:hAnsi="Times New Roman"/>
          <w:sz w:val="28"/>
          <w:szCs w:val="28"/>
        </w:rPr>
        <w:t>36</w:t>
      </w:r>
      <w:r>
        <w:rPr>
          <w:rFonts w:ascii="Times New Roman" w:hAnsi="Times New Roman"/>
          <w:sz w:val="28"/>
          <w:szCs w:val="28"/>
        </w:rPr>
        <w:fldChar w:fldCharType="end"/>
      </w:r>
    </w:p>
    <w:p w14:paraId="03EDCC36">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22.</w:t>
      </w:r>
      <w:r>
        <w:rPr>
          <w:rFonts w:ascii="Times New Roman" w:hAnsi="Times New Roman" w:eastAsiaTheme="minorEastAsia"/>
          <w:b w:val="0"/>
          <w:bCs w:val="0"/>
          <w:caps w:val="0"/>
          <w:sz w:val="28"/>
          <w:szCs w:val="28"/>
        </w:rPr>
        <w:tab/>
      </w:r>
      <w:r>
        <w:rPr>
          <w:rFonts w:ascii="Times New Roman" w:hAnsi="Times New Roman"/>
          <w:sz w:val="28"/>
          <w:szCs w:val="28"/>
        </w:rPr>
        <w:t>新受托人的选任方式</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_Toc101976689 \h </w:instrText>
      </w:r>
      <w:r>
        <w:rPr>
          <w:rFonts w:ascii="Times New Roman" w:hAnsi="Times New Roman"/>
          <w:sz w:val="28"/>
          <w:szCs w:val="28"/>
        </w:rPr>
        <w:fldChar w:fldCharType="separate"/>
      </w:r>
      <w:r>
        <w:rPr>
          <w:rFonts w:ascii="Times New Roman" w:hAnsi="Times New Roman"/>
          <w:sz w:val="28"/>
          <w:szCs w:val="28"/>
        </w:rPr>
        <w:t>37</w:t>
      </w:r>
      <w:r>
        <w:rPr>
          <w:rFonts w:ascii="Times New Roman" w:hAnsi="Times New Roman"/>
          <w:sz w:val="28"/>
          <w:szCs w:val="28"/>
        </w:rPr>
        <w:fldChar w:fldCharType="end"/>
      </w:r>
    </w:p>
    <w:p w14:paraId="32CD2025">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23.</w:t>
      </w:r>
      <w:r>
        <w:rPr>
          <w:rFonts w:ascii="Times New Roman" w:hAnsi="Times New Roman" w:eastAsiaTheme="minorEastAsia"/>
          <w:b w:val="0"/>
          <w:bCs w:val="0"/>
          <w:caps w:val="0"/>
          <w:sz w:val="28"/>
          <w:szCs w:val="28"/>
        </w:rPr>
        <w:tab/>
      </w:r>
      <w:r>
        <w:rPr>
          <w:rFonts w:ascii="Times New Roman" w:hAnsi="Times New Roman"/>
          <w:sz w:val="28"/>
          <w:szCs w:val="28"/>
        </w:rPr>
        <w:t>风险揭示与承担</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_Toc101976690 \h </w:instrText>
      </w:r>
      <w:r>
        <w:rPr>
          <w:rFonts w:ascii="Times New Roman" w:hAnsi="Times New Roman"/>
          <w:sz w:val="28"/>
          <w:szCs w:val="28"/>
        </w:rPr>
        <w:fldChar w:fldCharType="separate"/>
      </w:r>
      <w:r>
        <w:rPr>
          <w:rFonts w:ascii="Times New Roman" w:hAnsi="Times New Roman"/>
          <w:sz w:val="28"/>
          <w:szCs w:val="28"/>
        </w:rPr>
        <w:t>37</w:t>
      </w:r>
      <w:r>
        <w:rPr>
          <w:rFonts w:ascii="Times New Roman" w:hAnsi="Times New Roman"/>
          <w:sz w:val="28"/>
          <w:szCs w:val="28"/>
        </w:rPr>
        <w:fldChar w:fldCharType="end"/>
      </w:r>
    </w:p>
    <w:p w14:paraId="08800306">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24.</w:t>
      </w:r>
      <w:r>
        <w:rPr>
          <w:rFonts w:ascii="Times New Roman" w:hAnsi="Times New Roman" w:eastAsiaTheme="minorEastAsia"/>
          <w:b w:val="0"/>
          <w:bCs w:val="0"/>
          <w:caps w:val="0"/>
          <w:sz w:val="28"/>
          <w:szCs w:val="28"/>
        </w:rPr>
        <w:tab/>
      </w:r>
      <w:r>
        <w:rPr>
          <w:rFonts w:ascii="Times New Roman" w:hAnsi="Times New Roman"/>
          <w:sz w:val="28"/>
          <w:szCs w:val="28"/>
        </w:rPr>
        <w:t>违约责任</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_Toc101976691 \h </w:instrText>
      </w:r>
      <w:r>
        <w:rPr>
          <w:rFonts w:ascii="Times New Roman" w:hAnsi="Times New Roman"/>
          <w:sz w:val="28"/>
          <w:szCs w:val="28"/>
        </w:rPr>
        <w:fldChar w:fldCharType="separate"/>
      </w:r>
      <w:r>
        <w:rPr>
          <w:rFonts w:ascii="Times New Roman" w:hAnsi="Times New Roman"/>
          <w:sz w:val="28"/>
          <w:szCs w:val="28"/>
        </w:rPr>
        <w:t>42</w:t>
      </w:r>
      <w:r>
        <w:rPr>
          <w:rFonts w:ascii="Times New Roman" w:hAnsi="Times New Roman"/>
          <w:sz w:val="28"/>
          <w:szCs w:val="28"/>
        </w:rPr>
        <w:fldChar w:fldCharType="end"/>
      </w:r>
    </w:p>
    <w:p w14:paraId="140EB439">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25.</w:t>
      </w:r>
      <w:r>
        <w:rPr>
          <w:rFonts w:ascii="Times New Roman" w:hAnsi="Times New Roman" w:eastAsiaTheme="minorEastAsia"/>
          <w:b w:val="0"/>
          <w:bCs w:val="0"/>
          <w:caps w:val="0"/>
          <w:sz w:val="28"/>
          <w:szCs w:val="28"/>
        </w:rPr>
        <w:tab/>
      </w:r>
      <w:r>
        <w:rPr>
          <w:rFonts w:ascii="Times New Roman" w:hAnsi="Times New Roman"/>
          <w:sz w:val="28"/>
          <w:szCs w:val="28"/>
        </w:rPr>
        <w:t>保密义务</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_Toc101976692 \h </w:instrText>
      </w:r>
      <w:r>
        <w:rPr>
          <w:rFonts w:ascii="Times New Roman" w:hAnsi="Times New Roman"/>
          <w:sz w:val="28"/>
          <w:szCs w:val="28"/>
        </w:rPr>
        <w:fldChar w:fldCharType="separate"/>
      </w:r>
      <w:r>
        <w:rPr>
          <w:rFonts w:ascii="Times New Roman" w:hAnsi="Times New Roman"/>
          <w:sz w:val="28"/>
          <w:szCs w:val="28"/>
        </w:rPr>
        <w:t>42</w:t>
      </w:r>
      <w:r>
        <w:rPr>
          <w:rFonts w:ascii="Times New Roman" w:hAnsi="Times New Roman"/>
          <w:sz w:val="28"/>
          <w:szCs w:val="28"/>
        </w:rPr>
        <w:fldChar w:fldCharType="end"/>
      </w:r>
    </w:p>
    <w:p w14:paraId="451BF550">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26.</w:t>
      </w:r>
      <w:r>
        <w:rPr>
          <w:rFonts w:ascii="Times New Roman" w:hAnsi="Times New Roman" w:eastAsiaTheme="minorEastAsia"/>
          <w:b w:val="0"/>
          <w:bCs w:val="0"/>
          <w:caps w:val="0"/>
          <w:sz w:val="28"/>
          <w:szCs w:val="28"/>
        </w:rPr>
        <w:tab/>
      </w:r>
      <w:r>
        <w:rPr>
          <w:rFonts w:ascii="Times New Roman" w:hAnsi="Times New Roman"/>
          <w:sz w:val="28"/>
          <w:szCs w:val="28"/>
        </w:rPr>
        <w:t>法律适用和争议解决</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_Toc101976693 \h </w:instrText>
      </w:r>
      <w:r>
        <w:rPr>
          <w:rFonts w:ascii="Times New Roman" w:hAnsi="Times New Roman"/>
          <w:sz w:val="28"/>
          <w:szCs w:val="28"/>
        </w:rPr>
        <w:fldChar w:fldCharType="separate"/>
      </w:r>
      <w:r>
        <w:rPr>
          <w:rFonts w:ascii="Times New Roman" w:hAnsi="Times New Roman"/>
          <w:sz w:val="28"/>
          <w:szCs w:val="28"/>
        </w:rPr>
        <w:t>43</w:t>
      </w:r>
      <w:r>
        <w:rPr>
          <w:rFonts w:ascii="Times New Roman" w:hAnsi="Times New Roman"/>
          <w:sz w:val="28"/>
          <w:szCs w:val="28"/>
        </w:rPr>
        <w:fldChar w:fldCharType="end"/>
      </w:r>
    </w:p>
    <w:p w14:paraId="0F0BDCDF">
      <w:pPr>
        <w:pStyle w:val="25"/>
        <w:tabs>
          <w:tab w:val="left" w:pos="720"/>
          <w:tab w:val="right" w:leader="dot" w:pos="8296"/>
        </w:tabs>
        <w:rPr>
          <w:rFonts w:ascii="Times New Roman" w:hAnsi="Times New Roman" w:eastAsiaTheme="minorEastAsia"/>
          <w:b w:val="0"/>
          <w:bCs w:val="0"/>
          <w:caps w:val="0"/>
          <w:sz w:val="28"/>
          <w:szCs w:val="28"/>
        </w:rPr>
      </w:pPr>
      <w:r>
        <w:rPr>
          <w:rFonts w:ascii="Times New Roman" w:hAnsi="Times New Roman"/>
          <w:sz w:val="28"/>
          <w:szCs w:val="28"/>
        </w:rPr>
        <w:t>27.</w:t>
      </w:r>
      <w:r>
        <w:rPr>
          <w:rFonts w:ascii="Times New Roman" w:hAnsi="Times New Roman" w:eastAsiaTheme="minorEastAsia"/>
          <w:b w:val="0"/>
          <w:bCs w:val="0"/>
          <w:caps w:val="0"/>
          <w:sz w:val="28"/>
          <w:szCs w:val="28"/>
        </w:rPr>
        <w:tab/>
      </w:r>
      <w:r>
        <w:rPr>
          <w:rFonts w:ascii="Times New Roman" w:hAnsi="Times New Roman"/>
          <w:sz w:val="28"/>
          <w:szCs w:val="28"/>
        </w:rPr>
        <w:t>其他</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_Toc101976694 \h </w:instrText>
      </w:r>
      <w:r>
        <w:rPr>
          <w:rFonts w:ascii="Times New Roman" w:hAnsi="Times New Roman"/>
          <w:sz w:val="28"/>
          <w:szCs w:val="28"/>
        </w:rPr>
        <w:fldChar w:fldCharType="separate"/>
      </w:r>
      <w:r>
        <w:rPr>
          <w:rFonts w:ascii="Times New Roman" w:hAnsi="Times New Roman"/>
          <w:sz w:val="28"/>
          <w:szCs w:val="28"/>
        </w:rPr>
        <w:t>43</w:t>
      </w:r>
      <w:r>
        <w:rPr>
          <w:rFonts w:ascii="Times New Roman" w:hAnsi="Times New Roman"/>
          <w:sz w:val="28"/>
          <w:szCs w:val="28"/>
        </w:rPr>
        <w:fldChar w:fldCharType="end"/>
      </w:r>
    </w:p>
    <w:p w14:paraId="10F7C526">
      <w:pPr>
        <w:pStyle w:val="2"/>
        <w:ind w:firstLine="560"/>
        <w:rPr>
          <w:rFonts w:ascii="Times New Roman" w:hAnsi="Times New Roman"/>
        </w:rPr>
      </w:pPr>
      <w:r>
        <w:rPr>
          <w:rFonts w:ascii="Times New Roman" w:hAnsi="Times New Roman"/>
          <w:sz w:val="28"/>
          <w:szCs w:val="28"/>
        </w:rPr>
        <w:fldChar w:fldCharType="end"/>
      </w:r>
    </w:p>
    <w:p w14:paraId="078C153D">
      <w:pPr>
        <w:pStyle w:val="2"/>
        <w:ind w:firstLine="480"/>
        <w:rPr>
          <w:rFonts w:ascii="Times New Roman" w:hAnsi="Times New Roman"/>
        </w:rPr>
      </w:pPr>
      <w:r>
        <w:rPr>
          <w:rFonts w:ascii="Times New Roman" w:hAnsi="Times New Roman"/>
        </w:rPr>
        <w:br w:type="page"/>
      </w:r>
    </w:p>
    <w:p w14:paraId="145543DA">
      <w:pPr>
        <w:pStyle w:val="2"/>
        <w:ind w:firstLine="480"/>
        <w:rPr>
          <w:rFonts w:ascii="Times New Roman" w:hAnsi="Times New Roman"/>
        </w:rPr>
      </w:pPr>
    </w:p>
    <w:p w14:paraId="39B0C1F7">
      <w:pPr>
        <w:pStyle w:val="2"/>
        <w:ind w:firstLine="562"/>
        <w:jc w:val="center"/>
        <w:rPr>
          <w:rFonts w:ascii="Times New Roman" w:hAnsi="Times New Roman"/>
        </w:rPr>
      </w:pPr>
      <w:r>
        <w:rPr>
          <w:rFonts w:hint="eastAsia" w:ascii="Times New Roman" w:hAnsi="Times New Roman"/>
          <w:b/>
          <w:lang w:eastAsia="zh-CN"/>
        </w:rPr>
        <w:t>XXXXX</w:t>
      </w:r>
      <w:r>
        <w:rPr>
          <w:rFonts w:ascii="Times New Roman" w:hAnsi="Times New Roman"/>
          <w:b/>
        </w:rPr>
        <w:t>之</w:t>
      </w:r>
      <w:r>
        <w:rPr>
          <w:rFonts w:ascii="Times New Roman" w:hAnsi="Times New Roman"/>
          <w:b/>
          <w:sz w:val="28"/>
          <w:szCs w:val="28"/>
        </w:rPr>
        <w:t>信托合同</w:t>
      </w:r>
    </w:p>
    <w:p w14:paraId="32C815C5">
      <w:pPr>
        <w:spacing w:before="156" w:beforeLines="50" w:after="156" w:afterLines="50"/>
        <w:ind w:firstLine="482" w:firstLineChars="200"/>
        <w:rPr>
          <w:rFonts w:ascii="Times New Roman" w:hAnsi="Times New Roman"/>
          <w:b/>
        </w:rPr>
      </w:pPr>
      <w:r>
        <w:rPr>
          <w:rFonts w:ascii="Times New Roman" w:hAnsi="Times New Roman"/>
          <w:b/>
        </w:rPr>
        <w:t>《</w:t>
      </w:r>
      <w:r>
        <w:rPr>
          <w:rFonts w:hint="eastAsia" w:ascii="Times New Roman" w:hAnsi="Times New Roman"/>
          <w:b/>
          <w:lang w:eastAsia="zh-CN"/>
        </w:rPr>
        <w:t>XXXXX</w:t>
      </w:r>
      <w:r>
        <w:rPr>
          <w:rFonts w:ascii="Times New Roman" w:hAnsi="Times New Roman"/>
          <w:b/>
        </w:rPr>
        <w:t>之信托合同》（“本合同”）由下列各方于_____年_____月_____日在____________签订：</w:t>
      </w:r>
    </w:p>
    <w:p w14:paraId="746E05C5">
      <w:pPr>
        <w:tabs>
          <w:tab w:val="left" w:pos="2025"/>
          <w:tab w:val="left" w:pos="8928"/>
        </w:tabs>
        <w:spacing w:before="156" w:beforeLines="50" w:after="156" w:afterLines="50"/>
        <w:ind w:firstLine="482" w:firstLineChars="200"/>
        <w:rPr>
          <w:rFonts w:ascii="Times New Roman" w:hAnsi="Times New Roman"/>
          <w:b/>
        </w:rPr>
      </w:pPr>
    </w:p>
    <w:p w14:paraId="20B19304">
      <w:pPr>
        <w:tabs>
          <w:tab w:val="left" w:pos="567"/>
          <w:tab w:val="left" w:pos="8928"/>
        </w:tabs>
        <w:spacing w:before="156" w:beforeLines="50" w:after="156" w:afterLines="50"/>
        <w:ind w:firstLine="482" w:firstLineChars="200"/>
        <w:rPr>
          <w:rFonts w:hint="eastAsia" w:ascii="Times New Roman" w:hAnsi="Times New Roman" w:eastAsia="楷体"/>
          <w:bCs/>
          <w:lang w:eastAsia="zh-CN"/>
        </w:rPr>
      </w:pPr>
      <w:r>
        <w:rPr>
          <w:rFonts w:ascii="Times New Roman" w:hAnsi="Times New Roman"/>
          <w:b/>
        </w:rPr>
        <w:t>委托人：</w:t>
      </w:r>
      <w:r>
        <w:rPr>
          <w:rFonts w:hint="eastAsia" w:ascii="Times New Roman" w:hAnsi="Times New Roman"/>
          <w:b/>
          <w:bCs/>
          <w:lang w:eastAsia="zh-CN"/>
        </w:rPr>
        <w:t>【】</w:t>
      </w:r>
    </w:p>
    <w:p w14:paraId="046CBCF2">
      <w:pPr>
        <w:tabs>
          <w:tab w:val="left" w:pos="567"/>
          <w:tab w:val="left" w:pos="8928"/>
        </w:tabs>
        <w:spacing w:before="156" w:beforeLines="50" w:after="156" w:afterLines="50"/>
        <w:ind w:firstLine="480" w:firstLineChars="200"/>
        <w:rPr>
          <w:rFonts w:ascii="Times New Roman" w:hAnsi="Times New Roman"/>
          <w:bCs/>
        </w:rPr>
      </w:pPr>
      <w:r>
        <w:rPr>
          <w:rFonts w:ascii="Times New Roman" w:hAnsi="Times New Roman"/>
          <w:bCs/>
        </w:rPr>
        <w:t xml:space="preserve">法定代表人： </w:t>
      </w:r>
    </w:p>
    <w:p w14:paraId="54FD645F">
      <w:pPr>
        <w:tabs>
          <w:tab w:val="left" w:pos="567"/>
          <w:tab w:val="left" w:pos="8928"/>
        </w:tabs>
        <w:spacing w:before="156" w:beforeLines="50" w:after="156" w:afterLines="50"/>
        <w:ind w:firstLine="480" w:firstLineChars="200"/>
        <w:rPr>
          <w:rFonts w:ascii="Times New Roman" w:hAnsi="Times New Roman"/>
          <w:bCs/>
        </w:rPr>
      </w:pPr>
      <w:r>
        <w:rPr>
          <w:rFonts w:ascii="Times New Roman" w:hAnsi="Times New Roman"/>
          <w:bCs/>
        </w:rPr>
        <w:t xml:space="preserve">注册地址： </w:t>
      </w:r>
    </w:p>
    <w:p w14:paraId="22A8E5B7">
      <w:pPr>
        <w:tabs>
          <w:tab w:val="left" w:pos="2025"/>
          <w:tab w:val="left" w:pos="8928"/>
        </w:tabs>
        <w:spacing w:before="156" w:beforeLines="50" w:after="156" w:afterLines="50"/>
        <w:ind w:firstLine="482" w:firstLineChars="200"/>
        <w:jc w:val="left"/>
        <w:rPr>
          <w:rFonts w:ascii="Times New Roman" w:hAnsi="Times New Roman"/>
          <w:b/>
        </w:rPr>
      </w:pPr>
    </w:p>
    <w:p w14:paraId="3C0E189B">
      <w:pPr>
        <w:tabs>
          <w:tab w:val="left" w:pos="567"/>
          <w:tab w:val="left" w:pos="8928"/>
        </w:tabs>
        <w:spacing w:before="156" w:beforeLines="50" w:after="156" w:afterLines="50"/>
        <w:ind w:firstLine="482" w:firstLineChars="200"/>
        <w:rPr>
          <w:rFonts w:hint="eastAsia" w:ascii="Times New Roman" w:hAnsi="Times New Roman" w:eastAsia="楷体"/>
          <w:bCs/>
          <w:lang w:eastAsia="zh-CN"/>
        </w:rPr>
      </w:pPr>
      <w:r>
        <w:rPr>
          <w:rFonts w:ascii="Times New Roman" w:hAnsi="Times New Roman"/>
          <w:b/>
        </w:rPr>
        <w:t>受托人：</w:t>
      </w:r>
    </w:p>
    <w:p w14:paraId="55B2CD5C">
      <w:pPr>
        <w:tabs>
          <w:tab w:val="left" w:pos="567"/>
          <w:tab w:val="left" w:pos="8928"/>
        </w:tabs>
        <w:spacing w:before="156" w:beforeLines="50" w:after="156" w:afterLines="50"/>
        <w:ind w:firstLine="480" w:firstLineChars="200"/>
        <w:rPr>
          <w:rFonts w:hint="eastAsia" w:ascii="Times New Roman" w:hAnsi="Times New Roman" w:eastAsia="楷体"/>
          <w:bCs/>
          <w:lang w:eastAsia="zh-CN"/>
        </w:rPr>
      </w:pPr>
      <w:r>
        <w:rPr>
          <w:rFonts w:ascii="Times New Roman" w:hAnsi="Times New Roman"/>
          <w:bCs/>
        </w:rPr>
        <w:t>法定代表人：</w:t>
      </w:r>
    </w:p>
    <w:p w14:paraId="233599D2">
      <w:pPr>
        <w:tabs>
          <w:tab w:val="left" w:pos="567"/>
          <w:tab w:val="left" w:pos="8928"/>
        </w:tabs>
        <w:spacing w:before="156" w:beforeLines="50" w:after="156" w:afterLines="50"/>
        <w:ind w:firstLine="480" w:firstLineChars="200"/>
        <w:rPr>
          <w:rFonts w:ascii="Times New Roman" w:hAnsi="Times New Roman"/>
          <w:bCs/>
        </w:rPr>
      </w:pPr>
      <w:r>
        <w:rPr>
          <w:rFonts w:ascii="Times New Roman" w:hAnsi="Times New Roman"/>
          <w:bCs/>
        </w:rPr>
        <w:t>注册地址：</w:t>
      </w:r>
    </w:p>
    <w:p w14:paraId="736802E1">
      <w:pPr>
        <w:tabs>
          <w:tab w:val="left" w:pos="0"/>
          <w:tab w:val="left" w:pos="8928"/>
        </w:tabs>
        <w:spacing w:before="156" w:beforeLines="50" w:after="156" w:afterLines="50"/>
        <w:ind w:firstLine="480" w:firstLineChars="200"/>
        <w:rPr>
          <w:rFonts w:ascii="Times New Roman" w:hAnsi="Times New Roman"/>
          <w:bCs/>
        </w:rPr>
      </w:pPr>
    </w:p>
    <w:p w14:paraId="47BBFCA6">
      <w:pPr>
        <w:tabs>
          <w:tab w:val="left" w:pos="0"/>
          <w:tab w:val="left" w:pos="8928"/>
        </w:tabs>
        <w:spacing w:before="156" w:beforeLines="50" w:after="156" w:afterLines="50"/>
        <w:ind w:firstLine="480" w:firstLineChars="200"/>
        <w:rPr>
          <w:rFonts w:ascii="Times New Roman" w:hAnsi="Times New Roman"/>
          <w:bCs/>
        </w:rPr>
      </w:pPr>
      <w:r>
        <w:rPr>
          <w:rFonts w:ascii="Times New Roman" w:hAnsi="Times New Roman"/>
          <w:bCs/>
        </w:rPr>
        <w:t>以上主体合称为“各方”，单称为“一方”</w:t>
      </w:r>
      <w:r>
        <w:rPr>
          <w:rFonts w:ascii="Times New Roman" w:hAnsi="Times New Roman"/>
        </w:rPr>
        <w:t>。</w:t>
      </w:r>
    </w:p>
    <w:p w14:paraId="419E9286">
      <w:pPr>
        <w:pStyle w:val="19"/>
        <w:spacing w:before="156" w:beforeLines="50" w:after="156" w:afterLines="50"/>
        <w:ind w:firstLine="440" w:firstLineChars="200"/>
        <w:rPr>
          <w:rFonts w:ascii="Times New Roman" w:hAnsi="Times New Roman"/>
        </w:rPr>
      </w:pPr>
    </w:p>
    <w:p w14:paraId="2357A113">
      <w:pPr>
        <w:pStyle w:val="19"/>
        <w:spacing w:before="156" w:beforeLines="50" w:after="156" w:afterLines="50"/>
        <w:ind w:firstLine="480" w:firstLineChars="200"/>
        <w:rPr>
          <w:rFonts w:ascii="Times New Roman" w:hAnsi="Times New Roman"/>
          <w:i w:val="0"/>
          <w:iCs w:val="0"/>
          <w:sz w:val="24"/>
          <w:szCs w:val="24"/>
        </w:rPr>
      </w:pPr>
      <w:r>
        <w:rPr>
          <w:rFonts w:ascii="Times New Roman" w:hAnsi="Times New Roman"/>
          <w:i w:val="0"/>
          <w:iCs w:val="0"/>
          <w:sz w:val="24"/>
          <w:szCs w:val="24"/>
        </w:rPr>
        <w:t>鉴于：</w:t>
      </w:r>
    </w:p>
    <w:p w14:paraId="42BDBF2F">
      <w:pPr>
        <w:pStyle w:val="44"/>
        <w:numPr>
          <w:ilvl w:val="0"/>
          <w:numId w:val="4"/>
        </w:numPr>
        <w:tabs>
          <w:tab w:val="left" w:pos="900"/>
          <w:tab w:val="left" w:pos="1785"/>
        </w:tabs>
        <w:spacing w:before="156" w:beforeLines="50" w:after="156" w:afterLines="50"/>
        <w:ind w:left="0" w:firstLine="480" w:firstLineChars="200"/>
        <w:rPr>
          <w:rFonts w:ascii="Times New Roman" w:hAnsi="Times New Roman"/>
        </w:rPr>
      </w:pPr>
      <w:r>
        <w:rPr>
          <w:rFonts w:ascii="Times New Roman" w:hAnsi="Times New Roman"/>
        </w:rPr>
        <w:t>委托人为依法设立并合法存续的有限责任公司，自愿将其持有的财产权利信托给受托人，设立“</w:t>
      </w:r>
      <w:r>
        <w:rPr>
          <w:rFonts w:hint="eastAsia" w:ascii="Times New Roman" w:hAnsi="Times New Roman"/>
          <w:lang w:eastAsia="zh-CN"/>
        </w:rPr>
        <w:t>XXXXX</w:t>
      </w:r>
      <w:r>
        <w:rPr>
          <w:rFonts w:ascii="Times New Roman" w:hAnsi="Times New Roman"/>
        </w:rPr>
        <w:t>”，由受托人依法对信托财产进行管理运用；</w:t>
      </w:r>
    </w:p>
    <w:p w14:paraId="4BE4D04C">
      <w:pPr>
        <w:pStyle w:val="44"/>
        <w:numPr>
          <w:ilvl w:val="0"/>
          <w:numId w:val="4"/>
        </w:numPr>
        <w:tabs>
          <w:tab w:val="left" w:pos="425"/>
          <w:tab w:val="left" w:pos="992"/>
        </w:tabs>
        <w:spacing w:before="156" w:beforeLines="50" w:after="156" w:afterLines="50"/>
        <w:ind w:left="0" w:firstLine="480" w:firstLineChars="200"/>
        <w:rPr>
          <w:rFonts w:ascii="Times New Roman" w:hAnsi="Times New Roman"/>
        </w:rPr>
      </w:pPr>
      <w:r>
        <w:rPr>
          <w:rFonts w:ascii="Times New Roman" w:hAnsi="Times New Roman"/>
        </w:rPr>
        <w:t>受托人为合格的信托业务经营机构，具备担任财产权信托受托人的资格。</w:t>
      </w:r>
    </w:p>
    <w:p w14:paraId="6AD12134">
      <w:pPr>
        <w:spacing w:before="156" w:beforeLines="50" w:after="156" w:afterLines="50"/>
        <w:ind w:firstLine="480" w:firstLineChars="200"/>
        <w:rPr>
          <w:rFonts w:ascii="Times New Roman" w:hAnsi="Times New Roman"/>
          <w:kern w:val="0"/>
        </w:rPr>
      </w:pPr>
      <w:r>
        <w:rPr>
          <w:rFonts w:ascii="Times New Roman" w:hAnsi="Times New Roman"/>
          <w:kern w:val="0"/>
        </w:rPr>
        <w:t>根据《中华人民共和国信托法》（“《信托法》”）、《中华人民共和国民法典》（“《民法典》”）、《信托公司管理办法》及其他应适用的“中国”“法律”的规定，本着平等、互利、诚实信用的原则，在充分友好协商的基础上达成本合同，以昭信守。</w:t>
      </w:r>
    </w:p>
    <w:p w14:paraId="09E333CF">
      <w:pPr>
        <w:spacing w:before="156" w:beforeLines="50" w:after="156" w:afterLines="50"/>
        <w:ind w:firstLine="480" w:firstLineChars="200"/>
        <w:rPr>
          <w:rFonts w:ascii="Times New Roman" w:hAnsi="Times New Roman"/>
          <w:kern w:val="0"/>
        </w:rPr>
      </w:pPr>
    </w:p>
    <w:p w14:paraId="713302E8">
      <w:pPr>
        <w:pStyle w:val="3"/>
        <w:numPr>
          <w:ilvl w:val="0"/>
          <w:numId w:val="5"/>
        </w:numPr>
        <w:rPr>
          <w:rFonts w:ascii="Times New Roman" w:hAnsi="Times New Roman"/>
        </w:rPr>
      </w:pPr>
      <w:bookmarkStart w:id="2" w:name="_Toc204497511"/>
      <w:bookmarkEnd w:id="2"/>
      <w:bookmarkStart w:id="3" w:name="_Toc92612901"/>
      <w:bookmarkStart w:id="4" w:name="_Toc101974043"/>
      <w:bookmarkStart w:id="5" w:name="_Toc101976668"/>
      <w:bookmarkStart w:id="6" w:name="_Toc110153411"/>
      <w:bookmarkStart w:id="7" w:name="_Toc201569372"/>
      <w:bookmarkStart w:id="8" w:name="_Toc501233653"/>
      <w:bookmarkStart w:id="9" w:name="_Toc111281763"/>
      <w:r>
        <w:rPr>
          <w:rFonts w:ascii="Times New Roman" w:hAnsi="Times New Roman"/>
        </w:rPr>
        <w:t>定义</w:t>
      </w:r>
      <w:bookmarkEnd w:id="3"/>
      <w:bookmarkEnd w:id="4"/>
      <w:bookmarkEnd w:id="5"/>
      <w:bookmarkEnd w:id="6"/>
      <w:bookmarkEnd w:id="7"/>
      <w:bookmarkEnd w:id="8"/>
      <w:bookmarkEnd w:id="9"/>
    </w:p>
    <w:p w14:paraId="08BCD8AE">
      <w:pPr>
        <w:spacing w:before="156" w:beforeLines="50" w:after="156" w:afterLines="50"/>
        <w:ind w:firstLine="480" w:firstLineChars="200"/>
        <w:rPr>
          <w:rFonts w:ascii="Times New Roman" w:hAnsi="Times New Roman"/>
          <w:bCs/>
        </w:rPr>
      </w:pPr>
      <w:r>
        <w:rPr>
          <w:rFonts w:ascii="Times New Roman" w:hAnsi="Times New Roman"/>
        </w:rPr>
        <w:t>在本合同中，除非上下文另有要求，下列词语应具有如下规定的含义</w:t>
      </w:r>
      <w:r>
        <w:rPr>
          <w:rFonts w:ascii="Times New Roman" w:hAnsi="Times New Roman"/>
          <w:bCs/>
        </w:rPr>
        <w:t>：</w:t>
      </w:r>
    </w:p>
    <w:p w14:paraId="1BAFE870">
      <w:pPr>
        <w:pStyle w:val="118"/>
        <w:numPr>
          <w:ilvl w:val="1"/>
          <w:numId w:val="6"/>
        </w:numPr>
        <w:spacing w:before="156" w:beforeLines="50" w:after="156" w:afterLines="50"/>
        <w:ind w:firstLineChars="0"/>
        <w:rPr>
          <w:rFonts w:ascii="Times New Roman" w:hAnsi="Times New Roman"/>
        </w:rPr>
      </w:pPr>
      <w:r>
        <w:rPr>
          <w:rFonts w:ascii="Times New Roman" w:hAnsi="Times New Roman"/>
        </w:rPr>
        <w:t>“本合同”/“《信托合同》”系指委托人与受托人签署的编号为【</w:t>
      </w:r>
      <w:r>
        <w:rPr>
          <w:rFonts w:hint="eastAsia" w:ascii="Times New Roman" w:hAnsi="Times New Roman"/>
          <w:lang w:eastAsia="zh-CN"/>
        </w:rPr>
        <w:t>【】</w:t>
      </w:r>
      <w:r>
        <w:rPr>
          <w:rFonts w:ascii="Times New Roman" w:hAnsi="Times New Roman"/>
        </w:rPr>
        <w:t>】的本《</w:t>
      </w:r>
      <w:r>
        <w:rPr>
          <w:rFonts w:hint="eastAsia" w:ascii="Times New Roman" w:hAnsi="Times New Roman"/>
          <w:lang w:eastAsia="zh-CN"/>
        </w:rPr>
        <w:t>XXXXX</w:t>
      </w:r>
      <w:r>
        <w:rPr>
          <w:rFonts w:ascii="Times New Roman" w:hAnsi="Times New Roman"/>
        </w:rPr>
        <w:t>之信托合同》及其附件，包括对其的任何有效修订和补充。</w:t>
      </w:r>
    </w:p>
    <w:p w14:paraId="318B01B8">
      <w:pPr>
        <w:pStyle w:val="118"/>
        <w:numPr>
          <w:ilvl w:val="1"/>
          <w:numId w:val="6"/>
        </w:numPr>
        <w:spacing w:before="156" w:beforeLines="50" w:after="156" w:afterLines="50"/>
        <w:ind w:firstLineChars="0"/>
        <w:rPr>
          <w:rFonts w:ascii="Times New Roman" w:hAnsi="Times New Roman"/>
        </w:rPr>
      </w:pPr>
      <w:r>
        <w:rPr>
          <w:rFonts w:ascii="Times New Roman" w:hAnsi="Times New Roman"/>
        </w:rPr>
        <w:t>“《风险申明书》”系指《</w:t>
      </w:r>
      <w:r>
        <w:rPr>
          <w:rFonts w:hint="eastAsia" w:ascii="Times New Roman" w:hAnsi="Times New Roman"/>
          <w:lang w:eastAsia="zh-CN"/>
        </w:rPr>
        <w:t>XXXXX</w:t>
      </w:r>
      <w:r>
        <w:rPr>
          <w:rFonts w:ascii="Times New Roman" w:hAnsi="Times New Roman"/>
        </w:rPr>
        <w:t>财产管理、运用风险申明书》，包括对其的任何有效修订和补充。</w:t>
      </w:r>
    </w:p>
    <w:p w14:paraId="0176B93B">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“信托文件”/“资产文件”系指《信托合同》及其《风险申明书》、《保管合同》、《债权转让与确认协议》、《质押合同》、《抵押合同》以及其他相关的协议和文件。</w:t>
      </w:r>
    </w:p>
    <w:p w14:paraId="041BE9CD">
      <w:pPr>
        <w:pStyle w:val="118"/>
        <w:numPr>
          <w:ilvl w:val="1"/>
          <w:numId w:val="6"/>
        </w:numPr>
        <w:spacing w:before="156" w:beforeLines="50" w:after="156" w:afterLines="50"/>
        <w:ind w:firstLineChars="0"/>
        <w:rPr>
          <w:rFonts w:ascii="Times New Roman" w:hAnsi="Times New Roman"/>
        </w:rPr>
      </w:pPr>
      <w:r>
        <w:rPr>
          <w:rFonts w:ascii="Times New Roman" w:hAnsi="Times New Roman"/>
        </w:rPr>
        <w:t>“基础合同”/“借款</w:t>
      </w:r>
      <w:r>
        <w:rPr>
          <w:rFonts w:hint="eastAsia" w:ascii="Times New Roman" w:hAnsi="Times New Roman"/>
        </w:rPr>
        <w:t>合同</w:t>
      </w:r>
      <w:r>
        <w:rPr>
          <w:rFonts w:ascii="Times New Roman" w:hAnsi="Times New Roman"/>
        </w:rPr>
        <w:t>”系指委托人与借款人签署的编号为</w:t>
      </w:r>
      <w:r>
        <w:rPr>
          <w:rFonts w:hint="eastAsia" w:ascii="Times New Roman" w:hAnsi="Times New Roman"/>
          <w:snapToGrid w:val="0"/>
          <w:kern w:val="0"/>
        </w:rPr>
        <w:t>“</w:t>
      </w:r>
      <w:r>
        <w:rPr>
          <w:rFonts w:hint="eastAsia" w:ascii="Times New Roman" w:hAnsi="Times New Roman"/>
          <w:snapToGrid w:val="0"/>
          <w:kern w:val="0"/>
          <w:lang w:eastAsia="zh-CN"/>
        </w:rPr>
        <w:t>【】</w:t>
      </w:r>
      <w:r>
        <w:rPr>
          <w:rFonts w:hint="eastAsia" w:ascii="Times New Roman" w:hAnsi="Times New Roman"/>
          <w:snapToGrid w:val="0"/>
          <w:kern w:val="0"/>
        </w:rPr>
        <w:t>”</w:t>
      </w:r>
      <w:r>
        <w:rPr>
          <w:rFonts w:ascii="Times New Roman" w:hAnsi="Times New Roman"/>
        </w:rPr>
        <w:t>的《借款</w:t>
      </w:r>
      <w:r>
        <w:rPr>
          <w:rFonts w:hint="eastAsia" w:ascii="Times New Roman" w:hAnsi="Times New Roman"/>
        </w:rPr>
        <w:t>合同</w:t>
      </w:r>
      <w:r>
        <w:rPr>
          <w:rFonts w:ascii="Times New Roman" w:hAnsi="Times New Roman"/>
        </w:rPr>
        <w:t>》及其有效修订和补充。</w:t>
      </w:r>
    </w:p>
    <w:p w14:paraId="7E8423DF">
      <w:pPr>
        <w:pStyle w:val="118"/>
        <w:numPr>
          <w:ilvl w:val="1"/>
          <w:numId w:val="6"/>
        </w:numPr>
        <w:spacing w:before="156" w:beforeLines="50" w:after="156" w:afterLines="50"/>
        <w:ind w:firstLineChars="0"/>
        <w:rPr>
          <w:rFonts w:ascii="Times New Roman" w:hAnsi="Times New Roman"/>
        </w:rPr>
      </w:pPr>
      <w:r>
        <w:rPr>
          <w:rFonts w:ascii="Times New Roman" w:hAnsi="Times New Roman"/>
        </w:rPr>
        <w:t>“《债权转让与确认协议》”系指受托人与委托人与借款人签署的编号为【】的《</w:t>
      </w:r>
      <w:r>
        <w:rPr>
          <w:rFonts w:hint="eastAsia" w:ascii="Times New Roman" w:hAnsi="Times New Roman"/>
          <w:lang w:eastAsia="zh-CN"/>
        </w:rPr>
        <w:t>XXXXX</w:t>
      </w:r>
      <w:r>
        <w:rPr>
          <w:rFonts w:ascii="Times New Roman" w:hAnsi="Times New Roman"/>
        </w:rPr>
        <w:t>之债权转让与确认协议》（简称“《债权转让与确认协议》”）及其有效修订和补充。</w:t>
      </w:r>
    </w:p>
    <w:p w14:paraId="02433022">
      <w:pPr>
        <w:pStyle w:val="118"/>
        <w:numPr>
          <w:ilvl w:val="1"/>
          <w:numId w:val="6"/>
        </w:numPr>
        <w:spacing w:before="156" w:beforeLines="50" w:after="156" w:afterLines="50"/>
        <w:ind w:firstLineChars="0"/>
        <w:rPr>
          <w:rFonts w:ascii="Times New Roman" w:hAnsi="Times New Roman"/>
        </w:rPr>
      </w:pPr>
      <w:r>
        <w:rPr>
          <w:rFonts w:ascii="Times New Roman" w:hAnsi="Times New Roman"/>
        </w:rPr>
        <w:t>“《质押合同》”系指受托人(代表信托)与出质人签署的编号为【】的《</w:t>
      </w:r>
      <w:r>
        <w:rPr>
          <w:rFonts w:hint="eastAsia" w:ascii="Times New Roman" w:hAnsi="Times New Roman"/>
          <w:lang w:eastAsia="zh-CN"/>
        </w:rPr>
        <w:t>XXXXX</w:t>
      </w:r>
      <w:r>
        <w:rPr>
          <w:rFonts w:ascii="Times New Roman" w:hAnsi="Times New Roman"/>
        </w:rPr>
        <w:t>之质押合同》（简称“《质押合同》”）及其有效修订和补充。</w:t>
      </w:r>
    </w:p>
    <w:p w14:paraId="074DABB5">
      <w:pPr>
        <w:pStyle w:val="118"/>
        <w:numPr>
          <w:ilvl w:val="1"/>
          <w:numId w:val="6"/>
        </w:numPr>
        <w:spacing w:before="156" w:beforeLines="50" w:after="156" w:afterLines="50"/>
        <w:ind w:firstLineChars="0"/>
        <w:rPr>
          <w:rFonts w:ascii="Times New Roman" w:hAnsi="Times New Roman"/>
        </w:rPr>
      </w:pPr>
      <w:r>
        <w:rPr>
          <w:rFonts w:ascii="Times New Roman" w:hAnsi="Times New Roman"/>
        </w:rPr>
        <w:t>“《抵押合同》”系指受托人(代表信托)与抵押人签署的编号为【】的《</w:t>
      </w:r>
      <w:r>
        <w:rPr>
          <w:rFonts w:hint="eastAsia" w:ascii="Times New Roman" w:hAnsi="Times New Roman"/>
          <w:lang w:eastAsia="zh-CN"/>
        </w:rPr>
        <w:t>XXXXX</w:t>
      </w:r>
      <w:r>
        <w:rPr>
          <w:rFonts w:ascii="Times New Roman" w:hAnsi="Times New Roman"/>
        </w:rPr>
        <w:t>之抵押合同》（简称“《抵押合同》”）及其有效修订和补充。</w:t>
      </w:r>
    </w:p>
    <w:p w14:paraId="7B64215F">
      <w:pPr>
        <w:pStyle w:val="118"/>
        <w:numPr>
          <w:ilvl w:val="1"/>
          <w:numId w:val="6"/>
        </w:numPr>
        <w:spacing w:before="156" w:beforeLines="50" w:after="156" w:afterLines="50"/>
        <w:ind w:firstLineChars="0"/>
        <w:rPr>
          <w:rFonts w:ascii="Times New Roman" w:hAnsi="Times New Roman"/>
        </w:rPr>
      </w:pPr>
      <w:r>
        <w:rPr>
          <w:rFonts w:ascii="Times New Roman" w:hAnsi="Times New Roman"/>
        </w:rPr>
        <w:t>“物权担保合同”系指《质押合同》和《抵押合同》的单称或合称，视上下文义而定。</w:t>
      </w:r>
    </w:p>
    <w:p w14:paraId="620F5F26">
      <w:pPr>
        <w:pStyle w:val="118"/>
        <w:numPr>
          <w:ilvl w:val="1"/>
          <w:numId w:val="6"/>
        </w:numPr>
        <w:spacing w:before="156" w:beforeLines="50" w:after="156" w:afterLines="50"/>
        <w:ind w:firstLineChars="0"/>
        <w:rPr>
          <w:rFonts w:ascii="Times New Roman" w:hAnsi="Times New Roman"/>
        </w:rPr>
      </w:pPr>
      <w:r>
        <w:rPr>
          <w:rFonts w:ascii="Times New Roman" w:hAnsi="Times New Roman"/>
        </w:rPr>
        <w:t>“《保管合同》”系指受托人(代表信托)与保管人签署的编号为【】的《</w:t>
      </w:r>
      <w:r>
        <w:rPr>
          <w:rFonts w:hint="eastAsia" w:ascii="Times New Roman" w:hAnsi="Times New Roman"/>
          <w:lang w:eastAsia="zh-CN"/>
        </w:rPr>
        <w:t>XXXXX</w:t>
      </w:r>
      <w:r>
        <w:rPr>
          <w:rFonts w:ascii="Times New Roman" w:hAnsi="Times New Roman"/>
        </w:rPr>
        <w:t>之保管合同》及其有效修订和补充。</w:t>
      </w:r>
    </w:p>
    <w:p w14:paraId="01884A59">
      <w:pPr>
        <w:pStyle w:val="118"/>
        <w:numPr>
          <w:ilvl w:val="1"/>
          <w:numId w:val="6"/>
        </w:numPr>
        <w:spacing w:before="156" w:beforeLines="50" w:after="156" w:afterLines="50"/>
        <w:ind w:firstLineChars="0"/>
        <w:rPr>
          <w:rFonts w:ascii="Times New Roman" w:hAnsi="Times New Roman"/>
        </w:rPr>
      </w:pPr>
      <w:r>
        <w:rPr>
          <w:rFonts w:ascii="Times New Roman" w:hAnsi="Times New Roman"/>
        </w:rPr>
        <w:t>“《监管协议》”系指</w:t>
      </w:r>
      <w:r>
        <w:rPr>
          <w:rFonts w:hint="eastAsia" w:ascii="Times New Roman" w:hAnsi="Times New Roman"/>
        </w:rPr>
        <w:t>管理人</w:t>
      </w:r>
      <w:r>
        <w:rPr>
          <w:rFonts w:ascii="Times New Roman" w:hAnsi="Times New Roman"/>
        </w:rPr>
        <w:t>、监管银行与物业持有人签署的编号为【</w:t>
      </w:r>
      <w:r>
        <w:rPr>
          <w:rFonts w:hint="eastAsia" w:ascii="Times New Roman" w:hAnsi="Times New Roman"/>
        </w:rPr>
        <w:t xml:space="preserve"> </w:t>
      </w:r>
      <w:r>
        <w:rPr>
          <w:rFonts w:ascii="Times New Roman" w:hAnsi="Times New Roman"/>
        </w:rPr>
        <w:t xml:space="preserve">               】的《</w:t>
      </w:r>
      <w:r>
        <w:rPr>
          <w:rFonts w:hint="eastAsia" w:ascii="Times New Roman" w:hAnsi="Times New Roman"/>
          <w:lang w:eastAsia="zh-CN"/>
        </w:rPr>
        <w:t>【】</w:t>
      </w:r>
      <w:r>
        <w:rPr>
          <w:rFonts w:hint="eastAsia" w:ascii="Times New Roman" w:hAnsi="Times New Roman"/>
        </w:rPr>
        <w:t>资产支持专项计划监管协议</w:t>
      </w:r>
      <w:r>
        <w:rPr>
          <w:rFonts w:ascii="Times New Roman" w:hAnsi="Times New Roman"/>
        </w:rPr>
        <w:t>》及其有效修订和补充。</w:t>
      </w:r>
    </w:p>
    <w:p w14:paraId="2E7A6B78">
      <w:pPr>
        <w:pStyle w:val="118"/>
        <w:numPr>
          <w:ilvl w:val="1"/>
          <w:numId w:val="6"/>
        </w:numPr>
        <w:spacing w:before="156" w:beforeLines="50" w:after="156" w:afterLines="50"/>
        <w:ind w:firstLineChars="0"/>
        <w:rPr>
          <w:rFonts w:ascii="Times New Roman" w:hAnsi="Times New Roman"/>
        </w:rPr>
      </w:pPr>
      <w:r>
        <w:rPr>
          <w:rFonts w:ascii="Times New Roman" w:hAnsi="Times New Roman"/>
        </w:rPr>
        <w:t>《标准条款》系指管理人为规范专项计划的设立和运作而制订的《</w:t>
      </w:r>
      <w:r>
        <w:rPr>
          <w:rFonts w:hint="eastAsia" w:ascii="Times New Roman" w:hAnsi="Times New Roman"/>
          <w:lang w:eastAsia="zh-CN"/>
        </w:rPr>
        <w:t>【】</w:t>
      </w:r>
      <w:r>
        <w:rPr>
          <w:rFonts w:ascii="Times New Roman" w:hAnsi="Times New Roman"/>
        </w:rPr>
        <w:t>资产支持专项计划标准条款》。</w:t>
      </w:r>
    </w:p>
    <w:p w14:paraId="0CACC766">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“信托”系指依照受托人与委托人签署的《信托合同》设立的</w:t>
      </w:r>
      <w:r>
        <w:rPr>
          <w:rFonts w:hint="eastAsia" w:ascii="Times New Roman" w:hAnsi="Times New Roman"/>
          <w:lang w:eastAsia="zh-CN"/>
        </w:rPr>
        <w:t>XXXXX</w:t>
      </w:r>
      <w:r>
        <w:rPr>
          <w:rFonts w:ascii="Times New Roman" w:hAnsi="Times New Roman"/>
        </w:rPr>
        <w:t>。</w:t>
      </w:r>
    </w:p>
    <w:p w14:paraId="2E2DDCDF">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“信托财产”系指受托人因承诺信托而取得的财产，包括货币形式的财产以及非货币形式的财产。受托人因信托财产的管理、运用、处分或者其他情形而取得的财产，也归入信托财产。</w:t>
      </w:r>
    </w:p>
    <w:p w14:paraId="1F30777F">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“信托收入”系指受托人在管理、运用或处分信托财产过程中产生的收入。</w:t>
      </w:r>
    </w:p>
    <w:p w14:paraId="60D97DA6">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“信托收益”系指信托收入扣除本合同约定的信托费用后的余额。</w:t>
      </w:r>
    </w:p>
    <w:p w14:paraId="47D00DA3">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“信托利益”系指受益人按照《信托合同》约定享有信托受益权而获得的利益。</w:t>
      </w:r>
    </w:p>
    <w:p w14:paraId="3ED5FEE7">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“信托受益权”系指《信托合同》项下（i）由受益人享有的一切权利，包括但不限于取得受托人分配的信托利益的权利；及(ii)由委托人享 有及承担的一切权利的统称。</w:t>
      </w:r>
    </w:p>
    <w:p w14:paraId="610ED375">
      <w:pPr>
        <w:pStyle w:val="118"/>
        <w:numPr>
          <w:ilvl w:val="1"/>
          <w:numId w:val="6"/>
        </w:numPr>
        <w:spacing w:before="156" w:beforeLines="50" w:after="156" w:afterLines="50"/>
        <w:ind w:firstLineChars="0"/>
        <w:rPr>
          <w:rFonts w:ascii="Times New Roman" w:hAnsi="Times New Roman"/>
        </w:rPr>
      </w:pPr>
      <w:r>
        <w:rPr>
          <w:rFonts w:ascii="Times New Roman" w:hAnsi="Times New Roman"/>
        </w:rPr>
        <w:t>“受益人”系指合法持有信托受益权的自然人、法人或者依法成立的其他组织。信托成立时委托人为初始受益人；信托成立后信托受益权发生转让的，受益人为通过受让或其他合法方式取得信托受益权的人。</w:t>
      </w:r>
    </w:p>
    <w:p w14:paraId="4861564F">
      <w:pPr>
        <w:pStyle w:val="118"/>
        <w:numPr>
          <w:ilvl w:val="1"/>
          <w:numId w:val="6"/>
        </w:numPr>
        <w:spacing w:before="156" w:beforeLines="50" w:after="156" w:afterLines="50"/>
        <w:ind w:firstLineChars="0"/>
        <w:rPr>
          <w:rFonts w:ascii="Times New Roman" w:hAnsi="Times New Roman"/>
        </w:rPr>
      </w:pPr>
      <w:r>
        <w:rPr>
          <w:rFonts w:ascii="Times New Roman" w:hAnsi="Times New Roman"/>
        </w:rPr>
        <w:t>“委托人”/“</w:t>
      </w:r>
      <w:r>
        <w:rPr>
          <w:rFonts w:hint="eastAsia" w:ascii="Times New Roman" w:hAnsi="Times New Roman"/>
          <w:lang w:eastAsia="zh-CN"/>
        </w:rPr>
        <w:t>【】</w:t>
      </w:r>
      <w:r>
        <w:rPr>
          <w:rFonts w:ascii="Times New Roman" w:hAnsi="Times New Roman"/>
        </w:rPr>
        <w:t>”系指</w:t>
      </w:r>
      <w:r>
        <w:rPr>
          <w:rFonts w:hint="eastAsia" w:ascii="Times New Roman" w:hAnsi="Times New Roman"/>
          <w:lang w:eastAsia="zh-CN"/>
        </w:rPr>
        <w:t>【】</w:t>
      </w:r>
      <w:r>
        <w:rPr>
          <w:rFonts w:ascii="Times New Roman" w:hAnsi="Times New Roman"/>
        </w:rPr>
        <w:t>。</w:t>
      </w:r>
    </w:p>
    <w:p w14:paraId="551DC6A7">
      <w:pPr>
        <w:pStyle w:val="118"/>
        <w:numPr>
          <w:ilvl w:val="1"/>
          <w:numId w:val="6"/>
        </w:numPr>
        <w:spacing w:before="156" w:beforeLines="50" w:after="156" w:afterLines="50"/>
        <w:ind w:firstLineChars="0"/>
        <w:rPr>
          <w:rFonts w:ascii="Times New Roman" w:hAnsi="Times New Roman"/>
        </w:rPr>
      </w:pPr>
      <w:r>
        <w:rPr>
          <w:rFonts w:ascii="Times New Roman" w:hAnsi="Times New Roman"/>
        </w:rPr>
        <w:t>“受托人”/“昆仑信托”系指</w:t>
      </w:r>
      <w:r>
        <w:rPr>
          <w:rFonts w:hint="eastAsia" w:ascii="Times New Roman" w:hAnsi="Times New Roman"/>
          <w:lang w:eastAsia="zh-CN"/>
        </w:rPr>
        <w:t>XXXXX</w:t>
      </w:r>
      <w:r>
        <w:rPr>
          <w:rFonts w:ascii="Times New Roman" w:hAnsi="Times New Roman"/>
        </w:rPr>
        <w:t>。</w:t>
      </w:r>
    </w:p>
    <w:p w14:paraId="01E0BA52">
      <w:pPr>
        <w:pStyle w:val="118"/>
        <w:numPr>
          <w:ilvl w:val="1"/>
          <w:numId w:val="6"/>
        </w:numPr>
        <w:spacing w:before="156" w:beforeLines="50" w:after="156" w:afterLines="50"/>
        <w:ind w:firstLineChars="0"/>
        <w:rPr>
          <w:rFonts w:ascii="Times New Roman" w:hAnsi="Times New Roman"/>
        </w:rPr>
      </w:pPr>
      <w:r>
        <w:rPr>
          <w:rFonts w:ascii="Times New Roman" w:hAnsi="Times New Roman"/>
        </w:rPr>
        <w:t>“物业持有人”/“借款人”/“抵押人”/“出质人”/“</w:t>
      </w:r>
      <w:r>
        <w:rPr>
          <w:rFonts w:hint="eastAsia" w:ascii="Times New Roman" w:hAnsi="Times New Roman"/>
          <w:lang w:eastAsia="zh-CN"/>
        </w:rPr>
        <w:t>【】</w:t>
      </w:r>
      <w:r>
        <w:rPr>
          <w:rFonts w:ascii="Times New Roman" w:hAnsi="Times New Roman"/>
        </w:rPr>
        <w:t>”系指</w:t>
      </w:r>
      <w:r>
        <w:rPr>
          <w:rFonts w:hint="eastAsia" w:ascii="Times New Roman" w:hAnsi="Times New Roman"/>
          <w:lang w:eastAsia="zh-CN"/>
        </w:rPr>
        <w:t>【】</w:t>
      </w:r>
      <w:r>
        <w:rPr>
          <w:rFonts w:ascii="Times New Roman" w:hAnsi="Times New Roman"/>
        </w:rPr>
        <w:t>。</w:t>
      </w:r>
    </w:p>
    <w:p w14:paraId="0B4A7BA2">
      <w:pPr>
        <w:pStyle w:val="118"/>
        <w:numPr>
          <w:ilvl w:val="1"/>
          <w:numId w:val="6"/>
        </w:numPr>
        <w:spacing w:before="156" w:beforeLines="50" w:after="156" w:afterLines="50"/>
        <w:ind w:firstLineChars="0"/>
        <w:rPr>
          <w:rFonts w:ascii="Times New Roman" w:hAnsi="Times New Roman"/>
        </w:rPr>
      </w:pPr>
      <w:r>
        <w:rPr>
          <w:rFonts w:ascii="Times New Roman" w:hAnsi="Times New Roman"/>
        </w:rPr>
        <w:t>“保管人”系指</w:t>
      </w:r>
      <w:r>
        <w:rPr>
          <w:rFonts w:hint="eastAsia" w:ascii="Times New Roman" w:hAnsi="Times New Roman"/>
          <w:lang w:eastAsia="zh-CN"/>
        </w:rPr>
        <w:t>【】</w:t>
      </w:r>
      <w:r>
        <w:rPr>
          <w:rFonts w:ascii="Times New Roman" w:hAnsi="Times New Roman"/>
        </w:rPr>
        <w:t>。</w:t>
      </w:r>
    </w:p>
    <w:p w14:paraId="69CAE966">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lang w:eastAsia="zh-CN"/>
        </w:rPr>
        <w:t>【】</w:t>
      </w:r>
      <w:r>
        <w:rPr>
          <w:rFonts w:ascii="Times New Roman" w:hAnsi="Times New Roman"/>
        </w:rPr>
        <w:t>”/“管理人”系指</w:t>
      </w:r>
      <w:r>
        <w:rPr>
          <w:rFonts w:hint="eastAsia" w:ascii="Times New Roman" w:hAnsi="Times New Roman"/>
          <w:lang w:eastAsia="zh-CN"/>
        </w:rPr>
        <w:t>【】</w:t>
      </w:r>
      <w:r>
        <w:rPr>
          <w:rFonts w:ascii="Times New Roman" w:hAnsi="Times New Roman"/>
        </w:rPr>
        <w:t>，或根据《标准条款》任命的作为专项计划管理人的继任机构。</w:t>
      </w:r>
    </w:p>
    <w:p w14:paraId="1EF62080">
      <w:pPr>
        <w:pStyle w:val="118"/>
        <w:numPr>
          <w:ilvl w:val="1"/>
          <w:numId w:val="6"/>
        </w:numPr>
        <w:spacing w:before="156" w:beforeLines="50" w:after="156" w:afterLines="50"/>
        <w:ind w:firstLineChars="0"/>
        <w:rPr>
          <w:rFonts w:ascii="Times New Roman" w:hAnsi="Times New Roman"/>
        </w:rPr>
      </w:pPr>
      <w:r>
        <w:rPr>
          <w:rFonts w:ascii="Times New Roman" w:hAnsi="Times New Roman"/>
        </w:rPr>
        <w:t>“专项计划”系指由管理人设立并管理的“</w:t>
      </w:r>
      <w:r>
        <w:rPr>
          <w:rFonts w:hint="eastAsia" w:ascii="Times New Roman" w:hAnsi="Times New Roman"/>
          <w:lang w:eastAsia="zh-CN"/>
        </w:rPr>
        <w:t>【】</w:t>
      </w:r>
      <w:r>
        <w:rPr>
          <w:rFonts w:ascii="Times New Roman" w:hAnsi="Times New Roman"/>
        </w:rPr>
        <w:t>资产支持专项计划”。</w:t>
      </w:r>
    </w:p>
    <w:p w14:paraId="66DBF6BF">
      <w:pPr>
        <w:pStyle w:val="118"/>
        <w:numPr>
          <w:ilvl w:val="1"/>
          <w:numId w:val="6"/>
        </w:numPr>
        <w:spacing w:before="156" w:beforeLines="50" w:after="156" w:afterLines="50"/>
        <w:ind w:firstLineChars="0"/>
        <w:rPr>
          <w:rFonts w:ascii="Times New Roman" w:hAnsi="Times New Roman"/>
        </w:rPr>
      </w:pPr>
      <w:r>
        <w:rPr>
          <w:rFonts w:ascii="Times New Roman" w:hAnsi="Times New Roman"/>
        </w:rPr>
        <w:t>“监管银行”系指根据《监管协议》为监管账户提供监管服务的</w:t>
      </w:r>
      <w:r>
        <w:rPr>
          <w:rFonts w:hint="eastAsia" w:ascii="Times New Roman" w:hAnsi="Times New Roman"/>
          <w:lang w:eastAsia="zh-CN"/>
        </w:rPr>
        <w:t>【】</w:t>
      </w:r>
      <w:r>
        <w:rPr>
          <w:rFonts w:ascii="Times New Roman" w:hAnsi="Times New Roman"/>
        </w:rPr>
        <w:t>或其继任机构。</w:t>
      </w:r>
    </w:p>
    <w:p w14:paraId="53474380">
      <w:pPr>
        <w:pStyle w:val="118"/>
        <w:numPr>
          <w:ilvl w:val="1"/>
          <w:numId w:val="6"/>
        </w:numPr>
        <w:spacing w:before="156" w:beforeLines="50" w:after="156" w:afterLines="50"/>
        <w:ind w:firstLineChars="0"/>
        <w:rPr>
          <w:rFonts w:ascii="Times New Roman" w:hAnsi="Times New Roman"/>
        </w:rPr>
      </w:pPr>
      <w:r>
        <w:rPr>
          <w:rFonts w:ascii="Times New Roman" w:hAnsi="Times New Roman"/>
        </w:rPr>
        <w:t>“《受益人指令》”系指受益人在信托存续期限内，就信托财产的运用以及其它信托事务，向受托人发送的书面通知。</w:t>
      </w:r>
    </w:p>
    <w:p w14:paraId="58C9E5C6">
      <w:pPr>
        <w:pStyle w:val="118"/>
        <w:numPr>
          <w:ilvl w:val="1"/>
          <w:numId w:val="6"/>
        </w:numPr>
        <w:spacing w:before="156" w:beforeLines="50" w:after="156" w:afterLines="50"/>
        <w:ind w:firstLineChars="0"/>
        <w:rPr>
          <w:rFonts w:ascii="Times New Roman" w:hAnsi="Times New Roman"/>
        </w:rPr>
      </w:pPr>
      <w:r>
        <w:rPr>
          <w:rFonts w:ascii="Times New Roman" w:hAnsi="Times New Roman"/>
        </w:rPr>
        <w:t>“抵押物”/“物业资产”/“目标资产</w:t>
      </w:r>
      <w:r>
        <w:rPr>
          <w:rFonts w:hint="eastAsia" w:ascii="Times New Roman" w:hAnsi="Times New Roman"/>
        </w:rPr>
        <w:t>”</w:t>
      </w:r>
      <w:r>
        <w:rPr>
          <w:rFonts w:ascii="Times New Roman" w:hAnsi="Times New Roman"/>
        </w:rPr>
        <w:t>/</w:t>
      </w:r>
      <w:r>
        <w:rPr>
          <w:rFonts w:hint="eastAsia" w:ascii="Times New Roman" w:hAnsi="Times New Roman"/>
          <w:lang w:eastAsia="zh-CN"/>
        </w:rPr>
        <w:t>【】</w:t>
      </w:r>
      <w:r>
        <w:rPr>
          <w:rFonts w:hint="eastAsia" w:ascii="Times New Roman" w:hAnsi="Times New Roman"/>
        </w:rPr>
        <w:t>系指</w:t>
      </w:r>
      <w:r>
        <w:rPr>
          <w:rFonts w:ascii="Times New Roman" w:hAnsi="Times New Roman"/>
        </w:rPr>
        <w:t>物业持有人持有的</w:t>
      </w:r>
      <w:r>
        <w:rPr>
          <w:rFonts w:hint="eastAsia" w:ascii="Times New Roman" w:hAnsi="Times New Roman"/>
          <w:lang w:eastAsia="zh-CN"/>
        </w:rPr>
        <w:t>【】</w:t>
      </w:r>
      <w:r>
        <w:rPr>
          <w:rFonts w:hint="eastAsia" w:ascii="Times New Roman" w:hAnsi="Times New Roman"/>
        </w:rPr>
        <w:t>房屋所有权及其土地使用权。</w:t>
      </w:r>
      <w:r>
        <w:rPr>
          <w:rFonts w:ascii="Times New Roman" w:hAnsi="Times New Roman"/>
        </w:rPr>
        <w:t>(</w:t>
      </w:r>
      <w:r>
        <w:rPr>
          <w:rFonts w:hint="eastAsia" w:ascii="Times New Roman" w:hAnsi="Times New Roman"/>
        </w:rPr>
        <w:t>具体见《抵押合同》附件抵押财产清单</w:t>
      </w:r>
      <w:r>
        <w:rPr>
          <w:rFonts w:ascii="Times New Roman" w:hAnsi="Times New Roman"/>
        </w:rPr>
        <w:t>)</w:t>
      </w:r>
    </w:p>
    <w:p w14:paraId="30C5AB9D">
      <w:pPr>
        <w:pStyle w:val="118"/>
        <w:numPr>
          <w:ilvl w:val="1"/>
          <w:numId w:val="6"/>
        </w:numPr>
        <w:spacing w:before="156" w:beforeLines="50" w:after="156" w:afterLines="50"/>
        <w:ind w:firstLineChars="0"/>
        <w:rPr>
          <w:rFonts w:ascii="Times New Roman" w:hAnsi="Times New Roman"/>
        </w:rPr>
      </w:pPr>
      <w:r>
        <w:rPr>
          <w:rFonts w:ascii="Times New Roman" w:hAnsi="Times New Roman"/>
        </w:rPr>
        <w:t>“质押物”/“质押财产”/“</w:t>
      </w:r>
      <w:bookmarkStart w:id="10" w:name="OLE_LINK5"/>
      <w:r>
        <w:rPr>
          <w:rFonts w:ascii="Times New Roman" w:hAnsi="Times New Roman"/>
        </w:rPr>
        <w:t>物业运营收入</w:t>
      </w:r>
      <w:bookmarkEnd w:id="10"/>
      <w:r>
        <w:rPr>
          <w:rFonts w:ascii="Times New Roman" w:hAnsi="Times New Roman"/>
        </w:rPr>
        <w:t>”系指物业持有人基于目标资产获得的全部经营收入，包括但不限于酒店客房收入、酒店餐饮收入及其他合法收入。</w:t>
      </w:r>
    </w:p>
    <w:p w14:paraId="55EB901F">
      <w:pPr>
        <w:pStyle w:val="118"/>
        <w:numPr>
          <w:ilvl w:val="1"/>
          <w:numId w:val="6"/>
        </w:numPr>
        <w:spacing w:before="156" w:beforeLines="50" w:after="156" w:afterLines="50"/>
        <w:ind w:firstLineChars="0"/>
        <w:rPr>
          <w:rFonts w:ascii="Times New Roman" w:hAnsi="Times New Roman"/>
        </w:rPr>
      </w:pPr>
      <w:r>
        <w:rPr>
          <w:rFonts w:ascii="Times New Roman" w:hAnsi="Times New Roman"/>
        </w:rPr>
        <w:t>“必备金额”系指根据《债权转让与确认协议》，借款人在每个半年度标的债权还款日和年度标的债权还款日应付的标的债权本金及利息数额之和，以受托人向借款人发送的</w:t>
      </w:r>
      <w:r>
        <w:rPr>
          <w:snapToGrid w:val="0"/>
          <w:kern w:val="0"/>
        </w:rPr>
        <w:t>载明必备金额的</w:t>
      </w:r>
      <w:r>
        <w:rPr>
          <w:rFonts w:ascii="Times New Roman" w:hAnsi="Times New Roman"/>
        </w:rPr>
        <w:t>《还本付息通知书》（格式见《债权转让与确认协议》附件）为准。受托人将在信托设立后30个工作日内向借款人发送《还本付息通知书》，并于每个半年度还款日后30个工作日内向借款人发送更新后的</w:t>
      </w:r>
      <w:bookmarkStart w:id="11" w:name="_Hlk116484315"/>
      <w:r>
        <w:rPr>
          <w:rFonts w:ascii="Times New Roman" w:hAnsi="Times New Roman"/>
        </w:rPr>
        <w:t>《还本付息通知书》</w:t>
      </w:r>
      <w:bookmarkEnd w:id="11"/>
      <w:r>
        <w:rPr>
          <w:rFonts w:hint="eastAsia" w:ascii="Times New Roman" w:hAnsi="Times New Roman"/>
        </w:rPr>
        <w:t>；</w:t>
      </w:r>
      <w:r>
        <w:rPr>
          <w:rFonts w:ascii="Times New Roman" w:hAnsi="Times New Roman"/>
        </w:rPr>
        <w:t>《还本付息通知书》</w:t>
      </w:r>
      <w:r>
        <w:rPr>
          <w:rFonts w:hint="eastAsia" w:ascii="Times New Roman" w:hAnsi="Times New Roman"/>
        </w:rPr>
        <w:t>应同时抄送受益人</w:t>
      </w:r>
      <w:r>
        <w:rPr>
          <w:rFonts w:ascii="Times New Roman" w:hAnsi="Times New Roman"/>
        </w:rPr>
        <w:t>。</w:t>
      </w:r>
    </w:p>
    <w:p w14:paraId="06F8AD68">
      <w:pPr>
        <w:pStyle w:val="118"/>
        <w:numPr>
          <w:ilvl w:val="1"/>
          <w:numId w:val="6"/>
        </w:numPr>
        <w:spacing w:before="156" w:beforeLines="50" w:after="156" w:afterLines="50"/>
        <w:ind w:firstLineChars="0"/>
        <w:rPr>
          <w:rFonts w:ascii="Times New Roman" w:hAnsi="Times New Roman"/>
        </w:rPr>
      </w:pPr>
      <w:r>
        <w:rPr>
          <w:rFonts w:ascii="Times New Roman" w:hAnsi="Times New Roman"/>
        </w:rPr>
        <w:t>“标的债权”</w:t>
      </w:r>
      <w:r>
        <w:rPr>
          <w:rFonts w:hint="eastAsia" w:ascii="Times New Roman" w:hAnsi="Times New Roman"/>
        </w:rPr>
        <w:t>系指委托人在《借款合同》及《债权转让与确认协议》项下对借款人享有的，并交付给受托人用于设立信托的债权及与该等债权相关的一切附属权利（如有），标的债权本金余额为【】亿元</w:t>
      </w:r>
      <w:r>
        <w:rPr>
          <w:rFonts w:ascii="Times New Roman" w:hAnsi="Times New Roman"/>
        </w:rPr>
        <w:t>。</w:t>
      </w:r>
    </w:p>
    <w:p w14:paraId="54DF7C00">
      <w:pPr>
        <w:pStyle w:val="118"/>
        <w:numPr>
          <w:ilvl w:val="1"/>
          <w:numId w:val="6"/>
        </w:numPr>
        <w:spacing w:before="156" w:beforeLines="50" w:after="156" w:afterLines="50"/>
        <w:ind w:firstLineChars="0"/>
        <w:rPr>
          <w:rFonts w:ascii="Times New Roman" w:hAnsi="Times New Roman"/>
        </w:rPr>
      </w:pPr>
      <w:r>
        <w:rPr>
          <w:rFonts w:ascii="Times New Roman" w:hAnsi="Times New Roman"/>
        </w:rPr>
        <w:t>“监管账户”系指</w:t>
      </w:r>
      <w:r>
        <w:rPr>
          <w:rFonts w:hint="eastAsia" w:ascii="Times New Roman" w:hAnsi="Times New Roman"/>
        </w:rPr>
        <w:t>借款人在监管银行开立的用于接收自运营收款账户转付的物业运营收入的人民币资金账户</w:t>
      </w:r>
      <w:r>
        <w:rPr>
          <w:rFonts w:ascii="Times New Roman" w:hAnsi="Times New Roman"/>
        </w:rPr>
        <w:t>。</w:t>
      </w:r>
    </w:p>
    <w:p w14:paraId="66B7CD92">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运营收款账户</w:t>
      </w:r>
      <w:r>
        <w:rPr>
          <w:rFonts w:ascii="Times New Roman" w:hAnsi="Times New Roman"/>
        </w:rPr>
        <w:t>”</w:t>
      </w:r>
      <w:r>
        <w:rPr>
          <w:rFonts w:hint="eastAsia" w:ascii="Times New Roman" w:hAnsi="Times New Roman"/>
        </w:rPr>
        <w:t>系指借款人用于收取目标资产项下物业运营收入的银行账户。</w:t>
      </w:r>
    </w:p>
    <w:p w14:paraId="17F257E2">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“信托账户”</w:t>
      </w:r>
      <w:r>
        <w:rPr>
          <w:rFonts w:hint="eastAsia" w:ascii="Times New Roman" w:hAnsi="Times New Roman"/>
        </w:rPr>
        <w:t>/</w:t>
      </w:r>
      <w:r>
        <w:rPr>
          <w:rFonts w:ascii="Times New Roman" w:hAnsi="Times New Roman"/>
        </w:rPr>
        <w:t>“</w:t>
      </w:r>
      <w:r>
        <w:rPr>
          <w:rFonts w:hint="eastAsia" w:ascii="Times New Roman" w:hAnsi="Times New Roman"/>
        </w:rPr>
        <w:t>信托专户</w:t>
      </w:r>
      <w:r>
        <w:rPr>
          <w:rFonts w:ascii="Times New Roman" w:hAnsi="Times New Roman"/>
        </w:rPr>
        <w:t>”系指</w:t>
      </w:r>
      <w:r>
        <w:rPr>
          <w:rStyle w:val="132"/>
          <w:rFonts w:ascii="Times New Roman" w:hAnsi="Times New Roman" w:eastAsia="楷体"/>
          <w:sz w:val="24"/>
          <w:szCs w:val="24"/>
        </w:rPr>
        <w:t>受托人在保管人处专为信托开立的账户。</w:t>
      </w:r>
      <w:r>
        <w:rPr>
          <w:rFonts w:ascii="Times New Roman" w:hAnsi="Times New Roman"/>
        </w:rPr>
        <w:t>该账户用于存放信托资金、接收信托投资收益、接收从监管账户划付的款项、接收因行使抵押权与质押权取得的相应款项、支付信托利益、支付信托费用以及与信托项目相关的税费等。</w:t>
      </w:r>
    </w:p>
    <w:p w14:paraId="288642B6">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“信托利益分配账户”系指受益人指定的用于接收受托人分配的信托利益的银行账户。管理人(代表专项计划)作为受益人指定专项计划账户为信托利益分配账户。</w:t>
      </w:r>
    </w:p>
    <w:p w14:paraId="2BBCEBDE">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“信托生效日”系指受托人根据本合同宣布“</w:t>
      </w:r>
      <w:r>
        <w:rPr>
          <w:rFonts w:hint="eastAsia" w:ascii="Times New Roman" w:hAnsi="Times New Roman"/>
          <w:lang w:eastAsia="zh-CN"/>
        </w:rPr>
        <w:t>XXXXX</w:t>
      </w:r>
      <w:r>
        <w:rPr>
          <w:rFonts w:ascii="Times New Roman" w:hAnsi="Times New Roman"/>
        </w:rPr>
        <w:t xml:space="preserve">"成立之日，即【 </w:t>
      </w:r>
      <w:r>
        <w:rPr>
          <w:rFonts w:hint="eastAsia" w:ascii="Times New Roman" w:hAnsi="Times New Roman"/>
        </w:rPr>
        <w:t xml:space="preserve">  </w:t>
      </w:r>
      <w:r>
        <w:rPr>
          <w:rFonts w:ascii="Times New Roman" w:hAnsi="Times New Roman"/>
        </w:rPr>
        <w:t>】年【</w:t>
      </w:r>
      <w:r>
        <w:rPr>
          <w:rFonts w:hint="eastAsia" w:ascii="Times New Roman" w:hAnsi="Times New Roman"/>
        </w:rPr>
        <w:t xml:space="preserve">  </w:t>
      </w:r>
      <w:r>
        <w:rPr>
          <w:rFonts w:ascii="Times New Roman" w:hAnsi="Times New Roman"/>
        </w:rPr>
        <w:t xml:space="preserve"> 】月【 </w:t>
      </w:r>
      <w:r>
        <w:rPr>
          <w:rFonts w:hint="eastAsia" w:ascii="Times New Roman" w:hAnsi="Times New Roman"/>
        </w:rPr>
        <w:t xml:space="preserve">  </w:t>
      </w:r>
      <w:r>
        <w:rPr>
          <w:rFonts w:ascii="Times New Roman" w:hAnsi="Times New Roman"/>
        </w:rPr>
        <w:t>】日。</w:t>
      </w:r>
    </w:p>
    <w:p w14:paraId="075F42C2">
      <w:pPr>
        <w:pStyle w:val="118"/>
        <w:numPr>
          <w:ilvl w:val="1"/>
          <w:numId w:val="6"/>
        </w:numPr>
        <w:spacing w:before="156" w:beforeLines="50" w:after="156" w:afterLines="50"/>
        <w:ind w:firstLineChars="0"/>
        <w:rPr>
          <w:rFonts w:ascii="Times New Roman" w:hAnsi="Times New Roman"/>
        </w:rPr>
      </w:pPr>
      <w:r>
        <w:rPr>
          <w:rFonts w:ascii="Times New Roman" w:hAnsi="Times New Roman"/>
        </w:rPr>
        <w:t>“专项计划设立日”系指管理人根据《标准条款》的约定宣布专项计划成立之日。</w:t>
      </w:r>
    </w:p>
    <w:p w14:paraId="2E06918C">
      <w:pPr>
        <w:pStyle w:val="118"/>
        <w:numPr>
          <w:ilvl w:val="1"/>
          <w:numId w:val="6"/>
        </w:numPr>
        <w:spacing w:before="156" w:beforeLines="50" w:after="156" w:afterLines="50"/>
        <w:ind w:firstLineChars="0"/>
        <w:rPr>
          <w:rFonts w:ascii="Times New Roman" w:hAnsi="Times New Roman"/>
        </w:rPr>
      </w:pPr>
      <w:r>
        <w:rPr>
          <w:rFonts w:ascii="Times New Roman" w:hAnsi="Times New Roman"/>
        </w:rPr>
        <w:t>“专项计划终止日”系指《标准条款》第18.2.2条约定的含义。</w:t>
      </w:r>
    </w:p>
    <w:p w14:paraId="437F8236">
      <w:pPr>
        <w:pStyle w:val="118"/>
        <w:numPr>
          <w:ilvl w:val="1"/>
          <w:numId w:val="6"/>
        </w:numPr>
        <w:spacing w:before="156" w:beforeLines="50" w:after="156" w:afterLines="50"/>
        <w:ind w:firstLineChars="0"/>
        <w:rPr>
          <w:rFonts w:ascii="Times New Roman" w:hAnsi="Times New Roman"/>
        </w:rPr>
      </w:pPr>
      <w:r>
        <w:rPr>
          <w:rFonts w:ascii="Times New Roman" w:hAnsi="Times New Roman"/>
        </w:rPr>
        <w:t>“归集日”/“S</w:t>
      </w:r>
      <w:r>
        <w:rPr>
          <w:rFonts w:hint="eastAsia" w:ascii="Times New Roman" w:hAnsi="Times New Roman"/>
        </w:rPr>
        <w:t>日</w:t>
      </w:r>
      <w:r>
        <w:rPr>
          <w:rFonts w:ascii="Times New Roman" w:hAnsi="Times New Roman"/>
        </w:rPr>
        <w:t>”系指</w:t>
      </w:r>
      <w:r>
        <w:rPr>
          <w:rFonts w:hint="eastAsia" w:ascii="Times New Roman" w:hAnsi="Times New Roman"/>
        </w:rPr>
        <w:t xml:space="preserve">借款人向监管账户划转目标资产物业运营收入的日期，为每个自然年度的【   </w:t>
      </w:r>
      <w:r>
        <w:rPr>
          <w:rFonts w:ascii="Times New Roman" w:hAnsi="Times New Roman"/>
        </w:rPr>
        <w:t xml:space="preserve"> </w:t>
      </w:r>
      <w:r>
        <w:rPr>
          <w:rFonts w:hint="eastAsia" w:ascii="Times New Roman" w:hAnsi="Times New Roman"/>
        </w:rPr>
        <w:t xml:space="preserve">】月【 </w:t>
      </w:r>
      <w:r>
        <w:rPr>
          <w:rFonts w:ascii="Times New Roman" w:hAnsi="Times New Roman"/>
        </w:rPr>
        <w:t xml:space="preserve"> </w:t>
      </w:r>
      <w:r>
        <w:rPr>
          <w:rFonts w:hint="eastAsia" w:ascii="Times New Roman" w:hAnsi="Times New Roman"/>
        </w:rPr>
        <w:t xml:space="preserve">  】日和【 </w:t>
      </w:r>
      <w:r>
        <w:rPr>
          <w:rFonts w:ascii="Times New Roman" w:hAnsi="Times New Roman"/>
        </w:rPr>
        <w:t xml:space="preserve"> </w:t>
      </w:r>
      <w:r>
        <w:rPr>
          <w:rFonts w:hint="eastAsia" w:ascii="Times New Roman" w:hAnsi="Times New Roman"/>
        </w:rPr>
        <w:t xml:space="preserve">  】月【   </w:t>
      </w:r>
      <w:r>
        <w:rPr>
          <w:rFonts w:ascii="Times New Roman" w:hAnsi="Times New Roman"/>
        </w:rPr>
        <w:t xml:space="preserve"> </w:t>
      </w:r>
      <w:r>
        <w:rPr>
          <w:rFonts w:hint="eastAsia" w:ascii="Times New Roman" w:hAnsi="Times New Roman"/>
        </w:rPr>
        <w:t>】日（若该日为非工作日则为该日后的第一个工作日），以及每个兑付日前第14个工作日（T-14日）。特别地，</w:t>
      </w:r>
      <w:bookmarkStart w:id="12" w:name="_Hlk113955944"/>
      <w:r>
        <w:rPr>
          <w:rFonts w:hint="eastAsia" w:ascii="Times New Roman" w:hAnsi="Times New Roman"/>
        </w:rPr>
        <w:t>提前还款兑付程序</w:t>
      </w:r>
      <w:bookmarkEnd w:id="12"/>
      <w:r>
        <w:rPr>
          <w:rFonts w:hint="eastAsia" w:ascii="Times New Roman" w:hAnsi="Times New Roman"/>
        </w:rPr>
        <w:t>中的归集日为R-14日</w:t>
      </w:r>
      <w:r>
        <w:rPr>
          <w:rFonts w:ascii="Times New Roman" w:hAnsi="Times New Roman"/>
        </w:rPr>
        <w:t>。</w:t>
      </w:r>
    </w:p>
    <w:p w14:paraId="2BCD3C3A">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半年度归集日</w:t>
      </w:r>
      <w:r>
        <w:rPr>
          <w:rFonts w:ascii="Times New Roman" w:hAnsi="Times New Roman"/>
        </w:rPr>
        <w:t>”</w:t>
      </w:r>
      <w:r>
        <w:rPr>
          <w:rFonts w:hint="eastAsia" w:ascii="Times New Roman" w:hAnsi="Times New Roman"/>
        </w:rPr>
        <w:t>：系指每个半年度兑付日对应的归集日。</w:t>
      </w:r>
    </w:p>
    <w:p w14:paraId="013283E2">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年度归集日</w:t>
      </w:r>
      <w:r>
        <w:rPr>
          <w:rFonts w:ascii="Times New Roman" w:hAnsi="Times New Roman"/>
        </w:rPr>
        <w:t>”</w:t>
      </w:r>
      <w:r>
        <w:rPr>
          <w:rFonts w:hint="eastAsia" w:ascii="Times New Roman" w:hAnsi="Times New Roman"/>
        </w:rPr>
        <w:t>系指每个年度兑付日对应的归集日。</w:t>
      </w:r>
    </w:p>
    <w:p w14:paraId="29597C78">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当年度各个归集日</w:t>
      </w:r>
      <w:r>
        <w:rPr>
          <w:rFonts w:ascii="Times New Roman" w:hAnsi="Times New Roman"/>
        </w:rPr>
        <w:t>”</w:t>
      </w:r>
      <w:r>
        <w:rPr>
          <w:rFonts w:hint="eastAsia" w:ascii="Times New Roman" w:hAnsi="Times New Roman"/>
        </w:rPr>
        <w:t>：自上一个年度兑付日（如当期年度兑付日为首个年度兑付日，则自专项计划设立日）至当期年度兑付日之间的各个归集日的合称。</w:t>
      </w:r>
    </w:p>
    <w:p w14:paraId="3F47F21F">
      <w:pPr>
        <w:pStyle w:val="118"/>
        <w:numPr>
          <w:ilvl w:val="1"/>
          <w:numId w:val="6"/>
        </w:numPr>
        <w:spacing w:before="156" w:beforeLines="50" w:after="156" w:afterLines="50"/>
        <w:ind w:firstLineChars="0"/>
        <w:rPr>
          <w:rFonts w:ascii="Times New Roman" w:hAnsi="Times New Roman"/>
        </w:rPr>
      </w:pPr>
      <w:r>
        <w:rPr>
          <w:rFonts w:ascii="Times New Roman" w:hAnsi="Times New Roman"/>
        </w:rPr>
        <w:t>“监管账户转付日”/“S</w:t>
      </w:r>
      <w:r>
        <w:rPr>
          <w:rFonts w:hint="eastAsia" w:ascii="Times New Roman" w:hAnsi="Times New Roman"/>
        </w:rPr>
        <w:t>+</w:t>
      </w:r>
      <w:r>
        <w:rPr>
          <w:rFonts w:ascii="Times New Roman" w:hAnsi="Times New Roman"/>
        </w:rPr>
        <w:t>1</w:t>
      </w:r>
      <w:r>
        <w:rPr>
          <w:rFonts w:hint="eastAsia" w:ascii="Times New Roman" w:hAnsi="Times New Roman"/>
        </w:rPr>
        <w:t>日</w:t>
      </w:r>
      <w:r>
        <w:rPr>
          <w:rFonts w:ascii="Times New Roman" w:hAnsi="Times New Roman"/>
        </w:rPr>
        <w:t>”系指</w:t>
      </w:r>
      <w:r>
        <w:rPr>
          <w:rFonts w:hint="eastAsia" w:ascii="Times New Roman" w:hAnsi="Times New Roman"/>
        </w:rPr>
        <w:t>借款人将监管账户内的资金划转至信托专户的日期，为每个归集日后第1个工作日（S+1日）。特别地，提前还款兑付程序中的监管账户转付日为R-13日。借款人从监管账户划转至信托专户的资金之和累计达到当期必备金额后，在当个年度标的债权还款日前（含）借款人可不再向信托专户划转监管账户资金，</w:t>
      </w:r>
      <w:r>
        <w:rPr>
          <w:rFonts w:ascii="Times New Roman" w:hAnsi="Times New Roman"/>
          <w:bCs/>
        </w:rPr>
        <w:t>监管账户归集的超过必备金额部分的资金（如有）可由借款人在当个监管账户转付日后（不含）至当个</w:t>
      </w:r>
      <w:r>
        <w:rPr>
          <w:rFonts w:ascii="Times New Roman" w:hAnsi="Times New Roman"/>
        </w:rPr>
        <w:t>年度标的债权还款日后紧邻的第一个归集日前（不含）</w:t>
      </w:r>
      <w:r>
        <w:rPr>
          <w:rFonts w:ascii="Times New Roman" w:hAnsi="Times New Roman"/>
          <w:bCs/>
        </w:rPr>
        <w:t>划出至其他账户。特别地，如</w:t>
      </w:r>
      <w:r>
        <w:rPr>
          <w:rFonts w:hint="eastAsia" w:ascii="Times New Roman" w:hAnsi="Times New Roman"/>
          <w:bCs/>
          <w:lang w:eastAsia="zh-CN"/>
        </w:rPr>
        <w:t>【】</w:t>
      </w:r>
      <w:r>
        <w:rPr>
          <w:rFonts w:hint="eastAsia" w:ascii="Times New Roman" w:hAnsi="Times New Roman"/>
          <w:bCs/>
        </w:rPr>
        <w:t>（以下简称“</w:t>
      </w:r>
      <w:r>
        <w:rPr>
          <w:rFonts w:hint="eastAsia" w:ascii="Times New Roman" w:hAnsi="Times New Roman"/>
          <w:bCs/>
          <w:lang w:eastAsia="zh-CN"/>
        </w:rPr>
        <w:t>【】</w:t>
      </w:r>
      <w:r>
        <w:rPr>
          <w:rFonts w:hint="eastAsia" w:ascii="Times New Roman" w:hAnsi="Times New Roman"/>
          <w:bCs/>
        </w:rPr>
        <w:t>”）</w:t>
      </w:r>
      <w:r>
        <w:rPr>
          <w:rFonts w:ascii="Times New Roman" w:hAnsi="Times New Roman"/>
          <w:bCs/>
        </w:rPr>
        <w:t>已按约定履行差额支付补足义务、回售支持补足义务或运营成本流动性支持义务，则借款人应将监管账户归集的超过必备金额部分的资金（如有）优先划出至</w:t>
      </w:r>
      <w:r>
        <w:rPr>
          <w:rFonts w:hint="eastAsia" w:ascii="Times New Roman" w:hAnsi="Times New Roman"/>
          <w:bCs/>
          <w:lang w:eastAsia="zh-CN"/>
        </w:rPr>
        <w:t>【】</w:t>
      </w:r>
      <w:r>
        <w:rPr>
          <w:rFonts w:ascii="Times New Roman" w:hAnsi="Times New Roman"/>
          <w:bCs/>
        </w:rPr>
        <w:t>指定账户用于偿还</w:t>
      </w:r>
      <w:r>
        <w:rPr>
          <w:rFonts w:hint="eastAsia" w:ascii="Times New Roman" w:hAnsi="Times New Roman"/>
          <w:bCs/>
          <w:lang w:eastAsia="zh-CN"/>
        </w:rPr>
        <w:t>【】</w:t>
      </w:r>
      <w:r>
        <w:rPr>
          <w:rFonts w:ascii="Times New Roman" w:hAnsi="Times New Roman"/>
          <w:bCs/>
        </w:rPr>
        <w:t>履行差额支付补足义务、回售支持补足义务或运营成本流动性支持义务所支付的款项</w:t>
      </w:r>
      <w:r>
        <w:rPr>
          <w:rFonts w:hint="eastAsia" w:ascii="Times New Roman" w:hAnsi="Times New Roman"/>
        </w:rPr>
        <w:t>。</w:t>
      </w:r>
    </w:p>
    <w:p w14:paraId="015ED2B2">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半年度标的债权还款日</w:t>
      </w:r>
      <w:r>
        <w:rPr>
          <w:rFonts w:ascii="Times New Roman" w:hAnsi="Times New Roman"/>
        </w:rPr>
        <w:t>”系指</w:t>
      </w:r>
      <w:r>
        <w:rPr>
          <w:rFonts w:hint="eastAsia" w:ascii="Times New Roman" w:hAnsi="Times New Roman"/>
        </w:rPr>
        <w:t>半年度归集日对应的监管账户转付日。在每个半年度标的债权还款日，受托人将核算截至半年度标的债权还款日借款人应付的标的债权利息及其已实际支付的标的债权利息（即借款人在半年度标的债权还款日及其紧邻的前一个监管账户转付日已转付至信托专户的资金中不超过借款人应付的标的债权利息的部分），并将借款人在半年度标的债权还款日及其紧邻的前一个监管账户转付日已转付至信托专户的资金中超过借款人应付的标的债权利息的部分视为在半年度标的债权还款日提前偿还标的债权本金。为免疑义，借款人在半年度标的债权还款日紧邻的前一个监管账户转付日或年度标的债权还款日紧邻的前一个监管账户转付日将</w:t>
      </w:r>
      <w:bookmarkStart w:id="13" w:name="OLE_LINK2"/>
      <w:r>
        <w:rPr>
          <w:rFonts w:hint="eastAsia" w:ascii="Times New Roman" w:hAnsi="Times New Roman"/>
        </w:rPr>
        <w:t>物业运营收入</w:t>
      </w:r>
      <w:bookmarkEnd w:id="13"/>
      <w:r>
        <w:rPr>
          <w:rFonts w:hint="eastAsia" w:ascii="Times New Roman" w:hAnsi="Times New Roman"/>
        </w:rPr>
        <w:t>转付至信托专户的，不视为在该等监管账户转付日提前偿还标的债权本金。</w:t>
      </w:r>
    </w:p>
    <w:p w14:paraId="0B840955">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年度标的债权还款日</w:t>
      </w:r>
      <w:r>
        <w:rPr>
          <w:rFonts w:ascii="Times New Roman" w:hAnsi="Times New Roman"/>
        </w:rPr>
        <w:t>”系指</w:t>
      </w:r>
      <w:r>
        <w:rPr>
          <w:rFonts w:hint="eastAsia" w:ascii="Times New Roman" w:hAnsi="Times New Roman"/>
        </w:rPr>
        <w:t>年度归集日对应的监管账户转付日。在每个年度标的债权还款日，受托人将核算截至年度标的债权还款日借款人应付的标的债权本金和利息（即必备金额与借款人在半年度标的债权还款日已偿还的标的债权本金及利息之间的差额）及其已实际支付的标的债权本金和利息（即借款人在年度标的债权还款日及其紧邻的前一个监管账户转付日已转付至信托专户的资金）。</w:t>
      </w:r>
    </w:p>
    <w:p w14:paraId="7141466B">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“信托账户核算日”/“信托利益计算日”/“S</w:t>
      </w:r>
      <w:r>
        <w:rPr>
          <w:rFonts w:hint="eastAsia" w:ascii="Times New Roman" w:hAnsi="Times New Roman"/>
        </w:rPr>
        <w:t>+</w:t>
      </w:r>
      <w:r>
        <w:rPr>
          <w:rFonts w:ascii="Times New Roman" w:hAnsi="Times New Roman"/>
        </w:rPr>
        <w:t>2</w:t>
      </w:r>
      <w:r>
        <w:rPr>
          <w:rFonts w:hint="eastAsia" w:ascii="Times New Roman" w:hAnsi="Times New Roman"/>
        </w:rPr>
        <w:t>日</w:t>
      </w:r>
      <w:r>
        <w:rPr>
          <w:rFonts w:ascii="Times New Roman" w:hAnsi="Times New Roman"/>
        </w:rPr>
        <w:t>”系指保管人对信托账户资金进行核算并将核算结果反馈给受托人，且受托人核算当期应支付的信托费用及应分配的信托利益的日期，为</w:t>
      </w:r>
      <w:r>
        <w:rPr>
          <w:rFonts w:hint="eastAsia" w:ascii="Times New Roman" w:hAnsi="Times New Roman"/>
        </w:rPr>
        <w:t>每个信托分配日当日</w:t>
      </w:r>
      <w:r>
        <w:rPr>
          <w:rFonts w:ascii="Times New Roman" w:hAnsi="Times New Roman"/>
        </w:rPr>
        <w:t>。</w:t>
      </w:r>
    </w:p>
    <w:p w14:paraId="0B08255C">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“信托分配日/信托利益分配日”/“S</w:t>
      </w:r>
      <w:r>
        <w:rPr>
          <w:rFonts w:hint="eastAsia" w:ascii="Times New Roman" w:hAnsi="Times New Roman"/>
        </w:rPr>
        <w:t>+</w:t>
      </w:r>
      <w:r>
        <w:rPr>
          <w:rFonts w:ascii="Times New Roman" w:hAnsi="Times New Roman"/>
        </w:rPr>
        <w:t>2</w:t>
      </w:r>
      <w:r>
        <w:rPr>
          <w:rFonts w:hint="eastAsia" w:ascii="Times New Roman" w:hAnsi="Times New Roman"/>
        </w:rPr>
        <w:t>日</w:t>
      </w:r>
      <w:r>
        <w:rPr>
          <w:rFonts w:ascii="Times New Roman" w:hAnsi="Times New Roman"/>
        </w:rPr>
        <w:t>”系指受托人向受益人分配信托利益之日，</w:t>
      </w:r>
      <w:r>
        <w:rPr>
          <w:rFonts w:hint="eastAsia" w:ascii="Times New Roman" w:hAnsi="Times New Roman"/>
        </w:rPr>
        <w:t>合指或单指期间信托分配日和期末信托分配日，视上下文义而定。期间信托分配日系指信托期间，每个监管账户转付日后第</w:t>
      </w:r>
      <w:r>
        <w:rPr>
          <w:rFonts w:ascii="Times New Roman" w:hAnsi="Times New Roman"/>
        </w:rPr>
        <w:t>1</w:t>
      </w:r>
      <w:r>
        <w:rPr>
          <w:rFonts w:hint="eastAsia" w:ascii="Times New Roman" w:hAnsi="Times New Roman"/>
        </w:rPr>
        <w:t>个工作日（S+2日）；期末信托分配日为信托终止日。特别地，提前还款兑付程序中的信托分配日为R-12日</w:t>
      </w:r>
      <w:r>
        <w:rPr>
          <w:rFonts w:ascii="Times New Roman" w:hAnsi="Times New Roman"/>
        </w:rPr>
        <w:t>。</w:t>
      </w:r>
    </w:p>
    <w:p w14:paraId="24226441">
      <w:pPr>
        <w:pStyle w:val="118"/>
        <w:numPr>
          <w:ilvl w:val="1"/>
          <w:numId w:val="6"/>
        </w:numPr>
        <w:spacing w:before="156" w:beforeLines="50" w:after="156" w:afterLines="50"/>
        <w:ind w:firstLineChars="0"/>
        <w:rPr>
          <w:rFonts w:ascii="Times New Roman" w:hAnsi="Times New Roman"/>
        </w:rPr>
      </w:pPr>
      <w:r>
        <w:rPr>
          <w:rFonts w:ascii="Times New Roman" w:hAnsi="Times New Roman"/>
        </w:rPr>
        <w:t>“受托人报告日”/“S</w:t>
      </w:r>
      <w:r>
        <w:rPr>
          <w:rFonts w:hint="eastAsia" w:ascii="Times New Roman" w:hAnsi="Times New Roman"/>
        </w:rPr>
        <w:t>+</w:t>
      </w:r>
      <w:r>
        <w:rPr>
          <w:rFonts w:ascii="Times New Roman" w:hAnsi="Times New Roman"/>
        </w:rPr>
        <w:t>3</w:t>
      </w:r>
      <w:r>
        <w:rPr>
          <w:rFonts w:hint="eastAsia" w:ascii="Times New Roman" w:hAnsi="Times New Roman"/>
        </w:rPr>
        <w:t>日</w:t>
      </w:r>
      <w:r>
        <w:rPr>
          <w:rFonts w:ascii="Times New Roman" w:hAnsi="Times New Roman"/>
        </w:rPr>
        <w:t>”系指受托人根据《信托合同》的约定，向作为受益人的管理人(代表专项计划)出具《受托报告》之日，</w:t>
      </w:r>
      <w:r>
        <w:rPr>
          <w:rFonts w:hint="eastAsia" w:ascii="Times New Roman" w:hAnsi="Times New Roman"/>
        </w:rPr>
        <w:t>为每个</w:t>
      </w:r>
      <w:r>
        <w:rPr>
          <w:rFonts w:ascii="Times New Roman" w:hAnsi="Times New Roman"/>
        </w:rPr>
        <w:t>信托分配日</w:t>
      </w:r>
      <w:r>
        <w:rPr>
          <w:rFonts w:hint="eastAsia" w:ascii="Times New Roman" w:hAnsi="Times New Roman"/>
        </w:rPr>
        <w:t>后第1个工作日（</w:t>
      </w:r>
      <w:r>
        <w:rPr>
          <w:rFonts w:ascii="Times New Roman" w:hAnsi="Times New Roman"/>
        </w:rPr>
        <w:t>S+3</w:t>
      </w:r>
      <w:r>
        <w:rPr>
          <w:rFonts w:hint="eastAsia" w:ascii="Times New Roman" w:hAnsi="Times New Roman"/>
        </w:rPr>
        <w:t>日）</w:t>
      </w:r>
      <w:r>
        <w:rPr>
          <w:rFonts w:ascii="Times New Roman" w:hAnsi="Times New Roman"/>
        </w:rPr>
        <w:t>。</w:t>
      </w:r>
    </w:p>
    <w:p w14:paraId="5DB341AB">
      <w:pPr>
        <w:pStyle w:val="118"/>
        <w:numPr>
          <w:ilvl w:val="1"/>
          <w:numId w:val="6"/>
        </w:numPr>
        <w:spacing w:before="156" w:beforeLines="50" w:after="156" w:afterLines="50"/>
        <w:ind w:firstLineChars="0"/>
        <w:rPr>
          <w:rFonts w:ascii="Times New Roman" w:hAnsi="Times New Roman"/>
        </w:rPr>
      </w:pPr>
      <w:r>
        <w:rPr>
          <w:rFonts w:ascii="Times New Roman" w:hAnsi="Times New Roman"/>
        </w:rPr>
        <w:t>“还款期间”系指自一个</w:t>
      </w:r>
      <w:r>
        <w:rPr>
          <w:rFonts w:hint="eastAsia" w:ascii="Times New Roman" w:hAnsi="Times New Roman"/>
        </w:rPr>
        <w:t>监管账户转付日</w:t>
      </w:r>
      <w:r>
        <w:rPr>
          <w:rFonts w:ascii="Times New Roman" w:hAnsi="Times New Roman"/>
        </w:rPr>
        <w:t>起(含该日)至下一个</w:t>
      </w:r>
      <w:r>
        <w:rPr>
          <w:rFonts w:hint="eastAsia" w:ascii="Times New Roman" w:hAnsi="Times New Roman"/>
        </w:rPr>
        <w:t>监管账户转付日</w:t>
      </w:r>
      <w:r>
        <w:rPr>
          <w:rFonts w:ascii="Times New Roman" w:hAnsi="Times New Roman"/>
        </w:rPr>
        <w:t>(不含该日)之间的期间，其中第一个还款期间应自信托生效日(含该日)起至第一个</w:t>
      </w:r>
      <w:r>
        <w:rPr>
          <w:rFonts w:hint="eastAsia" w:ascii="Times New Roman" w:hAnsi="Times New Roman"/>
        </w:rPr>
        <w:t>监管账户转付日</w:t>
      </w:r>
      <w:r>
        <w:rPr>
          <w:rFonts w:ascii="Times New Roman" w:hAnsi="Times New Roman"/>
        </w:rPr>
        <w:t>(不含该日)结束。</w:t>
      </w:r>
    </w:p>
    <w:p w14:paraId="6115178D">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计息期间</w:t>
      </w:r>
      <w:r>
        <w:rPr>
          <w:rFonts w:ascii="Times New Roman" w:hAnsi="Times New Roman"/>
        </w:rPr>
        <w:t>”</w:t>
      </w:r>
      <w:r>
        <w:rPr>
          <w:rFonts w:hint="eastAsia" w:ascii="Times New Roman" w:hAnsi="Times New Roman"/>
        </w:rPr>
        <w:t>：系指自一个兑付日起（含该日）至下一个兑付日（不含该日）之间的期间，其中第一个计息期间为自专项计划设立日（含该日）至第一个兑付日（不含该日）之前的期间，最后一个计息期间为自上一个兑付日（含该日）至专项计划终止日（含该日）之间的期间。</w:t>
      </w:r>
    </w:p>
    <w:p w14:paraId="47EC7F80">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提前还款兑付程序</w:t>
      </w:r>
      <w:r>
        <w:rPr>
          <w:rFonts w:ascii="Times New Roman" w:hAnsi="Times New Roman"/>
        </w:rPr>
        <w:t>”</w:t>
      </w:r>
      <w:r>
        <w:rPr>
          <w:rFonts w:hint="eastAsia" w:ascii="Times New Roman" w:hAnsi="Times New Roman"/>
        </w:rPr>
        <w:t>：系指在每个提前还款通知日（R-45日），借款人有权选择提前清偿标的债权。借款人应于提前还款通知日书面通知管理人是否选择提前清偿标的债权。如借款人选择提前清偿标的债权的，计划管理人将于提前还款公告日（R-43日）向受托人发送同意借款人提前还款的书面通知并公告启动提前还款兑付程序，借款人或其指定的第三方主体应于归集日（R-14日）将提前清偿的标的债权本金划付至监管账户，并由借款人于监管账户转付日（R-13日）划转至信托专户。受托人将于信托分配日（R-12日）向专项计划账户分配信托利益，专项计划将在特殊兑付日（R日）兑付所有优先级资产支持证券的未偿本金和已产生但未支付的预期收益，兑付完毕后专项计划将提前终止。</w:t>
      </w:r>
    </w:p>
    <w:p w14:paraId="7F75B78B">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兑付日</w:t>
      </w:r>
      <w:r>
        <w:rPr>
          <w:rFonts w:ascii="Times New Roman" w:hAnsi="Times New Roman"/>
        </w:rPr>
        <w:t>”/“T</w:t>
      </w:r>
      <w:r>
        <w:rPr>
          <w:rFonts w:hint="eastAsia" w:ascii="Times New Roman" w:hAnsi="Times New Roman"/>
        </w:rPr>
        <w:t>日</w:t>
      </w:r>
      <w:r>
        <w:rPr>
          <w:rFonts w:ascii="Times New Roman" w:hAnsi="Times New Roman"/>
        </w:rPr>
        <w:t>”</w:t>
      </w:r>
      <w:r>
        <w:rPr>
          <w:rFonts w:hint="eastAsia" w:ascii="Times New Roman" w:hAnsi="Times New Roman"/>
        </w:rPr>
        <w:t>：系指期间分配兑付日、期末分配兑付日及清算分配兑付日，视上下文义而定。</w:t>
      </w:r>
    </w:p>
    <w:p w14:paraId="2E0DAB8B">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期间分配兑付日</w:t>
      </w:r>
      <w:r>
        <w:rPr>
          <w:rFonts w:ascii="Times New Roman" w:hAnsi="Times New Roman"/>
        </w:rPr>
        <w:t>”</w:t>
      </w:r>
      <w:r>
        <w:rPr>
          <w:rFonts w:hint="eastAsia" w:ascii="Times New Roman" w:hAnsi="Times New Roman"/>
        </w:rPr>
        <w:t>：系指在专项计划存续期间内，自</w:t>
      </w:r>
      <w:r>
        <w:rPr>
          <w:rFonts w:hint="eastAsia" w:ascii="Times New Roman" w:hAnsi="Times New Roman"/>
          <w:lang w:val="en-US" w:eastAsia="zh-CN"/>
        </w:rPr>
        <w:t xml:space="preserve">    </w:t>
      </w:r>
      <w:r>
        <w:rPr>
          <w:rFonts w:hint="eastAsia" w:ascii="Times New Roman" w:hAnsi="Times New Roman"/>
        </w:rPr>
        <w:t>年起至</w:t>
      </w:r>
      <w:r>
        <w:rPr>
          <w:rFonts w:hint="eastAsia" w:ascii="Times New Roman" w:hAnsi="Times New Roman"/>
          <w:lang w:val="en-US" w:eastAsia="zh-CN"/>
        </w:rPr>
        <w:t xml:space="preserve">   </w:t>
      </w:r>
      <w:r>
        <w:rPr>
          <w:rFonts w:hint="eastAsia" w:ascii="Times New Roman" w:hAnsi="Times New Roman"/>
        </w:rPr>
        <w:t xml:space="preserve">年止的期间内，每一自然年度的【   </w:t>
      </w:r>
      <w:r>
        <w:rPr>
          <w:rFonts w:ascii="Times New Roman" w:hAnsi="Times New Roman"/>
        </w:rPr>
        <w:t xml:space="preserve"> </w:t>
      </w:r>
      <w:r>
        <w:rPr>
          <w:rFonts w:hint="eastAsia" w:ascii="Times New Roman" w:hAnsi="Times New Roman"/>
        </w:rPr>
        <w:t xml:space="preserve">】月【 </w:t>
      </w:r>
      <w:r>
        <w:rPr>
          <w:rFonts w:ascii="Times New Roman" w:hAnsi="Times New Roman"/>
        </w:rPr>
        <w:t xml:space="preserve"> </w:t>
      </w:r>
      <w:r>
        <w:rPr>
          <w:rFonts w:hint="eastAsia" w:ascii="Times New Roman" w:hAnsi="Times New Roman"/>
        </w:rPr>
        <w:t xml:space="preserve">】日和【 </w:t>
      </w:r>
      <w:r>
        <w:rPr>
          <w:rFonts w:ascii="Times New Roman" w:hAnsi="Times New Roman"/>
        </w:rPr>
        <w:t xml:space="preserve"> </w:t>
      </w:r>
      <w:r>
        <w:rPr>
          <w:rFonts w:hint="eastAsia" w:ascii="Times New Roman" w:hAnsi="Times New Roman"/>
        </w:rPr>
        <w:t xml:space="preserve">】月【 </w:t>
      </w:r>
      <w:r>
        <w:rPr>
          <w:rFonts w:ascii="Times New Roman" w:hAnsi="Times New Roman"/>
        </w:rPr>
        <w:t xml:space="preserve"> </w:t>
      </w:r>
      <w:r>
        <w:rPr>
          <w:rFonts w:hint="eastAsia" w:ascii="Times New Roman" w:hAnsi="Times New Roman"/>
        </w:rPr>
        <w:t>】日。若该日为非工作日则为该日后的第一个工作日。</w:t>
      </w:r>
    </w:p>
    <w:p w14:paraId="2633DF1B">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半年度兑付日</w:t>
      </w:r>
      <w:r>
        <w:rPr>
          <w:rFonts w:ascii="Times New Roman" w:hAnsi="Times New Roman"/>
        </w:rPr>
        <w:t>”</w:t>
      </w:r>
      <w:r>
        <w:rPr>
          <w:rFonts w:hint="eastAsia" w:ascii="Times New Roman" w:hAnsi="Times New Roman"/>
        </w:rPr>
        <w:t xml:space="preserve">：系指专项计划存续期间每个自然年度【 </w:t>
      </w:r>
      <w:r>
        <w:rPr>
          <w:rFonts w:ascii="Times New Roman" w:hAnsi="Times New Roman"/>
        </w:rPr>
        <w:t xml:space="preserve"> </w:t>
      </w:r>
      <w:r>
        <w:rPr>
          <w:rFonts w:hint="eastAsia" w:ascii="Times New Roman" w:hAnsi="Times New Roman"/>
        </w:rPr>
        <w:t>】月份的期间分配兑付日。</w:t>
      </w:r>
    </w:p>
    <w:p w14:paraId="13DF6896">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年度兑付日</w:t>
      </w:r>
      <w:r>
        <w:rPr>
          <w:rFonts w:ascii="Times New Roman" w:hAnsi="Times New Roman"/>
        </w:rPr>
        <w:t>”</w:t>
      </w:r>
      <w:r>
        <w:rPr>
          <w:rFonts w:hint="eastAsia" w:ascii="Times New Roman" w:hAnsi="Times New Roman"/>
        </w:rPr>
        <w:t xml:space="preserve">：系指专项计划存续期间每个自然年度【 </w:t>
      </w:r>
      <w:r>
        <w:rPr>
          <w:rFonts w:ascii="Times New Roman" w:hAnsi="Times New Roman"/>
        </w:rPr>
        <w:t xml:space="preserve"> </w:t>
      </w:r>
      <w:r>
        <w:rPr>
          <w:rFonts w:hint="eastAsia" w:ascii="Times New Roman" w:hAnsi="Times New Roman"/>
        </w:rPr>
        <w:t>】月份的期间分配兑付日。</w:t>
      </w:r>
    </w:p>
    <w:p w14:paraId="63D6D0F4">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期末分配兑付日</w:t>
      </w:r>
      <w:r>
        <w:rPr>
          <w:rFonts w:ascii="Times New Roman" w:hAnsi="Times New Roman"/>
        </w:rPr>
        <w:t>”</w:t>
      </w:r>
      <w:r>
        <w:rPr>
          <w:rFonts w:hint="eastAsia" w:ascii="Times New Roman" w:hAnsi="Times New Roman"/>
        </w:rPr>
        <w:t>：系指专项计划终止日。</w:t>
      </w:r>
    </w:p>
    <w:p w14:paraId="745EE3C6">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清算分配兑付日</w:t>
      </w:r>
      <w:r>
        <w:rPr>
          <w:rFonts w:ascii="Times New Roman" w:hAnsi="Times New Roman"/>
        </w:rPr>
        <w:t>”</w:t>
      </w:r>
      <w:r>
        <w:rPr>
          <w:rFonts w:hint="eastAsia" w:ascii="Times New Roman" w:hAnsi="Times New Roman"/>
        </w:rPr>
        <w:t>：系指在专项计划终止及清算后，管理人将专项计划资产向资产支持证券持有人进行分配之日。</w:t>
      </w:r>
    </w:p>
    <w:p w14:paraId="1F795F6E">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特殊兑付日/ 票面利率调整日（R日）</w:t>
      </w:r>
      <w:r>
        <w:rPr>
          <w:rFonts w:ascii="Times New Roman" w:hAnsi="Times New Roman"/>
        </w:rPr>
        <w:t>”</w:t>
      </w:r>
      <w:r>
        <w:rPr>
          <w:rFonts w:hint="eastAsia" w:ascii="Times New Roman" w:hAnsi="Times New Roman"/>
        </w:rPr>
        <w:t>：系指专项计划设立日所在自然年度起（不含）第3n个自然年度的</w:t>
      </w:r>
      <w:r>
        <w:rPr>
          <w:rFonts w:ascii="Times New Roman" w:hAnsi="Times New Roman"/>
        </w:rPr>
        <w:t>【】</w:t>
      </w:r>
      <w:r>
        <w:rPr>
          <w:rFonts w:hint="eastAsia" w:ascii="Times New Roman" w:hAnsi="Times New Roman"/>
        </w:rPr>
        <w:t>月【】日（n=1,2,3）</w:t>
      </w:r>
      <w:r>
        <w:rPr>
          <w:rFonts w:hint="eastAsia"/>
          <w:snapToGrid w:val="0"/>
          <w:kern w:val="0"/>
        </w:rPr>
        <w:t>，</w:t>
      </w:r>
      <w:r>
        <w:rPr>
          <w:snapToGrid w:val="0"/>
          <w:kern w:val="0"/>
        </w:rPr>
        <w:t>若该日为非工作日则为该日后的第一个工作日</w:t>
      </w:r>
      <w:r>
        <w:rPr>
          <w:rFonts w:hint="eastAsia" w:ascii="Times New Roman" w:hAnsi="Times New Roman"/>
        </w:rPr>
        <w:t>。专项计划启动提前还款兑付程序的，专项计划将于该日兑付所有优先级资产支持证券的未偿本金和已产生但未支付的预期收益，该日视为期末分配兑付日。如专项计划不启动提前还款兑付程序，</w:t>
      </w:r>
      <w:r>
        <w:rPr>
          <w:rFonts w:hint="eastAsia"/>
          <w:snapToGrid w:val="0"/>
          <w:kern w:val="0"/>
        </w:rPr>
        <w:t>则该日不视为兑付日；如</w:t>
      </w:r>
      <w:r>
        <w:rPr>
          <w:rFonts w:hint="eastAsia" w:ascii="Times New Roman" w:hAnsi="Times New Roman"/>
        </w:rPr>
        <w:t>借款人选择调整票面利率的，该日视为票面利率调整日，调整后的票面利率自该日起生效。</w:t>
      </w:r>
    </w:p>
    <w:p w14:paraId="0FAC9BAC">
      <w:pPr>
        <w:pStyle w:val="118"/>
        <w:numPr>
          <w:ilvl w:val="1"/>
          <w:numId w:val="6"/>
        </w:numPr>
        <w:spacing w:before="156" w:beforeLines="50" w:after="156" w:afterLines="50"/>
        <w:ind w:firstLineChars="0"/>
        <w:rPr>
          <w:rFonts w:ascii="Times New Roman" w:hAnsi="Times New Roman"/>
        </w:rPr>
      </w:pPr>
      <w:r>
        <w:rPr>
          <w:rFonts w:ascii="Times New Roman" w:hAnsi="Times New Roman"/>
        </w:rPr>
        <w:t>“</w:t>
      </w:r>
      <w:r>
        <w:rPr>
          <w:rFonts w:hint="eastAsia" w:ascii="Times New Roman" w:hAnsi="Times New Roman"/>
        </w:rPr>
        <w:t>T</w:t>
      </w:r>
      <w:r>
        <w:rPr>
          <w:rFonts w:ascii="Times New Roman" w:hAnsi="Times New Roman"/>
        </w:rPr>
        <w:t>-n</w:t>
      </w:r>
      <w:r>
        <w:rPr>
          <w:rFonts w:hint="eastAsia" w:ascii="Times New Roman" w:hAnsi="Times New Roman"/>
        </w:rPr>
        <w:t>日</w:t>
      </w:r>
      <w:r>
        <w:rPr>
          <w:rFonts w:ascii="Times New Roman" w:hAnsi="Times New Roman"/>
        </w:rPr>
        <w:t>”</w:t>
      </w:r>
      <w:r>
        <w:rPr>
          <w:rFonts w:hint="eastAsia" w:ascii="Times New Roman" w:hAnsi="Times New Roman"/>
        </w:rPr>
        <w:t xml:space="preserve">/ </w:t>
      </w:r>
      <w:r>
        <w:rPr>
          <w:rFonts w:ascii="Times New Roman" w:hAnsi="Times New Roman"/>
        </w:rPr>
        <w:t>“</w:t>
      </w:r>
      <w:r>
        <w:rPr>
          <w:rFonts w:hint="eastAsia" w:ascii="Times New Roman" w:hAnsi="Times New Roman"/>
        </w:rPr>
        <w:t>R</w:t>
      </w:r>
      <w:r>
        <w:rPr>
          <w:rFonts w:ascii="Times New Roman" w:hAnsi="Times New Roman"/>
        </w:rPr>
        <w:t>-</w:t>
      </w:r>
      <w:r>
        <w:rPr>
          <w:rFonts w:hint="eastAsia" w:ascii="Times New Roman" w:hAnsi="Times New Roman"/>
        </w:rPr>
        <w:t>n日</w:t>
      </w:r>
      <w:r>
        <w:rPr>
          <w:rFonts w:ascii="Times New Roman" w:hAnsi="Times New Roman"/>
        </w:rPr>
        <w:t>”</w:t>
      </w:r>
      <w:r>
        <w:rPr>
          <w:rFonts w:hint="eastAsia" w:ascii="Times New Roman" w:hAnsi="Times New Roman"/>
        </w:rPr>
        <w:t>系指</w:t>
      </w:r>
      <w:r>
        <w:rPr>
          <w:rFonts w:ascii="Times New Roman" w:hAnsi="Times New Roman"/>
        </w:rPr>
        <w:t>T</w:t>
      </w:r>
      <w:r>
        <w:rPr>
          <w:rFonts w:hint="eastAsia" w:ascii="Times New Roman" w:hAnsi="Times New Roman"/>
        </w:rPr>
        <w:t>日之前第n个工作日（不包括</w:t>
      </w:r>
      <w:r>
        <w:rPr>
          <w:rFonts w:ascii="Times New Roman" w:hAnsi="Times New Roman"/>
        </w:rPr>
        <w:t>T</w:t>
      </w:r>
      <w:r>
        <w:rPr>
          <w:rFonts w:hint="eastAsia" w:ascii="Times New Roman" w:hAnsi="Times New Roman"/>
        </w:rPr>
        <w:t>日）/R日之前第n个工作日（不包括R日）。</w:t>
      </w:r>
    </w:p>
    <w:p w14:paraId="3D2A7BAD">
      <w:pPr>
        <w:pStyle w:val="118"/>
        <w:numPr>
          <w:ilvl w:val="1"/>
          <w:numId w:val="6"/>
        </w:numPr>
        <w:spacing w:before="156" w:beforeLines="50" w:after="156" w:afterLines="50"/>
        <w:ind w:firstLineChars="0"/>
        <w:rPr>
          <w:rFonts w:ascii="Times New Roman" w:hAnsi="Times New Roman"/>
        </w:rPr>
      </w:pPr>
      <w:r>
        <w:rPr>
          <w:rFonts w:ascii="Times New Roman" w:hAnsi="Times New Roman"/>
        </w:rPr>
        <w:t>“丧失清偿能力事件”</w:t>
      </w:r>
      <w:r>
        <w:rPr>
          <w:rFonts w:ascii="Times New Roman" w:hAnsi="Times New Roman"/>
          <w:bCs/>
        </w:rPr>
        <w:t>就管理人、委托人、受托人、借款人、保管人而言，系指以下任一事件</w:t>
      </w:r>
      <w:r>
        <w:rPr>
          <w:rFonts w:ascii="Times New Roman" w:hAnsi="Times New Roman"/>
        </w:rPr>
        <w:t>：</w:t>
      </w:r>
    </w:p>
    <w:p w14:paraId="66B3B2FD">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(a)经相关监管机构同意，上述机构向人民法院提交破产申请，或相关监管机构向人民法院提出上述机构进行重整或破产清算的申请；</w:t>
      </w:r>
    </w:p>
    <w:p w14:paraId="72E8D289">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(b)其债权人向人民法院申请宣布上述机构破产且该等申请未在120个工作日内被驳回或撤诉；</w:t>
      </w:r>
    </w:p>
    <w:p w14:paraId="418DCDD3">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(c)上述机构因分立、合并或出现公司章程规定的解散事由，向相关监管机构申请解散；</w:t>
      </w:r>
    </w:p>
    <w:p w14:paraId="0CBCAC62">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(d)有权监管机构根据有关法律法规规定责令上述机构解散；</w:t>
      </w:r>
    </w:p>
    <w:p w14:paraId="4D95A437">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(e)有权监管机构公告将上述机构接管；</w:t>
      </w:r>
    </w:p>
    <w:p w14:paraId="2B36D82C">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(f)上述机构不能或宣布不能按期偿付债务，或根据应适用的法律被视为不能按期偿付债务；或</w:t>
      </w:r>
    </w:p>
    <w:p w14:paraId="03E4E0C4">
      <w:pPr>
        <w:pStyle w:val="118"/>
        <w:numPr>
          <w:ilvl w:val="255"/>
          <w:numId w:val="0"/>
        </w:numPr>
        <w:spacing w:before="156" w:beforeLines="50" w:after="156" w:afterLines="50"/>
        <w:ind w:left="993" w:hanging="2"/>
        <w:rPr>
          <w:rFonts w:ascii="Times New Roman" w:hAnsi="Times New Roman"/>
        </w:rPr>
      </w:pPr>
      <w:r>
        <w:rPr>
          <w:rFonts w:ascii="Times New Roman" w:hAnsi="Times New Roman"/>
        </w:rPr>
        <w:t>(g)上述机构停止或威胁停止继续经营其主营业务。</w:t>
      </w:r>
    </w:p>
    <w:p w14:paraId="3FE2E43D">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月度”系指信托生效日，或每月信托生效日对应的日期(含该日，如该月无对应的日期，则为该月的最后一日)，至下一个月的信托生效日对应的日期(不含该日，如该月无对应的日期，则为该月的最后一日)构成一个信托月度。</w:t>
      </w:r>
    </w:p>
    <w:p w14:paraId="2FC04347">
      <w:pPr>
        <w:pStyle w:val="118"/>
        <w:numPr>
          <w:ilvl w:val="1"/>
          <w:numId w:val="6"/>
        </w:numPr>
        <w:spacing w:before="156" w:beforeLines="50" w:after="156" w:afterLines="50"/>
        <w:ind w:firstLineChars="0"/>
        <w:rPr>
          <w:rFonts w:ascii="Times New Roman" w:hAnsi="Times New Roman"/>
        </w:rPr>
      </w:pPr>
      <w:r>
        <w:rPr>
          <w:rFonts w:ascii="Times New Roman" w:hAnsi="Times New Roman"/>
        </w:rPr>
        <w:t>“信托年度”系指自信托生效日(含该日)起，每十二个信托月度为一个信托年度。</w:t>
      </w:r>
    </w:p>
    <w:p w14:paraId="7B79C9E1">
      <w:pPr>
        <w:pStyle w:val="118"/>
        <w:numPr>
          <w:ilvl w:val="1"/>
          <w:numId w:val="6"/>
        </w:numPr>
        <w:spacing w:before="156" w:beforeLines="50" w:after="156" w:afterLines="50"/>
        <w:ind w:firstLineChars="0"/>
        <w:rPr>
          <w:rFonts w:ascii="Times New Roman" w:hAnsi="Times New Roman"/>
        </w:rPr>
      </w:pPr>
      <w:r>
        <w:rPr>
          <w:rFonts w:ascii="Times New Roman" w:hAnsi="Times New Roman"/>
        </w:rPr>
        <w:t>“中国”系指中华人民共和国(就本合同而言不包括香港特别行政区、澳门特别行政区和台湾地区)。</w:t>
      </w:r>
    </w:p>
    <w:p w14:paraId="158143ED">
      <w:pPr>
        <w:pStyle w:val="118"/>
        <w:numPr>
          <w:ilvl w:val="1"/>
          <w:numId w:val="6"/>
        </w:numPr>
        <w:spacing w:before="156" w:beforeLines="50" w:after="156" w:afterLines="50"/>
        <w:ind w:firstLineChars="0"/>
        <w:rPr>
          <w:rFonts w:ascii="Times New Roman" w:hAnsi="Times New Roman"/>
        </w:rPr>
      </w:pPr>
      <w:r>
        <w:rPr>
          <w:rFonts w:ascii="Times New Roman" w:hAnsi="Times New Roman"/>
        </w:rPr>
        <w:t>“中国银保监”系指中国银行保险监督管理委员会及其派出机构。</w:t>
      </w:r>
    </w:p>
    <w:p w14:paraId="6F506479">
      <w:pPr>
        <w:pStyle w:val="118"/>
        <w:numPr>
          <w:ilvl w:val="1"/>
          <w:numId w:val="6"/>
        </w:numPr>
        <w:spacing w:before="156" w:beforeLines="50" w:after="156" w:afterLines="50"/>
        <w:ind w:firstLineChars="0"/>
        <w:rPr>
          <w:rFonts w:ascii="Times New Roman" w:hAnsi="Times New Roman"/>
        </w:rPr>
      </w:pPr>
      <w:r>
        <w:rPr>
          <w:rFonts w:ascii="Times New Roman" w:hAnsi="Times New Roman"/>
        </w:rPr>
        <w:t>“法律”系指中国的法律、行政法规、规章和有关主管部门颁布的规范性文件。</w:t>
      </w:r>
    </w:p>
    <w:p w14:paraId="49674B25">
      <w:pPr>
        <w:pStyle w:val="118"/>
        <w:numPr>
          <w:ilvl w:val="1"/>
          <w:numId w:val="6"/>
        </w:numPr>
        <w:spacing w:before="156" w:beforeLines="50" w:after="156" w:afterLines="50"/>
        <w:ind w:firstLineChars="0"/>
        <w:rPr>
          <w:rFonts w:ascii="Times New Roman" w:hAnsi="Times New Roman"/>
        </w:rPr>
      </w:pPr>
      <w:r>
        <w:rPr>
          <w:rFonts w:ascii="Times New Roman" w:hAnsi="Times New Roman"/>
        </w:rPr>
        <w:t>“工作日”系指受托人的正常营业日(不包括中国的法定公休日和节假日)。</w:t>
      </w:r>
    </w:p>
    <w:p w14:paraId="6D38C4CE">
      <w:pPr>
        <w:pStyle w:val="118"/>
        <w:numPr>
          <w:ilvl w:val="255"/>
          <w:numId w:val="0"/>
        </w:numPr>
        <w:spacing w:before="156" w:beforeLines="50" w:after="156" w:afterLines="50"/>
        <w:ind w:left="425" w:firstLine="480" w:firstLineChars="200"/>
        <w:rPr>
          <w:rFonts w:ascii="Times New Roman" w:hAnsi="Times New Roman"/>
        </w:rPr>
      </w:pPr>
      <w:r>
        <w:rPr>
          <w:rFonts w:ascii="Times New Roman" w:hAnsi="Times New Roman"/>
        </w:rPr>
        <w:t>除上述定义外，本合同中所使用的词语和简称与《标准条款》项下相同词语和简称具有相同含义。</w:t>
      </w:r>
    </w:p>
    <w:p w14:paraId="73B4FC76">
      <w:pPr>
        <w:pStyle w:val="3"/>
        <w:numPr>
          <w:ilvl w:val="0"/>
          <w:numId w:val="5"/>
        </w:numPr>
        <w:rPr>
          <w:rFonts w:ascii="Times New Roman" w:hAnsi="Times New Roman"/>
        </w:rPr>
      </w:pPr>
      <w:bookmarkStart w:id="14" w:name="_Toc204497513"/>
      <w:bookmarkEnd w:id="14"/>
      <w:bookmarkStart w:id="15" w:name="_Toc501233654"/>
      <w:bookmarkStart w:id="16" w:name="_Toc101974044"/>
      <w:bookmarkStart w:id="17" w:name="_Toc101976669"/>
      <w:bookmarkStart w:id="18" w:name="_Toc111281764"/>
      <w:bookmarkStart w:id="19" w:name="_Toc201569373"/>
      <w:bookmarkStart w:id="20" w:name="_Toc110153412"/>
      <w:r>
        <w:rPr>
          <w:rFonts w:ascii="Times New Roman" w:hAnsi="Times New Roman"/>
        </w:rPr>
        <w:t>信托目的</w:t>
      </w:r>
      <w:bookmarkEnd w:id="15"/>
      <w:bookmarkEnd w:id="16"/>
      <w:bookmarkEnd w:id="17"/>
      <w:bookmarkEnd w:id="18"/>
      <w:bookmarkEnd w:id="19"/>
      <w:bookmarkEnd w:id="20"/>
    </w:p>
    <w:p w14:paraId="7F52E325">
      <w:pPr>
        <w:pStyle w:val="118"/>
        <w:ind w:firstLine="480"/>
        <w:rPr>
          <w:rFonts w:ascii="Times New Roman" w:hAnsi="Times New Roman"/>
        </w:rPr>
      </w:pPr>
      <w:r>
        <w:rPr>
          <w:rFonts w:ascii="Times New Roman" w:hAnsi="Times New Roman"/>
        </w:rPr>
        <w:t>委托人基于对受托人的信任，愿意以其合法拥有的标的债权转让和交付给受托人设立“</w:t>
      </w:r>
      <w:r>
        <w:rPr>
          <w:rFonts w:hint="eastAsia" w:ascii="Times New Roman" w:hAnsi="Times New Roman"/>
          <w:lang w:eastAsia="zh-CN"/>
        </w:rPr>
        <w:t>XXXXX</w:t>
      </w:r>
      <w:r>
        <w:rPr>
          <w:rFonts w:ascii="Times New Roman" w:hAnsi="Times New Roman"/>
        </w:rPr>
        <w:t>”，并指定受托人根据信托文件的约定管理运用信托财产，以委托人交付的财产权作为信托利益的来源，按信托合同约定向受益人分配信托利益。</w:t>
      </w:r>
    </w:p>
    <w:p w14:paraId="1D78198E">
      <w:pPr>
        <w:pStyle w:val="3"/>
        <w:numPr>
          <w:ilvl w:val="0"/>
          <w:numId w:val="5"/>
        </w:numPr>
        <w:rPr>
          <w:rFonts w:ascii="Times New Roman" w:hAnsi="Times New Roman"/>
        </w:rPr>
      </w:pPr>
      <w:bookmarkStart w:id="21" w:name="_Toc204497515"/>
      <w:bookmarkEnd w:id="21"/>
      <w:bookmarkStart w:id="22" w:name="_Toc110153413"/>
      <w:bookmarkStart w:id="23" w:name="_Toc501233655"/>
      <w:bookmarkStart w:id="24" w:name="_Toc111281765"/>
      <w:bookmarkStart w:id="25" w:name="_Toc92612903"/>
      <w:bookmarkStart w:id="26" w:name="_Toc201569374"/>
      <w:bookmarkStart w:id="27" w:name="_Toc101974045"/>
      <w:bookmarkStart w:id="28" w:name="_Toc101976670"/>
      <w:r>
        <w:rPr>
          <w:rFonts w:ascii="Times New Roman" w:hAnsi="Times New Roman"/>
        </w:rPr>
        <w:t>信托的</w:t>
      </w:r>
      <w:bookmarkEnd w:id="22"/>
      <w:bookmarkEnd w:id="23"/>
      <w:bookmarkEnd w:id="24"/>
      <w:bookmarkEnd w:id="25"/>
      <w:bookmarkEnd w:id="26"/>
      <w:r>
        <w:rPr>
          <w:rFonts w:ascii="Times New Roman" w:hAnsi="Times New Roman"/>
        </w:rPr>
        <w:t>基本情况</w:t>
      </w:r>
      <w:bookmarkEnd w:id="27"/>
      <w:bookmarkEnd w:id="28"/>
      <w:bookmarkStart w:id="29" w:name="_Toc487118867"/>
      <w:bookmarkEnd w:id="29"/>
      <w:bookmarkStart w:id="30" w:name="_Toc487118868"/>
      <w:bookmarkEnd w:id="30"/>
      <w:bookmarkStart w:id="31" w:name="_Toc146989561"/>
      <w:bookmarkEnd w:id="31"/>
      <w:bookmarkStart w:id="32" w:name="_Toc148440766"/>
      <w:bookmarkEnd w:id="32"/>
      <w:bookmarkStart w:id="33" w:name="_Toc146989559"/>
      <w:bookmarkEnd w:id="33"/>
      <w:bookmarkStart w:id="34" w:name="OLE_LINK4"/>
      <w:bookmarkEnd w:id="34"/>
      <w:bookmarkStart w:id="35" w:name="_Toc148384179"/>
      <w:bookmarkEnd w:id="35"/>
      <w:bookmarkStart w:id="36" w:name="_Toc487118856"/>
      <w:bookmarkEnd w:id="36"/>
      <w:bookmarkStart w:id="37" w:name="_Toc482112733"/>
      <w:bookmarkEnd w:id="37"/>
      <w:bookmarkStart w:id="38" w:name="_DV_M132"/>
      <w:bookmarkEnd w:id="38"/>
      <w:bookmarkStart w:id="39" w:name="_Toc487118860"/>
      <w:bookmarkEnd w:id="39"/>
      <w:bookmarkStart w:id="40" w:name="_Toc487118858"/>
      <w:bookmarkEnd w:id="40"/>
      <w:bookmarkStart w:id="41" w:name="_Toc148384176"/>
      <w:bookmarkEnd w:id="41"/>
      <w:bookmarkStart w:id="42" w:name="_Toc148440764"/>
      <w:bookmarkEnd w:id="42"/>
      <w:bookmarkStart w:id="43" w:name="_Toc148384174"/>
      <w:bookmarkEnd w:id="43"/>
      <w:bookmarkStart w:id="44" w:name="_DV_M136"/>
      <w:bookmarkEnd w:id="44"/>
      <w:bookmarkStart w:id="45" w:name="_DV_M47"/>
      <w:bookmarkEnd w:id="45"/>
      <w:bookmarkStart w:id="46" w:name="_Toc487118861"/>
      <w:bookmarkEnd w:id="46"/>
      <w:bookmarkStart w:id="47" w:name="_Toc487118859"/>
      <w:bookmarkEnd w:id="47"/>
      <w:bookmarkStart w:id="48" w:name="_DV_M43"/>
      <w:bookmarkEnd w:id="48"/>
      <w:bookmarkStart w:id="49" w:name="_DV_M45"/>
      <w:bookmarkEnd w:id="49"/>
      <w:bookmarkStart w:id="50" w:name="_Toc148440768"/>
      <w:bookmarkEnd w:id="50"/>
      <w:bookmarkStart w:id="51" w:name="_Toc487118869"/>
      <w:bookmarkEnd w:id="51"/>
      <w:bookmarkStart w:id="52" w:name="_Toc204497517"/>
      <w:bookmarkEnd w:id="52"/>
      <w:bookmarkStart w:id="53" w:name="_Toc148440769"/>
      <w:bookmarkEnd w:id="53"/>
      <w:bookmarkStart w:id="54" w:name="_Toc150895682"/>
      <w:bookmarkEnd w:id="54"/>
      <w:bookmarkStart w:id="55" w:name="_DV_M134"/>
      <w:bookmarkEnd w:id="55"/>
      <w:bookmarkStart w:id="56" w:name="_Toc482112734"/>
      <w:bookmarkEnd w:id="56"/>
      <w:bookmarkStart w:id="57" w:name="_DV_M44"/>
      <w:bookmarkEnd w:id="57"/>
      <w:bookmarkStart w:id="58" w:name="_Toc487118875"/>
      <w:bookmarkEnd w:id="58"/>
      <w:bookmarkStart w:id="59" w:name="_DV_M137"/>
      <w:bookmarkEnd w:id="59"/>
      <w:bookmarkStart w:id="60" w:name="_Toc487118864"/>
      <w:bookmarkEnd w:id="60"/>
      <w:bookmarkStart w:id="61" w:name="_Toc487118857"/>
      <w:bookmarkEnd w:id="61"/>
      <w:bookmarkStart w:id="62" w:name="_Toc487118872"/>
      <w:bookmarkEnd w:id="62"/>
      <w:bookmarkStart w:id="63" w:name="_Toc487118871"/>
      <w:bookmarkEnd w:id="63"/>
      <w:bookmarkStart w:id="64" w:name="_Toc487118862"/>
      <w:bookmarkEnd w:id="64"/>
      <w:bookmarkStart w:id="65" w:name="_Toc487118874"/>
      <w:bookmarkEnd w:id="65"/>
      <w:bookmarkStart w:id="66" w:name="_Toc487118866"/>
      <w:bookmarkEnd w:id="66"/>
      <w:bookmarkStart w:id="67" w:name="_Toc146989560"/>
      <w:bookmarkEnd w:id="67"/>
      <w:bookmarkStart w:id="68" w:name="_Toc482045506"/>
      <w:bookmarkEnd w:id="68"/>
      <w:bookmarkStart w:id="69" w:name="_DV_M133"/>
      <w:bookmarkEnd w:id="69"/>
      <w:bookmarkStart w:id="70" w:name="_Toc487118870"/>
      <w:bookmarkEnd w:id="70"/>
      <w:bookmarkStart w:id="71" w:name="_DV_M135"/>
      <w:bookmarkEnd w:id="71"/>
      <w:bookmarkStart w:id="72" w:name="_Toc487118863"/>
      <w:bookmarkEnd w:id="72"/>
      <w:bookmarkStart w:id="73" w:name="_Toc482045505"/>
      <w:bookmarkEnd w:id="73"/>
      <w:bookmarkStart w:id="74" w:name="_Toc487118873"/>
      <w:bookmarkEnd w:id="74"/>
      <w:bookmarkStart w:id="75" w:name="_Toc148384178"/>
      <w:bookmarkEnd w:id="75"/>
      <w:bookmarkStart w:id="76" w:name="_Toc487118865"/>
      <w:bookmarkEnd w:id="76"/>
      <w:bookmarkStart w:id="77" w:name="_Ref204427100"/>
      <w:bookmarkStart w:id="78" w:name="_Ref201483343"/>
      <w:bookmarkStart w:id="79" w:name="_Toc201569383"/>
    </w:p>
    <w:p w14:paraId="1D031008">
      <w:pPr>
        <w:pStyle w:val="2"/>
        <w:numPr>
          <w:ilvl w:val="1"/>
          <w:numId w:val="7"/>
        </w:numPr>
        <w:ind w:firstLineChars="0"/>
        <w:rPr>
          <w:rFonts w:ascii="Times New Roman" w:hAnsi="Times New Roman"/>
        </w:rPr>
      </w:pPr>
      <w:r>
        <w:rPr>
          <w:rFonts w:ascii="Times New Roman" w:hAnsi="Times New Roman"/>
        </w:rPr>
        <w:t>信托名称</w:t>
      </w:r>
    </w:p>
    <w:p w14:paraId="33062C31">
      <w:pPr>
        <w:pStyle w:val="2"/>
        <w:ind w:left="992" w:firstLine="0" w:firstLineChars="0"/>
        <w:rPr>
          <w:rFonts w:ascii="Times New Roman" w:hAnsi="Times New Roman"/>
        </w:rPr>
      </w:pPr>
      <w:r>
        <w:rPr>
          <w:rFonts w:ascii="Times New Roman" w:hAnsi="Times New Roman"/>
        </w:rPr>
        <w:t>本信托的名称为“</w:t>
      </w:r>
      <w:r>
        <w:rPr>
          <w:rFonts w:hint="eastAsia" w:ascii="Times New Roman" w:hAnsi="Times New Roman"/>
          <w:lang w:eastAsia="zh-CN"/>
        </w:rPr>
        <w:t>XXXXX</w:t>
      </w:r>
      <w:r>
        <w:rPr>
          <w:rFonts w:ascii="Times New Roman" w:hAnsi="Times New Roman"/>
        </w:rPr>
        <w:t>”</w:t>
      </w:r>
    </w:p>
    <w:p w14:paraId="51204980">
      <w:pPr>
        <w:pStyle w:val="2"/>
        <w:numPr>
          <w:ilvl w:val="1"/>
          <w:numId w:val="7"/>
        </w:numPr>
        <w:ind w:firstLineChars="0"/>
        <w:rPr>
          <w:rFonts w:ascii="Times New Roman" w:hAnsi="Times New Roman"/>
        </w:rPr>
      </w:pPr>
      <w:r>
        <w:rPr>
          <w:rFonts w:ascii="Times New Roman" w:hAnsi="Times New Roman"/>
        </w:rPr>
        <w:t>信托类型</w:t>
      </w:r>
      <w:r>
        <w:rPr>
          <w:rFonts w:ascii="Times New Roman" w:hAnsi="Times New Roman"/>
        </w:rPr>
        <w:tab/>
      </w:r>
      <w:r>
        <w:rPr>
          <w:rFonts w:ascii="Times New Roman" w:hAnsi="Times New Roman"/>
        </w:rPr>
        <w:tab/>
      </w:r>
    </w:p>
    <w:p w14:paraId="58700EC8">
      <w:pPr>
        <w:pStyle w:val="2"/>
        <w:ind w:left="992" w:firstLine="0" w:firstLineChars="0"/>
        <w:rPr>
          <w:rFonts w:ascii="Times New Roman" w:hAnsi="Times New Roman"/>
        </w:rPr>
      </w:pPr>
      <w:r>
        <w:rPr>
          <w:rFonts w:ascii="Times New Roman" w:hAnsi="Times New Roman"/>
        </w:rPr>
        <w:t>信托为委托人指定用途和管理方式的事务管理类信托。</w:t>
      </w:r>
    </w:p>
    <w:p w14:paraId="69130AF6">
      <w:pPr>
        <w:pStyle w:val="2"/>
        <w:numPr>
          <w:ilvl w:val="2"/>
          <w:numId w:val="8"/>
        </w:numPr>
        <w:ind w:firstLineChars="0"/>
        <w:rPr>
          <w:rFonts w:ascii="Times New Roman" w:hAnsi="Times New Roman"/>
        </w:rPr>
      </w:pPr>
      <w:r>
        <w:rPr>
          <w:rFonts w:ascii="Times New Roman" w:hAnsi="Times New Roman"/>
        </w:rPr>
        <w:t>信托为事务管理类信托，</w:t>
      </w:r>
      <w:r>
        <w:rPr>
          <w:rFonts w:hint="eastAsia" w:ascii="Times New Roman" w:hAnsi="Times New Roman"/>
        </w:rPr>
        <w:t>即由委托人自主决定信托设立、信托财产管理运用处分方式、受益人及受益权等事宜，受益人自行负责（或自行委托第三方负责）对委托人交付的标的债权可回收性进行前期尽职调查和后续风险监控、评估和管理，同意信托财产按本合同约定方式进行分配，自愿承担信托风险，受托人仅负责账户管理、信托登记薄管理、清算分配及提供或出具必要文件以配合信托目的实现等事务，受托人仅承担一般信托事务的执行职责，不承担主动管理的职责，不承担信托投资风险。</w:t>
      </w:r>
    </w:p>
    <w:p w14:paraId="231577B0">
      <w:pPr>
        <w:pStyle w:val="2"/>
        <w:numPr>
          <w:ilvl w:val="2"/>
          <w:numId w:val="8"/>
        </w:numPr>
        <w:ind w:firstLineChars="0"/>
        <w:rPr>
          <w:rFonts w:ascii="Times New Roman" w:hAnsi="Times New Roman"/>
        </w:rPr>
      </w:pPr>
      <w:r>
        <w:rPr>
          <w:rFonts w:ascii="Times New Roman" w:hAnsi="Times New Roman"/>
        </w:rPr>
        <w:t>委托人/受益人在此确认：受益人为信托的风险承担主体，信托不保本付息，不存在刚性兑付的安排，</w:t>
      </w:r>
      <w:r>
        <w:rPr>
          <w:rFonts w:hint="eastAsia" w:ascii="Times New Roman" w:hAnsi="Times New Roman"/>
        </w:rPr>
        <w:t>受托人仅为事务管理主体。</w:t>
      </w:r>
    </w:p>
    <w:p w14:paraId="59C74176">
      <w:pPr>
        <w:pStyle w:val="2"/>
        <w:numPr>
          <w:ilvl w:val="2"/>
          <w:numId w:val="8"/>
        </w:numPr>
        <w:ind w:firstLineChars="0"/>
        <w:rPr>
          <w:rFonts w:ascii="Times New Roman" w:hAnsi="Times New Roman"/>
        </w:rPr>
      </w:pPr>
      <w:r>
        <w:rPr>
          <w:rFonts w:ascii="Times New Roman" w:hAnsi="Times New Roman"/>
        </w:rPr>
        <w:t>委托人/受益人在此确认：受益人保留信托项下信托财产投资管理权限（但本合同约定受托人有权自行决定的以及相关文件中已经约定的事项除外）并自主向受托人发出受益人指令。承担因发出受益人指令而发生的风险，接受受益人指令产生的结果。受益人作为信托的指令权人，全程参与信托的管理、决策。受益人的书面指令违反法律、法规或损害其他善意第三人的利益，或者在法律上或事实上是不可执行的，或者超出受托人的事务管理类职责范围，受托人有权拒绝执行。</w:t>
      </w:r>
    </w:p>
    <w:p w14:paraId="75A163FB">
      <w:pPr>
        <w:pStyle w:val="2"/>
        <w:numPr>
          <w:ilvl w:val="2"/>
          <w:numId w:val="8"/>
        </w:numPr>
        <w:ind w:firstLineChars="0"/>
        <w:rPr>
          <w:rFonts w:ascii="Times New Roman" w:hAnsi="Times New Roman"/>
        </w:rPr>
      </w:pPr>
      <w:r>
        <w:rPr>
          <w:rFonts w:ascii="Times New Roman" w:hAnsi="Times New Roman"/>
        </w:rPr>
        <w:t>委托人/受益人为其有风险识别能力和风险承受能力的合格机构投资者，委托人/受益人已充分知悉信托项目风险，对项目交易结构、资金用途、模式及管控措施，对借款人的经营情况、财务情况、征信情况、信用情况，以及对底层资产状况、受托人在底层基础资产中的权利义务、委托人/受益人在本财产权信托中的权利义务等知悉并认可，并自愿承担相应风险。</w:t>
      </w:r>
    </w:p>
    <w:p w14:paraId="2D7A7BE3">
      <w:pPr>
        <w:pStyle w:val="2"/>
        <w:numPr>
          <w:ilvl w:val="2"/>
          <w:numId w:val="8"/>
        </w:numPr>
        <w:ind w:firstLineChars="0"/>
        <w:rPr>
          <w:rFonts w:ascii="Times New Roman" w:hAnsi="Times New Roman"/>
        </w:rPr>
      </w:pPr>
      <w:r>
        <w:rPr>
          <w:rFonts w:ascii="Times New Roman" w:hAnsi="Times New Roman"/>
        </w:rPr>
        <w:t>受托人不负责基础资产/标的债权相关数据、信息的真实性、准确性和完整性；全体委托人/受益人知晓基础资产/标的债权相关数据、信息的真实性、准确性和完整性。</w:t>
      </w:r>
    </w:p>
    <w:p w14:paraId="7BBA88D4">
      <w:pPr>
        <w:pStyle w:val="2"/>
        <w:numPr>
          <w:ilvl w:val="1"/>
          <w:numId w:val="7"/>
        </w:numPr>
        <w:ind w:firstLineChars="0"/>
        <w:rPr>
          <w:rFonts w:ascii="Times New Roman" w:hAnsi="Times New Roman"/>
        </w:rPr>
      </w:pPr>
      <w:r>
        <w:rPr>
          <w:rFonts w:ascii="Times New Roman" w:hAnsi="Times New Roman"/>
        </w:rPr>
        <w:t>信托财产</w:t>
      </w:r>
    </w:p>
    <w:p w14:paraId="069B6A86">
      <w:pPr>
        <w:pStyle w:val="2"/>
        <w:ind w:left="992" w:firstLine="0" w:firstLineChars="0"/>
        <w:rPr>
          <w:rFonts w:ascii="Times New Roman" w:hAnsi="Times New Roman"/>
        </w:rPr>
      </w:pPr>
      <w:r>
        <w:rPr>
          <w:rFonts w:ascii="Times New Roman" w:hAnsi="Times New Roman"/>
        </w:rPr>
        <w:t>委托人将其依据基础合同及《债权转让与确认协议》而对借款人享有的标的债权信托给受托人，作为信托项下的信托财产。于信托成立之日，信托财产为标的债权。</w:t>
      </w:r>
    </w:p>
    <w:p w14:paraId="42A554BB">
      <w:pPr>
        <w:pStyle w:val="2"/>
        <w:ind w:left="992" w:firstLine="0" w:firstLineChars="0"/>
        <w:rPr>
          <w:rFonts w:ascii="Times New Roman" w:hAnsi="Times New Roman"/>
        </w:rPr>
      </w:pPr>
      <w:r>
        <w:rPr>
          <w:rFonts w:hint="eastAsia" w:ascii="Times New Roman" w:hAnsi="Times New Roman"/>
        </w:rPr>
        <w:t>委托人与受托人在本合同签署时将同步签署</w:t>
      </w:r>
      <w:r>
        <w:rPr>
          <w:rFonts w:ascii="Times New Roman" w:hAnsi="Times New Roman"/>
        </w:rPr>
        <w:t>《债权转让与确认协议》</w:t>
      </w:r>
      <w:r>
        <w:rPr>
          <w:rFonts w:hint="eastAsia" w:ascii="Times New Roman" w:hAnsi="Times New Roman"/>
        </w:rPr>
        <w:t>，</w:t>
      </w:r>
      <w:r>
        <w:rPr>
          <w:rFonts w:ascii="Times New Roman" w:hAnsi="Times New Roman"/>
        </w:rPr>
        <w:t>《债权转让与确认协议》</w:t>
      </w:r>
      <w:r>
        <w:rPr>
          <w:rFonts w:hint="eastAsia" w:ascii="Times New Roman" w:hAnsi="Times New Roman"/>
        </w:rPr>
        <w:t>约定的</w:t>
      </w:r>
      <w:r>
        <w:rPr>
          <w:rFonts w:ascii="Times New Roman" w:hAnsi="Times New Roman"/>
        </w:rPr>
        <w:t>标的债权</w:t>
      </w:r>
      <w:r>
        <w:rPr>
          <w:rFonts w:hint="eastAsia" w:ascii="Times New Roman" w:hAnsi="Times New Roman"/>
        </w:rPr>
        <w:t>转让即为信托财产交付的方式。</w:t>
      </w:r>
    </w:p>
    <w:p w14:paraId="36025A5E">
      <w:pPr>
        <w:pStyle w:val="2"/>
        <w:numPr>
          <w:ilvl w:val="1"/>
          <w:numId w:val="7"/>
        </w:numPr>
        <w:ind w:firstLineChars="0"/>
        <w:rPr>
          <w:rFonts w:ascii="Times New Roman" w:hAnsi="Times New Roman"/>
        </w:rPr>
      </w:pPr>
      <w:r>
        <w:rPr>
          <w:rFonts w:ascii="Times New Roman" w:hAnsi="Times New Roman"/>
        </w:rPr>
        <w:t>有关信托财产的具体事宜</w:t>
      </w:r>
    </w:p>
    <w:p w14:paraId="1D5C66EF">
      <w:pPr>
        <w:pStyle w:val="2"/>
        <w:numPr>
          <w:ilvl w:val="2"/>
          <w:numId w:val="9"/>
        </w:numPr>
        <w:ind w:firstLineChars="0"/>
        <w:rPr>
          <w:rFonts w:ascii="Times New Roman" w:hAnsi="Times New Roman"/>
        </w:rPr>
      </w:pPr>
      <w:r>
        <w:rPr>
          <w:rFonts w:ascii="Times New Roman" w:hAnsi="Times New Roman"/>
        </w:rPr>
        <w:t>委托人应确保借款人与委托人及受托人于本合同签署之日前共同签署《债权转让与确认协议》，借款人应确认并认可委托人将标的债权信托给受托人的行为，并承诺自信托生效日起，借款人按照《债权转让与确认协议》的约定向受托人偿付标的债权。</w:t>
      </w:r>
    </w:p>
    <w:p w14:paraId="0ECF4965">
      <w:pPr>
        <w:pStyle w:val="2"/>
        <w:numPr>
          <w:ilvl w:val="2"/>
          <w:numId w:val="9"/>
        </w:numPr>
        <w:ind w:firstLineChars="0"/>
        <w:rPr>
          <w:rFonts w:ascii="Times New Roman" w:hAnsi="Times New Roman"/>
        </w:rPr>
      </w:pPr>
      <w:r>
        <w:rPr>
          <w:rFonts w:ascii="Times New Roman" w:hAnsi="Times New Roman"/>
        </w:rPr>
        <w:t>自信托生效日起，委托人即不再就标的债权对借款人享有任何权利，包括但不限于以委托人名义以任何方式向借款人追偿标的债权，亦无权收取借款人为清偿标的债权而支付的任何款项。</w:t>
      </w:r>
    </w:p>
    <w:p w14:paraId="0DDC06BB">
      <w:pPr>
        <w:pStyle w:val="2"/>
        <w:numPr>
          <w:ilvl w:val="2"/>
          <w:numId w:val="9"/>
        </w:numPr>
        <w:ind w:firstLineChars="0"/>
        <w:rPr>
          <w:rFonts w:ascii="Times New Roman" w:hAnsi="Times New Roman"/>
        </w:rPr>
      </w:pPr>
      <w:r>
        <w:rPr>
          <w:rFonts w:ascii="Times New Roman" w:hAnsi="Times New Roman"/>
        </w:rPr>
        <w:t>信托成立后，标的债权即成为信托的信托财产，信托项下的信托财产还包括受托人因对标的债权管理、运用、处分或者其他情形而取得的财产。</w:t>
      </w:r>
      <w:bookmarkEnd w:id="77"/>
      <w:bookmarkEnd w:id="78"/>
      <w:bookmarkEnd w:id="79"/>
      <w:bookmarkStart w:id="80" w:name="_Toc340397591"/>
      <w:bookmarkEnd w:id="80"/>
      <w:bookmarkStart w:id="81" w:name="_Toc340397383"/>
      <w:bookmarkEnd w:id="81"/>
      <w:bookmarkStart w:id="82" w:name="_Toc340397980"/>
      <w:bookmarkEnd w:id="82"/>
      <w:bookmarkStart w:id="83" w:name="_Toc340397599"/>
      <w:bookmarkEnd w:id="83"/>
      <w:bookmarkStart w:id="84" w:name="_Toc340397590"/>
      <w:bookmarkEnd w:id="84"/>
      <w:bookmarkStart w:id="85" w:name="_Toc340397981"/>
      <w:bookmarkEnd w:id="85"/>
      <w:bookmarkStart w:id="86" w:name="_Toc340397379"/>
      <w:bookmarkEnd w:id="86"/>
      <w:bookmarkStart w:id="87" w:name="_Toc340397389"/>
      <w:bookmarkEnd w:id="87"/>
      <w:bookmarkStart w:id="88" w:name="_Toc340397594"/>
      <w:bookmarkEnd w:id="88"/>
      <w:bookmarkStart w:id="89" w:name="_Toc340397989"/>
      <w:bookmarkEnd w:id="89"/>
      <w:bookmarkStart w:id="90" w:name="_Toc340397586"/>
      <w:bookmarkEnd w:id="90"/>
      <w:bookmarkStart w:id="91" w:name="_Toc340397374"/>
      <w:bookmarkEnd w:id="91"/>
      <w:bookmarkStart w:id="92" w:name="_Toc340397596"/>
      <w:bookmarkEnd w:id="92"/>
      <w:bookmarkStart w:id="93" w:name="_Toc340397589"/>
      <w:bookmarkEnd w:id="93"/>
      <w:bookmarkStart w:id="94" w:name="_Toc340397602"/>
      <w:bookmarkEnd w:id="94"/>
      <w:bookmarkStart w:id="95" w:name="_Toc340397136"/>
      <w:bookmarkEnd w:id="95"/>
      <w:bookmarkStart w:id="96" w:name="_Toc340397384"/>
      <w:bookmarkEnd w:id="96"/>
      <w:bookmarkStart w:id="97" w:name="_Toc340397130"/>
      <w:bookmarkEnd w:id="97"/>
      <w:bookmarkStart w:id="98" w:name="_Toc340397982"/>
      <w:bookmarkEnd w:id="98"/>
      <w:bookmarkStart w:id="99" w:name="_Toc340397990"/>
      <w:bookmarkEnd w:id="99"/>
      <w:bookmarkStart w:id="100" w:name="_Toc340397139"/>
      <w:bookmarkEnd w:id="100"/>
      <w:bookmarkStart w:id="101" w:name="_Toc340397597"/>
      <w:bookmarkEnd w:id="101"/>
      <w:bookmarkStart w:id="102" w:name="_Toc340397979"/>
      <w:bookmarkEnd w:id="102"/>
      <w:bookmarkStart w:id="103" w:name="_Toc340397382"/>
      <w:bookmarkEnd w:id="103"/>
      <w:bookmarkStart w:id="104" w:name="_Toc340397988"/>
      <w:bookmarkEnd w:id="104"/>
      <w:bookmarkStart w:id="105" w:name="_Toc340397978"/>
      <w:bookmarkEnd w:id="105"/>
      <w:bookmarkStart w:id="106" w:name="_Toc340397376"/>
      <w:bookmarkEnd w:id="106"/>
      <w:bookmarkStart w:id="107" w:name="_Toc340397595"/>
      <w:bookmarkEnd w:id="107"/>
      <w:bookmarkStart w:id="108" w:name="_Toc340397133"/>
      <w:bookmarkEnd w:id="108"/>
      <w:bookmarkStart w:id="109" w:name="_Toc340397385"/>
      <w:bookmarkEnd w:id="109"/>
      <w:bookmarkStart w:id="110" w:name="_Toc340397131"/>
      <w:bookmarkEnd w:id="110"/>
      <w:bookmarkStart w:id="111" w:name="_Toc340397388"/>
      <w:bookmarkEnd w:id="111"/>
      <w:bookmarkStart w:id="112" w:name="_Toc340397129"/>
      <w:bookmarkEnd w:id="112"/>
      <w:bookmarkStart w:id="113" w:name="_Toc340397600"/>
      <w:bookmarkEnd w:id="113"/>
      <w:bookmarkStart w:id="114" w:name="_Toc340397375"/>
      <w:bookmarkEnd w:id="114"/>
      <w:bookmarkStart w:id="115" w:name="_Toc340397598"/>
      <w:bookmarkEnd w:id="115"/>
      <w:bookmarkStart w:id="116" w:name="_Toc340397125"/>
      <w:bookmarkEnd w:id="116"/>
      <w:bookmarkStart w:id="117" w:name="_Toc340397593"/>
      <w:bookmarkEnd w:id="117"/>
      <w:bookmarkStart w:id="118" w:name="_Toc340397140"/>
      <w:bookmarkEnd w:id="118"/>
      <w:bookmarkStart w:id="119" w:name="_Toc340397592"/>
      <w:bookmarkEnd w:id="119"/>
      <w:bookmarkStart w:id="120" w:name="_Toc340397134"/>
      <w:bookmarkEnd w:id="120"/>
      <w:bookmarkStart w:id="121" w:name="_Toc340397984"/>
      <w:bookmarkEnd w:id="121"/>
      <w:bookmarkStart w:id="122" w:name="_Toc340397974"/>
      <w:bookmarkEnd w:id="122"/>
      <w:bookmarkStart w:id="123" w:name="_Toc340397985"/>
      <w:bookmarkEnd w:id="123"/>
      <w:bookmarkStart w:id="124" w:name="_Toc340397976"/>
      <w:bookmarkEnd w:id="124"/>
      <w:bookmarkStart w:id="125" w:name="_Toc340397986"/>
      <w:bookmarkEnd w:id="125"/>
      <w:bookmarkStart w:id="126" w:name="_Toc340397381"/>
      <w:bookmarkEnd w:id="126"/>
      <w:bookmarkStart w:id="127" w:name="_Toc340397983"/>
      <w:bookmarkEnd w:id="127"/>
      <w:bookmarkStart w:id="128" w:name="_Toc340397138"/>
      <w:bookmarkEnd w:id="128"/>
      <w:bookmarkStart w:id="129" w:name="_Toc340397588"/>
      <w:bookmarkEnd w:id="129"/>
      <w:bookmarkStart w:id="130" w:name="_Toc340397132"/>
      <w:bookmarkEnd w:id="130"/>
      <w:bookmarkStart w:id="131" w:name="_Toc340397128"/>
      <w:bookmarkEnd w:id="131"/>
      <w:bookmarkStart w:id="132" w:name="_Toc340397601"/>
      <w:bookmarkEnd w:id="132"/>
      <w:bookmarkStart w:id="133" w:name="_Toc340397373"/>
      <w:bookmarkEnd w:id="133"/>
      <w:bookmarkStart w:id="134" w:name="_Toc340397124"/>
      <w:bookmarkEnd w:id="134"/>
      <w:bookmarkStart w:id="135" w:name="_Toc340397141"/>
      <w:bookmarkEnd w:id="135"/>
      <w:bookmarkStart w:id="136" w:name="_Toc340397587"/>
      <w:bookmarkEnd w:id="136"/>
      <w:bookmarkStart w:id="137" w:name="_Toc340397378"/>
      <w:bookmarkEnd w:id="137"/>
      <w:bookmarkStart w:id="138" w:name="_Toc340397991"/>
      <w:bookmarkEnd w:id="138"/>
      <w:bookmarkStart w:id="139" w:name="_Toc204497520"/>
      <w:bookmarkEnd w:id="139"/>
      <w:bookmarkStart w:id="140" w:name="_Toc340397135"/>
      <w:bookmarkEnd w:id="140"/>
      <w:bookmarkStart w:id="141" w:name="_Toc340397127"/>
      <w:bookmarkEnd w:id="141"/>
      <w:bookmarkStart w:id="142" w:name="_Toc340397126"/>
      <w:bookmarkEnd w:id="142"/>
      <w:bookmarkStart w:id="143" w:name="_Toc340397977"/>
      <w:bookmarkEnd w:id="143"/>
      <w:bookmarkStart w:id="144" w:name="_Toc340397987"/>
      <w:bookmarkEnd w:id="144"/>
      <w:bookmarkStart w:id="145" w:name="bookmark172"/>
      <w:bookmarkEnd w:id="145"/>
      <w:bookmarkStart w:id="146" w:name="_Toc340397386"/>
      <w:bookmarkEnd w:id="146"/>
      <w:bookmarkStart w:id="147" w:name="_Toc340397975"/>
      <w:bookmarkEnd w:id="147"/>
      <w:bookmarkStart w:id="148" w:name="_Toc340397585"/>
      <w:bookmarkEnd w:id="148"/>
      <w:bookmarkStart w:id="149" w:name="_Toc340397380"/>
      <w:bookmarkEnd w:id="149"/>
      <w:bookmarkStart w:id="150" w:name="_Toc340397390"/>
      <w:bookmarkEnd w:id="150"/>
      <w:bookmarkStart w:id="151" w:name="_Toc340397377"/>
      <w:bookmarkEnd w:id="151"/>
      <w:bookmarkStart w:id="152" w:name="_Toc340397137"/>
      <w:bookmarkEnd w:id="152"/>
      <w:bookmarkStart w:id="153" w:name="_Toc340397387"/>
      <w:bookmarkEnd w:id="153"/>
    </w:p>
    <w:p w14:paraId="2EA5ECCA">
      <w:pPr>
        <w:pStyle w:val="3"/>
        <w:numPr>
          <w:ilvl w:val="0"/>
          <w:numId w:val="5"/>
        </w:numPr>
        <w:rPr>
          <w:rFonts w:ascii="Times New Roman" w:hAnsi="Times New Roman"/>
        </w:rPr>
      </w:pPr>
      <w:bookmarkStart w:id="154" w:name="_DV_M416"/>
      <w:bookmarkEnd w:id="154"/>
      <w:bookmarkStart w:id="155" w:name="_DV_M406"/>
      <w:bookmarkEnd w:id="155"/>
      <w:bookmarkStart w:id="156" w:name="_Toc148384195"/>
      <w:bookmarkEnd w:id="156"/>
      <w:bookmarkStart w:id="157" w:name="_Toc148440787"/>
      <w:bookmarkEnd w:id="157"/>
      <w:bookmarkStart w:id="158" w:name="_DV_M410"/>
      <w:bookmarkEnd w:id="158"/>
      <w:bookmarkStart w:id="159" w:name="_Toc148440777"/>
      <w:bookmarkEnd w:id="159"/>
      <w:bookmarkStart w:id="160" w:name="_DV_M417"/>
      <w:bookmarkEnd w:id="160"/>
      <w:bookmarkStart w:id="161" w:name="_Toc148440782"/>
      <w:bookmarkEnd w:id="161"/>
      <w:bookmarkStart w:id="162" w:name="_DV_M423"/>
      <w:bookmarkEnd w:id="162"/>
      <w:bookmarkStart w:id="163" w:name="_Toc148384187"/>
      <w:bookmarkEnd w:id="163"/>
      <w:bookmarkStart w:id="164" w:name="_DV_M429"/>
      <w:bookmarkEnd w:id="164"/>
      <w:bookmarkStart w:id="165" w:name="_DV_M431"/>
      <w:bookmarkEnd w:id="165"/>
      <w:bookmarkStart w:id="166" w:name="_Toc148440784"/>
      <w:bookmarkEnd w:id="166"/>
      <w:bookmarkStart w:id="167" w:name="_Toc148440780"/>
      <w:bookmarkEnd w:id="167"/>
      <w:bookmarkStart w:id="168" w:name="_Toc148384197"/>
      <w:bookmarkEnd w:id="168"/>
      <w:bookmarkStart w:id="169" w:name="_Toc148384191"/>
      <w:bookmarkEnd w:id="169"/>
      <w:bookmarkStart w:id="170" w:name="_Toc148440788"/>
      <w:bookmarkEnd w:id="170"/>
      <w:bookmarkStart w:id="171" w:name="_Toc148440791"/>
      <w:bookmarkEnd w:id="171"/>
      <w:bookmarkStart w:id="172" w:name="_Toc204497522"/>
      <w:bookmarkEnd w:id="172"/>
      <w:bookmarkStart w:id="173" w:name="_Toc148440794"/>
      <w:bookmarkEnd w:id="173"/>
      <w:bookmarkStart w:id="174" w:name="_Toc148384189"/>
      <w:bookmarkEnd w:id="174"/>
      <w:bookmarkStart w:id="175" w:name="_DV_M436"/>
      <w:bookmarkEnd w:id="175"/>
      <w:bookmarkStart w:id="176" w:name="_DV_M413"/>
      <w:bookmarkEnd w:id="176"/>
      <w:bookmarkStart w:id="177" w:name="_Toc146349244"/>
      <w:bookmarkEnd w:id="177"/>
      <w:bookmarkStart w:id="178" w:name="_Toc148440786"/>
      <w:bookmarkEnd w:id="178"/>
      <w:bookmarkStart w:id="179" w:name="_Toc148384201"/>
      <w:bookmarkEnd w:id="179"/>
      <w:bookmarkStart w:id="180" w:name="_DV_M409"/>
      <w:bookmarkEnd w:id="180"/>
      <w:bookmarkStart w:id="181" w:name="_DV_M455"/>
      <w:bookmarkEnd w:id="181"/>
      <w:bookmarkStart w:id="182" w:name="_Toc148384200"/>
      <w:bookmarkEnd w:id="182"/>
      <w:bookmarkStart w:id="183" w:name="_Toc148384190"/>
      <w:bookmarkEnd w:id="183"/>
      <w:bookmarkStart w:id="184" w:name="_Toc148384205"/>
      <w:bookmarkEnd w:id="184"/>
      <w:bookmarkStart w:id="185" w:name="_DV_M412"/>
      <w:bookmarkEnd w:id="185"/>
      <w:bookmarkStart w:id="186" w:name="_Toc146989568"/>
      <w:bookmarkEnd w:id="186"/>
      <w:bookmarkStart w:id="187" w:name="_DV_M425"/>
      <w:bookmarkEnd w:id="187"/>
      <w:bookmarkStart w:id="188" w:name="_DV_M422"/>
      <w:bookmarkEnd w:id="188"/>
      <w:bookmarkStart w:id="189" w:name="_Toc148384202"/>
      <w:bookmarkEnd w:id="189"/>
      <w:bookmarkStart w:id="190" w:name="_DV_M454"/>
      <w:bookmarkEnd w:id="190"/>
      <w:bookmarkStart w:id="191" w:name="_Toc148440779"/>
      <w:bookmarkEnd w:id="191"/>
      <w:bookmarkStart w:id="192" w:name="_Toc148384203"/>
      <w:bookmarkEnd w:id="192"/>
      <w:bookmarkStart w:id="193" w:name="_DV_M424"/>
      <w:bookmarkEnd w:id="193"/>
      <w:bookmarkStart w:id="194" w:name="_Toc146989572"/>
      <w:bookmarkEnd w:id="194"/>
      <w:bookmarkStart w:id="195" w:name="_Toc148384198"/>
      <w:bookmarkEnd w:id="195"/>
      <w:bookmarkStart w:id="196" w:name="_DV_M450"/>
      <w:bookmarkEnd w:id="196"/>
      <w:bookmarkStart w:id="197" w:name="_DV_M437"/>
      <w:bookmarkEnd w:id="197"/>
      <w:bookmarkStart w:id="198" w:name="_DV_M420"/>
      <w:bookmarkEnd w:id="198"/>
      <w:bookmarkStart w:id="199" w:name="_DV_M428"/>
      <w:bookmarkEnd w:id="199"/>
      <w:bookmarkStart w:id="200" w:name="_DV_M432"/>
      <w:bookmarkEnd w:id="200"/>
      <w:bookmarkStart w:id="201" w:name="_DV_M426"/>
      <w:bookmarkEnd w:id="201"/>
      <w:bookmarkStart w:id="202" w:name="_DV_M449"/>
      <w:bookmarkEnd w:id="202"/>
      <w:bookmarkStart w:id="203" w:name="_DV_M411"/>
      <w:bookmarkEnd w:id="203"/>
      <w:bookmarkStart w:id="204" w:name="_DV_M408"/>
      <w:bookmarkEnd w:id="204"/>
      <w:bookmarkStart w:id="205" w:name="_Toc146989567"/>
      <w:bookmarkEnd w:id="205"/>
      <w:bookmarkStart w:id="206" w:name="_DV_M421"/>
      <w:bookmarkEnd w:id="206"/>
      <w:bookmarkStart w:id="207" w:name="_DV_M404"/>
      <w:bookmarkEnd w:id="207"/>
      <w:bookmarkStart w:id="208" w:name="_Toc148440790"/>
      <w:bookmarkEnd w:id="208"/>
      <w:bookmarkStart w:id="209" w:name="_Toc148440785"/>
      <w:bookmarkEnd w:id="209"/>
      <w:bookmarkStart w:id="210" w:name="_DV_M427"/>
      <w:bookmarkEnd w:id="210"/>
      <w:bookmarkStart w:id="211" w:name="_Toc148440781"/>
      <w:bookmarkEnd w:id="211"/>
      <w:bookmarkStart w:id="212" w:name="_DV_M452"/>
      <w:bookmarkEnd w:id="212"/>
      <w:bookmarkStart w:id="213" w:name="_DV_M414"/>
      <w:bookmarkEnd w:id="213"/>
      <w:bookmarkStart w:id="214" w:name="_Toc148384193"/>
      <w:bookmarkEnd w:id="214"/>
      <w:bookmarkStart w:id="215" w:name="_Toc148384194"/>
      <w:bookmarkEnd w:id="215"/>
      <w:bookmarkStart w:id="216" w:name="_DV_M453"/>
      <w:bookmarkEnd w:id="216"/>
      <w:bookmarkStart w:id="217" w:name="_Toc148440792"/>
      <w:bookmarkEnd w:id="217"/>
      <w:bookmarkStart w:id="218" w:name="_DV_M407"/>
      <w:bookmarkEnd w:id="218"/>
      <w:bookmarkStart w:id="219" w:name="_DV_M451"/>
      <w:bookmarkEnd w:id="219"/>
      <w:bookmarkStart w:id="220" w:name="_DV_M405"/>
      <w:bookmarkEnd w:id="220"/>
      <w:bookmarkStart w:id="221" w:name="_DV_M430"/>
      <w:bookmarkEnd w:id="221"/>
      <w:bookmarkStart w:id="222" w:name="_DV_M415"/>
      <w:bookmarkEnd w:id="222"/>
      <w:bookmarkStart w:id="223" w:name="_Toc148384192"/>
      <w:bookmarkEnd w:id="223"/>
      <w:bookmarkStart w:id="224" w:name="_Toc146349245"/>
      <w:bookmarkEnd w:id="224"/>
      <w:bookmarkStart w:id="225" w:name="_DV_M418"/>
      <w:bookmarkEnd w:id="225"/>
      <w:bookmarkStart w:id="226" w:name="_Toc148440783"/>
      <w:bookmarkEnd w:id="226"/>
      <w:bookmarkStart w:id="227" w:name="_Toc148440795"/>
      <w:bookmarkEnd w:id="227"/>
      <w:bookmarkStart w:id="228" w:name="_DV_M419"/>
      <w:bookmarkEnd w:id="228"/>
      <w:bookmarkStart w:id="229" w:name="_Toc148384204"/>
      <w:bookmarkEnd w:id="229"/>
      <w:bookmarkStart w:id="230" w:name="_Toc148384196"/>
      <w:bookmarkEnd w:id="230"/>
      <w:bookmarkStart w:id="231" w:name="_Toc148440793"/>
      <w:bookmarkEnd w:id="231"/>
      <w:bookmarkStart w:id="232" w:name="_Toc501233659"/>
      <w:bookmarkStart w:id="233" w:name="_Toc101974046"/>
      <w:bookmarkStart w:id="234" w:name="_Toc101976671"/>
      <w:bookmarkStart w:id="235" w:name="_Toc111281786"/>
      <w:bookmarkStart w:id="236" w:name="_Toc201569405"/>
      <w:bookmarkStart w:id="237" w:name="_Toc110153436"/>
      <w:r>
        <w:rPr>
          <w:rFonts w:ascii="Times New Roman" w:hAnsi="Times New Roman"/>
        </w:rPr>
        <w:t>委托人的</w:t>
      </w:r>
      <w:bookmarkEnd w:id="232"/>
      <w:r>
        <w:rPr>
          <w:rFonts w:ascii="Times New Roman" w:hAnsi="Times New Roman"/>
        </w:rPr>
        <w:t>声明与承诺</w:t>
      </w:r>
      <w:bookmarkEnd w:id="233"/>
      <w:bookmarkEnd w:id="234"/>
    </w:p>
    <w:p w14:paraId="0375BE5F">
      <w:pPr>
        <w:pStyle w:val="118"/>
        <w:numPr>
          <w:ilvl w:val="1"/>
          <w:numId w:val="10"/>
        </w:numPr>
        <w:spacing w:before="156" w:beforeLines="50" w:after="156" w:afterLines="50"/>
        <w:ind w:firstLineChars="0"/>
        <w:outlineLvl w:val="0"/>
        <w:rPr>
          <w:rFonts w:ascii="Times New Roman" w:hAnsi="Times New Roman"/>
        </w:rPr>
      </w:pPr>
      <w:bookmarkStart w:id="238" w:name="_Toc101974047"/>
      <w:r>
        <w:rPr>
          <w:rFonts w:ascii="Times New Roman" w:hAnsi="Times New Roman"/>
        </w:rPr>
        <w:t>标的债权真实合法有效存在，且不存在任何未向受托人披露的瑕疵、已有的或潜在的争议或纠纷。</w:t>
      </w:r>
      <w:bookmarkEnd w:id="238"/>
    </w:p>
    <w:p w14:paraId="35C456DB">
      <w:pPr>
        <w:pStyle w:val="118"/>
        <w:numPr>
          <w:ilvl w:val="1"/>
          <w:numId w:val="10"/>
        </w:numPr>
        <w:spacing w:before="156" w:beforeLines="50" w:after="156" w:afterLines="50"/>
        <w:ind w:firstLineChars="0"/>
        <w:outlineLvl w:val="0"/>
        <w:rPr>
          <w:rFonts w:ascii="Times New Roman" w:hAnsi="Times New Roman"/>
        </w:rPr>
      </w:pPr>
      <w:bookmarkStart w:id="239" w:name="_Toc101974048"/>
      <w:r>
        <w:rPr>
          <w:rFonts w:ascii="Times New Roman" w:hAnsi="Times New Roman"/>
        </w:rPr>
        <w:t>委托人合法持有标的债权，标的债权上没有负担任何担保权益或其他权利限制或任何第三方的权利，依法可以信托。</w:t>
      </w:r>
      <w:bookmarkEnd w:id="239"/>
    </w:p>
    <w:p w14:paraId="5CF54F4E">
      <w:pPr>
        <w:pStyle w:val="118"/>
        <w:numPr>
          <w:ilvl w:val="1"/>
          <w:numId w:val="10"/>
        </w:numPr>
        <w:spacing w:before="156" w:beforeLines="50" w:after="156" w:afterLines="50"/>
        <w:ind w:firstLineChars="0"/>
        <w:outlineLvl w:val="0"/>
        <w:rPr>
          <w:rFonts w:ascii="Times New Roman" w:hAnsi="Times New Roman"/>
        </w:rPr>
      </w:pPr>
      <w:bookmarkStart w:id="240" w:name="_Toc101974049"/>
      <w:r>
        <w:rPr>
          <w:rFonts w:ascii="Times New Roman" w:hAnsi="Times New Roman"/>
        </w:rPr>
        <w:t>委托人已获得进行标的债权信托所必需的全部许可、授权及同意。</w:t>
      </w:r>
      <w:bookmarkEnd w:id="240"/>
    </w:p>
    <w:p w14:paraId="3F4430E4">
      <w:pPr>
        <w:pStyle w:val="118"/>
        <w:numPr>
          <w:ilvl w:val="1"/>
          <w:numId w:val="10"/>
        </w:numPr>
        <w:spacing w:before="156" w:beforeLines="50" w:after="156" w:afterLines="50"/>
        <w:ind w:firstLineChars="0"/>
        <w:outlineLvl w:val="0"/>
        <w:rPr>
          <w:rFonts w:ascii="Times New Roman" w:hAnsi="Times New Roman"/>
        </w:rPr>
      </w:pPr>
      <w:bookmarkStart w:id="241" w:name="_Toc101974050"/>
      <w:r>
        <w:rPr>
          <w:rFonts w:ascii="Times New Roman" w:hAnsi="Times New Roman"/>
        </w:rPr>
        <w:t>标的债权为借款人单方支付义务债权，受托人不负担委托人的任何义务、责任。</w:t>
      </w:r>
      <w:bookmarkEnd w:id="241"/>
    </w:p>
    <w:p w14:paraId="545CF78E">
      <w:pPr>
        <w:pStyle w:val="118"/>
        <w:numPr>
          <w:ilvl w:val="1"/>
          <w:numId w:val="10"/>
        </w:numPr>
        <w:spacing w:before="156" w:beforeLines="50" w:after="156" w:afterLines="50"/>
        <w:ind w:firstLineChars="0"/>
        <w:outlineLvl w:val="0"/>
        <w:rPr>
          <w:rFonts w:ascii="Times New Roman" w:hAnsi="Times New Roman"/>
        </w:rPr>
      </w:pPr>
      <w:bookmarkStart w:id="242" w:name="_Toc101974051"/>
      <w:r>
        <w:rPr>
          <w:rFonts w:ascii="Times New Roman" w:hAnsi="Times New Roman"/>
        </w:rPr>
        <w:t>委托人对金融市场风险有较高的认知度和承受能力，并根据其自己独立的审核以及其认为适当的专业意见，已经确定：</w:t>
      </w:r>
      <w:bookmarkEnd w:id="242"/>
    </w:p>
    <w:p w14:paraId="29806D87">
      <w:pPr>
        <w:pStyle w:val="118"/>
        <w:numPr>
          <w:ilvl w:val="2"/>
          <w:numId w:val="10"/>
        </w:numPr>
        <w:spacing w:before="156" w:beforeLines="50" w:after="156" w:afterLines="50"/>
        <w:ind w:firstLineChars="0"/>
        <w:outlineLvl w:val="0"/>
        <w:rPr>
          <w:rFonts w:ascii="Times New Roman" w:hAnsi="Times New Roman"/>
        </w:rPr>
      </w:pPr>
      <w:bookmarkStart w:id="243" w:name="_Toc101974052"/>
      <w:r>
        <w:rPr>
          <w:rFonts w:ascii="Times New Roman" w:hAnsi="Times New Roman"/>
        </w:rPr>
        <w:t>交付标的债权设立信托完全符合其财务需求、目标和条件；</w:t>
      </w:r>
      <w:bookmarkEnd w:id="243"/>
    </w:p>
    <w:p w14:paraId="45FE83C6">
      <w:pPr>
        <w:pStyle w:val="118"/>
        <w:numPr>
          <w:ilvl w:val="2"/>
          <w:numId w:val="10"/>
        </w:numPr>
        <w:spacing w:before="156" w:beforeLines="50" w:after="156" w:afterLines="50"/>
        <w:ind w:firstLineChars="0"/>
        <w:outlineLvl w:val="0"/>
        <w:rPr>
          <w:rFonts w:ascii="Times New Roman" w:hAnsi="Times New Roman"/>
        </w:rPr>
      </w:pPr>
      <w:bookmarkStart w:id="244" w:name="_Toc101974053"/>
      <w:r>
        <w:rPr>
          <w:rFonts w:ascii="Times New Roman" w:hAnsi="Times New Roman"/>
        </w:rPr>
        <w:t>交付标的债权设立信托时遵守并完全符合所适用于其的投资政策、指引和限制；</w:t>
      </w:r>
      <w:bookmarkEnd w:id="244"/>
    </w:p>
    <w:p w14:paraId="32413EC5">
      <w:pPr>
        <w:pStyle w:val="118"/>
        <w:numPr>
          <w:ilvl w:val="2"/>
          <w:numId w:val="10"/>
        </w:numPr>
        <w:spacing w:before="156" w:beforeLines="50" w:after="156" w:afterLines="50"/>
        <w:ind w:firstLineChars="0"/>
        <w:outlineLvl w:val="0"/>
        <w:rPr>
          <w:rFonts w:ascii="Times New Roman" w:hAnsi="Times New Roman"/>
        </w:rPr>
      </w:pPr>
      <w:bookmarkStart w:id="245" w:name="_Toc101974054"/>
      <w:r>
        <w:rPr>
          <w:rFonts w:ascii="Times New Roman" w:hAnsi="Times New Roman"/>
        </w:rPr>
        <w:t>交付标的馈权设立信托对其而言是合理、恰当而且适宜的投资，尽管投资本身存在明显切实的风险。</w:t>
      </w:r>
      <w:bookmarkEnd w:id="245"/>
    </w:p>
    <w:p w14:paraId="160B0BDE">
      <w:pPr>
        <w:pStyle w:val="118"/>
        <w:numPr>
          <w:ilvl w:val="1"/>
          <w:numId w:val="10"/>
        </w:numPr>
        <w:spacing w:before="156" w:beforeLines="50" w:after="156" w:afterLines="50"/>
        <w:ind w:firstLineChars="0"/>
        <w:outlineLvl w:val="0"/>
        <w:rPr>
          <w:rFonts w:ascii="Times New Roman" w:hAnsi="Times New Roman"/>
        </w:rPr>
      </w:pPr>
      <w:bookmarkStart w:id="246" w:name="_Toc101974055"/>
      <w:r>
        <w:rPr>
          <w:rFonts w:ascii="Times New Roman" w:hAnsi="Times New Roman"/>
        </w:rPr>
        <w:t>资产支持专项计划已将信托合同作为资产支持专项计划合同的附件或备查，投资者对信托合同的内容知悉认可。销售机构在资产支持专项计划产品推介、宣传过程中，不得违背信托合同中约定的相关条款，若发生前述禁止事项，受托人有权宣布信托计划提前终止，并由委托人承担一切责任和后果。</w:t>
      </w:r>
      <w:bookmarkEnd w:id="246"/>
    </w:p>
    <w:p w14:paraId="7F975DAE">
      <w:pPr>
        <w:pStyle w:val="118"/>
        <w:numPr>
          <w:ilvl w:val="1"/>
          <w:numId w:val="10"/>
        </w:numPr>
        <w:spacing w:before="156" w:beforeLines="50" w:after="156" w:afterLines="50"/>
        <w:ind w:firstLineChars="0"/>
        <w:outlineLvl w:val="0"/>
        <w:rPr>
          <w:rFonts w:ascii="Times New Roman" w:hAnsi="Times New Roman"/>
        </w:rPr>
      </w:pPr>
      <w:bookmarkStart w:id="247" w:name="_Toc101974056"/>
      <w:r>
        <w:rPr>
          <w:rFonts w:ascii="Times New Roman" w:hAnsi="Times New Roman"/>
        </w:rPr>
        <w:t>委托人知悉并认可信托项目各方的权利义务，自愿承担信托合同中由委托人承担的风险。</w:t>
      </w:r>
      <w:bookmarkEnd w:id="247"/>
    </w:p>
    <w:p w14:paraId="2473754E">
      <w:pPr>
        <w:pStyle w:val="3"/>
        <w:numPr>
          <w:ilvl w:val="0"/>
          <w:numId w:val="5"/>
        </w:numPr>
        <w:rPr>
          <w:rFonts w:ascii="Times New Roman" w:hAnsi="Times New Roman"/>
        </w:rPr>
      </w:pPr>
      <w:bookmarkStart w:id="248" w:name="_Toc101974057"/>
      <w:bookmarkStart w:id="249" w:name="_Toc101976672"/>
      <w:r>
        <w:rPr>
          <w:rFonts w:ascii="Times New Roman" w:hAnsi="Times New Roman"/>
        </w:rPr>
        <w:t>信托的成立与生效</w:t>
      </w:r>
      <w:bookmarkEnd w:id="248"/>
      <w:bookmarkEnd w:id="249"/>
    </w:p>
    <w:p w14:paraId="05D44362">
      <w:pPr>
        <w:pStyle w:val="2"/>
        <w:ind w:firstLine="480"/>
        <w:rPr>
          <w:rFonts w:ascii="Times New Roman" w:hAnsi="Times New Roman"/>
        </w:rPr>
      </w:pPr>
      <w:r>
        <w:rPr>
          <w:rFonts w:ascii="Times New Roman" w:hAnsi="Times New Roman"/>
        </w:rPr>
        <w:t>信托在如下条件均得到满足且受托人接到委托人通知宣布信托成立时成立：</w:t>
      </w:r>
    </w:p>
    <w:p w14:paraId="25491C27">
      <w:pPr>
        <w:pStyle w:val="2"/>
        <w:numPr>
          <w:ilvl w:val="0"/>
          <w:numId w:val="11"/>
        </w:numPr>
        <w:ind w:firstLineChars="0"/>
        <w:rPr>
          <w:rFonts w:ascii="Times New Roman" w:hAnsi="Times New Roman"/>
        </w:rPr>
      </w:pPr>
      <w:r>
        <w:rPr>
          <w:rFonts w:ascii="Times New Roman" w:hAnsi="Times New Roman"/>
        </w:rPr>
        <w:t>本合同已签署并生效；</w:t>
      </w:r>
    </w:p>
    <w:p w14:paraId="1CD41B4A">
      <w:pPr>
        <w:pStyle w:val="2"/>
        <w:numPr>
          <w:ilvl w:val="0"/>
          <w:numId w:val="11"/>
        </w:numPr>
        <w:ind w:firstLineChars="0"/>
        <w:rPr>
          <w:rFonts w:ascii="Times New Roman" w:hAnsi="Times New Roman"/>
        </w:rPr>
      </w:pPr>
      <w:r>
        <w:rPr>
          <w:rFonts w:ascii="Times New Roman" w:hAnsi="Times New Roman"/>
        </w:rPr>
        <w:t>《债权转让与确认协议》、《质押合同》、《抵押合同》、《保管合同》已妥为签署并生效；</w:t>
      </w:r>
    </w:p>
    <w:p w14:paraId="00750E22">
      <w:pPr>
        <w:pStyle w:val="2"/>
        <w:numPr>
          <w:ilvl w:val="0"/>
          <w:numId w:val="11"/>
        </w:numPr>
        <w:ind w:firstLineChars="0"/>
        <w:rPr>
          <w:rFonts w:ascii="Times New Roman" w:hAnsi="Times New Roman"/>
        </w:rPr>
      </w:pPr>
      <w:r>
        <w:rPr>
          <w:rFonts w:ascii="Times New Roman" w:hAnsi="Times New Roman"/>
        </w:rPr>
        <w:t>委托人已经根据基础合同的约定向借款人实际发放了借款资金</w:t>
      </w:r>
      <w:r>
        <w:rPr>
          <w:rFonts w:hint="eastAsia" w:ascii="Times New Roman" w:hAnsi="Times New Roman"/>
        </w:rPr>
        <w:t>并履行完毕基础合同项下其应履行的全部义务</w:t>
      </w:r>
      <w:r>
        <w:rPr>
          <w:rFonts w:ascii="Times New Roman" w:hAnsi="Times New Roman"/>
        </w:rPr>
        <w:t>，委托人合法持有标的债权</w:t>
      </w:r>
      <w:r>
        <w:rPr>
          <w:rFonts w:hint="eastAsia" w:ascii="Times New Roman" w:hAnsi="Times New Roman"/>
        </w:rPr>
        <w:t>；</w:t>
      </w:r>
    </w:p>
    <w:p w14:paraId="7E9E7497">
      <w:pPr>
        <w:pStyle w:val="2"/>
        <w:numPr>
          <w:ilvl w:val="0"/>
          <w:numId w:val="11"/>
        </w:numPr>
        <w:ind w:firstLineChars="0"/>
        <w:rPr>
          <w:rFonts w:ascii="Times New Roman" w:hAnsi="Times New Roman"/>
        </w:rPr>
      </w:pPr>
      <w:r>
        <w:rPr>
          <w:rFonts w:ascii="Times New Roman" w:hAnsi="Times New Roman"/>
        </w:rPr>
        <w:t>“专项计划”已在“上海证券交易所”获取无异议函。</w:t>
      </w:r>
    </w:p>
    <w:p w14:paraId="4F5197E2">
      <w:pPr>
        <w:pStyle w:val="2"/>
        <w:numPr>
          <w:ilvl w:val="255"/>
          <w:numId w:val="0"/>
        </w:numPr>
        <w:ind w:left="482" w:firstLine="480" w:firstLineChars="200"/>
        <w:rPr>
          <w:rFonts w:ascii="Times New Roman" w:hAnsi="Times New Roman"/>
        </w:rPr>
      </w:pPr>
      <w:r>
        <w:rPr>
          <w:rFonts w:hint="eastAsia" w:ascii="Times New Roman" w:hAnsi="Times New Roman"/>
        </w:rPr>
        <w:t>信托的存续以</w:t>
      </w:r>
      <w:r>
        <w:rPr>
          <w:rFonts w:ascii="Times New Roman" w:hAnsi="Times New Roman"/>
        </w:rPr>
        <w:t>“专项计划”</w:t>
      </w:r>
      <w:r>
        <w:rPr>
          <w:rFonts w:hint="eastAsia" w:ascii="Times New Roman" w:hAnsi="Times New Roman"/>
        </w:rPr>
        <w:t>的发行成功为前提条件，若</w:t>
      </w:r>
      <w:r>
        <w:rPr>
          <w:rFonts w:ascii="Times New Roman" w:hAnsi="Times New Roman"/>
        </w:rPr>
        <w:t>“专项计划”</w:t>
      </w:r>
      <w:r>
        <w:rPr>
          <w:rFonts w:hint="eastAsia" w:ascii="Times New Roman" w:hAnsi="Times New Roman"/>
        </w:rPr>
        <w:t>未能发行成功，受托人有权根据信托实际情况，提前终止信托。</w:t>
      </w:r>
    </w:p>
    <w:p w14:paraId="21CD1B83">
      <w:pPr>
        <w:pStyle w:val="2"/>
        <w:numPr>
          <w:ilvl w:val="255"/>
          <w:numId w:val="0"/>
        </w:numPr>
        <w:ind w:left="482" w:firstLine="480" w:firstLineChars="200"/>
        <w:rPr>
          <w:rFonts w:ascii="Times New Roman" w:hAnsi="Times New Roman"/>
        </w:rPr>
      </w:pPr>
      <w:r>
        <w:rPr>
          <w:rFonts w:ascii="Times New Roman" w:hAnsi="Times New Roman"/>
        </w:rPr>
        <w:t>受托人将本着诚实、信用的原则设立本信托，但受托人未对信托设立成功与否作出过任何陈述或承诺。</w:t>
      </w:r>
    </w:p>
    <w:p w14:paraId="32090696">
      <w:pPr>
        <w:pStyle w:val="3"/>
        <w:numPr>
          <w:ilvl w:val="0"/>
          <w:numId w:val="5"/>
        </w:numPr>
        <w:rPr>
          <w:rFonts w:ascii="Times New Roman" w:hAnsi="Times New Roman"/>
        </w:rPr>
      </w:pPr>
      <w:bookmarkStart w:id="250" w:name="_Toc340404038"/>
      <w:bookmarkEnd w:id="250"/>
      <w:bookmarkStart w:id="251" w:name="_Toc340404053"/>
      <w:bookmarkEnd w:id="251"/>
      <w:bookmarkStart w:id="252" w:name="_Toc340404037"/>
      <w:bookmarkEnd w:id="252"/>
      <w:bookmarkStart w:id="253" w:name="_Toc340404045"/>
      <w:bookmarkEnd w:id="253"/>
      <w:bookmarkStart w:id="254" w:name="_Toc340404035"/>
      <w:bookmarkEnd w:id="254"/>
      <w:bookmarkStart w:id="255" w:name="_Toc340404049"/>
      <w:bookmarkEnd w:id="255"/>
      <w:bookmarkStart w:id="256" w:name="_Toc340404043"/>
      <w:bookmarkEnd w:id="256"/>
      <w:bookmarkStart w:id="257" w:name="_Toc340404039"/>
      <w:bookmarkEnd w:id="257"/>
      <w:bookmarkStart w:id="258" w:name="_Toc340404050"/>
      <w:bookmarkEnd w:id="258"/>
      <w:bookmarkStart w:id="259" w:name="_Toc340404042"/>
      <w:bookmarkEnd w:id="259"/>
      <w:bookmarkStart w:id="260" w:name="_Toc340404054"/>
      <w:bookmarkEnd w:id="260"/>
      <w:bookmarkStart w:id="261" w:name="_Toc340404034"/>
      <w:bookmarkEnd w:id="261"/>
      <w:bookmarkStart w:id="262" w:name="_Toc340404048"/>
      <w:bookmarkEnd w:id="262"/>
      <w:bookmarkStart w:id="263" w:name="_Toc340404040"/>
      <w:bookmarkEnd w:id="263"/>
      <w:bookmarkStart w:id="264" w:name="_Toc340404046"/>
      <w:bookmarkEnd w:id="264"/>
      <w:bookmarkStart w:id="265" w:name="_Toc340404033"/>
      <w:bookmarkEnd w:id="265"/>
      <w:bookmarkStart w:id="266" w:name="_Toc340404052"/>
      <w:bookmarkEnd w:id="266"/>
      <w:bookmarkStart w:id="267" w:name="_Toc340404044"/>
      <w:bookmarkEnd w:id="267"/>
      <w:bookmarkStart w:id="268" w:name="_Toc340404047"/>
      <w:bookmarkEnd w:id="268"/>
      <w:bookmarkStart w:id="269" w:name="_Toc340404041"/>
      <w:bookmarkEnd w:id="269"/>
      <w:bookmarkStart w:id="270" w:name="_Toc340404051"/>
      <w:bookmarkEnd w:id="270"/>
      <w:bookmarkStart w:id="271" w:name="_Toc340404036"/>
      <w:bookmarkEnd w:id="271"/>
      <w:bookmarkStart w:id="272" w:name="_Toc101976673"/>
      <w:bookmarkStart w:id="273" w:name="_Toc101974058"/>
      <w:r>
        <w:rPr>
          <w:rFonts w:ascii="Times New Roman" w:hAnsi="Times New Roman"/>
        </w:rPr>
        <w:t>信托的期限</w:t>
      </w:r>
      <w:bookmarkEnd w:id="272"/>
      <w:bookmarkEnd w:id="273"/>
    </w:p>
    <w:p w14:paraId="43971C0E">
      <w:pPr>
        <w:pStyle w:val="118"/>
        <w:numPr>
          <w:ilvl w:val="1"/>
          <w:numId w:val="12"/>
        </w:numPr>
        <w:spacing w:before="156" w:beforeLines="50" w:after="156" w:afterLines="50"/>
        <w:ind w:firstLineChars="0"/>
        <w:outlineLvl w:val="0"/>
        <w:rPr>
          <w:rFonts w:ascii="Times New Roman" w:hAnsi="Times New Roman"/>
        </w:rPr>
      </w:pPr>
      <w:bookmarkStart w:id="274" w:name="_Toc101974059"/>
      <w:r>
        <w:rPr>
          <w:rFonts w:ascii="Times New Roman" w:hAnsi="Times New Roman"/>
        </w:rPr>
        <w:t>信托的预计存续期限为信托生效日起满【12】年之日或受托人根据本合同宣布信托终止之日。</w:t>
      </w:r>
      <w:bookmarkEnd w:id="274"/>
    </w:p>
    <w:p w14:paraId="21D75E26">
      <w:pPr>
        <w:pStyle w:val="118"/>
        <w:numPr>
          <w:ilvl w:val="1"/>
          <w:numId w:val="12"/>
        </w:numPr>
        <w:spacing w:before="156" w:beforeLines="50" w:after="156" w:afterLines="50"/>
        <w:ind w:firstLineChars="0"/>
        <w:outlineLvl w:val="0"/>
        <w:rPr>
          <w:rFonts w:ascii="Times New Roman" w:hAnsi="Times New Roman"/>
        </w:rPr>
      </w:pPr>
      <w:bookmarkStart w:id="275" w:name="_Toc101974060"/>
      <w:r>
        <w:rPr>
          <w:rFonts w:ascii="Times New Roman" w:hAnsi="Times New Roman"/>
        </w:rPr>
        <w:t>发生本合同或法律法规规定的其他信托存续期限延长的情形的，信托期限延长。</w:t>
      </w:r>
      <w:bookmarkEnd w:id="275"/>
    </w:p>
    <w:p w14:paraId="7161DF5F">
      <w:pPr>
        <w:pStyle w:val="118"/>
        <w:numPr>
          <w:ilvl w:val="1"/>
          <w:numId w:val="12"/>
        </w:numPr>
        <w:spacing w:before="156" w:beforeLines="50" w:after="156" w:afterLines="50"/>
        <w:ind w:firstLineChars="0"/>
        <w:outlineLvl w:val="0"/>
        <w:rPr>
          <w:rFonts w:ascii="Times New Roman" w:hAnsi="Times New Roman"/>
        </w:rPr>
      </w:pPr>
      <w:bookmarkStart w:id="276" w:name="_Toc101974061"/>
      <w:r>
        <w:rPr>
          <w:rFonts w:ascii="Times New Roman" w:hAnsi="Times New Roman"/>
        </w:rPr>
        <w:t>发生本合同规定的信托提前终止情形，或法律法规规定的其他信托提前终止情形的，信托可提前终止。</w:t>
      </w:r>
      <w:bookmarkEnd w:id="276"/>
    </w:p>
    <w:p w14:paraId="650B477F">
      <w:pPr>
        <w:pStyle w:val="3"/>
        <w:numPr>
          <w:ilvl w:val="0"/>
          <w:numId w:val="5"/>
        </w:numPr>
        <w:rPr>
          <w:rFonts w:ascii="Times New Roman" w:hAnsi="Times New Roman"/>
        </w:rPr>
      </w:pPr>
      <w:bookmarkStart w:id="277" w:name="_Toc101974062"/>
      <w:bookmarkStart w:id="278" w:name="_Toc101976674"/>
      <w:bookmarkStart w:id="279" w:name="_Toc501233662"/>
      <w:r>
        <w:rPr>
          <w:rFonts w:ascii="Times New Roman" w:hAnsi="Times New Roman"/>
        </w:rPr>
        <w:t>信</w:t>
      </w:r>
      <w:bookmarkStart w:id="280" w:name="_Toc92612923"/>
      <w:r>
        <w:rPr>
          <w:rFonts w:ascii="Times New Roman" w:hAnsi="Times New Roman"/>
        </w:rPr>
        <w:t>托受益权</w:t>
      </w:r>
      <w:bookmarkEnd w:id="235"/>
      <w:bookmarkEnd w:id="236"/>
      <w:bookmarkEnd w:id="237"/>
      <w:bookmarkEnd w:id="277"/>
      <w:bookmarkEnd w:id="278"/>
      <w:bookmarkEnd w:id="279"/>
      <w:bookmarkEnd w:id="280"/>
      <w:bookmarkStart w:id="281" w:name="_Toc207007304"/>
    </w:p>
    <w:p w14:paraId="53D2DB67">
      <w:pPr>
        <w:pStyle w:val="118"/>
        <w:numPr>
          <w:ilvl w:val="1"/>
          <w:numId w:val="13"/>
        </w:numPr>
        <w:spacing w:before="156" w:beforeLines="50" w:after="156" w:afterLines="50"/>
        <w:ind w:firstLineChars="0"/>
        <w:outlineLvl w:val="0"/>
        <w:rPr>
          <w:rFonts w:ascii="Times New Roman" w:hAnsi="Times New Roman"/>
        </w:rPr>
      </w:pPr>
      <w:bookmarkStart w:id="282" w:name="_Toc101974063"/>
      <w:r>
        <w:rPr>
          <w:rFonts w:ascii="Times New Roman" w:hAnsi="Times New Roman"/>
        </w:rPr>
        <w:t>信托的信托受益权</w:t>
      </w:r>
      <w:bookmarkEnd w:id="282"/>
    </w:p>
    <w:p w14:paraId="5FCBC4C4">
      <w:pPr>
        <w:pStyle w:val="118"/>
        <w:spacing w:before="156" w:beforeLines="50" w:after="156" w:afterLines="50"/>
        <w:ind w:left="992" w:firstLine="0" w:firstLineChars="0"/>
        <w:outlineLvl w:val="0"/>
        <w:rPr>
          <w:rFonts w:ascii="Times New Roman" w:hAnsi="Times New Roman"/>
        </w:rPr>
      </w:pPr>
      <w:bookmarkStart w:id="283" w:name="_Toc101974064"/>
      <w:r>
        <w:rPr>
          <w:rFonts w:ascii="Times New Roman" w:hAnsi="Times New Roman"/>
        </w:rPr>
        <w:t>信托成立时，委托人即为受益人，受益人自信托生效日起享有信托受益权。</w:t>
      </w:r>
      <w:bookmarkEnd w:id="283"/>
    </w:p>
    <w:p w14:paraId="67A7130C">
      <w:pPr>
        <w:pStyle w:val="118"/>
        <w:numPr>
          <w:ilvl w:val="1"/>
          <w:numId w:val="13"/>
        </w:numPr>
        <w:spacing w:before="156" w:beforeLines="50" w:after="156" w:afterLines="50"/>
        <w:ind w:firstLineChars="0"/>
        <w:outlineLvl w:val="0"/>
        <w:rPr>
          <w:rFonts w:ascii="Times New Roman" w:hAnsi="Times New Roman"/>
        </w:rPr>
      </w:pPr>
      <w:bookmarkStart w:id="284" w:name="_Toc101974065"/>
      <w:r>
        <w:rPr>
          <w:rFonts w:ascii="Times New Roman" w:hAnsi="Times New Roman"/>
        </w:rPr>
        <w:t>信托受益权的转让</w:t>
      </w:r>
      <w:bookmarkEnd w:id="284"/>
    </w:p>
    <w:p w14:paraId="78C57394">
      <w:pPr>
        <w:pStyle w:val="118"/>
        <w:numPr>
          <w:ilvl w:val="2"/>
          <w:numId w:val="13"/>
        </w:numPr>
        <w:spacing w:before="156" w:beforeLines="50" w:after="156" w:afterLines="50"/>
        <w:ind w:firstLineChars="0"/>
        <w:outlineLvl w:val="0"/>
        <w:rPr>
          <w:rFonts w:ascii="Times New Roman" w:hAnsi="Times New Roman"/>
        </w:rPr>
      </w:pPr>
      <w:bookmarkStart w:id="285" w:name="_Toc101974066"/>
      <w:r>
        <w:rPr>
          <w:rFonts w:ascii="Times New Roman" w:hAnsi="Times New Roman"/>
        </w:rPr>
        <w:t>信托存续期限内，受益人可以向合格投资者转让信托受益权，但应由受托人办理过户手续。受托人在本合同项下不收取转让登记手续费。</w:t>
      </w:r>
      <w:bookmarkEnd w:id="285"/>
    </w:p>
    <w:p w14:paraId="17F23A17">
      <w:pPr>
        <w:pStyle w:val="118"/>
        <w:numPr>
          <w:ilvl w:val="2"/>
          <w:numId w:val="13"/>
        </w:numPr>
        <w:spacing w:before="156" w:beforeLines="50" w:after="156" w:afterLines="50"/>
        <w:ind w:firstLineChars="0"/>
        <w:outlineLvl w:val="0"/>
        <w:rPr>
          <w:rFonts w:ascii="Times New Roman" w:hAnsi="Times New Roman"/>
        </w:rPr>
      </w:pPr>
      <w:bookmarkStart w:id="286" w:name="_Toc101974067"/>
      <w:r>
        <w:rPr>
          <w:rFonts w:ascii="Times New Roman" w:hAnsi="Times New Roman"/>
        </w:rPr>
        <w:t>信托项下的信托受益权不得进行拆分转让。</w:t>
      </w:r>
      <w:bookmarkEnd w:id="286"/>
    </w:p>
    <w:p w14:paraId="60DAA3B9">
      <w:pPr>
        <w:pStyle w:val="118"/>
        <w:numPr>
          <w:ilvl w:val="2"/>
          <w:numId w:val="13"/>
        </w:numPr>
        <w:spacing w:before="156" w:beforeLines="50" w:after="156" w:afterLines="50"/>
        <w:ind w:firstLineChars="0"/>
        <w:outlineLvl w:val="0"/>
        <w:rPr>
          <w:rFonts w:ascii="Times New Roman" w:hAnsi="Times New Roman"/>
        </w:rPr>
      </w:pPr>
      <w:bookmarkStart w:id="287" w:name="_Toc101974068"/>
      <w:r>
        <w:rPr>
          <w:rFonts w:ascii="Times New Roman" w:hAnsi="Times New Roman"/>
        </w:rPr>
        <w:t>受益人转让信托收益权将导致受托人违反法律法规的，受托人有权拒绝为受益人办理转让登记手续。</w:t>
      </w:r>
      <w:bookmarkEnd w:id="287"/>
    </w:p>
    <w:p w14:paraId="019583B4">
      <w:pPr>
        <w:pStyle w:val="118"/>
        <w:numPr>
          <w:ilvl w:val="2"/>
          <w:numId w:val="13"/>
        </w:numPr>
        <w:spacing w:before="156" w:beforeLines="50" w:after="156" w:afterLines="50"/>
        <w:ind w:firstLineChars="0"/>
        <w:outlineLvl w:val="0"/>
        <w:rPr>
          <w:rFonts w:ascii="Times New Roman" w:hAnsi="Times New Roman"/>
        </w:rPr>
      </w:pPr>
      <w:bookmarkStart w:id="288" w:name="_Toc101974069"/>
      <w:r>
        <w:rPr>
          <w:rFonts w:ascii="Times New Roman" w:hAnsi="Times New Roman"/>
        </w:rPr>
        <w:t>受益人转让信托受益权，出让、受让双方应持《信托合同》及已生效的信托受益权转让协议及相关身份证明文件，</w:t>
      </w:r>
      <w:r>
        <w:rPr>
          <w:rFonts w:hint="eastAsia" w:ascii="Times New Roman" w:hAnsi="Times New Roman"/>
        </w:rPr>
        <w:t>在</w:t>
      </w:r>
      <w:r>
        <w:rPr>
          <w:rFonts w:ascii="Times New Roman" w:hAnsi="Times New Roman"/>
        </w:rPr>
        <w:t>受托人处办理转让登记手续。未办理登记手续的，受托人视原登记的受益人为合法受益人，由此发生的经济和法律纠纷，与受托人无关。</w:t>
      </w:r>
      <w:bookmarkEnd w:id="288"/>
    </w:p>
    <w:p w14:paraId="7496D294">
      <w:pPr>
        <w:pStyle w:val="118"/>
        <w:numPr>
          <w:ilvl w:val="2"/>
          <w:numId w:val="13"/>
        </w:numPr>
        <w:spacing w:before="156" w:beforeLines="50" w:after="156" w:afterLines="50"/>
        <w:ind w:firstLineChars="0"/>
        <w:outlineLvl w:val="0"/>
        <w:rPr>
          <w:rFonts w:ascii="Times New Roman" w:hAnsi="Times New Roman"/>
        </w:rPr>
      </w:pPr>
      <w:bookmarkStart w:id="289" w:name="_Toc101974070"/>
      <w:r>
        <w:rPr>
          <w:rFonts w:ascii="Times New Roman" w:hAnsi="Times New Roman"/>
        </w:rPr>
        <w:t>受让人资格</w:t>
      </w:r>
      <w:bookmarkEnd w:id="289"/>
    </w:p>
    <w:p w14:paraId="212A75B8">
      <w:pPr>
        <w:pStyle w:val="118"/>
        <w:numPr>
          <w:ilvl w:val="3"/>
          <w:numId w:val="13"/>
        </w:numPr>
        <w:spacing w:before="156" w:beforeLines="50" w:after="156" w:afterLines="50"/>
        <w:ind w:firstLineChars="0"/>
        <w:outlineLvl w:val="0"/>
        <w:rPr>
          <w:rFonts w:ascii="Times New Roman" w:hAnsi="Times New Roman"/>
        </w:rPr>
      </w:pPr>
      <w:bookmarkStart w:id="290" w:name="_Toc101974071"/>
      <w:r>
        <w:rPr>
          <w:rFonts w:ascii="Times New Roman" w:hAnsi="Times New Roman"/>
        </w:rPr>
        <w:t>信托项下受让信托受益权的受让人应为在中华人民共和国境内居住的具有完全民事行为能力的自然人，或根据中国法律合法成立的法人或者依法成立的其他组织，并具备本合同下述条款所规定的合格投资者资格。受让人应为符合法律法规规定条件的合格投资者。其中，合格投资者，是指符合《关于规范金融机构资产管理业务的指导意见》（银发〔2018〕106号）、《证券公司及基金管理公司子公司资产证券化业务管理规定》所规定的各项资质要求的合格机构投资者。</w:t>
      </w:r>
      <w:bookmarkEnd w:id="290"/>
    </w:p>
    <w:p w14:paraId="7267B41F">
      <w:pPr>
        <w:pStyle w:val="118"/>
        <w:numPr>
          <w:ilvl w:val="2"/>
          <w:numId w:val="13"/>
        </w:numPr>
        <w:spacing w:before="156" w:beforeLines="50" w:after="156" w:afterLines="50"/>
        <w:ind w:firstLineChars="0"/>
        <w:outlineLvl w:val="0"/>
        <w:rPr>
          <w:rFonts w:ascii="Times New Roman" w:hAnsi="Times New Roman"/>
        </w:rPr>
      </w:pPr>
      <w:bookmarkStart w:id="291" w:name="_Toc101974075"/>
      <w:r>
        <w:rPr>
          <w:rFonts w:ascii="Times New Roman" w:hAnsi="Times New Roman"/>
        </w:rPr>
        <w:t>转让限制</w:t>
      </w:r>
      <w:bookmarkEnd w:id="291"/>
    </w:p>
    <w:p w14:paraId="3F3786B0">
      <w:pPr>
        <w:pStyle w:val="118"/>
        <w:spacing w:before="156" w:beforeLines="50" w:after="156" w:afterLines="50"/>
        <w:ind w:left="1418" w:firstLine="0" w:firstLineChars="0"/>
        <w:outlineLvl w:val="0"/>
        <w:rPr>
          <w:rFonts w:ascii="Times New Roman" w:hAnsi="Times New Roman"/>
        </w:rPr>
      </w:pPr>
      <w:bookmarkStart w:id="292" w:name="_Toc101974076"/>
      <w:r>
        <w:rPr>
          <w:rFonts w:ascii="Times New Roman" w:hAnsi="Times New Roman"/>
        </w:rPr>
        <w:t>信托项下的信托受益权不得进行拆分转让。</w:t>
      </w:r>
      <w:bookmarkEnd w:id="292"/>
    </w:p>
    <w:p w14:paraId="02E38CEC">
      <w:pPr>
        <w:pStyle w:val="118"/>
        <w:numPr>
          <w:ilvl w:val="2"/>
          <w:numId w:val="13"/>
        </w:numPr>
        <w:spacing w:before="156" w:beforeLines="50" w:after="156" w:afterLines="50"/>
        <w:ind w:firstLineChars="0"/>
        <w:outlineLvl w:val="0"/>
        <w:rPr>
          <w:rFonts w:ascii="Times New Roman" w:hAnsi="Times New Roman"/>
        </w:rPr>
      </w:pPr>
      <w:bookmarkStart w:id="293" w:name="_Toc101974077"/>
      <w:r>
        <w:rPr>
          <w:rFonts w:ascii="Times New Roman" w:hAnsi="Times New Roman"/>
        </w:rPr>
        <w:t>转让审查</w:t>
      </w:r>
      <w:bookmarkEnd w:id="293"/>
    </w:p>
    <w:p w14:paraId="5EA42450">
      <w:pPr>
        <w:pStyle w:val="118"/>
        <w:spacing w:before="156" w:beforeLines="50" w:after="156" w:afterLines="50"/>
        <w:ind w:left="1418" w:firstLine="0" w:firstLineChars="0"/>
        <w:outlineLvl w:val="0"/>
        <w:rPr>
          <w:rFonts w:ascii="Times New Roman" w:hAnsi="Times New Roman"/>
        </w:rPr>
      </w:pPr>
      <w:bookmarkStart w:id="294" w:name="_Toc101974078"/>
      <w:r>
        <w:rPr>
          <w:rFonts w:ascii="Times New Roman" w:hAnsi="Times New Roman"/>
        </w:rPr>
        <w:t>就信托受益权的转让事宜，受托人仅对相关手续、合同、协议等进行必要的形式审查，不对相关合同、协议的真实性、合法性、有效性承担任何责任。如受托人或信托财产因此承担损失的，受托人有权向原受益人追偿。</w:t>
      </w:r>
      <w:bookmarkEnd w:id="294"/>
    </w:p>
    <w:p w14:paraId="71ABB83C">
      <w:pPr>
        <w:pStyle w:val="118"/>
        <w:numPr>
          <w:ilvl w:val="2"/>
          <w:numId w:val="13"/>
        </w:numPr>
        <w:spacing w:before="156" w:beforeLines="50" w:after="156" w:afterLines="50"/>
        <w:ind w:firstLineChars="0"/>
        <w:outlineLvl w:val="0"/>
        <w:rPr>
          <w:rFonts w:ascii="Times New Roman" w:hAnsi="Times New Roman"/>
        </w:rPr>
      </w:pPr>
      <w:r>
        <w:rPr>
          <w:rFonts w:ascii="Times New Roman" w:hAnsi="Times New Roman"/>
        </w:rPr>
        <w:t>信托受益权取得</w:t>
      </w:r>
    </w:p>
    <w:p w14:paraId="1313D776">
      <w:pPr>
        <w:pStyle w:val="118"/>
        <w:spacing w:before="156" w:beforeLines="50" w:after="156" w:afterLines="50"/>
        <w:ind w:left="1418" w:firstLine="0" w:firstLineChars="0"/>
        <w:rPr>
          <w:rFonts w:ascii="Times New Roman" w:hAnsi="Times New Roman"/>
        </w:rPr>
      </w:pPr>
      <w:r>
        <w:rPr>
          <w:rFonts w:ascii="Times New Roman" w:hAnsi="Times New Roman"/>
        </w:rPr>
        <w:t>信托受益权转让时，买卖双方应共同到受托人处办理信托受益权转让登记，办理转让登记后方可对抗第三人。于信托受益权转让协议规定的转让条件满足之日起，信托受益权的受让方取得信托受益权，依法享有信托利益。</w:t>
      </w:r>
    </w:p>
    <w:p w14:paraId="2592575F">
      <w:pPr>
        <w:pStyle w:val="118"/>
        <w:numPr>
          <w:ilvl w:val="1"/>
          <w:numId w:val="13"/>
        </w:numPr>
        <w:spacing w:before="156" w:beforeLines="50" w:after="156" w:afterLines="50"/>
        <w:ind w:firstLineChars="0"/>
        <w:rPr>
          <w:rFonts w:ascii="Times New Roman" w:hAnsi="Times New Roman"/>
        </w:rPr>
      </w:pPr>
      <w:r>
        <w:rPr>
          <w:rFonts w:ascii="Times New Roman" w:hAnsi="Times New Roman"/>
        </w:rPr>
        <w:t>信托受益权的非交易过户</w:t>
      </w:r>
    </w:p>
    <w:p w14:paraId="09125019">
      <w:pPr>
        <w:pStyle w:val="118"/>
        <w:spacing w:before="156" w:beforeLines="50" w:after="156" w:afterLines="50"/>
        <w:ind w:left="992" w:firstLine="0" w:firstLineChars="0"/>
        <w:rPr>
          <w:rFonts w:ascii="Times New Roman" w:hAnsi="Times New Roman"/>
        </w:rPr>
      </w:pPr>
      <w:r>
        <w:rPr>
          <w:rFonts w:ascii="Times New Roman" w:hAnsi="Times New Roman"/>
        </w:rPr>
        <w:t>受益人在发生继承、捐赠、遗赠、自愿离婚、分家析产、国有资产无偿划转、机构合并或分立、机构清算、企业破产清算、司法执行等情况，受托人根据法律规定或国家权力机关要求办理非交易过户。非交易过户无需交纳过户登记费用。</w:t>
      </w:r>
    </w:p>
    <w:bookmarkEnd w:id="281"/>
    <w:p w14:paraId="5F9A957F">
      <w:pPr>
        <w:pStyle w:val="3"/>
        <w:numPr>
          <w:ilvl w:val="0"/>
          <w:numId w:val="5"/>
        </w:numPr>
        <w:rPr>
          <w:rFonts w:ascii="Times New Roman" w:hAnsi="Times New Roman"/>
        </w:rPr>
      </w:pPr>
      <w:bookmarkStart w:id="295" w:name="_Toc146989589"/>
      <w:bookmarkEnd w:id="295"/>
      <w:bookmarkStart w:id="296" w:name="_Toc106417380"/>
      <w:bookmarkEnd w:id="296"/>
      <w:bookmarkStart w:id="297" w:name="_Toc204497524"/>
      <w:bookmarkEnd w:id="297"/>
      <w:bookmarkStart w:id="298" w:name="_Toc101974079"/>
      <w:bookmarkStart w:id="299" w:name="_Toc501233663"/>
      <w:bookmarkStart w:id="300" w:name="_Toc201569412"/>
      <w:bookmarkStart w:id="301" w:name="_Toc101976675"/>
      <w:bookmarkStart w:id="302" w:name="_Ref150588804"/>
      <w:bookmarkStart w:id="303" w:name="_Ref150547317"/>
      <w:r>
        <w:rPr>
          <w:rFonts w:ascii="Times New Roman" w:hAnsi="Times New Roman"/>
        </w:rPr>
        <w:t>信托账户</w:t>
      </w:r>
      <w:bookmarkEnd w:id="298"/>
      <w:bookmarkEnd w:id="299"/>
      <w:bookmarkEnd w:id="300"/>
      <w:bookmarkEnd w:id="301"/>
    </w:p>
    <w:p w14:paraId="68C721B0">
      <w:pPr>
        <w:pStyle w:val="2"/>
        <w:ind w:firstLine="480"/>
        <w:rPr>
          <w:rFonts w:ascii="Times New Roman" w:hAnsi="Times New Roman"/>
        </w:rPr>
      </w:pPr>
      <w:r>
        <w:rPr>
          <w:rFonts w:ascii="Times New Roman" w:hAnsi="Times New Roman"/>
        </w:rPr>
        <w:t>受托人在信托在保管人处开立信托账户，信托账户信息如下：</w:t>
      </w:r>
    </w:p>
    <w:p w14:paraId="532B7D5E">
      <w:pPr>
        <w:pStyle w:val="2"/>
        <w:ind w:firstLine="480"/>
        <w:rPr>
          <w:rFonts w:ascii="Times New Roman" w:hAnsi="Times New Roman"/>
        </w:rPr>
      </w:pPr>
      <w:r>
        <w:rPr>
          <w:rFonts w:ascii="Times New Roman" w:hAnsi="Times New Roman"/>
        </w:rPr>
        <w:t>开户行：</w:t>
      </w:r>
    </w:p>
    <w:p w14:paraId="5322581B">
      <w:pPr>
        <w:pStyle w:val="2"/>
        <w:ind w:firstLine="480"/>
        <w:rPr>
          <w:rFonts w:ascii="Times New Roman" w:hAnsi="Times New Roman"/>
        </w:rPr>
      </w:pPr>
      <w:r>
        <w:rPr>
          <w:rFonts w:ascii="Times New Roman" w:hAnsi="Times New Roman"/>
        </w:rPr>
        <w:t>户名：</w:t>
      </w:r>
      <w:r>
        <w:rPr>
          <w:rFonts w:hint="eastAsia" w:ascii="Times New Roman" w:hAnsi="Times New Roman"/>
          <w:lang w:eastAsia="zh-CN"/>
        </w:rPr>
        <w:t>XXXXX</w:t>
      </w:r>
      <w:r>
        <w:rPr>
          <w:rFonts w:hint="eastAsia" w:ascii="Times New Roman" w:hAnsi="Times New Roman"/>
        </w:rPr>
        <w:t>信托专户</w:t>
      </w:r>
    </w:p>
    <w:p w14:paraId="1647DE3E">
      <w:pPr>
        <w:pStyle w:val="2"/>
        <w:ind w:firstLine="480"/>
        <w:rPr>
          <w:rFonts w:ascii="Times New Roman" w:hAnsi="Times New Roman"/>
        </w:rPr>
      </w:pPr>
      <w:r>
        <w:rPr>
          <w:rFonts w:ascii="Times New Roman" w:hAnsi="Times New Roman"/>
        </w:rPr>
        <w:t>账号：</w:t>
      </w:r>
    </w:p>
    <w:p w14:paraId="71CC17A2">
      <w:pPr>
        <w:pStyle w:val="3"/>
        <w:numPr>
          <w:ilvl w:val="0"/>
          <w:numId w:val="5"/>
        </w:numPr>
        <w:rPr>
          <w:rFonts w:ascii="Times New Roman" w:hAnsi="Times New Roman"/>
        </w:rPr>
      </w:pPr>
      <w:bookmarkStart w:id="304" w:name="_Toc204497528"/>
      <w:bookmarkEnd w:id="304"/>
      <w:bookmarkStart w:id="305" w:name="_Toc204497526"/>
      <w:bookmarkEnd w:id="305"/>
      <w:bookmarkStart w:id="306" w:name="_Toc101974080"/>
      <w:bookmarkStart w:id="307" w:name="_Toc101976676"/>
      <w:r>
        <w:rPr>
          <w:rFonts w:ascii="Times New Roman" w:hAnsi="Times New Roman"/>
        </w:rPr>
        <w:t>信托财产的管理、运用和处分</w:t>
      </w:r>
      <w:bookmarkEnd w:id="302"/>
      <w:bookmarkEnd w:id="303"/>
      <w:bookmarkEnd w:id="306"/>
      <w:bookmarkEnd w:id="307"/>
    </w:p>
    <w:p w14:paraId="5E8D6988">
      <w:pPr>
        <w:pStyle w:val="118"/>
        <w:numPr>
          <w:ilvl w:val="1"/>
          <w:numId w:val="14"/>
        </w:numPr>
        <w:spacing w:before="156" w:beforeLines="50" w:after="156" w:afterLines="50"/>
        <w:ind w:firstLineChars="0"/>
        <w:outlineLvl w:val="0"/>
        <w:rPr>
          <w:rFonts w:ascii="Times New Roman" w:hAnsi="Times New Roman"/>
          <w:b/>
        </w:rPr>
      </w:pPr>
      <w:bookmarkStart w:id="308" w:name="_Toc101974081"/>
      <w:r>
        <w:rPr>
          <w:rFonts w:ascii="Times New Roman" w:hAnsi="Times New Roman"/>
        </w:rPr>
        <w:t>信托财产</w:t>
      </w:r>
      <w:bookmarkEnd w:id="308"/>
    </w:p>
    <w:p w14:paraId="1D96E0DC">
      <w:pPr>
        <w:pStyle w:val="118"/>
        <w:spacing w:before="156" w:beforeLines="50" w:after="156" w:afterLines="50"/>
        <w:ind w:left="992" w:firstLine="0" w:firstLineChars="0"/>
        <w:outlineLvl w:val="0"/>
        <w:rPr>
          <w:rFonts w:ascii="Times New Roman" w:hAnsi="Times New Roman"/>
        </w:rPr>
      </w:pPr>
      <w:bookmarkStart w:id="309" w:name="_Toc101974082"/>
      <w:r>
        <w:rPr>
          <w:rFonts w:ascii="Times New Roman" w:hAnsi="Times New Roman"/>
        </w:rPr>
        <w:t>信托项下的信托财产包括但不限于以下资产：</w:t>
      </w:r>
      <w:bookmarkEnd w:id="309"/>
    </w:p>
    <w:p w14:paraId="3C33599C">
      <w:pPr>
        <w:pStyle w:val="118"/>
        <w:numPr>
          <w:ilvl w:val="2"/>
          <w:numId w:val="14"/>
        </w:numPr>
        <w:spacing w:before="156" w:beforeLines="50" w:after="156" w:afterLines="50"/>
        <w:ind w:firstLineChars="0"/>
        <w:outlineLvl w:val="0"/>
        <w:rPr>
          <w:rFonts w:ascii="Times New Roman" w:hAnsi="Times New Roman"/>
        </w:rPr>
      </w:pPr>
      <w:bookmarkStart w:id="310" w:name="_Toc101974083"/>
      <w:r>
        <w:rPr>
          <w:rFonts w:ascii="Times New Roman" w:hAnsi="Times New Roman"/>
        </w:rPr>
        <w:t>标的债权；</w:t>
      </w:r>
      <w:bookmarkEnd w:id="310"/>
    </w:p>
    <w:p w14:paraId="68CEEC83">
      <w:pPr>
        <w:pStyle w:val="118"/>
        <w:numPr>
          <w:ilvl w:val="2"/>
          <w:numId w:val="14"/>
        </w:numPr>
        <w:spacing w:before="156" w:beforeLines="50" w:after="156" w:afterLines="50"/>
        <w:ind w:firstLineChars="0"/>
        <w:outlineLvl w:val="0"/>
        <w:rPr>
          <w:rFonts w:ascii="Times New Roman" w:hAnsi="Times New Roman"/>
        </w:rPr>
      </w:pPr>
      <w:bookmarkStart w:id="311" w:name="_Toc101974084"/>
      <w:r>
        <w:rPr>
          <w:rFonts w:ascii="Times New Roman" w:hAnsi="Times New Roman"/>
        </w:rPr>
        <w:t>标的债权管理、运用、处分或者其他情形而形成的财产。</w:t>
      </w:r>
      <w:bookmarkEnd w:id="311"/>
    </w:p>
    <w:p w14:paraId="02C2937F">
      <w:pPr>
        <w:pStyle w:val="118"/>
        <w:numPr>
          <w:ilvl w:val="1"/>
          <w:numId w:val="14"/>
        </w:numPr>
        <w:spacing w:before="156" w:beforeLines="50" w:after="156" w:afterLines="50"/>
        <w:ind w:firstLineChars="0"/>
        <w:outlineLvl w:val="0"/>
        <w:rPr>
          <w:rFonts w:ascii="Times New Roman" w:hAnsi="Times New Roman"/>
          <w:b/>
        </w:rPr>
      </w:pPr>
      <w:bookmarkStart w:id="312" w:name="_Toc101974085"/>
      <w:r>
        <w:rPr>
          <w:rFonts w:ascii="Times New Roman" w:hAnsi="Times New Roman"/>
        </w:rPr>
        <w:t>信托财产之管理、运用和处分</w:t>
      </w:r>
      <w:bookmarkEnd w:id="312"/>
    </w:p>
    <w:p w14:paraId="0F52157F">
      <w:pPr>
        <w:pStyle w:val="118"/>
        <w:numPr>
          <w:ilvl w:val="2"/>
          <w:numId w:val="14"/>
        </w:numPr>
        <w:spacing w:before="156" w:beforeLines="50" w:after="156" w:afterLines="50"/>
        <w:ind w:firstLineChars="0"/>
        <w:outlineLvl w:val="0"/>
        <w:rPr>
          <w:rFonts w:ascii="Times New Roman" w:hAnsi="Times New Roman"/>
          <w:b/>
        </w:rPr>
      </w:pPr>
      <w:bookmarkStart w:id="313" w:name="_Toc101974086"/>
      <w:r>
        <w:rPr>
          <w:rFonts w:ascii="Times New Roman" w:hAnsi="Times New Roman"/>
        </w:rPr>
        <w:t>管理原则</w:t>
      </w:r>
      <w:bookmarkEnd w:id="313"/>
    </w:p>
    <w:p w14:paraId="5C230CFB">
      <w:pPr>
        <w:pStyle w:val="118"/>
        <w:numPr>
          <w:ilvl w:val="3"/>
          <w:numId w:val="14"/>
        </w:numPr>
        <w:spacing w:before="156" w:beforeLines="50" w:after="156" w:afterLines="50"/>
        <w:ind w:firstLineChars="0"/>
        <w:outlineLvl w:val="0"/>
        <w:rPr>
          <w:rFonts w:ascii="Times New Roman" w:hAnsi="Times New Roman"/>
          <w:b/>
        </w:rPr>
      </w:pPr>
      <w:bookmarkStart w:id="314" w:name="_Toc101974087"/>
      <w:r>
        <w:rPr>
          <w:rFonts w:ascii="Times New Roman" w:hAnsi="Times New Roman"/>
        </w:rPr>
        <w:t>受托人应当将信托财产与其固有财产分别管理、分别记账：不得将信托财产归入其固有财产或使信托财产成为其固有财产的一部分。</w:t>
      </w:r>
      <w:bookmarkEnd w:id="314"/>
    </w:p>
    <w:p w14:paraId="42B502C5">
      <w:pPr>
        <w:pStyle w:val="118"/>
        <w:numPr>
          <w:ilvl w:val="3"/>
          <w:numId w:val="14"/>
        </w:numPr>
        <w:spacing w:before="156" w:beforeLines="50" w:after="156" w:afterLines="50"/>
        <w:ind w:firstLineChars="0"/>
        <w:outlineLvl w:val="0"/>
        <w:rPr>
          <w:rFonts w:ascii="Times New Roman" w:hAnsi="Times New Roman"/>
          <w:b/>
        </w:rPr>
      </w:pPr>
      <w:bookmarkStart w:id="315" w:name="_Toc101974088"/>
      <w:r>
        <w:rPr>
          <w:rFonts w:ascii="Times New Roman" w:hAnsi="Times New Roman"/>
        </w:rPr>
        <w:t>受托人管理、运用信托财产所产生的债权，不得与其固有财产产生的债务相抵销。受托人管理、运用、处分其他信托财产所产生的债务，不得与信托项下信托财产所产生的债权相抵销。</w:t>
      </w:r>
      <w:bookmarkEnd w:id="315"/>
    </w:p>
    <w:p w14:paraId="4F084848">
      <w:pPr>
        <w:pStyle w:val="118"/>
        <w:numPr>
          <w:ilvl w:val="2"/>
          <w:numId w:val="14"/>
        </w:numPr>
        <w:spacing w:before="156" w:beforeLines="50" w:after="156" w:afterLines="50"/>
        <w:ind w:firstLineChars="0"/>
        <w:outlineLvl w:val="0"/>
        <w:rPr>
          <w:rFonts w:ascii="Times New Roman" w:hAnsi="Times New Roman"/>
          <w:b/>
        </w:rPr>
      </w:pPr>
      <w:bookmarkStart w:id="316" w:name="_Toc101974089"/>
      <w:r>
        <w:rPr>
          <w:rFonts w:ascii="Times New Roman" w:hAnsi="Times New Roman"/>
        </w:rPr>
        <w:t>受托人为信托在银行设立专用账户，即信托账户，并单独核算信托项下信托财产的来源、运用与损益，确保信托项下的信托财产与受托人的固有财产分别管理、分账核算。</w:t>
      </w:r>
      <w:bookmarkEnd w:id="316"/>
    </w:p>
    <w:p w14:paraId="432A6389">
      <w:pPr>
        <w:pStyle w:val="118"/>
        <w:numPr>
          <w:ilvl w:val="2"/>
          <w:numId w:val="14"/>
        </w:numPr>
        <w:spacing w:before="156" w:beforeLines="50" w:after="156" w:afterLines="50"/>
        <w:ind w:firstLineChars="0"/>
        <w:outlineLvl w:val="0"/>
        <w:rPr>
          <w:rFonts w:ascii="Times New Roman" w:hAnsi="Times New Roman"/>
          <w:b/>
        </w:rPr>
      </w:pPr>
      <w:bookmarkStart w:id="317" w:name="_Toc101974090"/>
      <w:r>
        <w:rPr>
          <w:rFonts w:ascii="Times New Roman" w:hAnsi="Times New Roman"/>
        </w:rPr>
        <w:t>信托财产的处置</w:t>
      </w:r>
      <w:bookmarkEnd w:id="317"/>
    </w:p>
    <w:p w14:paraId="44A2D19D">
      <w:pPr>
        <w:pStyle w:val="118"/>
        <w:spacing w:before="156" w:beforeLines="50" w:after="156" w:afterLines="50"/>
        <w:ind w:left="1418" w:firstLine="0" w:firstLineChars="0"/>
        <w:outlineLvl w:val="0"/>
        <w:rPr>
          <w:rFonts w:ascii="Times New Roman" w:hAnsi="Times New Roman"/>
        </w:rPr>
      </w:pPr>
      <w:bookmarkStart w:id="318" w:name="_Toc101974091"/>
      <w:r>
        <w:rPr>
          <w:rFonts w:ascii="Times New Roman" w:hAnsi="Times New Roman"/>
        </w:rPr>
        <w:t>基于管理、运用、处分信托财产的需要，经受益人书面同意后受托人有权以任何方式向任何第三方转让全部或部分信托财产。受托人持有的标的债权通过借款人归还本息或向受益人现状分配退出。</w:t>
      </w:r>
      <w:bookmarkEnd w:id="318"/>
    </w:p>
    <w:p w14:paraId="3DB62613">
      <w:pPr>
        <w:pStyle w:val="118"/>
        <w:spacing w:before="156" w:beforeLines="50" w:after="156" w:afterLines="50"/>
        <w:ind w:left="1418" w:firstLine="0" w:firstLineChars="0"/>
        <w:outlineLvl w:val="0"/>
        <w:rPr>
          <w:rFonts w:ascii="Times New Roman" w:hAnsi="Times New Roman"/>
        </w:rPr>
      </w:pPr>
      <w:bookmarkStart w:id="319" w:name="_Toc101974092"/>
      <w:r>
        <w:rPr>
          <w:rFonts w:ascii="Times New Roman" w:hAnsi="Times New Roman"/>
        </w:rPr>
        <w:t>在信托预计存续期限到期终止日或延长期内，因委托人及/或借款人原因导致受托人声誉受到损失的，受托人有权终止本信托并以《信托财产现状分配通知书》(格式见本合同附件)的形式将信托利益交付予受益人，受益人于受托人向其发出《信托财产现状分配通知书》之日起便视为已取得全部信托利益，信托财产已向其分配完毕。在受益人进行资产处置和管理的过程中，受托人应提供必要的配合，受益人承担由此产生的费用。</w:t>
      </w:r>
      <w:bookmarkEnd w:id="319"/>
    </w:p>
    <w:p w14:paraId="1E71842B">
      <w:pPr>
        <w:pStyle w:val="118"/>
        <w:numPr>
          <w:ilvl w:val="2"/>
          <w:numId w:val="14"/>
        </w:numPr>
        <w:spacing w:before="156" w:beforeLines="50" w:after="156" w:afterLines="50"/>
        <w:ind w:firstLineChars="0"/>
        <w:outlineLvl w:val="0"/>
        <w:rPr>
          <w:rFonts w:ascii="Times New Roman" w:hAnsi="Times New Roman"/>
        </w:rPr>
      </w:pPr>
      <w:bookmarkStart w:id="320" w:name="_Toc101974093"/>
      <w:r>
        <w:rPr>
          <w:rFonts w:ascii="Times New Roman" w:hAnsi="Times New Roman"/>
        </w:rPr>
        <w:t>《受益人指令》</w:t>
      </w:r>
      <w:bookmarkEnd w:id="320"/>
    </w:p>
    <w:p w14:paraId="6402CE3D">
      <w:pPr>
        <w:pStyle w:val="118"/>
        <w:numPr>
          <w:ilvl w:val="3"/>
          <w:numId w:val="14"/>
        </w:numPr>
        <w:spacing w:before="156" w:beforeLines="50" w:after="156" w:afterLines="50"/>
        <w:ind w:firstLineChars="0"/>
        <w:outlineLvl w:val="0"/>
        <w:rPr>
          <w:rFonts w:ascii="Times New Roman" w:hAnsi="Times New Roman"/>
        </w:rPr>
      </w:pPr>
      <w:bookmarkStart w:id="321" w:name="_Toc101974094"/>
      <w:r>
        <w:rPr>
          <w:rFonts w:ascii="Times New Roman" w:hAnsi="Times New Roman"/>
        </w:rPr>
        <w:t>《受益人指令》是指受益人在信托存续期限内，就信托财产的运用以及其它信托事务，向受托人发送的书面通知。</w:t>
      </w:r>
      <w:bookmarkEnd w:id="321"/>
    </w:p>
    <w:p w14:paraId="4CDBA4AB">
      <w:pPr>
        <w:pStyle w:val="118"/>
        <w:numPr>
          <w:ilvl w:val="3"/>
          <w:numId w:val="14"/>
        </w:numPr>
        <w:spacing w:before="156" w:beforeLines="50" w:after="156" w:afterLines="50"/>
        <w:ind w:firstLineChars="0"/>
        <w:outlineLvl w:val="0"/>
        <w:rPr>
          <w:rFonts w:ascii="Times New Roman" w:hAnsi="Times New Roman"/>
        </w:rPr>
      </w:pPr>
      <w:bookmarkStart w:id="322" w:name="_Toc101974095"/>
      <w:r>
        <w:rPr>
          <w:rFonts w:ascii="Times New Roman" w:hAnsi="Times New Roman"/>
        </w:rPr>
        <w:t>有效的《受益人指令》必须符合以下条件：</w:t>
      </w:r>
      <w:bookmarkEnd w:id="322"/>
    </w:p>
    <w:p w14:paraId="0C25E22D">
      <w:pPr>
        <w:pStyle w:val="118"/>
        <w:numPr>
          <w:ilvl w:val="0"/>
          <w:numId w:val="15"/>
        </w:numPr>
        <w:spacing w:before="156" w:beforeLines="50" w:after="156" w:afterLines="50"/>
        <w:ind w:firstLineChars="0"/>
        <w:outlineLvl w:val="0"/>
        <w:rPr>
          <w:rFonts w:ascii="Times New Roman" w:hAnsi="Times New Roman"/>
        </w:rPr>
      </w:pPr>
      <w:bookmarkStart w:id="323" w:name="_Toc101974096"/>
      <w:r>
        <w:rPr>
          <w:rFonts w:ascii="Times New Roman" w:hAnsi="Times New Roman"/>
        </w:rPr>
        <w:t>《受益人指令》应符合相关法律法规、规章的规定及监管部门的通知、决定的要求、并符合信托文件的规定，且是可执行的；</w:t>
      </w:r>
      <w:bookmarkEnd w:id="323"/>
    </w:p>
    <w:p w14:paraId="2D7AC2E8">
      <w:pPr>
        <w:pStyle w:val="118"/>
        <w:numPr>
          <w:ilvl w:val="0"/>
          <w:numId w:val="15"/>
        </w:numPr>
        <w:spacing w:before="156" w:beforeLines="50" w:after="156" w:afterLines="50"/>
        <w:ind w:firstLineChars="0"/>
        <w:outlineLvl w:val="0"/>
        <w:rPr>
          <w:rFonts w:ascii="Times New Roman" w:hAnsi="Times New Roman"/>
        </w:rPr>
      </w:pPr>
      <w:bookmarkStart w:id="324" w:name="_Toc101974097"/>
      <w:r>
        <w:rPr>
          <w:rFonts w:ascii="Times New Roman" w:hAnsi="Times New Roman"/>
        </w:rPr>
        <w:t>《受益人指令》需加盖公章，由被授权人签字；</w:t>
      </w:r>
      <w:bookmarkEnd w:id="324"/>
    </w:p>
    <w:p w14:paraId="036A4FD8">
      <w:pPr>
        <w:pStyle w:val="118"/>
        <w:numPr>
          <w:ilvl w:val="0"/>
          <w:numId w:val="15"/>
        </w:numPr>
        <w:spacing w:before="156" w:beforeLines="50" w:after="156" w:afterLines="50"/>
        <w:ind w:firstLineChars="0"/>
        <w:outlineLvl w:val="0"/>
        <w:rPr>
          <w:rFonts w:ascii="Times New Roman" w:hAnsi="Times New Roman"/>
        </w:rPr>
      </w:pPr>
      <w:bookmarkStart w:id="325" w:name="_Toc101974098"/>
      <w:r>
        <w:rPr>
          <w:rFonts w:ascii="Times New Roman" w:hAnsi="Times New Roman"/>
        </w:rPr>
        <w:t>不存在损害信托财产利益的情形，不存在受益人损害受托人合法财产权益的行为；</w:t>
      </w:r>
      <w:bookmarkEnd w:id="325"/>
    </w:p>
    <w:p w14:paraId="67D87337">
      <w:pPr>
        <w:pStyle w:val="118"/>
        <w:numPr>
          <w:ilvl w:val="0"/>
          <w:numId w:val="15"/>
        </w:numPr>
        <w:spacing w:before="156" w:beforeLines="50" w:after="156" w:afterLines="50"/>
        <w:ind w:firstLineChars="0"/>
        <w:outlineLvl w:val="0"/>
        <w:rPr>
          <w:rFonts w:ascii="Times New Roman" w:hAnsi="Times New Roman"/>
        </w:rPr>
      </w:pPr>
      <w:bookmarkStart w:id="326" w:name="_Toc101974099"/>
      <w:r>
        <w:rPr>
          <w:rFonts w:ascii="Times New Roman" w:hAnsi="Times New Roman"/>
        </w:rPr>
        <w:t>《受益人指令》应有明确的日期。不符合有效条件的《受益人指令》为无效指令，受托人有权拒绝执行无效的《受益人指令》；受托人认定指令无效时，应立即通知受益人并最迟在收到指令后的下一工作日书面通知受益人。</w:t>
      </w:r>
      <w:bookmarkEnd w:id="326"/>
    </w:p>
    <w:p w14:paraId="2CFC622B">
      <w:pPr>
        <w:pStyle w:val="118"/>
        <w:numPr>
          <w:ilvl w:val="0"/>
          <w:numId w:val="15"/>
        </w:numPr>
        <w:spacing w:before="156" w:beforeLines="50" w:after="156" w:afterLines="50"/>
        <w:ind w:firstLineChars="0"/>
        <w:outlineLvl w:val="0"/>
        <w:rPr>
          <w:rFonts w:ascii="Times New Roman" w:hAnsi="Times New Roman"/>
        </w:rPr>
      </w:pPr>
      <w:bookmarkStart w:id="327" w:name="_Toc101974100"/>
      <w:r>
        <w:rPr>
          <w:rFonts w:ascii="Times New Roman" w:hAnsi="Times New Roman"/>
        </w:rPr>
        <w:t>《受益人指令》的执行</w:t>
      </w:r>
      <w:bookmarkEnd w:id="327"/>
    </w:p>
    <w:p w14:paraId="3BEB792D">
      <w:pPr>
        <w:pStyle w:val="118"/>
        <w:spacing w:before="156" w:beforeLines="50" w:after="156" w:afterLines="50"/>
        <w:ind w:left="2464" w:firstLine="0" w:firstLineChars="0"/>
        <w:outlineLvl w:val="0"/>
        <w:rPr>
          <w:rFonts w:ascii="Times New Roman" w:hAnsi="Times New Roman"/>
        </w:rPr>
      </w:pPr>
      <w:bookmarkStart w:id="328" w:name="_Toc101974101"/>
      <w:r>
        <w:rPr>
          <w:rFonts w:ascii="Times New Roman" w:hAnsi="Times New Roman"/>
        </w:rPr>
        <w:t>《受益人指令》符合本合同规定的，受托人应立即执行《受益人指令》。受托人应恪尽职责，根据受益人的有效的《受益人指令》进行信托财产的管理，并应按照《受益人指令》积极行使受益人指定其签署的相关合同中所享有的权利、履行其在相关合同中所负有的义务，遇有影响或可能影响受益人利益的情况及时通知受益人，由受益人做出决定。如由于不可抗力或者指定签署的相关合同项下的交易对手受到不可抗力影响，导致受托人未能部分或全部完成受益人委托的, 受托人对此不承担责任。</w:t>
      </w:r>
      <w:bookmarkEnd w:id="328"/>
    </w:p>
    <w:p w14:paraId="4BAD8DD8">
      <w:pPr>
        <w:pStyle w:val="118"/>
        <w:numPr>
          <w:ilvl w:val="2"/>
          <w:numId w:val="14"/>
        </w:numPr>
        <w:spacing w:before="156" w:beforeLines="50" w:after="156" w:afterLines="50"/>
        <w:ind w:firstLineChars="0"/>
        <w:outlineLvl w:val="0"/>
        <w:rPr>
          <w:rFonts w:ascii="Times New Roman" w:hAnsi="Times New Roman"/>
        </w:rPr>
      </w:pPr>
      <w:bookmarkStart w:id="329" w:name="_Toc101974102"/>
      <w:r>
        <w:rPr>
          <w:rFonts w:ascii="Times New Roman" w:hAnsi="Times New Roman"/>
        </w:rPr>
        <w:t>受托人只提供事务管理服务，不对借款人、出质人、抵押人、质押物、抵押物和资金用途做实质性尽职调查和审核，不承担主动管理职责。但受托人有权对信托项目进行独立的尽职调查，确认信托项目合法合规。受托人对信托事务的管理职责仅限于：账户管理，资金划拨，信息的传递披露，信托财产的核算和分配以及信托财产的 管理、运用和处分过程中必要的手续办理。</w:t>
      </w:r>
      <w:bookmarkEnd w:id="329"/>
      <w:bookmarkStart w:id="330" w:name="OLE_LINK1182"/>
      <w:bookmarkEnd w:id="330"/>
      <w:bookmarkStart w:id="331" w:name="OLE_LINK118"/>
      <w:bookmarkEnd w:id="331"/>
    </w:p>
    <w:p w14:paraId="02E0C46B">
      <w:pPr>
        <w:pStyle w:val="3"/>
        <w:numPr>
          <w:ilvl w:val="0"/>
          <w:numId w:val="5"/>
        </w:numPr>
        <w:rPr>
          <w:rFonts w:ascii="Times New Roman" w:hAnsi="Times New Roman"/>
        </w:rPr>
      </w:pPr>
      <w:bookmarkStart w:id="332" w:name="_Toc101976677"/>
      <w:bookmarkStart w:id="333" w:name="_Toc101974103"/>
      <w:r>
        <w:rPr>
          <w:rFonts w:ascii="Times New Roman" w:hAnsi="Times New Roman"/>
        </w:rPr>
        <w:t>信托保障措施</w:t>
      </w:r>
      <w:bookmarkEnd w:id="332"/>
      <w:bookmarkEnd w:id="333"/>
    </w:p>
    <w:p w14:paraId="6C329460">
      <w:pPr>
        <w:pStyle w:val="118"/>
        <w:numPr>
          <w:ilvl w:val="1"/>
          <w:numId w:val="16"/>
        </w:numPr>
        <w:spacing w:before="156" w:beforeLines="50" w:after="156" w:afterLines="50"/>
        <w:ind w:firstLineChars="0"/>
        <w:outlineLvl w:val="0"/>
        <w:rPr>
          <w:rFonts w:ascii="Times New Roman" w:hAnsi="Times New Roman"/>
        </w:rPr>
      </w:pPr>
      <w:bookmarkStart w:id="334" w:name="_Toc101974104"/>
      <w:r>
        <w:rPr>
          <w:rFonts w:ascii="Times New Roman" w:hAnsi="Times New Roman"/>
        </w:rPr>
        <w:t>保障受益人信托利益的实现，信托设置了如下保障措施：</w:t>
      </w:r>
      <w:bookmarkEnd w:id="334"/>
    </w:p>
    <w:p w14:paraId="55B4F136">
      <w:pPr>
        <w:pStyle w:val="118"/>
        <w:numPr>
          <w:ilvl w:val="2"/>
          <w:numId w:val="16"/>
        </w:numPr>
        <w:spacing w:before="156" w:beforeLines="50" w:after="156" w:afterLines="50"/>
        <w:ind w:firstLineChars="0"/>
        <w:outlineLvl w:val="0"/>
        <w:rPr>
          <w:rFonts w:ascii="Times New Roman" w:hAnsi="Times New Roman"/>
        </w:rPr>
      </w:pPr>
      <w:bookmarkStart w:id="335" w:name="_Toc101974105"/>
      <w:r>
        <w:rPr>
          <w:rFonts w:ascii="Times New Roman" w:hAnsi="Times New Roman"/>
        </w:rPr>
        <w:t>为担保借款人在《债权转让与确认协议》项下标的债权本息偿还义务的履行，出质人以其持有的质押财产向受托人为标的债权提供质押担保，并以该等质押财产作为《债权转让与确认协议》项下标的债权本息的第一还款来源。出质人应当按照质权人的要求提供办理应收账款质押登记所需的文件、信息，协助质权人于</w:t>
      </w:r>
      <w:r>
        <w:rPr>
          <w:rFonts w:hint="eastAsia" w:ascii="Times New Roman" w:hAnsi="Times New Roman"/>
          <w:lang w:eastAsia="zh-CN"/>
        </w:rPr>
        <w:t>XXXXX</w:t>
      </w:r>
      <w:r>
        <w:rPr>
          <w:rFonts w:ascii="Times New Roman" w:hAnsi="Times New Roman"/>
        </w:rPr>
        <w:t>生效日起60个工作日内按照相关法律、法规在中国人民银行征信中心动产融资统一登记公示系统完成质押物的质押登记手续，使得质权人登记为质押物的第一顺位质权人。</w:t>
      </w:r>
      <w:bookmarkEnd w:id="335"/>
      <w:r>
        <w:rPr>
          <w:rFonts w:ascii="Times New Roman" w:hAnsi="Times New Roman"/>
        </w:rPr>
        <w:t>具体事项以《</w:t>
      </w:r>
      <w:r>
        <w:rPr>
          <w:rFonts w:hint="eastAsia" w:ascii="Times New Roman" w:hAnsi="Times New Roman"/>
        </w:rPr>
        <w:t>质押</w:t>
      </w:r>
      <w:r>
        <w:rPr>
          <w:rFonts w:ascii="Times New Roman" w:hAnsi="Times New Roman"/>
        </w:rPr>
        <w:t>合同》约定为准。</w:t>
      </w:r>
    </w:p>
    <w:p w14:paraId="6DA62DC3">
      <w:pPr>
        <w:pStyle w:val="118"/>
        <w:numPr>
          <w:ilvl w:val="2"/>
          <w:numId w:val="16"/>
        </w:numPr>
        <w:spacing w:before="156" w:beforeLines="50" w:after="156" w:afterLines="50"/>
        <w:ind w:firstLineChars="0"/>
        <w:outlineLvl w:val="0"/>
        <w:rPr>
          <w:rFonts w:ascii="Times New Roman" w:hAnsi="Times New Roman"/>
        </w:rPr>
      </w:pPr>
      <w:bookmarkStart w:id="336" w:name="_Toc101974106"/>
      <w:r>
        <w:rPr>
          <w:rFonts w:ascii="Times New Roman" w:hAnsi="Times New Roman"/>
        </w:rPr>
        <w:t>为担保借款人在《债权转让与确认协议》项下标的债权本息偿还义务的履行，抵押人以其持有的物业资产向受托人为标的债权提供</w:t>
      </w:r>
      <w:r>
        <w:rPr>
          <w:rFonts w:hint="eastAsia" w:ascii="Times New Roman" w:hAnsi="Times New Roman"/>
        </w:rPr>
        <w:t>第一顺位</w:t>
      </w:r>
      <w:r>
        <w:rPr>
          <w:rFonts w:ascii="Times New Roman" w:hAnsi="Times New Roman"/>
        </w:rPr>
        <w:t>抵押担保。抵押人应当按照抵押权人的要求提供办理抵押登记所需的文件、信息，协助抵押权人在</w:t>
      </w:r>
      <w:r>
        <w:rPr>
          <w:rFonts w:hint="eastAsia" w:ascii="Times New Roman" w:hAnsi="Times New Roman"/>
          <w:lang w:eastAsia="zh-CN"/>
        </w:rPr>
        <w:t>XXXXX</w:t>
      </w:r>
      <w:r>
        <w:rPr>
          <w:rFonts w:ascii="Times New Roman" w:hAnsi="Times New Roman"/>
        </w:rPr>
        <w:t>生效日起60个工作日内按照相关法律、法规至抵押物所在地不动产登记部门办理完毕抵押物的抵押登记手续，使得</w:t>
      </w:r>
      <w:r>
        <w:rPr>
          <w:rFonts w:hint="eastAsia" w:ascii="Times New Roman" w:hAnsi="Times New Roman"/>
        </w:rPr>
        <w:t>抵押权人</w:t>
      </w:r>
      <w:r>
        <w:rPr>
          <w:rFonts w:ascii="Times New Roman" w:hAnsi="Times New Roman"/>
        </w:rPr>
        <w:t>登记为</w:t>
      </w:r>
      <w:r>
        <w:rPr>
          <w:rFonts w:hint="eastAsia" w:ascii="Times New Roman" w:hAnsi="Times New Roman"/>
        </w:rPr>
        <w:t>抵押物</w:t>
      </w:r>
      <w:r>
        <w:rPr>
          <w:rFonts w:ascii="Times New Roman" w:hAnsi="Times New Roman"/>
        </w:rPr>
        <w:t>的第一顺位</w:t>
      </w:r>
      <w:r>
        <w:rPr>
          <w:rFonts w:hint="eastAsia" w:ascii="Times New Roman" w:hAnsi="Times New Roman"/>
        </w:rPr>
        <w:t>抵押权</w:t>
      </w:r>
      <w:r>
        <w:rPr>
          <w:rFonts w:ascii="Times New Roman" w:hAnsi="Times New Roman"/>
        </w:rPr>
        <w:t>人。</w:t>
      </w:r>
      <w:bookmarkEnd w:id="336"/>
      <w:r>
        <w:rPr>
          <w:rFonts w:ascii="Times New Roman" w:hAnsi="Times New Roman"/>
        </w:rPr>
        <w:t>具体事项以《抵押合同》约定为准。</w:t>
      </w:r>
    </w:p>
    <w:p w14:paraId="18D90919">
      <w:pPr>
        <w:pStyle w:val="118"/>
        <w:numPr>
          <w:ilvl w:val="1"/>
          <w:numId w:val="16"/>
        </w:numPr>
        <w:spacing w:before="156" w:beforeLines="50" w:after="156" w:afterLines="50"/>
        <w:ind w:firstLineChars="0"/>
        <w:outlineLvl w:val="0"/>
        <w:rPr>
          <w:rFonts w:ascii="Times New Roman" w:hAnsi="Times New Roman"/>
        </w:rPr>
      </w:pPr>
      <w:bookmarkStart w:id="337" w:name="_Toc101974108"/>
      <w:r>
        <w:rPr>
          <w:rFonts w:ascii="Times New Roman" w:hAnsi="Times New Roman"/>
        </w:rPr>
        <w:t>受益人在此确认：</w:t>
      </w:r>
      <w:bookmarkEnd w:id="337"/>
    </w:p>
    <w:p w14:paraId="02031826">
      <w:pPr>
        <w:pStyle w:val="118"/>
        <w:numPr>
          <w:ilvl w:val="2"/>
          <w:numId w:val="16"/>
        </w:numPr>
        <w:spacing w:before="156" w:beforeLines="50" w:after="156" w:afterLines="50"/>
        <w:ind w:firstLineChars="0"/>
        <w:outlineLvl w:val="0"/>
        <w:rPr>
          <w:rFonts w:ascii="Times New Roman" w:hAnsi="Times New Roman"/>
        </w:rPr>
      </w:pPr>
      <w:bookmarkStart w:id="338" w:name="_Toc101974109"/>
      <w:r>
        <w:rPr>
          <w:rFonts w:ascii="Times New Roman" w:hAnsi="Times New Roman"/>
        </w:rPr>
        <w:t>借款人有权根据《债权转让与确认协议》的约定，书面申请自愿提前偿还全部标的债权本息及其他费用的，受托人有权根据《受益人指令》同意该等申请。</w:t>
      </w:r>
      <w:bookmarkEnd w:id="338"/>
    </w:p>
    <w:p w14:paraId="1BBCA1D2">
      <w:pPr>
        <w:pStyle w:val="118"/>
        <w:numPr>
          <w:ilvl w:val="2"/>
          <w:numId w:val="16"/>
        </w:numPr>
        <w:spacing w:before="156" w:beforeLines="50" w:after="156" w:afterLines="50"/>
        <w:ind w:firstLineChars="0"/>
        <w:outlineLvl w:val="0"/>
        <w:rPr>
          <w:rFonts w:ascii="Times New Roman" w:hAnsi="Times New Roman"/>
        </w:rPr>
      </w:pPr>
      <w:bookmarkStart w:id="339" w:name="_Toc101974110"/>
      <w:r>
        <w:rPr>
          <w:rFonts w:ascii="Times New Roman" w:hAnsi="Times New Roman"/>
        </w:rPr>
        <w:t>当借款人发生《债权转让与确认协议》项下的违约事项或受托人有权宣布标的债权提前到期的其他情形时，受托人在知晓上述情况后应及时通知受益人；受托人将根据《受益人指令》决定是否要求借款人提前偿还《债权转让与确认协议》项下全部标的债权本息及其他费用。</w:t>
      </w:r>
      <w:bookmarkEnd w:id="339"/>
    </w:p>
    <w:p w14:paraId="5F24E6AC">
      <w:pPr>
        <w:pStyle w:val="118"/>
        <w:numPr>
          <w:ilvl w:val="2"/>
          <w:numId w:val="16"/>
        </w:numPr>
        <w:spacing w:before="156" w:beforeLines="50" w:after="156" w:afterLines="50"/>
        <w:ind w:firstLineChars="0"/>
        <w:outlineLvl w:val="0"/>
        <w:rPr>
          <w:rFonts w:ascii="Times New Roman" w:hAnsi="Times New Roman"/>
        </w:rPr>
      </w:pPr>
      <w:bookmarkStart w:id="340" w:name="_Toc101974111"/>
      <w:r>
        <w:rPr>
          <w:rFonts w:ascii="Times New Roman" w:hAnsi="Times New Roman"/>
        </w:rPr>
        <w:t>若受托人根据《受益人指令》要求借款人提前偿还《债权转让与确认协议》项下全部标的债权本息或根据《受益人指令》同意借款人提前偿还《债权转让与确认协议》项下全部标的债权本息及其他费用的，受托人将按照本合同约定的方式向受益人进行信托利益的分配。</w:t>
      </w:r>
      <w:bookmarkEnd w:id="340"/>
    </w:p>
    <w:p w14:paraId="0574C984">
      <w:pPr>
        <w:pStyle w:val="118"/>
        <w:numPr>
          <w:ilvl w:val="2"/>
          <w:numId w:val="16"/>
        </w:numPr>
        <w:spacing w:before="156" w:beforeLines="50" w:after="156" w:afterLines="50"/>
        <w:ind w:firstLineChars="0"/>
        <w:outlineLvl w:val="0"/>
        <w:rPr>
          <w:rFonts w:ascii="Times New Roman" w:hAnsi="Times New Roman"/>
        </w:rPr>
      </w:pPr>
      <w:bookmarkStart w:id="341" w:name="_Toc101974112"/>
      <w:r>
        <w:rPr>
          <w:rFonts w:ascii="Times New Roman" w:hAnsi="Times New Roman"/>
        </w:rPr>
        <w:t>在符合本合同要求的《受益人指令》出具前或者《受益人指令》未要求借款人提前偿还《债权转让与确认协议》项下全部标的本息及其他费用的，受托人将不会主动采取除向借款人发送催讨通知或要求借款人就违约事项进行书面说明外的任何措施，由此产生的费用及损失由信托财产承担或由受益人自行承担。</w:t>
      </w:r>
      <w:bookmarkEnd w:id="341"/>
    </w:p>
    <w:p w14:paraId="0BEA403A">
      <w:pPr>
        <w:pStyle w:val="118"/>
        <w:numPr>
          <w:ilvl w:val="2"/>
          <w:numId w:val="16"/>
        </w:numPr>
        <w:spacing w:before="156" w:beforeLines="50" w:after="156" w:afterLines="50"/>
        <w:ind w:firstLineChars="0"/>
        <w:outlineLvl w:val="0"/>
        <w:rPr>
          <w:rFonts w:ascii="Times New Roman" w:hAnsi="Times New Roman"/>
        </w:rPr>
      </w:pPr>
      <w:bookmarkStart w:id="342" w:name="_Toc101974113"/>
      <w:r>
        <w:rPr>
          <w:rFonts w:hint="eastAsia" w:ascii="Times New Roman" w:hAnsi="Times New Roman"/>
        </w:rPr>
        <w:t>如需处置抵押物、质押物的</w:t>
      </w:r>
      <w:r>
        <w:rPr>
          <w:rFonts w:ascii="Times New Roman" w:hAnsi="Times New Roman"/>
        </w:rPr>
        <w:t>，受托人</w:t>
      </w:r>
      <w:r>
        <w:rPr>
          <w:rFonts w:hint="eastAsia" w:ascii="Times New Roman" w:hAnsi="Times New Roman"/>
        </w:rPr>
        <w:t>将</w:t>
      </w:r>
      <w:r>
        <w:rPr>
          <w:rFonts w:ascii="Times New Roman" w:hAnsi="Times New Roman"/>
        </w:rPr>
        <w:t>根据《受益人指令》，就质押物行使质押权、就抵押物行使抵押权，或拍卖质押物和/或抵押物，或请求人民法院对质押物/抵押物进行拍卖，所得款项均应划入信托账户；受托人应于信托账户收到任何一笔划入款项(如有)后的次一工作日将信托账户内的全部现金在扣除信托费用、税费及规费后向受益人信托利益分配账户进行分配。</w:t>
      </w:r>
      <w:bookmarkEnd w:id="342"/>
    </w:p>
    <w:p w14:paraId="47432FA3">
      <w:pPr>
        <w:pStyle w:val="118"/>
        <w:numPr>
          <w:ilvl w:val="2"/>
          <w:numId w:val="16"/>
        </w:numPr>
        <w:spacing w:before="156" w:beforeLines="50" w:after="156" w:afterLines="50"/>
        <w:ind w:firstLineChars="0"/>
        <w:outlineLvl w:val="0"/>
        <w:rPr>
          <w:rFonts w:ascii="Times New Roman" w:hAnsi="Times New Roman"/>
        </w:rPr>
      </w:pPr>
      <w:bookmarkStart w:id="343" w:name="_Toc101974114"/>
      <w:r>
        <w:rPr>
          <w:rFonts w:ascii="Times New Roman" w:hAnsi="Times New Roman"/>
        </w:rPr>
        <w:t>受益人知悉并认可信托项目各方的权利义务</w:t>
      </w:r>
      <w:r>
        <w:rPr>
          <w:rFonts w:hint="eastAsia" w:ascii="Times New Roman" w:hAnsi="Times New Roman"/>
        </w:rPr>
        <w:t>以及信托各要素</w:t>
      </w:r>
      <w:r>
        <w:rPr>
          <w:rFonts w:ascii="Times New Roman" w:hAnsi="Times New Roman"/>
        </w:rPr>
        <w:t>，自愿承担信托合同中由受益人承担的风险。</w:t>
      </w:r>
      <w:bookmarkEnd w:id="343"/>
    </w:p>
    <w:p w14:paraId="345B5869">
      <w:pPr>
        <w:pStyle w:val="3"/>
        <w:numPr>
          <w:ilvl w:val="0"/>
          <w:numId w:val="5"/>
        </w:numPr>
        <w:rPr>
          <w:rFonts w:ascii="Times New Roman" w:hAnsi="Times New Roman"/>
        </w:rPr>
      </w:pPr>
      <w:bookmarkStart w:id="344" w:name="_Toc101974115"/>
      <w:bookmarkStart w:id="345" w:name="_Toc101976678"/>
      <w:r>
        <w:rPr>
          <w:rFonts w:ascii="Times New Roman" w:hAnsi="Times New Roman"/>
        </w:rPr>
        <w:t>延长期</w:t>
      </w:r>
      <w:bookmarkEnd w:id="344"/>
      <w:bookmarkEnd w:id="345"/>
    </w:p>
    <w:p w14:paraId="6853D156">
      <w:pPr>
        <w:spacing w:before="156" w:beforeLines="50" w:after="156" w:afterLines="50"/>
        <w:ind w:left="425"/>
        <w:outlineLvl w:val="0"/>
        <w:rPr>
          <w:rFonts w:ascii="Times New Roman" w:hAnsi="Times New Roman"/>
          <w:b/>
          <w:color w:val="000000"/>
        </w:rPr>
      </w:pPr>
      <w:bookmarkStart w:id="346" w:name="_Toc101974116"/>
      <w:r>
        <w:rPr>
          <w:rFonts w:ascii="Times New Roman" w:hAnsi="Times New Roman"/>
        </w:rPr>
        <w:t>除本合同另有约定外，信托预计存续期限届满之日，若信托财产尚未完全变现且信托财产的现金部分不足以支付根据本合同约定预计应予支付的信托利益及信托费用、税费及规费的，经委托人与受托人协商一致，信托进入延长期(“延长期”)，信托期限自动顺延至信托财产全部变现之日或虽未完全变现但变现所得已足以覆盖根据本合同约定预计应予支付的信托利益及信托费用、税费及规费，并足以全额收回标的债权未付本息及相应违约金、赔偿金(如有)，延长期内受托人根据受益人指令行使受托职责</w:t>
      </w:r>
      <w:bookmarkEnd w:id="346"/>
      <w:r>
        <w:rPr>
          <w:rFonts w:hint="eastAsia" w:ascii="Times New Roman" w:hAnsi="Times New Roman"/>
        </w:rPr>
        <w:t>。</w:t>
      </w:r>
    </w:p>
    <w:p w14:paraId="3981B357">
      <w:pPr>
        <w:pStyle w:val="3"/>
        <w:numPr>
          <w:ilvl w:val="0"/>
          <w:numId w:val="5"/>
        </w:numPr>
        <w:rPr>
          <w:rFonts w:ascii="Times New Roman" w:hAnsi="Times New Roman"/>
        </w:rPr>
      </w:pPr>
      <w:bookmarkStart w:id="347" w:name="_DV_M462"/>
      <w:bookmarkEnd w:id="347"/>
      <w:bookmarkStart w:id="348" w:name="_Toc340397672"/>
      <w:bookmarkEnd w:id="348"/>
      <w:bookmarkStart w:id="349" w:name="_Toc340398112"/>
      <w:bookmarkEnd w:id="349"/>
      <w:bookmarkStart w:id="350" w:name="_Toc340398084"/>
      <w:bookmarkEnd w:id="350"/>
      <w:bookmarkStart w:id="351" w:name="_Toc340397611"/>
      <w:bookmarkEnd w:id="351"/>
      <w:bookmarkStart w:id="352" w:name="_Toc340398034"/>
      <w:bookmarkEnd w:id="352"/>
      <w:bookmarkStart w:id="353" w:name="_Toc340398106"/>
      <w:bookmarkEnd w:id="353"/>
      <w:bookmarkStart w:id="354" w:name="_Toc340398174"/>
      <w:bookmarkEnd w:id="354"/>
      <w:bookmarkStart w:id="355" w:name="_Toc340398078"/>
      <w:bookmarkEnd w:id="355"/>
      <w:bookmarkStart w:id="356" w:name="_Toc340397735"/>
      <w:bookmarkEnd w:id="356"/>
      <w:bookmarkStart w:id="357" w:name="_Toc340397705"/>
      <w:bookmarkEnd w:id="357"/>
      <w:bookmarkStart w:id="358" w:name="_Toc340398087"/>
      <w:bookmarkEnd w:id="358"/>
      <w:bookmarkStart w:id="359" w:name="_Toc340397685"/>
      <w:bookmarkEnd w:id="359"/>
      <w:bookmarkStart w:id="360" w:name="_Toc340397740"/>
      <w:bookmarkEnd w:id="360"/>
      <w:bookmarkStart w:id="361" w:name="_Toc340398156"/>
      <w:bookmarkEnd w:id="361"/>
      <w:bookmarkStart w:id="362" w:name="_Toc340398026"/>
      <w:bookmarkEnd w:id="362"/>
      <w:bookmarkStart w:id="363" w:name="_Toc340397637"/>
      <w:bookmarkEnd w:id="363"/>
      <w:bookmarkStart w:id="364" w:name="_Toc340397647"/>
      <w:bookmarkEnd w:id="364"/>
      <w:bookmarkStart w:id="365" w:name="_Toc340398047"/>
      <w:bookmarkEnd w:id="365"/>
      <w:bookmarkStart w:id="366" w:name="_Toc340398006"/>
      <w:bookmarkEnd w:id="366"/>
      <w:bookmarkStart w:id="367" w:name="_Toc340397719"/>
      <w:bookmarkEnd w:id="367"/>
      <w:bookmarkStart w:id="368" w:name="_Toc340398061"/>
      <w:bookmarkEnd w:id="368"/>
      <w:bookmarkStart w:id="369" w:name="_Toc340398140"/>
      <w:bookmarkEnd w:id="369"/>
      <w:bookmarkStart w:id="370" w:name="_Toc340397677"/>
      <w:bookmarkEnd w:id="370"/>
      <w:bookmarkStart w:id="371" w:name="_Toc340398127"/>
      <w:bookmarkEnd w:id="371"/>
      <w:bookmarkStart w:id="372" w:name="_Toc340397771"/>
      <w:bookmarkEnd w:id="372"/>
      <w:bookmarkStart w:id="373" w:name="_Toc340397714"/>
      <w:bookmarkEnd w:id="373"/>
      <w:bookmarkStart w:id="374" w:name="_Toc340397629"/>
      <w:bookmarkEnd w:id="374"/>
      <w:bookmarkStart w:id="375" w:name="_Toc340397732"/>
      <w:bookmarkEnd w:id="375"/>
      <w:bookmarkStart w:id="376" w:name="_Toc340397754"/>
      <w:bookmarkEnd w:id="376"/>
      <w:bookmarkStart w:id="377" w:name="_Toc340397788"/>
      <w:bookmarkEnd w:id="377"/>
      <w:bookmarkStart w:id="378" w:name="_Toc340397747"/>
      <w:bookmarkEnd w:id="378"/>
      <w:bookmarkStart w:id="379" w:name="_Toc340398179"/>
      <w:bookmarkEnd w:id="379"/>
      <w:bookmarkStart w:id="380" w:name="_Toc106417386"/>
      <w:bookmarkEnd w:id="380"/>
      <w:bookmarkStart w:id="381" w:name="_Toc340398088"/>
      <w:bookmarkEnd w:id="381"/>
      <w:bookmarkStart w:id="382" w:name="_Toc340398038"/>
      <w:bookmarkEnd w:id="382"/>
      <w:bookmarkStart w:id="383" w:name="_Toc340398100"/>
      <w:bookmarkEnd w:id="383"/>
      <w:bookmarkStart w:id="384" w:name="_Toc340398069"/>
      <w:bookmarkEnd w:id="384"/>
      <w:bookmarkStart w:id="385" w:name="_Toc340397662"/>
      <w:bookmarkEnd w:id="385"/>
      <w:bookmarkStart w:id="386" w:name="_Toc340398139"/>
      <w:bookmarkEnd w:id="386"/>
      <w:bookmarkStart w:id="387" w:name="_Toc340397622"/>
      <w:bookmarkEnd w:id="387"/>
      <w:bookmarkStart w:id="388" w:name="_Toc340398141"/>
      <w:bookmarkEnd w:id="388"/>
      <w:bookmarkStart w:id="389" w:name="_Toc340398085"/>
      <w:bookmarkEnd w:id="389"/>
      <w:bookmarkStart w:id="390" w:name="_Toc340398170"/>
      <w:bookmarkEnd w:id="390"/>
      <w:bookmarkStart w:id="391" w:name="_Toc340398039"/>
      <w:bookmarkEnd w:id="391"/>
      <w:bookmarkStart w:id="392" w:name="_Toc340397709"/>
      <w:bookmarkEnd w:id="392"/>
      <w:bookmarkStart w:id="393" w:name="_Toc340397671"/>
      <w:bookmarkEnd w:id="393"/>
      <w:bookmarkStart w:id="394" w:name="_Toc340397691"/>
      <w:bookmarkEnd w:id="394"/>
      <w:bookmarkStart w:id="395" w:name="_Toc340398058"/>
      <w:bookmarkEnd w:id="395"/>
      <w:bookmarkStart w:id="396" w:name="_Toc340397733"/>
      <w:bookmarkEnd w:id="396"/>
      <w:bookmarkStart w:id="397" w:name="_Toc340398173"/>
      <w:bookmarkEnd w:id="397"/>
      <w:bookmarkStart w:id="398" w:name="_Toc340398146"/>
      <w:bookmarkEnd w:id="398"/>
      <w:bookmarkStart w:id="399" w:name="_Toc110370665"/>
      <w:bookmarkEnd w:id="399"/>
      <w:bookmarkStart w:id="400" w:name="_Toc340397639"/>
      <w:bookmarkEnd w:id="400"/>
      <w:bookmarkStart w:id="401" w:name="_Toc340397742"/>
      <w:bookmarkEnd w:id="401"/>
      <w:bookmarkStart w:id="402" w:name="_Toc340398153"/>
      <w:bookmarkEnd w:id="402"/>
      <w:bookmarkStart w:id="403" w:name="_Toc340397738"/>
      <w:bookmarkEnd w:id="403"/>
      <w:bookmarkStart w:id="404" w:name="_Toc340397646"/>
      <w:bookmarkEnd w:id="404"/>
      <w:bookmarkStart w:id="405" w:name="_Toc340397703"/>
      <w:bookmarkEnd w:id="405"/>
      <w:bookmarkStart w:id="406" w:name="_Toc340397688"/>
      <w:bookmarkEnd w:id="406"/>
      <w:bookmarkStart w:id="407" w:name="_Toc340398043"/>
      <w:bookmarkEnd w:id="407"/>
      <w:bookmarkStart w:id="408" w:name="_Toc340398028"/>
      <w:bookmarkEnd w:id="408"/>
      <w:bookmarkStart w:id="409" w:name="_Toc340397707"/>
      <w:bookmarkEnd w:id="409"/>
      <w:bookmarkStart w:id="410" w:name="_Toc340397786"/>
      <w:bookmarkEnd w:id="410"/>
      <w:bookmarkStart w:id="411" w:name="_Toc340398097"/>
      <w:bookmarkEnd w:id="411"/>
      <w:bookmarkStart w:id="412" w:name="_Toc340397626"/>
      <w:bookmarkEnd w:id="412"/>
      <w:bookmarkStart w:id="413" w:name="_Toc340398169"/>
      <w:bookmarkEnd w:id="413"/>
      <w:bookmarkStart w:id="414" w:name="_Toc340397679"/>
      <w:bookmarkEnd w:id="414"/>
      <w:bookmarkStart w:id="415" w:name="_Toc340398012"/>
      <w:bookmarkEnd w:id="415"/>
      <w:bookmarkStart w:id="416" w:name="_Toc340398045"/>
      <w:bookmarkEnd w:id="416"/>
      <w:bookmarkStart w:id="417" w:name="_DV_M471"/>
      <w:bookmarkEnd w:id="417"/>
      <w:bookmarkStart w:id="418" w:name="_Toc340397773"/>
      <w:bookmarkEnd w:id="418"/>
      <w:bookmarkStart w:id="419" w:name="_Toc340397675"/>
      <w:bookmarkEnd w:id="419"/>
      <w:bookmarkStart w:id="420" w:name="_Toc340398171"/>
      <w:bookmarkEnd w:id="420"/>
      <w:bookmarkStart w:id="421" w:name="_Toc340397666"/>
      <w:bookmarkEnd w:id="421"/>
      <w:bookmarkStart w:id="422" w:name="_Toc340397682"/>
      <w:bookmarkEnd w:id="422"/>
      <w:bookmarkStart w:id="423" w:name="_Toc340397755"/>
      <w:bookmarkEnd w:id="423"/>
      <w:bookmarkStart w:id="424" w:name="_Toc340397641"/>
      <w:bookmarkEnd w:id="424"/>
      <w:bookmarkStart w:id="425" w:name="_Toc340397657"/>
      <w:bookmarkEnd w:id="425"/>
      <w:bookmarkStart w:id="426" w:name="_Toc340398060"/>
      <w:bookmarkEnd w:id="426"/>
      <w:bookmarkStart w:id="427" w:name="_Toc340397763"/>
      <w:bookmarkEnd w:id="427"/>
      <w:bookmarkStart w:id="428" w:name="_Toc340397701"/>
      <w:bookmarkEnd w:id="428"/>
      <w:bookmarkStart w:id="429" w:name="_Toc340396533"/>
      <w:bookmarkEnd w:id="429"/>
      <w:bookmarkStart w:id="430" w:name="_Toc340397670"/>
      <w:bookmarkEnd w:id="430"/>
      <w:bookmarkStart w:id="431" w:name="_Toc340397727"/>
      <w:bookmarkEnd w:id="431"/>
      <w:bookmarkStart w:id="432" w:name="_Toc340398036"/>
      <w:bookmarkEnd w:id="432"/>
      <w:bookmarkStart w:id="433" w:name="_Toc340397687"/>
      <w:bookmarkEnd w:id="433"/>
      <w:bookmarkStart w:id="434" w:name="_Toc340397656"/>
      <w:bookmarkEnd w:id="434"/>
      <w:bookmarkStart w:id="435" w:name="_Toc340398116"/>
      <w:bookmarkEnd w:id="435"/>
      <w:bookmarkStart w:id="436" w:name="_Toc340398027"/>
      <w:bookmarkEnd w:id="436"/>
      <w:bookmarkStart w:id="437" w:name="_Toc340398149"/>
      <w:bookmarkEnd w:id="437"/>
      <w:bookmarkStart w:id="438" w:name="_Toc340397704"/>
      <w:bookmarkEnd w:id="438"/>
      <w:bookmarkStart w:id="439" w:name="_Toc340397734"/>
      <w:bookmarkEnd w:id="439"/>
      <w:bookmarkStart w:id="440" w:name="_DV_M472"/>
      <w:bookmarkEnd w:id="440"/>
      <w:bookmarkStart w:id="441" w:name="_Toc340397668"/>
      <w:bookmarkEnd w:id="441"/>
      <w:bookmarkStart w:id="442" w:name="_Toc340397612"/>
      <w:bookmarkEnd w:id="442"/>
      <w:bookmarkStart w:id="443" w:name="_Toc340397638"/>
      <w:bookmarkEnd w:id="443"/>
      <w:bookmarkStart w:id="444" w:name="_Toc340397720"/>
      <w:bookmarkEnd w:id="444"/>
      <w:bookmarkStart w:id="445" w:name="_Toc340397616"/>
      <w:bookmarkEnd w:id="445"/>
      <w:bookmarkStart w:id="446" w:name="_Toc340397653"/>
      <w:bookmarkEnd w:id="446"/>
      <w:bookmarkStart w:id="447" w:name="_DV_M470"/>
      <w:bookmarkEnd w:id="447"/>
      <w:bookmarkStart w:id="448" w:name="_Toc340397618"/>
      <w:bookmarkEnd w:id="448"/>
      <w:bookmarkStart w:id="449" w:name="_Toc340397699"/>
      <w:bookmarkEnd w:id="449"/>
      <w:bookmarkStart w:id="450" w:name="_Toc340397785"/>
      <w:bookmarkEnd w:id="450"/>
      <w:bookmarkStart w:id="451" w:name="_Toc340397713"/>
      <w:bookmarkEnd w:id="451"/>
      <w:bookmarkStart w:id="452" w:name="_Toc340398030"/>
      <w:bookmarkEnd w:id="452"/>
      <w:bookmarkStart w:id="453" w:name="_DV_M463"/>
      <w:bookmarkEnd w:id="453"/>
      <w:bookmarkStart w:id="454" w:name="_Toc340398137"/>
      <w:bookmarkEnd w:id="454"/>
      <w:bookmarkStart w:id="455" w:name="_Toc340397645"/>
      <w:bookmarkEnd w:id="455"/>
      <w:bookmarkStart w:id="456" w:name="_DV_M493"/>
      <w:bookmarkEnd w:id="456"/>
      <w:bookmarkStart w:id="457" w:name="_Toc340397779"/>
      <w:bookmarkEnd w:id="457"/>
      <w:bookmarkStart w:id="458" w:name="_Toc340398011"/>
      <w:bookmarkEnd w:id="458"/>
      <w:bookmarkStart w:id="459" w:name="_Toc340398041"/>
      <w:bookmarkEnd w:id="459"/>
      <w:bookmarkStart w:id="460" w:name="_Toc340398004"/>
      <w:bookmarkEnd w:id="460"/>
      <w:bookmarkStart w:id="461" w:name="_Toc340397769"/>
      <w:bookmarkEnd w:id="461"/>
      <w:bookmarkStart w:id="462" w:name="_Toc340398104"/>
      <w:bookmarkEnd w:id="462"/>
      <w:bookmarkStart w:id="463" w:name="_Toc340397661"/>
      <w:bookmarkEnd w:id="463"/>
      <w:bookmarkStart w:id="464" w:name="_Toc340397644"/>
      <w:bookmarkEnd w:id="464"/>
      <w:bookmarkStart w:id="465" w:name="_Toc340398155"/>
      <w:bookmarkEnd w:id="465"/>
      <w:bookmarkStart w:id="466" w:name="_Toc340397724"/>
      <w:bookmarkEnd w:id="466"/>
      <w:bookmarkStart w:id="467" w:name="_Toc340397748"/>
      <w:bookmarkEnd w:id="467"/>
      <w:bookmarkStart w:id="468" w:name="_Toc340397636"/>
      <w:bookmarkEnd w:id="468"/>
      <w:bookmarkStart w:id="469" w:name="_Toc340397632"/>
      <w:bookmarkEnd w:id="469"/>
      <w:bookmarkStart w:id="470" w:name="_Toc340397614"/>
      <w:bookmarkEnd w:id="470"/>
      <w:bookmarkStart w:id="471" w:name="_Toc340398162"/>
      <w:bookmarkEnd w:id="471"/>
      <w:bookmarkStart w:id="472" w:name="_Toc340397761"/>
      <w:bookmarkEnd w:id="472"/>
      <w:bookmarkStart w:id="473" w:name="_Toc340397721"/>
      <w:bookmarkEnd w:id="473"/>
      <w:bookmarkStart w:id="474" w:name="_Toc340398099"/>
      <w:bookmarkEnd w:id="474"/>
      <w:bookmarkStart w:id="475" w:name="_Toc340398079"/>
      <w:bookmarkEnd w:id="475"/>
      <w:bookmarkStart w:id="476" w:name="_Toc340397665"/>
      <w:bookmarkEnd w:id="476"/>
      <w:bookmarkStart w:id="477" w:name="_Toc340397723"/>
      <w:bookmarkEnd w:id="477"/>
      <w:bookmarkStart w:id="478" w:name="_Toc340398102"/>
      <w:bookmarkEnd w:id="478"/>
      <w:bookmarkStart w:id="479" w:name="_Toc340397619"/>
      <w:bookmarkEnd w:id="479"/>
      <w:bookmarkStart w:id="480" w:name="_Toc340398121"/>
      <w:bookmarkEnd w:id="480"/>
      <w:bookmarkStart w:id="481" w:name="_Toc340397743"/>
      <w:bookmarkEnd w:id="481"/>
      <w:bookmarkStart w:id="482" w:name="_Toc340397776"/>
      <w:bookmarkEnd w:id="482"/>
      <w:bookmarkStart w:id="483" w:name="_Toc340398095"/>
      <w:bookmarkEnd w:id="483"/>
      <w:bookmarkStart w:id="484" w:name="_Toc340398113"/>
      <w:bookmarkEnd w:id="484"/>
      <w:bookmarkStart w:id="485" w:name="_Toc110370867"/>
      <w:bookmarkEnd w:id="485"/>
      <w:bookmarkStart w:id="486" w:name="_Toc340398054"/>
      <w:bookmarkEnd w:id="486"/>
      <w:bookmarkStart w:id="487" w:name="_Toc340398065"/>
      <w:bookmarkEnd w:id="487"/>
      <w:bookmarkStart w:id="488" w:name="_DV_M480"/>
      <w:bookmarkEnd w:id="488"/>
      <w:bookmarkStart w:id="489" w:name="_Toc340398022"/>
      <w:bookmarkEnd w:id="489"/>
      <w:bookmarkStart w:id="490" w:name="_Toc340398168"/>
      <w:bookmarkEnd w:id="490"/>
      <w:bookmarkStart w:id="491" w:name="_Toc340398122"/>
      <w:bookmarkEnd w:id="491"/>
      <w:bookmarkStart w:id="492" w:name="_Toc340397730"/>
      <w:bookmarkEnd w:id="492"/>
      <w:bookmarkStart w:id="493" w:name="_Toc340398064"/>
      <w:bookmarkEnd w:id="493"/>
      <w:bookmarkStart w:id="494" w:name="_Toc340398046"/>
      <w:bookmarkEnd w:id="494"/>
      <w:bookmarkStart w:id="495" w:name="_Toc340397664"/>
      <w:bookmarkEnd w:id="495"/>
      <w:bookmarkStart w:id="496" w:name="_Toc340398131"/>
      <w:bookmarkEnd w:id="496"/>
      <w:bookmarkStart w:id="497" w:name="_Toc340398003"/>
      <w:bookmarkEnd w:id="497"/>
      <w:bookmarkStart w:id="498" w:name="_DV_M460"/>
      <w:bookmarkEnd w:id="498"/>
      <w:bookmarkStart w:id="499" w:name="_Toc340398051"/>
      <w:bookmarkEnd w:id="499"/>
      <w:bookmarkStart w:id="500" w:name="_Toc340398066"/>
      <w:bookmarkEnd w:id="500"/>
      <w:bookmarkStart w:id="501" w:name="_Toc340398048"/>
      <w:bookmarkEnd w:id="501"/>
      <w:bookmarkStart w:id="502" w:name="_Toc340398151"/>
      <w:bookmarkEnd w:id="502"/>
      <w:bookmarkStart w:id="503" w:name="_Toc340397739"/>
      <w:bookmarkEnd w:id="503"/>
      <w:bookmarkStart w:id="504" w:name="_Toc340398164"/>
      <w:bookmarkEnd w:id="504"/>
      <w:bookmarkStart w:id="505" w:name="_Toc340397710"/>
      <w:bookmarkEnd w:id="505"/>
      <w:bookmarkStart w:id="506" w:name="_Toc340397706"/>
      <w:bookmarkEnd w:id="506"/>
      <w:bookmarkStart w:id="507" w:name="_Toc340398019"/>
      <w:bookmarkEnd w:id="507"/>
      <w:bookmarkStart w:id="508" w:name="_Toc340397690"/>
      <w:bookmarkEnd w:id="508"/>
      <w:bookmarkStart w:id="509" w:name="_Toc340397628"/>
      <w:bookmarkEnd w:id="509"/>
      <w:bookmarkStart w:id="510" w:name="_DV_M469"/>
      <w:bookmarkEnd w:id="510"/>
      <w:bookmarkStart w:id="511" w:name="_Toc340398016"/>
      <w:bookmarkEnd w:id="511"/>
      <w:bookmarkStart w:id="512" w:name="_Toc340397692"/>
      <w:bookmarkEnd w:id="512"/>
      <w:bookmarkStart w:id="513" w:name="_Toc340397684"/>
      <w:bookmarkEnd w:id="513"/>
      <w:bookmarkStart w:id="514" w:name="_Toc340397694"/>
      <w:bookmarkEnd w:id="514"/>
      <w:bookmarkStart w:id="515" w:name="_Toc340398005"/>
      <w:bookmarkEnd w:id="515"/>
      <w:bookmarkStart w:id="516" w:name="_Toc340398148"/>
      <w:bookmarkEnd w:id="516"/>
      <w:bookmarkStart w:id="517" w:name="_Toc340398033"/>
      <w:bookmarkEnd w:id="517"/>
      <w:bookmarkStart w:id="518" w:name="_DV_M488"/>
      <w:bookmarkEnd w:id="518"/>
      <w:bookmarkStart w:id="519" w:name="_Toc340397764"/>
      <w:bookmarkEnd w:id="519"/>
      <w:bookmarkStart w:id="520" w:name="_Toc340398072"/>
      <w:bookmarkEnd w:id="520"/>
      <w:bookmarkStart w:id="521" w:name="_Toc340398163"/>
      <w:bookmarkEnd w:id="521"/>
      <w:bookmarkStart w:id="522" w:name="_Toc340398052"/>
      <w:bookmarkEnd w:id="522"/>
      <w:bookmarkStart w:id="523" w:name="_Toc340397760"/>
      <w:bookmarkEnd w:id="523"/>
      <w:bookmarkStart w:id="524" w:name="_Toc340397674"/>
      <w:bookmarkEnd w:id="524"/>
      <w:bookmarkStart w:id="525" w:name="_Toc340397757"/>
      <w:bookmarkEnd w:id="525"/>
      <w:bookmarkStart w:id="526" w:name="_Toc340397696"/>
      <w:bookmarkEnd w:id="526"/>
      <w:bookmarkStart w:id="527" w:name="_Toc340397659"/>
      <w:bookmarkEnd w:id="527"/>
      <w:bookmarkStart w:id="528" w:name="_Toc340398101"/>
      <w:bookmarkEnd w:id="528"/>
      <w:bookmarkStart w:id="529" w:name="_Toc340397728"/>
      <w:bookmarkEnd w:id="529"/>
      <w:bookmarkStart w:id="530" w:name="_Toc340397689"/>
      <w:bookmarkEnd w:id="530"/>
      <w:bookmarkStart w:id="531" w:name="_Toc340398120"/>
      <w:bookmarkEnd w:id="531"/>
      <w:bookmarkStart w:id="532" w:name="_DV_M492"/>
      <w:bookmarkEnd w:id="532"/>
      <w:bookmarkStart w:id="533" w:name="_Toc340397715"/>
      <w:bookmarkEnd w:id="533"/>
      <w:bookmarkStart w:id="534" w:name="_Toc340398132"/>
      <w:bookmarkEnd w:id="534"/>
      <w:bookmarkStart w:id="535" w:name="_Toc340398126"/>
      <w:bookmarkEnd w:id="535"/>
      <w:bookmarkStart w:id="536" w:name="_Toc340398161"/>
      <w:bookmarkEnd w:id="536"/>
      <w:bookmarkStart w:id="537" w:name="_Toc340397778"/>
      <w:bookmarkEnd w:id="537"/>
      <w:bookmarkStart w:id="538" w:name="_Toc340398080"/>
      <w:bookmarkEnd w:id="538"/>
      <w:bookmarkStart w:id="539" w:name="_Toc340398160"/>
      <w:bookmarkEnd w:id="539"/>
      <w:bookmarkStart w:id="540" w:name="_Toc340398008"/>
      <w:bookmarkEnd w:id="540"/>
      <w:bookmarkStart w:id="541" w:name="_Toc340398152"/>
      <w:bookmarkEnd w:id="541"/>
      <w:bookmarkStart w:id="542" w:name="_Toc340398159"/>
      <w:bookmarkEnd w:id="542"/>
      <w:bookmarkStart w:id="543" w:name="_Toc340398157"/>
      <w:bookmarkEnd w:id="543"/>
      <w:bookmarkStart w:id="544" w:name="_Toc340397634"/>
      <w:bookmarkEnd w:id="544"/>
      <w:bookmarkStart w:id="545" w:name="_Toc340397700"/>
      <w:bookmarkEnd w:id="545"/>
      <w:bookmarkStart w:id="546" w:name="_Toc340398070"/>
      <w:bookmarkEnd w:id="546"/>
      <w:bookmarkStart w:id="547" w:name="_Toc340398031"/>
      <w:bookmarkEnd w:id="547"/>
      <w:bookmarkStart w:id="548" w:name="_Toc340397669"/>
      <w:bookmarkEnd w:id="548"/>
      <w:bookmarkStart w:id="549" w:name="_Toc340398055"/>
      <w:bookmarkEnd w:id="549"/>
      <w:bookmarkStart w:id="550" w:name="_Toc340398123"/>
      <w:bookmarkEnd w:id="550"/>
      <w:bookmarkStart w:id="551" w:name="_Toc340398013"/>
      <w:bookmarkEnd w:id="551"/>
      <w:bookmarkStart w:id="552" w:name="_Toc340398119"/>
      <w:bookmarkEnd w:id="552"/>
      <w:bookmarkStart w:id="553" w:name="_Toc340397673"/>
      <w:bookmarkEnd w:id="553"/>
      <w:bookmarkStart w:id="554" w:name="_Toc340398129"/>
      <w:bookmarkEnd w:id="554"/>
      <w:bookmarkStart w:id="555" w:name="_Toc340397620"/>
      <w:bookmarkEnd w:id="555"/>
      <w:bookmarkStart w:id="556" w:name="_Toc340398075"/>
      <w:bookmarkEnd w:id="556"/>
      <w:bookmarkStart w:id="557" w:name="_Toc340398040"/>
      <w:bookmarkEnd w:id="557"/>
      <w:bookmarkStart w:id="558" w:name="_Toc340397650"/>
      <w:bookmarkEnd w:id="558"/>
      <w:bookmarkStart w:id="559" w:name="_Toc340398062"/>
      <w:bookmarkEnd w:id="559"/>
      <w:bookmarkStart w:id="560" w:name="_Toc340398063"/>
      <w:bookmarkEnd w:id="560"/>
      <w:bookmarkStart w:id="561" w:name="_Toc340398067"/>
      <w:bookmarkEnd w:id="561"/>
      <w:bookmarkStart w:id="562" w:name="_Toc340397678"/>
      <w:bookmarkEnd w:id="562"/>
      <w:bookmarkStart w:id="563" w:name="_Toc340397767"/>
      <w:bookmarkEnd w:id="563"/>
      <w:bookmarkStart w:id="564" w:name="_Toc340398093"/>
      <w:bookmarkEnd w:id="564"/>
      <w:bookmarkStart w:id="565" w:name="_Toc106417387"/>
      <w:bookmarkEnd w:id="565"/>
      <w:bookmarkStart w:id="566" w:name="_Toc340397783"/>
      <w:bookmarkEnd w:id="566"/>
      <w:bookmarkStart w:id="567" w:name="_Toc340397652"/>
      <w:bookmarkEnd w:id="567"/>
      <w:bookmarkStart w:id="568" w:name="_Toc340397762"/>
      <w:bookmarkEnd w:id="568"/>
      <w:bookmarkStart w:id="569" w:name="_Toc340397745"/>
      <w:bookmarkEnd w:id="569"/>
      <w:bookmarkStart w:id="570" w:name="_Toc340397631"/>
      <w:bookmarkEnd w:id="570"/>
      <w:bookmarkStart w:id="571" w:name="_Toc340397729"/>
      <w:bookmarkEnd w:id="571"/>
      <w:bookmarkStart w:id="572" w:name="_Toc340398115"/>
      <w:bookmarkEnd w:id="572"/>
      <w:bookmarkStart w:id="573" w:name="_Toc340397736"/>
      <w:bookmarkEnd w:id="573"/>
      <w:bookmarkStart w:id="574" w:name="_Toc204504298"/>
      <w:bookmarkEnd w:id="574"/>
      <w:bookmarkStart w:id="575" w:name="_Toc340397695"/>
      <w:bookmarkEnd w:id="575"/>
      <w:bookmarkStart w:id="576" w:name="_Toc340397716"/>
      <w:bookmarkEnd w:id="576"/>
      <w:bookmarkStart w:id="577" w:name="_Toc340397697"/>
      <w:bookmarkEnd w:id="577"/>
      <w:bookmarkStart w:id="578" w:name="_Toc340397686"/>
      <w:bookmarkEnd w:id="578"/>
      <w:bookmarkStart w:id="579" w:name="_Toc340397758"/>
      <w:bookmarkEnd w:id="579"/>
      <w:bookmarkStart w:id="580" w:name="_Toc340398128"/>
      <w:bookmarkEnd w:id="580"/>
      <w:bookmarkStart w:id="581" w:name="_DV_M489"/>
      <w:bookmarkEnd w:id="581"/>
      <w:bookmarkStart w:id="582" w:name="_Toc340397640"/>
      <w:bookmarkEnd w:id="582"/>
      <w:bookmarkStart w:id="583" w:name="_Toc340398107"/>
      <w:bookmarkEnd w:id="583"/>
      <w:bookmarkStart w:id="584" w:name="_Toc340397648"/>
      <w:bookmarkEnd w:id="584"/>
      <w:bookmarkStart w:id="585" w:name="_Toc340397621"/>
      <w:bookmarkEnd w:id="585"/>
      <w:bookmarkStart w:id="586" w:name="_Toc340398092"/>
      <w:bookmarkEnd w:id="586"/>
      <w:bookmarkStart w:id="587" w:name="_Toc340398010"/>
      <w:bookmarkEnd w:id="587"/>
      <w:bookmarkStart w:id="588" w:name="_Toc340397777"/>
      <w:bookmarkEnd w:id="588"/>
      <w:bookmarkStart w:id="589" w:name="_Toc340397770"/>
      <w:bookmarkEnd w:id="589"/>
      <w:bookmarkStart w:id="590" w:name="_Toc340398172"/>
      <w:bookmarkEnd w:id="590"/>
      <w:bookmarkStart w:id="591" w:name="_Toc340397623"/>
      <w:bookmarkEnd w:id="591"/>
      <w:bookmarkStart w:id="592" w:name="_Toc340398109"/>
      <w:bookmarkEnd w:id="592"/>
      <w:bookmarkStart w:id="593" w:name="_DV_M479"/>
      <w:bookmarkEnd w:id="593"/>
      <w:bookmarkStart w:id="594" w:name="_Toc340398135"/>
      <w:bookmarkEnd w:id="594"/>
      <w:bookmarkStart w:id="595" w:name="_Toc340397712"/>
      <w:bookmarkEnd w:id="595"/>
      <w:bookmarkStart w:id="596" w:name="_Toc340398110"/>
      <w:bookmarkEnd w:id="596"/>
      <w:bookmarkStart w:id="597" w:name="_Toc340398082"/>
      <w:bookmarkEnd w:id="597"/>
      <w:bookmarkStart w:id="598" w:name="_Toc340397702"/>
      <w:bookmarkEnd w:id="598"/>
      <w:bookmarkStart w:id="599" w:name="_Toc340397615"/>
      <w:bookmarkEnd w:id="599"/>
      <w:bookmarkStart w:id="600" w:name="_Toc340398136"/>
      <w:bookmarkEnd w:id="600"/>
      <w:bookmarkStart w:id="601" w:name="_Toc340398167"/>
      <w:bookmarkEnd w:id="601"/>
      <w:bookmarkStart w:id="602" w:name="_Toc340398049"/>
      <w:bookmarkEnd w:id="602"/>
      <w:bookmarkStart w:id="603" w:name="_Toc340397654"/>
      <w:bookmarkEnd w:id="603"/>
      <w:bookmarkStart w:id="604" w:name="_Toc204504299"/>
      <w:bookmarkEnd w:id="604"/>
      <w:bookmarkStart w:id="605" w:name="_Toc340398007"/>
      <w:bookmarkEnd w:id="605"/>
      <w:bookmarkStart w:id="606" w:name="_DV_M465"/>
      <w:bookmarkEnd w:id="606"/>
      <w:bookmarkStart w:id="607" w:name="_Toc340398165"/>
      <w:bookmarkEnd w:id="607"/>
      <w:bookmarkStart w:id="608" w:name="_Toc340398145"/>
      <w:bookmarkEnd w:id="608"/>
      <w:bookmarkStart w:id="609" w:name="_Toc340397676"/>
      <w:bookmarkEnd w:id="609"/>
      <w:bookmarkStart w:id="610" w:name="_Toc340397759"/>
      <w:bookmarkEnd w:id="610"/>
      <w:bookmarkStart w:id="611" w:name="_Toc340398077"/>
      <w:bookmarkEnd w:id="611"/>
      <w:bookmarkStart w:id="612" w:name="_Toc340398037"/>
      <w:bookmarkEnd w:id="612"/>
      <w:bookmarkStart w:id="613" w:name="_Toc340397651"/>
      <w:bookmarkEnd w:id="613"/>
      <w:bookmarkStart w:id="614" w:name="_Toc340397643"/>
      <w:bookmarkEnd w:id="614"/>
      <w:bookmarkStart w:id="615" w:name="_Toc340397751"/>
      <w:bookmarkEnd w:id="615"/>
      <w:bookmarkStart w:id="616" w:name="_Toc340398032"/>
      <w:bookmarkEnd w:id="616"/>
      <w:bookmarkStart w:id="617" w:name="_DV_M468"/>
      <w:bookmarkEnd w:id="617"/>
      <w:bookmarkStart w:id="618" w:name="_Toc340397752"/>
      <w:bookmarkEnd w:id="618"/>
      <w:bookmarkStart w:id="619" w:name="_Toc340397655"/>
      <w:bookmarkEnd w:id="619"/>
      <w:bookmarkStart w:id="620" w:name="_DV_M466"/>
      <w:bookmarkEnd w:id="620"/>
      <w:bookmarkStart w:id="621" w:name="_Toc340397642"/>
      <w:bookmarkEnd w:id="621"/>
      <w:bookmarkStart w:id="622" w:name="_Toc340397766"/>
      <w:bookmarkEnd w:id="622"/>
      <w:bookmarkStart w:id="623" w:name="_Toc340398086"/>
      <w:bookmarkEnd w:id="623"/>
      <w:bookmarkStart w:id="624" w:name="_Toc106417388"/>
      <w:bookmarkEnd w:id="624"/>
      <w:bookmarkStart w:id="625" w:name="_Toc340398053"/>
      <w:bookmarkEnd w:id="625"/>
      <w:bookmarkStart w:id="626" w:name="_Toc340398009"/>
      <w:bookmarkEnd w:id="626"/>
      <w:bookmarkStart w:id="627" w:name="_Toc106417389"/>
      <w:bookmarkEnd w:id="627"/>
      <w:bookmarkStart w:id="628" w:name="_Toc340397717"/>
      <w:bookmarkEnd w:id="628"/>
      <w:bookmarkStart w:id="629" w:name="_Toc340398133"/>
      <w:bookmarkEnd w:id="629"/>
      <w:bookmarkStart w:id="630" w:name="_DV_M494"/>
      <w:bookmarkEnd w:id="630"/>
      <w:bookmarkStart w:id="631" w:name="_Toc340398074"/>
      <w:bookmarkEnd w:id="631"/>
      <w:bookmarkStart w:id="632" w:name="_Toc340398083"/>
      <w:bookmarkEnd w:id="632"/>
      <w:bookmarkStart w:id="633" w:name="_Toc340397711"/>
      <w:bookmarkEnd w:id="633"/>
      <w:bookmarkStart w:id="634" w:name="_Toc340397737"/>
      <w:bookmarkEnd w:id="634"/>
      <w:bookmarkStart w:id="635" w:name="_Toc340397725"/>
      <w:bookmarkEnd w:id="635"/>
      <w:bookmarkStart w:id="636" w:name="_Toc340398044"/>
      <w:bookmarkEnd w:id="636"/>
      <w:bookmarkStart w:id="637" w:name="_DV_M491"/>
      <w:bookmarkEnd w:id="637"/>
      <w:bookmarkStart w:id="638" w:name="_Toc340397693"/>
      <w:bookmarkEnd w:id="638"/>
      <w:bookmarkStart w:id="639" w:name="_Toc340398118"/>
      <w:bookmarkEnd w:id="639"/>
      <w:bookmarkStart w:id="640" w:name="_Toc340397635"/>
      <w:bookmarkEnd w:id="640"/>
      <w:bookmarkStart w:id="641" w:name="_Toc340397658"/>
      <w:bookmarkEnd w:id="641"/>
      <w:bookmarkStart w:id="642" w:name="_Toc340398090"/>
      <w:bookmarkEnd w:id="642"/>
      <w:bookmarkStart w:id="643" w:name="_Toc340398050"/>
      <w:bookmarkEnd w:id="643"/>
      <w:bookmarkStart w:id="644" w:name="_Toc340398042"/>
      <w:bookmarkEnd w:id="644"/>
      <w:bookmarkStart w:id="645" w:name="_Toc340398117"/>
      <w:bookmarkEnd w:id="645"/>
      <w:bookmarkStart w:id="646" w:name="_Toc340398176"/>
      <w:bookmarkEnd w:id="646"/>
      <w:bookmarkStart w:id="647" w:name="_DV_M464"/>
      <w:bookmarkEnd w:id="647"/>
      <w:bookmarkStart w:id="648" w:name="_Toc340398124"/>
      <w:bookmarkEnd w:id="648"/>
      <w:bookmarkStart w:id="649" w:name="_Toc340398114"/>
      <w:bookmarkEnd w:id="649"/>
      <w:bookmarkStart w:id="650" w:name="_Toc340397630"/>
      <w:bookmarkEnd w:id="650"/>
      <w:bookmarkStart w:id="651" w:name="_Toc340397649"/>
      <w:bookmarkEnd w:id="651"/>
      <w:bookmarkStart w:id="652" w:name="_Toc340397683"/>
      <w:bookmarkEnd w:id="652"/>
      <w:bookmarkStart w:id="653" w:name="_Toc340398076"/>
      <w:bookmarkEnd w:id="653"/>
      <w:bookmarkStart w:id="654" w:name="_DV_M490"/>
      <w:bookmarkEnd w:id="654"/>
      <w:bookmarkStart w:id="655" w:name="_Toc340398125"/>
      <w:bookmarkEnd w:id="655"/>
      <w:bookmarkStart w:id="656" w:name="_Toc340398059"/>
      <w:bookmarkEnd w:id="656"/>
      <w:bookmarkStart w:id="657" w:name="_Toc340397680"/>
      <w:bookmarkEnd w:id="657"/>
      <w:bookmarkStart w:id="658" w:name="_Toc340398073"/>
      <w:bookmarkEnd w:id="658"/>
      <w:bookmarkStart w:id="659" w:name="_Toc340398014"/>
      <w:bookmarkEnd w:id="659"/>
      <w:bookmarkStart w:id="660" w:name="_Toc340398081"/>
      <w:bookmarkEnd w:id="660"/>
      <w:bookmarkStart w:id="661" w:name="_Toc340398015"/>
      <w:bookmarkEnd w:id="661"/>
      <w:bookmarkStart w:id="662" w:name="_Toc340398147"/>
      <w:bookmarkEnd w:id="662"/>
      <w:bookmarkStart w:id="663" w:name="_Toc340398154"/>
      <w:bookmarkEnd w:id="663"/>
      <w:bookmarkStart w:id="664" w:name="_Toc340397667"/>
      <w:bookmarkEnd w:id="664"/>
      <w:bookmarkStart w:id="665" w:name="_Toc340397749"/>
      <w:bookmarkEnd w:id="665"/>
      <w:bookmarkStart w:id="666" w:name="_Toc340397722"/>
      <w:bookmarkEnd w:id="666"/>
      <w:bookmarkStart w:id="667" w:name="_Toc340398143"/>
      <w:bookmarkEnd w:id="667"/>
      <w:bookmarkStart w:id="668" w:name="_Toc340397627"/>
      <w:bookmarkEnd w:id="668"/>
      <w:bookmarkStart w:id="669" w:name="_Toc340397624"/>
      <w:bookmarkEnd w:id="669"/>
      <w:bookmarkStart w:id="670" w:name="_Toc340397787"/>
      <w:bookmarkEnd w:id="670"/>
      <w:bookmarkStart w:id="671" w:name="_Toc340398025"/>
      <w:bookmarkEnd w:id="671"/>
      <w:bookmarkStart w:id="672" w:name="_Toc340397775"/>
      <w:bookmarkEnd w:id="672"/>
      <w:bookmarkStart w:id="673" w:name="_Toc340397660"/>
      <w:bookmarkEnd w:id="673"/>
      <w:bookmarkStart w:id="674" w:name="_Toc340397613"/>
      <w:bookmarkEnd w:id="674"/>
      <w:bookmarkStart w:id="675" w:name="_Toc340398175"/>
      <w:bookmarkEnd w:id="675"/>
      <w:bookmarkStart w:id="676" w:name="_Toc340398089"/>
      <w:bookmarkEnd w:id="676"/>
      <w:bookmarkStart w:id="677" w:name="_Toc340397708"/>
      <w:bookmarkEnd w:id="677"/>
      <w:bookmarkStart w:id="678" w:name="_Toc340398056"/>
      <w:bookmarkEnd w:id="678"/>
      <w:bookmarkStart w:id="679" w:name="_Toc340398091"/>
      <w:bookmarkEnd w:id="679"/>
      <w:bookmarkStart w:id="680" w:name="_Toc340397718"/>
      <w:bookmarkEnd w:id="680"/>
      <w:bookmarkStart w:id="681" w:name="_Toc340397625"/>
      <w:bookmarkEnd w:id="681"/>
      <w:bookmarkStart w:id="682" w:name="_Toc204504296"/>
      <w:bookmarkEnd w:id="682"/>
      <w:bookmarkStart w:id="683" w:name="_Toc340398094"/>
      <w:bookmarkEnd w:id="683"/>
      <w:bookmarkStart w:id="684" w:name="_Toc340398158"/>
      <w:bookmarkEnd w:id="684"/>
      <w:bookmarkStart w:id="685" w:name="_DV_M481"/>
      <w:bookmarkEnd w:id="685"/>
      <w:bookmarkStart w:id="686" w:name="_Toc340397781"/>
      <w:bookmarkEnd w:id="686"/>
      <w:bookmarkStart w:id="687" w:name="_Toc340397681"/>
      <w:bookmarkEnd w:id="687"/>
      <w:bookmarkStart w:id="688" w:name="_Toc340397750"/>
      <w:bookmarkEnd w:id="688"/>
      <w:bookmarkStart w:id="689" w:name="_Toc340398134"/>
      <w:bookmarkEnd w:id="689"/>
      <w:bookmarkStart w:id="690" w:name="_DV_M473"/>
      <w:bookmarkEnd w:id="690"/>
      <w:bookmarkStart w:id="691" w:name="_Toc340397784"/>
      <w:bookmarkEnd w:id="691"/>
      <w:bookmarkStart w:id="692" w:name="_Toc340398150"/>
      <w:bookmarkEnd w:id="692"/>
      <w:bookmarkStart w:id="693" w:name="_Toc340397774"/>
      <w:bookmarkEnd w:id="693"/>
      <w:bookmarkStart w:id="694" w:name="_Toc340398108"/>
      <w:bookmarkEnd w:id="694"/>
      <w:bookmarkStart w:id="695" w:name="_Toc340397744"/>
      <w:bookmarkEnd w:id="695"/>
      <w:bookmarkStart w:id="696" w:name="_Toc340398103"/>
      <w:bookmarkEnd w:id="696"/>
      <w:bookmarkStart w:id="697" w:name="_Toc340398098"/>
      <w:bookmarkEnd w:id="697"/>
      <w:bookmarkStart w:id="698" w:name="_Toc340398021"/>
      <w:bookmarkEnd w:id="698"/>
      <w:bookmarkStart w:id="699" w:name="_Toc340398023"/>
      <w:bookmarkEnd w:id="699"/>
      <w:bookmarkStart w:id="700" w:name="_Toc340397746"/>
      <w:bookmarkEnd w:id="700"/>
      <w:bookmarkStart w:id="701" w:name="_Toc340398029"/>
      <w:bookmarkEnd w:id="701"/>
      <w:bookmarkStart w:id="702" w:name="_Toc340397753"/>
      <w:bookmarkEnd w:id="702"/>
      <w:bookmarkStart w:id="703" w:name="_Toc340398096"/>
      <w:bookmarkEnd w:id="703"/>
      <w:bookmarkStart w:id="704" w:name="_Toc340397765"/>
      <w:bookmarkEnd w:id="704"/>
      <w:bookmarkStart w:id="705" w:name="_Toc340398180"/>
      <w:bookmarkEnd w:id="705"/>
      <w:bookmarkStart w:id="706" w:name="_Toc340397772"/>
      <w:bookmarkEnd w:id="706"/>
      <w:bookmarkStart w:id="707" w:name="_Toc340398178"/>
      <w:bookmarkEnd w:id="707"/>
      <w:bookmarkStart w:id="708" w:name="_Toc340397698"/>
      <w:bookmarkEnd w:id="708"/>
      <w:bookmarkStart w:id="709" w:name="_Toc340398068"/>
      <w:bookmarkEnd w:id="709"/>
      <w:bookmarkStart w:id="710" w:name="_Toc340398020"/>
      <w:bookmarkEnd w:id="710"/>
      <w:bookmarkStart w:id="711" w:name="_Toc340398057"/>
      <w:bookmarkEnd w:id="711"/>
      <w:bookmarkStart w:id="712" w:name="_Toc340398177"/>
      <w:bookmarkEnd w:id="712"/>
      <w:bookmarkStart w:id="713" w:name="_Toc340398144"/>
      <w:bookmarkEnd w:id="713"/>
      <w:bookmarkStart w:id="714" w:name="_Toc340398138"/>
      <w:bookmarkEnd w:id="714"/>
      <w:bookmarkStart w:id="715" w:name="_Toc204504297"/>
      <w:bookmarkEnd w:id="715"/>
      <w:bookmarkStart w:id="716" w:name="_Toc340398111"/>
      <w:bookmarkEnd w:id="716"/>
      <w:bookmarkStart w:id="717" w:name="_Toc340397726"/>
      <w:bookmarkEnd w:id="717"/>
      <w:bookmarkStart w:id="718" w:name="_Toc340398130"/>
      <w:bookmarkEnd w:id="718"/>
      <w:bookmarkStart w:id="719" w:name="_Toc340398017"/>
      <w:bookmarkEnd w:id="719"/>
      <w:bookmarkStart w:id="720" w:name="_Toc340397768"/>
      <w:bookmarkEnd w:id="720"/>
      <w:bookmarkStart w:id="721" w:name="_Toc340398071"/>
      <w:bookmarkEnd w:id="721"/>
      <w:bookmarkStart w:id="722" w:name="_Toc340398018"/>
      <w:bookmarkEnd w:id="722"/>
      <w:bookmarkStart w:id="723" w:name="_Toc340398105"/>
      <w:bookmarkEnd w:id="723"/>
      <w:bookmarkStart w:id="724" w:name="_Toc340397633"/>
      <w:bookmarkEnd w:id="724"/>
      <w:bookmarkStart w:id="725" w:name="_Toc340397663"/>
      <w:bookmarkEnd w:id="725"/>
      <w:bookmarkStart w:id="726" w:name="_Toc340397617"/>
      <w:bookmarkEnd w:id="726"/>
      <w:bookmarkStart w:id="727" w:name="_Toc340397741"/>
      <w:bookmarkEnd w:id="727"/>
      <w:bookmarkStart w:id="728" w:name="_Toc340398035"/>
      <w:bookmarkEnd w:id="728"/>
      <w:bookmarkStart w:id="729" w:name="_Toc340397756"/>
      <w:bookmarkEnd w:id="729"/>
      <w:bookmarkStart w:id="730" w:name="_Toc340398166"/>
      <w:bookmarkEnd w:id="730"/>
      <w:bookmarkStart w:id="731" w:name="_Toc340397731"/>
      <w:bookmarkEnd w:id="731"/>
      <w:bookmarkStart w:id="732" w:name="_Toc340397782"/>
      <w:bookmarkEnd w:id="732"/>
      <w:bookmarkStart w:id="733" w:name="_Toc340398024"/>
      <w:bookmarkEnd w:id="733"/>
      <w:bookmarkStart w:id="734" w:name="_Toc340398142"/>
      <w:bookmarkEnd w:id="734"/>
      <w:bookmarkStart w:id="735" w:name="_Toc340397780"/>
      <w:bookmarkEnd w:id="735"/>
      <w:bookmarkStart w:id="736" w:name="_DV_M467"/>
      <w:bookmarkEnd w:id="736"/>
      <w:bookmarkStart w:id="737" w:name="_Toc101974117"/>
      <w:bookmarkStart w:id="738" w:name="_Toc101976679"/>
      <w:bookmarkStart w:id="739" w:name="_Toc92612934"/>
      <w:r>
        <w:rPr>
          <w:rFonts w:ascii="Times New Roman" w:hAnsi="Times New Roman"/>
        </w:rPr>
        <w:t>管理权限</w:t>
      </w:r>
      <w:bookmarkEnd w:id="737"/>
      <w:bookmarkEnd w:id="738"/>
      <w:bookmarkEnd w:id="739"/>
    </w:p>
    <w:p w14:paraId="7E6D182E">
      <w:pPr>
        <w:pStyle w:val="118"/>
        <w:numPr>
          <w:ilvl w:val="1"/>
          <w:numId w:val="17"/>
        </w:numPr>
        <w:spacing w:before="156" w:beforeLines="50" w:after="156" w:afterLines="50"/>
        <w:ind w:firstLineChars="0"/>
        <w:outlineLvl w:val="0"/>
        <w:rPr>
          <w:rFonts w:ascii="Times New Roman" w:hAnsi="Times New Roman"/>
          <w:color w:val="000000"/>
          <w:w w:val="0"/>
          <w:lang w:val="en-GB"/>
        </w:rPr>
      </w:pPr>
      <w:bookmarkStart w:id="740" w:name="_Toc101974118"/>
      <w:r>
        <w:rPr>
          <w:rFonts w:ascii="Times New Roman" w:hAnsi="Times New Roman"/>
          <w:color w:val="000000"/>
          <w:w w:val="0"/>
          <w:lang w:val="en-GB"/>
        </w:rPr>
        <w:t>受托人应在本合同规定的范围内，按照忠诚、谨慎的原则管理信托财产，并根据这一原则决定具体的管理事项。</w:t>
      </w:r>
      <w:bookmarkEnd w:id="740"/>
    </w:p>
    <w:p w14:paraId="13A99F79">
      <w:pPr>
        <w:pStyle w:val="118"/>
        <w:numPr>
          <w:ilvl w:val="1"/>
          <w:numId w:val="17"/>
        </w:numPr>
        <w:spacing w:before="156" w:beforeLines="50" w:after="156" w:afterLines="50"/>
        <w:ind w:firstLineChars="0"/>
        <w:outlineLvl w:val="0"/>
        <w:rPr>
          <w:rFonts w:ascii="Times New Roman" w:hAnsi="Times New Roman"/>
          <w:color w:val="000000"/>
          <w:w w:val="0"/>
          <w:lang w:val="en-GB"/>
        </w:rPr>
      </w:pPr>
      <w:r>
        <w:rPr>
          <w:rFonts w:ascii="Times New Roman" w:hAnsi="Times New Roman"/>
          <w:color w:val="000000"/>
          <w:w w:val="0"/>
          <w:lang w:val="en-GB"/>
        </w:rPr>
        <w:tab/>
      </w:r>
      <w:bookmarkStart w:id="741" w:name="_Toc101974119"/>
      <w:r>
        <w:rPr>
          <w:rFonts w:ascii="Times New Roman" w:hAnsi="Times New Roman"/>
          <w:color w:val="000000"/>
          <w:w w:val="0"/>
          <w:lang w:val="en-GB"/>
        </w:rPr>
        <w:t>受托人的管理权限：</w:t>
      </w:r>
      <w:bookmarkEnd w:id="741"/>
    </w:p>
    <w:p w14:paraId="368BB2EB">
      <w:pPr>
        <w:pStyle w:val="118"/>
        <w:numPr>
          <w:ilvl w:val="2"/>
          <w:numId w:val="17"/>
        </w:numPr>
        <w:spacing w:before="156" w:beforeLines="50" w:after="156" w:afterLines="50"/>
        <w:ind w:firstLineChars="0"/>
        <w:outlineLvl w:val="0"/>
        <w:rPr>
          <w:rFonts w:ascii="Times New Roman" w:hAnsi="Times New Roman"/>
          <w:color w:val="000000"/>
          <w:w w:val="0"/>
          <w:lang w:val="en-GB"/>
        </w:rPr>
      </w:pPr>
      <w:bookmarkStart w:id="742" w:name="_Toc101974120"/>
      <w:r>
        <w:rPr>
          <w:rFonts w:ascii="Times New Roman" w:hAnsi="Times New Roman"/>
          <w:color w:val="000000"/>
          <w:w w:val="0"/>
          <w:lang w:val="en-GB"/>
        </w:rPr>
        <w:t>根据法律规定和信托文件约定运用并管理信托财产；</w:t>
      </w:r>
      <w:bookmarkEnd w:id="742"/>
    </w:p>
    <w:p w14:paraId="264C3EB0">
      <w:pPr>
        <w:pStyle w:val="118"/>
        <w:numPr>
          <w:ilvl w:val="2"/>
          <w:numId w:val="17"/>
        </w:numPr>
        <w:spacing w:before="156" w:beforeLines="50" w:after="156" w:afterLines="50"/>
        <w:ind w:firstLineChars="0"/>
        <w:outlineLvl w:val="0"/>
        <w:rPr>
          <w:rFonts w:ascii="Times New Roman" w:hAnsi="Times New Roman"/>
          <w:color w:val="000000"/>
          <w:w w:val="0"/>
          <w:lang w:val="en-GB"/>
        </w:rPr>
      </w:pPr>
      <w:bookmarkStart w:id="743" w:name="_Toc101974121"/>
      <w:r>
        <w:rPr>
          <w:rFonts w:ascii="Times New Roman" w:hAnsi="Times New Roman"/>
          <w:color w:val="000000"/>
          <w:w w:val="0"/>
          <w:lang w:val="en-GB"/>
        </w:rPr>
        <w:t>依照法律规定为受益人的利益行使因信托财产管理运用所产生的权利；</w:t>
      </w:r>
      <w:bookmarkEnd w:id="743"/>
    </w:p>
    <w:p w14:paraId="21C305E5">
      <w:pPr>
        <w:pStyle w:val="118"/>
        <w:numPr>
          <w:ilvl w:val="2"/>
          <w:numId w:val="17"/>
        </w:numPr>
        <w:spacing w:before="156" w:beforeLines="50" w:after="156" w:afterLines="50"/>
        <w:ind w:firstLineChars="0"/>
        <w:outlineLvl w:val="0"/>
        <w:rPr>
          <w:rFonts w:ascii="Times New Roman" w:hAnsi="Times New Roman"/>
          <w:color w:val="000000"/>
          <w:w w:val="0"/>
          <w:lang w:val="en-GB"/>
        </w:rPr>
      </w:pPr>
      <w:bookmarkStart w:id="744" w:name="_Toc101974122"/>
      <w:r>
        <w:rPr>
          <w:rFonts w:ascii="Times New Roman" w:hAnsi="Times New Roman"/>
          <w:color w:val="000000"/>
          <w:w w:val="0"/>
          <w:lang w:val="en-GB"/>
        </w:rPr>
        <w:t>以受托人的名义，代表信托与其他第三方签署相关协议文件、行使诉讼权利或者实施其他法律行为。若信托财产投资运用过程中发生纠纷，受托人按照受益人的指令处理相关争议，包括参与协商、对交易对手或相关责任方提起诉前财产保全、作为原告提起诉讼或作为申请人提起仲裁、参与清收与执行等，以有效维护信托财产运作安全，由此产生的费用由信托财产或受益人承担；</w:t>
      </w:r>
      <w:bookmarkEnd w:id="744"/>
    </w:p>
    <w:p w14:paraId="05D18D52">
      <w:pPr>
        <w:pStyle w:val="118"/>
        <w:numPr>
          <w:ilvl w:val="2"/>
          <w:numId w:val="17"/>
        </w:numPr>
        <w:spacing w:before="156" w:beforeLines="50" w:after="156" w:afterLines="50"/>
        <w:ind w:firstLineChars="0"/>
        <w:outlineLvl w:val="0"/>
        <w:rPr>
          <w:rFonts w:ascii="Times New Roman" w:hAnsi="Times New Roman"/>
          <w:color w:val="000000"/>
          <w:w w:val="0"/>
          <w:lang w:val="en-GB"/>
        </w:rPr>
      </w:pPr>
      <w:bookmarkStart w:id="745" w:name="_Toc101974124"/>
      <w:r>
        <w:rPr>
          <w:rFonts w:hint="eastAsia" w:ascii="Times New Roman" w:hAnsi="Times New Roman"/>
          <w:color w:val="000000"/>
          <w:w w:val="0"/>
          <w:lang w:val="en-GB"/>
        </w:rPr>
        <w:t>根据受益人的指令，</w:t>
      </w:r>
      <w:r>
        <w:rPr>
          <w:rFonts w:ascii="Times New Roman" w:hAnsi="Times New Roman"/>
          <w:color w:val="000000"/>
          <w:w w:val="0"/>
          <w:lang w:val="en-GB"/>
        </w:rPr>
        <w:t>选择、更换律师或其他为信托提供服务的外部机构；</w:t>
      </w:r>
      <w:bookmarkEnd w:id="745"/>
    </w:p>
    <w:p w14:paraId="24B15A18">
      <w:pPr>
        <w:pStyle w:val="118"/>
        <w:numPr>
          <w:ilvl w:val="2"/>
          <w:numId w:val="17"/>
        </w:numPr>
        <w:spacing w:before="156" w:beforeLines="50" w:after="156" w:afterLines="50"/>
        <w:ind w:firstLineChars="0"/>
        <w:outlineLvl w:val="0"/>
        <w:rPr>
          <w:rFonts w:ascii="Times New Roman" w:hAnsi="Times New Roman"/>
          <w:color w:val="000000"/>
          <w:w w:val="0"/>
          <w:lang w:val="en-GB"/>
        </w:rPr>
      </w:pPr>
      <w:bookmarkStart w:id="746" w:name="_Toc101974125"/>
      <w:r>
        <w:rPr>
          <w:rFonts w:ascii="Times New Roman" w:hAnsi="Times New Roman"/>
          <w:color w:val="000000"/>
          <w:w w:val="0"/>
          <w:lang w:val="en-GB"/>
        </w:rPr>
        <w:t>法律规定和信托文件规定的其他权利。</w:t>
      </w:r>
      <w:bookmarkEnd w:id="746"/>
    </w:p>
    <w:p w14:paraId="69B17C2B">
      <w:pPr>
        <w:pStyle w:val="118"/>
        <w:numPr>
          <w:ilvl w:val="1"/>
          <w:numId w:val="17"/>
        </w:numPr>
        <w:spacing w:before="156" w:beforeLines="50" w:after="156" w:afterLines="50"/>
        <w:ind w:firstLineChars="0"/>
        <w:outlineLvl w:val="0"/>
        <w:rPr>
          <w:rFonts w:ascii="Times New Roman" w:hAnsi="Times New Roman"/>
          <w:color w:val="000000"/>
          <w:w w:val="0"/>
          <w:lang w:val="en-GB"/>
        </w:rPr>
      </w:pPr>
      <w:bookmarkStart w:id="747" w:name="_Toc101974126"/>
      <w:r>
        <w:rPr>
          <w:rFonts w:ascii="Times New Roman" w:hAnsi="Times New Roman"/>
          <w:color w:val="000000"/>
          <w:w w:val="0"/>
          <w:lang w:val="en-GB"/>
        </w:rPr>
        <w:t>受托人因自身或其代理人违背本合同、处理信托事务不当造成信托财产损失的，应依法承担赔偿责任。</w:t>
      </w:r>
      <w:bookmarkEnd w:id="747"/>
    </w:p>
    <w:p w14:paraId="0B3DAD90">
      <w:pPr>
        <w:pStyle w:val="3"/>
        <w:numPr>
          <w:ilvl w:val="0"/>
          <w:numId w:val="5"/>
        </w:numPr>
        <w:rPr>
          <w:rFonts w:ascii="Times New Roman" w:hAnsi="Times New Roman"/>
        </w:rPr>
      </w:pPr>
      <w:bookmarkStart w:id="748" w:name="_Toc111281805"/>
      <w:bookmarkStart w:id="749" w:name="_Toc201569431"/>
      <w:bookmarkStart w:id="750" w:name="_Toc101974127"/>
      <w:bookmarkStart w:id="751" w:name="_Toc110153448"/>
      <w:bookmarkStart w:id="752" w:name="_Toc101976680"/>
      <w:r>
        <w:rPr>
          <w:rFonts w:ascii="Times New Roman" w:hAnsi="Times New Roman"/>
        </w:rPr>
        <w:t>信托财产的保管</w:t>
      </w:r>
      <w:bookmarkEnd w:id="748"/>
      <w:bookmarkEnd w:id="749"/>
      <w:bookmarkEnd w:id="750"/>
      <w:bookmarkEnd w:id="751"/>
      <w:bookmarkEnd w:id="752"/>
    </w:p>
    <w:p w14:paraId="6E5A2868">
      <w:pPr>
        <w:spacing w:before="156" w:beforeLines="50" w:after="156" w:afterLines="50"/>
        <w:ind w:left="425"/>
        <w:outlineLvl w:val="0"/>
        <w:rPr>
          <w:rFonts w:ascii="Times New Roman" w:hAnsi="Times New Roman"/>
          <w:b/>
        </w:rPr>
      </w:pPr>
      <w:bookmarkStart w:id="753" w:name="_Toc101974128"/>
      <w:r>
        <w:rPr>
          <w:rFonts w:ascii="Times New Roman" w:hAnsi="Times New Roman"/>
        </w:rPr>
        <w:t>信托的保管人为</w:t>
      </w:r>
      <w:r>
        <w:rPr>
          <w:rFonts w:hint="eastAsia" w:ascii="Times New Roman" w:hAnsi="Times New Roman"/>
          <w:lang w:eastAsia="zh-CN"/>
        </w:rPr>
        <w:t>【】</w:t>
      </w:r>
      <w:r>
        <w:rPr>
          <w:rFonts w:ascii="Times New Roman" w:hAnsi="Times New Roman"/>
        </w:rPr>
        <w:t>。信托财产的保管事宜由受托人与保管人另行签署《保管合同》约定。受托人应监督保管人，对于保管人违反《保管合同》或有关法律法规规定、对信托财产及其他当事人的利益造成重大损失的，应当及时采取措施制止。</w:t>
      </w:r>
      <w:bookmarkEnd w:id="753"/>
    </w:p>
    <w:p w14:paraId="3425109C">
      <w:pPr>
        <w:pStyle w:val="3"/>
        <w:numPr>
          <w:ilvl w:val="0"/>
          <w:numId w:val="5"/>
        </w:numPr>
        <w:rPr>
          <w:rFonts w:ascii="Times New Roman" w:hAnsi="Times New Roman"/>
        </w:rPr>
      </w:pPr>
      <w:bookmarkStart w:id="754" w:name="_Toc92612937"/>
      <w:bookmarkStart w:id="755" w:name="_Toc101974129"/>
      <w:bookmarkStart w:id="756" w:name="_Toc101976681"/>
      <w:r>
        <w:rPr>
          <w:rFonts w:ascii="Times New Roman" w:hAnsi="Times New Roman"/>
        </w:rPr>
        <w:t>相关税费和信托费用的计提和收取</w:t>
      </w:r>
      <w:bookmarkEnd w:id="754"/>
      <w:bookmarkEnd w:id="755"/>
      <w:bookmarkEnd w:id="756"/>
    </w:p>
    <w:p w14:paraId="11535124">
      <w:pPr>
        <w:pStyle w:val="118"/>
        <w:numPr>
          <w:ilvl w:val="1"/>
          <w:numId w:val="18"/>
        </w:numPr>
        <w:spacing w:before="156" w:beforeLines="50" w:after="156" w:afterLines="50"/>
        <w:ind w:firstLineChars="0"/>
        <w:outlineLvl w:val="0"/>
        <w:rPr>
          <w:rFonts w:ascii="Times New Roman" w:hAnsi="Times New Roman"/>
          <w:b/>
        </w:rPr>
      </w:pPr>
      <w:bookmarkStart w:id="757" w:name="_Toc101974130"/>
      <w:r>
        <w:rPr>
          <w:rFonts w:ascii="Times New Roman" w:hAnsi="Times New Roman"/>
        </w:rPr>
        <w:t>信托费用</w:t>
      </w:r>
      <w:bookmarkEnd w:id="757"/>
    </w:p>
    <w:p w14:paraId="5A3A2ECF">
      <w:pPr>
        <w:pStyle w:val="118"/>
        <w:spacing w:before="156" w:beforeLines="50" w:after="156" w:afterLines="50"/>
        <w:ind w:left="992" w:firstLine="0" w:firstLineChars="0"/>
        <w:outlineLvl w:val="0"/>
        <w:rPr>
          <w:rFonts w:ascii="Times New Roman" w:hAnsi="Times New Roman"/>
        </w:rPr>
      </w:pPr>
      <w:bookmarkStart w:id="758" w:name="_Toc101974131"/>
      <w:r>
        <w:rPr>
          <w:rFonts w:ascii="Times New Roman" w:hAnsi="Times New Roman"/>
        </w:rPr>
        <w:t>受托人因处理信托事务发生的下述信托费用由信托财产承担：</w:t>
      </w:r>
      <w:bookmarkEnd w:id="758"/>
    </w:p>
    <w:p w14:paraId="41E3F69B">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59" w:name="_Toc101974132"/>
      <w:r>
        <w:rPr>
          <w:rFonts w:ascii="Times New Roman" w:hAnsi="Times New Roman"/>
        </w:rPr>
        <w:t>信托财产管理、运用或处分过程中发生的税费；文件或账册的制作及印刷费用；</w:t>
      </w:r>
      <w:bookmarkEnd w:id="759"/>
    </w:p>
    <w:p w14:paraId="27F4ACAE">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0" w:name="_Toc101974133"/>
      <w:r>
        <w:rPr>
          <w:rFonts w:ascii="Times New Roman" w:hAnsi="Times New Roman"/>
        </w:rPr>
        <w:t>银行账户的开户费、资金结算汇划费、账户维护费；</w:t>
      </w:r>
      <w:bookmarkEnd w:id="760"/>
    </w:p>
    <w:p w14:paraId="50314F09">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1" w:name="_Toc101974134"/>
      <w:r>
        <w:rPr>
          <w:rFonts w:ascii="Times New Roman" w:hAnsi="Times New Roman"/>
        </w:rPr>
        <w:t>信托推介费用(如有)；</w:t>
      </w:r>
      <w:bookmarkEnd w:id="761"/>
    </w:p>
    <w:p w14:paraId="029747B2">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2" w:name="_Toc101974136"/>
      <w:r>
        <w:rPr>
          <w:rFonts w:ascii="Times New Roman" w:hAnsi="Times New Roman"/>
        </w:rPr>
        <w:t>保管人收取的保管费(如有)；</w:t>
      </w:r>
      <w:bookmarkEnd w:id="762"/>
    </w:p>
    <w:p w14:paraId="024F4DFA">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3" w:name="_Toc101974137"/>
      <w:r>
        <w:rPr>
          <w:rFonts w:ascii="Times New Roman" w:hAnsi="Times New Roman"/>
        </w:rPr>
        <w:t>抵押物评估费(如有)</w:t>
      </w:r>
      <w:r>
        <w:rPr>
          <w:rFonts w:hint="eastAsia" w:ascii="Times New Roman" w:hAnsi="Times New Roman"/>
        </w:rPr>
        <w:t>、抵押财产和质押财产的登记费用(如有</w:t>
      </w:r>
      <w:r>
        <w:rPr>
          <w:rFonts w:ascii="Times New Roman" w:hAnsi="Times New Roman"/>
        </w:rPr>
        <w:t>)；</w:t>
      </w:r>
      <w:bookmarkEnd w:id="763"/>
    </w:p>
    <w:p w14:paraId="531F8C24">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4" w:name="_Toc101974138"/>
      <w:r>
        <w:rPr>
          <w:rFonts w:ascii="Times New Roman" w:hAnsi="Times New Roman"/>
        </w:rPr>
        <w:t>信托信息披露费用；</w:t>
      </w:r>
      <w:bookmarkEnd w:id="764"/>
    </w:p>
    <w:p w14:paraId="0EC0887B">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5" w:name="_Toc101974139"/>
      <w:r>
        <w:rPr>
          <w:rFonts w:ascii="Times New Roman" w:hAnsi="Times New Roman"/>
        </w:rPr>
        <w:t>清算费用；</w:t>
      </w:r>
      <w:bookmarkEnd w:id="765"/>
    </w:p>
    <w:p w14:paraId="28E02F24">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6" w:name="_Toc101974141"/>
      <w:r>
        <w:rPr>
          <w:rFonts w:ascii="Times New Roman" w:hAnsi="Times New Roman"/>
        </w:rPr>
        <w:t>为维护信托财产的权利或进行信托财产变现而发生的合理必要的解决纠纷费用；</w:t>
      </w:r>
      <w:bookmarkEnd w:id="766"/>
    </w:p>
    <w:p w14:paraId="002C8B2B">
      <w:pPr>
        <w:pStyle w:val="118"/>
        <w:numPr>
          <w:ilvl w:val="2"/>
          <w:numId w:val="18"/>
        </w:numPr>
        <w:spacing w:before="156" w:beforeLines="50" w:after="156" w:afterLines="50"/>
        <w:ind w:left="1699" w:leftChars="354" w:hanging="849" w:hangingChars="354"/>
        <w:outlineLvl w:val="0"/>
        <w:rPr>
          <w:rFonts w:ascii="Times New Roman" w:hAnsi="Times New Roman"/>
          <w:b/>
        </w:rPr>
      </w:pPr>
      <w:r>
        <w:rPr>
          <w:rFonts w:ascii="Times New Roman" w:hAnsi="Times New Roman"/>
        </w:rPr>
        <w:tab/>
      </w:r>
      <w:bookmarkStart w:id="767" w:name="_Toc101974142"/>
      <w:r>
        <w:rPr>
          <w:rFonts w:ascii="Times New Roman" w:hAnsi="Times New Roman"/>
        </w:rPr>
        <w:t>信托运行中的账户管理费用，划款费用及终止时的清算费用；</w:t>
      </w:r>
      <w:bookmarkEnd w:id="767"/>
    </w:p>
    <w:p w14:paraId="0B9A36F6">
      <w:pPr>
        <w:pStyle w:val="118"/>
        <w:numPr>
          <w:ilvl w:val="2"/>
          <w:numId w:val="18"/>
        </w:numPr>
        <w:spacing w:before="156" w:beforeLines="50" w:after="156" w:afterLines="50"/>
        <w:ind w:left="1699" w:leftChars="354" w:hanging="849" w:hangingChars="354"/>
        <w:outlineLvl w:val="0"/>
        <w:rPr>
          <w:rFonts w:ascii="Times New Roman" w:hAnsi="Times New Roman"/>
          <w:b/>
        </w:rPr>
      </w:pPr>
      <w:bookmarkStart w:id="768" w:name="_Toc101974143"/>
      <w:r>
        <w:rPr>
          <w:rFonts w:ascii="Times New Roman" w:hAnsi="Times New Roman"/>
        </w:rPr>
        <w:t>按照法律法规，信托财产应承担的其他费用。</w:t>
      </w:r>
      <w:bookmarkEnd w:id="768"/>
    </w:p>
    <w:p w14:paraId="6A35844B">
      <w:pPr>
        <w:pStyle w:val="118"/>
        <w:numPr>
          <w:ilvl w:val="1"/>
          <w:numId w:val="18"/>
        </w:numPr>
        <w:spacing w:before="156" w:beforeLines="50" w:after="156" w:afterLines="50"/>
        <w:ind w:firstLineChars="0"/>
        <w:rPr>
          <w:rFonts w:ascii="Times New Roman" w:hAnsi="Times New Roman"/>
        </w:rPr>
      </w:pPr>
      <w:r>
        <w:rPr>
          <w:rFonts w:ascii="Times New Roman" w:hAnsi="Times New Roman"/>
        </w:rPr>
        <w:t>信托费用之计提原则</w:t>
      </w:r>
    </w:p>
    <w:p w14:paraId="086D33DF">
      <w:pPr>
        <w:pStyle w:val="118"/>
        <w:numPr>
          <w:ilvl w:val="2"/>
          <w:numId w:val="18"/>
        </w:numPr>
        <w:spacing w:before="156" w:beforeLines="50" w:after="156" w:afterLines="50"/>
        <w:ind w:firstLineChars="0"/>
        <w:rPr>
          <w:rFonts w:ascii="Times New Roman" w:hAnsi="Times New Roman"/>
        </w:rPr>
      </w:pPr>
      <w:r>
        <w:rPr>
          <w:rFonts w:ascii="Times New Roman" w:hAnsi="Times New Roman"/>
        </w:rPr>
        <w:tab/>
      </w:r>
      <w:r>
        <w:rPr>
          <w:rFonts w:ascii="Times New Roman" w:hAnsi="Times New Roman"/>
        </w:rPr>
        <w:t>受托人因违反《信托合同》所导致的费用支出，以及处理与信托无关的事项发生的费用不列入应由信托财产承担的费用。</w:t>
      </w:r>
    </w:p>
    <w:p w14:paraId="01EFBDDF">
      <w:pPr>
        <w:pStyle w:val="118"/>
        <w:numPr>
          <w:ilvl w:val="2"/>
          <w:numId w:val="18"/>
        </w:numPr>
        <w:spacing w:before="156" w:beforeLines="50" w:after="156" w:afterLines="50"/>
        <w:ind w:firstLineChars="0"/>
        <w:rPr>
          <w:rFonts w:ascii="Times New Roman" w:hAnsi="Times New Roman"/>
        </w:rPr>
      </w:pPr>
      <w:r>
        <w:rPr>
          <w:rFonts w:ascii="Times New Roman" w:hAnsi="Times New Roman"/>
        </w:rPr>
        <w:t>受托人没有为信托财产垫付信托费用的义务，但受托人如以固有财产先行垫付的，受托人有权从信托财产中优先受偿。</w:t>
      </w:r>
    </w:p>
    <w:p w14:paraId="13231DFE">
      <w:pPr>
        <w:pStyle w:val="118"/>
        <w:numPr>
          <w:ilvl w:val="1"/>
          <w:numId w:val="18"/>
        </w:numPr>
        <w:spacing w:before="156" w:beforeLines="50" w:after="156" w:afterLines="50"/>
        <w:ind w:firstLineChars="0"/>
        <w:rPr>
          <w:rFonts w:ascii="Times New Roman" w:hAnsi="Times New Roman"/>
        </w:rPr>
      </w:pPr>
      <w:bookmarkStart w:id="769" w:name="_Ref101898585"/>
      <w:r>
        <w:rPr>
          <w:rFonts w:ascii="Times New Roman" w:hAnsi="Times New Roman"/>
        </w:rPr>
        <w:t>信托报酬</w:t>
      </w:r>
      <w:bookmarkEnd w:id="769"/>
    </w:p>
    <w:p w14:paraId="43EDF6A8">
      <w:pPr>
        <w:pStyle w:val="118"/>
        <w:numPr>
          <w:ilvl w:val="2"/>
          <w:numId w:val="18"/>
        </w:numPr>
        <w:spacing w:before="156" w:beforeLines="50" w:after="156" w:afterLines="50"/>
        <w:ind w:firstLineChars="0"/>
        <w:rPr>
          <w:rFonts w:ascii="Times New Roman" w:hAnsi="Times New Roman"/>
        </w:rPr>
      </w:pPr>
      <w:r>
        <w:rPr>
          <w:rFonts w:ascii="Times New Roman" w:hAnsi="Times New Roman"/>
        </w:rPr>
        <w:tab/>
      </w:r>
      <w:r>
        <w:rPr>
          <w:rFonts w:ascii="Times New Roman" w:hAnsi="Times New Roman"/>
        </w:rPr>
        <w:t>信托报酬</w:t>
      </w:r>
    </w:p>
    <w:p w14:paraId="012C6CD7">
      <w:pPr>
        <w:pStyle w:val="118"/>
        <w:spacing w:before="156" w:beforeLines="50" w:after="156" w:afterLines="50"/>
        <w:ind w:left="1418" w:firstLine="0" w:firstLineChars="0"/>
        <w:rPr>
          <w:rFonts w:ascii="Times New Roman" w:hAnsi="Times New Roman"/>
        </w:rPr>
      </w:pPr>
      <w:r>
        <w:rPr>
          <w:rFonts w:ascii="Times New Roman" w:hAnsi="Times New Roman"/>
        </w:rPr>
        <w:t>信托报酬由</w:t>
      </w:r>
      <w:r>
        <w:rPr>
          <w:rFonts w:hint="eastAsia" w:ascii="Times New Roman" w:hAnsi="Times New Roman"/>
        </w:rPr>
        <w:t>委托人</w:t>
      </w:r>
      <w:r>
        <w:rPr>
          <w:rFonts w:hint="eastAsia" w:ascii="Times New Roman" w:hAnsi="Times New Roman"/>
          <w:lang w:eastAsia="zh-CN"/>
        </w:rPr>
        <w:t>【】</w:t>
      </w:r>
      <w:r>
        <w:rPr>
          <w:rFonts w:hint="eastAsia" w:ascii="Times New Roman" w:hAnsi="Times New Roman"/>
        </w:rPr>
        <w:t>于</w:t>
      </w:r>
      <w:r>
        <w:rPr>
          <w:rFonts w:ascii="Times New Roman" w:hAnsi="Times New Roman"/>
        </w:rPr>
        <w:t>每个信托利益分配日</w:t>
      </w:r>
      <w:r>
        <w:rPr>
          <w:rFonts w:hint="eastAsia" w:ascii="Times New Roman" w:hAnsi="Times New Roman"/>
        </w:rPr>
        <w:t>向受托人支付，不由</w:t>
      </w:r>
      <w:r>
        <w:rPr>
          <w:rFonts w:ascii="Times New Roman" w:hAnsi="Times New Roman"/>
        </w:rPr>
        <w:t>信托财产承担。</w:t>
      </w:r>
      <w:r>
        <w:rPr>
          <w:rFonts w:hint="eastAsia" w:ascii="Times New Roman" w:hAnsi="Times New Roman"/>
        </w:rPr>
        <w:t>为免疑义，委托人转让信托受益权的，信托报酬的支付义务仍由</w:t>
      </w:r>
      <w:r>
        <w:rPr>
          <w:rFonts w:hint="eastAsia" w:ascii="Times New Roman" w:hAnsi="Times New Roman"/>
          <w:lang w:eastAsia="zh-CN"/>
        </w:rPr>
        <w:t>【】</w:t>
      </w:r>
      <w:r>
        <w:rPr>
          <w:rFonts w:hint="eastAsia" w:ascii="Times New Roman" w:hAnsi="Times New Roman"/>
        </w:rPr>
        <w:t>承担，该等义务不随信托受益权转让而转移。</w:t>
      </w:r>
      <w:r>
        <w:rPr>
          <w:rFonts w:ascii="Times New Roman" w:hAnsi="Times New Roman"/>
        </w:rPr>
        <w:t>受托人按如下方式收取信托报酬：受托人的信托报酬为固定报酬，信托报酬的年费率为</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w:t>
      </w:r>
      <w:r>
        <w:rPr>
          <w:rFonts w:ascii="Times New Roman" w:hAnsi="Times New Roman"/>
        </w:rPr>
        <w:t>%。受托人信托</w:t>
      </w:r>
      <w:r>
        <w:rPr>
          <w:rFonts w:hint="eastAsia" w:ascii="Times New Roman" w:hAnsi="Times New Roman"/>
        </w:rPr>
        <w:t>报酬</w:t>
      </w:r>
      <w:r>
        <w:rPr>
          <w:rFonts w:ascii="Times New Roman" w:hAnsi="Times New Roman"/>
        </w:rPr>
        <w:t>计算日为信托生效后每一个信托利益计算日，信托</w:t>
      </w:r>
      <w:r>
        <w:rPr>
          <w:rFonts w:hint="eastAsia" w:ascii="Times New Roman" w:hAnsi="Times New Roman"/>
        </w:rPr>
        <w:t>报酬支付</w:t>
      </w:r>
      <w:r>
        <w:rPr>
          <w:rFonts w:ascii="Times New Roman" w:hAnsi="Times New Roman"/>
        </w:rPr>
        <w:t>日为信托利益分配日。</w:t>
      </w:r>
    </w:p>
    <w:p w14:paraId="4C176358">
      <w:pPr>
        <w:pStyle w:val="118"/>
        <w:spacing w:before="156" w:beforeLines="50" w:after="156" w:afterLines="50"/>
        <w:ind w:left="1418" w:firstLine="0" w:firstLineChars="0"/>
        <w:rPr>
          <w:rFonts w:ascii="Times New Roman" w:hAnsi="Times New Roman"/>
        </w:rPr>
      </w:pPr>
      <w:r>
        <w:rPr>
          <w:rFonts w:ascii="Times New Roman" w:hAnsi="Times New Roman"/>
        </w:rPr>
        <w:t>每个信托利益分配日受托人应收取的信托报酬按如下公式计算：</w:t>
      </w:r>
    </w:p>
    <w:p w14:paraId="7FC7FFB9">
      <w:pPr>
        <w:pStyle w:val="118"/>
        <w:spacing w:before="156" w:beforeLines="50" w:after="156" w:afterLines="50"/>
        <w:ind w:left="1418" w:firstLine="0" w:firstLineChars="0"/>
        <w:rPr>
          <w:rFonts w:ascii="Times New Roman" w:hAnsi="Times New Roman"/>
        </w:rPr>
      </w:pPr>
      <w:r>
        <w:rPr>
          <w:rFonts w:hint="eastAsia" w:ascii="Times New Roman" w:hAnsi="Times New Roman"/>
        </w:rPr>
        <w:t>每日应收取</w:t>
      </w:r>
      <w:r>
        <w:rPr>
          <w:rFonts w:ascii="Times New Roman" w:hAnsi="Times New Roman"/>
        </w:rPr>
        <w:t>信托报酬=当日标的债权未偿本金余额×【】%÷365。信托利益计算日受托人应收取的信托报酬=当个还款期间每日</w:t>
      </w:r>
      <w:r>
        <w:rPr>
          <w:rFonts w:hint="eastAsia" w:ascii="Times New Roman" w:hAnsi="Times New Roman"/>
        </w:rPr>
        <w:t>应收取的</w:t>
      </w:r>
      <w:r>
        <w:rPr>
          <w:rFonts w:ascii="Times New Roman" w:hAnsi="Times New Roman"/>
        </w:rPr>
        <w:t>信托报酬之和。其中，当个还款期间信托利益计算日后每日标的债权未偿本金余额以《债权转让与确认协议》中《还本付息安排表》扣除拟偿还的本金后的余额计算。</w:t>
      </w:r>
    </w:p>
    <w:p w14:paraId="4C6F4F33">
      <w:pPr>
        <w:pStyle w:val="118"/>
        <w:spacing w:before="156" w:beforeLines="50" w:after="156" w:afterLines="50"/>
        <w:ind w:left="1418" w:firstLine="0" w:firstLineChars="0"/>
        <w:rPr>
          <w:rFonts w:ascii="Times New Roman" w:hAnsi="Times New Roman"/>
        </w:rPr>
      </w:pPr>
      <w:r>
        <w:rPr>
          <w:rFonts w:ascii="Times New Roman" w:hAnsi="Times New Roman"/>
        </w:rPr>
        <w:t>若还款期间标的债权未偿本金、核算天数发生变化，已收取的信托报酬不退还。</w:t>
      </w:r>
    </w:p>
    <w:p w14:paraId="6CC870F1">
      <w:pPr>
        <w:pStyle w:val="118"/>
        <w:spacing w:before="156" w:beforeLines="50" w:after="156" w:afterLines="50"/>
        <w:ind w:left="1418" w:firstLine="0" w:firstLineChars="0"/>
        <w:rPr>
          <w:rFonts w:ascii="Times New Roman" w:hAnsi="Times New Roman"/>
        </w:rPr>
      </w:pPr>
      <w:r>
        <w:rPr>
          <w:rFonts w:ascii="Times New Roman" w:hAnsi="Times New Roman"/>
        </w:rPr>
        <w:t>受托人于每个信托利益计算日对应的信托利益分配日收取的信托报酬账户信息为：</w:t>
      </w:r>
    </w:p>
    <w:p w14:paraId="1C148213">
      <w:pPr>
        <w:pStyle w:val="118"/>
        <w:spacing w:before="156" w:beforeLines="50" w:after="156" w:afterLines="50"/>
        <w:ind w:left="1418" w:firstLine="0" w:firstLineChars="0"/>
        <w:rPr>
          <w:rFonts w:hint="eastAsia" w:ascii="Times New Roman" w:hAnsi="Times New Roman" w:eastAsia="楷体"/>
          <w:lang w:eastAsia="zh-CN"/>
        </w:rPr>
      </w:pPr>
      <w:r>
        <w:rPr>
          <w:rFonts w:ascii="Times New Roman" w:hAnsi="Times New Roman"/>
        </w:rPr>
        <w:t>户名：</w:t>
      </w:r>
      <w:r>
        <w:rPr>
          <w:rFonts w:hint="eastAsia" w:ascii="Times New Roman" w:hAnsi="Times New Roman"/>
          <w:lang w:eastAsia="zh-CN"/>
        </w:rPr>
        <w:t>XXXXX</w:t>
      </w:r>
    </w:p>
    <w:p w14:paraId="0FD2DE6F">
      <w:pPr>
        <w:pStyle w:val="118"/>
        <w:spacing w:before="156" w:beforeLines="50" w:after="156" w:afterLines="50"/>
        <w:ind w:left="1418" w:firstLine="0" w:firstLineChars="0"/>
        <w:rPr>
          <w:rFonts w:ascii="Times New Roman" w:hAnsi="Times New Roman"/>
        </w:rPr>
      </w:pPr>
      <w:r>
        <w:rPr>
          <w:rFonts w:ascii="Times New Roman" w:hAnsi="Times New Roman"/>
        </w:rPr>
        <w:t>账号：</w:t>
      </w:r>
    </w:p>
    <w:p w14:paraId="58B0BBDE">
      <w:pPr>
        <w:pStyle w:val="118"/>
        <w:spacing w:before="156" w:beforeLines="50" w:after="156" w:afterLines="50"/>
        <w:ind w:left="1418" w:firstLine="0" w:firstLineChars="0"/>
        <w:rPr>
          <w:rFonts w:ascii="Times New Roman" w:hAnsi="Times New Roman"/>
        </w:rPr>
      </w:pPr>
      <w:r>
        <w:rPr>
          <w:rFonts w:ascii="Times New Roman" w:hAnsi="Times New Roman"/>
        </w:rPr>
        <w:t>开户行：</w:t>
      </w:r>
    </w:p>
    <w:p w14:paraId="2D35774E">
      <w:pPr>
        <w:pStyle w:val="118"/>
        <w:spacing w:before="156" w:beforeLines="50" w:after="156" w:afterLines="50"/>
        <w:ind w:left="1418" w:firstLine="0" w:firstLineChars="0"/>
        <w:rPr>
          <w:rFonts w:ascii="Times New Roman" w:hAnsi="Times New Roman"/>
        </w:rPr>
      </w:pPr>
      <w:r>
        <w:rPr>
          <w:rFonts w:ascii="Times New Roman" w:hAnsi="Times New Roman"/>
        </w:rPr>
        <w:t>若经委托人/受益人及受托人协商一致，本信托延期的，则本信托延长期限内，信托报酬另行协商并签署补充协议确认。</w:t>
      </w:r>
    </w:p>
    <w:p w14:paraId="13BBD950">
      <w:pPr>
        <w:pStyle w:val="118"/>
        <w:spacing w:before="156" w:beforeLines="50" w:after="156" w:afterLines="50"/>
        <w:ind w:left="1418" w:firstLine="0" w:firstLineChars="0"/>
        <w:rPr>
          <w:rFonts w:ascii="Times New Roman" w:hAnsi="Times New Roman"/>
        </w:rPr>
      </w:pPr>
      <w:r>
        <w:rPr>
          <w:rFonts w:ascii="Times New Roman" w:hAnsi="Times New Roman"/>
        </w:rPr>
        <w:t>非因受托人的原因导致信托目的不能实现，或信托提前终止的，受托人已收取的报酬无需返还。受托人违反信托目的处分信托财产或者因违背管理职责、处理信托事务不当致使信托财产受到损失的，在恢复信托财产的原状或者予以赔偿前，受托人不得请求给付报酬。</w:t>
      </w:r>
    </w:p>
    <w:p w14:paraId="34343A70">
      <w:pPr>
        <w:pStyle w:val="118"/>
        <w:numPr>
          <w:ilvl w:val="2"/>
          <w:numId w:val="18"/>
        </w:numPr>
        <w:spacing w:before="156" w:beforeLines="50" w:after="156" w:afterLines="50"/>
        <w:ind w:firstLineChars="0"/>
        <w:rPr>
          <w:rFonts w:ascii="Times New Roman" w:hAnsi="Times New Roman"/>
          <w:b/>
        </w:rPr>
      </w:pPr>
      <w:r>
        <w:rPr>
          <w:rFonts w:ascii="Times New Roman" w:hAnsi="Times New Roman"/>
        </w:rPr>
        <w:t>保管人的保管费</w:t>
      </w:r>
    </w:p>
    <w:p w14:paraId="4DBBD5EB">
      <w:pPr>
        <w:pStyle w:val="118"/>
        <w:spacing w:before="156" w:beforeLines="50" w:after="156" w:afterLines="50"/>
        <w:ind w:left="1418" w:firstLine="0" w:firstLineChars="0"/>
        <w:rPr>
          <w:rFonts w:ascii="Times New Roman" w:hAnsi="Times New Roman"/>
        </w:rPr>
      </w:pPr>
      <w:r>
        <w:rPr>
          <w:rFonts w:ascii="Times New Roman" w:hAnsi="Times New Roman"/>
        </w:rPr>
        <w:t>保管人的保管费由受托人与保管人签署的相关协议另行约定，由信托财产承担。</w:t>
      </w:r>
    </w:p>
    <w:p w14:paraId="7AAC3D9B">
      <w:pPr>
        <w:pStyle w:val="118"/>
        <w:numPr>
          <w:ilvl w:val="1"/>
          <w:numId w:val="18"/>
        </w:numPr>
        <w:spacing w:before="156" w:beforeLines="50" w:after="156" w:afterLines="50"/>
        <w:ind w:firstLineChars="0"/>
        <w:rPr>
          <w:rFonts w:ascii="Times New Roman" w:hAnsi="Times New Roman"/>
          <w:b/>
        </w:rPr>
      </w:pPr>
      <w:r>
        <w:rPr>
          <w:rFonts w:ascii="Times New Roman" w:hAnsi="Times New Roman"/>
        </w:rPr>
        <w:t>税收处理</w:t>
      </w:r>
    </w:p>
    <w:p w14:paraId="29E18041">
      <w:pPr>
        <w:pStyle w:val="118"/>
        <w:spacing w:before="156" w:beforeLines="50" w:after="156" w:afterLines="50"/>
        <w:ind w:left="992" w:firstLine="0" w:firstLineChars="0"/>
        <w:rPr>
          <w:rFonts w:ascii="Times New Roman" w:hAnsi="Times New Roman"/>
          <w:b/>
        </w:rPr>
      </w:pPr>
      <w:r>
        <w:rPr>
          <w:rFonts w:ascii="Times New Roman" w:hAnsi="Times New Roman"/>
        </w:rPr>
        <w:t>委托人和受托人应按有关法律规定依法纳税，并由信托财产承担信托设立相关的税费。信托存续期限内所涉及的税务问题，按国家的有关法律、法规和政策办理。委托人/受益人及受托人应当按照有关法律、法规规定各自纳税，应当由信托财产承担的税费由受托人直接以信托财产支付。信托运营过程中，需向政府机关缴纳的规费，由信托财产依法承担。</w:t>
      </w:r>
      <w:bookmarkStart w:id="770" w:name="_Toc107916032"/>
      <w:bookmarkEnd w:id="770"/>
      <w:bookmarkStart w:id="771" w:name="_Toc107916196"/>
      <w:bookmarkEnd w:id="771"/>
      <w:bookmarkStart w:id="772" w:name="_Toc146349292"/>
      <w:bookmarkEnd w:id="772"/>
      <w:bookmarkStart w:id="773" w:name="_Toc107916033"/>
      <w:bookmarkEnd w:id="773"/>
      <w:bookmarkStart w:id="774" w:name="_Toc146349293"/>
      <w:bookmarkEnd w:id="774"/>
      <w:bookmarkStart w:id="775" w:name="_Toc107916195"/>
      <w:bookmarkEnd w:id="775"/>
    </w:p>
    <w:p w14:paraId="3781706B">
      <w:pPr>
        <w:pStyle w:val="3"/>
        <w:numPr>
          <w:ilvl w:val="0"/>
          <w:numId w:val="5"/>
        </w:numPr>
        <w:rPr>
          <w:rFonts w:ascii="Times New Roman" w:hAnsi="Times New Roman"/>
        </w:rPr>
      </w:pPr>
      <w:bookmarkStart w:id="776" w:name="_Toc101976682"/>
      <w:bookmarkStart w:id="777" w:name="_Toc101974144"/>
      <w:r>
        <w:rPr>
          <w:rFonts w:ascii="Times New Roman" w:hAnsi="Times New Roman"/>
        </w:rPr>
        <w:t>信托利益的计算和支付</w:t>
      </w:r>
      <w:bookmarkEnd w:id="776"/>
      <w:bookmarkEnd w:id="777"/>
    </w:p>
    <w:p w14:paraId="71FEBFC4">
      <w:pPr>
        <w:pStyle w:val="3"/>
        <w:numPr>
          <w:ilvl w:val="255"/>
          <w:numId w:val="0"/>
        </w:numPr>
        <w:rPr>
          <w:rFonts w:ascii="Times New Roman" w:hAnsi="Times New Roman"/>
        </w:rPr>
      </w:pPr>
      <w:r>
        <w:rPr>
          <w:rFonts w:ascii="Times New Roman" w:hAnsi="Times New Roman"/>
        </w:rPr>
        <w:t>声明：受托人、保管人均未对信托的业绩表现或者任何回报之支付做出保证。根据国家财政部及税务总局的相关规定，资管产品在运营过程中可能需要缴纳增值税。如信托财产在管理、运用或处分过程中需根据相关法律法规缴纳增值税及附加的，无论相关法律法规对该等增值税纳税及附加主体作何规定，该等增值税及附加均由信托财产承担，投资人获得的实际投资收益率可能会低于预期收益率。</w:t>
      </w:r>
    </w:p>
    <w:p w14:paraId="58C26D92">
      <w:pPr>
        <w:pStyle w:val="118"/>
        <w:numPr>
          <w:ilvl w:val="1"/>
          <w:numId w:val="19"/>
        </w:numPr>
        <w:spacing w:before="156" w:beforeLines="50" w:after="156" w:afterLines="50"/>
        <w:ind w:firstLineChars="0"/>
        <w:outlineLvl w:val="0"/>
        <w:rPr>
          <w:rFonts w:ascii="Times New Roman" w:hAnsi="Times New Roman"/>
          <w:b/>
          <w:color w:val="000000"/>
        </w:rPr>
      </w:pPr>
      <w:bookmarkStart w:id="778" w:name="_Toc101974145"/>
      <w:r>
        <w:rPr>
          <w:rFonts w:ascii="Times New Roman" w:hAnsi="Times New Roman"/>
        </w:rPr>
        <w:t>信托利益的分配原则</w:t>
      </w:r>
      <w:bookmarkEnd w:id="778"/>
    </w:p>
    <w:p w14:paraId="270D7C8A">
      <w:pPr>
        <w:pStyle w:val="118"/>
        <w:numPr>
          <w:ilvl w:val="2"/>
          <w:numId w:val="19"/>
        </w:numPr>
        <w:spacing w:before="156" w:beforeLines="50" w:after="156" w:afterLines="50"/>
        <w:ind w:firstLineChars="0"/>
        <w:outlineLvl w:val="0"/>
        <w:rPr>
          <w:rFonts w:ascii="Times New Roman" w:hAnsi="Times New Roman"/>
          <w:b/>
          <w:color w:val="000000"/>
        </w:rPr>
      </w:pPr>
      <w:bookmarkStart w:id="779" w:name="_Toc101974146"/>
      <w:r>
        <w:rPr>
          <w:rFonts w:ascii="Times New Roman" w:hAnsi="Times New Roman"/>
        </w:rPr>
        <w:t>信托利益的范围为信托财产管理、运用、处分产生的收入扣除按本合同第14条规定应由信托财产承担的费用后的全部信托财产。</w:t>
      </w:r>
      <w:bookmarkEnd w:id="779"/>
    </w:p>
    <w:p w14:paraId="33B114BA">
      <w:pPr>
        <w:pStyle w:val="118"/>
        <w:numPr>
          <w:ilvl w:val="2"/>
          <w:numId w:val="19"/>
        </w:numPr>
        <w:spacing w:before="156" w:beforeLines="50" w:after="156" w:afterLines="50"/>
        <w:ind w:firstLineChars="0"/>
        <w:outlineLvl w:val="0"/>
        <w:rPr>
          <w:rFonts w:ascii="Times New Roman" w:hAnsi="Times New Roman"/>
          <w:b/>
          <w:color w:val="000000"/>
        </w:rPr>
      </w:pPr>
      <w:bookmarkStart w:id="780" w:name="_Toc101974147"/>
      <w:r>
        <w:rPr>
          <w:rFonts w:ascii="Times New Roman" w:hAnsi="Times New Roman"/>
        </w:rPr>
        <w:t>信托存续期限内，信托利益以现金形式分配；经受益人同意，信托利益可以现金、债权或二者组合方式的形式进行分配。信托利益中的现金部分，由受托人划付至受益人指定的信托利益分配账户；经受益人同意，信托利益中的债权部分，可以处置变现后再分配，或在信托终止后以《信托财产现状分配通知书》（格式见本合同附件）的形式将信托利益交付予受益人。</w:t>
      </w:r>
      <w:bookmarkEnd w:id="780"/>
    </w:p>
    <w:p w14:paraId="71377FE9">
      <w:pPr>
        <w:pStyle w:val="118"/>
        <w:numPr>
          <w:ilvl w:val="2"/>
          <w:numId w:val="19"/>
        </w:numPr>
        <w:spacing w:before="156" w:beforeLines="50" w:after="156" w:afterLines="50"/>
        <w:ind w:firstLineChars="0"/>
        <w:outlineLvl w:val="0"/>
        <w:rPr>
          <w:rFonts w:ascii="Times New Roman" w:hAnsi="Times New Roman"/>
          <w:b/>
          <w:color w:val="000000"/>
        </w:rPr>
      </w:pPr>
      <w:bookmarkStart w:id="781" w:name="_Toc101974148"/>
      <w:r>
        <w:rPr>
          <w:rFonts w:ascii="Times New Roman" w:hAnsi="Times New Roman"/>
        </w:rPr>
        <w:t>如信托在信托受益权完成首次转让前终止的，受益人同意受托人届时以《信托财产现状分配通知书》（格式见本合同附件）的形式将信托利益交付予受益人。</w:t>
      </w:r>
      <w:bookmarkEnd w:id="781"/>
    </w:p>
    <w:p w14:paraId="52D132C7">
      <w:pPr>
        <w:pStyle w:val="118"/>
        <w:numPr>
          <w:ilvl w:val="1"/>
          <w:numId w:val="19"/>
        </w:numPr>
        <w:spacing w:before="156" w:beforeLines="50" w:after="156" w:afterLines="50"/>
        <w:ind w:firstLineChars="0"/>
        <w:outlineLvl w:val="0"/>
        <w:rPr>
          <w:rFonts w:ascii="Times New Roman" w:hAnsi="Times New Roman"/>
          <w:b/>
          <w:color w:val="000000"/>
        </w:rPr>
      </w:pPr>
      <w:bookmarkStart w:id="782" w:name="_Toc101974149"/>
      <w:r>
        <w:rPr>
          <w:rFonts w:ascii="Times New Roman" w:hAnsi="Times New Roman"/>
        </w:rPr>
        <w:t>信托利益的计算</w:t>
      </w:r>
      <w:bookmarkEnd w:id="782"/>
    </w:p>
    <w:p w14:paraId="7F46C3B3">
      <w:pPr>
        <w:pStyle w:val="118"/>
        <w:numPr>
          <w:ilvl w:val="2"/>
          <w:numId w:val="19"/>
        </w:numPr>
        <w:spacing w:before="156" w:beforeLines="50" w:after="156" w:afterLines="50"/>
        <w:ind w:firstLineChars="0"/>
        <w:outlineLvl w:val="0"/>
        <w:rPr>
          <w:rFonts w:ascii="Times New Roman" w:hAnsi="Times New Roman"/>
          <w:b/>
          <w:color w:val="000000"/>
        </w:rPr>
      </w:pPr>
      <w:bookmarkStart w:id="783" w:name="_Toc101974150"/>
      <w:r>
        <w:rPr>
          <w:rFonts w:ascii="Times New Roman" w:hAnsi="Times New Roman"/>
        </w:rPr>
        <w:t>受托人负责核算受益人根据信托文件所应取得的信托利益。</w:t>
      </w:r>
      <w:bookmarkEnd w:id="783"/>
    </w:p>
    <w:p w14:paraId="5ADC71E6">
      <w:pPr>
        <w:pStyle w:val="118"/>
        <w:numPr>
          <w:ilvl w:val="2"/>
          <w:numId w:val="19"/>
        </w:numPr>
        <w:spacing w:before="156" w:beforeLines="50" w:after="156" w:afterLines="50"/>
        <w:ind w:firstLineChars="0"/>
        <w:outlineLvl w:val="0"/>
        <w:rPr>
          <w:rFonts w:ascii="Times New Roman" w:hAnsi="Times New Roman"/>
          <w:b/>
          <w:color w:val="000000"/>
        </w:rPr>
      </w:pPr>
      <w:bookmarkStart w:id="784" w:name="_Toc101974151"/>
      <w:r>
        <w:rPr>
          <w:rFonts w:ascii="Times New Roman" w:hAnsi="Times New Roman"/>
        </w:rPr>
        <w:t>受益人信托利益的计算</w:t>
      </w:r>
      <w:bookmarkEnd w:id="784"/>
    </w:p>
    <w:p w14:paraId="4D73C6DB">
      <w:pPr>
        <w:pStyle w:val="118"/>
        <w:spacing w:before="156" w:beforeLines="50" w:after="156" w:afterLines="50"/>
        <w:ind w:left="1418" w:firstLine="0" w:firstLineChars="0"/>
        <w:outlineLvl w:val="0"/>
        <w:rPr>
          <w:rFonts w:ascii="Times New Roman" w:hAnsi="Times New Roman"/>
          <w:b/>
          <w:color w:val="000000"/>
        </w:rPr>
      </w:pPr>
      <w:bookmarkStart w:id="785" w:name="_Toc101974152"/>
      <w:r>
        <w:rPr>
          <w:rFonts w:ascii="Times New Roman" w:hAnsi="Times New Roman"/>
        </w:rPr>
        <w:t>受托人于每个信托分配日将信托利益分配给受益人，信托账户中扣除按本合同第14条规定应由信托财产承担的费用后剩余的金额应全部向受益人分配。</w:t>
      </w:r>
      <w:bookmarkEnd w:id="785"/>
    </w:p>
    <w:p w14:paraId="044DC532">
      <w:pPr>
        <w:pStyle w:val="118"/>
        <w:numPr>
          <w:ilvl w:val="2"/>
          <w:numId w:val="19"/>
        </w:numPr>
        <w:spacing w:before="156" w:beforeLines="50" w:after="156" w:afterLines="50"/>
        <w:ind w:firstLineChars="0"/>
        <w:outlineLvl w:val="0"/>
        <w:rPr>
          <w:rFonts w:ascii="Times New Roman" w:hAnsi="Times New Roman"/>
          <w:b/>
          <w:color w:val="000000"/>
        </w:rPr>
      </w:pPr>
      <w:bookmarkStart w:id="786" w:name="_Toc101974153"/>
      <w:r>
        <w:rPr>
          <w:rFonts w:ascii="Times New Roman" w:hAnsi="Times New Roman"/>
        </w:rPr>
        <w:t>本合同中约定的信托利益计算方式并不构成受托人对受益人在信托项下的投资收益的任何形式的承诺或者保证。</w:t>
      </w:r>
      <w:bookmarkEnd w:id="786"/>
    </w:p>
    <w:p w14:paraId="01B3E54F">
      <w:pPr>
        <w:pStyle w:val="118"/>
        <w:numPr>
          <w:ilvl w:val="1"/>
          <w:numId w:val="19"/>
        </w:numPr>
        <w:spacing w:before="156" w:beforeLines="50" w:after="156" w:afterLines="50"/>
        <w:ind w:firstLineChars="0"/>
        <w:rPr>
          <w:rFonts w:ascii="Times New Roman" w:hAnsi="Times New Roman"/>
        </w:rPr>
      </w:pPr>
      <w:r>
        <w:rPr>
          <w:rFonts w:ascii="Times New Roman" w:hAnsi="Times New Roman"/>
        </w:rPr>
        <w:t>信托利益的分配流程</w:t>
      </w:r>
    </w:p>
    <w:p w14:paraId="66B2B379">
      <w:pPr>
        <w:pStyle w:val="118"/>
        <w:numPr>
          <w:ilvl w:val="2"/>
          <w:numId w:val="19"/>
        </w:numPr>
        <w:spacing w:before="156" w:beforeLines="50" w:after="156" w:afterLines="50"/>
        <w:ind w:firstLineChars="0"/>
        <w:rPr>
          <w:rFonts w:ascii="Times New Roman" w:hAnsi="Times New Roman"/>
        </w:rPr>
      </w:pPr>
      <w:r>
        <w:rPr>
          <w:rFonts w:hint="eastAsia" w:ascii="Times New Roman" w:hAnsi="Times New Roman"/>
          <w:bCs/>
        </w:rPr>
        <w:t>每个</w:t>
      </w:r>
      <w:r>
        <w:rPr>
          <w:rFonts w:ascii="Times New Roman" w:hAnsi="Times New Roman"/>
          <w:bCs/>
        </w:rPr>
        <w:t>监管账户转付日，</w:t>
      </w:r>
      <w:r>
        <w:rPr>
          <w:rFonts w:hint="eastAsia" w:ascii="Times New Roman" w:hAnsi="Times New Roman"/>
          <w:bCs/>
        </w:rPr>
        <w:t>借款人</w:t>
      </w:r>
      <w:r>
        <w:rPr>
          <w:rFonts w:ascii="Times New Roman" w:hAnsi="Times New Roman"/>
          <w:bCs/>
        </w:rPr>
        <w:t>将监管账户内的资金划转至信托专户；</w:t>
      </w:r>
      <w:r>
        <w:rPr>
          <w:rFonts w:hint="eastAsia" w:ascii="Times New Roman" w:hAnsi="Times New Roman"/>
          <w:bCs/>
        </w:rPr>
        <w:t>借款人从监管账户划转至信托专户的资金之和累计达到当期必备金额后，在当个年度标的债权还款日前（含）借款人可不再向信托专户划转监管账户资金，</w:t>
      </w:r>
      <w:r>
        <w:rPr>
          <w:rFonts w:ascii="Times New Roman" w:hAnsi="Times New Roman"/>
          <w:bCs/>
        </w:rPr>
        <w:t>监管账户归集的超过必备金额部分的资金（如有）可由借款人在当个监管账户转付日后（不含）至当个年度标的债权还款日后紧邻的第一个归集日前（不含）划出至其他账户。特别地，如</w:t>
      </w:r>
      <w:r>
        <w:rPr>
          <w:rFonts w:hint="eastAsia" w:ascii="Times New Roman" w:hAnsi="Times New Roman"/>
          <w:bCs/>
          <w:lang w:eastAsia="zh-CN"/>
        </w:rPr>
        <w:t>【】</w:t>
      </w:r>
      <w:r>
        <w:rPr>
          <w:rFonts w:ascii="Times New Roman" w:hAnsi="Times New Roman"/>
          <w:bCs/>
        </w:rPr>
        <w:t>已按约定履行差额支付补足义务、回售支持补足义务或运营成本流动性支持义务，则借款人应将监管账户归集的超过必备金额部分的资金（如有）优先划出至</w:t>
      </w:r>
      <w:r>
        <w:rPr>
          <w:rFonts w:hint="eastAsia" w:ascii="Times New Roman" w:hAnsi="Times New Roman"/>
          <w:bCs/>
          <w:lang w:eastAsia="zh-CN"/>
        </w:rPr>
        <w:t>【】</w:t>
      </w:r>
      <w:r>
        <w:rPr>
          <w:rFonts w:ascii="Times New Roman" w:hAnsi="Times New Roman"/>
          <w:bCs/>
        </w:rPr>
        <w:t>指定账户用于偿还</w:t>
      </w:r>
      <w:r>
        <w:rPr>
          <w:rFonts w:hint="eastAsia" w:ascii="Times New Roman" w:hAnsi="Times New Roman"/>
          <w:bCs/>
          <w:lang w:eastAsia="zh-CN"/>
        </w:rPr>
        <w:t>【】</w:t>
      </w:r>
      <w:r>
        <w:rPr>
          <w:rFonts w:ascii="Times New Roman" w:hAnsi="Times New Roman"/>
          <w:bCs/>
        </w:rPr>
        <w:t>履行差额支付补足义务、回售支持补足义务或运营成本流动性支持义务所支付的款项</w:t>
      </w:r>
      <w:r>
        <w:rPr>
          <w:rFonts w:ascii="Times New Roman" w:hAnsi="Times New Roman"/>
        </w:rPr>
        <w:t>。</w:t>
      </w:r>
    </w:p>
    <w:p w14:paraId="719DF209">
      <w:pPr>
        <w:pStyle w:val="118"/>
        <w:numPr>
          <w:ilvl w:val="2"/>
          <w:numId w:val="19"/>
        </w:numPr>
        <w:spacing w:before="156" w:beforeLines="50" w:after="156" w:afterLines="50"/>
        <w:ind w:firstLineChars="0"/>
        <w:rPr>
          <w:rFonts w:ascii="Times New Roman" w:hAnsi="Times New Roman"/>
        </w:rPr>
      </w:pPr>
      <w:r>
        <w:rPr>
          <w:rFonts w:ascii="Times New Roman" w:hAnsi="Times New Roman"/>
        </w:rPr>
        <w:tab/>
      </w:r>
      <w:r>
        <w:rPr>
          <w:rFonts w:ascii="Times New Roman" w:hAnsi="Times New Roman"/>
        </w:rPr>
        <w:t>在信托账户核算日/信托利益计算日，保管人对信托账户资金进行核算并将核算结果反馈给受托人，受托人根据《信托合同》的约定核算当期应支付的信托费用及应分配的信托利益；</w:t>
      </w:r>
    </w:p>
    <w:p w14:paraId="7685ED66">
      <w:pPr>
        <w:pStyle w:val="118"/>
        <w:numPr>
          <w:ilvl w:val="2"/>
          <w:numId w:val="19"/>
        </w:numPr>
        <w:spacing w:before="156" w:beforeLines="50" w:after="156" w:afterLines="50"/>
        <w:ind w:firstLineChars="0"/>
        <w:rPr>
          <w:rFonts w:ascii="Times New Roman" w:hAnsi="Times New Roman"/>
        </w:rPr>
      </w:pPr>
      <w:r>
        <w:rPr>
          <w:rFonts w:ascii="Times New Roman" w:hAnsi="Times New Roman"/>
        </w:rPr>
        <w:t>在信托分配日16:00时前，受托人应根据《信托合同》的约定，将信托利益分配至受益人信托利益分配账户；</w:t>
      </w:r>
    </w:p>
    <w:p w14:paraId="01D887BD">
      <w:pPr>
        <w:pStyle w:val="118"/>
        <w:numPr>
          <w:ilvl w:val="2"/>
          <w:numId w:val="19"/>
        </w:numPr>
        <w:spacing w:before="156" w:beforeLines="50" w:after="156" w:afterLines="50"/>
        <w:ind w:firstLineChars="0"/>
        <w:rPr>
          <w:rFonts w:ascii="Times New Roman" w:hAnsi="Times New Roman"/>
        </w:rPr>
      </w:pPr>
      <w:r>
        <w:rPr>
          <w:rFonts w:ascii="Times New Roman" w:hAnsi="Times New Roman"/>
        </w:rPr>
        <w:t>在受托人报告日</w:t>
      </w:r>
      <w:r>
        <w:rPr>
          <w:rFonts w:hint="eastAsia" w:ascii="Times New Roman" w:hAnsi="Times New Roman"/>
        </w:rPr>
        <w:t>16:00 时前</w:t>
      </w:r>
      <w:r>
        <w:rPr>
          <w:rFonts w:ascii="Times New Roman" w:hAnsi="Times New Roman"/>
        </w:rPr>
        <w:t>，受托人应根据《信托合同》的约定，向受益人出具《受托报告》。</w:t>
      </w:r>
    </w:p>
    <w:p w14:paraId="76ECE1F1">
      <w:pPr>
        <w:pStyle w:val="118"/>
        <w:numPr>
          <w:ilvl w:val="1"/>
          <w:numId w:val="19"/>
        </w:numPr>
        <w:spacing w:before="156" w:beforeLines="50" w:after="156" w:afterLines="50"/>
        <w:ind w:firstLineChars="0"/>
        <w:rPr>
          <w:rFonts w:ascii="Times New Roman" w:hAnsi="Times New Roman"/>
        </w:rPr>
      </w:pPr>
      <w:r>
        <w:rPr>
          <w:rFonts w:ascii="Times New Roman" w:hAnsi="Times New Roman"/>
        </w:rPr>
        <w:t>信托利益的分配</w:t>
      </w:r>
      <w:r>
        <w:rPr>
          <w:rFonts w:hint="eastAsia" w:ascii="Times New Roman" w:hAnsi="Times New Roman"/>
        </w:rPr>
        <w:t>顺序</w:t>
      </w:r>
    </w:p>
    <w:p w14:paraId="47E9D630">
      <w:pPr>
        <w:pStyle w:val="118"/>
        <w:spacing w:before="156" w:beforeLines="50" w:after="156" w:afterLines="50"/>
        <w:ind w:left="992" w:firstLine="0" w:firstLineChars="0"/>
        <w:rPr>
          <w:rFonts w:ascii="Times New Roman" w:hAnsi="Times New Roman"/>
        </w:rPr>
      </w:pPr>
      <w:r>
        <w:rPr>
          <w:rFonts w:ascii="Times New Roman" w:hAnsi="Times New Roman"/>
        </w:rPr>
        <w:t>信托存续期限内，受托人应于任一信托分配日以现金形式的信托财产为限按照如下顺序向受益人分配(如不足以分配，同一顺序的各项按应受偿金额的比例分配，所差金额应按以下顺序在下一期分配)：</w:t>
      </w:r>
    </w:p>
    <w:p w14:paraId="2FFAFF3B">
      <w:pPr>
        <w:pStyle w:val="118"/>
        <w:numPr>
          <w:ilvl w:val="2"/>
          <w:numId w:val="19"/>
        </w:numPr>
        <w:spacing w:before="156" w:beforeLines="50" w:after="156" w:afterLines="50"/>
        <w:ind w:firstLineChars="0"/>
        <w:rPr>
          <w:rFonts w:ascii="Times New Roman" w:hAnsi="Times New Roman"/>
        </w:rPr>
      </w:pPr>
      <w:r>
        <w:rPr>
          <w:rFonts w:ascii="Times New Roman" w:hAnsi="Times New Roman"/>
        </w:rPr>
        <w:t>支付根据本合同约定应由信托财产承担的税费、规费；</w:t>
      </w:r>
    </w:p>
    <w:p w14:paraId="2433558C">
      <w:pPr>
        <w:pStyle w:val="118"/>
        <w:numPr>
          <w:ilvl w:val="2"/>
          <w:numId w:val="19"/>
        </w:numPr>
        <w:spacing w:before="156" w:beforeLines="50" w:after="156" w:afterLines="50"/>
        <w:ind w:firstLineChars="0"/>
        <w:rPr>
          <w:rFonts w:ascii="Times New Roman" w:hAnsi="Times New Roman"/>
        </w:rPr>
      </w:pPr>
      <w:r>
        <w:rPr>
          <w:rFonts w:ascii="Times New Roman" w:hAnsi="Times New Roman"/>
        </w:rPr>
        <w:t>支付根据本合同约定应由信托财产承担的其他各项应由信托财产承担的信托费用(已付的信托费用除外)。</w:t>
      </w:r>
    </w:p>
    <w:p w14:paraId="6D436C21">
      <w:pPr>
        <w:pStyle w:val="118"/>
        <w:numPr>
          <w:ilvl w:val="2"/>
          <w:numId w:val="19"/>
        </w:numPr>
        <w:spacing w:before="156" w:beforeLines="50" w:after="156" w:afterLines="50"/>
        <w:ind w:firstLineChars="0"/>
        <w:rPr>
          <w:rFonts w:ascii="Times New Roman" w:hAnsi="Times New Roman"/>
        </w:rPr>
      </w:pPr>
      <w:r>
        <w:rPr>
          <w:rFonts w:ascii="Times New Roman" w:hAnsi="Times New Roman"/>
        </w:rPr>
        <w:t>向受益人分配当期的信托利益。</w:t>
      </w:r>
    </w:p>
    <w:p w14:paraId="6279AD7C">
      <w:pPr>
        <w:pStyle w:val="3"/>
        <w:numPr>
          <w:ilvl w:val="0"/>
          <w:numId w:val="5"/>
        </w:numPr>
        <w:rPr>
          <w:rFonts w:ascii="Times New Roman" w:hAnsi="Times New Roman"/>
        </w:rPr>
      </w:pPr>
      <w:bookmarkStart w:id="787" w:name="_Toc101974154"/>
      <w:bookmarkStart w:id="788" w:name="_Toc101976683"/>
      <w:r>
        <w:rPr>
          <w:rFonts w:ascii="Times New Roman" w:hAnsi="Times New Roman"/>
        </w:rPr>
        <w:t>信托的终止和信托终止后信托财产的分配</w:t>
      </w:r>
      <w:bookmarkEnd w:id="787"/>
      <w:bookmarkEnd w:id="788"/>
    </w:p>
    <w:p w14:paraId="2FBA44A4">
      <w:pPr>
        <w:pStyle w:val="118"/>
        <w:numPr>
          <w:ilvl w:val="1"/>
          <w:numId w:val="20"/>
        </w:numPr>
        <w:spacing w:before="156" w:beforeLines="50" w:after="156" w:afterLines="50"/>
        <w:ind w:firstLineChars="0"/>
        <w:outlineLvl w:val="0"/>
        <w:rPr>
          <w:rFonts w:ascii="Times New Roman" w:hAnsi="Times New Roman"/>
          <w:b/>
        </w:rPr>
      </w:pPr>
      <w:bookmarkStart w:id="789" w:name="_Toc101974155"/>
      <w:r>
        <w:rPr>
          <w:rFonts w:ascii="Times New Roman" w:hAnsi="Times New Roman"/>
        </w:rPr>
        <w:t>信托的终止</w:t>
      </w:r>
      <w:bookmarkEnd w:id="789"/>
    </w:p>
    <w:p w14:paraId="7A544236">
      <w:pPr>
        <w:pStyle w:val="118"/>
        <w:numPr>
          <w:ilvl w:val="2"/>
          <w:numId w:val="20"/>
        </w:numPr>
        <w:spacing w:before="156" w:beforeLines="50" w:after="156" w:afterLines="50"/>
        <w:ind w:firstLineChars="0"/>
        <w:outlineLvl w:val="0"/>
        <w:rPr>
          <w:rFonts w:ascii="Times New Roman" w:hAnsi="Times New Roman"/>
          <w:b/>
        </w:rPr>
      </w:pPr>
      <w:bookmarkStart w:id="790" w:name="_Toc101974156"/>
      <w:r>
        <w:rPr>
          <w:rFonts w:ascii="Times New Roman" w:hAnsi="Times New Roman"/>
        </w:rPr>
        <w:t>信托成立后，除本合同另有约定或法律法规另有规定的以外，委托人及受托人任何一方不得擅自变更、撤销、解除或终止信托。如需要变更本合同，须经双方协商一致并达成书面协议。</w:t>
      </w:r>
      <w:bookmarkEnd w:id="790"/>
    </w:p>
    <w:p w14:paraId="0629EFA6">
      <w:pPr>
        <w:pStyle w:val="118"/>
        <w:numPr>
          <w:ilvl w:val="2"/>
          <w:numId w:val="20"/>
        </w:numPr>
        <w:spacing w:before="156" w:beforeLines="50" w:after="156" w:afterLines="50"/>
        <w:ind w:firstLineChars="0"/>
        <w:outlineLvl w:val="0"/>
        <w:rPr>
          <w:rFonts w:ascii="Times New Roman" w:hAnsi="Times New Roman"/>
          <w:b/>
        </w:rPr>
      </w:pPr>
      <w:bookmarkStart w:id="791" w:name="_Toc101974157"/>
      <w:r>
        <w:rPr>
          <w:rFonts w:ascii="Times New Roman" w:hAnsi="Times New Roman"/>
        </w:rPr>
        <w:t>信托期间，委托人不得擅自提前终止信托，否则由此给信托财产或其他当事人造成的损失，委托人应负责赔偿；受托人不得擅自提前终止信托，否则由此给信托财产或其他当事人造成的损失，受托人应负责赔偿。</w:t>
      </w:r>
      <w:bookmarkEnd w:id="791"/>
    </w:p>
    <w:p w14:paraId="6D8C71E7">
      <w:pPr>
        <w:pStyle w:val="118"/>
        <w:numPr>
          <w:ilvl w:val="2"/>
          <w:numId w:val="20"/>
        </w:numPr>
        <w:spacing w:before="156" w:beforeLines="50" w:after="156" w:afterLines="50"/>
        <w:ind w:firstLineChars="0"/>
        <w:outlineLvl w:val="0"/>
        <w:rPr>
          <w:rFonts w:ascii="Times New Roman" w:hAnsi="Times New Roman"/>
          <w:b/>
        </w:rPr>
      </w:pPr>
      <w:bookmarkStart w:id="792" w:name="_Toc101974158"/>
      <w:r>
        <w:rPr>
          <w:rFonts w:ascii="Times New Roman" w:hAnsi="Times New Roman"/>
        </w:rPr>
        <w:t>发生下列情形之一时，受托人有权宣布信托终止：</w:t>
      </w:r>
      <w:bookmarkEnd w:id="792"/>
    </w:p>
    <w:p w14:paraId="0DE1FEAB">
      <w:pPr>
        <w:pStyle w:val="118"/>
        <w:numPr>
          <w:ilvl w:val="3"/>
          <w:numId w:val="20"/>
        </w:numPr>
        <w:spacing w:before="156" w:beforeLines="50" w:after="156" w:afterLines="50"/>
        <w:ind w:firstLineChars="0"/>
        <w:outlineLvl w:val="0"/>
        <w:rPr>
          <w:rFonts w:ascii="Times New Roman" w:hAnsi="Times New Roman"/>
          <w:b/>
        </w:rPr>
      </w:pPr>
      <w:bookmarkStart w:id="793" w:name="_Toc101974159"/>
      <w:r>
        <w:rPr>
          <w:rFonts w:ascii="Times New Roman" w:hAnsi="Times New Roman"/>
        </w:rPr>
        <w:t>本合同约定的终止事由发生；</w:t>
      </w:r>
      <w:bookmarkEnd w:id="793"/>
    </w:p>
    <w:p w14:paraId="10135078">
      <w:pPr>
        <w:pStyle w:val="118"/>
        <w:numPr>
          <w:ilvl w:val="3"/>
          <w:numId w:val="20"/>
        </w:numPr>
        <w:spacing w:before="156" w:beforeLines="50" w:after="156" w:afterLines="50"/>
        <w:ind w:firstLineChars="0"/>
        <w:outlineLvl w:val="0"/>
        <w:rPr>
          <w:rFonts w:ascii="Times New Roman" w:hAnsi="Times New Roman"/>
          <w:b/>
        </w:rPr>
      </w:pPr>
      <w:bookmarkStart w:id="794" w:name="_Toc101974160"/>
      <w:r>
        <w:rPr>
          <w:rFonts w:ascii="Times New Roman" w:hAnsi="Times New Roman"/>
        </w:rPr>
        <w:t>信托的存续违反信托目的；</w:t>
      </w:r>
      <w:bookmarkEnd w:id="794"/>
    </w:p>
    <w:p w14:paraId="3E5B5954">
      <w:pPr>
        <w:pStyle w:val="118"/>
        <w:numPr>
          <w:ilvl w:val="3"/>
          <w:numId w:val="20"/>
        </w:numPr>
        <w:spacing w:before="156" w:beforeLines="50" w:after="156" w:afterLines="50"/>
        <w:ind w:firstLineChars="0"/>
        <w:outlineLvl w:val="0"/>
        <w:rPr>
          <w:rFonts w:ascii="Times New Roman" w:hAnsi="Times New Roman"/>
          <w:b/>
        </w:rPr>
      </w:pPr>
      <w:bookmarkStart w:id="795" w:name="_Toc101974161"/>
      <w:r>
        <w:rPr>
          <w:rFonts w:ascii="Times New Roman" w:hAnsi="Times New Roman"/>
        </w:rPr>
        <w:t>信托目的已经实现或者不能实现；</w:t>
      </w:r>
      <w:bookmarkEnd w:id="795"/>
    </w:p>
    <w:p w14:paraId="377469D4">
      <w:pPr>
        <w:pStyle w:val="118"/>
        <w:numPr>
          <w:ilvl w:val="3"/>
          <w:numId w:val="20"/>
        </w:numPr>
        <w:spacing w:before="156" w:beforeLines="50" w:after="156" w:afterLines="50"/>
        <w:ind w:firstLineChars="0"/>
        <w:outlineLvl w:val="0"/>
        <w:rPr>
          <w:rFonts w:ascii="Times New Roman" w:hAnsi="Times New Roman"/>
          <w:b/>
        </w:rPr>
      </w:pPr>
      <w:bookmarkStart w:id="796" w:name="_Toc101974162"/>
      <w:r>
        <w:rPr>
          <w:rFonts w:ascii="Times New Roman" w:hAnsi="Times New Roman"/>
        </w:rPr>
        <w:t>受益人指令</w:t>
      </w:r>
      <w:r>
        <w:rPr>
          <w:rFonts w:hint="eastAsia" w:ascii="Times New Roman" w:hAnsi="Times New Roman"/>
        </w:rPr>
        <w:t>信托终止</w:t>
      </w:r>
      <w:r>
        <w:rPr>
          <w:rFonts w:ascii="Times New Roman" w:hAnsi="Times New Roman"/>
        </w:rPr>
        <w:t>；</w:t>
      </w:r>
      <w:bookmarkEnd w:id="796"/>
    </w:p>
    <w:p w14:paraId="1D043613">
      <w:pPr>
        <w:pStyle w:val="118"/>
        <w:numPr>
          <w:ilvl w:val="3"/>
          <w:numId w:val="20"/>
        </w:numPr>
        <w:spacing w:before="156" w:beforeLines="50" w:after="156" w:afterLines="50"/>
        <w:ind w:firstLineChars="0"/>
        <w:outlineLvl w:val="0"/>
        <w:rPr>
          <w:rFonts w:ascii="Times New Roman" w:hAnsi="Times New Roman"/>
          <w:b/>
        </w:rPr>
      </w:pPr>
      <w:bookmarkStart w:id="797" w:name="_Toc101974163"/>
      <w:r>
        <w:rPr>
          <w:rFonts w:ascii="Times New Roman" w:hAnsi="Times New Roman"/>
        </w:rPr>
        <w:t>受托人根据《受益人指令》宣布《债权转让与确认协议》项下标的债权本息提前到期；</w:t>
      </w:r>
      <w:bookmarkEnd w:id="797"/>
    </w:p>
    <w:p w14:paraId="0CEE4368">
      <w:pPr>
        <w:pStyle w:val="118"/>
        <w:numPr>
          <w:ilvl w:val="3"/>
          <w:numId w:val="20"/>
        </w:numPr>
        <w:spacing w:before="156" w:beforeLines="50" w:after="156" w:afterLines="50"/>
        <w:ind w:firstLineChars="0"/>
        <w:outlineLvl w:val="0"/>
        <w:rPr>
          <w:rFonts w:ascii="Times New Roman" w:hAnsi="Times New Roman"/>
          <w:b/>
        </w:rPr>
      </w:pPr>
      <w:bookmarkStart w:id="798" w:name="_Toc101974164"/>
      <w:r>
        <w:rPr>
          <w:rFonts w:ascii="Times New Roman" w:hAnsi="Times New Roman"/>
        </w:rPr>
        <w:t>信托生效日后</w:t>
      </w:r>
      <w:r>
        <w:rPr>
          <w:rFonts w:hint="eastAsia" w:ascii="Times New Roman" w:hAnsi="Times New Roman"/>
        </w:rPr>
        <w:t>【2</w:t>
      </w:r>
      <w:r>
        <w:rPr>
          <w:rFonts w:ascii="Times New Roman" w:hAnsi="Times New Roman"/>
        </w:rPr>
        <w:t>0</w:t>
      </w:r>
      <w:r>
        <w:rPr>
          <w:rFonts w:hint="eastAsia" w:ascii="Times New Roman" w:hAnsi="Times New Roman"/>
        </w:rPr>
        <w:t>】</w:t>
      </w:r>
      <w:r>
        <w:rPr>
          <w:rFonts w:ascii="Times New Roman" w:hAnsi="Times New Roman"/>
        </w:rPr>
        <w:t>个工作日内专项计划未设立的；</w:t>
      </w:r>
      <w:bookmarkEnd w:id="798"/>
    </w:p>
    <w:p w14:paraId="64D25BDF">
      <w:pPr>
        <w:pStyle w:val="118"/>
        <w:numPr>
          <w:ilvl w:val="3"/>
          <w:numId w:val="20"/>
        </w:numPr>
        <w:spacing w:before="156" w:beforeLines="50" w:after="156" w:afterLines="50"/>
        <w:ind w:firstLineChars="0"/>
        <w:outlineLvl w:val="0"/>
        <w:rPr>
          <w:rFonts w:ascii="Times New Roman" w:hAnsi="Times New Roman"/>
          <w:b/>
        </w:rPr>
      </w:pPr>
      <w:bookmarkStart w:id="799" w:name="_Toc101974165"/>
      <w:r>
        <w:rPr>
          <w:rFonts w:ascii="Times New Roman" w:hAnsi="Times New Roman"/>
        </w:rPr>
        <w:t>专项计划终止的；</w:t>
      </w:r>
      <w:bookmarkEnd w:id="799"/>
    </w:p>
    <w:p w14:paraId="5E16ABA3">
      <w:pPr>
        <w:pStyle w:val="118"/>
        <w:numPr>
          <w:ilvl w:val="3"/>
          <w:numId w:val="20"/>
        </w:numPr>
        <w:spacing w:before="156" w:beforeLines="50" w:after="156" w:afterLines="50"/>
        <w:ind w:firstLineChars="0"/>
        <w:outlineLvl w:val="0"/>
        <w:rPr>
          <w:rFonts w:ascii="Times New Roman" w:hAnsi="Times New Roman"/>
          <w:b/>
        </w:rPr>
      </w:pPr>
      <w:bookmarkStart w:id="800" w:name="_Toc101974166"/>
      <w:r>
        <w:rPr>
          <w:rFonts w:ascii="Times New Roman" w:hAnsi="Times New Roman"/>
        </w:rPr>
        <w:t>信托被依法撤销；</w:t>
      </w:r>
      <w:bookmarkEnd w:id="800"/>
    </w:p>
    <w:p w14:paraId="0421B74E">
      <w:pPr>
        <w:pStyle w:val="118"/>
        <w:numPr>
          <w:ilvl w:val="3"/>
          <w:numId w:val="20"/>
        </w:numPr>
        <w:spacing w:before="156" w:beforeLines="50" w:after="156" w:afterLines="50"/>
        <w:ind w:firstLineChars="0"/>
        <w:outlineLvl w:val="0"/>
        <w:rPr>
          <w:rFonts w:ascii="Times New Roman" w:hAnsi="Times New Roman"/>
          <w:b/>
        </w:rPr>
      </w:pPr>
      <w:bookmarkStart w:id="801" w:name="_Toc101974167"/>
      <w:r>
        <w:rPr>
          <w:rFonts w:ascii="Times New Roman" w:hAnsi="Times New Roman"/>
        </w:rPr>
        <w:t>信托被解除;</w:t>
      </w:r>
      <w:bookmarkEnd w:id="801"/>
    </w:p>
    <w:p w14:paraId="633880F8">
      <w:pPr>
        <w:pStyle w:val="118"/>
        <w:numPr>
          <w:ilvl w:val="3"/>
          <w:numId w:val="20"/>
        </w:numPr>
        <w:spacing w:before="156" w:beforeLines="50" w:after="156" w:afterLines="50"/>
        <w:ind w:firstLineChars="0"/>
        <w:outlineLvl w:val="0"/>
        <w:rPr>
          <w:rFonts w:ascii="Times New Roman" w:hAnsi="Times New Roman"/>
          <w:b/>
        </w:rPr>
      </w:pPr>
      <w:bookmarkStart w:id="802" w:name="_Toc101974168"/>
      <w:r>
        <w:rPr>
          <w:rFonts w:ascii="Times New Roman" w:hAnsi="Times New Roman"/>
        </w:rPr>
        <w:t>不可抗力导致信托业务无法继续；</w:t>
      </w:r>
      <w:bookmarkEnd w:id="802"/>
    </w:p>
    <w:p w14:paraId="1F684686">
      <w:pPr>
        <w:pStyle w:val="118"/>
        <w:numPr>
          <w:ilvl w:val="3"/>
          <w:numId w:val="20"/>
        </w:numPr>
        <w:spacing w:before="156" w:beforeLines="50" w:after="156" w:afterLines="50"/>
        <w:ind w:firstLineChars="0"/>
        <w:outlineLvl w:val="0"/>
        <w:rPr>
          <w:rFonts w:ascii="Times New Roman" w:hAnsi="Times New Roman"/>
          <w:b/>
        </w:rPr>
      </w:pPr>
      <w:bookmarkStart w:id="803" w:name="_Toc101974169"/>
      <w:r>
        <w:rPr>
          <w:rFonts w:ascii="Times New Roman" w:hAnsi="Times New Roman"/>
        </w:rPr>
        <w:t>法律、行政法规规定和约定的其他终止情形。</w:t>
      </w:r>
      <w:bookmarkEnd w:id="803"/>
    </w:p>
    <w:p w14:paraId="2BC0D58E">
      <w:pPr>
        <w:pStyle w:val="118"/>
        <w:numPr>
          <w:ilvl w:val="2"/>
          <w:numId w:val="20"/>
        </w:numPr>
        <w:spacing w:before="156" w:beforeLines="50" w:after="156" w:afterLines="50"/>
        <w:ind w:firstLineChars="0"/>
        <w:outlineLvl w:val="0"/>
        <w:rPr>
          <w:rFonts w:ascii="Times New Roman" w:hAnsi="Times New Roman"/>
          <w:b/>
        </w:rPr>
      </w:pPr>
      <w:bookmarkStart w:id="804" w:name="_Toc101974170"/>
      <w:r>
        <w:rPr>
          <w:rFonts w:ascii="Times New Roman" w:hAnsi="Times New Roman"/>
        </w:rPr>
        <w:t>受托人宣布信托终止之日为信托终止日。</w:t>
      </w:r>
      <w:bookmarkEnd w:id="804"/>
    </w:p>
    <w:p w14:paraId="48F7EAE8">
      <w:pPr>
        <w:pStyle w:val="118"/>
        <w:numPr>
          <w:ilvl w:val="1"/>
          <w:numId w:val="20"/>
        </w:numPr>
        <w:spacing w:before="156" w:beforeLines="50" w:after="156" w:afterLines="50"/>
        <w:ind w:firstLineChars="0"/>
        <w:rPr>
          <w:rFonts w:ascii="Times New Roman" w:hAnsi="Times New Roman"/>
        </w:rPr>
      </w:pPr>
      <w:r>
        <w:rPr>
          <w:rFonts w:ascii="Times New Roman" w:hAnsi="Times New Roman"/>
        </w:rPr>
        <w:t>清算</w:t>
      </w:r>
    </w:p>
    <w:p w14:paraId="153FDAB2">
      <w:pPr>
        <w:pStyle w:val="118"/>
        <w:numPr>
          <w:ilvl w:val="2"/>
          <w:numId w:val="20"/>
        </w:numPr>
        <w:spacing w:before="156" w:beforeLines="50" w:after="156" w:afterLines="50"/>
        <w:ind w:firstLineChars="0"/>
        <w:rPr>
          <w:rFonts w:ascii="Times New Roman" w:hAnsi="Times New Roman"/>
          <w:bCs/>
        </w:rPr>
      </w:pPr>
      <w:r>
        <w:rPr>
          <w:rFonts w:ascii="Times New Roman" w:hAnsi="Times New Roman"/>
        </w:rPr>
        <w:t>“受托人”应于“信托终止日”后10</w:t>
      </w:r>
      <w:r>
        <w:rPr>
          <w:rFonts w:hint="eastAsia" w:ascii="Times New Roman" w:hAnsi="Times New Roman"/>
        </w:rPr>
        <w:t>个工作日</w:t>
      </w:r>
      <w:r>
        <w:rPr>
          <w:rFonts w:ascii="Times New Roman" w:hAnsi="Times New Roman"/>
        </w:rPr>
        <w:t>（或“资产支持证券持有人会议”同意的其他更晚日期）内完成“信托财产”的清算：（</w:t>
      </w:r>
      <w:r>
        <w:rPr>
          <w:rFonts w:ascii="Times New Roman" w:hAnsi="Times New Roman"/>
          <w:bCs/>
        </w:rPr>
        <w:t>i）清算“合格投资”；（ii）清算除现金、存款及“合格投资”以外的“信托财产”（“非现金信托财产”）。</w:t>
      </w:r>
    </w:p>
    <w:p w14:paraId="46FF43AB">
      <w:pPr>
        <w:pStyle w:val="118"/>
        <w:numPr>
          <w:ilvl w:val="2"/>
          <w:numId w:val="20"/>
        </w:numPr>
        <w:spacing w:before="156" w:beforeLines="50" w:beforeAutospacing="0" w:after="156" w:afterLines="50"/>
        <w:ind w:firstLineChars="0"/>
        <w:outlineLvl w:val="0"/>
        <w:rPr>
          <w:rFonts w:ascii="Times New Roman" w:hAnsi="Times New Roman"/>
        </w:rPr>
      </w:pPr>
      <w:r>
        <w:rPr>
          <w:rFonts w:ascii="Times New Roman" w:hAnsi="Times New Roman"/>
          <w:bCs/>
        </w:rPr>
        <w:t>“</w:t>
      </w:r>
      <w:r>
        <w:rPr>
          <w:rFonts w:hint="eastAsia" w:ascii="Times New Roman" w:hAnsi="Times New Roman"/>
          <w:bCs/>
        </w:rPr>
        <w:t>受托人</w:t>
      </w:r>
      <w:r>
        <w:rPr>
          <w:rFonts w:ascii="Times New Roman" w:hAnsi="Times New Roman"/>
          <w:bCs/>
        </w:rPr>
        <w:t>”</w:t>
      </w:r>
      <w:r>
        <w:rPr>
          <w:rFonts w:hint="eastAsia" w:ascii="Times New Roman" w:hAnsi="Times New Roman"/>
          <w:bCs/>
        </w:rPr>
        <w:t>应于</w:t>
      </w:r>
      <w:r>
        <w:rPr>
          <w:rFonts w:ascii="Times New Roman" w:hAnsi="Times New Roman"/>
          <w:bCs/>
        </w:rPr>
        <w:t>“</w:t>
      </w:r>
      <w:r>
        <w:rPr>
          <w:rFonts w:hint="eastAsia" w:ascii="Times New Roman" w:hAnsi="Times New Roman"/>
          <w:bCs/>
        </w:rPr>
        <w:t>信托财产</w:t>
      </w:r>
      <w:r>
        <w:rPr>
          <w:rFonts w:ascii="Times New Roman" w:hAnsi="Times New Roman"/>
          <w:bCs/>
        </w:rPr>
        <w:t>”</w:t>
      </w:r>
      <w:r>
        <w:rPr>
          <w:rFonts w:hint="eastAsia" w:ascii="Times New Roman" w:hAnsi="Times New Roman"/>
          <w:bCs/>
        </w:rPr>
        <w:t>清算完毕之日后</w:t>
      </w:r>
      <w:r>
        <w:rPr>
          <w:rFonts w:ascii="Times New Roman" w:hAnsi="Times New Roman"/>
          <w:bCs/>
        </w:rPr>
        <w:t>5</w:t>
      </w:r>
      <w:r>
        <w:rPr>
          <w:rFonts w:hint="eastAsia" w:ascii="Times New Roman" w:hAnsi="Times New Roman"/>
          <w:bCs/>
        </w:rPr>
        <w:t>个工作日内按照本合同第</w:t>
      </w:r>
      <w:r>
        <w:rPr>
          <w:rFonts w:ascii="Times New Roman" w:hAnsi="Times New Roman"/>
          <w:bCs/>
        </w:rPr>
        <w:t>20</w:t>
      </w:r>
      <w:r>
        <w:rPr>
          <w:rFonts w:hint="eastAsia" w:ascii="Times New Roman" w:hAnsi="Times New Roman"/>
          <w:bCs/>
        </w:rPr>
        <w:t>条的规定披露信托清算报告</w:t>
      </w:r>
      <w:r>
        <w:rPr>
          <w:rFonts w:ascii="Times New Roman" w:hAnsi="Times New Roman"/>
          <w:bCs/>
        </w:rPr>
        <w:t>，该信托清算报告无须经“审计机构”的审计。自信托清算报告公告之日起30日内，受托人没有收到“信托终止日”的“资产支持证券持有人”对该信托清算报告的书面异议的，“受托人”就信托清算报告所列事项解除责任，但因“受托人”的不当行为、重大过失、欺诈和违约而引起的责任除外。</w:t>
      </w:r>
    </w:p>
    <w:p w14:paraId="74EC61FE">
      <w:pPr>
        <w:pStyle w:val="118"/>
        <w:numPr>
          <w:ilvl w:val="1"/>
          <w:numId w:val="20"/>
        </w:numPr>
        <w:spacing w:before="156" w:beforeLines="50" w:after="156" w:afterLines="50"/>
        <w:ind w:firstLineChars="0"/>
        <w:rPr>
          <w:rFonts w:ascii="Times New Roman" w:hAnsi="Times New Roman"/>
        </w:rPr>
      </w:pPr>
      <w:bookmarkStart w:id="805" w:name="_Ref101960205"/>
      <w:r>
        <w:rPr>
          <w:rFonts w:ascii="Times New Roman" w:hAnsi="Times New Roman"/>
        </w:rPr>
        <w:t>信托终止后信托财产的分配</w:t>
      </w:r>
      <w:bookmarkEnd w:id="805"/>
    </w:p>
    <w:p w14:paraId="7B00932C">
      <w:pPr>
        <w:pStyle w:val="118"/>
        <w:numPr>
          <w:ilvl w:val="2"/>
          <w:numId w:val="20"/>
        </w:numPr>
        <w:spacing w:before="156" w:beforeLines="50" w:after="156" w:afterLines="50"/>
        <w:ind w:firstLineChars="0"/>
        <w:rPr>
          <w:rFonts w:ascii="Times New Roman" w:hAnsi="Times New Roman"/>
        </w:rPr>
      </w:pPr>
      <w:r>
        <w:rPr>
          <w:rFonts w:ascii="Times New Roman" w:hAnsi="Times New Roman"/>
        </w:rPr>
        <w:t>清算期内，分配方式可采取现金方式、维持信托终止时信托财产现状方式或两者的混合方式。</w:t>
      </w:r>
      <w:r>
        <w:rPr>
          <w:rFonts w:hint="eastAsia" w:ascii="Times New Roman" w:hAnsi="Times New Roman"/>
        </w:rPr>
        <w:t>信托终止时，如信托专户内存在现金资产的，受托人应于信托终止日采用现金方式进行一次信托利益分配。</w:t>
      </w:r>
      <w:r>
        <w:rPr>
          <w:rFonts w:ascii="Times New Roman" w:hAnsi="Times New Roman"/>
        </w:rPr>
        <w:t>采用现金方式分配的，受托人应当将现金存入受益人指定账户。采用维持信托终止时信托财产现状分配的，受托人有权将剩余非现金形式信托财产以信托终止时的信托财产现状形式分配给受益人并向受益人发出受领通知。若因向受益人现状分配非现金形式信托财产而导致产生相关税费的，由受益人承担。</w:t>
      </w:r>
    </w:p>
    <w:p w14:paraId="5622394F">
      <w:pPr>
        <w:pStyle w:val="118"/>
        <w:numPr>
          <w:ilvl w:val="2"/>
          <w:numId w:val="20"/>
        </w:numPr>
        <w:spacing w:before="156" w:beforeLines="50" w:after="156" w:afterLines="50"/>
        <w:ind w:firstLineChars="0"/>
        <w:rPr>
          <w:rFonts w:ascii="Times New Roman" w:hAnsi="Times New Roman"/>
        </w:rPr>
      </w:pPr>
      <w:r>
        <w:rPr>
          <w:rFonts w:ascii="Times New Roman" w:hAnsi="Times New Roman"/>
        </w:rPr>
        <w:t>在信托终止后，信托财产按照如下顺序进行分配(如不足以分配，同一顺序的各项按应受偿金额的比例分配，所差金额应按以下顺序在下一期分配)：</w:t>
      </w:r>
    </w:p>
    <w:p w14:paraId="3E0CEE95">
      <w:pPr>
        <w:pStyle w:val="118"/>
        <w:numPr>
          <w:ilvl w:val="3"/>
          <w:numId w:val="20"/>
        </w:numPr>
        <w:spacing w:before="156" w:beforeLines="50" w:after="156" w:afterLines="50"/>
        <w:ind w:firstLineChars="0"/>
        <w:rPr>
          <w:rFonts w:ascii="Times New Roman" w:hAnsi="Times New Roman"/>
        </w:rPr>
      </w:pPr>
      <w:r>
        <w:rPr>
          <w:rFonts w:ascii="Times New Roman" w:hAnsi="Times New Roman"/>
        </w:rPr>
        <w:t>支付清算费用；</w:t>
      </w:r>
    </w:p>
    <w:p w14:paraId="10961A43">
      <w:pPr>
        <w:pStyle w:val="118"/>
        <w:numPr>
          <w:ilvl w:val="3"/>
          <w:numId w:val="20"/>
        </w:numPr>
        <w:spacing w:before="156" w:beforeLines="50" w:after="156" w:afterLines="50"/>
        <w:ind w:firstLineChars="0"/>
        <w:rPr>
          <w:rFonts w:ascii="Times New Roman" w:hAnsi="Times New Roman"/>
        </w:rPr>
      </w:pPr>
      <w:r>
        <w:rPr>
          <w:rFonts w:ascii="Times New Roman" w:hAnsi="Times New Roman"/>
        </w:rPr>
        <w:t>支付根据本合同约定应由信托财产承担的税费、规费；</w:t>
      </w:r>
    </w:p>
    <w:p w14:paraId="7C4549F0">
      <w:pPr>
        <w:pStyle w:val="118"/>
        <w:numPr>
          <w:ilvl w:val="3"/>
          <w:numId w:val="20"/>
        </w:numPr>
        <w:spacing w:before="156" w:beforeLines="50" w:after="156" w:afterLines="50"/>
        <w:ind w:firstLineChars="0"/>
        <w:rPr>
          <w:rFonts w:ascii="Times New Roman" w:hAnsi="Times New Roman"/>
        </w:rPr>
      </w:pPr>
      <w:r>
        <w:rPr>
          <w:rFonts w:ascii="Times New Roman" w:hAnsi="Times New Roman"/>
        </w:rPr>
        <w:t>支付根据本合同约定应由信托财产承担的其他各项应由信托财产承担的信托费用(已付的信托费用除外)。</w:t>
      </w:r>
    </w:p>
    <w:p w14:paraId="039A5D92">
      <w:pPr>
        <w:pStyle w:val="118"/>
        <w:numPr>
          <w:ilvl w:val="3"/>
          <w:numId w:val="20"/>
        </w:numPr>
        <w:spacing w:before="156" w:beforeLines="50" w:after="156" w:afterLines="50"/>
        <w:ind w:firstLineChars="0"/>
        <w:rPr>
          <w:rFonts w:ascii="Times New Roman" w:hAnsi="Times New Roman"/>
        </w:rPr>
      </w:pPr>
      <w:r>
        <w:rPr>
          <w:rFonts w:ascii="Times New Roman" w:hAnsi="Times New Roman"/>
        </w:rPr>
        <w:t>向受益人分配信托利益。</w:t>
      </w:r>
    </w:p>
    <w:p w14:paraId="23001515">
      <w:pPr>
        <w:pStyle w:val="3"/>
        <w:numPr>
          <w:ilvl w:val="0"/>
          <w:numId w:val="5"/>
        </w:numPr>
        <w:rPr>
          <w:rFonts w:ascii="Times New Roman" w:hAnsi="Times New Roman"/>
        </w:rPr>
      </w:pPr>
      <w:bookmarkStart w:id="806" w:name="_Toc340398322"/>
      <w:bookmarkEnd w:id="806"/>
      <w:bookmarkStart w:id="807" w:name="_Toc340398259"/>
      <w:bookmarkEnd w:id="807"/>
      <w:bookmarkStart w:id="808" w:name="_Toc340398205"/>
      <w:bookmarkEnd w:id="808"/>
      <w:bookmarkStart w:id="809" w:name="_Toc120149140"/>
      <w:bookmarkEnd w:id="809"/>
      <w:bookmarkStart w:id="810" w:name="_Toc340398332"/>
      <w:bookmarkEnd w:id="810"/>
      <w:bookmarkStart w:id="811" w:name="_Toc340398199"/>
      <w:bookmarkEnd w:id="811"/>
      <w:bookmarkStart w:id="812" w:name="_Toc340397421"/>
      <w:bookmarkEnd w:id="812"/>
      <w:bookmarkStart w:id="813" w:name="_Toc340397473"/>
      <w:bookmarkEnd w:id="813"/>
      <w:bookmarkStart w:id="814" w:name="_Toc340398297"/>
      <w:bookmarkEnd w:id="814"/>
      <w:bookmarkStart w:id="815" w:name="_Toc340397832"/>
      <w:bookmarkEnd w:id="815"/>
      <w:bookmarkStart w:id="816" w:name="_Toc340398185"/>
      <w:bookmarkEnd w:id="816"/>
      <w:bookmarkStart w:id="817" w:name="_Toc340397911"/>
      <w:bookmarkEnd w:id="817"/>
      <w:bookmarkStart w:id="818" w:name="_Toc340397520"/>
      <w:bookmarkEnd w:id="818"/>
      <w:bookmarkStart w:id="819" w:name="_Toc340398217"/>
      <w:bookmarkEnd w:id="819"/>
      <w:bookmarkStart w:id="820" w:name="_Toc340397818"/>
      <w:bookmarkEnd w:id="820"/>
      <w:bookmarkStart w:id="821" w:name="_Toc340397437"/>
      <w:bookmarkEnd w:id="821"/>
      <w:bookmarkStart w:id="822" w:name="_Toc340398303"/>
      <w:bookmarkEnd w:id="822"/>
      <w:bookmarkStart w:id="823" w:name="_Toc340397813"/>
      <w:bookmarkEnd w:id="823"/>
      <w:bookmarkStart w:id="824" w:name="_Toc340397808"/>
      <w:bookmarkEnd w:id="824"/>
      <w:bookmarkStart w:id="825" w:name="_Toc340398341"/>
      <w:bookmarkEnd w:id="825"/>
      <w:bookmarkStart w:id="826" w:name="_Toc340397534"/>
      <w:bookmarkEnd w:id="826"/>
      <w:bookmarkStart w:id="827" w:name="_Toc340397835"/>
      <w:bookmarkEnd w:id="827"/>
      <w:bookmarkStart w:id="828" w:name="_Toc340397549"/>
      <w:bookmarkEnd w:id="828"/>
      <w:bookmarkStart w:id="829" w:name="_Toc340397453"/>
      <w:bookmarkEnd w:id="829"/>
      <w:bookmarkStart w:id="830" w:name="_Toc340397920"/>
      <w:bookmarkEnd w:id="830"/>
      <w:bookmarkStart w:id="831" w:name="_Toc340398243"/>
      <w:bookmarkEnd w:id="831"/>
      <w:bookmarkStart w:id="832" w:name="_Toc340398219"/>
      <w:bookmarkEnd w:id="832"/>
      <w:bookmarkStart w:id="833" w:name="_Toc340397408"/>
      <w:bookmarkEnd w:id="833"/>
      <w:bookmarkStart w:id="834" w:name="_Toc340397457"/>
      <w:bookmarkEnd w:id="834"/>
      <w:bookmarkStart w:id="835" w:name="_Toc340397509"/>
      <w:bookmarkEnd w:id="835"/>
      <w:bookmarkStart w:id="836" w:name="_Toc340398195"/>
      <w:bookmarkEnd w:id="836"/>
      <w:bookmarkStart w:id="837" w:name="_Toc340397803"/>
      <w:bookmarkEnd w:id="837"/>
      <w:bookmarkStart w:id="838" w:name="_Toc340397461"/>
      <w:bookmarkEnd w:id="838"/>
      <w:bookmarkStart w:id="839" w:name="_Toc340397434"/>
      <w:bookmarkEnd w:id="839"/>
      <w:bookmarkStart w:id="840" w:name="_Toc340397879"/>
      <w:bookmarkEnd w:id="840"/>
      <w:bookmarkStart w:id="841" w:name="_Toc340397538"/>
      <w:bookmarkEnd w:id="841"/>
      <w:bookmarkStart w:id="842" w:name="_Toc340397858"/>
      <w:bookmarkEnd w:id="842"/>
      <w:bookmarkStart w:id="843" w:name="_Toc340397433"/>
      <w:bookmarkEnd w:id="843"/>
      <w:bookmarkStart w:id="844" w:name="_Toc340397940"/>
      <w:bookmarkEnd w:id="844"/>
      <w:bookmarkStart w:id="845" w:name="_Toc340397440"/>
      <w:bookmarkEnd w:id="845"/>
      <w:bookmarkStart w:id="846" w:name="_Toc340398192"/>
      <w:bookmarkEnd w:id="846"/>
      <w:bookmarkStart w:id="847" w:name="_Toc340398223"/>
      <w:bookmarkEnd w:id="847"/>
      <w:bookmarkStart w:id="848" w:name="_Toc340397500"/>
      <w:bookmarkEnd w:id="848"/>
      <w:bookmarkStart w:id="849" w:name="_Toc340397551"/>
      <w:bookmarkEnd w:id="849"/>
      <w:bookmarkStart w:id="850" w:name="_Toc340398261"/>
      <w:bookmarkEnd w:id="850"/>
      <w:bookmarkStart w:id="851" w:name="_Toc340397481"/>
      <w:bookmarkEnd w:id="851"/>
      <w:bookmarkStart w:id="852" w:name="_Toc340398314"/>
      <w:bookmarkEnd w:id="852"/>
      <w:bookmarkStart w:id="853" w:name="_Toc340398213"/>
      <w:bookmarkEnd w:id="853"/>
      <w:bookmarkStart w:id="854" w:name="_Toc340397423"/>
      <w:bookmarkEnd w:id="854"/>
      <w:bookmarkStart w:id="855" w:name="_Toc340397466"/>
      <w:bookmarkEnd w:id="855"/>
      <w:bookmarkStart w:id="856" w:name="_Toc340397529"/>
      <w:bookmarkEnd w:id="856"/>
      <w:bookmarkStart w:id="857" w:name="_Toc340397532"/>
      <w:bookmarkEnd w:id="857"/>
      <w:bookmarkStart w:id="858" w:name="_Toc340397886"/>
      <w:bookmarkEnd w:id="858"/>
      <w:bookmarkStart w:id="859" w:name="_Toc340397872"/>
      <w:bookmarkEnd w:id="859"/>
      <w:bookmarkStart w:id="860" w:name="_Toc340397506"/>
      <w:bookmarkEnd w:id="860"/>
      <w:bookmarkStart w:id="861" w:name="_Toc340398212"/>
      <w:bookmarkEnd w:id="861"/>
      <w:bookmarkStart w:id="862" w:name="_Toc340397498"/>
      <w:bookmarkEnd w:id="862"/>
      <w:bookmarkStart w:id="863" w:name="_Toc340398208"/>
      <w:bookmarkEnd w:id="863"/>
      <w:bookmarkStart w:id="864" w:name="_Toc340397412"/>
      <w:bookmarkEnd w:id="864"/>
      <w:bookmarkStart w:id="865" w:name="_Toc340398224"/>
      <w:bookmarkEnd w:id="865"/>
      <w:bookmarkStart w:id="866" w:name="_Toc340398238"/>
      <w:bookmarkEnd w:id="866"/>
      <w:bookmarkStart w:id="867" w:name="_Toc340397817"/>
      <w:bookmarkEnd w:id="867"/>
      <w:bookmarkStart w:id="868" w:name="_Toc340398320"/>
      <w:bookmarkEnd w:id="868"/>
      <w:bookmarkStart w:id="869" w:name="_Toc340397537"/>
      <w:bookmarkEnd w:id="869"/>
      <w:bookmarkStart w:id="870" w:name="_Toc340397449"/>
      <w:bookmarkEnd w:id="870"/>
      <w:bookmarkStart w:id="871" w:name="_Toc340397476"/>
      <w:bookmarkEnd w:id="871"/>
      <w:bookmarkStart w:id="872" w:name="_Toc340398307"/>
      <w:bookmarkEnd w:id="872"/>
      <w:bookmarkStart w:id="873" w:name="_Toc340397420"/>
      <w:bookmarkEnd w:id="873"/>
      <w:bookmarkStart w:id="874" w:name="_Toc340398339"/>
      <w:bookmarkEnd w:id="874"/>
      <w:bookmarkStart w:id="875" w:name="_Toc340397862"/>
      <w:bookmarkEnd w:id="875"/>
      <w:bookmarkStart w:id="876" w:name="_Toc340397521"/>
      <w:bookmarkEnd w:id="876"/>
      <w:bookmarkStart w:id="877" w:name="_Toc340397869"/>
      <w:bookmarkEnd w:id="877"/>
      <w:bookmarkStart w:id="878" w:name="_Toc340397807"/>
      <w:bookmarkEnd w:id="878"/>
      <w:bookmarkStart w:id="879" w:name="_Toc340397865"/>
      <w:bookmarkEnd w:id="879"/>
      <w:bookmarkStart w:id="880" w:name="_Toc340397554"/>
      <w:bookmarkEnd w:id="880"/>
      <w:bookmarkStart w:id="881" w:name="_Toc340397542"/>
      <w:bookmarkEnd w:id="881"/>
      <w:bookmarkStart w:id="882" w:name="_Toc120275182"/>
      <w:bookmarkEnd w:id="882"/>
      <w:bookmarkStart w:id="883" w:name="_Toc340398187"/>
      <w:bookmarkEnd w:id="883"/>
      <w:bookmarkStart w:id="884" w:name="_Toc340397837"/>
      <w:bookmarkEnd w:id="884"/>
      <w:bookmarkStart w:id="885" w:name="_Toc120277355"/>
      <w:bookmarkEnd w:id="885"/>
      <w:bookmarkStart w:id="886" w:name="_Toc340397441"/>
      <w:bookmarkEnd w:id="886"/>
      <w:bookmarkStart w:id="887" w:name="_Toc340397840"/>
      <w:bookmarkEnd w:id="887"/>
      <w:bookmarkStart w:id="888" w:name="_Toc340398321"/>
      <w:bookmarkEnd w:id="888"/>
      <w:bookmarkStart w:id="889" w:name="_Toc340397499"/>
      <w:bookmarkEnd w:id="889"/>
      <w:bookmarkStart w:id="890" w:name="_Toc340397802"/>
      <w:bookmarkEnd w:id="890"/>
      <w:bookmarkStart w:id="891" w:name="_Toc340398280"/>
      <w:bookmarkEnd w:id="891"/>
      <w:bookmarkStart w:id="892" w:name="_Toc340397922"/>
      <w:bookmarkEnd w:id="892"/>
      <w:bookmarkStart w:id="893" w:name="_Toc340398313"/>
      <w:bookmarkEnd w:id="893"/>
      <w:bookmarkStart w:id="894" w:name="_Toc340397485"/>
      <w:bookmarkEnd w:id="894"/>
      <w:bookmarkStart w:id="895" w:name="_Toc340397470"/>
      <w:bookmarkEnd w:id="895"/>
      <w:bookmarkStart w:id="896" w:name="_Toc340397419"/>
      <w:bookmarkEnd w:id="896"/>
      <w:bookmarkStart w:id="897" w:name="_Toc340397814"/>
      <w:bookmarkEnd w:id="897"/>
      <w:bookmarkStart w:id="898" w:name="_Toc340397861"/>
      <w:bookmarkEnd w:id="898"/>
      <w:bookmarkStart w:id="899" w:name="_Toc340398236"/>
      <w:bookmarkEnd w:id="899"/>
      <w:bookmarkStart w:id="900" w:name="_Toc340397535"/>
      <w:bookmarkEnd w:id="900"/>
      <w:bookmarkStart w:id="901" w:name="_Toc340397811"/>
      <w:bookmarkEnd w:id="901"/>
      <w:bookmarkStart w:id="902" w:name="_Toc340398196"/>
      <w:bookmarkEnd w:id="902"/>
      <w:bookmarkStart w:id="903" w:name="_Toc340398242"/>
      <w:bookmarkEnd w:id="903"/>
      <w:bookmarkStart w:id="904" w:name="_Toc340397850"/>
      <w:bookmarkEnd w:id="904"/>
      <w:bookmarkStart w:id="905" w:name="_Toc340398298"/>
      <w:bookmarkEnd w:id="905"/>
      <w:bookmarkStart w:id="906" w:name="_Toc340398342"/>
      <w:bookmarkEnd w:id="906"/>
      <w:bookmarkStart w:id="907" w:name="_Toc340397515"/>
      <w:bookmarkEnd w:id="907"/>
      <w:bookmarkStart w:id="908" w:name="_Toc340398253"/>
      <w:bookmarkEnd w:id="908"/>
      <w:bookmarkStart w:id="909" w:name="_Toc340397480"/>
      <w:bookmarkEnd w:id="909"/>
      <w:bookmarkStart w:id="910" w:name="_Toc340397899"/>
      <w:bookmarkEnd w:id="910"/>
      <w:bookmarkStart w:id="911" w:name="_Toc340398267"/>
      <w:bookmarkEnd w:id="911"/>
      <w:bookmarkStart w:id="912" w:name="_Toc340398276"/>
      <w:bookmarkEnd w:id="912"/>
      <w:bookmarkStart w:id="913" w:name="_Toc340397510"/>
      <w:bookmarkEnd w:id="913"/>
      <w:bookmarkStart w:id="914" w:name="_Toc340398335"/>
      <w:bookmarkEnd w:id="914"/>
      <w:bookmarkStart w:id="915" w:name="_Toc340397462"/>
      <w:bookmarkEnd w:id="915"/>
      <w:bookmarkStart w:id="916" w:name="_Toc340397455"/>
      <w:bookmarkEnd w:id="916"/>
      <w:bookmarkStart w:id="917" w:name="_Toc340397881"/>
      <w:bookmarkEnd w:id="917"/>
      <w:bookmarkStart w:id="918" w:name="_Toc340397513"/>
      <w:bookmarkEnd w:id="918"/>
      <w:bookmarkStart w:id="919" w:name="_Toc340397831"/>
      <w:bookmarkEnd w:id="919"/>
      <w:bookmarkStart w:id="920" w:name="_Toc340398269"/>
      <w:bookmarkEnd w:id="920"/>
      <w:bookmarkStart w:id="921" w:name="_Toc340398270"/>
      <w:bookmarkEnd w:id="921"/>
      <w:bookmarkStart w:id="922" w:name="_Toc340398312"/>
      <w:bookmarkEnd w:id="922"/>
      <w:bookmarkStart w:id="923" w:name="_Toc340397797"/>
      <w:bookmarkEnd w:id="923"/>
      <w:bookmarkStart w:id="924" w:name="_Toc340397926"/>
      <w:bookmarkEnd w:id="924"/>
      <w:bookmarkStart w:id="925" w:name="_Toc340397933"/>
      <w:bookmarkEnd w:id="925"/>
      <w:bookmarkStart w:id="926" w:name="_Toc340397937"/>
      <w:bookmarkEnd w:id="926"/>
      <w:bookmarkStart w:id="927" w:name="_Toc340398252"/>
      <w:bookmarkEnd w:id="927"/>
      <w:bookmarkStart w:id="928" w:name="_Toc120277520"/>
      <w:bookmarkEnd w:id="928"/>
      <w:bookmarkStart w:id="929" w:name="_Toc340397828"/>
      <w:bookmarkEnd w:id="929"/>
      <w:bookmarkStart w:id="930" w:name="_Toc340397796"/>
      <w:bookmarkEnd w:id="930"/>
      <w:bookmarkStart w:id="931" w:name="_Toc340398310"/>
      <w:bookmarkEnd w:id="931"/>
      <w:bookmarkStart w:id="932" w:name="_Toc340398237"/>
      <w:bookmarkEnd w:id="932"/>
      <w:bookmarkStart w:id="933" w:name="_Toc340397915"/>
      <w:bookmarkEnd w:id="933"/>
      <w:bookmarkStart w:id="934" w:name="_Toc340398249"/>
      <w:bookmarkEnd w:id="934"/>
      <w:bookmarkStart w:id="935" w:name="_Toc340397938"/>
      <w:bookmarkEnd w:id="935"/>
      <w:bookmarkStart w:id="936" w:name="_Toc340397546"/>
      <w:bookmarkEnd w:id="936"/>
      <w:bookmarkStart w:id="937" w:name="_Toc340397516"/>
      <w:bookmarkEnd w:id="937"/>
      <w:bookmarkStart w:id="938" w:name="_Toc340398251"/>
      <w:bookmarkEnd w:id="938"/>
      <w:bookmarkStart w:id="939" w:name="_Toc340397928"/>
      <w:bookmarkEnd w:id="939"/>
      <w:bookmarkStart w:id="940" w:name="_Toc340398331"/>
      <w:bookmarkEnd w:id="940"/>
      <w:bookmarkStart w:id="941" w:name="_Toc340397867"/>
      <w:bookmarkEnd w:id="941"/>
      <w:bookmarkStart w:id="942" w:name="_Toc340397925"/>
      <w:bookmarkEnd w:id="942"/>
      <w:bookmarkStart w:id="943" w:name="_Toc340397544"/>
      <w:bookmarkEnd w:id="943"/>
      <w:bookmarkStart w:id="944" w:name="_Toc340397409"/>
      <w:bookmarkEnd w:id="944"/>
      <w:bookmarkStart w:id="945" w:name="_Toc340398257"/>
      <w:bookmarkEnd w:id="945"/>
      <w:bookmarkStart w:id="946" w:name="_Toc340397927"/>
      <w:bookmarkEnd w:id="946"/>
      <w:bookmarkStart w:id="947" w:name="_Toc340398281"/>
      <w:bookmarkEnd w:id="947"/>
      <w:bookmarkStart w:id="948" w:name="_Toc340397491"/>
      <w:bookmarkEnd w:id="948"/>
      <w:bookmarkStart w:id="949" w:name="_Toc340398317"/>
      <w:bookmarkEnd w:id="949"/>
      <w:bookmarkStart w:id="950" w:name="_Toc340398254"/>
      <w:bookmarkEnd w:id="950"/>
      <w:bookmarkStart w:id="951" w:name="_Toc340397517"/>
      <w:bookmarkEnd w:id="951"/>
      <w:bookmarkStart w:id="952" w:name="_Toc340397827"/>
      <w:bookmarkEnd w:id="952"/>
      <w:bookmarkStart w:id="953" w:name="_Toc340397820"/>
      <w:bookmarkEnd w:id="953"/>
      <w:bookmarkStart w:id="954" w:name="_Toc340397839"/>
      <w:bookmarkEnd w:id="954"/>
      <w:bookmarkStart w:id="955" w:name="_Toc340397511"/>
      <w:bookmarkEnd w:id="955"/>
      <w:bookmarkStart w:id="956" w:name="_Toc340397863"/>
      <w:bookmarkEnd w:id="956"/>
      <w:bookmarkStart w:id="957" w:name="_Toc340397435"/>
      <w:bookmarkEnd w:id="957"/>
      <w:bookmarkStart w:id="958" w:name="_Toc340398301"/>
      <w:bookmarkEnd w:id="958"/>
      <w:bookmarkStart w:id="959" w:name="_Toc340398260"/>
      <w:bookmarkEnd w:id="959"/>
      <w:bookmarkStart w:id="960" w:name="_Toc340398330"/>
      <w:bookmarkEnd w:id="960"/>
      <w:bookmarkStart w:id="961" w:name="_Toc340397819"/>
      <w:bookmarkEnd w:id="961"/>
      <w:bookmarkStart w:id="962" w:name="_Toc340397530"/>
      <w:bookmarkEnd w:id="962"/>
      <w:bookmarkStart w:id="963" w:name="_Toc340397830"/>
      <w:bookmarkEnd w:id="963"/>
      <w:bookmarkStart w:id="964" w:name="_Toc340398295"/>
      <w:bookmarkEnd w:id="964"/>
      <w:bookmarkStart w:id="965" w:name="_Toc340398300"/>
      <w:bookmarkEnd w:id="965"/>
      <w:bookmarkStart w:id="966" w:name="_Toc340398282"/>
      <w:bookmarkEnd w:id="966"/>
      <w:bookmarkStart w:id="967" w:name="_Toc340398294"/>
      <w:bookmarkEnd w:id="967"/>
      <w:bookmarkStart w:id="968" w:name="_Toc340398337"/>
      <w:bookmarkEnd w:id="968"/>
      <w:bookmarkStart w:id="969" w:name="_Toc340398271"/>
      <w:bookmarkEnd w:id="969"/>
      <w:bookmarkStart w:id="970" w:name="_Toc340397424"/>
      <w:bookmarkEnd w:id="970"/>
      <w:bookmarkStart w:id="971" w:name="_Toc340398245"/>
      <w:bookmarkEnd w:id="971"/>
      <w:bookmarkStart w:id="972" w:name="_Toc340398218"/>
      <w:bookmarkEnd w:id="972"/>
      <w:bookmarkStart w:id="973" w:name="_Toc340397798"/>
      <w:bookmarkEnd w:id="973"/>
      <w:bookmarkStart w:id="974" w:name="_Toc340398203"/>
      <w:bookmarkEnd w:id="974"/>
      <w:bookmarkStart w:id="975" w:name="_Toc340398292"/>
      <w:bookmarkEnd w:id="975"/>
      <w:bookmarkStart w:id="976" w:name="_Toc340397445"/>
      <w:bookmarkEnd w:id="976"/>
      <w:bookmarkStart w:id="977" w:name="_Toc340397543"/>
      <w:bookmarkEnd w:id="977"/>
      <w:bookmarkStart w:id="978" w:name="_Toc340397855"/>
      <w:bookmarkEnd w:id="978"/>
      <w:bookmarkStart w:id="979" w:name="_Toc340397901"/>
      <w:bookmarkEnd w:id="979"/>
      <w:bookmarkStart w:id="980" w:name="_Toc340398191"/>
      <w:bookmarkEnd w:id="980"/>
      <w:bookmarkStart w:id="981" w:name="_Toc340397550"/>
      <w:bookmarkEnd w:id="981"/>
      <w:bookmarkStart w:id="982" w:name="_Toc340397450"/>
      <w:bookmarkEnd w:id="982"/>
      <w:bookmarkStart w:id="983" w:name="_Toc340397467"/>
      <w:bookmarkEnd w:id="983"/>
      <w:bookmarkStart w:id="984" w:name="_Toc340397447"/>
      <w:bookmarkEnd w:id="984"/>
      <w:bookmarkStart w:id="985" w:name="_Toc340397870"/>
      <w:bookmarkEnd w:id="985"/>
      <w:bookmarkStart w:id="986" w:name="_Toc340397458"/>
      <w:bookmarkEnd w:id="986"/>
      <w:bookmarkStart w:id="987" w:name="_Toc340397518"/>
      <w:bookmarkEnd w:id="987"/>
      <w:bookmarkStart w:id="988" w:name="_Toc340398308"/>
      <w:bookmarkEnd w:id="988"/>
      <w:bookmarkStart w:id="989" w:name="_Toc340397847"/>
      <w:bookmarkEnd w:id="989"/>
      <w:bookmarkStart w:id="990" w:name="_Toc340397800"/>
      <w:bookmarkEnd w:id="990"/>
      <w:bookmarkStart w:id="991" w:name="_Toc340398246"/>
      <w:bookmarkEnd w:id="991"/>
      <w:bookmarkStart w:id="992" w:name="_Toc340397414"/>
      <w:bookmarkEnd w:id="992"/>
      <w:bookmarkStart w:id="993" w:name="_Toc340397548"/>
      <w:bookmarkEnd w:id="993"/>
      <w:bookmarkStart w:id="994" w:name="_Toc340397906"/>
      <w:bookmarkEnd w:id="994"/>
      <w:bookmarkStart w:id="995" w:name="_Toc340398279"/>
      <w:bookmarkEnd w:id="995"/>
      <w:bookmarkStart w:id="996" w:name="_Toc340398284"/>
      <w:bookmarkEnd w:id="996"/>
      <w:bookmarkStart w:id="997" w:name="_Toc340397487"/>
      <w:bookmarkEnd w:id="997"/>
      <w:bookmarkStart w:id="998" w:name="_Toc340397497"/>
      <w:bookmarkEnd w:id="998"/>
      <w:bookmarkStart w:id="999" w:name="_Toc340397413"/>
      <w:bookmarkEnd w:id="999"/>
      <w:bookmarkStart w:id="1000" w:name="_Toc340397821"/>
      <w:bookmarkEnd w:id="1000"/>
      <w:bookmarkStart w:id="1001" w:name="_Toc340398222"/>
      <w:bookmarkEnd w:id="1001"/>
      <w:bookmarkStart w:id="1002" w:name="_Toc340397524"/>
      <w:bookmarkEnd w:id="1002"/>
      <w:bookmarkStart w:id="1003" w:name="_Toc340398197"/>
      <w:bookmarkEnd w:id="1003"/>
      <w:bookmarkStart w:id="1004" w:name="_Toc340397873"/>
      <w:bookmarkEnd w:id="1004"/>
      <w:bookmarkStart w:id="1005" w:name="_Toc340397501"/>
      <w:bookmarkEnd w:id="1005"/>
      <w:bookmarkStart w:id="1006" w:name="_Toc340397935"/>
      <w:bookmarkEnd w:id="1006"/>
      <w:bookmarkStart w:id="1007" w:name="_Toc340397902"/>
      <w:bookmarkEnd w:id="1007"/>
      <w:bookmarkStart w:id="1008" w:name="_Toc340397522"/>
      <w:bookmarkEnd w:id="1008"/>
      <w:bookmarkStart w:id="1009" w:name="_Toc340397432"/>
      <w:bookmarkEnd w:id="1009"/>
      <w:bookmarkStart w:id="1010" w:name="_Toc340398216"/>
      <w:bookmarkEnd w:id="1010"/>
      <w:bookmarkStart w:id="1011" w:name="_Toc340397823"/>
      <w:bookmarkEnd w:id="1011"/>
      <w:bookmarkStart w:id="1012" w:name="_Toc340398316"/>
      <w:bookmarkEnd w:id="1012"/>
      <w:bookmarkStart w:id="1013" w:name="_Toc340397919"/>
      <w:bookmarkEnd w:id="1013"/>
      <w:bookmarkStart w:id="1014" w:name="_Toc340398258"/>
      <w:bookmarkEnd w:id="1014"/>
      <w:bookmarkStart w:id="1015" w:name="_Toc340397880"/>
      <w:bookmarkEnd w:id="1015"/>
      <w:bookmarkStart w:id="1016" w:name="_Toc340397438"/>
      <w:bookmarkEnd w:id="1016"/>
      <w:bookmarkStart w:id="1017" w:name="_Toc340397917"/>
      <w:bookmarkEnd w:id="1017"/>
      <w:bookmarkStart w:id="1018" w:name="_Toc340397824"/>
      <w:bookmarkEnd w:id="1018"/>
      <w:bookmarkStart w:id="1019" w:name="_Toc340397857"/>
      <w:bookmarkEnd w:id="1019"/>
      <w:bookmarkStart w:id="1020" w:name="_Toc340398248"/>
      <w:bookmarkEnd w:id="1020"/>
      <w:bookmarkStart w:id="1021" w:name="_Toc340397918"/>
      <w:bookmarkEnd w:id="1021"/>
      <w:bookmarkStart w:id="1022" w:name="_Toc340397887"/>
      <w:bookmarkEnd w:id="1022"/>
      <w:bookmarkStart w:id="1023" w:name="_Toc340397890"/>
      <w:bookmarkEnd w:id="1023"/>
      <w:bookmarkStart w:id="1024" w:name="_Toc340397540"/>
      <w:bookmarkEnd w:id="1024"/>
      <w:bookmarkStart w:id="1025" w:name="_Toc340398274"/>
      <w:bookmarkEnd w:id="1025"/>
      <w:bookmarkStart w:id="1026" w:name="_Toc340397430"/>
      <w:bookmarkEnd w:id="1026"/>
      <w:bookmarkStart w:id="1027" w:name="_Toc340398206"/>
      <w:bookmarkEnd w:id="1027"/>
      <w:bookmarkStart w:id="1028" w:name="_Toc340397439"/>
      <w:bookmarkEnd w:id="1028"/>
      <w:bookmarkStart w:id="1029" w:name="_Toc340398286"/>
      <w:bookmarkEnd w:id="1029"/>
      <w:bookmarkStart w:id="1030" w:name="_Toc340397936"/>
      <w:bookmarkEnd w:id="1030"/>
      <w:bookmarkStart w:id="1031" w:name="_Toc340397448"/>
      <w:bookmarkEnd w:id="1031"/>
      <w:bookmarkStart w:id="1032" w:name="_Toc340397904"/>
      <w:bookmarkEnd w:id="1032"/>
      <w:bookmarkStart w:id="1033" w:name="_Toc340398319"/>
      <w:bookmarkEnd w:id="1033"/>
      <w:bookmarkStart w:id="1034" w:name="_Toc340397838"/>
      <w:bookmarkEnd w:id="1034"/>
      <w:bookmarkStart w:id="1035" w:name="_Toc340398202"/>
      <w:bookmarkEnd w:id="1035"/>
      <w:bookmarkStart w:id="1036" w:name="_Toc340398221"/>
      <w:bookmarkEnd w:id="1036"/>
      <w:bookmarkStart w:id="1037" w:name="_Toc340398289"/>
      <w:bookmarkEnd w:id="1037"/>
      <w:bookmarkStart w:id="1038" w:name="_Toc340397531"/>
      <w:bookmarkEnd w:id="1038"/>
      <w:bookmarkStart w:id="1039" w:name="_Toc340397806"/>
      <w:bookmarkEnd w:id="1039"/>
      <w:bookmarkStart w:id="1040" w:name="_Toc340398233"/>
      <w:bookmarkEnd w:id="1040"/>
      <w:bookmarkStart w:id="1041" w:name="_Toc340398189"/>
      <w:bookmarkEnd w:id="1041"/>
      <w:bookmarkStart w:id="1042" w:name="_Toc340397884"/>
      <w:bookmarkEnd w:id="1042"/>
      <w:bookmarkStart w:id="1043" w:name="_Toc340398239"/>
      <w:bookmarkEnd w:id="1043"/>
      <w:bookmarkStart w:id="1044" w:name="_Toc340397877"/>
      <w:bookmarkEnd w:id="1044"/>
      <w:bookmarkStart w:id="1045" w:name="_Toc340397488"/>
      <w:bookmarkEnd w:id="1045"/>
      <w:bookmarkStart w:id="1046" w:name="_Toc340398268"/>
      <w:bookmarkEnd w:id="1046"/>
      <w:bookmarkStart w:id="1047" w:name="_Toc340397431"/>
      <w:bookmarkEnd w:id="1047"/>
      <w:bookmarkStart w:id="1048" w:name="_Toc340397812"/>
      <w:bookmarkEnd w:id="1048"/>
      <w:bookmarkStart w:id="1049" w:name="_Toc340397826"/>
      <w:bookmarkEnd w:id="1049"/>
      <w:bookmarkStart w:id="1050" w:name="_Toc340397888"/>
      <w:bookmarkEnd w:id="1050"/>
      <w:bookmarkStart w:id="1051" w:name="_Toc340397528"/>
      <w:bookmarkEnd w:id="1051"/>
      <w:bookmarkStart w:id="1052" w:name="_Toc340398188"/>
      <w:bookmarkEnd w:id="1052"/>
      <w:bookmarkStart w:id="1053" w:name="_Toc340398288"/>
      <w:bookmarkEnd w:id="1053"/>
      <w:bookmarkStart w:id="1054" w:name="_Toc340397477"/>
      <w:bookmarkEnd w:id="1054"/>
      <w:bookmarkStart w:id="1055" w:name="_Toc340398327"/>
      <w:bookmarkEnd w:id="1055"/>
      <w:bookmarkStart w:id="1056" w:name="_Toc340397916"/>
      <w:bookmarkEnd w:id="1056"/>
      <w:bookmarkStart w:id="1057" w:name="_Toc340397468"/>
      <w:bookmarkEnd w:id="1057"/>
      <w:bookmarkStart w:id="1058" w:name="_Toc340398283"/>
      <w:bookmarkEnd w:id="1058"/>
      <w:bookmarkStart w:id="1059" w:name="_Toc340398323"/>
      <w:bookmarkEnd w:id="1059"/>
      <w:bookmarkStart w:id="1060" w:name="_Toc340397489"/>
      <w:bookmarkEnd w:id="1060"/>
      <w:bookmarkStart w:id="1061" w:name="_Toc340397464"/>
      <w:bookmarkEnd w:id="1061"/>
      <w:bookmarkStart w:id="1062" w:name="_Toc340398277"/>
      <w:bookmarkEnd w:id="1062"/>
      <w:bookmarkStart w:id="1063" w:name="_Toc340398210"/>
      <w:bookmarkEnd w:id="1063"/>
      <w:bookmarkStart w:id="1064" w:name="_Toc340398318"/>
      <w:bookmarkEnd w:id="1064"/>
      <w:bookmarkStart w:id="1065" w:name="_Toc340398235"/>
      <w:bookmarkEnd w:id="1065"/>
      <w:bookmarkStart w:id="1066" w:name="_Toc120277266"/>
      <w:bookmarkEnd w:id="1066"/>
      <w:bookmarkStart w:id="1067" w:name="_Toc340398329"/>
      <w:bookmarkEnd w:id="1067"/>
      <w:bookmarkStart w:id="1068" w:name="_Toc340397834"/>
      <w:bookmarkEnd w:id="1068"/>
      <w:bookmarkStart w:id="1069" w:name="_Toc340397533"/>
      <w:bookmarkEnd w:id="1069"/>
      <w:bookmarkStart w:id="1070" w:name="_Toc340397442"/>
      <w:bookmarkEnd w:id="1070"/>
      <w:bookmarkStart w:id="1071" w:name="_Toc340398207"/>
      <w:bookmarkEnd w:id="1071"/>
      <w:bookmarkStart w:id="1072" w:name="_Toc340398264"/>
      <w:bookmarkEnd w:id="1072"/>
      <w:bookmarkStart w:id="1073" w:name="_Toc340397875"/>
      <w:bookmarkEnd w:id="1073"/>
      <w:bookmarkStart w:id="1074" w:name="_Toc340397809"/>
      <w:bookmarkEnd w:id="1074"/>
      <w:bookmarkStart w:id="1075" w:name="_Toc340397411"/>
      <w:bookmarkEnd w:id="1075"/>
      <w:bookmarkStart w:id="1076" w:name="_Toc340397883"/>
      <w:bookmarkEnd w:id="1076"/>
      <w:bookmarkStart w:id="1077" w:name="_Toc120277265"/>
      <w:bookmarkEnd w:id="1077"/>
      <w:bookmarkStart w:id="1078" w:name="_Toc340398325"/>
      <w:bookmarkEnd w:id="1078"/>
      <w:bookmarkStart w:id="1079" w:name="_Toc340397897"/>
      <w:bookmarkEnd w:id="1079"/>
      <w:bookmarkStart w:id="1080" w:name="_Toc340397864"/>
      <w:bookmarkEnd w:id="1080"/>
      <w:bookmarkStart w:id="1081" w:name="_Toc340397842"/>
      <w:bookmarkEnd w:id="1081"/>
      <w:bookmarkStart w:id="1082" w:name="_Toc340397836"/>
      <w:bookmarkEnd w:id="1082"/>
      <w:bookmarkStart w:id="1083" w:name="_Toc340397898"/>
      <w:bookmarkEnd w:id="1083"/>
      <w:bookmarkStart w:id="1084" w:name="_Toc340398328"/>
      <w:bookmarkEnd w:id="1084"/>
      <w:bookmarkStart w:id="1085" w:name="_Toc340397494"/>
      <w:bookmarkEnd w:id="1085"/>
      <w:bookmarkStart w:id="1086" w:name="_Toc340397892"/>
      <w:bookmarkEnd w:id="1086"/>
      <w:bookmarkStart w:id="1087" w:name="_Toc340397878"/>
      <w:bookmarkEnd w:id="1087"/>
      <w:bookmarkStart w:id="1088" w:name="_Toc340398240"/>
      <w:bookmarkEnd w:id="1088"/>
      <w:bookmarkStart w:id="1089" w:name="_Toc340397833"/>
      <w:bookmarkEnd w:id="1089"/>
      <w:bookmarkStart w:id="1090" w:name="_Toc340397472"/>
      <w:bookmarkEnd w:id="1090"/>
      <w:bookmarkStart w:id="1091" w:name="_Toc340398291"/>
      <w:bookmarkEnd w:id="1091"/>
      <w:bookmarkStart w:id="1092" w:name="_Toc340397910"/>
      <w:bookmarkEnd w:id="1092"/>
      <w:bookmarkStart w:id="1093" w:name="_Toc340397900"/>
      <w:bookmarkEnd w:id="1093"/>
      <w:bookmarkStart w:id="1094" w:name="_Toc340397415"/>
      <w:bookmarkEnd w:id="1094"/>
      <w:bookmarkStart w:id="1095" w:name="_Toc340397810"/>
      <w:bookmarkEnd w:id="1095"/>
      <w:bookmarkStart w:id="1096" w:name="_Toc340397893"/>
      <w:bookmarkEnd w:id="1096"/>
      <w:bookmarkStart w:id="1097" w:name="_Toc340398247"/>
      <w:bookmarkEnd w:id="1097"/>
      <w:bookmarkStart w:id="1098" w:name="_Toc340398241"/>
      <w:bookmarkEnd w:id="1098"/>
      <w:bookmarkStart w:id="1099" w:name="_Toc340397799"/>
      <w:bookmarkEnd w:id="1099"/>
      <w:bookmarkStart w:id="1100" w:name="_Toc340398334"/>
      <w:bookmarkEnd w:id="1100"/>
      <w:bookmarkStart w:id="1101" w:name="_Toc340397451"/>
      <w:bookmarkEnd w:id="1101"/>
      <w:bookmarkStart w:id="1102" w:name="_Toc340397876"/>
      <w:bookmarkEnd w:id="1102"/>
      <w:bookmarkStart w:id="1103" w:name="_Toc340398244"/>
      <w:bookmarkEnd w:id="1103"/>
      <w:bookmarkStart w:id="1104" w:name="_Toc340397908"/>
      <w:bookmarkEnd w:id="1104"/>
      <w:bookmarkStart w:id="1105" w:name="_Toc340398287"/>
      <w:bookmarkEnd w:id="1105"/>
      <w:bookmarkStart w:id="1106" w:name="_Toc340398290"/>
      <w:bookmarkEnd w:id="1106"/>
      <w:bookmarkStart w:id="1107" w:name="_Toc340397410"/>
      <w:bookmarkEnd w:id="1107"/>
      <w:bookmarkStart w:id="1108" w:name="_Toc340398338"/>
      <w:bookmarkEnd w:id="1108"/>
      <w:bookmarkStart w:id="1109" w:name="_Toc340398285"/>
      <w:bookmarkEnd w:id="1109"/>
      <w:bookmarkStart w:id="1110" w:name="_Toc340398336"/>
      <w:bookmarkEnd w:id="1110"/>
      <w:bookmarkStart w:id="1111" w:name="_Toc340397895"/>
      <w:bookmarkEnd w:id="1111"/>
      <w:bookmarkStart w:id="1112" w:name="_Toc340398211"/>
      <w:bookmarkEnd w:id="1112"/>
      <w:bookmarkStart w:id="1113" w:name="_Toc340397907"/>
      <w:bookmarkEnd w:id="1113"/>
      <w:bookmarkStart w:id="1114" w:name="_Toc340398229"/>
      <w:bookmarkEnd w:id="1114"/>
      <w:bookmarkStart w:id="1115" w:name="_Toc340398273"/>
      <w:bookmarkEnd w:id="1115"/>
      <w:bookmarkStart w:id="1116" w:name="_Toc340397443"/>
      <w:bookmarkEnd w:id="1116"/>
      <w:bookmarkStart w:id="1117" w:name="_Toc340397552"/>
      <w:bookmarkEnd w:id="1117"/>
      <w:bookmarkStart w:id="1118" w:name="_Toc340397860"/>
      <w:bookmarkEnd w:id="1118"/>
      <w:bookmarkStart w:id="1119" w:name="_Toc340397844"/>
      <w:bookmarkEnd w:id="1119"/>
      <w:bookmarkStart w:id="1120" w:name="_Toc340397555"/>
      <w:bookmarkEnd w:id="1120"/>
      <w:bookmarkStart w:id="1121" w:name="_Toc340397868"/>
      <w:bookmarkEnd w:id="1121"/>
      <w:bookmarkStart w:id="1122" w:name="_Toc340397490"/>
      <w:bookmarkEnd w:id="1122"/>
      <w:bookmarkStart w:id="1123" w:name="_Toc340397843"/>
      <w:bookmarkEnd w:id="1123"/>
      <w:bookmarkStart w:id="1124" w:name="_Toc340397486"/>
      <w:bookmarkEnd w:id="1124"/>
      <w:bookmarkStart w:id="1125" w:name="_Toc340398227"/>
      <w:bookmarkEnd w:id="1125"/>
      <w:bookmarkStart w:id="1126" w:name="_Toc340397527"/>
      <w:bookmarkEnd w:id="1126"/>
      <w:bookmarkStart w:id="1127" w:name="_Toc340397553"/>
      <w:bookmarkEnd w:id="1127"/>
      <w:bookmarkStart w:id="1128" w:name="_Toc340397882"/>
      <w:bookmarkEnd w:id="1128"/>
      <w:bookmarkStart w:id="1129" w:name="_Toc340398315"/>
      <w:bookmarkEnd w:id="1129"/>
      <w:bookmarkStart w:id="1130" w:name="_Toc340397923"/>
      <w:bookmarkEnd w:id="1130"/>
      <w:bookmarkStart w:id="1131" w:name="_Toc340397519"/>
      <w:bookmarkEnd w:id="1131"/>
      <w:bookmarkStart w:id="1132" w:name="_Toc340397849"/>
      <w:bookmarkEnd w:id="1132"/>
      <w:bookmarkStart w:id="1133" w:name="_Toc340397536"/>
      <w:bookmarkEnd w:id="1133"/>
      <w:bookmarkStart w:id="1134" w:name="_Toc340398250"/>
      <w:bookmarkEnd w:id="1134"/>
      <w:bookmarkStart w:id="1135" w:name="_Toc340397853"/>
      <w:bookmarkEnd w:id="1135"/>
      <w:bookmarkStart w:id="1136" w:name="_Toc340397426"/>
      <w:bookmarkEnd w:id="1136"/>
      <w:bookmarkStart w:id="1137" w:name="_Toc340397478"/>
      <w:bookmarkEnd w:id="1137"/>
      <w:bookmarkStart w:id="1138" w:name="_Toc340398186"/>
      <w:bookmarkEnd w:id="1138"/>
      <w:bookmarkStart w:id="1139" w:name="_Toc340397851"/>
      <w:bookmarkEnd w:id="1139"/>
      <w:bookmarkStart w:id="1140" w:name="_Toc340398296"/>
      <w:bookmarkEnd w:id="1140"/>
      <w:bookmarkStart w:id="1141" w:name="_Toc340397504"/>
      <w:bookmarkEnd w:id="1141"/>
      <w:bookmarkStart w:id="1142" w:name="_Toc340397459"/>
      <w:bookmarkEnd w:id="1142"/>
      <w:bookmarkStart w:id="1143" w:name="_Toc340397889"/>
      <w:bookmarkEnd w:id="1143"/>
      <w:bookmarkStart w:id="1144" w:name="_Toc340397885"/>
      <w:bookmarkEnd w:id="1144"/>
      <w:bookmarkStart w:id="1145" w:name="_Toc340397523"/>
      <w:bookmarkEnd w:id="1145"/>
      <w:bookmarkStart w:id="1146" w:name="_Toc340398215"/>
      <w:bookmarkEnd w:id="1146"/>
      <w:bookmarkStart w:id="1147" w:name="_Toc340398209"/>
      <w:bookmarkEnd w:id="1147"/>
      <w:bookmarkStart w:id="1148" w:name="_Toc340398293"/>
      <w:bookmarkEnd w:id="1148"/>
      <w:bookmarkStart w:id="1149" w:name="_Toc340397924"/>
      <w:bookmarkEnd w:id="1149"/>
      <w:bookmarkStart w:id="1150" w:name="_Toc340398204"/>
      <w:bookmarkEnd w:id="1150"/>
      <w:bookmarkStart w:id="1151" w:name="_Toc340398306"/>
      <w:bookmarkEnd w:id="1151"/>
      <w:bookmarkStart w:id="1152" w:name="_Toc340397931"/>
      <w:bookmarkEnd w:id="1152"/>
      <w:bookmarkStart w:id="1153" w:name="_Toc340397417"/>
      <w:bookmarkEnd w:id="1153"/>
      <w:bookmarkStart w:id="1154" w:name="_Toc340398230"/>
      <w:bookmarkEnd w:id="1154"/>
      <w:bookmarkStart w:id="1155" w:name="_Toc340398333"/>
      <w:bookmarkEnd w:id="1155"/>
      <w:bookmarkStart w:id="1156" w:name="_Toc340397891"/>
      <w:bookmarkEnd w:id="1156"/>
      <w:bookmarkStart w:id="1157" w:name="_Toc340397825"/>
      <w:bookmarkEnd w:id="1157"/>
      <w:bookmarkStart w:id="1158" w:name="_Toc340397446"/>
      <w:bookmarkEnd w:id="1158"/>
      <w:bookmarkStart w:id="1159" w:name="_Toc340397475"/>
      <w:bookmarkEnd w:id="1159"/>
      <w:bookmarkStart w:id="1160" w:name="_Toc340397932"/>
      <w:bookmarkEnd w:id="1160"/>
      <w:bookmarkStart w:id="1161" w:name="_Toc340397416"/>
      <w:bookmarkEnd w:id="1161"/>
      <w:bookmarkStart w:id="1162" w:name="_Toc340397465"/>
      <w:bookmarkEnd w:id="1162"/>
      <w:bookmarkStart w:id="1163" w:name="_Toc340397896"/>
      <w:bookmarkEnd w:id="1163"/>
      <w:bookmarkStart w:id="1164" w:name="_Toc340398263"/>
      <w:bookmarkEnd w:id="1164"/>
      <w:bookmarkStart w:id="1165" w:name="_Toc340397859"/>
      <w:bookmarkEnd w:id="1165"/>
      <w:bookmarkStart w:id="1166" w:name="_Toc340397852"/>
      <w:bookmarkEnd w:id="1166"/>
      <w:bookmarkStart w:id="1167" w:name="_Toc120277521"/>
      <w:bookmarkEnd w:id="1167"/>
      <w:bookmarkStart w:id="1168" w:name="_Toc340397874"/>
      <w:bookmarkEnd w:id="1168"/>
      <w:bookmarkStart w:id="1169" w:name="_Toc340398198"/>
      <w:bookmarkEnd w:id="1169"/>
      <w:bookmarkStart w:id="1170" w:name="_Toc340397474"/>
      <w:bookmarkEnd w:id="1170"/>
      <w:bookmarkStart w:id="1171" w:name="_Toc340397484"/>
      <w:bookmarkEnd w:id="1171"/>
      <w:bookmarkStart w:id="1172" w:name="_Toc340398194"/>
      <w:bookmarkEnd w:id="1172"/>
      <w:bookmarkStart w:id="1173" w:name="_Toc340397422"/>
      <w:bookmarkEnd w:id="1173"/>
      <w:bookmarkStart w:id="1174" w:name="_Toc340398324"/>
      <w:bookmarkEnd w:id="1174"/>
      <w:bookmarkStart w:id="1175" w:name="_Toc340398228"/>
      <w:bookmarkEnd w:id="1175"/>
      <w:bookmarkStart w:id="1176" w:name="_Toc340397929"/>
      <w:bookmarkEnd w:id="1176"/>
      <w:bookmarkStart w:id="1177" w:name="_Toc340397871"/>
      <w:bookmarkEnd w:id="1177"/>
      <w:bookmarkStart w:id="1178" w:name="_Toc340397903"/>
      <w:bookmarkEnd w:id="1178"/>
      <w:bookmarkStart w:id="1179" w:name="_Toc340397505"/>
      <w:bookmarkEnd w:id="1179"/>
      <w:bookmarkStart w:id="1180" w:name="_Toc340397829"/>
      <w:bookmarkEnd w:id="1180"/>
      <w:bookmarkStart w:id="1181" w:name="_Toc340398226"/>
      <w:bookmarkEnd w:id="1181"/>
      <w:bookmarkStart w:id="1182" w:name="_Toc340397429"/>
      <w:bookmarkEnd w:id="1182"/>
      <w:bookmarkStart w:id="1183" w:name="_Toc340397456"/>
      <w:bookmarkEnd w:id="1183"/>
      <w:bookmarkStart w:id="1184" w:name="_Toc340397547"/>
      <w:bookmarkEnd w:id="1184"/>
      <w:bookmarkStart w:id="1185" w:name="_Toc340398255"/>
      <w:bookmarkEnd w:id="1185"/>
      <w:bookmarkStart w:id="1186" w:name="_Toc340397507"/>
      <w:bookmarkEnd w:id="1186"/>
      <w:bookmarkStart w:id="1187" w:name="_Toc340397418"/>
      <w:bookmarkEnd w:id="1187"/>
      <w:bookmarkStart w:id="1188" w:name="_Toc340397496"/>
      <w:bookmarkEnd w:id="1188"/>
      <w:bookmarkStart w:id="1189" w:name="_Toc340397934"/>
      <w:bookmarkEnd w:id="1189"/>
      <w:bookmarkStart w:id="1190" w:name="_Toc340397866"/>
      <w:bookmarkEnd w:id="1190"/>
      <w:bookmarkStart w:id="1191" w:name="_Toc340398234"/>
      <w:bookmarkEnd w:id="1191"/>
      <w:bookmarkStart w:id="1192" w:name="_Toc340398220"/>
      <w:bookmarkEnd w:id="1192"/>
      <w:bookmarkStart w:id="1193" w:name="_Toc340397939"/>
      <w:bookmarkEnd w:id="1193"/>
      <w:bookmarkStart w:id="1194" w:name="_Toc340397525"/>
      <w:bookmarkEnd w:id="1194"/>
      <w:bookmarkStart w:id="1195" w:name="_Toc340397460"/>
      <w:bookmarkEnd w:id="1195"/>
      <w:bookmarkStart w:id="1196" w:name="_Toc340397801"/>
      <w:bookmarkEnd w:id="1196"/>
      <w:bookmarkStart w:id="1197" w:name="_Toc340397921"/>
      <w:bookmarkEnd w:id="1197"/>
      <w:bookmarkStart w:id="1198" w:name="_Toc340397894"/>
      <w:bookmarkEnd w:id="1198"/>
      <w:bookmarkStart w:id="1199" w:name="_Toc340397471"/>
      <w:bookmarkEnd w:id="1199"/>
      <w:bookmarkStart w:id="1200" w:name="_Toc340397492"/>
      <w:bookmarkEnd w:id="1200"/>
      <w:bookmarkStart w:id="1201" w:name="_Toc340397541"/>
      <w:bookmarkEnd w:id="1201"/>
      <w:bookmarkStart w:id="1202" w:name="_Toc340398232"/>
      <w:bookmarkEnd w:id="1202"/>
      <w:bookmarkStart w:id="1203" w:name="_Toc340397454"/>
      <w:bookmarkEnd w:id="1203"/>
      <w:bookmarkStart w:id="1204" w:name="_Toc340397479"/>
      <w:bookmarkEnd w:id="1204"/>
      <w:bookmarkStart w:id="1205" w:name="_Toc340397545"/>
      <w:bookmarkEnd w:id="1205"/>
      <w:bookmarkStart w:id="1206" w:name="_Toc340398231"/>
      <w:bookmarkEnd w:id="1206"/>
      <w:bookmarkStart w:id="1207" w:name="_Toc340397912"/>
      <w:bookmarkEnd w:id="1207"/>
      <w:bookmarkStart w:id="1208" w:name="_Toc340397845"/>
      <w:bookmarkEnd w:id="1208"/>
      <w:bookmarkStart w:id="1209" w:name="_Toc340397848"/>
      <w:bookmarkEnd w:id="1209"/>
      <w:bookmarkStart w:id="1210" w:name="_Toc120276586"/>
      <w:bookmarkEnd w:id="1210"/>
      <w:bookmarkStart w:id="1211" w:name="_Toc340397913"/>
      <w:bookmarkEnd w:id="1211"/>
      <w:bookmarkStart w:id="1212" w:name="_Toc340397942"/>
      <w:bookmarkEnd w:id="1212"/>
      <w:bookmarkStart w:id="1213" w:name="_Toc340397427"/>
      <w:bookmarkEnd w:id="1213"/>
      <w:bookmarkStart w:id="1214" w:name="_Toc340397941"/>
      <w:bookmarkEnd w:id="1214"/>
      <w:bookmarkStart w:id="1215" w:name="_Toc340397502"/>
      <w:bookmarkEnd w:id="1215"/>
      <w:bookmarkStart w:id="1216" w:name="_Toc340397463"/>
      <w:bookmarkEnd w:id="1216"/>
      <w:bookmarkStart w:id="1217" w:name="_Toc340398275"/>
      <w:bookmarkEnd w:id="1217"/>
      <w:bookmarkStart w:id="1218" w:name="_Toc340398309"/>
      <w:bookmarkEnd w:id="1218"/>
      <w:bookmarkStart w:id="1219" w:name="_Toc340398201"/>
      <w:bookmarkEnd w:id="1219"/>
      <w:bookmarkStart w:id="1220" w:name="_Toc340397428"/>
      <w:bookmarkEnd w:id="1220"/>
      <w:bookmarkStart w:id="1221" w:name="_Toc340397856"/>
      <w:bookmarkEnd w:id="1221"/>
      <w:bookmarkStart w:id="1222" w:name="_Toc340397804"/>
      <w:bookmarkEnd w:id="1222"/>
      <w:bookmarkStart w:id="1223" w:name="_Toc340397483"/>
      <w:bookmarkEnd w:id="1223"/>
      <w:bookmarkStart w:id="1224" w:name="_Toc340397914"/>
      <w:bookmarkEnd w:id="1224"/>
      <w:bookmarkStart w:id="1225" w:name="_Toc340397943"/>
      <w:bookmarkEnd w:id="1225"/>
      <w:bookmarkStart w:id="1226" w:name="_Toc340398302"/>
      <w:bookmarkEnd w:id="1226"/>
      <w:bookmarkStart w:id="1227" w:name="_Toc340397469"/>
      <w:bookmarkEnd w:id="1227"/>
      <w:bookmarkStart w:id="1228" w:name="_Toc340398262"/>
      <w:bookmarkEnd w:id="1228"/>
      <w:bookmarkStart w:id="1229" w:name="_Toc340397905"/>
      <w:bookmarkEnd w:id="1229"/>
      <w:bookmarkStart w:id="1230" w:name="_Toc340398340"/>
      <w:bookmarkEnd w:id="1230"/>
      <w:bookmarkStart w:id="1231" w:name="_Toc340397805"/>
      <w:bookmarkEnd w:id="1231"/>
      <w:bookmarkStart w:id="1232" w:name="_Toc340398305"/>
      <w:bookmarkEnd w:id="1232"/>
      <w:bookmarkStart w:id="1233" w:name="_Toc340398272"/>
      <w:bookmarkEnd w:id="1233"/>
      <w:bookmarkStart w:id="1234" w:name="_Toc120276585"/>
      <w:bookmarkEnd w:id="1234"/>
      <w:bookmarkStart w:id="1235" w:name="_Toc340398278"/>
      <w:bookmarkEnd w:id="1235"/>
      <w:bookmarkStart w:id="1236" w:name="_Toc340398225"/>
      <w:bookmarkEnd w:id="1236"/>
      <w:bookmarkStart w:id="1237" w:name="_Toc120277354"/>
      <w:bookmarkEnd w:id="1237"/>
      <w:bookmarkStart w:id="1238" w:name="_Toc340397436"/>
      <w:bookmarkEnd w:id="1238"/>
      <w:bookmarkStart w:id="1239" w:name="_Toc340397846"/>
      <w:bookmarkEnd w:id="1239"/>
      <w:bookmarkStart w:id="1240" w:name="_Toc340397816"/>
      <w:bookmarkEnd w:id="1240"/>
      <w:bookmarkStart w:id="1241" w:name="_Toc340398214"/>
      <w:bookmarkEnd w:id="1241"/>
      <w:bookmarkStart w:id="1242" w:name="_Toc340398193"/>
      <w:bookmarkEnd w:id="1242"/>
      <w:bookmarkStart w:id="1243" w:name="_Toc340397539"/>
      <w:bookmarkEnd w:id="1243"/>
      <w:bookmarkStart w:id="1244" w:name="_Toc340398299"/>
      <w:bookmarkEnd w:id="1244"/>
      <w:bookmarkStart w:id="1245" w:name="_Toc340398265"/>
      <w:bookmarkEnd w:id="1245"/>
      <w:bookmarkStart w:id="1246" w:name="_Toc340397909"/>
      <w:bookmarkEnd w:id="1246"/>
      <w:bookmarkStart w:id="1247" w:name="_Toc340398311"/>
      <w:bookmarkEnd w:id="1247"/>
      <w:bookmarkStart w:id="1248" w:name="_Toc340397493"/>
      <w:bookmarkEnd w:id="1248"/>
      <w:bookmarkStart w:id="1249" w:name="_Toc340397495"/>
      <w:bookmarkEnd w:id="1249"/>
      <w:bookmarkStart w:id="1250" w:name="_Toc340398200"/>
      <w:bookmarkEnd w:id="1250"/>
      <w:bookmarkStart w:id="1251" w:name="_Toc340398326"/>
      <w:bookmarkEnd w:id="1251"/>
      <w:bookmarkStart w:id="1252" w:name="_Toc340398266"/>
      <w:bookmarkEnd w:id="1252"/>
      <w:bookmarkStart w:id="1253" w:name="_Toc340397452"/>
      <w:bookmarkEnd w:id="1253"/>
      <w:bookmarkStart w:id="1254" w:name="_Toc340397854"/>
      <w:bookmarkEnd w:id="1254"/>
      <w:bookmarkStart w:id="1255" w:name="_Toc340397508"/>
      <w:bookmarkEnd w:id="1255"/>
      <w:bookmarkStart w:id="1256" w:name="_Toc340397841"/>
      <w:bookmarkEnd w:id="1256"/>
      <w:bookmarkStart w:id="1257" w:name="_Toc340397425"/>
      <w:bookmarkEnd w:id="1257"/>
      <w:bookmarkStart w:id="1258" w:name="_Toc340397512"/>
      <w:bookmarkEnd w:id="1258"/>
      <w:bookmarkStart w:id="1259" w:name="_Toc340397503"/>
      <w:bookmarkEnd w:id="1259"/>
      <w:bookmarkStart w:id="1260" w:name="_Toc340398256"/>
      <w:bookmarkEnd w:id="1260"/>
      <w:bookmarkStart w:id="1261" w:name="_Toc340398304"/>
      <w:bookmarkEnd w:id="1261"/>
      <w:bookmarkStart w:id="1262" w:name="_Toc340397526"/>
      <w:bookmarkEnd w:id="1262"/>
      <w:bookmarkStart w:id="1263" w:name="_Toc340397444"/>
      <w:bookmarkEnd w:id="1263"/>
      <w:bookmarkStart w:id="1264" w:name="_Toc340397815"/>
      <w:bookmarkEnd w:id="1264"/>
      <w:bookmarkStart w:id="1265" w:name="_Toc340398190"/>
      <w:bookmarkEnd w:id="1265"/>
      <w:bookmarkStart w:id="1266" w:name="_Toc120275183"/>
      <w:bookmarkEnd w:id="1266"/>
      <w:bookmarkStart w:id="1267" w:name="_Toc340397514"/>
      <w:bookmarkEnd w:id="1267"/>
      <w:bookmarkStart w:id="1268" w:name="_Toc340397822"/>
      <w:bookmarkEnd w:id="1268"/>
      <w:bookmarkStart w:id="1269" w:name="_Toc340397482"/>
      <w:bookmarkEnd w:id="1269"/>
      <w:bookmarkStart w:id="1270" w:name="_Toc340397930"/>
      <w:bookmarkEnd w:id="1270"/>
      <w:bookmarkStart w:id="1271" w:name="_Toc101976684"/>
      <w:bookmarkStart w:id="1272" w:name="_Toc101974171"/>
      <w:bookmarkStart w:id="1273" w:name="_Toc92612947"/>
      <w:r>
        <w:rPr>
          <w:rFonts w:ascii="Times New Roman" w:hAnsi="Times New Roman"/>
        </w:rPr>
        <w:t>委托人的陈述和保证</w:t>
      </w:r>
      <w:bookmarkEnd w:id="1271"/>
      <w:bookmarkEnd w:id="1272"/>
    </w:p>
    <w:p w14:paraId="1816988B">
      <w:pPr>
        <w:spacing w:before="156" w:beforeLines="50" w:after="156" w:afterLines="50"/>
        <w:ind w:left="425"/>
        <w:outlineLvl w:val="0"/>
        <w:rPr>
          <w:rFonts w:ascii="Times New Roman" w:hAnsi="Times New Roman"/>
          <w:bCs/>
        </w:rPr>
      </w:pPr>
      <w:bookmarkStart w:id="1274" w:name="_Toc101974172"/>
      <w:r>
        <w:rPr>
          <w:rFonts w:ascii="Times New Roman" w:hAnsi="Times New Roman"/>
          <w:color w:val="000000"/>
        </w:rPr>
        <w:t>在本合同签订之日委托人向受托人做出以下的陈述和保证，下述各项陈述和保证在信托生效日亦属真实和正确：</w:t>
      </w:r>
      <w:bookmarkEnd w:id="1274"/>
    </w:p>
    <w:p w14:paraId="6F36637D">
      <w:pPr>
        <w:pStyle w:val="118"/>
        <w:numPr>
          <w:ilvl w:val="1"/>
          <w:numId w:val="21"/>
        </w:numPr>
        <w:spacing w:before="156" w:beforeLines="50" w:after="156" w:afterLines="50"/>
        <w:ind w:firstLineChars="0"/>
        <w:outlineLvl w:val="0"/>
        <w:rPr>
          <w:rFonts w:ascii="Times New Roman" w:hAnsi="Times New Roman"/>
          <w:bCs/>
        </w:rPr>
      </w:pPr>
      <w:bookmarkStart w:id="1275" w:name="_Toc101974173"/>
      <w:r>
        <w:rPr>
          <w:rFonts w:ascii="Times New Roman" w:hAnsi="Times New Roman"/>
          <w:color w:val="000000"/>
        </w:rPr>
        <w:t>合法存续。委托人是一家按照中国法律合法成立的法人或者依法成立的其他组织，并合法存续。</w:t>
      </w:r>
      <w:bookmarkEnd w:id="1275"/>
    </w:p>
    <w:p w14:paraId="03BE3519">
      <w:pPr>
        <w:pStyle w:val="118"/>
        <w:numPr>
          <w:ilvl w:val="1"/>
          <w:numId w:val="21"/>
        </w:numPr>
        <w:spacing w:before="156" w:beforeLines="50" w:after="156" w:afterLines="50"/>
        <w:ind w:firstLineChars="0"/>
        <w:outlineLvl w:val="0"/>
        <w:rPr>
          <w:rFonts w:ascii="Times New Roman" w:hAnsi="Times New Roman"/>
          <w:bCs/>
        </w:rPr>
      </w:pPr>
      <w:bookmarkStart w:id="1276" w:name="_Toc101974174"/>
      <w:r>
        <w:rPr>
          <w:rFonts w:ascii="Times New Roman" w:hAnsi="Times New Roman"/>
          <w:color w:val="000000"/>
        </w:rPr>
        <w:t>合法授权。委托人对本合同的签署、交付和履行，以及委托人作为当事人一方对与本合同有关的其他协议、承诺及文件的签署、交付和履行，是在其权利范围内的，得到必要的授权，并不会导致其违反对其具有约束力的法律和合同、协议等契约性文件规定的其对第三方所负的义务。</w:t>
      </w:r>
      <w:bookmarkEnd w:id="1276"/>
    </w:p>
    <w:p w14:paraId="2CBE0B2C">
      <w:pPr>
        <w:pStyle w:val="118"/>
        <w:numPr>
          <w:ilvl w:val="1"/>
          <w:numId w:val="21"/>
        </w:numPr>
        <w:spacing w:before="156" w:beforeLines="50" w:after="156" w:afterLines="50"/>
        <w:ind w:firstLineChars="0"/>
        <w:outlineLvl w:val="0"/>
        <w:rPr>
          <w:rFonts w:ascii="Times New Roman" w:hAnsi="Times New Roman"/>
          <w:bCs/>
        </w:rPr>
      </w:pPr>
      <w:bookmarkStart w:id="1277" w:name="_Toc101974175"/>
      <w:r>
        <w:rPr>
          <w:rFonts w:ascii="Times New Roman" w:hAnsi="Times New Roman"/>
          <w:color w:val="000000"/>
        </w:rPr>
        <w:t>信托财产来源。委托人按照本合同委托给受托人管理、运用的标的债权来源合法；除根据本合同将标的债权信托给受托人外，委托人未将标的债权资产出售、赠与、转让、信托或转移给任何其他主体，亦未在标的债权资产上设定任何抵押权、质权或其他债务负担，未曾放弃标的债权资产项下任何权利或减免任何义务，且在信托成立之后亦不会进行前述行为。</w:t>
      </w:r>
      <w:bookmarkEnd w:id="1277"/>
    </w:p>
    <w:p w14:paraId="4B802D3C">
      <w:pPr>
        <w:pStyle w:val="118"/>
        <w:numPr>
          <w:ilvl w:val="1"/>
          <w:numId w:val="21"/>
        </w:numPr>
        <w:spacing w:before="156" w:beforeLines="50" w:after="156" w:afterLines="50"/>
        <w:ind w:hanging="512" w:firstLineChars="0"/>
        <w:outlineLvl w:val="0"/>
        <w:rPr>
          <w:rFonts w:ascii="Times New Roman" w:hAnsi="Times New Roman"/>
          <w:color w:val="000000"/>
        </w:rPr>
      </w:pPr>
      <w:bookmarkStart w:id="1278" w:name="_Toc101974176"/>
      <w:r>
        <w:rPr>
          <w:rFonts w:ascii="Times New Roman" w:hAnsi="Times New Roman"/>
          <w:color w:val="000000"/>
        </w:rPr>
        <w:t>信息披露的真实性。委托人向受托人提供的所有财务报表、文件、记录、报告、协议以及其他书面资料均属真实和正确，且不存在任何重大错误或遗漏。</w:t>
      </w:r>
      <w:bookmarkEnd w:id="1278"/>
    </w:p>
    <w:p w14:paraId="1D455BB3">
      <w:pPr>
        <w:pStyle w:val="3"/>
        <w:numPr>
          <w:ilvl w:val="0"/>
          <w:numId w:val="5"/>
        </w:numPr>
        <w:rPr>
          <w:rFonts w:ascii="Times New Roman" w:hAnsi="Times New Roman"/>
        </w:rPr>
      </w:pPr>
      <w:bookmarkStart w:id="1279" w:name="_Toc101974177"/>
      <w:bookmarkStart w:id="1280" w:name="_Toc101976685"/>
      <w:r>
        <w:rPr>
          <w:rFonts w:ascii="Times New Roman" w:hAnsi="Times New Roman"/>
        </w:rPr>
        <w:t>委托人和受托人的权利与义务</w:t>
      </w:r>
      <w:bookmarkEnd w:id="1279"/>
      <w:bookmarkEnd w:id="1280"/>
    </w:p>
    <w:p w14:paraId="77B31E2A">
      <w:pPr>
        <w:pStyle w:val="118"/>
        <w:numPr>
          <w:ilvl w:val="1"/>
          <w:numId w:val="22"/>
        </w:numPr>
        <w:tabs>
          <w:tab w:val="left" w:pos="425"/>
        </w:tabs>
        <w:spacing w:before="156" w:beforeLines="50" w:after="156" w:afterLines="50"/>
        <w:ind w:firstLineChars="0"/>
        <w:outlineLvl w:val="0"/>
        <w:rPr>
          <w:rFonts w:ascii="Times New Roman" w:hAnsi="Times New Roman"/>
          <w:color w:val="000000"/>
        </w:rPr>
      </w:pPr>
      <w:bookmarkStart w:id="1281" w:name="_Toc101974178"/>
      <w:r>
        <w:rPr>
          <w:rFonts w:ascii="Times New Roman" w:hAnsi="Times New Roman"/>
          <w:color w:val="000000"/>
        </w:rPr>
        <w:t>委</w:t>
      </w:r>
      <w:r>
        <w:rPr>
          <w:rFonts w:ascii="Times New Roman" w:hAnsi="Times New Roman"/>
        </w:rPr>
        <w:t>托人的权利</w:t>
      </w:r>
      <w:bookmarkEnd w:id="1281"/>
    </w:p>
    <w:p w14:paraId="5CD12FBD">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2" w:name="_Toc101974179"/>
      <w:r>
        <w:rPr>
          <w:rFonts w:ascii="Times New Roman" w:hAnsi="Times New Roman"/>
        </w:rPr>
        <w:t>有权向受托人了解其信托财产的管理、运用、处分及收支情况，并有权要求受托人做出说明。</w:t>
      </w:r>
      <w:bookmarkEnd w:id="1282"/>
    </w:p>
    <w:p w14:paraId="47DFF753">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3" w:name="_Toc101974180"/>
      <w:r>
        <w:rPr>
          <w:rFonts w:ascii="Times New Roman" w:hAnsi="Times New Roman"/>
        </w:rPr>
        <w:t>获取受托人定期提供的《受托报告》。</w:t>
      </w:r>
      <w:bookmarkEnd w:id="1283"/>
    </w:p>
    <w:p w14:paraId="4CA09EC3">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4" w:name="_Toc101974181"/>
      <w:r>
        <w:rPr>
          <w:rFonts w:ascii="Times New Roman" w:hAnsi="Times New Roman"/>
        </w:rPr>
        <w:t>有权查阅、抄录或者复制与信托财产有关的信托账目以及处理信托事务的其他文件。</w:t>
      </w:r>
      <w:bookmarkEnd w:id="1284"/>
    </w:p>
    <w:p w14:paraId="764B75CF">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5" w:name="_Toc101974182"/>
      <w:r>
        <w:rPr>
          <w:rFonts w:ascii="Times New Roman" w:hAnsi="Times New Roman"/>
        </w:rPr>
        <w:t>本合同、信托文件及法律、行政法规规定的其他权利。</w:t>
      </w:r>
      <w:bookmarkEnd w:id="1285"/>
    </w:p>
    <w:p w14:paraId="59B9D4FD">
      <w:pPr>
        <w:pStyle w:val="118"/>
        <w:numPr>
          <w:ilvl w:val="1"/>
          <w:numId w:val="22"/>
        </w:numPr>
        <w:tabs>
          <w:tab w:val="left" w:pos="425"/>
        </w:tabs>
        <w:spacing w:before="156" w:beforeLines="50" w:after="156" w:afterLines="50"/>
        <w:ind w:firstLineChars="0"/>
        <w:outlineLvl w:val="0"/>
        <w:rPr>
          <w:rFonts w:ascii="Times New Roman" w:hAnsi="Times New Roman"/>
          <w:color w:val="000000"/>
        </w:rPr>
      </w:pPr>
      <w:bookmarkStart w:id="1286" w:name="_Toc101974183"/>
      <w:r>
        <w:rPr>
          <w:rFonts w:ascii="Times New Roman" w:hAnsi="Times New Roman"/>
        </w:rPr>
        <w:t>委托人的义务</w:t>
      </w:r>
      <w:bookmarkEnd w:id="1286"/>
    </w:p>
    <w:p w14:paraId="12D5A6EC">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7" w:name="_Toc101974184"/>
      <w:r>
        <w:rPr>
          <w:rFonts w:ascii="Times New Roman" w:hAnsi="Times New Roman"/>
        </w:rPr>
        <w:t>已经取得签署包括本合同在内的信托文件的权利，并就签署行为已履行必要的批准和授权手续。</w:t>
      </w:r>
      <w:bookmarkEnd w:id="1287"/>
    </w:p>
    <w:p w14:paraId="65FFAA21">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8" w:name="_Toc101974185"/>
      <w:r>
        <w:rPr>
          <w:rFonts w:ascii="Times New Roman" w:hAnsi="Times New Roman"/>
        </w:rPr>
        <w:t>按照本合同的约定交付信托财产并保证其已就设立信托事项向其债权人履行了告知义务，设立该信托未损害其债权人的利益。</w:t>
      </w:r>
      <w:bookmarkEnd w:id="1288"/>
    </w:p>
    <w:p w14:paraId="7F93608F">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89" w:name="_Toc101974186"/>
      <w:r>
        <w:rPr>
          <w:rFonts w:ascii="Times New Roman" w:hAnsi="Times New Roman"/>
        </w:rPr>
        <w:t>委托人保证向受托人提供的资料的真实性、完整性、准确性。</w:t>
      </w:r>
      <w:bookmarkEnd w:id="1289"/>
    </w:p>
    <w:p w14:paraId="48AA4856">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90" w:name="_Toc101974187"/>
      <w:r>
        <w:rPr>
          <w:rFonts w:ascii="Times New Roman" w:hAnsi="Times New Roman"/>
        </w:rPr>
        <w:t>委托人保证，不得要求受托人通过任何非法方式或管理手段管理信 托财产并获取利益，保证不得通过信托方式达到非法目的。</w:t>
      </w:r>
      <w:bookmarkEnd w:id="1290"/>
    </w:p>
    <w:p w14:paraId="31CCA307">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91" w:name="_Toc101974188"/>
      <w:r>
        <w:rPr>
          <w:rFonts w:ascii="Times New Roman" w:hAnsi="Times New Roman"/>
        </w:rPr>
        <w:t>协调出质人在信托生效日后60个工作日内，将受托人登记为质押物的第一顺位质权人。</w:t>
      </w:r>
      <w:bookmarkEnd w:id="1291"/>
    </w:p>
    <w:p w14:paraId="53532E47">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92" w:name="_Toc101974189"/>
      <w:r>
        <w:rPr>
          <w:rFonts w:ascii="Times New Roman" w:hAnsi="Times New Roman"/>
        </w:rPr>
        <w:t>协调抵押人在信托生效日后60个工作日内，将受托人登记为抵押物的第一顺位抵押权人。</w:t>
      </w:r>
      <w:bookmarkEnd w:id="1292"/>
    </w:p>
    <w:p w14:paraId="414963E1">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93" w:name="_Toc101974190"/>
      <w:r>
        <w:rPr>
          <w:rFonts w:ascii="Times New Roman" w:hAnsi="Times New Roman"/>
        </w:rPr>
        <w:t>与质押物质押有关的全部费用、与抵押物抵押有关的全部费用应按照《质押合同》、《抵押合同》的约定承担。</w:t>
      </w:r>
      <w:bookmarkEnd w:id="1293"/>
    </w:p>
    <w:p w14:paraId="4688D27D">
      <w:pPr>
        <w:pStyle w:val="118"/>
        <w:numPr>
          <w:ilvl w:val="2"/>
          <w:numId w:val="22"/>
        </w:numPr>
        <w:tabs>
          <w:tab w:val="left" w:pos="425"/>
        </w:tabs>
        <w:spacing w:before="156" w:beforeLines="50" w:after="156" w:afterLines="50"/>
        <w:ind w:firstLineChars="0"/>
        <w:outlineLvl w:val="0"/>
        <w:rPr>
          <w:rFonts w:ascii="Times New Roman" w:hAnsi="Times New Roman"/>
          <w:color w:val="000000"/>
        </w:rPr>
      </w:pPr>
      <w:bookmarkStart w:id="1294" w:name="_Toc101974191"/>
      <w:r>
        <w:rPr>
          <w:rFonts w:ascii="Times New Roman" w:hAnsi="Times New Roman"/>
        </w:rPr>
        <w:t>本合同、信托文件及法律、行政法规规定的其他义务。</w:t>
      </w:r>
      <w:bookmarkEnd w:id="1294"/>
    </w:p>
    <w:p w14:paraId="0D05942C">
      <w:pPr>
        <w:pStyle w:val="118"/>
        <w:numPr>
          <w:ilvl w:val="1"/>
          <w:numId w:val="22"/>
        </w:numPr>
        <w:tabs>
          <w:tab w:val="left" w:pos="425"/>
          <w:tab w:val="left" w:pos="992"/>
          <w:tab w:val="left" w:pos="6096"/>
        </w:tabs>
        <w:spacing w:before="156" w:beforeLines="50" w:after="156" w:afterLines="50"/>
        <w:ind w:firstLineChars="0"/>
        <w:rPr>
          <w:rFonts w:ascii="Times New Roman" w:hAnsi="Times New Roman"/>
        </w:rPr>
      </w:pPr>
      <w:r>
        <w:rPr>
          <w:rFonts w:ascii="Times New Roman" w:hAnsi="Times New Roman"/>
        </w:rPr>
        <w:t>受托人的权利</w:t>
      </w:r>
    </w:p>
    <w:p w14:paraId="66C701BD">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有权根据信托文件约定管理、运用和处分和分配信托财产。</w:t>
      </w:r>
      <w:r>
        <w:rPr>
          <w:rFonts w:hint="eastAsia" w:ascii="Times New Roman" w:hAnsi="Times New Roman"/>
        </w:rPr>
        <w:t>经与受益人协商，有权根据最新监管规定及监管部门的要求对本信托进行调整或终止。</w:t>
      </w:r>
    </w:p>
    <w:p w14:paraId="692CD2E5">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按照信托文件的规定获得信托报酬。</w:t>
      </w:r>
    </w:p>
    <w:p w14:paraId="2AEE830C">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在发生物权担保启动事件后，受托人有权代表信托和受益人，根据《质押合同》、《抵押合同》行使质权、抵押权。</w:t>
      </w:r>
    </w:p>
    <w:p w14:paraId="20C75270">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受托人因管理、运用或处分信托财产所支出的费用和对第三人所负债务，以信托财产承担。受托人以其固有财产先行支付的，对信托 财产享有优先受偿的权利。</w:t>
      </w:r>
    </w:p>
    <w:p w14:paraId="181E89A1">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本合同、信托文件及法律、行政法规规定的其他权利。</w:t>
      </w:r>
    </w:p>
    <w:p w14:paraId="40BDB271">
      <w:pPr>
        <w:pStyle w:val="118"/>
        <w:numPr>
          <w:ilvl w:val="1"/>
          <w:numId w:val="22"/>
        </w:numPr>
        <w:tabs>
          <w:tab w:val="left" w:pos="425"/>
          <w:tab w:val="left" w:pos="992"/>
          <w:tab w:val="left" w:pos="6096"/>
        </w:tabs>
        <w:spacing w:before="156" w:beforeLines="50" w:after="156" w:afterLines="50"/>
        <w:ind w:firstLineChars="0"/>
        <w:rPr>
          <w:rFonts w:ascii="Times New Roman" w:hAnsi="Times New Roman"/>
        </w:rPr>
      </w:pPr>
      <w:r>
        <w:rPr>
          <w:rFonts w:ascii="Times New Roman" w:hAnsi="Times New Roman"/>
        </w:rPr>
        <w:t>受托人的义务</w:t>
      </w:r>
    </w:p>
    <w:p w14:paraId="1AA9D11C">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受托人应当遵守信托文件的规定，恪尽职守，履行诚实、信用、谨慎、有效管理的义务，为受益人的最大利益处理信托事务。</w:t>
      </w:r>
    </w:p>
    <w:p w14:paraId="5EFCA34F">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受托人应为信托开立信托账户，负责信托项下信托资金的划拨及信托财产的核算、清算和分配。</w:t>
      </w:r>
    </w:p>
    <w:p w14:paraId="09289E82">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建立健全内部风险控制，将信托财产与其固有财产分开管理，并将不同信托的资产分别记账。</w:t>
      </w:r>
    </w:p>
    <w:p w14:paraId="74A40E76">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按照本合同及信托文件的规定及时披露信托信息，接受有关当事人查询。</w:t>
      </w:r>
    </w:p>
    <w:p w14:paraId="65AF4C0F">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定期编制并向受益人披露信托的《受托报告》。</w:t>
      </w:r>
    </w:p>
    <w:p w14:paraId="7E55F246">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按照法律规定和本合同的约定，妥善保存与信托有关的合同、协议、文件、交易记录、会计账册等文件、资料，保存期不少于自信托终止之日起15年。</w:t>
      </w:r>
    </w:p>
    <w:p w14:paraId="0801E00E">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不得利用信托财产为自己谋取本合同约定权益以外的利益。</w:t>
      </w:r>
    </w:p>
    <w:p w14:paraId="0262F8FA">
      <w:pPr>
        <w:pStyle w:val="118"/>
        <w:numPr>
          <w:ilvl w:val="2"/>
          <w:numId w:val="22"/>
        </w:numPr>
        <w:tabs>
          <w:tab w:val="left" w:pos="425"/>
          <w:tab w:val="left" w:pos="993"/>
        </w:tabs>
        <w:spacing w:before="156" w:beforeLines="50" w:after="156" w:afterLines="50"/>
        <w:ind w:firstLineChars="0"/>
        <w:rPr>
          <w:rFonts w:ascii="Times New Roman" w:hAnsi="Times New Roman"/>
        </w:rPr>
      </w:pPr>
      <w:r>
        <w:rPr>
          <w:rFonts w:ascii="Times New Roman" w:hAnsi="Times New Roman"/>
        </w:rPr>
        <w:t>本合同、信托文件及法律、行政法规规定的其他义务。</w:t>
      </w:r>
    </w:p>
    <w:p w14:paraId="4E1BEE8D">
      <w:pPr>
        <w:pStyle w:val="3"/>
        <w:numPr>
          <w:ilvl w:val="0"/>
          <w:numId w:val="5"/>
        </w:numPr>
        <w:rPr>
          <w:rFonts w:ascii="Times New Roman" w:hAnsi="Times New Roman"/>
        </w:rPr>
      </w:pPr>
      <w:bookmarkStart w:id="1295" w:name="_Toc101976686"/>
      <w:bookmarkStart w:id="1296" w:name="_Toc101974192"/>
      <w:r>
        <w:rPr>
          <w:rFonts w:ascii="Times New Roman" w:hAnsi="Times New Roman"/>
        </w:rPr>
        <w:t>受益人的</w:t>
      </w:r>
      <w:bookmarkStart w:id="1297" w:name="_Toc207007319"/>
      <w:r>
        <w:rPr>
          <w:rFonts w:ascii="Times New Roman" w:hAnsi="Times New Roman"/>
        </w:rPr>
        <w:t>权利</w:t>
      </w:r>
      <w:bookmarkEnd w:id="1295"/>
      <w:bookmarkEnd w:id="1296"/>
    </w:p>
    <w:p w14:paraId="634EFB5A">
      <w:pPr>
        <w:spacing w:before="156" w:beforeLines="50" w:after="156" w:afterLines="50"/>
        <w:ind w:left="425"/>
        <w:outlineLvl w:val="0"/>
        <w:rPr>
          <w:rFonts w:ascii="Times New Roman" w:hAnsi="Times New Roman"/>
        </w:rPr>
      </w:pPr>
      <w:bookmarkStart w:id="1298" w:name="_Toc101974193"/>
      <w:r>
        <w:rPr>
          <w:rFonts w:ascii="Times New Roman" w:hAnsi="Times New Roman"/>
        </w:rPr>
        <w:t>除根据法律、行政法规及本合同的其他条款享有权利、承担义务外，受益人还享有下列权利：</w:t>
      </w:r>
      <w:bookmarkEnd w:id="1298"/>
    </w:p>
    <w:p w14:paraId="53E1597B">
      <w:pPr>
        <w:pStyle w:val="118"/>
        <w:numPr>
          <w:ilvl w:val="1"/>
          <w:numId w:val="23"/>
        </w:numPr>
        <w:spacing w:before="156" w:beforeLines="50" w:after="156" w:afterLines="50"/>
        <w:ind w:firstLineChars="0"/>
        <w:outlineLvl w:val="0"/>
        <w:rPr>
          <w:rFonts w:ascii="Times New Roman" w:hAnsi="Times New Roman"/>
          <w:b/>
        </w:rPr>
      </w:pPr>
      <w:bookmarkStart w:id="1299" w:name="_Toc101974194"/>
      <w:r>
        <w:rPr>
          <w:rFonts w:ascii="Times New Roman" w:hAnsi="Times New Roman"/>
        </w:rPr>
        <w:t>自信托生效日起根据本合同享有信托受益权。</w:t>
      </w:r>
      <w:bookmarkEnd w:id="1299"/>
    </w:p>
    <w:p w14:paraId="14FB9244">
      <w:pPr>
        <w:pStyle w:val="118"/>
        <w:numPr>
          <w:ilvl w:val="1"/>
          <w:numId w:val="23"/>
        </w:numPr>
        <w:spacing w:before="156" w:beforeLines="50" w:after="156" w:afterLines="50"/>
        <w:ind w:firstLineChars="0"/>
        <w:outlineLvl w:val="0"/>
        <w:rPr>
          <w:rFonts w:ascii="Times New Roman" w:hAnsi="Times New Roman"/>
          <w:b/>
        </w:rPr>
      </w:pPr>
      <w:r>
        <w:rPr>
          <w:rFonts w:ascii="Times New Roman" w:hAnsi="Times New Roman"/>
        </w:rPr>
        <w:tab/>
      </w:r>
      <w:bookmarkStart w:id="1300" w:name="_Toc101974195"/>
      <w:r>
        <w:rPr>
          <w:rFonts w:ascii="Times New Roman" w:hAnsi="Times New Roman"/>
        </w:rPr>
        <w:t>根据本合同的约定通过向受托人发出《受益人指令》等方式指令受托人按照本合同的规定对信托财产进行管理和运用。</w:t>
      </w:r>
      <w:bookmarkEnd w:id="1300"/>
    </w:p>
    <w:p w14:paraId="113821C4">
      <w:pPr>
        <w:pStyle w:val="118"/>
        <w:numPr>
          <w:ilvl w:val="1"/>
          <w:numId w:val="23"/>
        </w:numPr>
        <w:spacing w:before="156" w:beforeLines="50" w:after="156" w:afterLines="50"/>
        <w:ind w:firstLineChars="0"/>
        <w:outlineLvl w:val="0"/>
        <w:rPr>
          <w:rFonts w:ascii="Times New Roman" w:hAnsi="Times New Roman"/>
          <w:b/>
        </w:rPr>
      </w:pPr>
      <w:bookmarkStart w:id="1301" w:name="_Toc101974196"/>
      <w:r>
        <w:rPr>
          <w:rFonts w:ascii="Times New Roman" w:hAnsi="Times New Roman"/>
        </w:rPr>
        <w:t>有权随时了解其信托财产的管理、运用、处分及收支状况，和相关监管账户收支状况。</w:t>
      </w:r>
      <w:bookmarkEnd w:id="1301"/>
    </w:p>
    <w:p w14:paraId="41980600">
      <w:pPr>
        <w:pStyle w:val="118"/>
        <w:numPr>
          <w:ilvl w:val="1"/>
          <w:numId w:val="23"/>
        </w:numPr>
        <w:spacing w:before="156" w:beforeLines="50" w:after="156" w:afterLines="50"/>
        <w:ind w:firstLineChars="0"/>
        <w:outlineLvl w:val="0"/>
        <w:rPr>
          <w:rFonts w:ascii="Times New Roman" w:hAnsi="Times New Roman"/>
          <w:b/>
        </w:rPr>
      </w:pPr>
      <w:bookmarkStart w:id="1302" w:name="_Toc101974197"/>
      <w:r>
        <w:rPr>
          <w:rFonts w:ascii="Times New Roman" w:hAnsi="Times New Roman"/>
        </w:rPr>
        <w:t>有权查询、抄录或复制与其信托财产有关的信托账目以及处理信托事务的其他文件。</w:t>
      </w:r>
      <w:bookmarkEnd w:id="1302"/>
    </w:p>
    <w:p w14:paraId="257898D8">
      <w:pPr>
        <w:pStyle w:val="118"/>
        <w:numPr>
          <w:ilvl w:val="1"/>
          <w:numId w:val="23"/>
        </w:numPr>
        <w:spacing w:before="156" w:beforeLines="50" w:after="156" w:afterLines="50"/>
        <w:ind w:firstLineChars="0"/>
        <w:outlineLvl w:val="0"/>
        <w:rPr>
          <w:rFonts w:ascii="Times New Roman" w:hAnsi="Times New Roman"/>
          <w:b/>
        </w:rPr>
      </w:pPr>
      <w:bookmarkStart w:id="1303" w:name="_Toc101974198"/>
      <w:r>
        <w:rPr>
          <w:rFonts w:ascii="Times New Roman" w:hAnsi="Times New Roman"/>
        </w:rPr>
        <w:t>受益人的信托受益权可根据信托文件的规定转让和继承，但须到受托人营业场所办理信托受益权变更登记手续；未办理变更登记手续的，不得对抗受托人。</w:t>
      </w:r>
      <w:bookmarkEnd w:id="1303"/>
    </w:p>
    <w:p w14:paraId="78799239">
      <w:pPr>
        <w:pStyle w:val="118"/>
        <w:numPr>
          <w:ilvl w:val="1"/>
          <w:numId w:val="23"/>
        </w:numPr>
        <w:spacing w:before="156" w:beforeLines="50" w:after="156" w:afterLines="50"/>
        <w:ind w:firstLineChars="0"/>
        <w:outlineLvl w:val="0"/>
        <w:rPr>
          <w:rFonts w:ascii="Times New Roman" w:hAnsi="Times New Roman"/>
          <w:b/>
        </w:rPr>
      </w:pPr>
      <w:bookmarkStart w:id="1304" w:name="_Toc101974199"/>
      <w:r>
        <w:rPr>
          <w:rFonts w:ascii="Times New Roman" w:hAnsi="Times New Roman"/>
        </w:rPr>
        <w:t>法律、行政法规规定的其他权利。</w:t>
      </w:r>
      <w:bookmarkEnd w:id="1304"/>
    </w:p>
    <w:bookmarkEnd w:id="1297"/>
    <w:p w14:paraId="5C787A55">
      <w:pPr>
        <w:pStyle w:val="3"/>
        <w:numPr>
          <w:ilvl w:val="0"/>
          <w:numId w:val="5"/>
        </w:numPr>
        <w:rPr>
          <w:rFonts w:ascii="Times New Roman" w:hAnsi="Times New Roman"/>
        </w:rPr>
      </w:pPr>
      <w:bookmarkStart w:id="1305" w:name="_Toc101976687"/>
      <w:bookmarkStart w:id="1306" w:name="_Toc101974200"/>
      <w:r>
        <w:rPr>
          <w:rFonts w:ascii="Times New Roman" w:hAnsi="Times New Roman"/>
        </w:rPr>
        <w:t>信息披露</w:t>
      </w:r>
      <w:bookmarkEnd w:id="1305"/>
      <w:bookmarkEnd w:id="1306"/>
    </w:p>
    <w:p w14:paraId="6288A838">
      <w:pPr>
        <w:tabs>
          <w:tab w:val="left" w:pos="425"/>
        </w:tabs>
        <w:spacing w:before="156" w:beforeLines="50" w:after="156" w:afterLines="50"/>
        <w:ind w:left="425"/>
        <w:outlineLvl w:val="0"/>
        <w:rPr>
          <w:rFonts w:ascii="Times New Roman" w:hAnsi="Times New Roman"/>
          <w:b/>
        </w:rPr>
      </w:pPr>
      <w:bookmarkStart w:id="1307" w:name="_Toc101974201"/>
      <w:r>
        <w:rPr>
          <w:rFonts w:ascii="Times New Roman" w:hAnsi="Times New Roman"/>
        </w:rPr>
        <w:t>信托存续期限内，受托人应按照法律规定和本合同的约定，向受益人进行信息披露。除信托文件另有约定外，受托人对信托的信息可以在受托人网站上公布的方式向受益人披露，同时有关信息将在受托人的办公场所存放备查，或受益人来函索取时由受托人寄送。</w:t>
      </w:r>
      <w:bookmarkEnd w:id="1307"/>
    </w:p>
    <w:p w14:paraId="6D96331C">
      <w:pPr>
        <w:pStyle w:val="118"/>
        <w:numPr>
          <w:ilvl w:val="1"/>
          <w:numId w:val="24"/>
        </w:numPr>
        <w:tabs>
          <w:tab w:val="left" w:pos="425"/>
        </w:tabs>
        <w:spacing w:before="156" w:beforeLines="50" w:after="156" w:afterLines="50"/>
        <w:ind w:firstLineChars="0"/>
        <w:outlineLvl w:val="0"/>
        <w:rPr>
          <w:rFonts w:ascii="Times New Roman" w:hAnsi="Times New Roman"/>
          <w:b/>
        </w:rPr>
      </w:pPr>
      <w:bookmarkStart w:id="1308" w:name="_Toc101974202"/>
      <w:r>
        <w:rPr>
          <w:rFonts w:ascii="Times New Roman" w:hAnsi="Times New Roman"/>
        </w:rPr>
        <w:t>定期信息披露</w:t>
      </w:r>
      <w:bookmarkEnd w:id="1308"/>
    </w:p>
    <w:p w14:paraId="0237906F">
      <w:pPr>
        <w:tabs>
          <w:tab w:val="left" w:pos="425"/>
        </w:tabs>
        <w:spacing w:before="156" w:beforeLines="50" w:after="156" w:afterLines="50"/>
        <w:ind w:left="425"/>
        <w:outlineLvl w:val="0"/>
        <w:rPr>
          <w:rFonts w:ascii="Times New Roman" w:hAnsi="Times New Roman"/>
          <w:b/>
        </w:rPr>
      </w:pPr>
      <w:bookmarkStart w:id="1309" w:name="_Toc101974203"/>
      <w:r>
        <w:rPr>
          <w:rFonts w:ascii="Times New Roman" w:hAnsi="Times New Roman"/>
        </w:rPr>
        <w:t>受托人应对受益人进行如下定期信息披露：</w:t>
      </w:r>
      <w:bookmarkEnd w:id="1309"/>
    </w:p>
    <w:p w14:paraId="10695649">
      <w:pPr>
        <w:pStyle w:val="118"/>
        <w:numPr>
          <w:ilvl w:val="2"/>
          <w:numId w:val="24"/>
        </w:numPr>
        <w:tabs>
          <w:tab w:val="left" w:pos="425"/>
        </w:tabs>
        <w:spacing w:before="156" w:beforeLines="50" w:after="156" w:afterLines="50"/>
        <w:ind w:firstLineChars="0"/>
        <w:outlineLvl w:val="0"/>
        <w:rPr>
          <w:rFonts w:ascii="Times New Roman" w:hAnsi="Times New Roman"/>
          <w:b/>
        </w:rPr>
      </w:pPr>
      <w:bookmarkStart w:id="1310" w:name="_Toc101974204"/>
      <w:r>
        <w:rPr>
          <w:rFonts w:ascii="Times New Roman" w:hAnsi="Times New Roman"/>
        </w:rPr>
        <w:t>自信托生效日起，在每个受托人报告日16:00时前，受托人应根据本合同的约定，向受益人出具《受托报告》。</w:t>
      </w:r>
      <w:bookmarkEnd w:id="1310"/>
    </w:p>
    <w:p w14:paraId="33B93FB8">
      <w:pPr>
        <w:pStyle w:val="118"/>
        <w:numPr>
          <w:ilvl w:val="2"/>
          <w:numId w:val="24"/>
        </w:numPr>
        <w:tabs>
          <w:tab w:val="left" w:pos="425"/>
        </w:tabs>
        <w:spacing w:before="156" w:beforeLines="50" w:after="156" w:afterLines="50"/>
        <w:ind w:firstLineChars="0"/>
        <w:outlineLvl w:val="0"/>
        <w:rPr>
          <w:rFonts w:ascii="Times New Roman" w:hAnsi="Times New Roman"/>
          <w:b/>
        </w:rPr>
      </w:pPr>
      <w:bookmarkStart w:id="1311" w:name="_Toc101974205"/>
      <w:r>
        <w:rPr>
          <w:rFonts w:ascii="Times New Roman" w:hAnsi="Times New Roman"/>
        </w:rPr>
        <w:t>自信托清算完成之日起</w:t>
      </w:r>
      <w:r>
        <w:rPr>
          <w:rFonts w:hint="eastAsia" w:ascii="Times New Roman" w:hAnsi="Times New Roman"/>
        </w:rPr>
        <w:t>5个工作</w:t>
      </w:r>
      <w:r>
        <w:rPr>
          <w:rFonts w:ascii="Times New Roman" w:hAnsi="Times New Roman"/>
        </w:rPr>
        <w:t>日内，向保管人、受益人出具清算报告。</w:t>
      </w:r>
      <w:bookmarkEnd w:id="1311"/>
    </w:p>
    <w:p w14:paraId="7D1C9520">
      <w:pPr>
        <w:pStyle w:val="118"/>
        <w:numPr>
          <w:ilvl w:val="1"/>
          <w:numId w:val="24"/>
        </w:numPr>
        <w:tabs>
          <w:tab w:val="left" w:pos="425"/>
        </w:tabs>
        <w:spacing w:before="156" w:beforeLines="50" w:after="156" w:afterLines="50"/>
        <w:ind w:firstLineChars="0"/>
        <w:outlineLvl w:val="0"/>
        <w:rPr>
          <w:rFonts w:ascii="Times New Roman" w:hAnsi="Times New Roman"/>
        </w:rPr>
      </w:pPr>
      <w:bookmarkStart w:id="1312" w:name="_Toc101974206"/>
      <w:r>
        <w:rPr>
          <w:rFonts w:ascii="Times New Roman" w:hAnsi="Times New Roman"/>
        </w:rPr>
        <w:t>临时信息披露</w:t>
      </w:r>
      <w:bookmarkEnd w:id="1312"/>
    </w:p>
    <w:p w14:paraId="0A808200">
      <w:pPr>
        <w:tabs>
          <w:tab w:val="left" w:pos="425"/>
        </w:tabs>
        <w:spacing w:before="156" w:beforeLines="50" w:after="156" w:afterLines="50"/>
        <w:ind w:left="425"/>
        <w:outlineLvl w:val="0"/>
        <w:rPr>
          <w:rFonts w:ascii="Times New Roman" w:hAnsi="Times New Roman"/>
          <w:b/>
        </w:rPr>
      </w:pPr>
      <w:bookmarkStart w:id="1313" w:name="_Toc101974207"/>
      <w:r>
        <w:rPr>
          <w:rFonts w:ascii="Times New Roman" w:hAnsi="Times New Roman"/>
        </w:rPr>
        <w:t>信托存续期限内，如果发生下列可能对受益人权益产生重大影响的临时事项，受托人应以在该信托项下职责范围内开展受托管理活动中获取的信息及相关方向受托人披露的信息为限，在知道该临时事项发生之日起3个工作日内向受益人作临时披露：</w:t>
      </w:r>
      <w:bookmarkEnd w:id="1313"/>
    </w:p>
    <w:p w14:paraId="7514BD42">
      <w:pPr>
        <w:pStyle w:val="118"/>
        <w:numPr>
          <w:ilvl w:val="2"/>
          <w:numId w:val="24"/>
        </w:numPr>
        <w:tabs>
          <w:tab w:val="left" w:pos="425"/>
        </w:tabs>
        <w:spacing w:before="156" w:beforeLines="50" w:after="156" w:afterLines="50"/>
        <w:ind w:firstLineChars="0"/>
        <w:outlineLvl w:val="0"/>
        <w:rPr>
          <w:rFonts w:ascii="Times New Roman" w:hAnsi="Times New Roman"/>
          <w:b/>
        </w:rPr>
      </w:pPr>
      <w:bookmarkStart w:id="1314" w:name="_Toc101974208"/>
      <w:r>
        <w:rPr>
          <w:rFonts w:ascii="Times New Roman" w:hAnsi="Times New Roman"/>
        </w:rPr>
        <w:t>信托财产发生或者可能遭受重大损失；</w:t>
      </w:r>
      <w:bookmarkEnd w:id="1314"/>
    </w:p>
    <w:p w14:paraId="4A794443">
      <w:pPr>
        <w:pStyle w:val="118"/>
        <w:numPr>
          <w:ilvl w:val="2"/>
          <w:numId w:val="24"/>
        </w:numPr>
        <w:tabs>
          <w:tab w:val="left" w:pos="425"/>
        </w:tabs>
        <w:spacing w:before="156" w:beforeLines="50" w:after="156" w:afterLines="50"/>
        <w:ind w:firstLineChars="0"/>
        <w:outlineLvl w:val="0"/>
        <w:rPr>
          <w:rFonts w:ascii="Times New Roman" w:hAnsi="Times New Roman"/>
          <w:b/>
        </w:rPr>
      </w:pPr>
      <w:bookmarkStart w:id="1315" w:name="_Toc101974209"/>
      <w:r>
        <w:rPr>
          <w:rFonts w:ascii="Times New Roman" w:hAnsi="Times New Roman"/>
        </w:rPr>
        <w:t>委托人的财务状况严重恶化；</w:t>
      </w:r>
      <w:bookmarkEnd w:id="1315"/>
    </w:p>
    <w:p w14:paraId="27C7BA30">
      <w:pPr>
        <w:pStyle w:val="118"/>
        <w:numPr>
          <w:ilvl w:val="2"/>
          <w:numId w:val="24"/>
        </w:numPr>
        <w:tabs>
          <w:tab w:val="left" w:pos="425"/>
        </w:tabs>
        <w:spacing w:before="156" w:beforeLines="50" w:after="156" w:afterLines="50"/>
        <w:ind w:firstLineChars="0"/>
        <w:outlineLvl w:val="0"/>
        <w:rPr>
          <w:rFonts w:ascii="Times New Roman" w:hAnsi="Times New Roman"/>
          <w:b/>
        </w:rPr>
      </w:pPr>
      <w:bookmarkStart w:id="1316" w:name="_Toc101974210"/>
      <w:r>
        <w:rPr>
          <w:rFonts w:ascii="Times New Roman" w:hAnsi="Times New Roman"/>
        </w:rPr>
        <w:t>出质人或/和抵押人不能继续提供有效的担保。</w:t>
      </w:r>
      <w:bookmarkEnd w:id="1316"/>
    </w:p>
    <w:bookmarkEnd w:id="1273"/>
    <w:p w14:paraId="1640A325">
      <w:pPr>
        <w:pStyle w:val="3"/>
        <w:numPr>
          <w:ilvl w:val="0"/>
          <w:numId w:val="5"/>
        </w:numPr>
        <w:rPr>
          <w:rFonts w:ascii="Times New Roman" w:hAnsi="Times New Roman"/>
        </w:rPr>
      </w:pPr>
      <w:bookmarkStart w:id="1317" w:name="_DV_M589"/>
      <w:bookmarkEnd w:id="1317"/>
      <w:bookmarkStart w:id="1318" w:name="_DV_M580"/>
      <w:bookmarkEnd w:id="1318"/>
      <w:bookmarkStart w:id="1319" w:name="_DV_M590"/>
      <w:bookmarkEnd w:id="1319"/>
      <w:bookmarkStart w:id="1320" w:name="_Toc106417457"/>
      <w:bookmarkEnd w:id="1320"/>
      <w:bookmarkStart w:id="1321" w:name="_Toc120276606"/>
      <w:bookmarkEnd w:id="1321"/>
      <w:bookmarkStart w:id="1322" w:name="_DV_M581"/>
      <w:bookmarkEnd w:id="1322"/>
      <w:bookmarkStart w:id="1323" w:name="_Toc106417456"/>
      <w:bookmarkEnd w:id="1323"/>
      <w:bookmarkStart w:id="1324" w:name="_Toc150895755"/>
      <w:bookmarkEnd w:id="1324"/>
      <w:bookmarkStart w:id="1325" w:name="_Toc120275202"/>
      <w:bookmarkEnd w:id="1325"/>
      <w:bookmarkStart w:id="1326" w:name="_DV_M588"/>
      <w:bookmarkEnd w:id="1326"/>
      <w:bookmarkStart w:id="1327" w:name="_Toc112069008"/>
      <w:bookmarkEnd w:id="1327"/>
      <w:bookmarkStart w:id="1328" w:name="_Toc120277539"/>
      <w:bookmarkEnd w:id="1328"/>
      <w:bookmarkStart w:id="1329" w:name="_DV_M586"/>
      <w:bookmarkEnd w:id="1329"/>
      <w:bookmarkStart w:id="1330" w:name="_DV_M584"/>
      <w:bookmarkEnd w:id="1330"/>
      <w:bookmarkStart w:id="1331" w:name="_Toc120277373"/>
      <w:bookmarkEnd w:id="1331"/>
      <w:bookmarkStart w:id="1332" w:name="_Toc112069007"/>
      <w:bookmarkEnd w:id="1332"/>
      <w:bookmarkStart w:id="1333" w:name="_DV_M585"/>
      <w:bookmarkEnd w:id="1333"/>
      <w:bookmarkStart w:id="1334" w:name="_DV_M587"/>
      <w:bookmarkEnd w:id="1334"/>
      <w:bookmarkStart w:id="1335" w:name="_Toc120277538"/>
      <w:bookmarkEnd w:id="1335"/>
      <w:bookmarkStart w:id="1336" w:name="_Toc120276605"/>
      <w:bookmarkEnd w:id="1336"/>
      <w:bookmarkStart w:id="1337" w:name="_DV_M583"/>
      <w:bookmarkEnd w:id="1337"/>
      <w:bookmarkStart w:id="1338" w:name="_Toc120277284"/>
      <w:bookmarkEnd w:id="1338"/>
      <w:bookmarkStart w:id="1339" w:name="_Toc120277285"/>
      <w:bookmarkEnd w:id="1339"/>
      <w:bookmarkStart w:id="1340" w:name="_Toc120275203"/>
      <w:bookmarkEnd w:id="1340"/>
      <w:bookmarkStart w:id="1341" w:name="_Toc120277374"/>
      <w:bookmarkEnd w:id="1341"/>
      <w:bookmarkStart w:id="1342" w:name="_DV_M582"/>
      <w:bookmarkEnd w:id="1342"/>
      <w:bookmarkStart w:id="1343" w:name="_Toc101974211"/>
      <w:bookmarkStart w:id="1344" w:name="_Ref101963229"/>
      <w:bookmarkStart w:id="1345" w:name="_Toc92612965"/>
      <w:bookmarkStart w:id="1346" w:name="_Toc101976688"/>
      <w:r>
        <w:rPr>
          <w:rFonts w:ascii="Times New Roman" w:hAnsi="Times New Roman"/>
        </w:rPr>
        <w:t>受益人大会</w:t>
      </w:r>
      <w:bookmarkEnd w:id="1343"/>
      <w:bookmarkEnd w:id="1344"/>
      <w:bookmarkEnd w:id="1345"/>
      <w:bookmarkEnd w:id="1346"/>
    </w:p>
    <w:p w14:paraId="5144221D">
      <w:pPr>
        <w:pStyle w:val="118"/>
        <w:spacing w:before="156" w:beforeLines="50" w:after="156" w:afterLines="50"/>
        <w:ind w:left="992" w:firstLine="0" w:firstLineChars="0"/>
        <w:rPr>
          <w:rFonts w:ascii="Times New Roman" w:hAnsi="Times New Roman"/>
        </w:rPr>
      </w:pPr>
      <w:bookmarkStart w:id="1347" w:name="_Toc101974212"/>
      <w:r>
        <w:rPr>
          <w:rFonts w:ascii="Times New Roman" w:hAnsi="Times New Roman"/>
        </w:rPr>
        <w:t>受益人大会由信托的全体受益人组成，依照有关法律法规和信托文件的约定行使职权。如信托只存在单一受益人的，可免予召开受益人大会，受益人出具《受益人指令》即可形成决议。</w:t>
      </w:r>
      <w:bookmarkEnd w:id="1347"/>
    </w:p>
    <w:p w14:paraId="24816FE2">
      <w:pPr>
        <w:pStyle w:val="3"/>
        <w:numPr>
          <w:ilvl w:val="0"/>
          <w:numId w:val="5"/>
        </w:numPr>
        <w:rPr>
          <w:rFonts w:ascii="Times New Roman" w:hAnsi="Times New Roman"/>
        </w:rPr>
      </w:pPr>
      <w:bookmarkStart w:id="1348" w:name="_Toc101976689"/>
      <w:bookmarkStart w:id="1349" w:name="_Toc101974220"/>
      <w:r>
        <w:rPr>
          <w:rFonts w:ascii="Times New Roman" w:hAnsi="Times New Roman"/>
        </w:rPr>
        <w:t>新受托人的选任方式</w:t>
      </w:r>
      <w:bookmarkEnd w:id="1348"/>
      <w:bookmarkEnd w:id="1349"/>
    </w:p>
    <w:p w14:paraId="4FB48CC5">
      <w:pPr>
        <w:pStyle w:val="118"/>
        <w:numPr>
          <w:ilvl w:val="1"/>
          <w:numId w:val="25"/>
        </w:numPr>
        <w:spacing w:before="156" w:beforeLines="50" w:after="156" w:afterLines="50"/>
        <w:ind w:firstLineChars="0"/>
        <w:outlineLvl w:val="0"/>
        <w:rPr>
          <w:rFonts w:ascii="Times New Roman" w:hAnsi="Times New Roman"/>
          <w:b/>
        </w:rPr>
      </w:pPr>
      <w:bookmarkStart w:id="1350" w:name="_Toc101974221"/>
      <w:r>
        <w:rPr>
          <w:rFonts w:ascii="Times New Roman" w:hAnsi="Times New Roman"/>
        </w:rPr>
        <w:t>发生下述情形时，受托人将进行变更：</w:t>
      </w:r>
      <w:bookmarkEnd w:id="1350"/>
    </w:p>
    <w:p w14:paraId="3F72D6E9">
      <w:pPr>
        <w:pStyle w:val="118"/>
        <w:numPr>
          <w:ilvl w:val="2"/>
          <w:numId w:val="25"/>
        </w:numPr>
        <w:spacing w:before="156" w:beforeLines="50" w:after="156" w:afterLines="50"/>
        <w:ind w:firstLineChars="0"/>
        <w:outlineLvl w:val="0"/>
        <w:rPr>
          <w:rFonts w:ascii="Times New Roman" w:hAnsi="Times New Roman"/>
          <w:b/>
        </w:rPr>
      </w:pPr>
      <w:bookmarkStart w:id="1351" w:name="_Toc101974222"/>
      <w:r>
        <w:rPr>
          <w:rFonts w:ascii="Times New Roman" w:hAnsi="Times New Roman"/>
        </w:rPr>
        <w:t>受托人被依法取消了办理信托业务的资格；</w:t>
      </w:r>
      <w:bookmarkEnd w:id="1351"/>
    </w:p>
    <w:p w14:paraId="09E2350D">
      <w:pPr>
        <w:pStyle w:val="118"/>
        <w:numPr>
          <w:ilvl w:val="2"/>
          <w:numId w:val="25"/>
        </w:numPr>
        <w:spacing w:before="156" w:beforeLines="50" w:after="156" w:afterLines="50"/>
        <w:ind w:firstLineChars="0"/>
        <w:outlineLvl w:val="0"/>
        <w:rPr>
          <w:rFonts w:ascii="Times New Roman" w:hAnsi="Times New Roman"/>
          <w:b/>
        </w:rPr>
      </w:pPr>
      <w:r>
        <w:rPr>
          <w:rFonts w:ascii="Times New Roman" w:hAnsi="Times New Roman"/>
        </w:rPr>
        <w:tab/>
      </w:r>
      <w:bookmarkStart w:id="1352" w:name="_Toc101974223"/>
      <w:r>
        <w:rPr>
          <w:rFonts w:ascii="Times New Roman" w:hAnsi="Times New Roman"/>
        </w:rPr>
        <w:t>受托人没有根据《信托合同》的规定，对受益人进行分配，且经受益人书面通知后5个工作日内，仍未纠正的；</w:t>
      </w:r>
      <w:bookmarkEnd w:id="1352"/>
    </w:p>
    <w:p w14:paraId="092C7FA8">
      <w:pPr>
        <w:pStyle w:val="118"/>
        <w:numPr>
          <w:ilvl w:val="2"/>
          <w:numId w:val="25"/>
        </w:numPr>
        <w:spacing w:before="156" w:beforeLines="50" w:after="156" w:afterLines="50"/>
        <w:ind w:firstLineChars="0"/>
        <w:outlineLvl w:val="0"/>
        <w:rPr>
          <w:rFonts w:ascii="Times New Roman" w:hAnsi="Times New Roman"/>
          <w:b/>
        </w:rPr>
      </w:pPr>
      <w:r>
        <w:rPr>
          <w:rFonts w:ascii="Times New Roman" w:hAnsi="Times New Roman"/>
        </w:rPr>
        <w:tab/>
      </w:r>
      <w:bookmarkStart w:id="1353" w:name="_Toc101974224"/>
      <w:r>
        <w:rPr>
          <w:rFonts w:ascii="Times New Roman" w:hAnsi="Times New Roman"/>
        </w:rPr>
        <w:t>受托人实质性地违反了其在《信托合同》项下除信托利益分配之外的任何其他义务，且该等违约行为自发生之日起持续超过5个工作日;</w:t>
      </w:r>
      <w:bookmarkEnd w:id="1353"/>
    </w:p>
    <w:p w14:paraId="2F6F14BF">
      <w:pPr>
        <w:pStyle w:val="118"/>
        <w:numPr>
          <w:ilvl w:val="2"/>
          <w:numId w:val="25"/>
        </w:numPr>
        <w:spacing w:before="156" w:beforeLines="50" w:after="156" w:afterLines="50"/>
        <w:ind w:firstLineChars="0"/>
        <w:outlineLvl w:val="0"/>
        <w:rPr>
          <w:rFonts w:ascii="Times New Roman" w:hAnsi="Times New Roman"/>
          <w:b/>
        </w:rPr>
      </w:pPr>
      <w:r>
        <w:rPr>
          <w:rFonts w:ascii="Times New Roman" w:hAnsi="Times New Roman"/>
        </w:rPr>
        <w:tab/>
      </w:r>
      <w:bookmarkStart w:id="1354" w:name="_Toc101974225"/>
      <w:r>
        <w:rPr>
          <w:rFonts w:ascii="Times New Roman" w:hAnsi="Times New Roman"/>
        </w:rPr>
        <w:t>受托人在《信托合同》或其提交的其他文件中所作的任何陈述、证明或保证，被证明在做出时在任何重要方面是虚假或错误的；</w:t>
      </w:r>
      <w:bookmarkEnd w:id="1354"/>
    </w:p>
    <w:p w14:paraId="470BE8F0">
      <w:pPr>
        <w:pStyle w:val="118"/>
        <w:numPr>
          <w:ilvl w:val="2"/>
          <w:numId w:val="25"/>
        </w:numPr>
        <w:spacing w:before="156" w:beforeLines="50" w:after="156" w:afterLines="50"/>
        <w:ind w:firstLineChars="0"/>
        <w:outlineLvl w:val="0"/>
        <w:rPr>
          <w:rFonts w:ascii="Times New Roman" w:hAnsi="Times New Roman"/>
          <w:b/>
        </w:rPr>
      </w:pPr>
      <w:bookmarkStart w:id="1355" w:name="_Toc101974226"/>
      <w:r>
        <w:rPr>
          <w:rFonts w:ascii="Times New Roman" w:hAnsi="Times New Roman"/>
        </w:rPr>
        <w:t>发生与受托人有关的丧失清偿能力事件。</w:t>
      </w:r>
      <w:bookmarkEnd w:id="1355"/>
    </w:p>
    <w:p w14:paraId="44FF485E">
      <w:pPr>
        <w:pStyle w:val="118"/>
        <w:numPr>
          <w:ilvl w:val="1"/>
          <w:numId w:val="25"/>
        </w:numPr>
        <w:spacing w:before="156" w:beforeLines="50" w:after="156" w:afterLines="50"/>
        <w:ind w:firstLineChars="0"/>
        <w:rPr>
          <w:rFonts w:ascii="Times New Roman" w:hAnsi="Times New Roman"/>
        </w:rPr>
      </w:pPr>
      <w:r>
        <w:rPr>
          <w:rFonts w:ascii="Times New Roman" w:hAnsi="Times New Roman"/>
        </w:rPr>
        <w:t>出现上述情形之一的，受托人应做出处理信托事务的报告，并向新受托人办理信托财产和信托事务的移交手续。自信托财产和信托事务移交给新受托人之日起，原受托人在本合同项下的权利和义务终止。</w:t>
      </w:r>
      <w:r>
        <w:rPr>
          <w:rFonts w:ascii="Times New Roman" w:hAnsi="Times New Roman"/>
        </w:rPr>
        <w:tab/>
      </w:r>
    </w:p>
    <w:p w14:paraId="02599518">
      <w:pPr>
        <w:pStyle w:val="118"/>
        <w:numPr>
          <w:ilvl w:val="1"/>
          <w:numId w:val="25"/>
        </w:numPr>
        <w:spacing w:before="156" w:beforeLines="50" w:after="156" w:afterLines="50"/>
        <w:ind w:firstLineChars="0"/>
        <w:rPr>
          <w:rFonts w:ascii="Times New Roman" w:hAnsi="Times New Roman"/>
        </w:rPr>
      </w:pPr>
      <w:r>
        <w:rPr>
          <w:rFonts w:ascii="Times New Roman" w:hAnsi="Times New Roman"/>
        </w:rPr>
        <w:t>新受托人由受益人选任。受益人确定新受托人人选后，应将确定新受托人的通知及新受托人同意履行本合同设立的信托的受托职责的确认文件送达给原受托人。</w:t>
      </w:r>
    </w:p>
    <w:p w14:paraId="5DE19169">
      <w:pPr>
        <w:pStyle w:val="3"/>
        <w:numPr>
          <w:ilvl w:val="0"/>
          <w:numId w:val="5"/>
        </w:numPr>
        <w:rPr>
          <w:rFonts w:ascii="Times New Roman" w:hAnsi="Times New Roman"/>
        </w:rPr>
      </w:pPr>
      <w:bookmarkStart w:id="1356" w:name="_Toc101974227"/>
      <w:bookmarkStart w:id="1357" w:name="_Toc101976690"/>
      <w:r>
        <w:rPr>
          <w:rFonts w:ascii="Times New Roman" w:hAnsi="Times New Roman"/>
        </w:rPr>
        <w:t>风险揭示与承担</w:t>
      </w:r>
      <w:bookmarkEnd w:id="1356"/>
      <w:bookmarkEnd w:id="1357"/>
      <w:bookmarkStart w:id="1358" w:name="_DV_M327"/>
      <w:bookmarkEnd w:id="1358"/>
    </w:p>
    <w:p w14:paraId="1A89A4C5">
      <w:pPr>
        <w:pStyle w:val="118"/>
        <w:numPr>
          <w:ilvl w:val="1"/>
          <w:numId w:val="26"/>
        </w:numPr>
        <w:spacing w:before="156" w:beforeLines="50" w:after="156" w:afterLines="50"/>
        <w:ind w:firstLineChars="0"/>
        <w:outlineLvl w:val="0"/>
        <w:rPr>
          <w:rFonts w:ascii="Times New Roman" w:hAnsi="Times New Roman"/>
          <w:b/>
        </w:rPr>
      </w:pPr>
      <w:bookmarkStart w:id="1359" w:name="_Toc101974228"/>
      <w:r>
        <w:rPr>
          <w:rFonts w:ascii="Times New Roman" w:hAnsi="Times New Roman"/>
        </w:rPr>
        <w:t>风险提示</w:t>
      </w:r>
      <w:bookmarkEnd w:id="1359"/>
    </w:p>
    <w:p w14:paraId="025E84F4">
      <w:pPr>
        <w:pStyle w:val="118"/>
        <w:spacing w:before="156" w:beforeLines="50" w:after="156" w:afterLines="50"/>
        <w:ind w:left="992" w:firstLine="0" w:firstLineChars="0"/>
        <w:outlineLvl w:val="0"/>
        <w:rPr>
          <w:rFonts w:ascii="Times New Roman" w:hAnsi="Times New Roman"/>
          <w:b/>
        </w:rPr>
      </w:pPr>
      <w:bookmarkStart w:id="1360" w:name="_Toc101974229"/>
      <w:r>
        <w:rPr>
          <w:rFonts w:ascii="Times New Roman" w:hAnsi="Times New Roman"/>
        </w:rPr>
        <w:t>受托人在管理、运用或处分信托财产过程中可能面临多种风险，包括但不限于以下风险：</w:t>
      </w:r>
      <w:bookmarkEnd w:id="1360"/>
    </w:p>
    <w:p w14:paraId="3CFF6D27">
      <w:pPr>
        <w:pStyle w:val="118"/>
        <w:numPr>
          <w:ilvl w:val="2"/>
          <w:numId w:val="26"/>
        </w:numPr>
        <w:spacing w:before="156" w:beforeLines="50" w:after="156" w:afterLines="50"/>
        <w:ind w:firstLineChars="0"/>
        <w:rPr>
          <w:rFonts w:ascii="Times New Roman" w:hAnsi="Times New Roman"/>
        </w:rPr>
      </w:pPr>
      <w:r>
        <w:rPr>
          <w:rFonts w:ascii="Times New Roman" w:hAnsi="Times New Roman"/>
        </w:rPr>
        <w:t>法律与政策风险</w:t>
      </w:r>
    </w:p>
    <w:p w14:paraId="631F94A7">
      <w:pPr>
        <w:pStyle w:val="118"/>
        <w:spacing w:before="156" w:beforeLines="50" w:after="156" w:afterLines="50"/>
        <w:ind w:left="1418" w:firstLine="0" w:firstLineChars="0"/>
        <w:rPr>
          <w:rFonts w:ascii="Times New Roman" w:hAnsi="Times New Roman"/>
        </w:rPr>
      </w:pPr>
      <w:r>
        <w:rPr>
          <w:rFonts w:ascii="Times New Roman" w:hAnsi="Times New Roman"/>
        </w:rPr>
        <w:t>国家货币政策、税收政策、行业政策及相关法律、行政法规、部门规章的调整与变化等因素引致的系统性风险，尤其是国家、地区的房地产行业政策和宏观调控政策对本信托项下的债务人、担保人产生不利影响，由此可能影响本信托的信托财产安全和收益。</w:t>
      </w:r>
    </w:p>
    <w:p w14:paraId="011F2CDF">
      <w:pPr>
        <w:pStyle w:val="118"/>
        <w:numPr>
          <w:ilvl w:val="2"/>
          <w:numId w:val="26"/>
        </w:numPr>
        <w:spacing w:before="156" w:beforeLines="50" w:after="156" w:afterLines="50"/>
        <w:ind w:firstLineChars="0"/>
        <w:rPr>
          <w:rFonts w:ascii="Times New Roman" w:hAnsi="Times New Roman"/>
        </w:rPr>
      </w:pPr>
      <w:r>
        <w:rPr>
          <w:rFonts w:ascii="Times New Roman" w:hAnsi="Times New Roman"/>
        </w:rPr>
        <w:t>市场风险</w:t>
      </w:r>
    </w:p>
    <w:p w14:paraId="24E11BF9">
      <w:pPr>
        <w:pStyle w:val="118"/>
        <w:spacing w:before="156" w:beforeLines="50" w:after="156" w:afterLines="50"/>
        <w:ind w:left="1418" w:firstLine="0" w:firstLineChars="0"/>
        <w:rPr>
          <w:rFonts w:ascii="Times New Roman" w:hAnsi="Times New Roman"/>
        </w:rPr>
      </w:pPr>
      <w:r>
        <w:rPr>
          <w:rFonts w:ascii="Times New Roman" w:hAnsi="Times New Roman"/>
        </w:rPr>
        <w:t>市场形势的变化有可能会对本信托项下的借款人经营活动产生不利影响，从而影响借款人的还款能力、抵押物、质押物的市场价值，由此可能影响本信托的信托财产安全和收益。</w:t>
      </w:r>
    </w:p>
    <w:p w14:paraId="7F62FC61">
      <w:pPr>
        <w:pStyle w:val="118"/>
        <w:numPr>
          <w:ilvl w:val="2"/>
          <w:numId w:val="26"/>
        </w:numPr>
        <w:spacing w:before="156" w:beforeLines="50" w:after="156" w:afterLines="50"/>
        <w:ind w:firstLineChars="0"/>
        <w:rPr>
          <w:rFonts w:ascii="Times New Roman" w:hAnsi="Times New Roman"/>
        </w:rPr>
      </w:pPr>
      <w:r>
        <w:rPr>
          <w:rFonts w:ascii="Times New Roman" w:hAnsi="Times New Roman"/>
        </w:rPr>
        <w:t>信用风险</w:t>
      </w:r>
    </w:p>
    <w:p w14:paraId="3BD4163E">
      <w:pPr>
        <w:pStyle w:val="118"/>
        <w:spacing w:before="156" w:beforeLines="50" w:after="156" w:afterLines="50"/>
        <w:ind w:left="1418" w:firstLine="0" w:firstLineChars="0"/>
        <w:rPr>
          <w:rFonts w:ascii="Times New Roman" w:hAnsi="Times New Roman"/>
        </w:rPr>
      </w:pPr>
      <w:r>
        <w:rPr>
          <w:rFonts w:ascii="Times New Roman" w:hAnsi="Times New Roman"/>
        </w:rPr>
        <w:t>本信托项下的借款人若违反相关法律文件项下的义务、责任，或其在相关法律文件项下的陈述与保证不真实、虚假或不准确，可能影响本信托的信托财产安全和收益。</w:t>
      </w:r>
    </w:p>
    <w:p w14:paraId="12D1D98E">
      <w:pPr>
        <w:pStyle w:val="118"/>
        <w:numPr>
          <w:ilvl w:val="2"/>
          <w:numId w:val="26"/>
        </w:numPr>
        <w:spacing w:before="156" w:beforeLines="50" w:after="156" w:afterLines="50"/>
        <w:ind w:firstLineChars="0"/>
        <w:rPr>
          <w:rFonts w:ascii="Times New Roman" w:hAnsi="Times New Roman"/>
        </w:rPr>
      </w:pPr>
      <w:r>
        <w:rPr>
          <w:rFonts w:ascii="Times New Roman" w:hAnsi="Times New Roman"/>
        </w:rPr>
        <w:t>操作和管理风险</w:t>
      </w:r>
    </w:p>
    <w:p w14:paraId="4507DB11">
      <w:pPr>
        <w:pStyle w:val="118"/>
        <w:spacing w:before="156" w:beforeLines="50" w:after="156" w:afterLines="50"/>
        <w:ind w:left="1418" w:firstLine="0" w:firstLineChars="0"/>
        <w:rPr>
          <w:rFonts w:ascii="Times New Roman" w:hAnsi="Times New Roman"/>
        </w:rPr>
      </w:pPr>
      <w:r>
        <w:rPr>
          <w:rFonts w:ascii="Times New Roman" w:hAnsi="Times New Roman"/>
        </w:rPr>
        <w:t>在信托财产的管理运用过程中，可能发生受托人、保管人因所获取的信息不全或存在误差，对经济形势判断有误，或处理信托</w:t>
      </w:r>
      <w:r>
        <w:rPr>
          <w:rFonts w:hint="eastAsia" w:ascii="Times New Roman" w:hAnsi="Times New Roman"/>
        </w:rPr>
        <w:t>事</w:t>
      </w:r>
      <w:r>
        <w:rPr>
          <w:rFonts w:ascii="Times New Roman" w:hAnsi="Times New Roman"/>
        </w:rPr>
        <w:t>务过程中的工作失误等，影响信托财产的安全和收益。</w:t>
      </w:r>
    </w:p>
    <w:p w14:paraId="72DBDBC4">
      <w:pPr>
        <w:pStyle w:val="118"/>
        <w:numPr>
          <w:ilvl w:val="2"/>
          <w:numId w:val="26"/>
        </w:numPr>
        <w:spacing w:before="156" w:beforeLines="50" w:after="156" w:afterLines="50"/>
        <w:ind w:firstLineChars="0"/>
        <w:rPr>
          <w:rFonts w:ascii="Times New Roman" w:hAnsi="Times New Roman"/>
        </w:rPr>
      </w:pPr>
      <w:r>
        <w:rPr>
          <w:rFonts w:ascii="Times New Roman" w:hAnsi="Times New Roman"/>
        </w:rPr>
        <w:t>受托人管理风险</w:t>
      </w:r>
    </w:p>
    <w:p w14:paraId="65A1F674">
      <w:pPr>
        <w:pStyle w:val="118"/>
        <w:spacing w:before="156" w:beforeLines="50" w:after="156" w:afterLines="50"/>
        <w:ind w:left="1418" w:firstLine="0" w:firstLineChars="0"/>
        <w:rPr>
          <w:rFonts w:ascii="Times New Roman" w:hAnsi="Times New Roman"/>
        </w:rPr>
      </w:pPr>
      <w:r>
        <w:rPr>
          <w:rFonts w:ascii="Times New Roman" w:hAnsi="Times New Roman"/>
        </w:rPr>
        <w:t>在信托财产的事务管理过程中，存在因受托人的经验、技能等因素的限制而使信托财产未能实现预期收益或遭受损失的风险。</w:t>
      </w:r>
    </w:p>
    <w:p w14:paraId="01419CB2">
      <w:pPr>
        <w:pStyle w:val="118"/>
        <w:spacing w:before="156" w:beforeLines="50" w:after="156" w:afterLines="50"/>
        <w:ind w:left="1418" w:firstLine="0" w:firstLineChars="0"/>
        <w:rPr>
          <w:rFonts w:ascii="Times New Roman" w:hAnsi="Times New Roman"/>
        </w:rPr>
      </w:pPr>
      <w:r>
        <w:rPr>
          <w:rFonts w:ascii="Times New Roman" w:hAnsi="Times New Roman"/>
        </w:rPr>
        <w:t>本信托项下信托财产的投资运作由受托人根据受益人书面指令或本合同 约定的其他方式进行，受益人需自行承担因该等受益人指令而可能对本信托的投资运作所产生的风险；若受托人根据信托合同约定就信托项下相关事宜征询受益人意见时，如因受益人未做出决策或迟延做由决策，致使受托人未能及时采取措施而给信托财产造成的损失的，由受益人自行承担。</w:t>
      </w:r>
    </w:p>
    <w:p w14:paraId="7D0ACD59">
      <w:pPr>
        <w:pStyle w:val="118"/>
        <w:spacing w:before="156" w:beforeLines="50" w:after="156" w:afterLines="50"/>
        <w:ind w:left="1418" w:firstLine="0" w:firstLineChars="0"/>
        <w:rPr>
          <w:rFonts w:ascii="Times New Roman" w:hAnsi="Times New Roman"/>
        </w:rPr>
      </w:pPr>
      <w:r>
        <w:rPr>
          <w:rFonts w:ascii="Times New Roman" w:hAnsi="Times New Roman"/>
        </w:rPr>
        <w:t>受托人依据本信托合同的约定管理、运用信托财产导致信托财产受到损失的，由信托财产承担。受托人承诺根据信托合同约定、以受益人的最大利益为宗旨处理信托事务；受托人不承诺信托财产不受损失，不承诺信托最低收益。</w:t>
      </w:r>
    </w:p>
    <w:p w14:paraId="5567100B">
      <w:pPr>
        <w:pStyle w:val="118"/>
        <w:numPr>
          <w:ilvl w:val="2"/>
          <w:numId w:val="26"/>
        </w:numPr>
        <w:spacing w:before="156" w:beforeLines="50" w:after="156" w:afterLines="50"/>
        <w:ind w:firstLineChars="0"/>
        <w:rPr>
          <w:rFonts w:ascii="Times New Roman" w:hAnsi="Times New Roman"/>
        </w:rPr>
      </w:pPr>
      <w:r>
        <w:rPr>
          <w:rFonts w:ascii="Times New Roman" w:hAnsi="Times New Roman"/>
        </w:rPr>
        <w:tab/>
      </w:r>
      <w:r>
        <w:rPr>
          <w:rFonts w:ascii="Times New Roman" w:hAnsi="Times New Roman"/>
        </w:rPr>
        <w:t>基础资产债权转让登记及抵质押物登记的空档期风险：在信托成立后</w:t>
      </w:r>
      <w:r>
        <w:rPr>
          <w:rFonts w:hint="eastAsia" w:ascii="Times New Roman" w:hAnsi="Times New Roman"/>
        </w:rPr>
        <w:t>5个工作日</w:t>
      </w:r>
      <w:r>
        <w:rPr>
          <w:rFonts w:ascii="Times New Roman" w:hAnsi="Times New Roman"/>
        </w:rPr>
        <w:t>在中国人民银行征信中心动产融资统一登记公示系统办理债权转让登记手续，在信托生效日后60个工作日内在中国人民银行征信中心动产融资统一登记公示系统办妥质押登记手续，在信托生效日后60个工作日内办妥抵押登记手续，存在一定的空档期从而存在一定的风险。</w:t>
      </w:r>
      <w:r>
        <w:rPr>
          <w:rFonts w:hint="eastAsia" w:ascii="Times New Roman" w:hAnsi="Times New Roman"/>
        </w:rPr>
        <w:t>此外，虽债权转让并不以登记为生效要件，但如果没有办理登记手续存在无法对抗善意第三人的风险。上述</w:t>
      </w:r>
      <w:r>
        <w:rPr>
          <w:rFonts w:ascii="Times New Roman" w:hAnsi="Times New Roman"/>
        </w:rPr>
        <w:t>转让登记</w:t>
      </w:r>
      <w:r>
        <w:rPr>
          <w:rFonts w:hint="eastAsia" w:ascii="Times New Roman" w:hAnsi="Times New Roman"/>
        </w:rPr>
        <w:t>及</w:t>
      </w:r>
      <w:r>
        <w:rPr>
          <w:rFonts w:ascii="Times New Roman" w:hAnsi="Times New Roman"/>
        </w:rPr>
        <w:t>抵质押物登记</w:t>
      </w:r>
      <w:r>
        <w:rPr>
          <w:rFonts w:hint="eastAsia" w:ascii="Times New Roman" w:hAnsi="Times New Roman"/>
        </w:rPr>
        <w:t>办理过程中，可能存在其他未预见的因素，从而导致相关风险，进而影响或损害受益人利益。</w:t>
      </w:r>
    </w:p>
    <w:p w14:paraId="47040DD6">
      <w:pPr>
        <w:pStyle w:val="118"/>
        <w:numPr>
          <w:ilvl w:val="2"/>
          <w:numId w:val="26"/>
        </w:numPr>
        <w:spacing w:before="156" w:beforeLines="50" w:after="156" w:afterLines="50"/>
        <w:ind w:firstLineChars="0"/>
        <w:rPr>
          <w:rFonts w:ascii="Times New Roman" w:hAnsi="Times New Roman"/>
        </w:rPr>
      </w:pPr>
      <w:r>
        <w:rPr>
          <w:rFonts w:ascii="Times New Roman" w:hAnsi="Times New Roman"/>
        </w:rPr>
        <w:t>现金流预测风险：会计师事务所对所质押的质押财产现金流进行评估，若项目回款时，质押财产所产生的现金流无法覆盖信托支出，受托人对此免责。</w:t>
      </w:r>
    </w:p>
    <w:p w14:paraId="553CAB98">
      <w:pPr>
        <w:pStyle w:val="118"/>
        <w:numPr>
          <w:ilvl w:val="2"/>
          <w:numId w:val="26"/>
        </w:numPr>
        <w:spacing w:before="156" w:beforeLines="50" w:after="156" w:afterLines="50"/>
        <w:ind w:firstLineChars="0"/>
        <w:rPr>
          <w:rFonts w:ascii="Times New Roman" w:hAnsi="Times New Roman"/>
        </w:rPr>
      </w:pPr>
      <w:r>
        <w:rPr>
          <w:rFonts w:ascii="Times New Roman" w:hAnsi="Times New Roman"/>
        </w:rPr>
        <w:tab/>
      </w:r>
      <w:r>
        <w:rPr>
          <w:rFonts w:ascii="Times New Roman" w:hAnsi="Times New Roman"/>
        </w:rPr>
        <w:t>借款人的经营风险：借款人主要收入来自运营物业资产产生的经营收入，受</w:t>
      </w:r>
      <w:r>
        <w:rPr>
          <w:rFonts w:hint="eastAsia" w:ascii="Times New Roman" w:hAnsi="Times New Roman"/>
        </w:rPr>
        <w:t>入住率、酒店单价</w:t>
      </w:r>
      <w:r>
        <w:rPr>
          <w:rFonts w:ascii="Times New Roman" w:hAnsi="Times New Roman"/>
        </w:rPr>
        <w:t>及市场因素等影响较大，本笔融资金额较债务人的营业规模相对偏大,从而存在一定的经营风险。</w:t>
      </w:r>
    </w:p>
    <w:p w14:paraId="74B53B38">
      <w:pPr>
        <w:pStyle w:val="118"/>
        <w:numPr>
          <w:ilvl w:val="2"/>
          <w:numId w:val="26"/>
        </w:numPr>
        <w:spacing w:before="156" w:beforeLines="50" w:after="156" w:afterLines="50"/>
        <w:ind w:firstLineChars="0"/>
        <w:rPr>
          <w:rFonts w:ascii="Times New Roman" w:hAnsi="Times New Roman"/>
        </w:rPr>
      </w:pPr>
      <w:r>
        <w:rPr>
          <w:rFonts w:ascii="Times New Roman" w:hAnsi="Times New Roman"/>
        </w:rPr>
        <w:t>信托提前终止的风险：信托存续期限内，借款人提前偿还标的债权，从而使得信托财产专户中的货币资产扣除应由信托财产承担的信托费用和税费后向受益人分配，受益人可能提前退出本信托。</w:t>
      </w:r>
    </w:p>
    <w:p w14:paraId="1A3959F4">
      <w:pPr>
        <w:pStyle w:val="118"/>
        <w:numPr>
          <w:ilvl w:val="2"/>
          <w:numId w:val="26"/>
        </w:numPr>
        <w:spacing w:before="156" w:beforeLines="50" w:after="156" w:afterLines="50"/>
        <w:ind w:firstLineChars="0"/>
        <w:rPr>
          <w:rFonts w:ascii="Times New Roman" w:hAnsi="Times New Roman"/>
        </w:rPr>
      </w:pPr>
      <w:r>
        <w:rPr>
          <w:rFonts w:ascii="Times New Roman" w:hAnsi="Times New Roman"/>
        </w:rPr>
        <w:t>信托延期终止的风险：信托预计存续期限届满之日，若信托财产尚未完全变现且信托财产的现金部分不足以覆盖信托利益分配日预计应予支付的的信托利益及信托费用、税费及规费的，受托人与受益人协商一致后信托进入延长期，受益人可能会面临无法获得按照本合同约定获得预期信托利益的风险。</w:t>
      </w:r>
    </w:p>
    <w:p w14:paraId="50770DD8">
      <w:pPr>
        <w:pStyle w:val="118"/>
        <w:numPr>
          <w:ilvl w:val="2"/>
          <w:numId w:val="26"/>
        </w:numPr>
        <w:spacing w:before="156" w:beforeLines="50" w:after="156" w:afterLines="50"/>
        <w:ind w:firstLineChars="0"/>
        <w:rPr>
          <w:rFonts w:ascii="Times New Roman" w:hAnsi="Times New Roman"/>
        </w:rPr>
      </w:pPr>
      <w:r>
        <w:rPr>
          <w:rFonts w:ascii="Times New Roman" w:hAnsi="Times New Roman"/>
        </w:rPr>
        <w:t>税务风险：本信托项下的信托财产应当按照有关法律、法规规定承担相应税费，包括但不限于增值税等，并且随着国家财税政策的变化，应当由信托财产承担的税费可能发生变化，从而可能影响委托人/受益人的信托利益。</w:t>
      </w:r>
    </w:p>
    <w:p w14:paraId="7D10F98E">
      <w:pPr>
        <w:pStyle w:val="118"/>
        <w:numPr>
          <w:ilvl w:val="2"/>
          <w:numId w:val="26"/>
        </w:numPr>
        <w:spacing w:before="156" w:beforeLines="50" w:after="156" w:afterLines="50"/>
        <w:ind w:firstLineChars="0"/>
        <w:rPr>
          <w:rFonts w:ascii="Times New Roman" w:hAnsi="Times New Roman"/>
        </w:rPr>
      </w:pPr>
      <w:r>
        <w:rPr>
          <w:rFonts w:ascii="Times New Roman" w:hAnsi="Times New Roman"/>
        </w:rPr>
        <w:t>抵押物风险：根据《抵押合同》约定，抵押人应协助抵押权人于信托生效日后60个工作日内于抵押财产所在地的登记机关办理完毕抵押登记手续。当发生财产权信托已成立但抵押登记手续尚未完成的情形时，抵押物能否为借款人在主合同项下的债务提供抵押担保存在不确定性；同时，当发生《抵押合同》约定的应当处置抵押物的情形时，根据处置时点，抵押物的可处置性及可否足额变现存在一定的不确定性，故会对信托财产带来不利影响；受托人不负责对动态抵押率进行监控；故受益人对抵押物价值、抵押物出租情况、抵押率、抵押顺位、可处置性及变现能力等产生的抵押风险完全知悉并自愿承担抵押不足或无法及时变现的风险；</w:t>
      </w:r>
    </w:p>
    <w:p w14:paraId="1F25D5A0">
      <w:pPr>
        <w:pStyle w:val="118"/>
        <w:numPr>
          <w:ilvl w:val="2"/>
          <w:numId w:val="26"/>
        </w:numPr>
        <w:spacing w:before="156" w:beforeLines="50" w:after="156" w:afterLines="50"/>
        <w:ind w:firstLineChars="0"/>
        <w:rPr>
          <w:rFonts w:ascii="Times New Roman" w:hAnsi="Times New Roman"/>
        </w:rPr>
      </w:pPr>
      <w:r>
        <w:rPr>
          <w:rFonts w:ascii="Times New Roman" w:hAnsi="Times New Roman"/>
        </w:rPr>
        <w:tab/>
      </w:r>
      <w:r>
        <w:rPr>
          <w:rFonts w:ascii="Times New Roman" w:hAnsi="Times New Roman"/>
        </w:rPr>
        <w:t>质押风险：受托人与由质人签署《质押合同》，在信托生效后60个工作日内在中国人民银行征信中心动产融资统一登记公示系统办妥质押登记手续，出质人并承诺以该全部</w:t>
      </w:r>
      <w:bookmarkStart w:id="1361" w:name="OLE_LINK6"/>
      <w:r>
        <w:rPr>
          <w:rFonts w:ascii="Times New Roman" w:hAnsi="Times New Roman"/>
        </w:rPr>
        <w:t>质押财产</w:t>
      </w:r>
      <w:bookmarkEnd w:id="1361"/>
      <w:r>
        <w:rPr>
          <w:rFonts w:ascii="Times New Roman" w:hAnsi="Times New Roman"/>
        </w:rPr>
        <w:t>现金流作为标的债权的还款来源。</w:t>
      </w:r>
      <w:r>
        <w:rPr>
          <w:rFonts w:hint="eastAsia" w:ascii="Times New Roman" w:hAnsi="Times New Roman"/>
        </w:rPr>
        <w:t>但鉴于</w:t>
      </w:r>
      <w:r>
        <w:rPr>
          <w:rFonts w:ascii="Times New Roman" w:hAnsi="Times New Roman"/>
        </w:rPr>
        <w:t>物业运营收入</w:t>
      </w:r>
      <w:r>
        <w:rPr>
          <w:rFonts w:hint="eastAsia" w:ascii="Times New Roman" w:hAnsi="Times New Roman"/>
        </w:rPr>
        <w:t>主要来自于目标资产的未来消费者，消费者主体并不确定，</w:t>
      </w:r>
      <w:r>
        <w:rPr>
          <w:rFonts w:ascii="Times New Roman" w:hAnsi="Times New Roman"/>
        </w:rPr>
        <w:t>质押财产</w:t>
      </w:r>
      <w:r>
        <w:rPr>
          <w:rFonts w:hint="eastAsia" w:ascii="Times New Roman" w:hAnsi="Times New Roman"/>
        </w:rPr>
        <w:t>的金额也不确定，存在受托人的质押权不被司法机构认可的风险，并且存在未来</w:t>
      </w:r>
      <w:r>
        <w:rPr>
          <w:rFonts w:hint="eastAsia"/>
          <w:bCs/>
        </w:rPr>
        <w:t>经营收入</w:t>
      </w:r>
      <w:r>
        <w:rPr>
          <w:rFonts w:hint="eastAsia" w:ascii="Times New Roman" w:hAnsi="Times New Roman"/>
        </w:rPr>
        <w:t>不能转化为现实的</w:t>
      </w:r>
      <w:r>
        <w:rPr>
          <w:rFonts w:hint="eastAsia"/>
          <w:bCs/>
        </w:rPr>
        <w:t>经营收入</w:t>
      </w:r>
      <w:r>
        <w:rPr>
          <w:rFonts w:hint="eastAsia" w:ascii="Times New Roman" w:hAnsi="Times New Roman"/>
        </w:rPr>
        <w:t>的可能性，将对质物的价值造成不利影响。</w:t>
      </w:r>
      <w:r>
        <w:rPr>
          <w:rFonts w:ascii="Times New Roman" w:hAnsi="Times New Roman"/>
        </w:rPr>
        <w:t>未来应收账款收入的不确定性会导致在借款人无法按约还本付息的情况下因质押应收账款收入不达预期使得信托财产受到损失，委托人知悉并愿意承担上述风险</w:t>
      </w:r>
      <w:r>
        <w:rPr>
          <w:rFonts w:hint="eastAsia" w:ascii="Times New Roman" w:hAnsi="Times New Roman"/>
        </w:rPr>
        <w:t>：</w:t>
      </w:r>
      <w:r>
        <w:rPr>
          <w:rFonts w:ascii="Times New Roman" w:hAnsi="Times New Roman"/>
        </w:rPr>
        <w:t>信托期间应收账款收入实现回款将导致质押物减少，在资金归集过程中可能出现资金被挪用，在监管账户上的资金可能被其他债权人申请查封，从而形成一定的质押担保风险。</w:t>
      </w:r>
      <w:r>
        <w:rPr>
          <w:rFonts w:hint="eastAsia" w:ascii="Times New Roman" w:hAnsi="Times New Roman"/>
        </w:rPr>
        <w:t>本信托存续期间，目标资产情况发生变化的，需及时办理应收账款质押登记的变更手续。若实际操作中无法及时办理变更登记的，则可能存在相关风险。</w:t>
      </w:r>
      <w:bookmarkStart w:id="1362" w:name="OLE_LINK1"/>
    </w:p>
    <w:bookmarkEnd w:id="1362"/>
    <w:p w14:paraId="4FD76D2D">
      <w:pPr>
        <w:pStyle w:val="118"/>
        <w:numPr>
          <w:ilvl w:val="2"/>
          <w:numId w:val="26"/>
        </w:numPr>
        <w:spacing w:before="156" w:beforeLines="50" w:after="156" w:afterLines="50"/>
        <w:ind w:firstLineChars="0"/>
        <w:rPr>
          <w:rFonts w:ascii="Times New Roman" w:hAnsi="Times New Roman"/>
        </w:rPr>
      </w:pPr>
      <w:r>
        <w:rPr>
          <w:rFonts w:ascii="Times New Roman" w:hAnsi="Times New Roman"/>
        </w:rPr>
        <w:t>抵质押办理空档期风险：本信托的抵质押均为后置办理，故信托成立后可能存在“增信措施不完备”的空档期，受益人对此知悉并认可并自愿承担相应风险与损失；且抵质押的办妥存在一定的不确定性</w:t>
      </w:r>
      <w:r>
        <w:rPr>
          <w:rFonts w:hint="eastAsia" w:ascii="Times New Roman" w:hAnsi="Times New Roman"/>
        </w:rPr>
        <w:t>（如</w:t>
      </w:r>
      <w:r>
        <w:rPr>
          <w:rFonts w:ascii="Times New Roman" w:hAnsi="Times New Roman"/>
        </w:rPr>
        <w:t>抵质押</w:t>
      </w:r>
      <w:r>
        <w:rPr>
          <w:rFonts w:hint="eastAsia" w:ascii="Times New Roman" w:hAnsi="Times New Roman"/>
        </w:rPr>
        <w:t>人不配合或不及时配合办理等风险）</w:t>
      </w:r>
      <w:r>
        <w:rPr>
          <w:rFonts w:ascii="Times New Roman" w:hAnsi="Times New Roman"/>
        </w:rPr>
        <w:t>，若抵押或质押未能办理完毕，受托人有权提前结束本信托。</w:t>
      </w:r>
    </w:p>
    <w:p w14:paraId="46DBF540">
      <w:pPr>
        <w:pStyle w:val="118"/>
        <w:numPr>
          <w:ilvl w:val="2"/>
          <w:numId w:val="26"/>
        </w:numPr>
        <w:spacing w:before="156" w:beforeLines="50" w:after="156" w:afterLines="50"/>
        <w:ind w:firstLineChars="0"/>
        <w:rPr>
          <w:rFonts w:ascii="Times New Roman" w:hAnsi="Times New Roman"/>
        </w:rPr>
      </w:pPr>
      <w:r>
        <w:rPr>
          <w:rFonts w:ascii="Times New Roman" w:hAnsi="Times New Roman"/>
        </w:rPr>
        <w:t>原状分配风险：本信托项下，信托终止时，受托人有权将信托财产按照维持信托终止时财产原状方式向受益人进行分配，可能将导致受益人无法以现金形式取得预期信托利益。且受益人于受托人向其发出分配通知书之日起便视为已取得全部信托利益，信托财产已向其分配完毕。在此情况下，受益人应自行向相关债务人行使债权，并向相关债权人履行债务，相关后果和责任由受益人全部承担。受托人有权拒绝接受委托人/受益人要求受托人向任何第三方提起诉讼的指示和要求。在征得受托人书面同意的前提下，受托人可以在提供相关手续上予以配合，但因提供相关手续配合过程中而发生的相关费用由信托财产承担或由受益人另行支付，如资金形式的信托财产不足以承担相关费用且受益人未按受托人要求另行支付相关费用的，受托人有权拒绝提供配合。</w:t>
      </w:r>
    </w:p>
    <w:p w14:paraId="69E6A592">
      <w:pPr>
        <w:pStyle w:val="118"/>
        <w:numPr>
          <w:ilvl w:val="2"/>
          <w:numId w:val="26"/>
        </w:numPr>
        <w:spacing w:before="156" w:beforeLines="50" w:after="156" w:afterLines="50"/>
        <w:ind w:firstLineChars="0"/>
        <w:rPr>
          <w:rFonts w:ascii="Times New Roman" w:hAnsi="Times New Roman"/>
        </w:rPr>
      </w:pPr>
      <w:r>
        <w:rPr>
          <w:rFonts w:ascii="Times New Roman" w:hAnsi="Times New Roman"/>
        </w:rPr>
        <w:t>其它风险</w:t>
      </w:r>
    </w:p>
    <w:p w14:paraId="1363B39A">
      <w:pPr>
        <w:pStyle w:val="118"/>
        <w:spacing w:before="156" w:beforeLines="50" w:after="156" w:afterLines="50"/>
        <w:ind w:left="1418" w:firstLine="0" w:firstLineChars="0"/>
        <w:rPr>
          <w:rFonts w:ascii="Times New Roman" w:hAnsi="Times New Roman"/>
        </w:rPr>
      </w:pPr>
      <w:r>
        <w:rPr>
          <w:rFonts w:hint="eastAsia" w:ascii="Times New Roman" w:hAnsi="Times New Roman"/>
        </w:rPr>
        <w:t>根据委托人意愿，信托文件均不办理强制执行公证，则可能影响信托财产的处置效率，可能给信托财产造成损失的风险。</w:t>
      </w:r>
    </w:p>
    <w:p w14:paraId="29EBCBEE">
      <w:pPr>
        <w:pStyle w:val="118"/>
        <w:spacing w:before="156" w:beforeLines="50" w:after="156" w:afterLines="50"/>
        <w:ind w:left="1418" w:firstLine="0" w:firstLineChars="0"/>
        <w:rPr>
          <w:rFonts w:ascii="Times New Roman" w:hAnsi="Times New Roman"/>
        </w:rPr>
      </w:pPr>
      <w:r>
        <w:rPr>
          <w:rFonts w:ascii="Times New Roman" w:hAnsi="Times New Roman"/>
        </w:rPr>
        <w:t>战争、动乱、地震或其他自然灾害等不可抗力因素的出现，将会严重影响经济的发展，可能影响信托财产的安全和收益。</w:t>
      </w:r>
    </w:p>
    <w:p w14:paraId="00E90FF3">
      <w:pPr>
        <w:pStyle w:val="118"/>
        <w:numPr>
          <w:ilvl w:val="2"/>
          <w:numId w:val="26"/>
        </w:numPr>
        <w:spacing w:before="156" w:beforeLines="50" w:after="156" w:afterLines="50"/>
        <w:ind w:firstLineChars="0"/>
        <w:rPr>
          <w:rFonts w:ascii="Times New Roman" w:hAnsi="Times New Roman"/>
          <w:b/>
          <w:bCs/>
        </w:rPr>
      </w:pPr>
      <w:r>
        <w:rPr>
          <w:rFonts w:hint="eastAsia" w:ascii="Times New Roman" w:hAnsi="Times New Roman"/>
          <w:b/>
          <w:bCs/>
        </w:rPr>
        <w:t>委托人/受益人对以上风险均已知悉并认可并自愿承担相应风险与损失。</w:t>
      </w:r>
    </w:p>
    <w:p w14:paraId="691C03D3">
      <w:pPr>
        <w:pStyle w:val="118"/>
        <w:spacing w:before="156" w:beforeLines="50" w:after="156" w:afterLines="50"/>
        <w:ind w:left="1418" w:firstLine="0" w:firstLineChars="0"/>
        <w:rPr>
          <w:rFonts w:ascii="Times New Roman" w:hAnsi="Times New Roman"/>
        </w:rPr>
      </w:pPr>
    </w:p>
    <w:p w14:paraId="3B60D971">
      <w:pPr>
        <w:pStyle w:val="118"/>
        <w:numPr>
          <w:ilvl w:val="1"/>
          <w:numId w:val="26"/>
        </w:numPr>
        <w:spacing w:before="156" w:beforeLines="50" w:after="156" w:afterLines="50"/>
        <w:ind w:firstLineChars="0"/>
        <w:rPr>
          <w:rFonts w:ascii="Times New Roman" w:hAnsi="Times New Roman"/>
        </w:rPr>
      </w:pPr>
      <w:r>
        <w:rPr>
          <w:rFonts w:ascii="Times New Roman" w:hAnsi="Times New Roman"/>
        </w:rPr>
        <w:t>风险的承担</w:t>
      </w:r>
    </w:p>
    <w:p w14:paraId="163EF1E0">
      <w:pPr>
        <w:pStyle w:val="118"/>
        <w:numPr>
          <w:ilvl w:val="2"/>
          <w:numId w:val="26"/>
        </w:numPr>
        <w:spacing w:before="156" w:beforeLines="50" w:after="156" w:afterLines="50"/>
        <w:ind w:firstLineChars="0"/>
        <w:rPr>
          <w:rFonts w:ascii="Times New Roman" w:hAnsi="Times New Roman"/>
        </w:rPr>
      </w:pPr>
      <w:r>
        <w:rPr>
          <w:rFonts w:ascii="Times New Roman" w:hAnsi="Times New Roman"/>
        </w:rPr>
        <w:t>受托人承诺以受益人的最大利益为宗旨处理信托的信托事务，并谨慎管理信托，维护委托人和受益人的利益，但受托人不承诺受益人不受损失，亦不承诺受益人的最低收益。</w:t>
      </w:r>
    </w:p>
    <w:p w14:paraId="3B5EB9A4">
      <w:pPr>
        <w:pStyle w:val="118"/>
        <w:numPr>
          <w:ilvl w:val="2"/>
          <w:numId w:val="26"/>
        </w:numPr>
        <w:spacing w:before="156" w:beforeLines="50" w:after="156" w:afterLines="50"/>
        <w:ind w:firstLineChars="0"/>
        <w:rPr>
          <w:rFonts w:ascii="Times New Roman" w:hAnsi="Times New Roman"/>
        </w:rPr>
      </w:pPr>
      <w:r>
        <w:rPr>
          <w:rFonts w:ascii="Times New Roman" w:hAnsi="Times New Roman"/>
        </w:rPr>
        <w:t>受托人依据信托文件的约定管理、运用信托财产导致信托财产受到损失的，由信托的信托财产承担。</w:t>
      </w:r>
    </w:p>
    <w:p w14:paraId="0E54DEC1">
      <w:pPr>
        <w:pStyle w:val="118"/>
        <w:numPr>
          <w:ilvl w:val="2"/>
          <w:numId w:val="26"/>
        </w:numPr>
        <w:spacing w:before="156" w:beforeLines="50" w:after="156" w:afterLines="50"/>
        <w:ind w:firstLineChars="0"/>
        <w:rPr>
          <w:rFonts w:ascii="Times New Roman" w:hAnsi="Times New Roman"/>
        </w:rPr>
      </w:pPr>
      <w:r>
        <w:rPr>
          <w:rFonts w:ascii="Times New Roman" w:hAnsi="Times New Roman"/>
        </w:rPr>
        <w:t>受托人违背信托文件的约定管理、运用、处分信托财产导致信托财产受到损失的，其损失部分由受托人负责赔偿。受托人赔偿不足时由信托财产承担。</w:t>
      </w:r>
    </w:p>
    <w:p w14:paraId="15935BE2">
      <w:pPr>
        <w:pStyle w:val="3"/>
        <w:numPr>
          <w:ilvl w:val="0"/>
          <w:numId w:val="5"/>
        </w:numPr>
        <w:rPr>
          <w:rFonts w:ascii="Times New Roman" w:hAnsi="Times New Roman"/>
        </w:rPr>
      </w:pPr>
      <w:bookmarkStart w:id="1363" w:name="_Toc101976691"/>
      <w:bookmarkStart w:id="1364" w:name="_Toc101974230"/>
      <w:bookmarkStart w:id="1365" w:name="_Toc92612966"/>
      <w:r>
        <w:rPr>
          <w:rFonts w:ascii="Times New Roman" w:hAnsi="Times New Roman"/>
        </w:rPr>
        <w:t>违约责任</w:t>
      </w:r>
      <w:bookmarkEnd w:id="1363"/>
      <w:bookmarkEnd w:id="1364"/>
    </w:p>
    <w:p w14:paraId="1FC53913">
      <w:pPr>
        <w:spacing w:before="156" w:beforeLines="50" w:after="156" w:afterLines="50"/>
        <w:ind w:left="425"/>
        <w:outlineLvl w:val="0"/>
        <w:rPr>
          <w:rFonts w:ascii="Times New Roman" w:hAnsi="Times New Roman"/>
          <w:b/>
        </w:rPr>
      </w:pPr>
      <w:bookmarkStart w:id="1366" w:name="_Toc101974231"/>
      <w:r>
        <w:rPr>
          <w:rFonts w:ascii="Times New Roman" w:hAnsi="Times New Roman"/>
          <w:color w:val="000000"/>
        </w:rPr>
        <w:t>委托人或受托人应严格遵守本合同的约定，任何一方违反本合同的约定，均应向守约方承担违约责任，并赔偿因其违约给对方造成的损失。委托人信托的标的债权的合法性、有效性上存在问题（包括但不限于标的债权被认定为无效或被撤销等情况）而导致受托人、本受益人或信托财产造成损失的，委托人应承担赔偿责任。</w:t>
      </w:r>
      <w:bookmarkEnd w:id="1366"/>
    </w:p>
    <w:bookmarkEnd w:id="1365"/>
    <w:p w14:paraId="6A49EAA3">
      <w:pPr>
        <w:pStyle w:val="3"/>
        <w:numPr>
          <w:ilvl w:val="0"/>
          <w:numId w:val="5"/>
        </w:numPr>
        <w:rPr>
          <w:rFonts w:ascii="Times New Roman" w:hAnsi="Times New Roman"/>
        </w:rPr>
      </w:pPr>
      <w:bookmarkStart w:id="1367" w:name="_Toc101974232"/>
      <w:bookmarkStart w:id="1368" w:name="_Toc101976692"/>
      <w:bookmarkStart w:id="1369" w:name="_Toc99420081"/>
      <w:bookmarkStart w:id="1370" w:name="_Toc13816324"/>
      <w:bookmarkStart w:id="1371" w:name="_Toc107783395"/>
      <w:bookmarkStart w:id="1372" w:name="_Toc15369295"/>
      <w:bookmarkStart w:id="1373" w:name="_Toc172438593"/>
      <w:r>
        <w:rPr>
          <w:rFonts w:ascii="Times New Roman" w:hAnsi="Times New Roman"/>
        </w:rPr>
        <w:t>保密义务</w:t>
      </w:r>
      <w:bookmarkEnd w:id="1367"/>
      <w:bookmarkEnd w:id="1368"/>
    </w:p>
    <w:p w14:paraId="64233DF0">
      <w:pPr>
        <w:spacing w:before="156" w:beforeLines="50" w:after="156" w:afterLines="50"/>
        <w:ind w:left="425"/>
        <w:outlineLvl w:val="0"/>
        <w:rPr>
          <w:rFonts w:ascii="Times New Roman" w:hAnsi="Times New Roman"/>
          <w:b/>
        </w:rPr>
      </w:pPr>
      <w:bookmarkStart w:id="1374" w:name="_Toc101974233"/>
      <w:r>
        <w:rPr>
          <w:rFonts w:ascii="Times New Roman" w:hAnsi="Times New Roman"/>
        </w:rPr>
        <w:t>本合同双方同意，对其中一方或其代表提供给另一方的有关本合同及双方 签署的本合同项下交易的所有重要方面的信息及/或本合同所含信息（包括 有关定价的信息，但不包括有证据证明是经正当授权的第三方收到、披露或公开的信息）予以保密，并且同意，未经对方书面同意，不向任何其他方披露此类信息（不包括与本合同拟议之交易有关而需要获知以上信息的披露方的雇员、高级职员和董事），但以下情况除外：</w:t>
      </w:r>
      <w:bookmarkEnd w:id="1374"/>
    </w:p>
    <w:p w14:paraId="03D899CB">
      <w:pPr>
        <w:pStyle w:val="118"/>
        <w:numPr>
          <w:ilvl w:val="1"/>
          <w:numId w:val="27"/>
        </w:numPr>
        <w:spacing w:before="156" w:beforeLines="50" w:after="156" w:afterLines="50"/>
        <w:ind w:firstLineChars="0"/>
        <w:outlineLvl w:val="0"/>
        <w:rPr>
          <w:rFonts w:ascii="Times New Roman" w:hAnsi="Times New Roman"/>
          <w:b/>
        </w:rPr>
      </w:pPr>
      <w:bookmarkStart w:id="1375" w:name="_Toc101974234"/>
      <w:r>
        <w:rPr>
          <w:rFonts w:ascii="Times New Roman" w:hAnsi="Times New Roman"/>
        </w:rPr>
        <w:t>为进行本合同拟议之交易而向投资者披露；</w:t>
      </w:r>
      <w:bookmarkEnd w:id="1375"/>
    </w:p>
    <w:p w14:paraId="174F83F1">
      <w:pPr>
        <w:pStyle w:val="118"/>
        <w:numPr>
          <w:ilvl w:val="1"/>
          <w:numId w:val="27"/>
        </w:numPr>
        <w:spacing w:before="156" w:beforeLines="50" w:after="156" w:afterLines="50"/>
        <w:ind w:firstLineChars="0"/>
        <w:outlineLvl w:val="0"/>
        <w:rPr>
          <w:rFonts w:ascii="Times New Roman" w:hAnsi="Times New Roman"/>
          <w:b/>
        </w:rPr>
      </w:pPr>
      <w:bookmarkStart w:id="1376" w:name="_Toc101974235"/>
      <w:r>
        <w:rPr>
          <w:rFonts w:ascii="Times New Roman" w:hAnsi="Times New Roman"/>
        </w:rPr>
        <w:t>向与本交易有关而需要获知以上信息并受保密协议约束的律师、会计师、顾问和咨询人员披露；</w:t>
      </w:r>
      <w:bookmarkEnd w:id="1376"/>
    </w:p>
    <w:p w14:paraId="3D449A81">
      <w:pPr>
        <w:pStyle w:val="118"/>
        <w:numPr>
          <w:ilvl w:val="1"/>
          <w:numId w:val="27"/>
        </w:numPr>
        <w:spacing w:before="156" w:beforeLines="50" w:after="156" w:afterLines="50"/>
        <w:ind w:firstLineChars="0"/>
        <w:outlineLvl w:val="0"/>
        <w:rPr>
          <w:rFonts w:ascii="Times New Roman" w:hAnsi="Times New Roman"/>
          <w:b/>
        </w:rPr>
      </w:pPr>
      <w:bookmarkStart w:id="1377" w:name="_Toc101974236"/>
      <w:r>
        <w:rPr>
          <w:rFonts w:ascii="Times New Roman" w:hAnsi="Times New Roman"/>
        </w:rPr>
        <w:t>根据适用的法律法规的要求，向中国的有关政府部门或者管理机构披露。</w:t>
      </w:r>
      <w:bookmarkEnd w:id="1377"/>
    </w:p>
    <w:p w14:paraId="5383138F">
      <w:pPr>
        <w:pStyle w:val="3"/>
        <w:numPr>
          <w:ilvl w:val="0"/>
          <w:numId w:val="5"/>
        </w:numPr>
        <w:rPr>
          <w:rFonts w:ascii="Times New Roman" w:hAnsi="Times New Roman"/>
        </w:rPr>
      </w:pPr>
      <w:bookmarkStart w:id="1378" w:name="_Toc101974237"/>
      <w:bookmarkStart w:id="1379" w:name="_Toc101976693"/>
      <w:r>
        <w:rPr>
          <w:rFonts w:ascii="Times New Roman" w:hAnsi="Times New Roman"/>
        </w:rPr>
        <w:t>法律适用和争议解决</w:t>
      </w:r>
      <w:bookmarkEnd w:id="1378"/>
      <w:bookmarkEnd w:id="1379"/>
    </w:p>
    <w:p w14:paraId="243FFBEC">
      <w:pPr>
        <w:pStyle w:val="118"/>
        <w:numPr>
          <w:ilvl w:val="1"/>
          <w:numId w:val="28"/>
        </w:numPr>
        <w:spacing w:before="156" w:beforeLines="50" w:after="156" w:afterLines="50"/>
        <w:ind w:firstLineChars="0"/>
        <w:outlineLvl w:val="0"/>
        <w:rPr>
          <w:rFonts w:ascii="Times New Roman" w:hAnsi="Times New Roman"/>
        </w:rPr>
      </w:pPr>
      <w:bookmarkStart w:id="1380" w:name="_Toc101974238"/>
      <w:r>
        <w:rPr>
          <w:rFonts w:ascii="Times New Roman" w:hAnsi="Times New Roman"/>
        </w:rPr>
        <w:t>法律适用</w:t>
      </w:r>
      <w:bookmarkEnd w:id="1380"/>
    </w:p>
    <w:p w14:paraId="79AB2557">
      <w:pPr>
        <w:pStyle w:val="118"/>
        <w:spacing w:before="156" w:beforeLines="50" w:after="156" w:afterLines="50"/>
        <w:ind w:left="992" w:firstLine="0" w:firstLineChars="0"/>
        <w:outlineLvl w:val="0"/>
        <w:rPr>
          <w:rFonts w:ascii="Times New Roman" w:hAnsi="Times New Roman"/>
        </w:rPr>
      </w:pPr>
      <w:bookmarkStart w:id="1381" w:name="_Toc101974239"/>
      <w:r>
        <w:rPr>
          <w:rFonts w:ascii="Times New Roman" w:hAnsi="Times New Roman"/>
        </w:rPr>
        <w:t>本合同的订立、生效、履行、解释、修改和终止等事项适用中国法律。</w:t>
      </w:r>
      <w:bookmarkEnd w:id="1381"/>
    </w:p>
    <w:p w14:paraId="04F2E08F">
      <w:pPr>
        <w:pStyle w:val="2"/>
        <w:numPr>
          <w:ilvl w:val="1"/>
          <w:numId w:val="28"/>
        </w:numPr>
        <w:ind w:firstLineChars="0"/>
        <w:rPr>
          <w:rFonts w:ascii="Times New Roman" w:hAnsi="Times New Roman"/>
        </w:rPr>
      </w:pPr>
      <w:r>
        <w:rPr>
          <w:rFonts w:ascii="Times New Roman" w:hAnsi="Times New Roman"/>
        </w:rPr>
        <w:t>争议解决</w:t>
      </w:r>
    </w:p>
    <w:p w14:paraId="07EE74B1">
      <w:pPr>
        <w:pStyle w:val="2"/>
        <w:numPr>
          <w:ilvl w:val="2"/>
          <w:numId w:val="28"/>
        </w:numPr>
        <w:ind w:firstLineChars="0"/>
        <w:rPr>
          <w:rFonts w:ascii="Times New Roman" w:hAnsi="Times New Roman"/>
        </w:rPr>
      </w:pPr>
      <w:r>
        <w:rPr>
          <w:rFonts w:ascii="Times New Roman" w:hAnsi="Times New Roman"/>
        </w:rPr>
        <w:tab/>
      </w:r>
      <w:r>
        <w:rPr>
          <w:rFonts w:ascii="Times New Roman" w:hAnsi="Times New Roman"/>
        </w:rPr>
        <w:t>本合同项下的任何争议，双方应友好协商解决；若争议发生后30个自然日内协商未成，任何一方可将争议</w:t>
      </w:r>
      <w:bookmarkStart w:id="1382" w:name="_Hlk112263208"/>
      <w:r>
        <w:rPr>
          <w:rFonts w:ascii="Times New Roman" w:hAnsi="Times New Roman"/>
        </w:rPr>
        <w:t>交由</w:t>
      </w:r>
      <w:bookmarkEnd w:id="1382"/>
      <w:r>
        <w:rPr>
          <w:rFonts w:hint="eastAsia" w:ascii="Times New Roman" w:hAnsi="Times New Roman"/>
        </w:rPr>
        <w:t>委托人住所地有管辖权的人民法院审理</w:t>
      </w:r>
      <w:r>
        <w:rPr>
          <w:rFonts w:ascii="Times New Roman" w:hAnsi="Times New Roman"/>
        </w:rPr>
        <w:t>。</w:t>
      </w:r>
    </w:p>
    <w:p w14:paraId="623F1C94">
      <w:pPr>
        <w:pStyle w:val="2"/>
        <w:numPr>
          <w:ilvl w:val="2"/>
          <w:numId w:val="28"/>
        </w:numPr>
        <w:ind w:firstLineChars="0"/>
        <w:rPr>
          <w:rFonts w:ascii="Times New Roman" w:hAnsi="Times New Roman"/>
        </w:rPr>
      </w:pPr>
      <w:r>
        <w:rPr>
          <w:rFonts w:ascii="Times New Roman" w:hAnsi="Times New Roman"/>
        </w:rPr>
        <w:t>除非生效裁决另有规定，双方为解决争议而实际支付的费用包括 但不限于诉讼费和律师费（含风险代理律师费）由败诉方承担。</w:t>
      </w:r>
    </w:p>
    <w:p w14:paraId="75827F82">
      <w:pPr>
        <w:pStyle w:val="2"/>
        <w:numPr>
          <w:ilvl w:val="2"/>
          <w:numId w:val="28"/>
        </w:numPr>
        <w:ind w:firstLineChars="0"/>
        <w:rPr>
          <w:rFonts w:ascii="Times New Roman" w:hAnsi="Times New Roman"/>
        </w:rPr>
      </w:pPr>
      <w:r>
        <w:rPr>
          <w:rFonts w:ascii="Times New Roman" w:hAnsi="Times New Roman"/>
        </w:rPr>
        <w:t>除双方发生争议的事项外，双方仍应当本着善意的原则按照本合 同的规定继续履行各自义务。</w:t>
      </w:r>
    </w:p>
    <w:p w14:paraId="44758374">
      <w:pPr>
        <w:pStyle w:val="3"/>
        <w:numPr>
          <w:ilvl w:val="0"/>
          <w:numId w:val="5"/>
        </w:numPr>
        <w:rPr>
          <w:rFonts w:ascii="Times New Roman" w:hAnsi="Times New Roman"/>
        </w:rPr>
      </w:pPr>
      <w:bookmarkStart w:id="1383" w:name="_Toc101976694"/>
      <w:bookmarkStart w:id="1384" w:name="_Toc101974240"/>
      <w:r>
        <w:rPr>
          <w:rFonts w:ascii="Times New Roman" w:hAnsi="Times New Roman"/>
        </w:rPr>
        <w:t>其他</w:t>
      </w:r>
      <w:bookmarkEnd w:id="1383"/>
      <w:bookmarkEnd w:id="1384"/>
    </w:p>
    <w:p w14:paraId="4CE9BE31">
      <w:pPr>
        <w:pStyle w:val="118"/>
        <w:numPr>
          <w:ilvl w:val="1"/>
          <w:numId w:val="29"/>
        </w:numPr>
        <w:spacing w:before="156" w:beforeLines="50" w:after="156" w:afterLines="50"/>
        <w:ind w:firstLineChars="0"/>
        <w:outlineLvl w:val="0"/>
        <w:rPr>
          <w:rFonts w:ascii="Times New Roman" w:hAnsi="Times New Roman"/>
          <w:b/>
        </w:rPr>
      </w:pPr>
      <w:bookmarkStart w:id="1385" w:name="_Toc101974241"/>
      <w:r>
        <w:rPr>
          <w:rFonts w:ascii="Times New Roman" w:hAnsi="Times New Roman"/>
        </w:rPr>
        <w:t>通知</w:t>
      </w:r>
      <w:bookmarkEnd w:id="1385"/>
    </w:p>
    <w:p w14:paraId="4FE3D553">
      <w:pPr>
        <w:pStyle w:val="118"/>
        <w:numPr>
          <w:ilvl w:val="2"/>
          <w:numId w:val="29"/>
        </w:numPr>
        <w:spacing w:before="156" w:beforeLines="50" w:after="156" w:afterLines="50"/>
        <w:ind w:firstLineChars="0"/>
        <w:outlineLvl w:val="0"/>
        <w:rPr>
          <w:rFonts w:ascii="Times New Roman" w:hAnsi="Times New Roman"/>
        </w:rPr>
      </w:pPr>
      <w:bookmarkStart w:id="1386" w:name="_Toc101974242"/>
      <w:r>
        <w:rPr>
          <w:rFonts w:ascii="Times New Roman" w:hAnsi="Times New Roman"/>
        </w:rPr>
        <w:t>除非本合同另有规定，本合同项下要求或允许的向任何一方作出的所有通知、要求、指令和其他通讯应以书面形式做出并且应由发出通知的一方或其代表签署。通知应采用传真、专人递送、挂号信邮寄、特快专递或电子邮件方式递送至下述条款中所列的地址、传真号码（或按照本条的规定正式通知的其他地址或传真号码）或电子邮箱。以专人递送、传真、挂号信邮寄、特快专递或电子邮件方式发送的通知应视为已在以下时间有效送达：</w:t>
      </w:r>
      <w:bookmarkEnd w:id="1386"/>
    </w:p>
    <w:p w14:paraId="0E881828">
      <w:pPr>
        <w:pStyle w:val="118"/>
        <w:numPr>
          <w:ilvl w:val="3"/>
          <w:numId w:val="29"/>
        </w:numPr>
        <w:spacing w:before="156" w:beforeLines="50" w:after="156" w:afterLines="50"/>
        <w:ind w:firstLineChars="0"/>
        <w:outlineLvl w:val="0"/>
        <w:rPr>
          <w:rFonts w:ascii="Times New Roman" w:hAnsi="Times New Roman"/>
          <w:b/>
        </w:rPr>
      </w:pPr>
      <w:bookmarkStart w:id="1387" w:name="_Toc101974243"/>
      <w:r>
        <w:rPr>
          <w:rFonts w:ascii="Times New Roman" w:hAnsi="Times New Roman"/>
        </w:rPr>
        <w:t>如通过邮寄方式发送，则以</w:t>
      </w:r>
      <w:r>
        <w:rPr>
          <w:rFonts w:hint="eastAsia" w:ascii="Times New Roman" w:hAnsi="Times New Roman"/>
        </w:rPr>
        <w:t>投邮后第3个工作日</w:t>
      </w:r>
      <w:r>
        <w:rPr>
          <w:rFonts w:ascii="Times New Roman" w:hAnsi="Times New Roman"/>
        </w:rPr>
        <w:t>视为送达；</w:t>
      </w:r>
      <w:bookmarkEnd w:id="1387"/>
    </w:p>
    <w:p w14:paraId="44749686">
      <w:pPr>
        <w:pStyle w:val="118"/>
        <w:numPr>
          <w:ilvl w:val="3"/>
          <w:numId w:val="29"/>
        </w:numPr>
        <w:spacing w:before="156" w:beforeLines="50" w:after="156" w:afterLines="50"/>
        <w:ind w:firstLineChars="0"/>
        <w:outlineLvl w:val="0"/>
        <w:rPr>
          <w:rFonts w:ascii="Times New Roman" w:hAnsi="Times New Roman"/>
          <w:b/>
        </w:rPr>
      </w:pPr>
      <w:bookmarkStart w:id="1388" w:name="_Toc101974244"/>
      <w:r>
        <w:rPr>
          <w:rFonts w:ascii="Times New Roman" w:hAnsi="Times New Roman"/>
        </w:rPr>
        <w:t>以传真、电传、电报传送，在收到电码或成功发送确认章的情况下，则以发出</w:t>
      </w:r>
      <w:r>
        <w:rPr>
          <w:rFonts w:hint="eastAsia" w:ascii="Times New Roman" w:hAnsi="Times New Roman"/>
        </w:rPr>
        <w:t>之日</w:t>
      </w:r>
      <w:r>
        <w:rPr>
          <w:rFonts w:ascii="Times New Roman" w:hAnsi="Times New Roman"/>
        </w:rPr>
        <w:t>视为送达；</w:t>
      </w:r>
      <w:bookmarkEnd w:id="1388"/>
    </w:p>
    <w:p w14:paraId="5F2689FC">
      <w:pPr>
        <w:pStyle w:val="118"/>
        <w:numPr>
          <w:ilvl w:val="3"/>
          <w:numId w:val="29"/>
        </w:numPr>
        <w:spacing w:before="156" w:beforeLines="50" w:after="156" w:afterLines="50"/>
        <w:ind w:firstLineChars="0"/>
        <w:outlineLvl w:val="0"/>
        <w:rPr>
          <w:rFonts w:ascii="Times New Roman" w:hAnsi="Times New Roman"/>
          <w:b/>
        </w:rPr>
      </w:pPr>
      <w:bookmarkStart w:id="1389" w:name="_Toc101974245"/>
      <w:r>
        <w:rPr>
          <w:rFonts w:ascii="Times New Roman" w:hAnsi="Times New Roman"/>
        </w:rPr>
        <w:t>以电子邮件发送，则以发件人电子邮件系统显示已成功到达对方指定的联系人的邮箱的服务器时视为送达。</w:t>
      </w:r>
      <w:bookmarkEnd w:id="1389"/>
    </w:p>
    <w:p w14:paraId="62D0C891">
      <w:pPr>
        <w:pStyle w:val="118"/>
        <w:numPr>
          <w:ilvl w:val="2"/>
          <w:numId w:val="29"/>
        </w:numPr>
        <w:spacing w:before="156" w:beforeLines="50" w:after="156" w:afterLines="50"/>
        <w:ind w:firstLineChars="0"/>
        <w:outlineLvl w:val="0"/>
        <w:rPr>
          <w:rFonts w:ascii="Times New Roman" w:hAnsi="Times New Roman"/>
          <w:b/>
        </w:rPr>
      </w:pPr>
      <w:bookmarkStart w:id="1390" w:name="_Toc101974246"/>
      <w:r>
        <w:rPr>
          <w:rFonts w:ascii="Times New Roman" w:hAnsi="Times New Roman"/>
        </w:rPr>
        <w:t>双方用于本合同所述通知用途的通讯方式如下：</w:t>
      </w:r>
      <w:bookmarkEnd w:id="1390"/>
    </w:p>
    <w:p w14:paraId="02F9683D">
      <w:pPr>
        <w:pStyle w:val="118"/>
        <w:spacing w:before="156" w:beforeLines="50" w:after="156" w:afterLines="50"/>
        <w:ind w:left="1418" w:firstLine="0" w:firstLineChars="0"/>
        <w:outlineLvl w:val="0"/>
        <w:rPr>
          <w:rFonts w:ascii="Times New Roman" w:hAnsi="Times New Roman"/>
        </w:rPr>
      </w:pPr>
      <w:bookmarkStart w:id="1391" w:name="_Toc101974247"/>
      <w:r>
        <w:rPr>
          <w:rFonts w:ascii="Times New Roman" w:hAnsi="Times New Roman"/>
        </w:rPr>
        <w:t>如发送给受托人，按如下联系方式：</w:t>
      </w:r>
      <w:bookmarkEnd w:id="1391"/>
    </w:p>
    <w:p w14:paraId="6B05AE32">
      <w:pPr>
        <w:pStyle w:val="118"/>
        <w:spacing w:before="156" w:beforeLines="50" w:after="156" w:afterLines="50"/>
        <w:ind w:left="1418" w:firstLine="0" w:firstLineChars="0"/>
        <w:outlineLvl w:val="0"/>
        <w:rPr>
          <w:rFonts w:hint="eastAsia" w:ascii="Times New Roman" w:hAnsi="Times New Roman" w:eastAsia="楷体"/>
          <w:lang w:eastAsia="zh-CN"/>
        </w:rPr>
      </w:pPr>
      <w:bookmarkStart w:id="1392" w:name="_Toc101974248"/>
      <w:r>
        <w:rPr>
          <w:rFonts w:ascii="Times New Roman" w:hAnsi="Times New Roman"/>
        </w:rPr>
        <w:t>受托人：</w:t>
      </w:r>
      <w:bookmarkEnd w:id="1392"/>
      <w:r>
        <w:rPr>
          <w:rFonts w:hint="eastAsia" w:ascii="Times New Roman" w:hAnsi="Times New Roman"/>
          <w:lang w:eastAsia="zh-CN"/>
        </w:rPr>
        <w:t>XXXXX</w:t>
      </w:r>
    </w:p>
    <w:p w14:paraId="0C5F7AE1">
      <w:pPr>
        <w:pStyle w:val="118"/>
        <w:spacing w:before="156" w:beforeLines="50" w:after="156" w:afterLines="50"/>
        <w:ind w:left="1418" w:firstLine="0" w:firstLineChars="0"/>
        <w:outlineLvl w:val="0"/>
        <w:rPr>
          <w:rFonts w:ascii="Times New Roman" w:hAnsi="Times New Roman"/>
        </w:rPr>
      </w:pPr>
      <w:bookmarkStart w:id="1393" w:name="_Toc101974249"/>
      <w:r>
        <w:rPr>
          <w:rFonts w:ascii="Times New Roman" w:hAnsi="Times New Roman"/>
        </w:rPr>
        <w:t>联系地址：</w:t>
      </w:r>
      <w:bookmarkEnd w:id="1393"/>
      <w:r>
        <w:rPr>
          <w:rFonts w:hint="eastAsia" w:ascii="Times New Roman" w:hAnsi="Times New Roman"/>
          <w:lang w:val="en-US" w:eastAsia="zh-CN"/>
        </w:rPr>
        <w:t>XXXXXXX</w:t>
      </w:r>
    </w:p>
    <w:p w14:paraId="009BCDD5">
      <w:pPr>
        <w:pStyle w:val="118"/>
        <w:spacing w:before="156" w:beforeLines="50" w:after="156" w:afterLines="50"/>
        <w:ind w:left="1418" w:firstLine="0" w:firstLineChars="0"/>
        <w:outlineLvl w:val="0"/>
        <w:rPr>
          <w:rFonts w:ascii="Times New Roman" w:hAnsi="Times New Roman"/>
        </w:rPr>
      </w:pPr>
      <w:bookmarkStart w:id="1394" w:name="_Toc101974250"/>
      <w:r>
        <w:rPr>
          <w:rFonts w:ascii="Times New Roman" w:hAnsi="Times New Roman"/>
        </w:rPr>
        <w:t>联系人：</w:t>
      </w:r>
      <w:bookmarkEnd w:id="1394"/>
    </w:p>
    <w:p w14:paraId="5EDB1EA2">
      <w:pPr>
        <w:pStyle w:val="118"/>
        <w:spacing w:before="156" w:beforeLines="50" w:after="156" w:afterLines="50"/>
        <w:ind w:left="1418" w:firstLine="0" w:firstLineChars="0"/>
        <w:outlineLvl w:val="0"/>
        <w:rPr>
          <w:rFonts w:ascii="Times New Roman" w:hAnsi="Times New Roman"/>
        </w:rPr>
      </w:pPr>
      <w:bookmarkStart w:id="1395" w:name="_Toc101974251"/>
      <w:r>
        <w:rPr>
          <w:rFonts w:ascii="Times New Roman" w:hAnsi="Times New Roman"/>
        </w:rPr>
        <w:t>电话：</w:t>
      </w:r>
      <w:bookmarkEnd w:id="1395"/>
    </w:p>
    <w:p w14:paraId="1ED5B3FE">
      <w:pPr>
        <w:pStyle w:val="118"/>
        <w:spacing w:before="156" w:beforeLines="50" w:after="156" w:afterLines="50"/>
        <w:ind w:left="1418" w:firstLine="0" w:firstLineChars="0"/>
        <w:outlineLvl w:val="0"/>
        <w:rPr>
          <w:rFonts w:ascii="Times New Roman" w:hAnsi="Times New Roman"/>
        </w:rPr>
      </w:pPr>
      <w:bookmarkStart w:id="1396" w:name="_Toc101974252"/>
      <w:r>
        <w:rPr>
          <w:rFonts w:ascii="Times New Roman" w:hAnsi="Times New Roman"/>
        </w:rPr>
        <w:t>传真：</w:t>
      </w:r>
      <w:bookmarkEnd w:id="1396"/>
      <w:r>
        <w:rPr>
          <w:rFonts w:hint="eastAsia" w:ascii="Times New Roman" w:hAnsi="Times New Roman"/>
        </w:rPr>
        <w:t>-</w:t>
      </w:r>
    </w:p>
    <w:p w14:paraId="5535748B">
      <w:pPr>
        <w:pStyle w:val="118"/>
        <w:spacing w:before="156" w:beforeLines="50" w:after="156" w:afterLines="50"/>
        <w:ind w:left="1418" w:firstLine="0" w:firstLineChars="0"/>
        <w:outlineLvl w:val="0"/>
        <w:rPr>
          <w:rFonts w:ascii="Times New Roman" w:hAnsi="Times New Roman"/>
        </w:rPr>
      </w:pPr>
      <w:bookmarkStart w:id="1397" w:name="_Toc101974253"/>
      <w:r>
        <w:rPr>
          <w:rFonts w:ascii="Times New Roman" w:hAnsi="Times New Roman"/>
        </w:rPr>
        <w:t>电子邮箱：</w:t>
      </w:r>
      <w:bookmarkEnd w:id="1397"/>
    </w:p>
    <w:p w14:paraId="27A62D70">
      <w:pPr>
        <w:pStyle w:val="118"/>
        <w:spacing w:before="156" w:beforeLines="50" w:after="156" w:afterLines="50"/>
        <w:ind w:left="1418" w:firstLine="0" w:firstLineChars="0"/>
        <w:outlineLvl w:val="0"/>
        <w:rPr>
          <w:rFonts w:ascii="Times New Roman" w:hAnsi="Times New Roman"/>
        </w:rPr>
      </w:pPr>
      <w:bookmarkStart w:id="1398" w:name="_Toc101974254"/>
      <w:r>
        <w:rPr>
          <w:rFonts w:ascii="Times New Roman" w:hAnsi="Times New Roman"/>
        </w:rPr>
        <w:t>如发送给委托人，按如下联系方式：</w:t>
      </w:r>
      <w:bookmarkEnd w:id="1398"/>
    </w:p>
    <w:p w14:paraId="3DCEA7A3">
      <w:pPr>
        <w:pStyle w:val="118"/>
        <w:spacing w:before="156" w:beforeLines="50" w:after="156" w:afterLines="50"/>
        <w:ind w:left="1418" w:firstLine="0" w:firstLineChars="0"/>
        <w:outlineLvl w:val="0"/>
        <w:rPr>
          <w:rFonts w:hint="eastAsia" w:ascii="Times New Roman" w:hAnsi="Times New Roman" w:eastAsia="楷体"/>
          <w:lang w:eastAsia="zh-CN"/>
        </w:rPr>
      </w:pPr>
      <w:bookmarkStart w:id="1399" w:name="_Toc101974255"/>
      <w:r>
        <w:rPr>
          <w:rFonts w:ascii="Times New Roman" w:hAnsi="Times New Roman"/>
        </w:rPr>
        <w:t>委托人：</w:t>
      </w:r>
      <w:bookmarkEnd w:id="1399"/>
      <w:r>
        <w:rPr>
          <w:rFonts w:hint="eastAsia" w:ascii="Times New Roman" w:hAnsi="Times New Roman"/>
          <w:lang w:eastAsia="zh-CN"/>
        </w:rPr>
        <w:t>【】</w:t>
      </w:r>
    </w:p>
    <w:p w14:paraId="234748C8">
      <w:pPr>
        <w:pStyle w:val="118"/>
        <w:spacing w:before="156" w:beforeLines="50" w:after="156" w:afterLines="50"/>
        <w:ind w:left="1418" w:firstLine="0" w:firstLineChars="0"/>
        <w:outlineLvl w:val="0"/>
        <w:rPr>
          <w:rFonts w:ascii="Times New Roman" w:hAnsi="Times New Roman"/>
        </w:rPr>
      </w:pPr>
      <w:bookmarkStart w:id="1400" w:name="_Toc101974256"/>
      <w:r>
        <w:rPr>
          <w:rFonts w:ascii="Times New Roman" w:hAnsi="Times New Roman"/>
        </w:rPr>
        <w:t>联系地址：</w:t>
      </w:r>
      <w:bookmarkEnd w:id="1400"/>
      <w:r>
        <w:rPr>
          <w:rFonts w:ascii="Times New Roman" w:hAnsi="Times New Roman"/>
        </w:rPr>
        <w:t xml:space="preserve"> </w:t>
      </w:r>
    </w:p>
    <w:p w14:paraId="5DC52D6C">
      <w:pPr>
        <w:pStyle w:val="118"/>
        <w:spacing w:before="156" w:beforeLines="50" w:after="156" w:afterLines="50"/>
        <w:ind w:left="1418" w:firstLine="0" w:firstLineChars="0"/>
        <w:outlineLvl w:val="0"/>
        <w:rPr>
          <w:rFonts w:ascii="Times New Roman" w:hAnsi="Times New Roman"/>
        </w:rPr>
      </w:pPr>
      <w:bookmarkStart w:id="1401" w:name="_Toc101974257"/>
      <w:r>
        <w:rPr>
          <w:rFonts w:ascii="Times New Roman" w:hAnsi="Times New Roman"/>
        </w:rPr>
        <w:t>联系人：</w:t>
      </w:r>
      <w:bookmarkEnd w:id="1401"/>
    </w:p>
    <w:p w14:paraId="24903810">
      <w:pPr>
        <w:pStyle w:val="118"/>
        <w:spacing w:before="156" w:beforeLines="50" w:after="156" w:afterLines="50"/>
        <w:ind w:left="1418" w:firstLine="0" w:firstLineChars="0"/>
        <w:outlineLvl w:val="0"/>
        <w:rPr>
          <w:rFonts w:ascii="Times New Roman" w:hAnsi="Times New Roman"/>
        </w:rPr>
      </w:pPr>
      <w:bookmarkStart w:id="1402" w:name="_Toc101974258"/>
      <w:r>
        <w:rPr>
          <w:rFonts w:ascii="Times New Roman" w:hAnsi="Times New Roman"/>
        </w:rPr>
        <w:t>电话：</w:t>
      </w:r>
      <w:bookmarkEnd w:id="1402"/>
    </w:p>
    <w:p w14:paraId="00A6102B">
      <w:pPr>
        <w:pStyle w:val="118"/>
        <w:spacing w:before="156" w:beforeLines="50" w:after="156" w:afterLines="50"/>
        <w:ind w:left="1418" w:firstLine="0" w:firstLineChars="0"/>
        <w:outlineLvl w:val="0"/>
        <w:rPr>
          <w:rFonts w:ascii="Times New Roman" w:hAnsi="Times New Roman"/>
        </w:rPr>
      </w:pPr>
      <w:bookmarkStart w:id="1403" w:name="_Toc101974259"/>
      <w:r>
        <w:rPr>
          <w:rFonts w:ascii="Times New Roman" w:hAnsi="Times New Roman"/>
        </w:rPr>
        <w:t>传真：</w:t>
      </w:r>
      <w:bookmarkEnd w:id="1403"/>
    </w:p>
    <w:p w14:paraId="3CB5FF99">
      <w:pPr>
        <w:pStyle w:val="118"/>
        <w:spacing w:before="156" w:beforeLines="50" w:after="156" w:afterLines="50"/>
        <w:ind w:left="1418" w:firstLine="0" w:firstLineChars="0"/>
        <w:outlineLvl w:val="0"/>
        <w:rPr>
          <w:rFonts w:ascii="Times New Roman" w:hAnsi="Times New Roman"/>
          <w:b/>
        </w:rPr>
      </w:pPr>
      <w:bookmarkStart w:id="1404" w:name="_Toc101974260"/>
      <w:r>
        <w:rPr>
          <w:rFonts w:ascii="Times New Roman" w:hAnsi="Times New Roman"/>
        </w:rPr>
        <w:t>电子邮箱：</w:t>
      </w:r>
      <w:bookmarkEnd w:id="1404"/>
    </w:p>
    <w:p w14:paraId="4B68CA4C">
      <w:pPr>
        <w:pStyle w:val="118"/>
        <w:numPr>
          <w:ilvl w:val="2"/>
          <w:numId w:val="29"/>
        </w:numPr>
        <w:spacing w:before="156" w:beforeLines="50" w:after="156" w:afterLines="50"/>
        <w:ind w:firstLineChars="0"/>
        <w:outlineLvl w:val="0"/>
        <w:rPr>
          <w:rFonts w:ascii="Times New Roman" w:hAnsi="Times New Roman"/>
        </w:rPr>
      </w:pPr>
      <w:bookmarkStart w:id="1405" w:name="_Toc101974261"/>
      <w:r>
        <w:rPr>
          <w:rFonts w:ascii="Times New Roman" w:hAnsi="Times New Roman"/>
        </w:rPr>
        <w:t>就受托人而言，除法律法规另有规定外，受托人披露信托的信息、向信托项下委托人/受益人作出的通知、要求、指令和其他通讯，可以选择以在受托人网站公告的方式递送。委托人通讯地址、联系方式发生变更，应以书面形式告知受托人；</w:t>
      </w:r>
      <w:bookmarkEnd w:id="1405"/>
    </w:p>
    <w:p w14:paraId="42C7F3EE">
      <w:pPr>
        <w:pStyle w:val="118"/>
        <w:numPr>
          <w:ilvl w:val="2"/>
          <w:numId w:val="29"/>
        </w:numPr>
        <w:spacing w:before="156" w:beforeLines="50" w:after="156" w:afterLines="50"/>
        <w:ind w:firstLineChars="0"/>
        <w:outlineLvl w:val="0"/>
        <w:rPr>
          <w:rFonts w:ascii="Times New Roman" w:hAnsi="Times New Roman"/>
        </w:rPr>
      </w:pPr>
      <w:bookmarkStart w:id="1406" w:name="_Toc101974262"/>
      <w:r>
        <w:rPr>
          <w:rFonts w:ascii="Times New Roman" w:hAnsi="Times New Roman"/>
        </w:rPr>
        <w:t>未经告知的，不得以此变更对抗受托人。由于委托人的原因造成通知不能送达或送达有误的，所产生的后果由委托人承担。受托人通讯地址、联系方式发生变更的，受托人可自行选择以本合同规定的任一信息披露方式披露。</w:t>
      </w:r>
      <w:bookmarkEnd w:id="1406"/>
    </w:p>
    <w:p w14:paraId="4F79BDC3">
      <w:pPr>
        <w:pStyle w:val="2"/>
        <w:numPr>
          <w:ilvl w:val="1"/>
          <w:numId w:val="29"/>
        </w:numPr>
        <w:ind w:firstLineChars="0"/>
        <w:rPr>
          <w:rFonts w:ascii="Times New Roman" w:hAnsi="Times New Roman"/>
        </w:rPr>
      </w:pPr>
      <w:r>
        <w:rPr>
          <w:rFonts w:ascii="Times New Roman" w:hAnsi="Times New Roman"/>
        </w:rPr>
        <w:t>生效</w:t>
      </w:r>
    </w:p>
    <w:p w14:paraId="40DA56D3">
      <w:pPr>
        <w:pStyle w:val="2"/>
        <w:ind w:left="992" w:firstLine="0" w:firstLineChars="0"/>
        <w:rPr>
          <w:rFonts w:ascii="Times New Roman" w:hAnsi="Times New Roman"/>
        </w:rPr>
      </w:pPr>
      <w:r>
        <w:rPr>
          <w:rFonts w:ascii="Times New Roman" w:hAnsi="Times New Roman"/>
        </w:rPr>
        <w:t>本合同由双方法定代表人或其授权代表签字或签章并加盖公章或合同专用章之日起生效。</w:t>
      </w:r>
    </w:p>
    <w:p w14:paraId="6E329E92">
      <w:pPr>
        <w:pStyle w:val="2"/>
        <w:numPr>
          <w:ilvl w:val="1"/>
          <w:numId w:val="29"/>
        </w:numPr>
        <w:ind w:firstLineChars="0"/>
        <w:rPr>
          <w:rFonts w:ascii="Times New Roman" w:hAnsi="Times New Roman"/>
        </w:rPr>
      </w:pPr>
      <w:r>
        <w:rPr>
          <w:rFonts w:ascii="Times New Roman" w:hAnsi="Times New Roman"/>
        </w:rPr>
        <w:t>文本</w:t>
      </w:r>
    </w:p>
    <w:p w14:paraId="36B0634A">
      <w:pPr>
        <w:pStyle w:val="2"/>
        <w:ind w:left="992" w:firstLine="0" w:firstLineChars="0"/>
        <w:rPr>
          <w:rFonts w:ascii="Times New Roman" w:hAnsi="Times New Roman"/>
        </w:rPr>
      </w:pPr>
      <w:r>
        <w:rPr>
          <w:rFonts w:ascii="Times New Roman" w:hAnsi="Times New Roman"/>
        </w:rPr>
        <w:t>本合同正本一式陆份，委托人和受托人分别持有贰份，其余用于办理相关手续，每份具有相同法律效力。</w:t>
      </w:r>
    </w:p>
    <w:p w14:paraId="54CD026D">
      <w:pPr>
        <w:spacing w:before="156" w:beforeLines="50" w:after="156" w:afterLines="50"/>
        <w:ind w:firstLine="480" w:firstLineChars="200"/>
        <w:rPr>
          <w:rFonts w:ascii="Times New Roman" w:hAnsi="Times New Roman"/>
          <w:iCs/>
        </w:rPr>
        <w:sectPr>
          <w:headerReference r:id="rId5" w:type="first"/>
          <w:footerReference r:id="rId6" w:type="default"/>
          <w:footerReference r:id="rId7" w:type="even"/>
          <w:pgSz w:w="11906" w:h="16838"/>
          <w:pgMar w:top="1440" w:right="1800" w:bottom="1440" w:left="1800" w:header="851" w:footer="992" w:gutter="0"/>
          <w:pgNumType w:start="1"/>
          <w:cols w:space="425" w:num="1"/>
          <w:docGrid w:type="lines" w:linePitch="312" w:charSpace="0"/>
        </w:sectPr>
      </w:pPr>
      <w:r>
        <w:rPr>
          <w:rFonts w:ascii="Times New Roman" w:hAnsi="Times New Roman"/>
          <w:iCs/>
        </w:rPr>
        <w:t>（以下无正文）</w:t>
      </w:r>
      <w:bookmarkEnd w:id="1369"/>
      <w:bookmarkEnd w:id="1370"/>
      <w:bookmarkEnd w:id="1371"/>
      <w:bookmarkEnd w:id="1372"/>
      <w:bookmarkEnd w:id="1373"/>
    </w:p>
    <w:p w14:paraId="2787A1F4">
      <w:pPr>
        <w:spacing w:line="380" w:lineRule="atLeast"/>
        <w:rPr>
          <w:rFonts w:ascii="Times New Roman" w:hAnsi="Times New Roman"/>
          <w:kern w:val="0"/>
        </w:rPr>
      </w:pPr>
    </w:p>
    <w:p w14:paraId="546BC0B1">
      <w:pPr>
        <w:spacing w:line="380" w:lineRule="atLeast"/>
        <w:jc w:val="center"/>
        <w:rPr>
          <w:rFonts w:hint="eastAsia" w:ascii="Times New Roman" w:hAnsi="Times New Roman" w:eastAsia="楷体"/>
          <w:b/>
          <w:sz w:val="32"/>
          <w:szCs w:val="32"/>
          <w:lang w:eastAsia="zh-CN"/>
        </w:rPr>
      </w:pPr>
      <w:r>
        <w:rPr>
          <w:rFonts w:hint="eastAsia" w:ascii="Times New Roman" w:hAnsi="Times New Roman"/>
          <w:b/>
          <w:sz w:val="32"/>
          <w:szCs w:val="32"/>
          <w:lang w:eastAsia="zh-CN"/>
        </w:rPr>
        <w:t>XXXXX</w:t>
      </w:r>
    </w:p>
    <w:p w14:paraId="1D4F2157">
      <w:pPr>
        <w:spacing w:line="380" w:lineRule="atLeast"/>
        <w:jc w:val="center"/>
        <w:rPr>
          <w:rFonts w:ascii="Times New Roman" w:hAnsi="Times New Roman"/>
          <w:sz w:val="32"/>
          <w:szCs w:val="32"/>
        </w:rPr>
      </w:pPr>
      <w:r>
        <w:rPr>
          <w:rFonts w:ascii="Times New Roman" w:hAnsi="Times New Roman"/>
          <w:b/>
          <w:sz w:val="32"/>
          <w:szCs w:val="32"/>
        </w:rPr>
        <w:t>之信托合同</w:t>
      </w:r>
    </w:p>
    <w:p w14:paraId="16A72A2D">
      <w:pPr>
        <w:spacing w:line="380" w:lineRule="atLeast"/>
        <w:jc w:val="center"/>
        <w:rPr>
          <w:rFonts w:ascii="Times New Roman" w:hAnsi="Times New Roman"/>
          <w:b/>
        </w:rPr>
      </w:pPr>
    </w:p>
    <w:p w14:paraId="5F08F765">
      <w:pPr>
        <w:spacing w:line="380" w:lineRule="atLeast"/>
        <w:jc w:val="center"/>
        <w:rPr>
          <w:rFonts w:ascii="Times New Roman" w:hAnsi="Times New Roman"/>
          <w:b/>
        </w:rPr>
      </w:pPr>
      <w:r>
        <w:rPr>
          <w:rFonts w:ascii="Times New Roman" w:hAnsi="Times New Roman"/>
          <w:b/>
        </w:rPr>
        <w:t>签字页</w:t>
      </w:r>
    </w:p>
    <w:p w14:paraId="3BECBB8E">
      <w:pPr>
        <w:spacing w:line="380" w:lineRule="atLeast"/>
        <w:jc w:val="center"/>
        <w:rPr>
          <w:rFonts w:ascii="Times New Roman" w:hAnsi="Times New Roman"/>
          <w:b/>
          <w:sz w:val="30"/>
          <w:szCs w:val="30"/>
        </w:rPr>
      </w:pPr>
    </w:p>
    <w:p w14:paraId="272F4FFA">
      <w:pPr>
        <w:spacing w:line="380" w:lineRule="atLeast"/>
        <w:jc w:val="center"/>
        <w:rPr>
          <w:rFonts w:ascii="Times New Roman" w:hAnsi="Times New Roman"/>
          <w:b/>
          <w:sz w:val="30"/>
          <w:szCs w:val="30"/>
        </w:rPr>
      </w:pPr>
    </w:p>
    <w:p w14:paraId="5E77DD95">
      <w:pPr>
        <w:spacing w:line="380" w:lineRule="atLeast"/>
        <w:rPr>
          <w:rFonts w:ascii="Times New Roman" w:hAnsi="Times New Roman"/>
          <w:b/>
          <w:sz w:val="28"/>
          <w:szCs w:val="28"/>
        </w:rPr>
      </w:pPr>
      <w:r>
        <w:rPr>
          <w:rFonts w:hint="eastAsia" w:ascii="Times New Roman" w:hAnsi="Times New Roman"/>
          <w:b/>
          <w:sz w:val="28"/>
          <w:szCs w:val="28"/>
          <w:lang w:eastAsia="zh-CN"/>
        </w:rPr>
        <w:t>【】</w:t>
      </w:r>
      <w:r>
        <w:rPr>
          <w:rFonts w:ascii="Times New Roman" w:hAnsi="Times New Roman"/>
          <w:b/>
          <w:sz w:val="28"/>
          <w:szCs w:val="28"/>
        </w:rPr>
        <w:t>（公章或合同专用章）</w:t>
      </w:r>
    </w:p>
    <w:p w14:paraId="3846DDE6">
      <w:pPr>
        <w:spacing w:line="380" w:lineRule="atLeast"/>
        <w:rPr>
          <w:rFonts w:ascii="Times New Roman" w:hAnsi="Times New Roman"/>
          <w:b/>
          <w:sz w:val="28"/>
          <w:szCs w:val="28"/>
        </w:rPr>
      </w:pPr>
      <w:r>
        <w:rPr>
          <w:rFonts w:ascii="Times New Roman" w:hAnsi="Times New Roman"/>
          <w:b/>
        </w:rPr>
        <w:t>（作为信托委托人）</w:t>
      </w:r>
    </w:p>
    <w:p w14:paraId="2F031DA5">
      <w:pPr>
        <w:spacing w:line="380" w:lineRule="atLeast"/>
        <w:rPr>
          <w:rFonts w:ascii="Times New Roman" w:hAnsi="Times New Roman"/>
          <w:b/>
          <w:sz w:val="28"/>
          <w:szCs w:val="28"/>
        </w:rPr>
      </w:pPr>
    </w:p>
    <w:p w14:paraId="7FC135D4">
      <w:pPr>
        <w:spacing w:line="380" w:lineRule="atLeast"/>
        <w:rPr>
          <w:rFonts w:ascii="Times New Roman" w:hAnsi="Times New Roman"/>
          <w:b/>
          <w:sz w:val="28"/>
          <w:szCs w:val="28"/>
        </w:rPr>
      </w:pPr>
    </w:p>
    <w:p w14:paraId="229B6650">
      <w:pPr>
        <w:spacing w:line="380" w:lineRule="atLeast"/>
        <w:rPr>
          <w:rFonts w:ascii="Times New Roman" w:hAnsi="Times New Roman"/>
          <w:sz w:val="28"/>
          <w:szCs w:val="28"/>
        </w:rPr>
      </w:pPr>
      <w:r>
        <w:rPr>
          <w:rFonts w:ascii="Times New Roman" w:hAnsi="Times New Roman"/>
          <w:sz w:val="28"/>
          <w:szCs w:val="28"/>
        </w:rPr>
        <w:t>法定代表人或授权代表（签字或签章）：</w:t>
      </w:r>
    </w:p>
    <w:p w14:paraId="4089256A">
      <w:pPr>
        <w:spacing w:line="380" w:lineRule="atLeast"/>
        <w:rPr>
          <w:rFonts w:ascii="Times New Roman" w:hAnsi="Times New Roman"/>
          <w:sz w:val="28"/>
          <w:szCs w:val="28"/>
        </w:rPr>
      </w:pPr>
    </w:p>
    <w:p w14:paraId="2FC1F7B1">
      <w:pPr>
        <w:spacing w:line="380" w:lineRule="atLeast"/>
        <w:rPr>
          <w:rFonts w:ascii="Times New Roman" w:hAnsi="Times New Roman"/>
          <w:sz w:val="28"/>
          <w:szCs w:val="28"/>
        </w:rPr>
      </w:pPr>
    </w:p>
    <w:p w14:paraId="63C9C1EC">
      <w:pPr>
        <w:spacing w:line="380" w:lineRule="atLeast"/>
        <w:rPr>
          <w:rFonts w:ascii="Times New Roman" w:hAnsi="Times New Roman"/>
          <w:sz w:val="28"/>
          <w:szCs w:val="28"/>
        </w:rPr>
      </w:pPr>
    </w:p>
    <w:p w14:paraId="69E1E915">
      <w:pPr>
        <w:spacing w:line="380" w:lineRule="atLeast"/>
        <w:rPr>
          <w:rFonts w:ascii="Times New Roman" w:hAnsi="Times New Roman"/>
          <w:sz w:val="28"/>
          <w:szCs w:val="28"/>
        </w:rPr>
      </w:pPr>
      <w:r>
        <w:rPr>
          <w:rFonts w:ascii="Times New Roman" w:hAnsi="Times New Roman"/>
          <w:sz w:val="28"/>
          <w:szCs w:val="28"/>
        </w:rPr>
        <w:br w:type="page"/>
      </w:r>
    </w:p>
    <w:p w14:paraId="1718C7F1">
      <w:pPr>
        <w:spacing w:line="380" w:lineRule="atLeast"/>
        <w:rPr>
          <w:rFonts w:ascii="Times New Roman" w:hAnsi="Times New Roman"/>
          <w:kern w:val="0"/>
        </w:rPr>
      </w:pPr>
      <w:r>
        <w:rPr>
          <w:rFonts w:ascii="Times New Roman" w:hAnsi="Times New Roman"/>
          <w:kern w:val="0"/>
        </w:rPr>
        <w:t>（本页无正文）</w:t>
      </w:r>
    </w:p>
    <w:p w14:paraId="5821C8EA">
      <w:pPr>
        <w:spacing w:line="380" w:lineRule="atLeast"/>
        <w:ind w:firstLine="482"/>
        <w:rPr>
          <w:rFonts w:ascii="Times New Roman" w:hAnsi="Times New Roman"/>
          <w:b/>
        </w:rPr>
      </w:pPr>
    </w:p>
    <w:p w14:paraId="22120EF2">
      <w:pPr>
        <w:spacing w:line="380" w:lineRule="atLeast"/>
        <w:ind w:firstLine="482"/>
        <w:rPr>
          <w:rFonts w:ascii="Times New Roman" w:hAnsi="Times New Roman"/>
          <w:b/>
        </w:rPr>
      </w:pPr>
    </w:p>
    <w:p w14:paraId="69AB85F3">
      <w:pPr>
        <w:spacing w:line="380" w:lineRule="atLeast"/>
        <w:jc w:val="center"/>
        <w:rPr>
          <w:rFonts w:hint="eastAsia" w:ascii="Times New Roman" w:hAnsi="Times New Roman" w:eastAsia="楷体"/>
          <w:b/>
          <w:sz w:val="32"/>
          <w:szCs w:val="32"/>
          <w:lang w:eastAsia="zh-CN"/>
        </w:rPr>
      </w:pPr>
      <w:r>
        <w:rPr>
          <w:rFonts w:hint="eastAsia" w:ascii="Times New Roman" w:hAnsi="Times New Roman"/>
          <w:b/>
          <w:sz w:val="32"/>
          <w:szCs w:val="32"/>
          <w:lang w:eastAsia="zh-CN"/>
        </w:rPr>
        <w:t>XXXXX</w:t>
      </w:r>
    </w:p>
    <w:p w14:paraId="1E2F16C2">
      <w:pPr>
        <w:spacing w:line="380" w:lineRule="atLeast"/>
        <w:jc w:val="center"/>
        <w:rPr>
          <w:rFonts w:ascii="Times New Roman" w:hAnsi="Times New Roman"/>
          <w:sz w:val="32"/>
          <w:szCs w:val="32"/>
        </w:rPr>
      </w:pPr>
      <w:r>
        <w:rPr>
          <w:rFonts w:ascii="Times New Roman" w:hAnsi="Times New Roman"/>
          <w:b/>
          <w:sz w:val="32"/>
          <w:szCs w:val="32"/>
        </w:rPr>
        <w:t>之信托合同</w:t>
      </w:r>
    </w:p>
    <w:p w14:paraId="60686815">
      <w:pPr>
        <w:spacing w:line="380" w:lineRule="atLeast"/>
        <w:jc w:val="center"/>
        <w:rPr>
          <w:rFonts w:ascii="Times New Roman" w:hAnsi="Times New Roman"/>
          <w:b/>
        </w:rPr>
      </w:pPr>
    </w:p>
    <w:p w14:paraId="2F1DEF68">
      <w:pPr>
        <w:spacing w:line="380" w:lineRule="atLeast"/>
        <w:jc w:val="center"/>
        <w:rPr>
          <w:rFonts w:ascii="Times New Roman" w:hAnsi="Times New Roman"/>
          <w:b/>
        </w:rPr>
      </w:pPr>
      <w:r>
        <w:rPr>
          <w:rFonts w:ascii="Times New Roman" w:hAnsi="Times New Roman"/>
          <w:b/>
        </w:rPr>
        <w:t>签字页</w:t>
      </w:r>
    </w:p>
    <w:p w14:paraId="75827B82">
      <w:pPr>
        <w:spacing w:line="380" w:lineRule="atLeast"/>
        <w:jc w:val="center"/>
        <w:rPr>
          <w:rFonts w:ascii="Times New Roman" w:hAnsi="Times New Roman"/>
          <w:b/>
          <w:sz w:val="30"/>
          <w:szCs w:val="30"/>
        </w:rPr>
      </w:pPr>
    </w:p>
    <w:p w14:paraId="7E67EB48">
      <w:pPr>
        <w:spacing w:line="380" w:lineRule="atLeast"/>
        <w:rPr>
          <w:rFonts w:ascii="Times New Roman" w:hAnsi="Times New Roman"/>
          <w:sz w:val="28"/>
          <w:szCs w:val="28"/>
        </w:rPr>
      </w:pPr>
    </w:p>
    <w:p w14:paraId="7BAC4138">
      <w:pPr>
        <w:spacing w:line="380" w:lineRule="atLeast"/>
        <w:rPr>
          <w:rFonts w:ascii="Times New Roman" w:hAnsi="Times New Roman"/>
          <w:b/>
          <w:sz w:val="28"/>
          <w:szCs w:val="28"/>
        </w:rPr>
      </w:pPr>
      <w:r>
        <w:rPr>
          <w:rFonts w:hint="eastAsia" w:ascii="Times New Roman" w:hAnsi="Times New Roman"/>
          <w:b/>
          <w:sz w:val="28"/>
          <w:szCs w:val="28"/>
          <w:lang w:eastAsia="zh-CN"/>
        </w:rPr>
        <w:t>XXXXX</w:t>
      </w:r>
      <w:r>
        <w:rPr>
          <w:rFonts w:ascii="Times New Roman" w:hAnsi="Times New Roman"/>
          <w:b/>
          <w:sz w:val="28"/>
          <w:szCs w:val="28"/>
        </w:rPr>
        <w:t>（公章或合同专用章）</w:t>
      </w:r>
    </w:p>
    <w:p w14:paraId="683359C2">
      <w:pPr>
        <w:spacing w:line="380" w:lineRule="atLeast"/>
        <w:rPr>
          <w:rFonts w:ascii="Times New Roman" w:hAnsi="Times New Roman"/>
          <w:b/>
          <w:sz w:val="28"/>
          <w:szCs w:val="28"/>
        </w:rPr>
      </w:pPr>
      <w:r>
        <w:rPr>
          <w:rFonts w:ascii="Times New Roman" w:hAnsi="Times New Roman"/>
          <w:b/>
        </w:rPr>
        <w:t>（作为信托受托人）</w:t>
      </w:r>
    </w:p>
    <w:p w14:paraId="39D6F05C">
      <w:pPr>
        <w:spacing w:line="380" w:lineRule="atLeast"/>
        <w:rPr>
          <w:rFonts w:ascii="Times New Roman" w:hAnsi="Times New Roman"/>
          <w:b/>
          <w:sz w:val="28"/>
          <w:szCs w:val="28"/>
        </w:rPr>
      </w:pPr>
    </w:p>
    <w:p w14:paraId="6FCD3101">
      <w:pPr>
        <w:spacing w:line="380" w:lineRule="atLeast"/>
        <w:rPr>
          <w:rFonts w:ascii="Times New Roman" w:hAnsi="Times New Roman"/>
          <w:b/>
          <w:sz w:val="28"/>
          <w:szCs w:val="28"/>
        </w:rPr>
      </w:pPr>
    </w:p>
    <w:p w14:paraId="0D9ABB54">
      <w:pPr>
        <w:spacing w:line="380" w:lineRule="atLeast"/>
        <w:outlineLvl w:val="0"/>
        <w:rPr>
          <w:rFonts w:ascii="Times New Roman" w:hAnsi="Times New Roman"/>
          <w:sz w:val="28"/>
          <w:szCs w:val="28"/>
        </w:rPr>
        <w:sectPr>
          <w:footerReference r:id="rId8" w:type="default"/>
          <w:pgSz w:w="11906" w:h="16838"/>
          <w:pgMar w:top="1440" w:right="1800" w:bottom="1440" w:left="1800" w:header="851" w:footer="992" w:gutter="0"/>
          <w:pgNumType w:start="1"/>
          <w:cols w:space="425" w:num="1"/>
          <w:docGrid w:type="lines" w:linePitch="312" w:charSpace="0"/>
        </w:sectPr>
      </w:pPr>
      <w:bookmarkStart w:id="1407" w:name="_Toc101974263"/>
      <w:r>
        <w:rPr>
          <w:rFonts w:ascii="Times New Roman" w:hAnsi="Times New Roman"/>
          <w:sz w:val="28"/>
          <w:szCs w:val="28"/>
        </w:rPr>
        <w:t>法定代表人或授权代表（签字或签章）：</w:t>
      </w:r>
      <w:bookmarkEnd w:id="1407"/>
      <w:bookmarkStart w:id="1408" w:name="_Toc201569484"/>
      <w:bookmarkStart w:id="1409" w:name="_Toc501233684"/>
      <w:bookmarkStart w:id="1410" w:name="_Toc335998745"/>
    </w:p>
    <w:p w14:paraId="3F548E6E">
      <w:pPr>
        <w:spacing w:line="380" w:lineRule="atLeast"/>
        <w:outlineLvl w:val="0"/>
        <w:rPr>
          <w:rFonts w:ascii="Times New Roman" w:hAnsi="Times New Roman"/>
          <w:b/>
        </w:rPr>
      </w:pPr>
      <w:bookmarkStart w:id="1411" w:name="_Toc101974264"/>
      <w:r>
        <w:rPr>
          <w:rFonts w:ascii="Times New Roman" w:hAnsi="Times New Roman"/>
          <w:b/>
        </w:rPr>
        <w:t>附件：</w:t>
      </w:r>
      <w:bookmarkEnd w:id="1408"/>
      <w:bookmarkEnd w:id="1409"/>
      <w:bookmarkEnd w:id="1410"/>
      <w:bookmarkEnd w:id="1411"/>
      <w:r>
        <w:rPr>
          <w:rFonts w:ascii="Times New Roman" w:hAnsi="Times New Roman"/>
          <w:b/>
        </w:rPr>
        <w:t>信托财产现状分配通知书（格式）</w:t>
      </w:r>
    </w:p>
    <w:p w14:paraId="78660FE5">
      <w:pPr>
        <w:jc w:val="center"/>
        <w:rPr>
          <w:rFonts w:ascii="Times New Roman" w:hAnsi="Times New Roman"/>
        </w:rPr>
      </w:pPr>
      <w:r>
        <w:rPr>
          <w:rFonts w:ascii="Times New Roman" w:hAnsi="Times New Roman"/>
        </w:rPr>
        <w:t>信托财产现状分配通知书</w:t>
      </w:r>
    </w:p>
    <w:p w14:paraId="1856F2C0">
      <w:pPr>
        <w:rPr>
          <w:rFonts w:ascii="Times New Roman" w:hAnsi="Times New Roman"/>
        </w:rPr>
      </w:pPr>
      <w:r>
        <w:rPr>
          <w:rFonts w:ascii="Times New Roman" w:hAnsi="Times New Roman"/>
        </w:rPr>
        <w:t>致受益人：</w:t>
      </w:r>
    </w:p>
    <w:p w14:paraId="0A3E5CFD">
      <w:pPr>
        <w:rPr>
          <w:rFonts w:ascii="Times New Roman" w:hAnsi="Times New Roman"/>
        </w:rPr>
      </w:pPr>
      <w:r>
        <w:rPr>
          <w:rFonts w:ascii="Times New Roman" w:hAnsi="Times New Roman"/>
        </w:rPr>
        <w:t xml:space="preserve">    根据我公司与委托人签署的《</w:t>
      </w:r>
      <w:r>
        <w:rPr>
          <w:rFonts w:hint="eastAsia" w:ascii="Times New Roman" w:hAnsi="Times New Roman"/>
          <w:lang w:eastAsia="zh-CN"/>
        </w:rPr>
        <w:t>XXXXX</w:t>
      </w:r>
      <w:r>
        <w:rPr>
          <w:rFonts w:ascii="Times New Roman" w:hAnsi="Times New Roman"/>
        </w:rPr>
        <w:t>之信托合同》（编号：</w:t>
      </w:r>
      <w:r>
        <w:rPr>
          <w:rFonts w:hint="eastAsia" w:ascii="Times New Roman" w:hAnsi="Times New Roman"/>
          <w:lang w:eastAsia="zh-CN"/>
        </w:rPr>
        <w:t>【】</w:t>
      </w:r>
      <w:r>
        <w:rPr>
          <w:rFonts w:ascii="Times New Roman" w:hAnsi="Times New Roman"/>
        </w:rPr>
        <w:t>）规定，我公司作为受托人现将信托项下的信托财产以现状方式向贵司予以分配。</w:t>
      </w:r>
    </w:p>
    <w:p w14:paraId="1C8143FA">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s>
        <w:ind w:firstLine="480"/>
        <w:rPr>
          <w:rFonts w:ascii="Times New Roman" w:hAnsi="Times New Roman"/>
        </w:rPr>
      </w:pPr>
      <w:r>
        <w:rPr>
          <w:rFonts w:ascii="Times New Roman" w:hAnsi="Times New Roman"/>
        </w:rPr>
        <w:t>信托财产现状为：</w:t>
      </w:r>
      <w:r>
        <w:rPr>
          <w:rFonts w:ascii="Times New Roman" w:hAnsi="Times New Roman"/>
        </w:rPr>
        <w:tab/>
      </w:r>
      <w:r>
        <w:rPr>
          <w:rFonts w:ascii="Times New Roman" w:hAnsi="Times New Roman"/>
        </w:rPr>
        <w:tab/>
      </w:r>
      <w:r>
        <w:rPr>
          <w:rFonts w:ascii="Times New Roman" w:hAnsi="Times New Roman"/>
        </w:rPr>
        <w:t>【    】</w:t>
      </w:r>
    </w:p>
    <w:p w14:paraId="5004EDAC">
      <w:p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s>
        <w:ind w:firstLine="480"/>
        <w:rPr>
          <w:rFonts w:ascii="Times New Roman" w:hAnsi="Times New Roman"/>
        </w:rPr>
      </w:pPr>
      <w:r>
        <w:rPr>
          <w:rFonts w:ascii="Times New Roman" w:hAnsi="Times New Roman"/>
        </w:rPr>
        <w:t>自本通知书送达之日起，视为我公司已向贵司分配了信托项下的全部信托利 益和信托财产，我公司与贵司的《</w:t>
      </w:r>
      <w:r>
        <w:rPr>
          <w:rFonts w:hint="eastAsia" w:ascii="Times New Roman" w:hAnsi="Times New Roman"/>
          <w:lang w:eastAsia="zh-CN"/>
        </w:rPr>
        <w:t>XXXXX</w:t>
      </w:r>
      <w:r>
        <w:rPr>
          <w:rFonts w:ascii="Times New Roman" w:hAnsi="Times New Roman"/>
        </w:rPr>
        <w:t>之信托合同》履行完毕。我公司将向上述信托财产的借款人通知债权转让事宜，如涉及办理其他转让手续的，请贵司配合办理。</w:t>
      </w:r>
    </w:p>
    <w:p w14:paraId="48F5EFE4">
      <w:pPr>
        <w:pStyle w:val="2"/>
        <w:ind w:firstLine="480"/>
        <w:jc w:val="right"/>
        <w:rPr>
          <w:rFonts w:hint="eastAsia" w:ascii="Times New Roman" w:hAnsi="Times New Roman" w:eastAsia="楷体"/>
          <w:lang w:eastAsia="zh-CN"/>
        </w:rPr>
      </w:pPr>
      <w:r>
        <w:rPr>
          <w:rFonts w:hint="eastAsia" w:ascii="Times New Roman" w:hAnsi="Times New Roman"/>
          <w:lang w:eastAsia="zh-CN"/>
        </w:rPr>
        <w:t>XXXXX</w:t>
      </w:r>
    </w:p>
    <w:p w14:paraId="47367DC7">
      <w:pPr>
        <w:pStyle w:val="2"/>
        <w:wordWrap w:val="0"/>
        <w:ind w:firstLine="480"/>
        <w:jc w:val="right"/>
        <w:rPr>
          <w:rFonts w:ascii="Times New Roman" w:hAnsi="Times New Roman"/>
        </w:rPr>
      </w:pPr>
      <w:r>
        <w:rPr>
          <w:rFonts w:ascii="Times New Roman" w:hAnsi="Times New Roman"/>
        </w:rPr>
        <w:t>年    月   日</w:t>
      </w:r>
    </w:p>
    <w:p w14:paraId="2E9569E9">
      <w:pPr>
        <w:jc w:val="center"/>
        <w:rPr>
          <w:rFonts w:ascii="Times New Roman" w:hAnsi="Times New Roman"/>
        </w:rPr>
      </w:pPr>
      <w:r>
        <w:rPr>
          <w:rFonts w:ascii="Times New Roman" w:hAnsi="Times New Roman"/>
        </w:rPr>
        <w:br w:type="page"/>
      </w:r>
      <w:r>
        <w:rPr>
          <w:rFonts w:ascii="Times New Roman" w:hAnsi="Times New Roman"/>
        </w:rPr>
        <w:t>信托财产管理、运用风险申明书</w:t>
      </w:r>
    </w:p>
    <w:p w14:paraId="30C820C0">
      <w:pPr>
        <w:rPr>
          <w:rFonts w:ascii="Times New Roman" w:hAnsi="Times New Roman"/>
        </w:rPr>
      </w:pPr>
      <w:r>
        <w:rPr>
          <w:rFonts w:ascii="Times New Roman" w:hAnsi="Times New Roman"/>
        </w:rPr>
        <w:t>尊敬的委托人：</w:t>
      </w:r>
    </w:p>
    <w:p w14:paraId="0718C923">
      <w:pPr>
        <w:pStyle w:val="118"/>
        <w:ind w:firstLine="480"/>
        <w:rPr>
          <w:rFonts w:ascii="Times New Roman" w:hAnsi="Times New Roman"/>
        </w:rPr>
      </w:pPr>
      <w:r>
        <w:rPr>
          <w:rFonts w:ascii="Times New Roman" w:hAnsi="Times New Roman"/>
        </w:rPr>
        <w:t>感谢您与我公司签订《</w:t>
      </w:r>
      <w:r>
        <w:rPr>
          <w:rFonts w:hint="eastAsia" w:ascii="Times New Roman" w:hAnsi="Times New Roman"/>
          <w:lang w:eastAsia="zh-CN"/>
        </w:rPr>
        <w:t>XXXXX</w:t>
      </w:r>
      <w:r>
        <w:rPr>
          <w:rFonts w:ascii="Times New Roman" w:hAnsi="Times New Roman"/>
        </w:rPr>
        <w:t>之信托合同》（以下简称“《信托合同》”或“原合同”）。在您签署《信托合同》前，请详细阅读《信托合同》及本《风险申明书》（以下统称“信托文件”），以及其他备查文件和 相关信息，独立作出是否签署《信托合同》的决定。</w:t>
      </w:r>
    </w:p>
    <w:p w14:paraId="3A1482F4">
      <w:pPr>
        <w:pStyle w:val="118"/>
        <w:ind w:firstLine="480"/>
        <w:rPr>
          <w:rFonts w:ascii="Times New Roman" w:hAnsi="Times New Roman"/>
        </w:rPr>
      </w:pPr>
      <w:r>
        <w:rPr>
          <w:rFonts w:ascii="Times New Roman" w:hAnsi="Times New Roman"/>
        </w:rPr>
        <w:t>受托人将按照委托人的指令管理和运用信托财产，但不承诺信托财产本金不 受损失、不承诺最低收益。信托财产投资运用过程中存在</w:t>
      </w:r>
      <w:r>
        <w:rPr>
          <w:rFonts w:hint="eastAsia"/>
        </w:rPr>
        <w:t>法律与政策风险、市场风险、信用风险、操作和管理风险、受托人管理风险、</w:t>
      </w:r>
      <w:r>
        <w:rPr>
          <w:rFonts w:hint="eastAsia" w:ascii="楷体" w:hAnsi="楷体" w:cs="楷体"/>
        </w:rPr>
        <w:tab/>
      </w:r>
      <w:r>
        <w:rPr>
          <w:rFonts w:hint="eastAsia" w:ascii="楷体" w:hAnsi="楷体" w:cs="楷体"/>
        </w:rPr>
        <w:t>基础</w:t>
      </w:r>
      <w:r>
        <w:rPr>
          <w:rFonts w:hint="eastAsia"/>
        </w:rPr>
        <w:t>资产债权转让登记及抵质押物登记的空档期风险、</w:t>
      </w:r>
      <w:r>
        <w:rPr>
          <w:rFonts w:hint="eastAsia" w:ascii="楷体" w:hAnsi="楷体" w:cs="楷体"/>
        </w:rPr>
        <w:t>现金流预测风险、借款人的经营风险、信托提前终止的风险、信托延期终止的风险、税务风险、抵押物风险、质押风险、抵质押办理空档期风险、原状分配风险</w:t>
      </w:r>
      <w:r>
        <w:rPr>
          <w:rFonts w:hint="eastAsia"/>
        </w:rPr>
        <w:t>及其他风险</w:t>
      </w:r>
      <w:r>
        <w:rPr>
          <w:rFonts w:ascii="Times New Roman" w:hAnsi="Times New Roman"/>
        </w:rPr>
        <w:t>。设立信托仅适合于具有较强风 险识别、风险评估和风险承受能力的合格投资者。委托人/受益人对此有充分的 理解和认识，并愿意承受信托的投资风险。</w:t>
      </w:r>
    </w:p>
    <w:p w14:paraId="643842ED">
      <w:pPr>
        <w:pStyle w:val="118"/>
        <w:ind w:firstLine="480"/>
        <w:rPr>
          <w:rFonts w:ascii="Times New Roman" w:hAnsi="Times New Roman"/>
        </w:rPr>
      </w:pPr>
      <w:r>
        <w:rPr>
          <w:rFonts w:ascii="Times New Roman" w:hAnsi="Times New Roman"/>
        </w:rPr>
        <w:t>受托人依据信托文件管理信托财产所产生的风险和损失，由信托财产承担; 受托人违背信托文件、处理信托事务不当而造成信托财产损失的，由受托人以固 有财产赔偿；不足赔偿时，由投资者自担。</w:t>
      </w:r>
    </w:p>
    <w:p w14:paraId="2FD4E47B">
      <w:pPr>
        <w:pStyle w:val="118"/>
        <w:ind w:firstLine="480"/>
        <w:rPr>
          <w:rFonts w:ascii="Times New Roman" w:hAnsi="Times New Roman"/>
        </w:rPr>
      </w:pPr>
      <w:r>
        <w:rPr>
          <w:rFonts w:ascii="Times New Roman" w:hAnsi="Times New Roman"/>
        </w:rPr>
        <w:t>委托人/受益人在此作出如下声明：</w:t>
      </w:r>
    </w:p>
    <w:p w14:paraId="35196050">
      <w:pPr>
        <w:pStyle w:val="118"/>
        <w:ind w:firstLine="480"/>
        <w:rPr>
          <w:rFonts w:ascii="Times New Roman" w:hAnsi="Times New Roman"/>
        </w:rPr>
      </w:pPr>
      <w:r>
        <w:rPr>
          <w:rFonts w:ascii="Times New Roman" w:hAnsi="Times New Roman"/>
        </w:rPr>
        <w:t>1、</w:t>
      </w:r>
      <w:r>
        <w:rPr>
          <w:rFonts w:ascii="Times New Roman" w:hAnsi="Times New Roman"/>
        </w:rPr>
        <w:tab/>
      </w:r>
      <w:r>
        <w:rPr>
          <w:rFonts w:ascii="Times New Roman" w:hAnsi="Times New Roman"/>
        </w:rPr>
        <w:t>委托人</w:t>
      </w:r>
      <w:r>
        <w:rPr>
          <w:rFonts w:hint="eastAsia" w:ascii="Times New Roman" w:hAnsi="Times New Roman"/>
        </w:rPr>
        <w:t>/受益人</w:t>
      </w:r>
      <w:r>
        <w:rPr>
          <w:rFonts w:ascii="Times New Roman" w:hAnsi="Times New Roman"/>
        </w:rPr>
        <w:t>符合合格投资者的资格，具备相应的风险识别、风险评估和风险 承受能力；委托人是以自己合法所有的财产权利设立信托。</w:t>
      </w:r>
    </w:p>
    <w:p w14:paraId="3179DBE7">
      <w:pPr>
        <w:pStyle w:val="118"/>
        <w:ind w:firstLine="480"/>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已经详阅信托文件和其他备查文件，并同意受上述法律文件的约束，愿 意接受相应的信托投资风险；独立作出了签署本《风险申明书》的决定。</w:t>
      </w:r>
    </w:p>
    <w:p w14:paraId="67AE218D">
      <w:pPr>
        <w:pStyle w:val="118"/>
        <w:ind w:firstLine="480"/>
        <w:rPr>
          <w:rFonts w:ascii="Times New Roman" w:hAnsi="Times New Roman"/>
        </w:rPr>
      </w:pPr>
      <w:r>
        <w:rPr>
          <w:rFonts w:ascii="Times New Roman" w:hAnsi="Times New Roman"/>
        </w:rPr>
        <w:t>3、</w:t>
      </w:r>
      <w:r>
        <w:rPr>
          <w:rFonts w:ascii="Times New Roman" w:hAnsi="Times New Roman"/>
        </w:rPr>
        <w:tab/>
      </w:r>
      <w:r>
        <w:rPr>
          <w:rFonts w:ascii="Times New Roman" w:hAnsi="Times New Roman"/>
        </w:rPr>
        <w:t>信托为事务管理类信托，即由委托人/受益人自主决定信托设立、信托财 产运用对象、信托财产管理运用处分方式等事宜，自行负责（或自行委托第三方负责）前期尽职调查及存续期信托财产管理，委托人/受益人充分了解并认可本次信托交易安排，指定受托人按照本合同约定的条件将信托资金进行运用，并自愿承担相应的风险，包括但不限于受托人管理风险、基础资产债权转让登记及抵质押物登记的空档期风险、抵押物风险、质押风险、资金混同与挪用风险等。</w:t>
      </w:r>
    </w:p>
    <w:p w14:paraId="697406E5">
      <w:pPr>
        <w:pStyle w:val="118"/>
        <w:ind w:firstLine="480"/>
        <w:rPr>
          <w:rFonts w:ascii="Times New Roman" w:hAnsi="Times New Roman"/>
        </w:rPr>
      </w:pPr>
      <w:r>
        <w:rPr>
          <w:rFonts w:ascii="Times New Roman" w:hAnsi="Times New Roman"/>
        </w:rPr>
        <w:t>受托人仅负责账户管理、清算分配及提供必要文件以配合委托人管理信托财产等事务，受托人主要承担一</w:t>
      </w:r>
      <w:r>
        <w:rPr>
          <w:rFonts w:hint="eastAsia" w:ascii="Times New Roman" w:hAnsi="Times New Roman"/>
        </w:rPr>
        <w:t>般</w:t>
      </w:r>
      <w:r>
        <w:rPr>
          <w:rFonts w:ascii="Times New Roman" w:hAnsi="Times New Roman"/>
        </w:rPr>
        <w:t>信托事务的执行职责，不承担主动管理的职责。委托人/受益人已知悉并认可各项信托文件中的各项规定，指定受托人代表信托与</w:t>
      </w:r>
      <w:r>
        <w:rPr>
          <w:rFonts w:hint="eastAsia" w:ascii="Times New Roman" w:hAnsi="Times New Roman"/>
        </w:rPr>
        <w:t>交</w:t>
      </w:r>
      <w:r>
        <w:rPr>
          <w:rFonts w:ascii="Times New Roman" w:hAnsi="Times New Roman"/>
        </w:rPr>
        <w:t>易对手分别签署</w:t>
      </w:r>
      <w:r>
        <w:rPr>
          <w:rFonts w:hint="eastAsia" w:ascii="Times New Roman" w:hAnsi="Times New Roman"/>
        </w:rPr>
        <w:t>相关</w:t>
      </w:r>
      <w:r>
        <w:rPr>
          <w:rFonts w:ascii="Times New Roman" w:hAnsi="Times New Roman"/>
        </w:rPr>
        <w:t>合同。</w:t>
      </w:r>
    </w:p>
    <w:p w14:paraId="0DBDCDB5">
      <w:pPr>
        <w:pStyle w:val="118"/>
        <w:ind w:firstLine="480"/>
        <w:rPr>
          <w:rFonts w:ascii="Times New Roman" w:hAnsi="Times New Roman"/>
        </w:rPr>
      </w:pPr>
      <w:r>
        <w:rPr>
          <w:rFonts w:ascii="Times New Roman" w:hAnsi="Times New Roman"/>
        </w:rPr>
        <w:t>本人已经阅读上述风险提示，充分了解并清楚知晓本产品的风险，愿意承担 相关风险。（留下空白供客户完整抄录）</w:t>
      </w:r>
    </w:p>
    <w:p w14:paraId="00D6DF55">
      <w:pPr>
        <w:pStyle w:val="118"/>
        <w:ind w:firstLine="480"/>
        <w:rPr>
          <w:rFonts w:ascii="Times New Roman" w:hAnsi="Times New Roman"/>
        </w:rPr>
      </w:pPr>
      <w:r>
        <w:rPr>
          <w:rFonts w:hint="eastAsia" w:ascii="Times New Roman" w:hAnsi="Times New Roman"/>
        </w:rPr>
        <w:t>____________________________________________________________</w:t>
      </w:r>
    </w:p>
    <w:p w14:paraId="117B93AE">
      <w:pPr>
        <w:pStyle w:val="118"/>
        <w:ind w:firstLine="480"/>
        <w:rPr>
          <w:rFonts w:ascii="Times New Roman" w:hAnsi="Times New Roman"/>
        </w:rPr>
      </w:pPr>
      <w:r>
        <w:rPr>
          <w:rFonts w:hint="eastAsia" w:ascii="Times New Roman" w:hAnsi="Times New Roman"/>
        </w:rPr>
        <w:t>____________________________________________________________</w:t>
      </w:r>
    </w:p>
    <w:p w14:paraId="6467A383">
      <w:pPr>
        <w:pStyle w:val="118"/>
        <w:ind w:firstLine="480"/>
        <w:rPr>
          <w:rFonts w:ascii="Times New Roman" w:hAnsi="Times New Roman"/>
        </w:rPr>
      </w:pPr>
      <w:r>
        <w:rPr>
          <w:rFonts w:ascii="Times New Roman" w:hAnsi="Times New Roman"/>
        </w:rPr>
        <w:t xml:space="preserve">本《风险申明书》一式陆份，委托人和受托人分别持有贰份，其余用于办理 相关手续，每份其有相同法律效力。 </w:t>
      </w:r>
    </w:p>
    <w:p w14:paraId="5AA4758D">
      <w:pPr>
        <w:pStyle w:val="118"/>
        <w:ind w:firstLine="480"/>
        <w:rPr>
          <w:rFonts w:ascii="Times New Roman" w:hAnsi="Times New Roman"/>
        </w:rPr>
      </w:pPr>
    </w:p>
    <w:p w14:paraId="6CBFE420">
      <w:pPr>
        <w:spacing w:line="380" w:lineRule="atLeast"/>
        <w:rPr>
          <w:rFonts w:ascii="Times New Roman" w:hAnsi="Times New Roman"/>
          <w:b/>
          <w:sz w:val="28"/>
          <w:szCs w:val="28"/>
        </w:rPr>
      </w:pPr>
      <w:r>
        <w:rPr>
          <w:rFonts w:hint="eastAsia" w:ascii="Times New Roman" w:hAnsi="Times New Roman"/>
          <w:b/>
          <w:sz w:val="28"/>
          <w:szCs w:val="28"/>
          <w:lang w:eastAsia="zh-CN"/>
        </w:rPr>
        <w:t>XXXXX</w:t>
      </w:r>
      <w:r>
        <w:rPr>
          <w:rFonts w:ascii="Times New Roman" w:hAnsi="Times New Roman"/>
          <w:b/>
          <w:sz w:val="28"/>
          <w:szCs w:val="28"/>
        </w:rPr>
        <w:t>（公章或合同专用章）</w:t>
      </w:r>
      <w:r>
        <w:rPr>
          <w:rFonts w:ascii="Times New Roman" w:hAnsi="Times New Roman"/>
          <w:b/>
        </w:rPr>
        <w:t>（作为信托受托人）</w:t>
      </w:r>
    </w:p>
    <w:p w14:paraId="156B976D">
      <w:pPr>
        <w:spacing w:line="380" w:lineRule="atLeast"/>
        <w:ind w:firstLine="560" w:firstLineChars="200"/>
        <w:outlineLvl w:val="0"/>
        <w:rPr>
          <w:rFonts w:ascii="Times New Roman" w:hAnsi="Times New Roman"/>
          <w:sz w:val="28"/>
          <w:szCs w:val="28"/>
        </w:rPr>
      </w:pPr>
      <w:r>
        <w:rPr>
          <w:rFonts w:ascii="Times New Roman" w:hAnsi="Times New Roman"/>
          <w:sz w:val="28"/>
          <w:szCs w:val="28"/>
        </w:rPr>
        <w:t>法定代表人或授权代表（签字或签章）：</w:t>
      </w:r>
    </w:p>
    <w:p w14:paraId="2194DADA">
      <w:pPr>
        <w:pStyle w:val="2"/>
        <w:ind w:firstLine="480"/>
      </w:pPr>
    </w:p>
    <w:p w14:paraId="6F922440">
      <w:pPr>
        <w:spacing w:line="380" w:lineRule="atLeast"/>
        <w:rPr>
          <w:rFonts w:ascii="Times New Roman" w:hAnsi="Times New Roman"/>
          <w:b/>
          <w:sz w:val="28"/>
          <w:szCs w:val="28"/>
        </w:rPr>
      </w:pPr>
      <w:r>
        <w:rPr>
          <w:rFonts w:hint="eastAsia" w:ascii="Times New Roman" w:hAnsi="Times New Roman"/>
          <w:b/>
          <w:sz w:val="28"/>
          <w:szCs w:val="28"/>
          <w:lang w:eastAsia="zh-CN"/>
        </w:rPr>
        <w:t>【】</w:t>
      </w:r>
      <w:r>
        <w:rPr>
          <w:rFonts w:ascii="Times New Roman" w:hAnsi="Times New Roman"/>
          <w:b/>
          <w:sz w:val="28"/>
          <w:szCs w:val="28"/>
        </w:rPr>
        <w:t>（公章或合同专用章）</w:t>
      </w:r>
      <w:r>
        <w:rPr>
          <w:rFonts w:ascii="Times New Roman" w:hAnsi="Times New Roman"/>
          <w:b/>
        </w:rPr>
        <w:t>（作为信托委托人）</w:t>
      </w:r>
    </w:p>
    <w:p w14:paraId="36FE0710">
      <w:pPr>
        <w:spacing w:line="380" w:lineRule="atLeast"/>
        <w:ind w:firstLine="560"/>
        <w:rPr>
          <w:rFonts w:ascii="Times New Roman" w:hAnsi="Times New Roman"/>
          <w:sz w:val="28"/>
          <w:szCs w:val="28"/>
        </w:rPr>
      </w:pPr>
      <w:r>
        <w:rPr>
          <w:rFonts w:ascii="Times New Roman" w:hAnsi="Times New Roman"/>
          <w:sz w:val="28"/>
          <w:szCs w:val="28"/>
        </w:rPr>
        <w:t>法定代表人或授权代表（签字或签章）：</w:t>
      </w:r>
    </w:p>
    <w:sectPr>
      <w:headerReference r:id="rId9" w:type="default"/>
      <w:footerReference r:id="rId10" w:type="default"/>
      <w:footerReference r:id="rId11" w:type="even"/>
      <w:pgSz w:w="11906" w:h="16838"/>
      <w:pgMar w:top="1440" w:right="1800" w:bottom="1440" w:left="1800" w:header="851" w:footer="992" w:gutter="0"/>
      <w:pgNumType w:start="74"/>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PMingLiU">
    <w:altName w:val="PMingLiU-ExtB"/>
    <w:panose1 w:val="02020500000000000000"/>
    <w:charset w:val="88"/>
    <w:family w:val="auto"/>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E4539">
    <w:pPr>
      <w:pStyle w:val="23"/>
      <w:framePr w:wrap="around" w:vAnchor="text" w:hAnchor="margin" w:xAlign="center" w:y="1"/>
      <w:rPr>
        <w:rStyle w:val="40"/>
        <w:rFonts w:ascii="Times New Roman" w:hAnsi="Times New Roman"/>
      </w:rPr>
    </w:pPr>
    <w:r>
      <w:rPr>
        <w:rStyle w:val="40"/>
        <w:rFonts w:ascii="Times New Roman" w:hAnsi="Times New Roman"/>
      </w:rPr>
      <w:fldChar w:fldCharType="begin"/>
    </w:r>
    <w:r>
      <w:rPr>
        <w:rStyle w:val="40"/>
        <w:rFonts w:ascii="Times New Roman" w:hAnsi="Times New Roman"/>
      </w:rPr>
      <w:instrText xml:space="preserve">PAGE  </w:instrText>
    </w:r>
    <w:r>
      <w:rPr>
        <w:rStyle w:val="40"/>
        <w:rFonts w:ascii="Times New Roman" w:hAnsi="Times New Roman"/>
      </w:rPr>
      <w:fldChar w:fldCharType="separate"/>
    </w:r>
    <w:r>
      <w:rPr>
        <w:rStyle w:val="40"/>
        <w:rFonts w:ascii="Times New Roman" w:hAnsi="Times New Roman"/>
      </w:rPr>
      <w:t>42</w:t>
    </w:r>
    <w:r>
      <w:rPr>
        <w:rStyle w:val="40"/>
        <w:rFonts w:ascii="Times New Roman" w:hAnsi="Times New Roman"/>
      </w:rPr>
      <w:fldChar w:fldCharType="end"/>
    </w:r>
  </w:p>
  <w:p w14:paraId="2B623A20">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30E15">
    <w:pPr>
      <w:pStyle w:val="23"/>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5D15CEEF">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B16DD">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C1EB4">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22555" cy="2159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2555" cy="215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E1755F">
                          <w:pPr>
                            <w:pStyle w:val="23"/>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7pt;width:9.65pt;mso-position-horizontal:center;mso-position-horizontal-relative:margin;mso-wrap-style:none;z-index:251660288;mso-width-relative:page;mso-height-relative:page;" filled="f" stroked="f" coordsize="21600,21600" o:gfxdata="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tvTFMtIAAAADAQAADwAAAAAAAAABACAAAAAiAAAAZHJzL2Rvd25yZXYueG1sUEsBAhQAFAAA&#10;AAgAh07iQOY/GVUuAgAAUwQAAA4AAAAAAAAAAQAgAAAAIQEAAGRycy9lMm9Eb2MueG1sUEsFBgAA&#10;AAAGAAYAWQEAAMEFAAAAAA==&#10;">
              <v:fill on="f" focussize="0,0"/>
              <v:stroke on="f" weight="0.5pt"/>
              <v:imagedata o:title=""/>
              <o:lock v:ext="edit" aspectratio="f"/>
              <v:textbox inset="0mm,0mm,0mm,0mm" style="mso-fit-shape-to-text:t;">
                <w:txbxContent>
                  <w:p w14:paraId="6BE1755F">
                    <w:pPr>
                      <w:pStyle w:val="23"/>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88D5D">
    <w:pPr>
      <w:pStyle w:val="23"/>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40A10943">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D7AFD">
    <w:pPr>
      <w:pStyle w:val="2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42BB1">
    <w:pPr>
      <w:pStyle w:val="24"/>
      <w:pBdr>
        <w:bottom w:val="none" w:color="auto" w:sz="0" w:space="0"/>
      </w:pBd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73053"/>
    <w:multiLevelType w:val="multilevel"/>
    <w:tmpl w:val="04A73053"/>
    <w:lvl w:ilvl="0" w:tentative="0">
      <w:start w:val="4"/>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8892FF7"/>
    <w:multiLevelType w:val="multilevel"/>
    <w:tmpl w:val="08892FF7"/>
    <w:lvl w:ilvl="0" w:tentative="0">
      <w:start w:val="14"/>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AD83435"/>
    <w:multiLevelType w:val="multilevel"/>
    <w:tmpl w:val="0AD83435"/>
    <w:lvl w:ilvl="0" w:tentative="0">
      <w:start w:val="27"/>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FC0675E"/>
    <w:multiLevelType w:val="multilevel"/>
    <w:tmpl w:val="0FC0675E"/>
    <w:lvl w:ilvl="0" w:tentative="0">
      <w:start w:val="15"/>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1B28009B"/>
    <w:multiLevelType w:val="multilevel"/>
    <w:tmpl w:val="1B28009B"/>
    <w:lvl w:ilvl="0" w:tentative="0">
      <w:start w:val="2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1E5C671B"/>
    <w:multiLevelType w:val="multilevel"/>
    <w:tmpl w:val="1E5C671B"/>
    <w:lvl w:ilvl="0" w:tentative="0">
      <w:start w:val="7"/>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22FC6021"/>
    <w:multiLevelType w:val="multilevel"/>
    <w:tmpl w:val="22FC6021"/>
    <w:lvl w:ilvl="0" w:tentative="0">
      <w:start w:val="1"/>
      <w:numFmt w:val="decimal"/>
      <w:lvlText w:val="%1."/>
      <w:lvlJc w:val="left"/>
      <w:pPr>
        <w:ind w:left="480" w:hanging="480"/>
      </w:p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24034242"/>
    <w:multiLevelType w:val="multilevel"/>
    <w:tmpl w:val="24034242"/>
    <w:lvl w:ilvl="0" w:tentative="0">
      <w:start w:val="1"/>
      <w:numFmt w:val="decimal"/>
      <w:pStyle w:val="34"/>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8">
    <w:nsid w:val="2B2741B1"/>
    <w:multiLevelType w:val="multilevel"/>
    <w:tmpl w:val="2B2741B1"/>
    <w:lvl w:ilvl="0" w:tentative="0">
      <w:start w:val="10"/>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2F8425AE"/>
    <w:multiLevelType w:val="multilevel"/>
    <w:tmpl w:val="2F8425AE"/>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0">
    <w:nsid w:val="326E5275"/>
    <w:multiLevelType w:val="multilevel"/>
    <w:tmpl w:val="326E5275"/>
    <w:lvl w:ilvl="0" w:tentative="0">
      <w:start w:val="3"/>
      <w:numFmt w:val="decimal"/>
      <w:lvlText w:val="%1"/>
      <w:lvlJc w:val="left"/>
      <w:pPr>
        <w:ind w:left="425" w:hanging="425"/>
      </w:pPr>
      <w:rPr>
        <w:rFonts w:hint="eastAsia"/>
      </w:rPr>
    </w:lvl>
    <w:lvl w:ilvl="1" w:tentative="0">
      <w:start w:val="2"/>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349C093E"/>
    <w:multiLevelType w:val="multilevel"/>
    <w:tmpl w:val="349C093E"/>
    <w:lvl w:ilvl="0" w:tentative="0">
      <w:start w:val="19"/>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3B044F48"/>
    <w:multiLevelType w:val="multilevel"/>
    <w:tmpl w:val="3B044F48"/>
    <w:lvl w:ilvl="0" w:tentative="0">
      <w:start w:val="16"/>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3D952AA3"/>
    <w:multiLevelType w:val="multilevel"/>
    <w:tmpl w:val="3D952AA3"/>
    <w:lvl w:ilvl="0" w:tentative="0">
      <w:start w:val="9"/>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3EDB1F18"/>
    <w:multiLevelType w:val="multilevel"/>
    <w:tmpl w:val="3EDB1F18"/>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5">
    <w:nsid w:val="401F1A8F"/>
    <w:multiLevelType w:val="multilevel"/>
    <w:tmpl w:val="401F1A8F"/>
    <w:lvl w:ilvl="0" w:tentative="0">
      <w:start w:val="25"/>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4437300E"/>
    <w:multiLevelType w:val="multilevel"/>
    <w:tmpl w:val="4437300E"/>
    <w:lvl w:ilvl="0" w:tentative="0">
      <w:start w:val="6"/>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5821314E"/>
    <w:multiLevelType w:val="multilevel"/>
    <w:tmpl w:val="5821314E"/>
    <w:lvl w:ilvl="0" w:tentative="0">
      <w:start w:val="3"/>
      <w:numFmt w:val="decimal"/>
      <w:lvlText w:val="%1"/>
      <w:lvlJc w:val="left"/>
      <w:pPr>
        <w:ind w:left="425" w:hanging="425"/>
      </w:pPr>
      <w:rPr>
        <w:rFonts w:hint="eastAsia"/>
      </w:rPr>
    </w:lvl>
    <w:lvl w:ilvl="1" w:tentative="0">
      <w:start w:val="4"/>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5C3348D4"/>
    <w:multiLevelType w:val="multilevel"/>
    <w:tmpl w:val="5C3348D4"/>
    <w:lvl w:ilvl="0" w:tentative="0">
      <w:start w:val="1"/>
      <w:numFmt w:val="decimal"/>
      <w:lvlText w:val="（%1）"/>
      <w:lvlJc w:val="left"/>
      <w:pPr>
        <w:ind w:left="2464" w:hanging="480"/>
      </w:pPr>
      <w:rPr>
        <w:rFonts w:hint="eastAsia"/>
      </w:rPr>
    </w:lvl>
    <w:lvl w:ilvl="1" w:tentative="0">
      <w:start w:val="1"/>
      <w:numFmt w:val="lowerLetter"/>
      <w:lvlText w:val="%2)"/>
      <w:lvlJc w:val="left"/>
      <w:pPr>
        <w:ind w:left="2944" w:hanging="480"/>
      </w:pPr>
    </w:lvl>
    <w:lvl w:ilvl="2" w:tentative="0">
      <w:start w:val="1"/>
      <w:numFmt w:val="lowerRoman"/>
      <w:lvlText w:val="%3."/>
      <w:lvlJc w:val="right"/>
      <w:pPr>
        <w:ind w:left="3424" w:hanging="480"/>
      </w:pPr>
    </w:lvl>
    <w:lvl w:ilvl="3" w:tentative="0">
      <w:start w:val="1"/>
      <w:numFmt w:val="decimal"/>
      <w:lvlText w:val="%4."/>
      <w:lvlJc w:val="left"/>
      <w:pPr>
        <w:ind w:left="3904" w:hanging="480"/>
      </w:pPr>
    </w:lvl>
    <w:lvl w:ilvl="4" w:tentative="0">
      <w:start w:val="1"/>
      <w:numFmt w:val="lowerLetter"/>
      <w:lvlText w:val="%5)"/>
      <w:lvlJc w:val="left"/>
      <w:pPr>
        <w:ind w:left="4384" w:hanging="480"/>
      </w:pPr>
    </w:lvl>
    <w:lvl w:ilvl="5" w:tentative="0">
      <w:start w:val="1"/>
      <w:numFmt w:val="lowerRoman"/>
      <w:lvlText w:val="%6."/>
      <w:lvlJc w:val="right"/>
      <w:pPr>
        <w:ind w:left="4864" w:hanging="480"/>
      </w:pPr>
    </w:lvl>
    <w:lvl w:ilvl="6" w:tentative="0">
      <w:start w:val="1"/>
      <w:numFmt w:val="decimal"/>
      <w:lvlText w:val="%7."/>
      <w:lvlJc w:val="left"/>
      <w:pPr>
        <w:ind w:left="5344" w:hanging="480"/>
      </w:pPr>
    </w:lvl>
    <w:lvl w:ilvl="7" w:tentative="0">
      <w:start w:val="1"/>
      <w:numFmt w:val="lowerLetter"/>
      <w:lvlText w:val="%8)"/>
      <w:lvlJc w:val="left"/>
      <w:pPr>
        <w:ind w:left="5824" w:hanging="480"/>
      </w:pPr>
    </w:lvl>
    <w:lvl w:ilvl="8" w:tentative="0">
      <w:start w:val="1"/>
      <w:numFmt w:val="lowerRoman"/>
      <w:lvlText w:val="%9."/>
      <w:lvlJc w:val="right"/>
      <w:pPr>
        <w:ind w:left="6304" w:hanging="480"/>
      </w:pPr>
    </w:lvl>
  </w:abstractNum>
  <w:abstractNum w:abstractNumId="19">
    <w:nsid w:val="5C626F71"/>
    <w:multiLevelType w:val="multilevel"/>
    <w:tmpl w:val="5C626F71"/>
    <w:lvl w:ilvl="0" w:tentative="0">
      <w:start w:val="23"/>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E5E1895"/>
    <w:multiLevelType w:val="multilevel"/>
    <w:tmpl w:val="5E5E1895"/>
    <w:lvl w:ilvl="0" w:tentative="0">
      <w:start w:val="1"/>
      <w:numFmt w:val="decimal"/>
      <w:pStyle w:val="73"/>
      <w:lvlText w:val="%1"/>
      <w:lvlJc w:val="left"/>
      <w:pPr>
        <w:tabs>
          <w:tab w:val="left" w:pos="960"/>
        </w:tabs>
        <w:ind w:left="960" w:hanging="960"/>
      </w:pPr>
      <w:rPr>
        <w:rFonts w:hint="default"/>
        <w:b/>
      </w:rPr>
    </w:lvl>
    <w:lvl w:ilvl="1" w:tentative="0">
      <w:start w:val="1"/>
      <w:numFmt w:val="decimal"/>
      <w:lvlRestart w:val="0"/>
      <w:lvlText w:val="%1.%2"/>
      <w:lvlJc w:val="left"/>
      <w:pPr>
        <w:tabs>
          <w:tab w:val="left" w:pos="1232"/>
        </w:tabs>
        <w:ind w:left="1232" w:hanging="567"/>
      </w:pPr>
      <w:rPr>
        <w:rFonts w:hint="eastAsia"/>
        <w:b w:val="0"/>
        <w:i w:val="0"/>
        <w:caps w:val="0"/>
        <w:color w:val="auto"/>
        <w:u w:val="none"/>
      </w:rPr>
    </w:lvl>
    <w:lvl w:ilvl="2" w:tentative="0">
      <w:start w:val="1"/>
      <w:numFmt w:val="lowerLetter"/>
      <w:lvlRestart w:val="0"/>
      <w:pStyle w:val="84"/>
      <w:lvlText w:val="(%3)"/>
      <w:lvlJc w:val="left"/>
      <w:pPr>
        <w:tabs>
          <w:tab w:val="left" w:pos="1511"/>
        </w:tabs>
        <w:ind w:left="1511" w:hanging="420"/>
      </w:pPr>
      <w:rPr>
        <w:rFonts w:hint="default"/>
        <w:b w:val="0"/>
        <w:i w:val="0"/>
        <w:caps w:val="0"/>
        <w:color w:val="auto"/>
        <w:u w:val="none"/>
      </w:rPr>
    </w:lvl>
    <w:lvl w:ilvl="3" w:tentative="0">
      <w:start w:val="1"/>
      <w:numFmt w:val="lowerRoman"/>
      <w:pStyle w:val="85"/>
      <w:lvlText w:val="(%4)"/>
      <w:lvlJc w:val="left"/>
      <w:pPr>
        <w:tabs>
          <w:tab w:val="left" w:pos="2236"/>
        </w:tabs>
        <w:ind w:left="2236" w:hanging="720"/>
      </w:pPr>
      <w:rPr>
        <w:rFonts w:hint="default" w:ascii="Times New Roman" w:hAnsi="Times New Roman" w:cs="Times New Roman"/>
        <w:b w:val="0"/>
        <w:i w:val="0"/>
        <w:caps w:val="0"/>
        <w:color w:val="auto"/>
        <w:sz w:val="24"/>
        <w:szCs w:val="24"/>
        <w:u w:val="none"/>
      </w:rPr>
    </w:lvl>
    <w:lvl w:ilvl="4" w:tentative="0">
      <w:start w:val="1"/>
      <w:numFmt w:val="decimal"/>
      <w:lvlText w:val="%1.%2.%3.%4.%5"/>
      <w:lvlJc w:val="left"/>
      <w:pPr>
        <w:tabs>
          <w:tab w:val="left" w:pos="2791"/>
        </w:tabs>
        <w:ind w:left="2791" w:hanging="850"/>
      </w:pPr>
      <w:rPr>
        <w:rFonts w:hint="eastAsia"/>
        <w:b w:val="0"/>
        <w:i w:val="0"/>
        <w:caps w:val="0"/>
        <w:color w:val="auto"/>
        <w:u w:val="none"/>
      </w:rPr>
    </w:lvl>
    <w:lvl w:ilvl="5" w:tentative="0">
      <w:start w:val="1"/>
      <w:numFmt w:val="decimal"/>
      <w:lvlText w:val="%1.%2.%3.%4.%5.%6"/>
      <w:lvlJc w:val="left"/>
      <w:pPr>
        <w:tabs>
          <w:tab w:val="left" w:pos="3500"/>
        </w:tabs>
        <w:ind w:left="3500" w:hanging="1134"/>
      </w:pPr>
      <w:rPr>
        <w:rFonts w:hint="eastAsia"/>
        <w:b w:val="0"/>
        <w:i w:val="0"/>
        <w:caps w:val="0"/>
        <w:color w:val="auto"/>
        <w:u w:val="none"/>
      </w:rPr>
    </w:lvl>
    <w:lvl w:ilvl="6" w:tentative="0">
      <w:start w:val="1"/>
      <w:numFmt w:val="decimal"/>
      <w:lvlText w:val="%1.%2.%3.%4.%5.%6.%7"/>
      <w:lvlJc w:val="left"/>
      <w:pPr>
        <w:tabs>
          <w:tab w:val="left" w:pos="4067"/>
        </w:tabs>
        <w:ind w:left="4067" w:hanging="1276"/>
      </w:pPr>
      <w:rPr>
        <w:rFonts w:hint="eastAsia"/>
        <w:b w:val="0"/>
        <w:i w:val="0"/>
        <w:caps w:val="0"/>
        <w:color w:val="auto"/>
        <w:u w:val="none"/>
      </w:rPr>
    </w:lvl>
    <w:lvl w:ilvl="7" w:tentative="0">
      <w:start w:val="1"/>
      <w:numFmt w:val="decimal"/>
      <w:lvlText w:val="%1.%2.%3.%4.%5.%6.%7.%8"/>
      <w:lvlJc w:val="left"/>
      <w:pPr>
        <w:tabs>
          <w:tab w:val="left" w:pos="4634"/>
        </w:tabs>
        <w:ind w:left="4634" w:hanging="1418"/>
      </w:pPr>
      <w:rPr>
        <w:rFonts w:hint="eastAsia"/>
        <w:b w:val="0"/>
        <w:i w:val="0"/>
        <w:caps w:val="0"/>
        <w:color w:val="auto"/>
        <w:u w:val="none"/>
      </w:rPr>
    </w:lvl>
    <w:lvl w:ilvl="8" w:tentative="0">
      <w:start w:val="1"/>
      <w:numFmt w:val="decimal"/>
      <w:lvlText w:val="%1.%2.%3.%4.%5.%6.%7.%8.%9"/>
      <w:lvlJc w:val="left"/>
      <w:pPr>
        <w:tabs>
          <w:tab w:val="left" w:pos="5342"/>
        </w:tabs>
        <w:ind w:left="5342" w:hanging="1700"/>
      </w:pPr>
      <w:rPr>
        <w:rFonts w:hint="eastAsia"/>
        <w:b w:val="0"/>
        <w:i w:val="0"/>
        <w:caps w:val="0"/>
        <w:color w:val="auto"/>
        <w:u w:val="none"/>
      </w:rPr>
    </w:lvl>
  </w:abstractNum>
  <w:abstractNum w:abstractNumId="21">
    <w:nsid w:val="63E34E21"/>
    <w:multiLevelType w:val="multilevel"/>
    <w:tmpl w:val="63E34E21"/>
    <w:lvl w:ilvl="0" w:tentative="0">
      <w:start w:val="1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64641687"/>
    <w:multiLevelType w:val="multilevel"/>
    <w:tmpl w:val="64641687"/>
    <w:lvl w:ilvl="0" w:tentative="0">
      <w:start w:val="17"/>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714521E4"/>
    <w:multiLevelType w:val="multilevel"/>
    <w:tmpl w:val="714521E4"/>
    <w:lvl w:ilvl="0" w:tentative="0">
      <w:start w:val="26"/>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73D32C7C"/>
    <w:multiLevelType w:val="multilevel"/>
    <w:tmpl w:val="73D32C7C"/>
    <w:lvl w:ilvl="0" w:tentative="0">
      <w:start w:val="3"/>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78650A2C"/>
    <w:multiLevelType w:val="multilevel"/>
    <w:tmpl w:val="78650A2C"/>
    <w:lvl w:ilvl="0" w:tentative="0">
      <w:start w:val="1"/>
      <w:numFmt w:val="decimal"/>
      <w:lvlText w:val="（%1）"/>
      <w:lvlJc w:val="left"/>
      <w:pPr>
        <w:ind w:left="1200" w:hanging="720"/>
      </w:pPr>
      <w:rPr>
        <w:rFonts w:hint="eastAsia"/>
      </w:rPr>
    </w:lvl>
    <w:lvl w:ilvl="1" w:tentative="0">
      <w:start w:val="1"/>
      <w:numFmt w:val="lowerLetter"/>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abstractNum w:abstractNumId="26">
    <w:nsid w:val="7952060E"/>
    <w:multiLevelType w:val="multilevel"/>
    <w:tmpl w:val="7952060E"/>
    <w:lvl w:ilvl="0" w:tentative="0">
      <w:start w:val="20"/>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7">
    <w:nsid w:val="7B6F15B0"/>
    <w:multiLevelType w:val="multilevel"/>
    <w:tmpl w:val="7B6F15B0"/>
    <w:lvl w:ilvl="0" w:tentative="0">
      <w:start w:val="1"/>
      <w:numFmt w:val="decimal"/>
      <w:pStyle w:val="60"/>
      <w:suff w:val="nothing"/>
      <w:lvlText w:val="Schedule %1 "/>
      <w:lvlJc w:val="left"/>
      <w:pPr>
        <w:ind w:left="0" w:firstLine="0"/>
      </w:pPr>
      <w:rPr>
        <w:rFonts w:ascii="Times New Roman" w:hAnsi="Times New Roman"/>
        <w:b/>
        <w:i w:val="0"/>
        <w:caps/>
        <w:smallCaps w:val="0"/>
        <w:color w:val="auto"/>
        <w:sz w:val="24"/>
        <w:u w:val="none"/>
      </w:rPr>
    </w:lvl>
    <w:lvl w:ilvl="1" w:tentative="0">
      <w:start w:val="1"/>
      <w:numFmt w:val="upperLetter"/>
      <w:pStyle w:val="61"/>
      <w:suff w:val="space"/>
      <w:lvlText w:val="Part %2 "/>
      <w:lvlJc w:val="left"/>
      <w:pPr>
        <w:tabs>
          <w:tab w:val="left" w:pos="0"/>
        </w:tabs>
        <w:ind w:left="0" w:firstLine="0"/>
      </w:pPr>
      <w:rPr>
        <w:rFonts w:ascii="Times New Roman" w:hAnsi="Times New Roman"/>
        <w:b/>
        <w:i w:val="0"/>
        <w:caps w:val="0"/>
        <w:color w:val="auto"/>
        <w:sz w:val="24"/>
        <w:u w:val="none"/>
      </w:rPr>
    </w:lvl>
    <w:lvl w:ilvl="2" w:tentative="0">
      <w:start w:val="1"/>
      <w:numFmt w:val="decimal"/>
      <w:pStyle w:val="62"/>
      <w:lvlText w:val="%3."/>
      <w:lvlJc w:val="left"/>
      <w:pPr>
        <w:tabs>
          <w:tab w:val="left" w:pos="720"/>
        </w:tabs>
        <w:ind w:left="0" w:firstLine="0"/>
      </w:pPr>
      <w:rPr>
        <w:rFonts w:ascii="Times New Roman" w:hAnsi="Times New Roman"/>
        <w:b/>
        <w:i w:val="0"/>
        <w:caps w:val="0"/>
        <w:color w:val="auto"/>
        <w:sz w:val="24"/>
        <w:u w:val="none"/>
      </w:rPr>
    </w:lvl>
    <w:lvl w:ilvl="3" w:tentative="0">
      <w:start w:val="1"/>
      <w:numFmt w:val="decimal"/>
      <w:pStyle w:val="63"/>
      <w:lvlText w:val="%4."/>
      <w:lvlJc w:val="left"/>
      <w:pPr>
        <w:tabs>
          <w:tab w:val="left" w:pos="720"/>
        </w:tabs>
        <w:ind w:left="0" w:firstLine="0"/>
      </w:pPr>
      <w:rPr>
        <w:rFonts w:ascii="Times New Roman" w:hAnsi="Times New Roman"/>
        <w:b w:val="0"/>
        <w:i w:val="0"/>
        <w:caps w:val="0"/>
        <w:color w:val="auto"/>
        <w:sz w:val="24"/>
        <w:u w:val="none"/>
      </w:rPr>
    </w:lvl>
    <w:lvl w:ilvl="4" w:tentative="0">
      <w:start w:val="1"/>
      <w:numFmt w:val="decimal"/>
      <w:pStyle w:val="64"/>
      <w:lvlText w:val="%3.%5"/>
      <w:lvlJc w:val="left"/>
      <w:pPr>
        <w:tabs>
          <w:tab w:val="left" w:pos="720"/>
        </w:tabs>
        <w:ind w:left="0" w:firstLine="0"/>
      </w:pPr>
      <w:rPr>
        <w:rFonts w:ascii="Times New Roman" w:hAnsi="Times New Roman"/>
        <w:b w:val="0"/>
        <w:i w:val="0"/>
        <w:caps w:val="0"/>
        <w:color w:val="auto"/>
        <w:sz w:val="24"/>
        <w:u w:val="none"/>
      </w:rPr>
    </w:lvl>
    <w:lvl w:ilvl="5" w:tentative="0">
      <w:start w:val="1"/>
      <w:numFmt w:val="lowerLetter"/>
      <w:pStyle w:val="65"/>
      <w:lvlText w:val="(%6)"/>
      <w:lvlJc w:val="left"/>
      <w:pPr>
        <w:tabs>
          <w:tab w:val="left" w:pos="720"/>
        </w:tabs>
        <w:ind w:left="720" w:hanging="720"/>
      </w:pPr>
      <w:rPr>
        <w:rFonts w:ascii="Times New Roman" w:hAnsi="Times New Roman"/>
        <w:b w:val="0"/>
        <w:i w:val="0"/>
        <w:caps w:val="0"/>
        <w:color w:val="auto"/>
        <w:sz w:val="24"/>
        <w:u w:val="none"/>
      </w:rPr>
    </w:lvl>
    <w:lvl w:ilvl="6" w:tentative="0">
      <w:start w:val="1"/>
      <w:numFmt w:val="lowerRoman"/>
      <w:pStyle w:val="66"/>
      <w:lvlText w:val="(%7)"/>
      <w:lvlJc w:val="right"/>
      <w:pPr>
        <w:tabs>
          <w:tab w:val="left" w:pos="1440"/>
        </w:tabs>
        <w:ind w:left="1440" w:hanging="216"/>
      </w:pPr>
      <w:rPr>
        <w:rFonts w:ascii="Times New Roman" w:hAnsi="Times New Roman"/>
        <w:b w:val="0"/>
        <w:i w:val="0"/>
        <w:caps w:val="0"/>
        <w:color w:val="auto"/>
        <w:sz w:val="24"/>
        <w:u w:val="none"/>
      </w:rPr>
    </w:lvl>
    <w:lvl w:ilvl="7" w:tentative="0">
      <w:start w:val="1"/>
      <w:numFmt w:val="upperLetter"/>
      <w:pStyle w:val="67"/>
      <w:lvlText w:val="(%8)"/>
      <w:lvlJc w:val="left"/>
      <w:pPr>
        <w:tabs>
          <w:tab w:val="left" w:pos="2160"/>
        </w:tabs>
        <w:ind w:left="2160" w:hanging="720"/>
      </w:pPr>
      <w:rPr>
        <w:rFonts w:ascii="Times New Roman" w:hAnsi="Times New Roman"/>
        <w:b w:val="0"/>
        <w:i w:val="0"/>
        <w:caps w:val="0"/>
        <w:color w:val="auto"/>
        <w:sz w:val="24"/>
        <w:u w:val="none"/>
      </w:rPr>
    </w:lvl>
    <w:lvl w:ilvl="8" w:tentative="0">
      <w:start w:val="1"/>
      <w:numFmt w:val="upperRoman"/>
      <w:pStyle w:val="68"/>
      <w:lvlText w:val="(%9)"/>
      <w:lvlJc w:val="right"/>
      <w:pPr>
        <w:tabs>
          <w:tab w:val="left" w:pos="2880"/>
        </w:tabs>
        <w:ind w:left="2880" w:hanging="216"/>
      </w:pPr>
      <w:rPr>
        <w:rFonts w:ascii="Times New Roman" w:hAnsi="Times New Roman"/>
        <w:b w:val="0"/>
        <w:i w:val="0"/>
        <w:caps w:val="0"/>
        <w:color w:val="auto"/>
        <w:sz w:val="24"/>
        <w:u w:val="none"/>
      </w:rPr>
    </w:lvl>
  </w:abstractNum>
  <w:abstractNum w:abstractNumId="28">
    <w:nsid w:val="7C453E0C"/>
    <w:multiLevelType w:val="multilevel"/>
    <w:tmpl w:val="7C453E0C"/>
    <w:lvl w:ilvl="0" w:tentative="0">
      <w:start w:val="18"/>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7"/>
  </w:num>
  <w:num w:numId="2">
    <w:abstractNumId w:val="27"/>
  </w:num>
  <w:num w:numId="3">
    <w:abstractNumId w:val="20"/>
  </w:num>
  <w:num w:numId="4">
    <w:abstractNumId w:val="9"/>
  </w:num>
  <w:num w:numId="5">
    <w:abstractNumId w:val="6"/>
  </w:num>
  <w:num w:numId="6">
    <w:abstractNumId w:val="14"/>
  </w:num>
  <w:num w:numId="7">
    <w:abstractNumId w:val="24"/>
  </w:num>
  <w:num w:numId="8">
    <w:abstractNumId w:val="10"/>
  </w:num>
  <w:num w:numId="9">
    <w:abstractNumId w:val="17"/>
  </w:num>
  <w:num w:numId="10">
    <w:abstractNumId w:val="0"/>
  </w:num>
  <w:num w:numId="11">
    <w:abstractNumId w:val="25"/>
  </w:num>
  <w:num w:numId="12">
    <w:abstractNumId w:val="16"/>
  </w:num>
  <w:num w:numId="13">
    <w:abstractNumId w:val="5"/>
  </w:num>
  <w:num w:numId="14">
    <w:abstractNumId w:val="13"/>
  </w:num>
  <w:num w:numId="15">
    <w:abstractNumId w:val="18"/>
  </w:num>
  <w:num w:numId="16">
    <w:abstractNumId w:val="8"/>
  </w:num>
  <w:num w:numId="17">
    <w:abstractNumId w:val="21"/>
  </w:num>
  <w:num w:numId="18">
    <w:abstractNumId w:val="1"/>
  </w:num>
  <w:num w:numId="19">
    <w:abstractNumId w:val="3"/>
  </w:num>
  <w:num w:numId="20">
    <w:abstractNumId w:val="12"/>
  </w:num>
  <w:num w:numId="21">
    <w:abstractNumId w:val="22"/>
  </w:num>
  <w:num w:numId="22">
    <w:abstractNumId w:val="28"/>
  </w:num>
  <w:num w:numId="23">
    <w:abstractNumId w:val="11"/>
  </w:num>
  <w:num w:numId="24">
    <w:abstractNumId w:val="26"/>
  </w:num>
  <w:num w:numId="25">
    <w:abstractNumId w:val="4"/>
  </w:num>
  <w:num w:numId="26">
    <w:abstractNumId w:val="19"/>
  </w:num>
  <w:num w:numId="27">
    <w:abstractNumId w:val="15"/>
  </w:num>
  <w:num w:numId="28">
    <w:abstractNumId w:val="2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4YjMxYjU4NWI4MGUyZjU1Nzk0YjliYzAzNmM0YjgifQ=="/>
    <w:docVar w:name="MacDisableGlyphATSUI" w:val="0"/>
  </w:docVars>
  <w:rsids>
    <w:rsidRoot w:val="004C4DA5"/>
    <w:rsid w:val="000008EF"/>
    <w:rsid w:val="00000A88"/>
    <w:rsid w:val="00000B13"/>
    <w:rsid w:val="00000C2F"/>
    <w:rsid w:val="00000F0E"/>
    <w:rsid w:val="0000155F"/>
    <w:rsid w:val="0000193A"/>
    <w:rsid w:val="00002560"/>
    <w:rsid w:val="00003775"/>
    <w:rsid w:val="0000385F"/>
    <w:rsid w:val="0000410B"/>
    <w:rsid w:val="00004684"/>
    <w:rsid w:val="0000591D"/>
    <w:rsid w:val="000064E3"/>
    <w:rsid w:val="0000702F"/>
    <w:rsid w:val="000071A2"/>
    <w:rsid w:val="000072F8"/>
    <w:rsid w:val="00007EF7"/>
    <w:rsid w:val="0001018C"/>
    <w:rsid w:val="0001353C"/>
    <w:rsid w:val="00013EE2"/>
    <w:rsid w:val="0001482B"/>
    <w:rsid w:val="00014B49"/>
    <w:rsid w:val="00015230"/>
    <w:rsid w:val="00015245"/>
    <w:rsid w:val="00016CED"/>
    <w:rsid w:val="00020751"/>
    <w:rsid w:val="00021263"/>
    <w:rsid w:val="00022007"/>
    <w:rsid w:val="000221DA"/>
    <w:rsid w:val="000249ED"/>
    <w:rsid w:val="00024F7E"/>
    <w:rsid w:val="000262F1"/>
    <w:rsid w:val="0002768B"/>
    <w:rsid w:val="0003074E"/>
    <w:rsid w:val="000310B7"/>
    <w:rsid w:val="00031F5E"/>
    <w:rsid w:val="0003283D"/>
    <w:rsid w:val="00032D9F"/>
    <w:rsid w:val="00033C39"/>
    <w:rsid w:val="0003441B"/>
    <w:rsid w:val="00035254"/>
    <w:rsid w:val="0003527C"/>
    <w:rsid w:val="00035474"/>
    <w:rsid w:val="000357EF"/>
    <w:rsid w:val="00035C00"/>
    <w:rsid w:val="00035CA0"/>
    <w:rsid w:val="00036E77"/>
    <w:rsid w:val="00041BCA"/>
    <w:rsid w:val="00041FAC"/>
    <w:rsid w:val="00042386"/>
    <w:rsid w:val="000446F1"/>
    <w:rsid w:val="000447EF"/>
    <w:rsid w:val="000464B4"/>
    <w:rsid w:val="00046AE0"/>
    <w:rsid w:val="0004700C"/>
    <w:rsid w:val="00050723"/>
    <w:rsid w:val="00050B0C"/>
    <w:rsid w:val="00050D21"/>
    <w:rsid w:val="000514EF"/>
    <w:rsid w:val="0005196F"/>
    <w:rsid w:val="00052B04"/>
    <w:rsid w:val="00053115"/>
    <w:rsid w:val="00053D39"/>
    <w:rsid w:val="00053F0F"/>
    <w:rsid w:val="000548B0"/>
    <w:rsid w:val="00054AD0"/>
    <w:rsid w:val="0005734B"/>
    <w:rsid w:val="0006171A"/>
    <w:rsid w:val="00062DAC"/>
    <w:rsid w:val="000633A0"/>
    <w:rsid w:val="00063760"/>
    <w:rsid w:val="00063831"/>
    <w:rsid w:val="00064A0D"/>
    <w:rsid w:val="00064E62"/>
    <w:rsid w:val="00065503"/>
    <w:rsid w:val="00065A38"/>
    <w:rsid w:val="0006637F"/>
    <w:rsid w:val="00070F7F"/>
    <w:rsid w:val="00070F92"/>
    <w:rsid w:val="000743AD"/>
    <w:rsid w:val="000745C3"/>
    <w:rsid w:val="00074CF0"/>
    <w:rsid w:val="000751D6"/>
    <w:rsid w:val="00076136"/>
    <w:rsid w:val="00076D61"/>
    <w:rsid w:val="00077D4F"/>
    <w:rsid w:val="00080D23"/>
    <w:rsid w:val="0008138F"/>
    <w:rsid w:val="00081F59"/>
    <w:rsid w:val="000846B6"/>
    <w:rsid w:val="00084B50"/>
    <w:rsid w:val="00085877"/>
    <w:rsid w:val="00090B04"/>
    <w:rsid w:val="000919A9"/>
    <w:rsid w:val="000935B4"/>
    <w:rsid w:val="00093878"/>
    <w:rsid w:val="00093D66"/>
    <w:rsid w:val="00094B04"/>
    <w:rsid w:val="00096625"/>
    <w:rsid w:val="00097436"/>
    <w:rsid w:val="000A0975"/>
    <w:rsid w:val="000A0E19"/>
    <w:rsid w:val="000A0E5A"/>
    <w:rsid w:val="000A100A"/>
    <w:rsid w:val="000A15CC"/>
    <w:rsid w:val="000A2FD6"/>
    <w:rsid w:val="000A3383"/>
    <w:rsid w:val="000A3957"/>
    <w:rsid w:val="000A4588"/>
    <w:rsid w:val="000A4F15"/>
    <w:rsid w:val="000B0502"/>
    <w:rsid w:val="000B0917"/>
    <w:rsid w:val="000B16A1"/>
    <w:rsid w:val="000B16A8"/>
    <w:rsid w:val="000B1F81"/>
    <w:rsid w:val="000B285A"/>
    <w:rsid w:val="000B28E9"/>
    <w:rsid w:val="000B2A06"/>
    <w:rsid w:val="000B2FCB"/>
    <w:rsid w:val="000B4511"/>
    <w:rsid w:val="000B4719"/>
    <w:rsid w:val="000B4B8C"/>
    <w:rsid w:val="000B60C2"/>
    <w:rsid w:val="000B7D83"/>
    <w:rsid w:val="000C0347"/>
    <w:rsid w:val="000C207A"/>
    <w:rsid w:val="000C25D7"/>
    <w:rsid w:val="000C2CFC"/>
    <w:rsid w:val="000C391F"/>
    <w:rsid w:val="000C3F95"/>
    <w:rsid w:val="000C47DD"/>
    <w:rsid w:val="000C521F"/>
    <w:rsid w:val="000C615B"/>
    <w:rsid w:val="000C671A"/>
    <w:rsid w:val="000C6F39"/>
    <w:rsid w:val="000C7DE0"/>
    <w:rsid w:val="000D0A27"/>
    <w:rsid w:val="000D0C3E"/>
    <w:rsid w:val="000D1261"/>
    <w:rsid w:val="000D18EA"/>
    <w:rsid w:val="000D2F52"/>
    <w:rsid w:val="000D33CF"/>
    <w:rsid w:val="000D3776"/>
    <w:rsid w:val="000D3F67"/>
    <w:rsid w:val="000D43D4"/>
    <w:rsid w:val="000D4CDF"/>
    <w:rsid w:val="000D50A1"/>
    <w:rsid w:val="000D7475"/>
    <w:rsid w:val="000E0A26"/>
    <w:rsid w:val="000E0A3E"/>
    <w:rsid w:val="000E0D5A"/>
    <w:rsid w:val="000E1B6F"/>
    <w:rsid w:val="000E503D"/>
    <w:rsid w:val="000E62B9"/>
    <w:rsid w:val="000E72C7"/>
    <w:rsid w:val="000F0449"/>
    <w:rsid w:val="000F3850"/>
    <w:rsid w:val="000F4436"/>
    <w:rsid w:val="000F450E"/>
    <w:rsid w:val="000F4F58"/>
    <w:rsid w:val="000F7A79"/>
    <w:rsid w:val="000F7D99"/>
    <w:rsid w:val="001007C8"/>
    <w:rsid w:val="00101A85"/>
    <w:rsid w:val="00102A5D"/>
    <w:rsid w:val="0010305B"/>
    <w:rsid w:val="00104608"/>
    <w:rsid w:val="00104887"/>
    <w:rsid w:val="00104B43"/>
    <w:rsid w:val="00104DFF"/>
    <w:rsid w:val="00104E62"/>
    <w:rsid w:val="00107CD9"/>
    <w:rsid w:val="00107F4A"/>
    <w:rsid w:val="00110E87"/>
    <w:rsid w:val="00111024"/>
    <w:rsid w:val="0011196C"/>
    <w:rsid w:val="00111BC4"/>
    <w:rsid w:val="00111E0B"/>
    <w:rsid w:val="001139F6"/>
    <w:rsid w:val="00113B5E"/>
    <w:rsid w:val="00114D73"/>
    <w:rsid w:val="00115F73"/>
    <w:rsid w:val="001163AC"/>
    <w:rsid w:val="001163B3"/>
    <w:rsid w:val="0012035E"/>
    <w:rsid w:val="001207B3"/>
    <w:rsid w:val="00121345"/>
    <w:rsid w:val="00121A25"/>
    <w:rsid w:val="00121BAD"/>
    <w:rsid w:val="00122C88"/>
    <w:rsid w:val="00122E13"/>
    <w:rsid w:val="001247D3"/>
    <w:rsid w:val="00125B82"/>
    <w:rsid w:val="001260B7"/>
    <w:rsid w:val="00127192"/>
    <w:rsid w:val="00127BA1"/>
    <w:rsid w:val="001308BB"/>
    <w:rsid w:val="001312D6"/>
    <w:rsid w:val="00131828"/>
    <w:rsid w:val="00132EC3"/>
    <w:rsid w:val="00132ECD"/>
    <w:rsid w:val="001362EB"/>
    <w:rsid w:val="00137A4B"/>
    <w:rsid w:val="0014018F"/>
    <w:rsid w:val="00140A4A"/>
    <w:rsid w:val="00140D8F"/>
    <w:rsid w:val="00140E35"/>
    <w:rsid w:val="001414EC"/>
    <w:rsid w:val="00142532"/>
    <w:rsid w:val="00142C80"/>
    <w:rsid w:val="00142E28"/>
    <w:rsid w:val="00142F62"/>
    <w:rsid w:val="0014333B"/>
    <w:rsid w:val="001438FB"/>
    <w:rsid w:val="00143AAD"/>
    <w:rsid w:val="00143F92"/>
    <w:rsid w:val="00145CBD"/>
    <w:rsid w:val="00146D1A"/>
    <w:rsid w:val="0014776B"/>
    <w:rsid w:val="00150D4F"/>
    <w:rsid w:val="00151346"/>
    <w:rsid w:val="00151E0D"/>
    <w:rsid w:val="00152668"/>
    <w:rsid w:val="0015359B"/>
    <w:rsid w:val="00155043"/>
    <w:rsid w:val="00155055"/>
    <w:rsid w:val="001566A6"/>
    <w:rsid w:val="00157BC0"/>
    <w:rsid w:val="00160592"/>
    <w:rsid w:val="00160931"/>
    <w:rsid w:val="001609CF"/>
    <w:rsid w:val="00162849"/>
    <w:rsid w:val="00162B29"/>
    <w:rsid w:val="0016398D"/>
    <w:rsid w:val="00163B31"/>
    <w:rsid w:val="00163C6F"/>
    <w:rsid w:val="001648ED"/>
    <w:rsid w:val="00164B67"/>
    <w:rsid w:val="00164C61"/>
    <w:rsid w:val="001651A5"/>
    <w:rsid w:val="001653B1"/>
    <w:rsid w:val="001706A3"/>
    <w:rsid w:val="00171C0B"/>
    <w:rsid w:val="00171E67"/>
    <w:rsid w:val="001720F5"/>
    <w:rsid w:val="00172AA6"/>
    <w:rsid w:val="001732F5"/>
    <w:rsid w:val="0017448C"/>
    <w:rsid w:val="00174506"/>
    <w:rsid w:val="00175025"/>
    <w:rsid w:val="00175B78"/>
    <w:rsid w:val="00175C82"/>
    <w:rsid w:val="001767FE"/>
    <w:rsid w:val="001768B1"/>
    <w:rsid w:val="0018020C"/>
    <w:rsid w:val="001802DF"/>
    <w:rsid w:val="00180E30"/>
    <w:rsid w:val="00180EE7"/>
    <w:rsid w:val="00182215"/>
    <w:rsid w:val="00183A95"/>
    <w:rsid w:val="00184D45"/>
    <w:rsid w:val="001857CC"/>
    <w:rsid w:val="0018583F"/>
    <w:rsid w:val="0018682D"/>
    <w:rsid w:val="0019087E"/>
    <w:rsid w:val="00191BA3"/>
    <w:rsid w:val="00191C26"/>
    <w:rsid w:val="00192FA2"/>
    <w:rsid w:val="0019479D"/>
    <w:rsid w:val="00196104"/>
    <w:rsid w:val="00196F2E"/>
    <w:rsid w:val="001A125F"/>
    <w:rsid w:val="001A26D8"/>
    <w:rsid w:val="001A2D85"/>
    <w:rsid w:val="001A37FE"/>
    <w:rsid w:val="001A3ABD"/>
    <w:rsid w:val="001A40EA"/>
    <w:rsid w:val="001A4772"/>
    <w:rsid w:val="001A55A7"/>
    <w:rsid w:val="001A5DD6"/>
    <w:rsid w:val="001A6E14"/>
    <w:rsid w:val="001A7178"/>
    <w:rsid w:val="001B000E"/>
    <w:rsid w:val="001B06A0"/>
    <w:rsid w:val="001B07B9"/>
    <w:rsid w:val="001B1687"/>
    <w:rsid w:val="001B18D9"/>
    <w:rsid w:val="001B222B"/>
    <w:rsid w:val="001B29EA"/>
    <w:rsid w:val="001B50CF"/>
    <w:rsid w:val="001B52ED"/>
    <w:rsid w:val="001B55F4"/>
    <w:rsid w:val="001B5BA1"/>
    <w:rsid w:val="001B5BC3"/>
    <w:rsid w:val="001B62E4"/>
    <w:rsid w:val="001B68F3"/>
    <w:rsid w:val="001C2764"/>
    <w:rsid w:val="001C3C37"/>
    <w:rsid w:val="001C4607"/>
    <w:rsid w:val="001C4701"/>
    <w:rsid w:val="001C4DBA"/>
    <w:rsid w:val="001C6CDD"/>
    <w:rsid w:val="001C6F3C"/>
    <w:rsid w:val="001D080C"/>
    <w:rsid w:val="001D157D"/>
    <w:rsid w:val="001D1C15"/>
    <w:rsid w:val="001D2523"/>
    <w:rsid w:val="001D2BFF"/>
    <w:rsid w:val="001D470F"/>
    <w:rsid w:val="001D48B3"/>
    <w:rsid w:val="001D5084"/>
    <w:rsid w:val="001D5A80"/>
    <w:rsid w:val="001D6D8B"/>
    <w:rsid w:val="001D722B"/>
    <w:rsid w:val="001D7BAA"/>
    <w:rsid w:val="001E0783"/>
    <w:rsid w:val="001E0BB0"/>
    <w:rsid w:val="001E27D4"/>
    <w:rsid w:val="001E3ADA"/>
    <w:rsid w:val="001E3CA1"/>
    <w:rsid w:val="001E3DBB"/>
    <w:rsid w:val="001E5FF5"/>
    <w:rsid w:val="001E6697"/>
    <w:rsid w:val="001E7129"/>
    <w:rsid w:val="001E7C43"/>
    <w:rsid w:val="001F09DD"/>
    <w:rsid w:val="001F0B94"/>
    <w:rsid w:val="001F0F44"/>
    <w:rsid w:val="001F1B87"/>
    <w:rsid w:val="001F26BA"/>
    <w:rsid w:val="001F2FFF"/>
    <w:rsid w:val="001F438E"/>
    <w:rsid w:val="001F4542"/>
    <w:rsid w:val="001F4F8E"/>
    <w:rsid w:val="001F534C"/>
    <w:rsid w:val="001F57A7"/>
    <w:rsid w:val="001F5DBB"/>
    <w:rsid w:val="001F662D"/>
    <w:rsid w:val="001F666B"/>
    <w:rsid w:val="001F72F2"/>
    <w:rsid w:val="0020019E"/>
    <w:rsid w:val="002013D9"/>
    <w:rsid w:val="00201D65"/>
    <w:rsid w:val="002024D4"/>
    <w:rsid w:val="00202B31"/>
    <w:rsid w:val="0020345B"/>
    <w:rsid w:val="002067CF"/>
    <w:rsid w:val="002068DB"/>
    <w:rsid w:val="0020697F"/>
    <w:rsid w:val="00206A75"/>
    <w:rsid w:val="00207BE6"/>
    <w:rsid w:val="002114FE"/>
    <w:rsid w:val="00211D49"/>
    <w:rsid w:val="002134DE"/>
    <w:rsid w:val="002136DF"/>
    <w:rsid w:val="00213DE2"/>
    <w:rsid w:val="00214CA0"/>
    <w:rsid w:val="00214F5E"/>
    <w:rsid w:val="0021597C"/>
    <w:rsid w:val="00215E1A"/>
    <w:rsid w:val="0021655F"/>
    <w:rsid w:val="002165B8"/>
    <w:rsid w:val="0021671B"/>
    <w:rsid w:val="0021699F"/>
    <w:rsid w:val="00217DDA"/>
    <w:rsid w:val="0022014C"/>
    <w:rsid w:val="0022081A"/>
    <w:rsid w:val="00220ED2"/>
    <w:rsid w:val="00221231"/>
    <w:rsid w:val="00221299"/>
    <w:rsid w:val="00221331"/>
    <w:rsid w:val="0022343E"/>
    <w:rsid w:val="00223827"/>
    <w:rsid w:val="002239AC"/>
    <w:rsid w:val="00225341"/>
    <w:rsid w:val="00225D09"/>
    <w:rsid w:val="00226E1E"/>
    <w:rsid w:val="00227DEC"/>
    <w:rsid w:val="00230079"/>
    <w:rsid w:val="00230C3A"/>
    <w:rsid w:val="00230E7B"/>
    <w:rsid w:val="00230E7F"/>
    <w:rsid w:val="00231029"/>
    <w:rsid w:val="002338FB"/>
    <w:rsid w:val="00233B37"/>
    <w:rsid w:val="00234FAD"/>
    <w:rsid w:val="002351BF"/>
    <w:rsid w:val="00235B44"/>
    <w:rsid w:val="00236173"/>
    <w:rsid w:val="0023649A"/>
    <w:rsid w:val="002367A0"/>
    <w:rsid w:val="00236A11"/>
    <w:rsid w:val="0023755C"/>
    <w:rsid w:val="00237682"/>
    <w:rsid w:val="00237DE7"/>
    <w:rsid w:val="00240FB5"/>
    <w:rsid w:val="0024148B"/>
    <w:rsid w:val="0024183D"/>
    <w:rsid w:val="00242974"/>
    <w:rsid w:val="00242BC6"/>
    <w:rsid w:val="00243003"/>
    <w:rsid w:val="0024307D"/>
    <w:rsid w:val="002431A6"/>
    <w:rsid w:val="00243384"/>
    <w:rsid w:val="00243445"/>
    <w:rsid w:val="0024381E"/>
    <w:rsid w:val="00244138"/>
    <w:rsid w:val="00244723"/>
    <w:rsid w:val="00246435"/>
    <w:rsid w:val="00246AF2"/>
    <w:rsid w:val="00246C4D"/>
    <w:rsid w:val="00247FBD"/>
    <w:rsid w:val="0025011E"/>
    <w:rsid w:val="00250727"/>
    <w:rsid w:val="00251343"/>
    <w:rsid w:val="002513E4"/>
    <w:rsid w:val="00252134"/>
    <w:rsid w:val="0025253B"/>
    <w:rsid w:val="002528EE"/>
    <w:rsid w:val="00252AF0"/>
    <w:rsid w:val="00253152"/>
    <w:rsid w:val="0025455C"/>
    <w:rsid w:val="00254D1E"/>
    <w:rsid w:val="00256140"/>
    <w:rsid w:val="00256DAE"/>
    <w:rsid w:val="00257427"/>
    <w:rsid w:val="00260C27"/>
    <w:rsid w:val="00261970"/>
    <w:rsid w:val="00262087"/>
    <w:rsid w:val="00262751"/>
    <w:rsid w:val="002647EF"/>
    <w:rsid w:val="00264B84"/>
    <w:rsid w:val="002650AD"/>
    <w:rsid w:val="00265182"/>
    <w:rsid w:val="002654B1"/>
    <w:rsid w:val="00265AA4"/>
    <w:rsid w:val="002663FF"/>
    <w:rsid w:val="00266FB0"/>
    <w:rsid w:val="002677E2"/>
    <w:rsid w:val="00267A20"/>
    <w:rsid w:val="002716E3"/>
    <w:rsid w:val="002734AB"/>
    <w:rsid w:val="002749CF"/>
    <w:rsid w:val="00275135"/>
    <w:rsid w:val="00275291"/>
    <w:rsid w:val="00275B60"/>
    <w:rsid w:val="00275EEB"/>
    <w:rsid w:val="00280F54"/>
    <w:rsid w:val="00282766"/>
    <w:rsid w:val="00283813"/>
    <w:rsid w:val="002840E9"/>
    <w:rsid w:val="0028444B"/>
    <w:rsid w:val="00286035"/>
    <w:rsid w:val="002866A8"/>
    <w:rsid w:val="00286F90"/>
    <w:rsid w:val="00290AEB"/>
    <w:rsid w:val="002932CB"/>
    <w:rsid w:val="00293AF6"/>
    <w:rsid w:val="00293DF9"/>
    <w:rsid w:val="00293F94"/>
    <w:rsid w:val="002941C1"/>
    <w:rsid w:val="00294A3F"/>
    <w:rsid w:val="00294B74"/>
    <w:rsid w:val="00294FB2"/>
    <w:rsid w:val="00295875"/>
    <w:rsid w:val="00295D6E"/>
    <w:rsid w:val="00296EE0"/>
    <w:rsid w:val="00296FB4"/>
    <w:rsid w:val="00297F58"/>
    <w:rsid w:val="00297FD6"/>
    <w:rsid w:val="002A00D4"/>
    <w:rsid w:val="002A01F5"/>
    <w:rsid w:val="002A18AA"/>
    <w:rsid w:val="002A1C03"/>
    <w:rsid w:val="002A2902"/>
    <w:rsid w:val="002A37E8"/>
    <w:rsid w:val="002A40E6"/>
    <w:rsid w:val="002A528C"/>
    <w:rsid w:val="002A74E8"/>
    <w:rsid w:val="002B026C"/>
    <w:rsid w:val="002B298E"/>
    <w:rsid w:val="002B33A9"/>
    <w:rsid w:val="002B3B8F"/>
    <w:rsid w:val="002B41FB"/>
    <w:rsid w:val="002B4A90"/>
    <w:rsid w:val="002C02D0"/>
    <w:rsid w:val="002C0CF4"/>
    <w:rsid w:val="002C2B9F"/>
    <w:rsid w:val="002C36D2"/>
    <w:rsid w:val="002C4092"/>
    <w:rsid w:val="002C414A"/>
    <w:rsid w:val="002C44CA"/>
    <w:rsid w:val="002C48B0"/>
    <w:rsid w:val="002C4BF6"/>
    <w:rsid w:val="002C5276"/>
    <w:rsid w:val="002C7FE3"/>
    <w:rsid w:val="002D0126"/>
    <w:rsid w:val="002D0346"/>
    <w:rsid w:val="002D0A95"/>
    <w:rsid w:val="002D0EBD"/>
    <w:rsid w:val="002D1CB5"/>
    <w:rsid w:val="002D1F09"/>
    <w:rsid w:val="002D3190"/>
    <w:rsid w:val="002D3674"/>
    <w:rsid w:val="002D41FC"/>
    <w:rsid w:val="002D44EF"/>
    <w:rsid w:val="002D46A9"/>
    <w:rsid w:val="002D55D8"/>
    <w:rsid w:val="002D7FBB"/>
    <w:rsid w:val="002E02E4"/>
    <w:rsid w:val="002E1027"/>
    <w:rsid w:val="002E2560"/>
    <w:rsid w:val="002E2798"/>
    <w:rsid w:val="002E30B9"/>
    <w:rsid w:val="002E3208"/>
    <w:rsid w:val="002E3255"/>
    <w:rsid w:val="002E3C85"/>
    <w:rsid w:val="002E3E7D"/>
    <w:rsid w:val="002E42C7"/>
    <w:rsid w:val="002E5AA9"/>
    <w:rsid w:val="002F0558"/>
    <w:rsid w:val="002F08C6"/>
    <w:rsid w:val="002F1E65"/>
    <w:rsid w:val="002F2C90"/>
    <w:rsid w:val="002F2C98"/>
    <w:rsid w:val="002F3E3A"/>
    <w:rsid w:val="002F4A25"/>
    <w:rsid w:val="002F6D6A"/>
    <w:rsid w:val="002F701D"/>
    <w:rsid w:val="002F74D8"/>
    <w:rsid w:val="00300735"/>
    <w:rsid w:val="00300A01"/>
    <w:rsid w:val="00300CFE"/>
    <w:rsid w:val="0030152C"/>
    <w:rsid w:val="00301684"/>
    <w:rsid w:val="00303FD9"/>
    <w:rsid w:val="003044DC"/>
    <w:rsid w:val="003045FA"/>
    <w:rsid w:val="0030494D"/>
    <w:rsid w:val="00304EE6"/>
    <w:rsid w:val="00305A03"/>
    <w:rsid w:val="00306236"/>
    <w:rsid w:val="0030683F"/>
    <w:rsid w:val="00306A33"/>
    <w:rsid w:val="0031013A"/>
    <w:rsid w:val="00311021"/>
    <w:rsid w:val="003116E9"/>
    <w:rsid w:val="00311CAF"/>
    <w:rsid w:val="00312D39"/>
    <w:rsid w:val="00314A42"/>
    <w:rsid w:val="00314FEA"/>
    <w:rsid w:val="00315CA2"/>
    <w:rsid w:val="00317A14"/>
    <w:rsid w:val="00320576"/>
    <w:rsid w:val="003210C4"/>
    <w:rsid w:val="00321AA4"/>
    <w:rsid w:val="00322A01"/>
    <w:rsid w:val="00322CEA"/>
    <w:rsid w:val="00322E6A"/>
    <w:rsid w:val="0032377C"/>
    <w:rsid w:val="003239B1"/>
    <w:rsid w:val="0032518D"/>
    <w:rsid w:val="0032530B"/>
    <w:rsid w:val="003275BB"/>
    <w:rsid w:val="0032767F"/>
    <w:rsid w:val="0033190E"/>
    <w:rsid w:val="003348F1"/>
    <w:rsid w:val="00334A87"/>
    <w:rsid w:val="00334C1D"/>
    <w:rsid w:val="00335474"/>
    <w:rsid w:val="00336565"/>
    <w:rsid w:val="0033711C"/>
    <w:rsid w:val="00340030"/>
    <w:rsid w:val="003402A7"/>
    <w:rsid w:val="00340B40"/>
    <w:rsid w:val="00340D3D"/>
    <w:rsid w:val="003410E9"/>
    <w:rsid w:val="00341699"/>
    <w:rsid w:val="00341997"/>
    <w:rsid w:val="0034244C"/>
    <w:rsid w:val="00342B5C"/>
    <w:rsid w:val="0034304C"/>
    <w:rsid w:val="0034445A"/>
    <w:rsid w:val="003446B5"/>
    <w:rsid w:val="00346DD5"/>
    <w:rsid w:val="0034773A"/>
    <w:rsid w:val="00347993"/>
    <w:rsid w:val="00347FF2"/>
    <w:rsid w:val="003507AC"/>
    <w:rsid w:val="003510D4"/>
    <w:rsid w:val="00353C8C"/>
    <w:rsid w:val="003540A3"/>
    <w:rsid w:val="0035731F"/>
    <w:rsid w:val="0036008C"/>
    <w:rsid w:val="0036070F"/>
    <w:rsid w:val="00361268"/>
    <w:rsid w:val="00364887"/>
    <w:rsid w:val="00364F47"/>
    <w:rsid w:val="00365174"/>
    <w:rsid w:val="003667F4"/>
    <w:rsid w:val="00366AD1"/>
    <w:rsid w:val="00370B20"/>
    <w:rsid w:val="00371386"/>
    <w:rsid w:val="00371682"/>
    <w:rsid w:val="0037173D"/>
    <w:rsid w:val="00371872"/>
    <w:rsid w:val="00372C9E"/>
    <w:rsid w:val="00373E46"/>
    <w:rsid w:val="00374A13"/>
    <w:rsid w:val="0037575B"/>
    <w:rsid w:val="003757E6"/>
    <w:rsid w:val="00375857"/>
    <w:rsid w:val="00376889"/>
    <w:rsid w:val="00376CA3"/>
    <w:rsid w:val="003800B7"/>
    <w:rsid w:val="0038058A"/>
    <w:rsid w:val="00380E5E"/>
    <w:rsid w:val="00380E68"/>
    <w:rsid w:val="00380F27"/>
    <w:rsid w:val="0038128B"/>
    <w:rsid w:val="00382B96"/>
    <w:rsid w:val="0038528F"/>
    <w:rsid w:val="00386B3B"/>
    <w:rsid w:val="00386DF8"/>
    <w:rsid w:val="00386E84"/>
    <w:rsid w:val="003909BA"/>
    <w:rsid w:val="00392389"/>
    <w:rsid w:val="0039272D"/>
    <w:rsid w:val="00392A7F"/>
    <w:rsid w:val="00392F17"/>
    <w:rsid w:val="00393886"/>
    <w:rsid w:val="00394E8A"/>
    <w:rsid w:val="00396383"/>
    <w:rsid w:val="00396AF2"/>
    <w:rsid w:val="00396D1A"/>
    <w:rsid w:val="00397899"/>
    <w:rsid w:val="00397CB2"/>
    <w:rsid w:val="003A098E"/>
    <w:rsid w:val="003A0AB3"/>
    <w:rsid w:val="003A0B28"/>
    <w:rsid w:val="003A1EDB"/>
    <w:rsid w:val="003A2642"/>
    <w:rsid w:val="003A2F97"/>
    <w:rsid w:val="003A3549"/>
    <w:rsid w:val="003A3BAD"/>
    <w:rsid w:val="003A4D39"/>
    <w:rsid w:val="003B1286"/>
    <w:rsid w:val="003B277A"/>
    <w:rsid w:val="003B37C0"/>
    <w:rsid w:val="003B3EFB"/>
    <w:rsid w:val="003B4010"/>
    <w:rsid w:val="003B5FA0"/>
    <w:rsid w:val="003B70B9"/>
    <w:rsid w:val="003B7356"/>
    <w:rsid w:val="003B7C58"/>
    <w:rsid w:val="003C016C"/>
    <w:rsid w:val="003C0602"/>
    <w:rsid w:val="003C0709"/>
    <w:rsid w:val="003C0CAB"/>
    <w:rsid w:val="003C12EE"/>
    <w:rsid w:val="003C1772"/>
    <w:rsid w:val="003C1A9C"/>
    <w:rsid w:val="003C21E1"/>
    <w:rsid w:val="003C30A0"/>
    <w:rsid w:val="003C4EE0"/>
    <w:rsid w:val="003C56A6"/>
    <w:rsid w:val="003D00CA"/>
    <w:rsid w:val="003D0137"/>
    <w:rsid w:val="003D32FE"/>
    <w:rsid w:val="003D39A6"/>
    <w:rsid w:val="003D4A2B"/>
    <w:rsid w:val="003D7786"/>
    <w:rsid w:val="003D7DBE"/>
    <w:rsid w:val="003D7FB2"/>
    <w:rsid w:val="003E0A64"/>
    <w:rsid w:val="003E0C7C"/>
    <w:rsid w:val="003E0E55"/>
    <w:rsid w:val="003E2164"/>
    <w:rsid w:val="003E29C3"/>
    <w:rsid w:val="003E2DF0"/>
    <w:rsid w:val="003E4B46"/>
    <w:rsid w:val="003E4FDE"/>
    <w:rsid w:val="003E59A4"/>
    <w:rsid w:val="003E6DFF"/>
    <w:rsid w:val="003E6E29"/>
    <w:rsid w:val="003F0F96"/>
    <w:rsid w:val="003F1ECC"/>
    <w:rsid w:val="003F219F"/>
    <w:rsid w:val="003F23E3"/>
    <w:rsid w:val="003F3C10"/>
    <w:rsid w:val="003F50B4"/>
    <w:rsid w:val="003F66D1"/>
    <w:rsid w:val="003F6D22"/>
    <w:rsid w:val="00403524"/>
    <w:rsid w:val="00404620"/>
    <w:rsid w:val="004048E2"/>
    <w:rsid w:val="00405D02"/>
    <w:rsid w:val="004068AF"/>
    <w:rsid w:val="004076AE"/>
    <w:rsid w:val="00410B2F"/>
    <w:rsid w:val="00412064"/>
    <w:rsid w:val="00412686"/>
    <w:rsid w:val="00413ECB"/>
    <w:rsid w:val="00414E54"/>
    <w:rsid w:val="00415081"/>
    <w:rsid w:val="004153AC"/>
    <w:rsid w:val="0041636D"/>
    <w:rsid w:val="00416808"/>
    <w:rsid w:val="00416990"/>
    <w:rsid w:val="00416F03"/>
    <w:rsid w:val="00417055"/>
    <w:rsid w:val="0042000D"/>
    <w:rsid w:val="00420AA2"/>
    <w:rsid w:val="00420C0E"/>
    <w:rsid w:val="004216FD"/>
    <w:rsid w:val="00422C51"/>
    <w:rsid w:val="004235E0"/>
    <w:rsid w:val="00423F71"/>
    <w:rsid w:val="00426D57"/>
    <w:rsid w:val="00426DC5"/>
    <w:rsid w:val="00427698"/>
    <w:rsid w:val="00430034"/>
    <w:rsid w:val="004300B8"/>
    <w:rsid w:val="00433DFF"/>
    <w:rsid w:val="0043488D"/>
    <w:rsid w:val="00434BCF"/>
    <w:rsid w:val="004356E7"/>
    <w:rsid w:val="004378DD"/>
    <w:rsid w:val="00437CBE"/>
    <w:rsid w:val="00440614"/>
    <w:rsid w:val="00440A47"/>
    <w:rsid w:val="0044242A"/>
    <w:rsid w:val="00442CA1"/>
    <w:rsid w:val="00442D34"/>
    <w:rsid w:val="004431D4"/>
    <w:rsid w:val="00445972"/>
    <w:rsid w:val="00445A0C"/>
    <w:rsid w:val="0044716A"/>
    <w:rsid w:val="00447AE0"/>
    <w:rsid w:val="0045006E"/>
    <w:rsid w:val="0045092F"/>
    <w:rsid w:val="00450B33"/>
    <w:rsid w:val="00451AE4"/>
    <w:rsid w:val="00451D9D"/>
    <w:rsid w:val="00453E1B"/>
    <w:rsid w:val="00453F4F"/>
    <w:rsid w:val="004559A3"/>
    <w:rsid w:val="00455B72"/>
    <w:rsid w:val="004569E3"/>
    <w:rsid w:val="00456F86"/>
    <w:rsid w:val="004571B4"/>
    <w:rsid w:val="00461CE0"/>
    <w:rsid w:val="00461DFE"/>
    <w:rsid w:val="00462465"/>
    <w:rsid w:val="004626A9"/>
    <w:rsid w:val="00462DCB"/>
    <w:rsid w:val="00463305"/>
    <w:rsid w:val="004652A6"/>
    <w:rsid w:val="004662BD"/>
    <w:rsid w:val="00466F01"/>
    <w:rsid w:val="00467194"/>
    <w:rsid w:val="004674A1"/>
    <w:rsid w:val="00467DC8"/>
    <w:rsid w:val="00470FF9"/>
    <w:rsid w:val="0047141A"/>
    <w:rsid w:val="00471E29"/>
    <w:rsid w:val="004725F1"/>
    <w:rsid w:val="00472D56"/>
    <w:rsid w:val="00473C7F"/>
    <w:rsid w:val="00474132"/>
    <w:rsid w:val="004746B2"/>
    <w:rsid w:val="00474BBC"/>
    <w:rsid w:val="00476011"/>
    <w:rsid w:val="00476316"/>
    <w:rsid w:val="004764DE"/>
    <w:rsid w:val="00476B5C"/>
    <w:rsid w:val="00476B6B"/>
    <w:rsid w:val="00476FA7"/>
    <w:rsid w:val="0047771A"/>
    <w:rsid w:val="00477A66"/>
    <w:rsid w:val="00481990"/>
    <w:rsid w:val="00481C3B"/>
    <w:rsid w:val="00481C7B"/>
    <w:rsid w:val="00481F40"/>
    <w:rsid w:val="00482B87"/>
    <w:rsid w:val="00482D96"/>
    <w:rsid w:val="00483473"/>
    <w:rsid w:val="0048579B"/>
    <w:rsid w:val="00486B4E"/>
    <w:rsid w:val="00487ABC"/>
    <w:rsid w:val="004901E5"/>
    <w:rsid w:val="004914E4"/>
    <w:rsid w:val="00493430"/>
    <w:rsid w:val="004938DA"/>
    <w:rsid w:val="00494082"/>
    <w:rsid w:val="00494171"/>
    <w:rsid w:val="00494301"/>
    <w:rsid w:val="00494345"/>
    <w:rsid w:val="004944BB"/>
    <w:rsid w:val="004949EA"/>
    <w:rsid w:val="00495769"/>
    <w:rsid w:val="00495AFF"/>
    <w:rsid w:val="0049762B"/>
    <w:rsid w:val="00497E1C"/>
    <w:rsid w:val="004A07AD"/>
    <w:rsid w:val="004A1899"/>
    <w:rsid w:val="004A2AC4"/>
    <w:rsid w:val="004A320E"/>
    <w:rsid w:val="004A3A8D"/>
    <w:rsid w:val="004A4333"/>
    <w:rsid w:val="004A5C7A"/>
    <w:rsid w:val="004A6145"/>
    <w:rsid w:val="004A74A6"/>
    <w:rsid w:val="004B06E8"/>
    <w:rsid w:val="004B08CF"/>
    <w:rsid w:val="004B09CF"/>
    <w:rsid w:val="004B0B1D"/>
    <w:rsid w:val="004B3FEE"/>
    <w:rsid w:val="004B5A48"/>
    <w:rsid w:val="004B6DEF"/>
    <w:rsid w:val="004B732E"/>
    <w:rsid w:val="004C0A59"/>
    <w:rsid w:val="004C0F5A"/>
    <w:rsid w:val="004C1360"/>
    <w:rsid w:val="004C199E"/>
    <w:rsid w:val="004C215C"/>
    <w:rsid w:val="004C248B"/>
    <w:rsid w:val="004C343E"/>
    <w:rsid w:val="004C3BBF"/>
    <w:rsid w:val="004C42ED"/>
    <w:rsid w:val="004C4341"/>
    <w:rsid w:val="004C4821"/>
    <w:rsid w:val="004C4DA5"/>
    <w:rsid w:val="004C590C"/>
    <w:rsid w:val="004C5FD4"/>
    <w:rsid w:val="004C6444"/>
    <w:rsid w:val="004C7826"/>
    <w:rsid w:val="004C7F5E"/>
    <w:rsid w:val="004D0C6B"/>
    <w:rsid w:val="004D1529"/>
    <w:rsid w:val="004D2605"/>
    <w:rsid w:val="004D2732"/>
    <w:rsid w:val="004D2DD1"/>
    <w:rsid w:val="004D32C7"/>
    <w:rsid w:val="004D3346"/>
    <w:rsid w:val="004D3478"/>
    <w:rsid w:val="004D6226"/>
    <w:rsid w:val="004D64DE"/>
    <w:rsid w:val="004D6710"/>
    <w:rsid w:val="004D7C4E"/>
    <w:rsid w:val="004D7DE2"/>
    <w:rsid w:val="004E12CD"/>
    <w:rsid w:val="004E1C00"/>
    <w:rsid w:val="004E1FDA"/>
    <w:rsid w:val="004E2088"/>
    <w:rsid w:val="004E2CBF"/>
    <w:rsid w:val="004E3AE6"/>
    <w:rsid w:val="004E4DC9"/>
    <w:rsid w:val="004E4DEB"/>
    <w:rsid w:val="004E529C"/>
    <w:rsid w:val="004E5523"/>
    <w:rsid w:val="004E55AA"/>
    <w:rsid w:val="004E5FF3"/>
    <w:rsid w:val="004E64B5"/>
    <w:rsid w:val="004E6EDB"/>
    <w:rsid w:val="004E6F26"/>
    <w:rsid w:val="004E7016"/>
    <w:rsid w:val="004E780F"/>
    <w:rsid w:val="004E7F32"/>
    <w:rsid w:val="004F06E2"/>
    <w:rsid w:val="004F1147"/>
    <w:rsid w:val="004F168F"/>
    <w:rsid w:val="004F1B71"/>
    <w:rsid w:val="004F200A"/>
    <w:rsid w:val="004F2BAD"/>
    <w:rsid w:val="004F3DB5"/>
    <w:rsid w:val="004F5BC6"/>
    <w:rsid w:val="004F5EE7"/>
    <w:rsid w:val="004F704E"/>
    <w:rsid w:val="004F724B"/>
    <w:rsid w:val="004F770C"/>
    <w:rsid w:val="004F7B0E"/>
    <w:rsid w:val="004F7BE7"/>
    <w:rsid w:val="0050095A"/>
    <w:rsid w:val="00502E06"/>
    <w:rsid w:val="005031FD"/>
    <w:rsid w:val="00503C37"/>
    <w:rsid w:val="00503C96"/>
    <w:rsid w:val="00504ACC"/>
    <w:rsid w:val="005053B8"/>
    <w:rsid w:val="00505879"/>
    <w:rsid w:val="005065D0"/>
    <w:rsid w:val="00506B7D"/>
    <w:rsid w:val="0050713B"/>
    <w:rsid w:val="00507576"/>
    <w:rsid w:val="005106A7"/>
    <w:rsid w:val="00512F0E"/>
    <w:rsid w:val="005133D3"/>
    <w:rsid w:val="005161B4"/>
    <w:rsid w:val="00516A39"/>
    <w:rsid w:val="00516BD7"/>
    <w:rsid w:val="00516DD7"/>
    <w:rsid w:val="00516EFA"/>
    <w:rsid w:val="00517FAE"/>
    <w:rsid w:val="0052050F"/>
    <w:rsid w:val="005220BE"/>
    <w:rsid w:val="005226EE"/>
    <w:rsid w:val="00523584"/>
    <w:rsid w:val="00525D0D"/>
    <w:rsid w:val="00526917"/>
    <w:rsid w:val="00526B4C"/>
    <w:rsid w:val="00526DC9"/>
    <w:rsid w:val="00527BBF"/>
    <w:rsid w:val="00530398"/>
    <w:rsid w:val="00530DFF"/>
    <w:rsid w:val="0053227A"/>
    <w:rsid w:val="005322B8"/>
    <w:rsid w:val="00532E91"/>
    <w:rsid w:val="0053319C"/>
    <w:rsid w:val="00533D2C"/>
    <w:rsid w:val="005341A4"/>
    <w:rsid w:val="00534C59"/>
    <w:rsid w:val="00535065"/>
    <w:rsid w:val="0053522C"/>
    <w:rsid w:val="005355B0"/>
    <w:rsid w:val="0053655F"/>
    <w:rsid w:val="0053772C"/>
    <w:rsid w:val="00537F81"/>
    <w:rsid w:val="00541C1C"/>
    <w:rsid w:val="0054216A"/>
    <w:rsid w:val="00542FBE"/>
    <w:rsid w:val="005444BD"/>
    <w:rsid w:val="0054549A"/>
    <w:rsid w:val="0054675C"/>
    <w:rsid w:val="005469AC"/>
    <w:rsid w:val="00546B37"/>
    <w:rsid w:val="00547D5F"/>
    <w:rsid w:val="00550446"/>
    <w:rsid w:val="00550BAA"/>
    <w:rsid w:val="0055164F"/>
    <w:rsid w:val="00552648"/>
    <w:rsid w:val="00552B1F"/>
    <w:rsid w:val="00554C2A"/>
    <w:rsid w:val="00554E0B"/>
    <w:rsid w:val="0055546C"/>
    <w:rsid w:val="00556317"/>
    <w:rsid w:val="00557911"/>
    <w:rsid w:val="00560DBF"/>
    <w:rsid w:val="00561280"/>
    <w:rsid w:val="005645F6"/>
    <w:rsid w:val="0056506B"/>
    <w:rsid w:val="00565221"/>
    <w:rsid w:val="00565FF1"/>
    <w:rsid w:val="00570098"/>
    <w:rsid w:val="0057067F"/>
    <w:rsid w:val="00570C35"/>
    <w:rsid w:val="005712D8"/>
    <w:rsid w:val="0057157C"/>
    <w:rsid w:val="00571E8B"/>
    <w:rsid w:val="005748BC"/>
    <w:rsid w:val="00576A3D"/>
    <w:rsid w:val="00577F76"/>
    <w:rsid w:val="005806D5"/>
    <w:rsid w:val="00580962"/>
    <w:rsid w:val="00580F6F"/>
    <w:rsid w:val="00581728"/>
    <w:rsid w:val="00582BE3"/>
    <w:rsid w:val="00583984"/>
    <w:rsid w:val="0058699B"/>
    <w:rsid w:val="00587088"/>
    <w:rsid w:val="005871E9"/>
    <w:rsid w:val="0058739A"/>
    <w:rsid w:val="005901FC"/>
    <w:rsid w:val="005912D6"/>
    <w:rsid w:val="00591737"/>
    <w:rsid w:val="00592206"/>
    <w:rsid w:val="00592745"/>
    <w:rsid w:val="00592FD9"/>
    <w:rsid w:val="00593690"/>
    <w:rsid w:val="00593CAB"/>
    <w:rsid w:val="00594DCC"/>
    <w:rsid w:val="005956F2"/>
    <w:rsid w:val="00595899"/>
    <w:rsid w:val="005963F8"/>
    <w:rsid w:val="00596904"/>
    <w:rsid w:val="005A0C47"/>
    <w:rsid w:val="005A2F52"/>
    <w:rsid w:val="005A32B4"/>
    <w:rsid w:val="005A393F"/>
    <w:rsid w:val="005A4F08"/>
    <w:rsid w:val="005A5260"/>
    <w:rsid w:val="005A537C"/>
    <w:rsid w:val="005A78F8"/>
    <w:rsid w:val="005B03F6"/>
    <w:rsid w:val="005B0957"/>
    <w:rsid w:val="005B12E0"/>
    <w:rsid w:val="005B24D4"/>
    <w:rsid w:val="005B2979"/>
    <w:rsid w:val="005B40D0"/>
    <w:rsid w:val="005B4559"/>
    <w:rsid w:val="005B57D3"/>
    <w:rsid w:val="005B5AC8"/>
    <w:rsid w:val="005B60CF"/>
    <w:rsid w:val="005B6A09"/>
    <w:rsid w:val="005B71E3"/>
    <w:rsid w:val="005B7F49"/>
    <w:rsid w:val="005C052E"/>
    <w:rsid w:val="005C075D"/>
    <w:rsid w:val="005C130B"/>
    <w:rsid w:val="005C17E2"/>
    <w:rsid w:val="005C184F"/>
    <w:rsid w:val="005C19E0"/>
    <w:rsid w:val="005C202C"/>
    <w:rsid w:val="005C3447"/>
    <w:rsid w:val="005C3993"/>
    <w:rsid w:val="005C416D"/>
    <w:rsid w:val="005C4A9A"/>
    <w:rsid w:val="005C6C7D"/>
    <w:rsid w:val="005D032B"/>
    <w:rsid w:val="005D043B"/>
    <w:rsid w:val="005D049F"/>
    <w:rsid w:val="005D05F9"/>
    <w:rsid w:val="005D0FCA"/>
    <w:rsid w:val="005D107F"/>
    <w:rsid w:val="005D1B92"/>
    <w:rsid w:val="005D4C16"/>
    <w:rsid w:val="005D4C4D"/>
    <w:rsid w:val="005D583E"/>
    <w:rsid w:val="005D67B0"/>
    <w:rsid w:val="005D7762"/>
    <w:rsid w:val="005E0B78"/>
    <w:rsid w:val="005E1694"/>
    <w:rsid w:val="005E1804"/>
    <w:rsid w:val="005E2361"/>
    <w:rsid w:val="005E2744"/>
    <w:rsid w:val="005E39E1"/>
    <w:rsid w:val="005E421B"/>
    <w:rsid w:val="005E582F"/>
    <w:rsid w:val="005E5D5B"/>
    <w:rsid w:val="005E6A7F"/>
    <w:rsid w:val="005E7E1A"/>
    <w:rsid w:val="005E7F2F"/>
    <w:rsid w:val="005F0132"/>
    <w:rsid w:val="005F1841"/>
    <w:rsid w:val="005F18A2"/>
    <w:rsid w:val="005F256B"/>
    <w:rsid w:val="005F2D43"/>
    <w:rsid w:val="005F382D"/>
    <w:rsid w:val="005F3E44"/>
    <w:rsid w:val="005F5BAD"/>
    <w:rsid w:val="005F5FFE"/>
    <w:rsid w:val="005F6365"/>
    <w:rsid w:val="005F79EF"/>
    <w:rsid w:val="006009F3"/>
    <w:rsid w:val="0060259C"/>
    <w:rsid w:val="00602FF3"/>
    <w:rsid w:val="00603932"/>
    <w:rsid w:val="00605C11"/>
    <w:rsid w:val="006060DD"/>
    <w:rsid w:val="006064CD"/>
    <w:rsid w:val="0060736D"/>
    <w:rsid w:val="006077A9"/>
    <w:rsid w:val="00607959"/>
    <w:rsid w:val="006105A0"/>
    <w:rsid w:val="00610AF7"/>
    <w:rsid w:val="00611655"/>
    <w:rsid w:val="00611975"/>
    <w:rsid w:val="0061216D"/>
    <w:rsid w:val="00612763"/>
    <w:rsid w:val="006145DA"/>
    <w:rsid w:val="00614CE1"/>
    <w:rsid w:val="006151DD"/>
    <w:rsid w:val="00615913"/>
    <w:rsid w:val="00616730"/>
    <w:rsid w:val="00616EEF"/>
    <w:rsid w:val="00617BE3"/>
    <w:rsid w:val="006202C8"/>
    <w:rsid w:val="0062124A"/>
    <w:rsid w:val="00621D5C"/>
    <w:rsid w:val="00622494"/>
    <w:rsid w:val="00622812"/>
    <w:rsid w:val="00623736"/>
    <w:rsid w:val="00623A5B"/>
    <w:rsid w:val="00623C8A"/>
    <w:rsid w:val="00624308"/>
    <w:rsid w:val="00624D22"/>
    <w:rsid w:val="00625036"/>
    <w:rsid w:val="00625384"/>
    <w:rsid w:val="00627088"/>
    <w:rsid w:val="00627114"/>
    <w:rsid w:val="00630179"/>
    <w:rsid w:val="006304D6"/>
    <w:rsid w:val="00631E7E"/>
    <w:rsid w:val="0063275A"/>
    <w:rsid w:val="0063294E"/>
    <w:rsid w:val="00632AC3"/>
    <w:rsid w:val="00633771"/>
    <w:rsid w:val="0063432D"/>
    <w:rsid w:val="006357B9"/>
    <w:rsid w:val="00636C6A"/>
    <w:rsid w:val="00640CDC"/>
    <w:rsid w:val="0064235E"/>
    <w:rsid w:val="00642F89"/>
    <w:rsid w:val="00642F9C"/>
    <w:rsid w:val="006436A9"/>
    <w:rsid w:val="00643A58"/>
    <w:rsid w:val="00643C15"/>
    <w:rsid w:val="00643F28"/>
    <w:rsid w:val="00646536"/>
    <w:rsid w:val="0064725D"/>
    <w:rsid w:val="00647AF8"/>
    <w:rsid w:val="00651B9C"/>
    <w:rsid w:val="00651C73"/>
    <w:rsid w:val="0065367F"/>
    <w:rsid w:val="00654E47"/>
    <w:rsid w:val="00655E85"/>
    <w:rsid w:val="00656987"/>
    <w:rsid w:val="00657D66"/>
    <w:rsid w:val="00660359"/>
    <w:rsid w:val="00661C53"/>
    <w:rsid w:val="0066201E"/>
    <w:rsid w:val="00663729"/>
    <w:rsid w:val="00664A6E"/>
    <w:rsid w:val="00664E63"/>
    <w:rsid w:val="0066612B"/>
    <w:rsid w:val="006676C4"/>
    <w:rsid w:val="00667A34"/>
    <w:rsid w:val="00667CF5"/>
    <w:rsid w:val="006702DC"/>
    <w:rsid w:val="006706CB"/>
    <w:rsid w:val="00671313"/>
    <w:rsid w:val="006718B7"/>
    <w:rsid w:val="00672881"/>
    <w:rsid w:val="00673870"/>
    <w:rsid w:val="00674E3D"/>
    <w:rsid w:val="006759F7"/>
    <w:rsid w:val="00675C98"/>
    <w:rsid w:val="006766BA"/>
    <w:rsid w:val="006816EC"/>
    <w:rsid w:val="00682599"/>
    <w:rsid w:val="006832DD"/>
    <w:rsid w:val="006842A3"/>
    <w:rsid w:val="0068525C"/>
    <w:rsid w:val="00687514"/>
    <w:rsid w:val="0069181C"/>
    <w:rsid w:val="00692830"/>
    <w:rsid w:val="006942A5"/>
    <w:rsid w:val="006956D9"/>
    <w:rsid w:val="00695A3D"/>
    <w:rsid w:val="0069613B"/>
    <w:rsid w:val="006A1B66"/>
    <w:rsid w:val="006A2A87"/>
    <w:rsid w:val="006A2D09"/>
    <w:rsid w:val="006A3BAF"/>
    <w:rsid w:val="006A4668"/>
    <w:rsid w:val="006A4983"/>
    <w:rsid w:val="006A4BC6"/>
    <w:rsid w:val="006A578B"/>
    <w:rsid w:val="006A6D84"/>
    <w:rsid w:val="006A6F00"/>
    <w:rsid w:val="006A70B5"/>
    <w:rsid w:val="006B32CE"/>
    <w:rsid w:val="006B3784"/>
    <w:rsid w:val="006B6289"/>
    <w:rsid w:val="006B6804"/>
    <w:rsid w:val="006B6A24"/>
    <w:rsid w:val="006B7950"/>
    <w:rsid w:val="006C0221"/>
    <w:rsid w:val="006C0811"/>
    <w:rsid w:val="006C1A85"/>
    <w:rsid w:val="006C2960"/>
    <w:rsid w:val="006C6871"/>
    <w:rsid w:val="006C6C44"/>
    <w:rsid w:val="006D065E"/>
    <w:rsid w:val="006D0D24"/>
    <w:rsid w:val="006D1546"/>
    <w:rsid w:val="006D1838"/>
    <w:rsid w:val="006D19B9"/>
    <w:rsid w:val="006D22B0"/>
    <w:rsid w:val="006D2D84"/>
    <w:rsid w:val="006D312C"/>
    <w:rsid w:val="006D3E7F"/>
    <w:rsid w:val="006D4F6D"/>
    <w:rsid w:val="006D587A"/>
    <w:rsid w:val="006D5B55"/>
    <w:rsid w:val="006D643B"/>
    <w:rsid w:val="006D6994"/>
    <w:rsid w:val="006D7FD3"/>
    <w:rsid w:val="006E0B98"/>
    <w:rsid w:val="006E0BA3"/>
    <w:rsid w:val="006E1C89"/>
    <w:rsid w:val="006E45B2"/>
    <w:rsid w:val="006E5C96"/>
    <w:rsid w:val="006E6317"/>
    <w:rsid w:val="006E68CD"/>
    <w:rsid w:val="006E73B8"/>
    <w:rsid w:val="006F19A1"/>
    <w:rsid w:val="006F1CEB"/>
    <w:rsid w:val="006F23D2"/>
    <w:rsid w:val="006F38DB"/>
    <w:rsid w:val="006F597F"/>
    <w:rsid w:val="006F5BE7"/>
    <w:rsid w:val="006F6BB2"/>
    <w:rsid w:val="006F6D0C"/>
    <w:rsid w:val="006F71EC"/>
    <w:rsid w:val="007001BF"/>
    <w:rsid w:val="00700DE8"/>
    <w:rsid w:val="00700EAE"/>
    <w:rsid w:val="00703298"/>
    <w:rsid w:val="00704728"/>
    <w:rsid w:val="0070595C"/>
    <w:rsid w:val="00706C21"/>
    <w:rsid w:val="00706F2F"/>
    <w:rsid w:val="007101FE"/>
    <w:rsid w:val="00713BF1"/>
    <w:rsid w:val="0071423B"/>
    <w:rsid w:val="007143A4"/>
    <w:rsid w:val="007152AB"/>
    <w:rsid w:val="007175ED"/>
    <w:rsid w:val="00717DB6"/>
    <w:rsid w:val="00720F8E"/>
    <w:rsid w:val="007234A6"/>
    <w:rsid w:val="0072375E"/>
    <w:rsid w:val="0072392F"/>
    <w:rsid w:val="007239E1"/>
    <w:rsid w:val="00723AB6"/>
    <w:rsid w:val="00723FE3"/>
    <w:rsid w:val="007240D3"/>
    <w:rsid w:val="00724CB8"/>
    <w:rsid w:val="00725313"/>
    <w:rsid w:val="00725CAF"/>
    <w:rsid w:val="00726BBD"/>
    <w:rsid w:val="007273F9"/>
    <w:rsid w:val="0072784F"/>
    <w:rsid w:val="00727C15"/>
    <w:rsid w:val="00730E90"/>
    <w:rsid w:val="00730F32"/>
    <w:rsid w:val="0073131D"/>
    <w:rsid w:val="00731698"/>
    <w:rsid w:val="0073171A"/>
    <w:rsid w:val="00731B54"/>
    <w:rsid w:val="00731C00"/>
    <w:rsid w:val="00731E5F"/>
    <w:rsid w:val="00731F03"/>
    <w:rsid w:val="0073229A"/>
    <w:rsid w:val="00733533"/>
    <w:rsid w:val="00733D6D"/>
    <w:rsid w:val="007347C2"/>
    <w:rsid w:val="007359E4"/>
    <w:rsid w:val="0073639C"/>
    <w:rsid w:val="00736EB3"/>
    <w:rsid w:val="0073746F"/>
    <w:rsid w:val="0073761D"/>
    <w:rsid w:val="00737891"/>
    <w:rsid w:val="007402EC"/>
    <w:rsid w:val="00742A80"/>
    <w:rsid w:val="00742E7F"/>
    <w:rsid w:val="007455C8"/>
    <w:rsid w:val="00745A81"/>
    <w:rsid w:val="00746D3A"/>
    <w:rsid w:val="00746E83"/>
    <w:rsid w:val="00750A1A"/>
    <w:rsid w:val="00751914"/>
    <w:rsid w:val="00751A08"/>
    <w:rsid w:val="00752882"/>
    <w:rsid w:val="00753397"/>
    <w:rsid w:val="0075491A"/>
    <w:rsid w:val="00757AF9"/>
    <w:rsid w:val="00757B0A"/>
    <w:rsid w:val="00757BB9"/>
    <w:rsid w:val="00757CB4"/>
    <w:rsid w:val="0076053E"/>
    <w:rsid w:val="00760FF9"/>
    <w:rsid w:val="007610A7"/>
    <w:rsid w:val="00761FAF"/>
    <w:rsid w:val="0076210E"/>
    <w:rsid w:val="00762888"/>
    <w:rsid w:val="00762A9E"/>
    <w:rsid w:val="00762AEF"/>
    <w:rsid w:val="007648DB"/>
    <w:rsid w:val="00764C07"/>
    <w:rsid w:val="0076533E"/>
    <w:rsid w:val="00765527"/>
    <w:rsid w:val="0076659D"/>
    <w:rsid w:val="007668C7"/>
    <w:rsid w:val="00766C58"/>
    <w:rsid w:val="0076732F"/>
    <w:rsid w:val="007705EA"/>
    <w:rsid w:val="00772B7B"/>
    <w:rsid w:val="0077371F"/>
    <w:rsid w:val="00774026"/>
    <w:rsid w:val="00774451"/>
    <w:rsid w:val="0077485A"/>
    <w:rsid w:val="00774D57"/>
    <w:rsid w:val="00775191"/>
    <w:rsid w:val="00775ECA"/>
    <w:rsid w:val="007763FA"/>
    <w:rsid w:val="0077658C"/>
    <w:rsid w:val="00777C7D"/>
    <w:rsid w:val="00777FC7"/>
    <w:rsid w:val="00782025"/>
    <w:rsid w:val="00782A78"/>
    <w:rsid w:val="00782A9E"/>
    <w:rsid w:val="0078356B"/>
    <w:rsid w:val="00783599"/>
    <w:rsid w:val="007851A3"/>
    <w:rsid w:val="007856A5"/>
    <w:rsid w:val="007860CF"/>
    <w:rsid w:val="0078699B"/>
    <w:rsid w:val="00791F3A"/>
    <w:rsid w:val="00792199"/>
    <w:rsid w:val="0079400A"/>
    <w:rsid w:val="00794317"/>
    <w:rsid w:val="00794DD2"/>
    <w:rsid w:val="007A04EA"/>
    <w:rsid w:val="007A185F"/>
    <w:rsid w:val="007A2A54"/>
    <w:rsid w:val="007A30B6"/>
    <w:rsid w:val="007A3891"/>
    <w:rsid w:val="007A42BB"/>
    <w:rsid w:val="007A4370"/>
    <w:rsid w:val="007A4FF5"/>
    <w:rsid w:val="007A5010"/>
    <w:rsid w:val="007A668B"/>
    <w:rsid w:val="007A6D6F"/>
    <w:rsid w:val="007A7942"/>
    <w:rsid w:val="007B198F"/>
    <w:rsid w:val="007B36F2"/>
    <w:rsid w:val="007B475C"/>
    <w:rsid w:val="007B4D81"/>
    <w:rsid w:val="007B643E"/>
    <w:rsid w:val="007B6E33"/>
    <w:rsid w:val="007B7E8E"/>
    <w:rsid w:val="007C0417"/>
    <w:rsid w:val="007C0616"/>
    <w:rsid w:val="007C0B05"/>
    <w:rsid w:val="007C1438"/>
    <w:rsid w:val="007C16FD"/>
    <w:rsid w:val="007C251B"/>
    <w:rsid w:val="007C3520"/>
    <w:rsid w:val="007C447E"/>
    <w:rsid w:val="007C5092"/>
    <w:rsid w:val="007C5A6D"/>
    <w:rsid w:val="007C5E30"/>
    <w:rsid w:val="007C6548"/>
    <w:rsid w:val="007C76BF"/>
    <w:rsid w:val="007D209A"/>
    <w:rsid w:val="007D2C9C"/>
    <w:rsid w:val="007D40D7"/>
    <w:rsid w:val="007D4340"/>
    <w:rsid w:val="007D4C79"/>
    <w:rsid w:val="007D58A7"/>
    <w:rsid w:val="007D6F1A"/>
    <w:rsid w:val="007D6F3B"/>
    <w:rsid w:val="007D6F91"/>
    <w:rsid w:val="007E0001"/>
    <w:rsid w:val="007E061D"/>
    <w:rsid w:val="007E1AD3"/>
    <w:rsid w:val="007E34CB"/>
    <w:rsid w:val="007E5941"/>
    <w:rsid w:val="007E6FB9"/>
    <w:rsid w:val="007F014E"/>
    <w:rsid w:val="007F0AEB"/>
    <w:rsid w:val="007F0D92"/>
    <w:rsid w:val="007F2BC7"/>
    <w:rsid w:val="007F2C17"/>
    <w:rsid w:val="007F32F6"/>
    <w:rsid w:val="007F3638"/>
    <w:rsid w:val="007F368E"/>
    <w:rsid w:val="007F42FA"/>
    <w:rsid w:val="007F4B83"/>
    <w:rsid w:val="007F4C4D"/>
    <w:rsid w:val="007F51D6"/>
    <w:rsid w:val="007F6BD5"/>
    <w:rsid w:val="008018F8"/>
    <w:rsid w:val="00801BCD"/>
    <w:rsid w:val="008031F0"/>
    <w:rsid w:val="00803FD3"/>
    <w:rsid w:val="00804B88"/>
    <w:rsid w:val="008050C3"/>
    <w:rsid w:val="00805EED"/>
    <w:rsid w:val="0080701F"/>
    <w:rsid w:val="0080722B"/>
    <w:rsid w:val="00807E87"/>
    <w:rsid w:val="00810386"/>
    <w:rsid w:val="008105D8"/>
    <w:rsid w:val="00810E28"/>
    <w:rsid w:val="00810E5E"/>
    <w:rsid w:val="008110B6"/>
    <w:rsid w:val="008116C9"/>
    <w:rsid w:val="008120F1"/>
    <w:rsid w:val="00812441"/>
    <w:rsid w:val="00812975"/>
    <w:rsid w:val="008129DB"/>
    <w:rsid w:val="00813D1A"/>
    <w:rsid w:val="00814DB7"/>
    <w:rsid w:val="00814E02"/>
    <w:rsid w:val="00815122"/>
    <w:rsid w:val="008156B2"/>
    <w:rsid w:val="0081638A"/>
    <w:rsid w:val="008164E0"/>
    <w:rsid w:val="008173AF"/>
    <w:rsid w:val="008174ED"/>
    <w:rsid w:val="00821D6A"/>
    <w:rsid w:val="00821EA2"/>
    <w:rsid w:val="00822791"/>
    <w:rsid w:val="00822902"/>
    <w:rsid w:val="00822F38"/>
    <w:rsid w:val="008231A4"/>
    <w:rsid w:val="008240BC"/>
    <w:rsid w:val="00824617"/>
    <w:rsid w:val="00824690"/>
    <w:rsid w:val="008250B6"/>
    <w:rsid w:val="008256D9"/>
    <w:rsid w:val="008268A8"/>
    <w:rsid w:val="00826A0E"/>
    <w:rsid w:val="008274B5"/>
    <w:rsid w:val="00830D15"/>
    <w:rsid w:val="00830F5E"/>
    <w:rsid w:val="0083103D"/>
    <w:rsid w:val="0083192F"/>
    <w:rsid w:val="008326D5"/>
    <w:rsid w:val="0083323B"/>
    <w:rsid w:val="0083330D"/>
    <w:rsid w:val="00833E7A"/>
    <w:rsid w:val="0083417D"/>
    <w:rsid w:val="008346FE"/>
    <w:rsid w:val="00834CBB"/>
    <w:rsid w:val="00834F5B"/>
    <w:rsid w:val="00835823"/>
    <w:rsid w:val="008361D3"/>
    <w:rsid w:val="0083743B"/>
    <w:rsid w:val="00837AB3"/>
    <w:rsid w:val="00840C3C"/>
    <w:rsid w:val="00841255"/>
    <w:rsid w:val="0084189E"/>
    <w:rsid w:val="00842303"/>
    <w:rsid w:val="00843292"/>
    <w:rsid w:val="008436AF"/>
    <w:rsid w:val="00843DCD"/>
    <w:rsid w:val="008440ED"/>
    <w:rsid w:val="00846B5C"/>
    <w:rsid w:val="008470D0"/>
    <w:rsid w:val="00850160"/>
    <w:rsid w:val="0085052D"/>
    <w:rsid w:val="00850F9F"/>
    <w:rsid w:val="00855A4E"/>
    <w:rsid w:val="008568C1"/>
    <w:rsid w:val="00856DA2"/>
    <w:rsid w:val="0085706C"/>
    <w:rsid w:val="00857F0A"/>
    <w:rsid w:val="008612B3"/>
    <w:rsid w:val="00863228"/>
    <w:rsid w:val="008633C7"/>
    <w:rsid w:val="00863405"/>
    <w:rsid w:val="008641D5"/>
    <w:rsid w:val="008648FC"/>
    <w:rsid w:val="00864CDA"/>
    <w:rsid w:val="00864DA5"/>
    <w:rsid w:val="00865255"/>
    <w:rsid w:val="00865D16"/>
    <w:rsid w:val="008679E0"/>
    <w:rsid w:val="008703E4"/>
    <w:rsid w:val="00870501"/>
    <w:rsid w:val="00870E39"/>
    <w:rsid w:val="00871B94"/>
    <w:rsid w:val="00871E4B"/>
    <w:rsid w:val="008736B6"/>
    <w:rsid w:val="00873DBF"/>
    <w:rsid w:val="00874991"/>
    <w:rsid w:val="00874EBB"/>
    <w:rsid w:val="00877198"/>
    <w:rsid w:val="00882C8E"/>
    <w:rsid w:val="00884EDA"/>
    <w:rsid w:val="00885A7E"/>
    <w:rsid w:val="00886473"/>
    <w:rsid w:val="008872F2"/>
    <w:rsid w:val="0089007B"/>
    <w:rsid w:val="00891386"/>
    <w:rsid w:val="008954FD"/>
    <w:rsid w:val="008962CC"/>
    <w:rsid w:val="00896642"/>
    <w:rsid w:val="0089732C"/>
    <w:rsid w:val="00897467"/>
    <w:rsid w:val="00897672"/>
    <w:rsid w:val="00897E1E"/>
    <w:rsid w:val="008A0A41"/>
    <w:rsid w:val="008A0B2F"/>
    <w:rsid w:val="008A10FD"/>
    <w:rsid w:val="008A124D"/>
    <w:rsid w:val="008A16B9"/>
    <w:rsid w:val="008A17AB"/>
    <w:rsid w:val="008A2FB6"/>
    <w:rsid w:val="008A32A0"/>
    <w:rsid w:val="008A5A9A"/>
    <w:rsid w:val="008A77B5"/>
    <w:rsid w:val="008B0527"/>
    <w:rsid w:val="008B0F2C"/>
    <w:rsid w:val="008B11CB"/>
    <w:rsid w:val="008B318E"/>
    <w:rsid w:val="008B3741"/>
    <w:rsid w:val="008B50D4"/>
    <w:rsid w:val="008B5668"/>
    <w:rsid w:val="008B61AA"/>
    <w:rsid w:val="008B7BDD"/>
    <w:rsid w:val="008C1D8A"/>
    <w:rsid w:val="008C228F"/>
    <w:rsid w:val="008C4829"/>
    <w:rsid w:val="008C4B9A"/>
    <w:rsid w:val="008D05D7"/>
    <w:rsid w:val="008D06EB"/>
    <w:rsid w:val="008D3489"/>
    <w:rsid w:val="008D3DB8"/>
    <w:rsid w:val="008D3EC9"/>
    <w:rsid w:val="008D44F7"/>
    <w:rsid w:val="008D5847"/>
    <w:rsid w:val="008D7080"/>
    <w:rsid w:val="008D7737"/>
    <w:rsid w:val="008E09F9"/>
    <w:rsid w:val="008E20A0"/>
    <w:rsid w:val="008E2133"/>
    <w:rsid w:val="008E2911"/>
    <w:rsid w:val="008E3789"/>
    <w:rsid w:val="008E3D8C"/>
    <w:rsid w:val="008E3FC6"/>
    <w:rsid w:val="008E4D3B"/>
    <w:rsid w:val="008E5061"/>
    <w:rsid w:val="008E50DB"/>
    <w:rsid w:val="008E5221"/>
    <w:rsid w:val="008E5986"/>
    <w:rsid w:val="008E59F9"/>
    <w:rsid w:val="008E7C58"/>
    <w:rsid w:val="008E7F9D"/>
    <w:rsid w:val="008F0F4D"/>
    <w:rsid w:val="008F2F5E"/>
    <w:rsid w:val="008F52FE"/>
    <w:rsid w:val="008F59F6"/>
    <w:rsid w:val="008F675A"/>
    <w:rsid w:val="0090028C"/>
    <w:rsid w:val="00902F85"/>
    <w:rsid w:val="009035FC"/>
    <w:rsid w:val="00904AE7"/>
    <w:rsid w:val="00906294"/>
    <w:rsid w:val="00906355"/>
    <w:rsid w:val="00906A49"/>
    <w:rsid w:val="00906B06"/>
    <w:rsid w:val="00910245"/>
    <w:rsid w:val="009115BD"/>
    <w:rsid w:val="009123C1"/>
    <w:rsid w:val="00912B09"/>
    <w:rsid w:val="00913343"/>
    <w:rsid w:val="0091440D"/>
    <w:rsid w:val="00914520"/>
    <w:rsid w:val="009147D9"/>
    <w:rsid w:val="00914B26"/>
    <w:rsid w:val="00914CE9"/>
    <w:rsid w:val="00914FBC"/>
    <w:rsid w:val="00916925"/>
    <w:rsid w:val="009178C7"/>
    <w:rsid w:val="009222E3"/>
    <w:rsid w:val="00924A92"/>
    <w:rsid w:val="009250E1"/>
    <w:rsid w:val="009252AC"/>
    <w:rsid w:val="009256AA"/>
    <w:rsid w:val="00925A96"/>
    <w:rsid w:val="009263FE"/>
    <w:rsid w:val="00926D24"/>
    <w:rsid w:val="00926E1C"/>
    <w:rsid w:val="00931E6D"/>
    <w:rsid w:val="00931FB1"/>
    <w:rsid w:val="00932A8A"/>
    <w:rsid w:val="00933715"/>
    <w:rsid w:val="00934341"/>
    <w:rsid w:val="009356F9"/>
    <w:rsid w:val="0093619F"/>
    <w:rsid w:val="00937519"/>
    <w:rsid w:val="00941129"/>
    <w:rsid w:val="0094208A"/>
    <w:rsid w:val="00943474"/>
    <w:rsid w:val="00943FBD"/>
    <w:rsid w:val="00944AEF"/>
    <w:rsid w:val="00944F09"/>
    <w:rsid w:val="0094579D"/>
    <w:rsid w:val="00945AE6"/>
    <w:rsid w:val="00945DE4"/>
    <w:rsid w:val="00946284"/>
    <w:rsid w:val="009463A1"/>
    <w:rsid w:val="00947BD5"/>
    <w:rsid w:val="00950110"/>
    <w:rsid w:val="0095020F"/>
    <w:rsid w:val="0095048F"/>
    <w:rsid w:val="00950E88"/>
    <w:rsid w:val="00951ACC"/>
    <w:rsid w:val="00952379"/>
    <w:rsid w:val="009535C1"/>
    <w:rsid w:val="0095417B"/>
    <w:rsid w:val="00954BF1"/>
    <w:rsid w:val="00956E96"/>
    <w:rsid w:val="00957275"/>
    <w:rsid w:val="00957FD5"/>
    <w:rsid w:val="00962470"/>
    <w:rsid w:val="0096311F"/>
    <w:rsid w:val="00963EEB"/>
    <w:rsid w:val="0096429E"/>
    <w:rsid w:val="00964360"/>
    <w:rsid w:val="00964606"/>
    <w:rsid w:val="00965240"/>
    <w:rsid w:val="009653D1"/>
    <w:rsid w:val="00965C4C"/>
    <w:rsid w:val="00967B8D"/>
    <w:rsid w:val="00970115"/>
    <w:rsid w:val="009718B2"/>
    <w:rsid w:val="00971AA8"/>
    <w:rsid w:val="0097412E"/>
    <w:rsid w:val="0097533A"/>
    <w:rsid w:val="009766CE"/>
    <w:rsid w:val="00976CA6"/>
    <w:rsid w:val="00977612"/>
    <w:rsid w:val="00980AA8"/>
    <w:rsid w:val="009825B5"/>
    <w:rsid w:val="009830BF"/>
    <w:rsid w:val="0098420A"/>
    <w:rsid w:val="00985270"/>
    <w:rsid w:val="0098700E"/>
    <w:rsid w:val="00987B2B"/>
    <w:rsid w:val="009918A0"/>
    <w:rsid w:val="009918CB"/>
    <w:rsid w:val="00991961"/>
    <w:rsid w:val="00991A7A"/>
    <w:rsid w:val="00992464"/>
    <w:rsid w:val="00992571"/>
    <w:rsid w:val="009939C5"/>
    <w:rsid w:val="00993AF7"/>
    <w:rsid w:val="009945B4"/>
    <w:rsid w:val="00995567"/>
    <w:rsid w:val="009956D3"/>
    <w:rsid w:val="0099602F"/>
    <w:rsid w:val="009974EA"/>
    <w:rsid w:val="009975B8"/>
    <w:rsid w:val="00997D55"/>
    <w:rsid w:val="009A0706"/>
    <w:rsid w:val="009A0DE0"/>
    <w:rsid w:val="009A13F7"/>
    <w:rsid w:val="009A2D51"/>
    <w:rsid w:val="009A5C34"/>
    <w:rsid w:val="009B0236"/>
    <w:rsid w:val="009B2FE5"/>
    <w:rsid w:val="009B3333"/>
    <w:rsid w:val="009B3848"/>
    <w:rsid w:val="009B502E"/>
    <w:rsid w:val="009B5AFB"/>
    <w:rsid w:val="009B5E8C"/>
    <w:rsid w:val="009B64BB"/>
    <w:rsid w:val="009B74E2"/>
    <w:rsid w:val="009C1F1C"/>
    <w:rsid w:val="009C303B"/>
    <w:rsid w:val="009C3B71"/>
    <w:rsid w:val="009C4ADE"/>
    <w:rsid w:val="009C4E08"/>
    <w:rsid w:val="009C57E0"/>
    <w:rsid w:val="009C6550"/>
    <w:rsid w:val="009C6E03"/>
    <w:rsid w:val="009C71BD"/>
    <w:rsid w:val="009C7358"/>
    <w:rsid w:val="009C7CB9"/>
    <w:rsid w:val="009C7DB2"/>
    <w:rsid w:val="009D00F4"/>
    <w:rsid w:val="009D024D"/>
    <w:rsid w:val="009D0335"/>
    <w:rsid w:val="009D03F9"/>
    <w:rsid w:val="009D096F"/>
    <w:rsid w:val="009D0D0A"/>
    <w:rsid w:val="009D1248"/>
    <w:rsid w:val="009D1AAD"/>
    <w:rsid w:val="009D1F71"/>
    <w:rsid w:val="009D3E65"/>
    <w:rsid w:val="009D5EE7"/>
    <w:rsid w:val="009D5FAD"/>
    <w:rsid w:val="009D61F1"/>
    <w:rsid w:val="009D69D0"/>
    <w:rsid w:val="009D75FD"/>
    <w:rsid w:val="009D7824"/>
    <w:rsid w:val="009E0D4D"/>
    <w:rsid w:val="009E2DA3"/>
    <w:rsid w:val="009E41C7"/>
    <w:rsid w:val="009E429D"/>
    <w:rsid w:val="009E48A8"/>
    <w:rsid w:val="009E5BDC"/>
    <w:rsid w:val="009E67B8"/>
    <w:rsid w:val="009F02AD"/>
    <w:rsid w:val="009F05AF"/>
    <w:rsid w:val="009F1CC2"/>
    <w:rsid w:val="009F2307"/>
    <w:rsid w:val="009F270C"/>
    <w:rsid w:val="009F27FC"/>
    <w:rsid w:val="009F2AB0"/>
    <w:rsid w:val="009F3D98"/>
    <w:rsid w:val="009F623C"/>
    <w:rsid w:val="009F72E4"/>
    <w:rsid w:val="009F76CF"/>
    <w:rsid w:val="009F7A58"/>
    <w:rsid w:val="00A0170C"/>
    <w:rsid w:val="00A033CA"/>
    <w:rsid w:val="00A0418B"/>
    <w:rsid w:val="00A04808"/>
    <w:rsid w:val="00A04DDA"/>
    <w:rsid w:val="00A0543C"/>
    <w:rsid w:val="00A05527"/>
    <w:rsid w:val="00A073B1"/>
    <w:rsid w:val="00A07BA4"/>
    <w:rsid w:val="00A10E4F"/>
    <w:rsid w:val="00A112DF"/>
    <w:rsid w:val="00A1151E"/>
    <w:rsid w:val="00A11D8B"/>
    <w:rsid w:val="00A13346"/>
    <w:rsid w:val="00A1374A"/>
    <w:rsid w:val="00A15AE6"/>
    <w:rsid w:val="00A16557"/>
    <w:rsid w:val="00A202AA"/>
    <w:rsid w:val="00A20977"/>
    <w:rsid w:val="00A21220"/>
    <w:rsid w:val="00A21C46"/>
    <w:rsid w:val="00A2361A"/>
    <w:rsid w:val="00A257AE"/>
    <w:rsid w:val="00A262DD"/>
    <w:rsid w:val="00A30625"/>
    <w:rsid w:val="00A3092D"/>
    <w:rsid w:val="00A326CD"/>
    <w:rsid w:val="00A34D8D"/>
    <w:rsid w:val="00A3593F"/>
    <w:rsid w:val="00A35976"/>
    <w:rsid w:val="00A362BE"/>
    <w:rsid w:val="00A367E5"/>
    <w:rsid w:val="00A36CF0"/>
    <w:rsid w:val="00A36D92"/>
    <w:rsid w:val="00A370F2"/>
    <w:rsid w:val="00A375CE"/>
    <w:rsid w:val="00A40F17"/>
    <w:rsid w:val="00A4141A"/>
    <w:rsid w:val="00A41445"/>
    <w:rsid w:val="00A414E7"/>
    <w:rsid w:val="00A416A3"/>
    <w:rsid w:val="00A41B0D"/>
    <w:rsid w:val="00A41FE8"/>
    <w:rsid w:val="00A43A5A"/>
    <w:rsid w:val="00A43B2F"/>
    <w:rsid w:val="00A4482C"/>
    <w:rsid w:val="00A449FE"/>
    <w:rsid w:val="00A44DCC"/>
    <w:rsid w:val="00A458A2"/>
    <w:rsid w:val="00A4755F"/>
    <w:rsid w:val="00A47C6A"/>
    <w:rsid w:val="00A51B0F"/>
    <w:rsid w:val="00A52469"/>
    <w:rsid w:val="00A541BB"/>
    <w:rsid w:val="00A543AB"/>
    <w:rsid w:val="00A54A4D"/>
    <w:rsid w:val="00A55235"/>
    <w:rsid w:val="00A56685"/>
    <w:rsid w:val="00A57971"/>
    <w:rsid w:val="00A62006"/>
    <w:rsid w:val="00A64221"/>
    <w:rsid w:val="00A64B27"/>
    <w:rsid w:val="00A6553B"/>
    <w:rsid w:val="00A65769"/>
    <w:rsid w:val="00A666EA"/>
    <w:rsid w:val="00A66D05"/>
    <w:rsid w:val="00A6790F"/>
    <w:rsid w:val="00A7100D"/>
    <w:rsid w:val="00A711C7"/>
    <w:rsid w:val="00A7203E"/>
    <w:rsid w:val="00A72B56"/>
    <w:rsid w:val="00A7391C"/>
    <w:rsid w:val="00A7403C"/>
    <w:rsid w:val="00A74AAF"/>
    <w:rsid w:val="00A75661"/>
    <w:rsid w:val="00A75960"/>
    <w:rsid w:val="00A7677C"/>
    <w:rsid w:val="00A77219"/>
    <w:rsid w:val="00A77BD9"/>
    <w:rsid w:val="00A812DD"/>
    <w:rsid w:val="00A8310D"/>
    <w:rsid w:val="00A83D88"/>
    <w:rsid w:val="00A84618"/>
    <w:rsid w:val="00A87317"/>
    <w:rsid w:val="00A90C5C"/>
    <w:rsid w:val="00A90C8F"/>
    <w:rsid w:val="00A911C6"/>
    <w:rsid w:val="00A91355"/>
    <w:rsid w:val="00A91CF6"/>
    <w:rsid w:val="00A9272C"/>
    <w:rsid w:val="00A95DBA"/>
    <w:rsid w:val="00A9783B"/>
    <w:rsid w:val="00AA0B82"/>
    <w:rsid w:val="00AA154C"/>
    <w:rsid w:val="00AA15FB"/>
    <w:rsid w:val="00AA2303"/>
    <w:rsid w:val="00AA3964"/>
    <w:rsid w:val="00AA42AE"/>
    <w:rsid w:val="00AA6091"/>
    <w:rsid w:val="00AA69E9"/>
    <w:rsid w:val="00AA6F09"/>
    <w:rsid w:val="00AA715C"/>
    <w:rsid w:val="00AA7BC6"/>
    <w:rsid w:val="00AB022A"/>
    <w:rsid w:val="00AB09CA"/>
    <w:rsid w:val="00AB15C0"/>
    <w:rsid w:val="00AB43BE"/>
    <w:rsid w:val="00AB4C1D"/>
    <w:rsid w:val="00AB4C2E"/>
    <w:rsid w:val="00AB4D91"/>
    <w:rsid w:val="00AB5BFB"/>
    <w:rsid w:val="00AB60CB"/>
    <w:rsid w:val="00AB6820"/>
    <w:rsid w:val="00AB719D"/>
    <w:rsid w:val="00AC065A"/>
    <w:rsid w:val="00AC0DFB"/>
    <w:rsid w:val="00AC1263"/>
    <w:rsid w:val="00AC22F7"/>
    <w:rsid w:val="00AC3CE8"/>
    <w:rsid w:val="00AC4F59"/>
    <w:rsid w:val="00AC50FA"/>
    <w:rsid w:val="00AC5139"/>
    <w:rsid w:val="00AC5C72"/>
    <w:rsid w:val="00AC6436"/>
    <w:rsid w:val="00AC6758"/>
    <w:rsid w:val="00AC7021"/>
    <w:rsid w:val="00AD026C"/>
    <w:rsid w:val="00AD1121"/>
    <w:rsid w:val="00AD1B87"/>
    <w:rsid w:val="00AD262F"/>
    <w:rsid w:val="00AD2689"/>
    <w:rsid w:val="00AD2B27"/>
    <w:rsid w:val="00AD3124"/>
    <w:rsid w:val="00AD3C51"/>
    <w:rsid w:val="00AD3CB8"/>
    <w:rsid w:val="00AD42E1"/>
    <w:rsid w:val="00AD5B54"/>
    <w:rsid w:val="00AD6029"/>
    <w:rsid w:val="00AE28C0"/>
    <w:rsid w:val="00AE2F5E"/>
    <w:rsid w:val="00AE3129"/>
    <w:rsid w:val="00AE3D55"/>
    <w:rsid w:val="00AE3E39"/>
    <w:rsid w:val="00AE400E"/>
    <w:rsid w:val="00AE5BA9"/>
    <w:rsid w:val="00AE5DE3"/>
    <w:rsid w:val="00AE6056"/>
    <w:rsid w:val="00AE65F2"/>
    <w:rsid w:val="00AF0143"/>
    <w:rsid w:val="00AF1788"/>
    <w:rsid w:val="00AF1994"/>
    <w:rsid w:val="00AF1E05"/>
    <w:rsid w:val="00AF2812"/>
    <w:rsid w:val="00AF3171"/>
    <w:rsid w:val="00AF3196"/>
    <w:rsid w:val="00AF31A1"/>
    <w:rsid w:val="00AF386C"/>
    <w:rsid w:val="00AF3CDF"/>
    <w:rsid w:val="00AF3F60"/>
    <w:rsid w:val="00AF519D"/>
    <w:rsid w:val="00AF52E1"/>
    <w:rsid w:val="00AF54FF"/>
    <w:rsid w:val="00AF60EF"/>
    <w:rsid w:val="00AF7310"/>
    <w:rsid w:val="00AF741A"/>
    <w:rsid w:val="00AF769B"/>
    <w:rsid w:val="00AF7733"/>
    <w:rsid w:val="00AF7ECD"/>
    <w:rsid w:val="00B00BE0"/>
    <w:rsid w:val="00B00F26"/>
    <w:rsid w:val="00B0209F"/>
    <w:rsid w:val="00B037B3"/>
    <w:rsid w:val="00B04E9F"/>
    <w:rsid w:val="00B052B4"/>
    <w:rsid w:val="00B053E3"/>
    <w:rsid w:val="00B05EB9"/>
    <w:rsid w:val="00B06D96"/>
    <w:rsid w:val="00B071EA"/>
    <w:rsid w:val="00B103DC"/>
    <w:rsid w:val="00B111BE"/>
    <w:rsid w:val="00B12CC3"/>
    <w:rsid w:val="00B12D54"/>
    <w:rsid w:val="00B12F4C"/>
    <w:rsid w:val="00B1442D"/>
    <w:rsid w:val="00B169AC"/>
    <w:rsid w:val="00B16DC0"/>
    <w:rsid w:val="00B1745D"/>
    <w:rsid w:val="00B1778D"/>
    <w:rsid w:val="00B2009C"/>
    <w:rsid w:val="00B21556"/>
    <w:rsid w:val="00B21B6B"/>
    <w:rsid w:val="00B21F4A"/>
    <w:rsid w:val="00B22546"/>
    <w:rsid w:val="00B22D1E"/>
    <w:rsid w:val="00B23ADF"/>
    <w:rsid w:val="00B23F30"/>
    <w:rsid w:val="00B246C9"/>
    <w:rsid w:val="00B24EDA"/>
    <w:rsid w:val="00B24EF4"/>
    <w:rsid w:val="00B263C5"/>
    <w:rsid w:val="00B267F4"/>
    <w:rsid w:val="00B26BF9"/>
    <w:rsid w:val="00B26E77"/>
    <w:rsid w:val="00B26F92"/>
    <w:rsid w:val="00B27203"/>
    <w:rsid w:val="00B30015"/>
    <w:rsid w:val="00B305FF"/>
    <w:rsid w:val="00B31D1D"/>
    <w:rsid w:val="00B328B3"/>
    <w:rsid w:val="00B32AE6"/>
    <w:rsid w:val="00B33324"/>
    <w:rsid w:val="00B33574"/>
    <w:rsid w:val="00B341F8"/>
    <w:rsid w:val="00B34E01"/>
    <w:rsid w:val="00B3648D"/>
    <w:rsid w:val="00B36EE8"/>
    <w:rsid w:val="00B40499"/>
    <w:rsid w:val="00B40762"/>
    <w:rsid w:val="00B438AE"/>
    <w:rsid w:val="00B44016"/>
    <w:rsid w:val="00B4429D"/>
    <w:rsid w:val="00B45407"/>
    <w:rsid w:val="00B4614A"/>
    <w:rsid w:val="00B46B9B"/>
    <w:rsid w:val="00B46DFE"/>
    <w:rsid w:val="00B502C0"/>
    <w:rsid w:val="00B508E7"/>
    <w:rsid w:val="00B516B7"/>
    <w:rsid w:val="00B52399"/>
    <w:rsid w:val="00B52EF3"/>
    <w:rsid w:val="00B5403B"/>
    <w:rsid w:val="00B54B0E"/>
    <w:rsid w:val="00B54CEF"/>
    <w:rsid w:val="00B601E0"/>
    <w:rsid w:val="00B602BA"/>
    <w:rsid w:val="00B64F13"/>
    <w:rsid w:val="00B6632F"/>
    <w:rsid w:val="00B6768D"/>
    <w:rsid w:val="00B67A2E"/>
    <w:rsid w:val="00B67B15"/>
    <w:rsid w:val="00B711CF"/>
    <w:rsid w:val="00B72212"/>
    <w:rsid w:val="00B725BB"/>
    <w:rsid w:val="00B745C9"/>
    <w:rsid w:val="00B7569E"/>
    <w:rsid w:val="00B75B70"/>
    <w:rsid w:val="00B76E2E"/>
    <w:rsid w:val="00B7728F"/>
    <w:rsid w:val="00B80F4C"/>
    <w:rsid w:val="00B81631"/>
    <w:rsid w:val="00B816F9"/>
    <w:rsid w:val="00B854C8"/>
    <w:rsid w:val="00B85B27"/>
    <w:rsid w:val="00B8638B"/>
    <w:rsid w:val="00B86896"/>
    <w:rsid w:val="00B86D2F"/>
    <w:rsid w:val="00B87666"/>
    <w:rsid w:val="00B87673"/>
    <w:rsid w:val="00B903A9"/>
    <w:rsid w:val="00B9087E"/>
    <w:rsid w:val="00B91346"/>
    <w:rsid w:val="00B916E3"/>
    <w:rsid w:val="00B923AE"/>
    <w:rsid w:val="00B946DF"/>
    <w:rsid w:val="00B95506"/>
    <w:rsid w:val="00B95A06"/>
    <w:rsid w:val="00B9633B"/>
    <w:rsid w:val="00B97807"/>
    <w:rsid w:val="00B97EEA"/>
    <w:rsid w:val="00BA517C"/>
    <w:rsid w:val="00BA5825"/>
    <w:rsid w:val="00BA5C50"/>
    <w:rsid w:val="00BA5D80"/>
    <w:rsid w:val="00BA61CF"/>
    <w:rsid w:val="00BA69AD"/>
    <w:rsid w:val="00BA6BAA"/>
    <w:rsid w:val="00BA713F"/>
    <w:rsid w:val="00BA7405"/>
    <w:rsid w:val="00BA7FD2"/>
    <w:rsid w:val="00BB1F34"/>
    <w:rsid w:val="00BB3D35"/>
    <w:rsid w:val="00BB431B"/>
    <w:rsid w:val="00BB4B89"/>
    <w:rsid w:val="00BB5385"/>
    <w:rsid w:val="00BB54E0"/>
    <w:rsid w:val="00BB69F2"/>
    <w:rsid w:val="00BB6F79"/>
    <w:rsid w:val="00BB7F12"/>
    <w:rsid w:val="00BC1396"/>
    <w:rsid w:val="00BC1565"/>
    <w:rsid w:val="00BC1C8A"/>
    <w:rsid w:val="00BC2831"/>
    <w:rsid w:val="00BC320B"/>
    <w:rsid w:val="00BC3922"/>
    <w:rsid w:val="00BC4AF7"/>
    <w:rsid w:val="00BC53D3"/>
    <w:rsid w:val="00BC554C"/>
    <w:rsid w:val="00BC5E45"/>
    <w:rsid w:val="00BC77E6"/>
    <w:rsid w:val="00BC78A0"/>
    <w:rsid w:val="00BC793B"/>
    <w:rsid w:val="00BD0438"/>
    <w:rsid w:val="00BD06FE"/>
    <w:rsid w:val="00BD0922"/>
    <w:rsid w:val="00BD1153"/>
    <w:rsid w:val="00BD1C53"/>
    <w:rsid w:val="00BD1D36"/>
    <w:rsid w:val="00BD2C9B"/>
    <w:rsid w:val="00BD2E9A"/>
    <w:rsid w:val="00BD32D0"/>
    <w:rsid w:val="00BD33A1"/>
    <w:rsid w:val="00BD3696"/>
    <w:rsid w:val="00BD39D7"/>
    <w:rsid w:val="00BD3D15"/>
    <w:rsid w:val="00BD3EC0"/>
    <w:rsid w:val="00BD4164"/>
    <w:rsid w:val="00BD4A76"/>
    <w:rsid w:val="00BD5BC6"/>
    <w:rsid w:val="00BD6FA6"/>
    <w:rsid w:val="00BD7131"/>
    <w:rsid w:val="00BE0B07"/>
    <w:rsid w:val="00BE0CD5"/>
    <w:rsid w:val="00BE1608"/>
    <w:rsid w:val="00BE22F9"/>
    <w:rsid w:val="00BE24AE"/>
    <w:rsid w:val="00BE2993"/>
    <w:rsid w:val="00BE2BFE"/>
    <w:rsid w:val="00BE3766"/>
    <w:rsid w:val="00BE3813"/>
    <w:rsid w:val="00BE6593"/>
    <w:rsid w:val="00BE6BDC"/>
    <w:rsid w:val="00BE755D"/>
    <w:rsid w:val="00BF0160"/>
    <w:rsid w:val="00BF02BC"/>
    <w:rsid w:val="00BF11B9"/>
    <w:rsid w:val="00BF2018"/>
    <w:rsid w:val="00BF2526"/>
    <w:rsid w:val="00BF26C1"/>
    <w:rsid w:val="00BF2D0A"/>
    <w:rsid w:val="00BF44EE"/>
    <w:rsid w:val="00BF4E15"/>
    <w:rsid w:val="00BF54CC"/>
    <w:rsid w:val="00BF598C"/>
    <w:rsid w:val="00BF6C20"/>
    <w:rsid w:val="00BF7AD6"/>
    <w:rsid w:val="00C00614"/>
    <w:rsid w:val="00C00BC3"/>
    <w:rsid w:val="00C0157D"/>
    <w:rsid w:val="00C01798"/>
    <w:rsid w:val="00C01D40"/>
    <w:rsid w:val="00C02475"/>
    <w:rsid w:val="00C0277A"/>
    <w:rsid w:val="00C03498"/>
    <w:rsid w:val="00C03505"/>
    <w:rsid w:val="00C0477B"/>
    <w:rsid w:val="00C05E5A"/>
    <w:rsid w:val="00C067E7"/>
    <w:rsid w:val="00C06A01"/>
    <w:rsid w:val="00C1152E"/>
    <w:rsid w:val="00C128F0"/>
    <w:rsid w:val="00C12E51"/>
    <w:rsid w:val="00C1356C"/>
    <w:rsid w:val="00C13E53"/>
    <w:rsid w:val="00C14360"/>
    <w:rsid w:val="00C147C9"/>
    <w:rsid w:val="00C14DC6"/>
    <w:rsid w:val="00C1550A"/>
    <w:rsid w:val="00C16F01"/>
    <w:rsid w:val="00C17974"/>
    <w:rsid w:val="00C20823"/>
    <w:rsid w:val="00C20A5A"/>
    <w:rsid w:val="00C21142"/>
    <w:rsid w:val="00C211D5"/>
    <w:rsid w:val="00C21ADD"/>
    <w:rsid w:val="00C22C64"/>
    <w:rsid w:val="00C237D5"/>
    <w:rsid w:val="00C23E43"/>
    <w:rsid w:val="00C24240"/>
    <w:rsid w:val="00C24B7F"/>
    <w:rsid w:val="00C26839"/>
    <w:rsid w:val="00C329AB"/>
    <w:rsid w:val="00C337C0"/>
    <w:rsid w:val="00C33CBA"/>
    <w:rsid w:val="00C342DC"/>
    <w:rsid w:val="00C34478"/>
    <w:rsid w:val="00C353F7"/>
    <w:rsid w:val="00C3611F"/>
    <w:rsid w:val="00C362D6"/>
    <w:rsid w:val="00C36407"/>
    <w:rsid w:val="00C36751"/>
    <w:rsid w:val="00C44C43"/>
    <w:rsid w:val="00C44D15"/>
    <w:rsid w:val="00C45843"/>
    <w:rsid w:val="00C4659F"/>
    <w:rsid w:val="00C4668C"/>
    <w:rsid w:val="00C47530"/>
    <w:rsid w:val="00C50440"/>
    <w:rsid w:val="00C50944"/>
    <w:rsid w:val="00C5252B"/>
    <w:rsid w:val="00C545B9"/>
    <w:rsid w:val="00C54E49"/>
    <w:rsid w:val="00C62689"/>
    <w:rsid w:val="00C63106"/>
    <w:rsid w:val="00C645BC"/>
    <w:rsid w:val="00C64775"/>
    <w:rsid w:val="00C64B96"/>
    <w:rsid w:val="00C64EA1"/>
    <w:rsid w:val="00C65280"/>
    <w:rsid w:val="00C657CE"/>
    <w:rsid w:val="00C65DE7"/>
    <w:rsid w:val="00C65ECF"/>
    <w:rsid w:val="00C66A1B"/>
    <w:rsid w:val="00C670CB"/>
    <w:rsid w:val="00C710D9"/>
    <w:rsid w:val="00C717A0"/>
    <w:rsid w:val="00C718B9"/>
    <w:rsid w:val="00C75C3E"/>
    <w:rsid w:val="00C764BA"/>
    <w:rsid w:val="00C76E1A"/>
    <w:rsid w:val="00C809B5"/>
    <w:rsid w:val="00C80ED8"/>
    <w:rsid w:val="00C80FE3"/>
    <w:rsid w:val="00C8257F"/>
    <w:rsid w:val="00C83900"/>
    <w:rsid w:val="00C83D66"/>
    <w:rsid w:val="00C86481"/>
    <w:rsid w:val="00C8689C"/>
    <w:rsid w:val="00C8758D"/>
    <w:rsid w:val="00C90020"/>
    <w:rsid w:val="00C9246A"/>
    <w:rsid w:val="00C9385B"/>
    <w:rsid w:val="00C93A8F"/>
    <w:rsid w:val="00CA0DFD"/>
    <w:rsid w:val="00CA0FED"/>
    <w:rsid w:val="00CA1FE0"/>
    <w:rsid w:val="00CA2A2D"/>
    <w:rsid w:val="00CA62C2"/>
    <w:rsid w:val="00CA637B"/>
    <w:rsid w:val="00CA7664"/>
    <w:rsid w:val="00CA7914"/>
    <w:rsid w:val="00CB0000"/>
    <w:rsid w:val="00CB0E10"/>
    <w:rsid w:val="00CB1BB8"/>
    <w:rsid w:val="00CB1DDA"/>
    <w:rsid w:val="00CB1E06"/>
    <w:rsid w:val="00CB1ECE"/>
    <w:rsid w:val="00CB2884"/>
    <w:rsid w:val="00CB34DA"/>
    <w:rsid w:val="00CB3C26"/>
    <w:rsid w:val="00CB501B"/>
    <w:rsid w:val="00CB5DCE"/>
    <w:rsid w:val="00CB62CD"/>
    <w:rsid w:val="00CC049B"/>
    <w:rsid w:val="00CC2250"/>
    <w:rsid w:val="00CC43CB"/>
    <w:rsid w:val="00CC4562"/>
    <w:rsid w:val="00CC5397"/>
    <w:rsid w:val="00CC5B46"/>
    <w:rsid w:val="00CC5BD7"/>
    <w:rsid w:val="00CC6E60"/>
    <w:rsid w:val="00CC7008"/>
    <w:rsid w:val="00CC701F"/>
    <w:rsid w:val="00CC71EC"/>
    <w:rsid w:val="00CD0BE1"/>
    <w:rsid w:val="00CD2B87"/>
    <w:rsid w:val="00CD3DA8"/>
    <w:rsid w:val="00CD3E1F"/>
    <w:rsid w:val="00CD41A0"/>
    <w:rsid w:val="00CD7E27"/>
    <w:rsid w:val="00CE069D"/>
    <w:rsid w:val="00CE085D"/>
    <w:rsid w:val="00CE0957"/>
    <w:rsid w:val="00CE1272"/>
    <w:rsid w:val="00CE18D8"/>
    <w:rsid w:val="00CE2F82"/>
    <w:rsid w:val="00CE48F9"/>
    <w:rsid w:val="00CE4CF0"/>
    <w:rsid w:val="00CE6916"/>
    <w:rsid w:val="00CE6918"/>
    <w:rsid w:val="00CE7884"/>
    <w:rsid w:val="00CE7FD9"/>
    <w:rsid w:val="00CF1369"/>
    <w:rsid w:val="00CF1B24"/>
    <w:rsid w:val="00CF1EEF"/>
    <w:rsid w:val="00CF204E"/>
    <w:rsid w:val="00CF221C"/>
    <w:rsid w:val="00CF300E"/>
    <w:rsid w:val="00CF3EBA"/>
    <w:rsid w:val="00CF513D"/>
    <w:rsid w:val="00CF558B"/>
    <w:rsid w:val="00CF5F9C"/>
    <w:rsid w:val="00CF7759"/>
    <w:rsid w:val="00CF79DB"/>
    <w:rsid w:val="00CF7BED"/>
    <w:rsid w:val="00D0022D"/>
    <w:rsid w:val="00D006CF"/>
    <w:rsid w:val="00D01030"/>
    <w:rsid w:val="00D022D2"/>
    <w:rsid w:val="00D04A81"/>
    <w:rsid w:val="00D07E89"/>
    <w:rsid w:val="00D10532"/>
    <w:rsid w:val="00D11645"/>
    <w:rsid w:val="00D129FF"/>
    <w:rsid w:val="00D12DEE"/>
    <w:rsid w:val="00D1394A"/>
    <w:rsid w:val="00D164D3"/>
    <w:rsid w:val="00D16E96"/>
    <w:rsid w:val="00D16F57"/>
    <w:rsid w:val="00D17B6E"/>
    <w:rsid w:val="00D20A8C"/>
    <w:rsid w:val="00D20E76"/>
    <w:rsid w:val="00D23DE6"/>
    <w:rsid w:val="00D2414E"/>
    <w:rsid w:val="00D24343"/>
    <w:rsid w:val="00D25C94"/>
    <w:rsid w:val="00D27AAF"/>
    <w:rsid w:val="00D3086C"/>
    <w:rsid w:val="00D30DE5"/>
    <w:rsid w:val="00D317C8"/>
    <w:rsid w:val="00D32D35"/>
    <w:rsid w:val="00D33B5F"/>
    <w:rsid w:val="00D345AE"/>
    <w:rsid w:val="00D34B1B"/>
    <w:rsid w:val="00D370B4"/>
    <w:rsid w:val="00D37DA0"/>
    <w:rsid w:val="00D41FA7"/>
    <w:rsid w:val="00D4336F"/>
    <w:rsid w:val="00D434E4"/>
    <w:rsid w:val="00D43993"/>
    <w:rsid w:val="00D4443D"/>
    <w:rsid w:val="00D449D8"/>
    <w:rsid w:val="00D46B71"/>
    <w:rsid w:val="00D47050"/>
    <w:rsid w:val="00D47EF9"/>
    <w:rsid w:val="00D501A4"/>
    <w:rsid w:val="00D51594"/>
    <w:rsid w:val="00D516EC"/>
    <w:rsid w:val="00D51F86"/>
    <w:rsid w:val="00D521E9"/>
    <w:rsid w:val="00D52F24"/>
    <w:rsid w:val="00D535C1"/>
    <w:rsid w:val="00D53850"/>
    <w:rsid w:val="00D5389B"/>
    <w:rsid w:val="00D5434D"/>
    <w:rsid w:val="00D54AE3"/>
    <w:rsid w:val="00D54B99"/>
    <w:rsid w:val="00D54F76"/>
    <w:rsid w:val="00D60DB0"/>
    <w:rsid w:val="00D61A32"/>
    <w:rsid w:val="00D6226E"/>
    <w:rsid w:val="00D63F30"/>
    <w:rsid w:val="00D64097"/>
    <w:rsid w:val="00D642EE"/>
    <w:rsid w:val="00D643CD"/>
    <w:rsid w:val="00D65D12"/>
    <w:rsid w:val="00D65F36"/>
    <w:rsid w:val="00D67DCB"/>
    <w:rsid w:val="00D707A1"/>
    <w:rsid w:val="00D71146"/>
    <w:rsid w:val="00D72150"/>
    <w:rsid w:val="00D722F9"/>
    <w:rsid w:val="00D72BF1"/>
    <w:rsid w:val="00D72E36"/>
    <w:rsid w:val="00D73DDA"/>
    <w:rsid w:val="00D74119"/>
    <w:rsid w:val="00D74CC2"/>
    <w:rsid w:val="00D74D20"/>
    <w:rsid w:val="00D763AD"/>
    <w:rsid w:val="00D765B4"/>
    <w:rsid w:val="00D77659"/>
    <w:rsid w:val="00D77837"/>
    <w:rsid w:val="00D80BFB"/>
    <w:rsid w:val="00D85651"/>
    <w:rsid w:val="00D869B8"/>
    <w:rsid w:val="00D86CE3"/>
    <w:rsid w:val="00D877B1"/>
    <w:rsid w:val="00D931FB"/>
    <w:rsid w:val="00D94037"/>
    <w:rsid w:val="00D94A49"/>
    <w:rsid w:val="00D96300"/>
    <w:rsid w:val="00D967CB"/>
    <w:rsid w:val="00D96FD6"/>
    <w:rsid w:val="00D97282"/>
    <w:rsid w:val="00D977CE"/>
    <w:rsid w:val="00DA003B"/>
    <w:rsid w:val="00DA0734"/>
    <w:rsid w:val="00DA1766"/>
    <w:rsid w:val="00DA1A58"/>
    <w:rsid w:val="00DA242D"/>
    <w:rsid w:val="00DA26F8"/>
    <w:rsid w:val="00DA2A7D"/>
    <w:rsid w:val="00DA3090"/>
    <w:rsid w:val="00DA332D"/>
    <w:rsid w:val="00DA4AC5"/>
    <w:rsid w:val="00DA50FF"/>
    <w:rsid w:val="00DA51D8"/>
    <w:rsid w:val="00DA6035"/>
    <w:rsid w:val="00DA7C80"/>
    <w:rsid w:val="00DB1036"/>
    <w:rsid w:val="00DB13AB"/>
    <w:rsid w:val="00DB14AF"/>
    <w:rsid w:val="00DB2441"/>
    <w:rsid w:val="00DB2D64"/>
    <w:rsid w:val="00DB3EA0"/>
    <w:rsid w:val="00DB57E9"/>
    <w:rsid w:val="00DB5CC1"/>
    <w:rsid w:val="00DB7408"/>
    <w:rsid w:val="00DC02D0"/>
    <w:rsid w:val="00DC08AD"/>
    <w:rsid w:val="00DC0FE1"/>
    <w:rsid w:val="00DC244A"/>
    <w:rsid w:val="00DC2876"/>
    <w:rsid w:val="00DC4381"/>
    <w:rsid w:val="00DC4AFC"/>
    <w:rsid w:val="00DC5E44"/>
    <w:rsid w:val="00DC6E3A"/>
    <w:rsid w:val="00DD0273"/>
    <w:rsid w:val="00DD07C6"/>
    <w:rsid w:val="00DD0849"/>
    <w:rsid w:val="00DD121C"/>
    <w:rsid w:val="00DD192D"/>
    <w:rsid w:val="00DD1A7D"/>
    <w:rsid w:val="00DD1E9F"/>
    <w:rsid w:val="00DD2544"/>
    <w:rsid w:val="00DD3719"/>
    <w:rsid w:val="00DD471D"/>
    <w:rsid w:val="00DD56A4"/>
    <w:rsid w:val="00DD5DA1"/>
    <w:rsid w:val="00DD5E1F"/>
    <w:rsid w:val="00DD76DA"/>
    <w:rsid w:val="00DE34D7"/>
    <w:rsid w:val="00DE3522"/>
    <w:rsid w:val="00DE45E1"/>
    <w:rsid w:val="00DF024A"/>
    <w:rsid w:val="00DF0B50"/>
    <w:rsid w:val="00DF0C15"/>
    <w:rsid w:val="00DF0D3D"/>
    <w:rsid w:val="00DF11FE"/>
    <w:rsid w:val="00DF1626"/>
    <w:rsid w:val="00DF176A"/>
    <w:rsid w:val="00DF22E9"/>
    <w:rsid w:val="00DF2836"/>
    <w:rsid w:val="00DF3269"/>
    <w:rsid w:val="00DF40EA"/>
    <w:rsid w:val="00DF4A0C"/>
    <w:rsid w:val="00DF4C65"/>
    <w:rsid w:val="00DF5044"/>
    <w:rsid w:val="00DF56A9"/>
    <w:rsid w:val="00DF5A6D"/>
    <w:rsid w:val="00DF5A8C"/>
    <w:rsid w:val="00DF62D0"/>
    <w:rsid w:val="00E017CA"/>
    <w:rsid w:val="00E01E17"/>
    <w:rsid w:val="00E0348A"/>
    <w:rsid w:val="00E037BB"/>
    <w:rsid w:val="00E040A1"/>
    <w:rsid w:val="00E045C8"/>
    <w:rsid w:val="00E058D2"/>
    <w:rsid w:val="00E06960"/>
    <w:rsid w:val="00E06CAE"/>
    <w:rsid w:val="00E070A2"/>
    <w:rsid w:val="00E07398"/>
    <w:rsid w:val="00E07794"/>
    <w:rsid w:val="00E114C7"/>
    <w:rsid w:val="00E12E78"/>
    <w:rsid w:val="00E14BAF"/>
    <w:rsid w:val="00E17B5A"/>
    <w:rsid w:val="00E20B70"/>
    <w:rsid w:val="00E22F78"/>
    <w:rsid w:val="00E23269"/>
    <w:rsid w:val="00E23675"/>
    <w:rsid w:val="00E23EAD"/>
    <w:rsid w:val="00E246FC"/>
    <w:rsid w:val="00E247F6"/>
    <w:rsid w:val="00E24ED2"/>
    <w:rsid w:val="00E25190"/>
    <w:rsid w:val="00E2575E"/>
    <w:rsid w:val="00E25D49"/>
    <w:rsid w:val="00E26B11"/>
    <w:rsid w:val="00E26EFA"/>
    <w:rsid w:val="00E275C7"/>
    <w:rsid w:val="00E2767E"/>
    <w:rsid w:val="00E30863"/>
    <w:rsid w:val="00E31931"/>
    <w:rsid w:val="00E33057"/>
    <w:rsid w:val="00E331F6"/>
    <w:rsid w:val="00E33F89"/>
    <w:rsid w:val="00E34480"/>
    <w:rsid w:val="00E35609"/>
    <w:rsid w:val="00E35F87"/>
    <w:rsid w:val="00E36D41"/>
    <w:rsid w:val="00E37259"/>
    <w:rsid w:val="00E376D5"/>
    <w:rsid w:val="00E379BF"/>
    <w:rsid w:val="00E37E5F"/>
    <w:rsid w:val="00E40F8D"/>
    <w:rsid w:val="00E41B74"/>
    <w:rsid w:val="00E42E33"/>
    <w:rsid w:val="00E446CB"/>
    <w:rsid w:val="00E44E18"/>
    <w:rsid w:val="00E46FBC"/>
    <w:rsid w:val="00E47852"/>
    <w:rsid w:val="00E5022D"/>
    <w:rsid w:val="00E50230"/>
    <w:rsid w:val="00E50284"/>
    <w:rsid w:val="00E51830"/>
    <w:rsid w:val="00E51D0E"/>
    <w:rsid w:val="00E524A9"/>
    <w:rsid w:val="00E55074"/>
    <w:rsid w:val="00E55407"/>
    <w:rsid w:val="00E55645"/>
    <w:rsid w:val="00E56426"/>
    <w:rsid w:val="00E6010B"/>
    <w:rsid w:val="00E60644"/>
    <w:rsid w:val="00E62879"/>
    <w:rsid w:val="00E63621"/>
    <w:rsid w:val="00E63941"/>
    <w:rsid w:val="00E6466F"/>
    <w:rsid w:val="00E646D2"/>
    <w:rsid w:val="00E65ED0"/>
    <w:rsid w:val="00E66CCD"/>
    <w:rsid w:val="00E71010"/>
    <w:rsid w:val="00E712E9"/>
    <w:rsid w:val="00E7138A"/>
    <w:rsid w:val="00E715A7"/>
    <w:rsid w:val="00E7173A"/>
    <w:rsid w:val="00E71CEA"/>
    <w:rsid w:val="00E71DEE"/>
    <w:rsid w:val="00E7248C"/>
    <w:rsid w:val="00E72872"/>
    <w:rsid w:val="00E728D8"/>
    <w:rsid w:val="00E72C2F"/>
    <w:rsid w:val="00E73B3B"/>
    <w:rsid w:val="00E744EE"/>
    <w:rsid w:val="00E744F9"/>
    <w:rsid w:val="00E74AF1"/>
    <w:rsid w:val="00E7596E"/>
    <w:rsid w:val="00E75A1E"/>
    <w:rsid w:val="00E75B70"/>
    <w:rsid w:val="00E774F3"/>
    <w:rsid w:val="00E77BDC"/>
    <w:rsid w:val="00E77DF5"/>
    <w:rsid w:val="00E808D4"/>
    <w:rsid w:val="00E8132D"/>
    <w:rsid w:val="00E8199E"/>
    <w:rsid w:val="00E82884"/>
    <w:rsid w:val="00E82D44"/>
    <w:rsid w:val="00E84A0A"/>
    <w:rsid w:val="00E84BF8"/>
    <w:rsid w:val="00E86DA6"/>
    <w:rsid w:val="00E87751"/>
    <w:rsid w:val="00E87A0B"/>
    <w:rsid w:val="00E87C80"/>
    <w:rsid w:val="00E90A61"/>
    <w:rsid w:val="00E90B05"/>
    <w:rsid w:val="00E90DED"/>
    <w:rsid w:val="00E9161F"/>
    <w:rsid w:val="00E91DA6"/>
    <w:rsid w:val="00E91DB8"/>
    <w:rsid w:val="00E91F01"/>
    <w:rsid w:val="00E930AD"/>
    <w:rsid w:val="00E9313D"/>
    <w:rsid w:val="00E93E15"/>
    <w:rsid w:val="00E93E9E"/>
    <w:rsid w:val="00E94558"/>
    <w:rsid w:val="00E95E63"/>
    <w:rsid w:val="00E95EFD"/>
    <w:rsid w:val="00E95F4E"/>
    <w:rsid w:val="00E969DE"/>
    <w:rsid w:val="00E97861"/>
    <w:rsid w:val="00E97D08"/>
    <w:rsid w:val="00EA00C0"/>
    <w:rsid w:val="00EA06CE"/>
    <w:rsid w:val="00EA10CA"/>
    <w:rsid w:val="00EA1B1A"/>
    <w:rsid w:val="00EA2563"/>
    <w:rsid w:val="00EA272A"/>
    <w:rsid w:val="00EA2960"/>
    <w:rsid w:val="00EA4221"/>
    <w:rsid w:val="00EA5310"/>
    <w:rsid w:val="00EA6C09"/>
    <w:rsid w:val="00EB155D"/>
    <w:rsid w:val="00EB200A"/>
    <w:rsid w:val="00EB3536"/>
    <w:rsid w:val="00EB3799"/>
    <w:rsid w:val="00EB6CA8"/>
    <w:rsid w:val="00EB6F39"/>
    <w:rsid w:val="00EB75A7"/>
    <w:rsid w:val="00EC0B95"/>
    <w:rsid w:val="00EC0C1E"/>
    <w:rsid w:val="00EC1521"/>
    <w:rsid w:val="00EC3609"/>
    <w:rsid w:val="00EC4821"/>
    <w:rsid w:val="00EC67BD"/>
    <w:rsid w:val="00EC71EE"/>
    <w:rsid w:val="00EC73F9"/>
    <w:rsid w:val="00EC789C"/>
    <w:rsid w:val="00ED0672"/>
    <w:rsid w:val="00ED17DF"/>
    <w:rsid w:val="00ED2127"/>
    <w:rsid w:val="00ED3B88"/>
    <w:rsid w:val="00ED4427"/>
    <w:rsid w:val="00ED44BD"/>
    <w:rsid w:val="00ED755F"/>
    <w:rsid w:val="00ED7ADA"/>
    <w:rsid w:val="00EE01BA"/>
    <w:rsid w:val="00EE05DE"/>
    <w:rsid w:val="00EE21DD"/>
    <w:rsid w:val="00EE23F1"/>
    <w:rsid w:val="00EE2DB9"/>
    <w:rsid w:val="00EE327D"/>
    <w:rsid w:val="00EE4DA1"/>
    <w:rsid w:val="00EE6C45"/>
    <w:rsid w:val="00EE7B49"/>
    <w:rsid w:val="00EF0357"/>
    <w:rsid w:val="00EF04E2"/>
    <w:rsid w:val="00EF06AC"/>
    <w:rsid w:val="00EF08A9"/>
    <w:rsid w:val="00EF09EF"/>
    <w:rsid w:val="00EF0B3C"/>
    <w:rsid w:val="00EF1396"/>
    <w:rsid w:val="00EF2105"/>
    <w:rsid w:val="00EF2994"/>
    <w:rsid w:val="00EF2BA0"/>
    <w:rsid w:val="00EF2BE2"/>
    <w:rsid w:val="00EF3614"/>
    <w:rsid w:val="00EF39B4"/>
    <w:rsid w:val="00EF3A31"/>
    <w:rsid w:val="00EF4075"/>
    <w:rsid w:val="00EF43F8"/>
    <w:rsid w:val="00EF499F"/>
    <w:rsid w:val="00EF595B"/>
    <w:rsid w:val="00EF5F91"/>
    <w:rsid w:val="00EF6158"/>
    <w:rsid w:val="00EF61CD"/>
    <w:rsid w:val="00EF72AF"/>
    <w:rsid w:val="00EF740A"/>
    <w:rsid w:val="00F0048D"/>
    <w:rsid w:val="00F026F3"/>
    <w:rsid w:val="00F02A6F"/>
    <w:rsid w:val="00F02BE7"/>
    <w:rsid w:val="00F047BF"/>
    <w:rsid w:val="00F04C2B"/>
    <w:rsid w:val="00F05341"/>
    <w:rsid w:val="00F07476"/>
    <w:rsid w:val="00F11FE0"/>
    <w:rsid w:val="00F126CA"/>
    <w:rsid w:val="00F129AF"/>
    <w:rsid w:val="00F133B4"/>
    <w:rsid w:val="00F13F51"/>
    <w:rsid w:val="00F15CDD"/>
    <w:rsid w:val="00F1659C"/>
    <w:rsid w:val="00F16B04"/>
    <w:rsid w:val="00F17781"/>
    <w:rsid w:val="00F179CE"/>
    <w:rsid w:val="00F17D3D"/>
    <w:rsid w:val="00F22B22"/>
    <w:rsid w:val="00F22B2B"/>
    <w:rsid w:val="00F22D23"/>
    <w:rsid w:val="00F2345E"/>
    <w:rsid w:val="00F235EC"/>
    <w:rsid w:val="00F2729E"/>
    <w:rsid w:val="00F30891"/>
    <w:rsid w:val="00F30EB3"/>
    <w:rsid w:val="00F30FCB"/>
    <w:rsid w:val="00F3156C"/>
    <w:rsid w:val="00F31BC9"/>
    <w:rsid w:val="00F32340"/>
    <w:rsid w:val="00F329C4"/>
    <w:rsid w:val="00F32E9E"/>
    <w:rsid w:val="00F32FC1"/>
    <w:rsid w:val="00F363A2"/>
    <w:rsid w:val="00F367B9"/>
    <w:rsid w:val="00F36C1A"/>
    <w:rsid w:val="00F37006"/>
    <w:rsid w:val="00F40341"/>
    <w:rsid w:val="00F40377"/>
    <w:rsid w:val="00F40849"/>
    <w:rsid w:val="00F42C20"/>
    <w:rsid w:val="00F4344E"/>
    <w:rsid w:val="00F43764"/>
    <w:rsid w:val="00F4492A"/>
    <w:rsid w:val="00F45890"/>
    <w:rsid w:val="00F459E2"/>
    <w:rsid w:val="00F45A2D"/>
    <w:rsid w:val="00F4789A"/>
    <w:rsid w:val="00F503B9"/>
    <w:rsid w:val="00F51D9E"/>
    <w:rsid w:val="00F51EE1"/>
    <w:rsid w:val="00F523FB"/>
    <w:rsid w:val="00F52B38"/>
    <w:rsid w:val="00F54544"/>
    <w:rsid w:val="00F563B4"/>
    <w:rsid w:val="00F56AFB"/>
    <w:rsid w:val="00F576EF"/>
    <w:rsid w:val="00F60501"/>
    <w:rsid w:val="00F60FD8"/>
    <w:rsid w:val="00F61EAF"/>
    <w:rsid w:val="00F63EE7"/>
    <w:rsid w:val="00F6481B"/>
    <w:rsid w:val="00F64BF2"/>
    <w:rsid w:val="00F669E9"/>
    <w:rsid w:val="00F67055"/>
    <w:rsid w:val="00F7017B"/>
    <w:rsid w:val="00F71C8A"/>
    <w:rsid w:val="00F71DF0"/>
    <w:rsid w:val="00F72C5F"/>
    <w:rsid w:val="00F73B5A"/>
    <w:rsid w:val="00F73E0E"/>
    <w:rsid w:val="00F7603A"/>
    <w:rsid w:val="00F82409"/>
    <w:rsid w:val="00F83972"/>
    <w:rsid w:val="00F83DFB"/>
    <w:rsid w:val="00F84629"/>
    <w:rsid w:val="00F85789"/>
    <w:rsid w:val="00F85CCB"/>
    <w:rsid w:val="00F868C2"/>
    <w:rsid w:val="00F92F1B"/>
    <w:rsid w:val="00F945DD"/>
    <w:rsid w:val="00F9473F"/>
    <w:rsid w:val="00F95015"/>
    <w:rsid w:val="00F95503"/>
    <w:rsid w:val="00F97679"/>
    <w:rsid w:val="00FA04DA"/>
    <w:rsid w:val="00FA0652"/>
    <w:rsid w:val="00FA1C47"/>
    <w:rsid w:val="00FA269A"/>
    <w:rsid w:val="00FA2914"/>
    <w:rsid w:val="00FA2A4D"/>
    <w:rsid w:val="00FA374B"/>
    <w:rsid w:val="00FA3880"/>
    <w:rsid w:val="00FA4DED"/>
    <w:rsid w:val="00FA4E42"/>
    <w:rsid w:val="00FA589C"/>
    <w:rsid w:val="00FA663D"/>
    <w:rsid w:val="00FA69C0"/>
    <w:rsid w:val="00FA6AB2"/>
    <w:rsid w:val="00FA76F4"/>
    <w:rsid w:val="00FB09A3"/>
    <w:rsid w:val="00FB1905"/>
    <w:rsid w:val="00FB1910"/>
    <w:rsid w:val="00FB2948"/>
    <w:rsid w:val="00FB2C73"/>
    <w:rsid w:val="00FB36CF"/>
    <w:rsid w:val="00FB3996"/>
    <w:rsid w:val="00FB4695"/>
    <w:rsid w:val="00FB6164"/>
    <w:rsid w:val="00FB6346"/>
    <w:rsid w:val="00FB70BD"/>
    <w:rsid w:val="00FC0B8B"/>
    <w:rsid w:val="00FC18AC"/>
    <w:rsid w:val="00FC2452"/>
    <w:rsid w:val="00FC3E90"/>
    <w:rsid w:val="00FC4BF2"/>
    <w:rsid w:val="00FC5164"/>
    <w:rsid w:val="00FC6D19"/>
    <w:rsid w:val="00FD02CD"/>
    <w:rsid w:val="00FD14C7"/>
    <w:rsid w:val="00FD164B"/>
    <w:rsid w:val="00FD3BA9"/>
    <w:rsid w:val="00FD404C"/>
    <w:rsid w:val="00FD5C8B"/>
    <w:rsid w:val="00FD6019"/>
    <w:rsid w:val="00FD7193"/>
    <w:rsid w:val="00FE00AA"/>
    <w:rsid w:val="00FE2455"/>
    <w:rsid w:val="00FE35E6"/>
    <w:rsid w:val="00FE384B"/>
    <w:rsid w:val="00FE6046"/>
    <w:rsid w:val="00FE6C20"/>
    <w:rsid w:val="00FF03E7"/>
    <w:rsid w:val="00FF1AD3"/>
    <w:rsid w:val="00FF2CE2"/>
    <w:rsid w:val="00FF2DA8"/>
    <w:rsid w:val="00FF36AC"/>
    <w:rsid w:val="00FF4746"/>
    <w:rsid w:val="00FF5F69"/>
    <w:rsid w:val="00FF6047"/>
    <w:rsid w:val="00FF6145"/>
    <w:rsid w:val="00FF6294"/>
    <w:rsid w:val="010F21C8"/>
    <w:rsid w:val="011E5465"/>
    <w:rsid w:val="01464AD8"/>
    <w:rsid w:val="01516072"/>
    <w:rsid w:val="01537637"/>
    <w:rsid w:val="01866850"/>
    <w:rsid w:val="01AA05EF"/>
    <w:rsid w:val="01B94AA5"/>
    <w:rsid w:val="01C9740A"/>
    <w:rsid w:val="01D16F13"/>
    <w:rsid w:val="01E02A7A"/>
    <w:rsid w:val="01E306C9"/>
    <w:rsid w:val="01E82508"/>
    <w:rsid w:val="02084DCA"/>
    <w:rsid w:val="025F53BA"/>
    <w:rsid w:val="026236FA"/>
    <w:rsid w:val="026550B2"/>
    <w:rsid w:val="02723359"/>
    <w:rsid w:val="02A460D8"/>
    <w:rsid w:val="02A94F05"/>
    <w:rsid w:val="02B929B5"/>
    <w:rsid w:val="03066BD4"/>
    <w:rsid w:val="0309546C"/>
    <w:rsid w:val="030F588E"/>
    <w:rsid w:val="031B1859"/>
    <w:rsid w:val="032259CB"/>
    <w:rsid w:val="03440CB6"/>
    <w:rsid w:val="03474459"/>
    <w:rsid w:val="0361383C"/>
    <w:rsid w:val="037203C5"/>
    <w:rsid w:val="038A7C79"/>
    <w:rsid w:val="039351A7"/>
    <w:rsid w:val="039B59EC"/>
    <w:rsid w:val="039C194A"/>
    <w:rsid w:val="03D40374"/>
    <w:rsid w:val="04103D54"/>
    <w:rsid w:val="04392F92"/>
    <w:rsid w:val="043B4CB6"/>
    <w:rsid w:val="04565746"/>
    <w:rsid w:val="04CA575D"/>
    <w:rsid w:val="04F57952"/>
    <w:rsid w:val="04F712EF"/>
    <w:rsid w:val="04F73445"/>
    <w:rsid w:val="04F74F52"/>
    <w:rsid w:val="053B6538"/>
    <w:rsid w:val="05484796"/>
    <w:rsid w:val="055634CD"/>
    <w:rsid w:val="05657E73"/>
    <w:rsid w:val="056F4136"/>
    <w:rsid w:val="05763BB9"/>
    <w:rsid w:val="057D3DF1"/>
    <w:rsid w:val="059368B8"/>
    <w:rsid w:val="0599099C"/>
    <w:rsid w:val="06031EBB"/>
    <w:rsid w:val="06232622"/>
    <w:rsid w:val="062F57C8"/>
    <w:rsid w:val="065F37F3"/>
    <w:rsid w:val="068C2817"/>
    <w:rsid w:val="069C2B67"/>
    <w:rsid w:val="06A87D94"/>
    <w:rsid w:val="06B36CF2"/>
    <w:rsid w:val="06C3356A"/>
    <w:rsid w:val="06C84432"/>
    <w:rsid w:val="06D35D46"/>
    <w:rsid w:val="06D531FE"/>
    <w:rsid w:val="06F7259D"/>
    <w:rsid w:val="070E32BE"/>
    <w:rsid w:val="0750215D"/>
    <w:rsid w:val="07663B22"/>
    <w:rsid w:val="07E53EC8"/>
    <w:rsid w:val="07EE5983"/>
    <w:rsid w:val="08086E05"/>
    <w:rsid w:val="08282104"/>
    <w:rsid w:val="08290226"/>
    <w:rsid w:val="08800EF9"/>
    <w:rsid w:val="0891558C"/>
    <w:rsid w:val="08940C96"/>
    <w:rsid w:val="08A44609"/>
    <w:rsid w:val="08A70163"/>
    <w:rsid w:val="08B96568"/>
    <w:rsid w:val="08FF43C1"/>
    <w:rsid w:val="090C355C"/>
    <w:rsid w:val="090E1D9E"/>
    <w:rsid w:val="09301C61"/>
    <w:rsid w:val="09393999"/>
    <w:rsid w:val="0964786B"/>
    <w:rsid w:val="09694BE0"/>
    <w:rsid w:val="096E3394"/>
    <w:rsid w:val="09782FA2"/>
    <w:rsid w:val="097B5E7C"/>
    <w:rsid w:val="097E2E53"/>
    <w:rsid w:val="097E2ED3"/>
    <w:rsid w:val="098C326C"/>
    <w:rsid w:val="09C91882"/>
    <w:rsid w:val="09DB3B87"/>
    <w:rsid w:val="09E25804"/>
    <w:rsid w:val="09E64EC5"/>
    <w:rsid w:val="09FB17A4"/>
    <w:rsid w:val="0A0D1761"/>
    <w:rsid w:val="0A5057EB"/>
    <w:rsid w:val="0A5569F2"/>
    <w:rsid w:val="0A6E25E1"/>
    <w:rsid w:val="0A72527A"/>
    <w:rsid w:val="0A811F05"/>
    <w:rsid w:val="0A8355D4"/>
    <w:rsid w:val="0AA93F16"/>
    <w:rsid w:val="0AC84E87"/>
    <w:rsid w:val="0AED61E6"/>
    <w:rsid w:val="0AFA6743"/>
    <w:rsid w:val="0B27145F"/>
    <w:rsid w:val="0B2A741A"/>
    <w:rsid w:val="0B522FD8"/>
    <w:rsid w:val="0B8D15F2"/>
    <w:rsid w:val="0B8F6DFB"/>
    <w:rsid w:val="0B9B0F26"/>
    <w:rsid w:val="0B9D3E58"/>
    <w:rsid w:val="0BA41C38"/>
    <w:rsid w:val="0BEA2C0D"/>
    <w:rsid w:val="0C094546"/>
    <w:rsid w:val="0C2C45CB"/>
    <w:rsid w:val="0C3662C0"/>
    <w:rsid w:val="0C6D10CC"/>
    <w:rsid w:val="0C7F0F42"/>
    <w:rsid w:val="0C9B3EA9"/>
    <w:rsid w:val="0CA25154"/>
    <w:rsid w:val="0CC5325E"/>
    <w:rsid w:val="0CD5473E"/>
    <w:rsid w:val="0CD8529B"/>
    <w:rsid w:val="0CEF7E49"/>
    <w:rsid w:val="0D066572"/>
    <w:rsid w:val="0D135D51"/>
    <w:rsid w:val="0D466439"/>
    <w:rsid w:val="0D4D7B95"/>
    <w:rsid w:val="0D5115FA"/>
    <w:rsid w:val="0D5B4FA2"/>
    <w:rsid w:val="0D666520"/>
    <w:rsid w:val="0D7A209A"/>
    <w:rsid w:val="0D8D5EEA"/>
    <w:rsid w:val="0D8E0AA3"/>
    <w:rsid w:val="0DFA4FB9"/>
    <w:rsid w:val="0DFB0C28"/>
    <w:rsid w:val="0E16590B"/>
    <w:rsid w:val="0E18717B"/>
    <w:rsid w:val="0E1E62BE"/>
    <w:rsid w:val="0E3D1BA3"/>
    <w:rsid w:val="0E86426C"/>
    <w:rsid w:val="0E9E0CE9"/>
    <w:rsid w:val="0EBF1C08"/>
    <w:rsid w:val="0EC712FA"/>
    <w:rsid w:val="0EE04BC6"/>
    <w:rsid w:val="0F046753"/>
    <w:rsid w:val="0F2A6C08"/>
    <w:rsid w:val="0F2E575B"/>
    <w:rsid w:val="0F581505"/>
    <w:rsid w:val="0F611D01"/>
    <w:rsid w:val="0F6744BF"/>
    <w:rsid w:val="0F693C58"/>
    <w:rsid w:val="0F8E32C7"/>
    <w:rsid w:val="0F8E5E5C"/>
    <w:rsid w:val="0FCB3ABB"/>
    <w:rsid w:val="0FD03FB6"/>
    <w:rsid w:val="0FDF4FDC"/>
    <w:rsid w:val="0FE61ED2"/>
    <w:rsid w:val="10294A91"/>
    <w:rsid w:val="10325476"/>
    <w:rsid w:val="103A7A23"/>
    <w:rsid w:val="104D304C"/>
    <w:rsid w:val="105755D7"/>
    <w:rsid w:val="10673FF1"/>
    <w:rsid w:val="107B574A"/>
    <w:rsid w:val="108B156D"/>
    <w:rsid w:val="109A3233"/>
    <w:rsid w:val="10B554B0"/>
    <w:rsid w:val="10BD404D"/>
    <w:rsid w:val="10BE1A6F"/>
    <w:rsid w:val="10D22B2A"/>
    <w:rsid w:val="10DC1BCA"/>
    <w:rsid w:val="10DC4D72"/>
    <w:rsid w:val="110B3945"/>
    <w:rsid w:val="11352A92"/>
    <w:rsid w:val="11574294"/>
    <w:rsid w:val="11603649"/>
    <w:rsid w:val="116852B2"/>
    <w:rsid w:val="11686BAE"/>
    <w:rsid w:val="1183529A"/>
    <w:rsid w:val="119B7E12"/>
    <w:rsid w:val="11A4035A"/>
    <w:rsid w:val="11C666EE"/>
    <w:rsid w:val="11CF4E5B"/>
    <w:rsid w:val="11E34E10"/>
    <w:rsid w:val="12015904"/>
    <w:rsid w:val="12052C2F"/>
    <w:rsid w:val="122A0841"/>
    <w:rsid w:val="122F74D7"/>
    <w:rsid w:val="12360000"/>
    <w:rsid w:val="124B2AF1"/>
    <w:rsid w:val="125547F4"/>
    <w:rsid w:val="126709AA"/>
    <w:rsid w:val="12712805"/>
    <w:rsid w:val="127C53CD"/>
    <w:rsid w:val="12A245BE"/>
    <w:rsid w:val="12A74B90"/>
    <w:rsid w:val="12CD380F"/>
    <w:rsid w:val="13130554"/>
    <w:rsid w:val="13246B53"/>
    <w:rsid w:val="132D25D1"/>
    <w:rsid w:val="13344039"/>
    <w:rsid w:val="13467A19"/>
    <w:rsid w:val="135D61DE"/>
    <w:rsid w:val="13825FA7"/>
    <w:rsid w:val="138C0F01"/>
    <w:rsid w:val="13994446"/>
    <w:rsid w:val="13A016BF"/>
    <w:rsid w:val="13AC758F"/>
    <w:rsid w:val="13E534C3"/>
    <w:rsid w:val="13F23B8D"/>
    <w:rsid w:val="14071BEC"/>
    <w:rsid w:val="141B5FB2"/>
    <w:rsid w:val="14A767D8"/>
    <w:rsid w:val="14B9219C"/>
    <w:rsid w:val="14BA764B"/>
    <w:rsid w:val="14EC1DEE"/>
    <w:rsid w:val="152F2FF0"/>
    <w:rsid w:val="15342B18"/>
    <w:rsid w:val="15656B5E"/>
    <w:rsid w:val="157E2EE0"/>
    <w:rsid w:val="15824801"/>
    <w:rsid w:val="15916948"/>
    <w:rsid w:val="15947004"/>
    <w:rsid w:val="15A64E3A"/>
    <w:rsid w:val="15B90853"/>
    <w:rsid w:val="15C64465"/>
    <w:rsid w:val="15F04D62"/>
    <w:rsid w:val="15F76E98"/>
    <w:rsid w:val="161D096E"/>
    <w:rsid w:val="162D0C30"/>
    <w:rsid w:val="163F317D"/>
    <w:rsid w:val="167A3837"/>
    <w:rsid w:val="169947B3"/>
    <w:rsid w:val="1699583B"/>
    <w:rsid w:val="16AD1C70"/>
    <w:rsid w:val="16D41EF4"/>
    <w:rsid w:val="16D873A1"/>
    <w:rsid w:val="1706734A"/>
    <w:rsid w:val="171E0704"/>
    <w:rsid w:val="172379C9"/>
    <w:rsid w:val="173537D5"/>
    <w:rsid w:val="175438F4"/>
    <w:rsid w:val="17614976"/>
    <w:rsid w:val="17685275"/>
    <w:rsid w:val="17740210"/>
    <w:rsid w:val="178327B8"/>
    <w:rsid w:val="1787159F"/>
    <w:rsid w:val="17EC6540"/>
    <w:rsid w:val="17F5228E"/>
    <w:rsid w:val="182608A6"/>
    <w:rsid w:val="182B7582"/>
    <w:rsid w:val="18531D67"/>
    <w:rsid w:val="18D84CC2"/>
    <w:rsid w:val="18DD1C4F"/>
    <w:rsid w:val="18EA2DE9"/>
    <w:rsid w:val="18EC01E7"/>
    <w:rsid w:val="19123B8B"/>
    <w:rsid w:val="191D6839"/>
    <w:rsid w:val="191F53A0"/>
    <w:rsid w:val="19460151"/>
    <w:rsid w:val="19484E2A"/>
    <w:rsid w:val="194A7A33"/>
    <w:rsid w:val="1966470C"/>
    <w:rsid w:val="197821F0"/>
    <w:rsid w:val="19782A66"/>
    <w:rsid w:val="197D4927"/>
    <w:rsid w:val="19862579"/>
    <w:rsid w:val="19AF64C7"/>
    <w:rsid w:val="1A206933"/>
    <w:rsid w:val="1A2B3759"/>
    <w:rsid w:val="1A2F29C0"/>
    <w:rsid w:val="1A3E3A05"/>
    <w:rsid w:val="1A4D320F"/>
    <w:rsid w:val="1A6B3FD2"/>
    <w:rsid w:val="1AC145E0"/>
    <w:rsid w:val="1AFB0C0A"/>
    <w:rsid w:val="1B175A4B"/>
    <w:rsid w:val="1B2F5ED2"/>
    <w:rsid w:val="1B480DB5"/>
    <w:rsid w:val="1B4A38F9"/>
    <w:rsid w:val="1B6C08F1"/>
    <w:rsid w:val="1B6D4045"/>
    <w:rsid w:val="1B714388"/>
    <w:rsid w:val="1BC8222B"/>
    <w:rsid w:val="1BEC228C"/>
    <w:rsid w:val="1BF74BA7"/>
    <w:rsid w:val="1BF93B32"/>
    <w:rsid w:val="1C02632D"/>
    <w:rsid w:val="1C042909"/>
    <w:rsid w:val="1C3368FA"/>
    <w:rsid w:val="1C3E4E92"/>
    <w:rsid w:val="1C756BE7"/>
    <w:rsid w:val="1C8A44EB"/>
    <w:rsid w:val="1C9A6095"/>
    <w:rsid w:val="1CA736B9"/>
    <w:rsid w:val="1CB67C5D"/>
    <w:rsid w:val="1CC12212"/>
    <w:rsid w:val="1CC46802"/>
    <w:rsid w:val="1CE81D48"/>
    <w:rsid w:val="1CFD755F"/>
    <w:rsid w:val="1D0A4BBC"/>
    <w:rsid w:val="1D28203F"/>
    <w:rsid w:val="1D3F06EB"/>
    <w:rsid w:val="1D4C1E4C"/>
    <w:rsid w:val="1D522D96"/>
    <w:rsid w:val="1D771A56"/>
    <w:rsid w:val="1D793D33"/>
    <w:rsid w:val="1D7B57D7"/>
    <w:rsid w:val="1D930799"/>
    <w:rsid w:val="1D9C3EDD"/>
    <w:rsid w:val="1DAD6D8E"/>
    <w:rsid w:val="1DB6050C"/>
    <w:rsid w:val="1DDC2CA5"/>
    <w:rsid w:val="1DE40702"/>
    <w:rsid w:val="1DFE6B09"/>
    <w:rsid w:val="1E154584"/>
    <w:rsid w:val="1E1A3A08"/>
    <w:rsid w:val="1E1D1A46"/>
    <w:rsid w:val="1E212BDB"/>
    <w:rsid w:val="1E4A2382"/>
    <w:rsid w:val="1E551AE5"/>
    <w:rsid w:val="1E64166E"/>
    <w:rsid w:val="1E756060"/>
    <w:rsid w:val="1EA91F7A"/>
    <w:rsid w:val="1EC5473F"/>
    <w:rsid w:val="1ECB74FA"/>
    <w:rsid w:val="1F0D6E92"/>
    <w:rsid w:val="1F1C1773"/>
    <w:rsid w:val="1F492420"/>
    <w:rsid w:val="1F625671"/>
    <w:rsid w:val="1F6C7348"/>
    <w:rsid w:val="1F742AB0"/>
    <w:rsid w:val="1FA57236"/>
    <w:rsid w:val="1FAA36E5"/>
    <w:rsid w:val="1FB7639E"/>
    <w:rsid w:val="1FD46637"/>
    <w:rsid w:val="1FDA313F"/>
    <w:rsid w:val="1FEB51B0"/>
    <w:rsid w:val="200753E4"/>
    <w:rsid w:val="20397F22"/>
    <w:rsid w:val="205331CF"/>
    <w:rsid w:val="2058474D"/>
    <w:rsid w:val="2067605F"/>
    <w:rsid w:val="206B7942"/>
    <w:rsid w:val="20CC0051"/>
    <w:rsid w:val="20D848C5"/>
    <w:rsid w:val="20F30641"/>
    <w:rsid w:val="212813CB"/>
    <w:rsid w:val="213342F1"/>
    <w:rsid w:val="213B569A"/>
    <w:rsid w:val="214B3461"/>
    <w:rsid w:val="218461D1"/>
    <w:rsid w:val="21922C7A"/>
    <w:rsid w:val="21DA4D8D"/>
    <w:rsid w:val="22255139"/>
    <w:rsid w:val="223826E8"/>
    <w:rsid w:val="22576ED7"/>
    <w:rsid w:val="22582FB1"/>
    <w:rsid w:val="229B0BE3"/>
    <w:rsid w:val="22F92916"/>
    <w:rsid w:val="23185847"/>
    <w:rsid w:val="231D314A"/>
    <w:rsid w:val="23347ADD"/>
    <w:rsid w:val="23533928"/>
    <w:rsid w:val="236D6215"/>
    <w:rsid w:val="237075BA"/>
    <w:rsid w:val="238C24B3"/>
    <w:rsid w:val="23905431"/>
    <w:rsid w:val="239813CF"/>
    <w:rsid w:val="23A62BD0"/>
    <w:rsid w:val="23A87C14"/>
    <w:rsid w:val="23AA24CB"/>
    <w:rsid w:val="23C02A46"/>
    <w:rsid w:val="23CE4C1D"/>
    <w:rsid w:val="23F40312"/>
    <w:rsid w:val="23FA5246"/>
    <w:rsid w:val="240C71ED"/>
    <w:rsid w:val="240C7C35"/>
    <w:rsid w:val="24401DA4"/>
    <w:rsid w:val="245A29FA"/>
    <w:rsid w:val="24EC1F77"/>
    <w:rsid w:val="25327F81"/>
    <w:rsid w:val="25624528"/>
    <w:rsid w:val="2579730F"/>
    <w:rsid w:val="25AA48EC"/>
    <w:rsid w:val="25AB1039"/>
    <w:rsid w:val="25B41287"/>
    <w:rsid w:val="25B7485F"/>
    <w:rsid w:val="25CD122E"/>
    <w:rsid w:val="25D24941"/>
    <w:rsid w:val="26040B7C"/>
    <w:rsid w:val="2627695C"/>
    <w:rsid w:val="26375C29"/>
    <w:rsid w:val="26586448"/>
    <w:rsid w:val="26662FB1"/>
    <w:rsid w:val="268D7241"/>
    <w:rsid w:val="269D7F3C"/>
    <w:rsid w:val="26AA4339"/>
    <w:rsid w:val="26B86366"/>
    <w:rsid w:val="26F056A0"/>
    <w:rsid w:val="27043DF2"/>
    <w:rsid w:val="2706180B"/>
    <w:rsid w:val="270A4B9C"/>
    <w:rsid w:val="27365A22"/>
    <w:rsid w:val="274A4F22"/>
    <w:rsid w:val="27527436"/>
    <w:rsid w:val="275D24D1"/>
    <w:rsid w:val="27873FF4"/>
    <w:rsid w:val="27886EDE"/>
    <w:rsid w:val="27B06426"/>
    <w:rsid w:val="27B42DC7"/>
    <w:rsid w:val="27B648A2"/>
    <w:rsid w:val="283B6C9B"/>
    <w:rsid w:val="2844316D"/>
    <w:rsid w:val="286457FD"/>
    <w:rsid w:val="288B70AA"/>
    <w:rsid w:val="288C2731"/>
    <w:rsid w:val="289D6B12"/>
    <w:rsid w:val="28AD7B65"/>
    <w:rsid w:val="28B061D7"/>
    <w:rsid w:val="28B21040"/>
    <w:rsid w:val="28B52BB1"/>
    <w:rsid w:val="28B81C87"/>
    <w:rsid w:val="28EF227F"/>
    <w:rsid w:val="28F146F0"/>
    <w:rsid w:val="29226C01"/>
    <w:rsid w:val="293421EA"/>
    <w:rsid w:val="29363F28"/>
    <w:rsid w:val="294F62CA"/>
    <w:rsid w:val="29520171"/>
    <w:rsid w:val="29637AEA"/>
    <w:rsid w:val="29AA163F"/>
    <w:rsid w:val="29CD26AC"/>
    <w:rsid w:val="29F638F8"/>
    <w:rsid w:val="29FB31B1"/>
    <w:rsid w:val="2A0458AB"/>
    <w:rsid w:val="2A3C1157"/>
    <w:rsid w:val="2A6D35D1"/>
    <w:rsid w:val="2A851736"/>
    <w:rsid w:val="2A855EB1"/>
    <w:rsid w:val="2A8E10C9"/>
    <w:rsid w:val="2A967D32"/>
    <w:rsid w:val="2AA440D8"/>
    <w:rsid w:val="2AB57BD6"/>
    <w:rsid w:val="2AD43C8E"/>
    <w:rsid w:val="2AFB2F54"/>
    <w:rsid w:val="2B382171"/>
    <w:rsid w:val="2B5028B2"/>
    <w:rsid w:val="2B5D6A14"/>
    <w:rsid w:val="2B6E7A3A"/>
    <w:rsid w:val="2B755788"/>
    <w:rsid w:val="2B845C43"/>
    <w:rsid w:val="2C2645E3"/>
    <w:rsid w:val="2C9319A2"/>
    <w:rsid w:val="2CB070EB"/>
    <w:rsid w:val="2CC37D39"/>
    <w:rsid w:val="2CC542BF"/>
    <w:rsid w:val="2CCF369D"/>
    <w:rsid w:val="2D045679"/>
    <w:rsid w:val="2D0E49EC"/>
    <w:rsid w:val="2D1245B9"/>
    <w:rsid w:val="2D2E47ED"/>
    <w:rsid w:val="2D6176EB"/>
    <w:rsid w:val="2D874304"/>
    <w:rsid w:val="2D8B05E5"/>
    <w:rsid w:val="2D911341"/>
    <w:rsid w:val="2DA06874"/>
    <w:rsid w:val="2DB731A3"/>
    <w:rsid w:val="2DB8676D"/>
    <w:rsid w:val="2DD648DA"/>
    <w:rsid w:val="2DDD7AE6"/>
    <w:rsid w:val="2DDE305F"/>
    <w:rsid w:val="2E560485"/>
    <w:rsid w:val="2E695840"/>
    <w:rsid w:val="2E7756C2"/>
    <w:rsid w:val="2E8439FA"/>
    <w:rsid w:val="2E930C9F"/>
    <w:rsid w:val="2E9C177D"/>
    <w:rsid w:val="2EAC7757"/>
    <w:rsid w:val="2EB929F8"/>
    <w:rsid w:val="2EC527ED"/>
    <w:rsid w:val="2ED67DB5"/>
    <w:rsid w:val="2ED744BE"/>
    <w:rsid w:val="2EE80620"/>
    <w:rsid w:val="2EF43F8B"/>
    <w:rsid w:val="2F186477"/>
    <w:rsid w:val="2F322E75"/>
    <w:rsid w:val="2F437EAE"/>
    <w:rsid w:val="2F67603F"/>
    <w:rsid w:val="2F7A5A2A"/>
    <w:rsid w:val="2FBF6C26"/>
    <w:rsid w:val="2FFE4E38"/>
    <w:rsid w:val="2FFF3F56"/>
    <w:rsid w:val="301175AB"/>
    <w:rsid w:val="301E30F1"/>
    <w:rsid w:val="3047190D"/>
    <w:rsid w:val="30490343"/>
    <w:rsid w:val="30A2183F"/>
    <w:rsid w:val="30D81BA8"/>
    <w:rsid w:val="30FD398F"/>
    <w:rsid w:val="311530E6"/>
    <w:rsid w:val="312A44A1"/>
    <w:rsid w:val="313B3052"/>
    <w:rsid w:val="31991C22"/>
    <w:rsid w:val="319A7DDE"/>
    <w:rsid w:val="31B24E7D"/>
    <w:rsid w:val="31CA58A6"/>
    <w:rsid w:val="31FF68AC"/>
    <w:rsid w:val="320B00AB"/>
    <w:rsid w:val="32123FB2"/>
    <w:rsid w:val="3217341F"/>
    <w:rsid w:val="321E19C0"/>
    <w:rsid w:val="32284803"/>
    <w:rsid w:val="325B0CC9"/>
    <w:rsid w:val="32A5579E"/>
    <w:rsid w:val="32B30D82"/>
    <w:rsid w:val="32CF2A0A"/>
    <w:rsid w:val="32EF47AA"/>
    <w:rsid w:val="32F1273A"/>
    <w:rsid w:val="331A6BE9"/>
    <w:rsid w:val="331F7372"/>
    <w:rsid w:val="334F365C"/>
    <w:rsid w:val="33641CE3"/>
    <w:rsid w:val="33647F69"/>
    <w:rsid w:val="33704616"/>
    <w:rsid w:val="338360CA"/>
    <w:rsid w:val="338D75D3"/>
    <w:rsid w:val="33BB35C8"/>
    <w:rsid w:val="33D535D2"/>
    <w:rsid w:val="342412E7"/>
    <w:rsid w:val="3428737C"/>
    <w:rsid w:val="342F55C2"/>
    <w:rsid w:val="34346E82"/>
    <w:rsid w:val="34434627"/>
    <w:rsid w:val="344F08A3"/>
    <w:rsid w:val="347D1D75"/>
    <w:rsid w:val="34D87BA1"/>
    <w:rsid w:val="34DC3169"/>
    <w:rsid w:val="34F83EFA"/>
    <w:rsid w:val="35303F28"/>
    <w:rsid w:val="35335835"/>
    <w:rsid w:val="35351F3F"/>
    <w:rsid w:val="356370E4"/>
    <w:rsid w:val="35972C3E"/>
    <w:rsid w:val="35A83C73"/>
    <w:rsid w:val="35C83D3B"/>
    <w:rsid w:val="35F35E4E"/>
    <w:rsid w:val="360D758C"/>
    <w:rsid w:val="3612062D"/>
    <w:rsid w:val="361B7673"/>
    <w:rsid w:val="361E4817"/>
    <w:rsid w:val="36244AFF"/>
    <w:rsid w:val="36540C61"/>
    <w:rsid w:val="365637C3"/>
    <w:rsid w:val="369453FF"/>
    <w:rsid w:val="369605E6"/>
    <w:rsid w:val="36A949EC"/>
    <w:rsid w:val="36B35218"/>
    <w:rsid w:val="36C24E99"/>
    <w:rsid w:val="36EA26C8"/>
    <w:rsid w:val="36EE7CA6"/>
    <w:rsid w:val="36F26CC4"/>
    <w:rsid w:val="36FB3C6A"/>
    <w:rsid w:val="37082E21"/>
    <w:rsid w:val="375A42FE"/>
    <w:rsid w:val="37722D27"/>
    <w:rsid w:val="37740D1F"/>
    <w:rsid w:val="37784A79"/>
    <w:rsid w:val="37805215"/>
    <w:rsid w:val="37875880"/>
    <w:rsid w:val="37A438AE"/>
    <w:rsid w:val="38403A2A"/>
    <w:rsid w:val="385263FC"/>
    <w:rsid w:val="38534E7E"/>
    <w:rsid w:val="38946910"/>
    <w:rsid w:val="38AE0C56"/>
    <w:rsid w:val="38D1139F"/>
    <w:rsid w:val="38D24F97"/>
    <w:rsid w:val="38DE3E94"/>
    <w:rsid w:val="39071503"/>
    <w:rsid w:val="3938278D"/>
    <w:rsid w:val="394B2CA3"/>
    <w:rsid w:val="394F58E5"/>
    <w:rsid w:val="395614D7"/>
    <w:rsid w:val="39685302"/>
    <w:rsid w:val="3978555B"/>
    <w:rsid w:val="39795D7C"/>
    <w:rsid w:val="3980280C"/>
    <w:rsid w:val="398E3B0A"/>
    <w:rsid w:val="39FC642C"/>
    <w:rsid w:val="3A0B56C4"/>
    <w:rsid w:val="3A122DB5"/>
    <w:rsid w:val="3A2F3D45"/>
    <w:rsid w:val="3A407823"/>
    <w:rsid w:val="3A4248ED"/>
    <w:rsid w:val="3A5007B8"/>
    <w:rsid w:val="3A733BB6"/>
    <w:rsid w:val="3A9A7027"/>
    <w:rsid w:val="3AC56F4B"/>
    <w:rsid w:val="3ACC0DBD"/>
    <w:rsid w:val="3B015211"/>
    <w:rsid w:val="3B537F21"/>
    <w:rsid w:val="3B681827"/>
    <w:rsid w:val="3B75195F"/>
    <w:rsid w:val="3B857641"/>
    <w:rsid w:val="3BAC06DD"/>
    <w:rsid w:val="3BE1491F"/>
    <w:rsid w:val="3C027D11"/>
    <w:rsid w:val="3C051481"/>
    <w:rsid w:val="3C154521"/>
    <w:rsid w:val="3C212ABA"/>
    <w:rsid w:val="3C704D71"/>
    <w:rsid w:val="3C732B1C"/>
    <w:rsid w:val="3C8F4713"/>
    <w:rsid w:val="3CA7419D"/>
    <w:rsid w:val="3CFF01CC"/>
    <w:rsid w:val="3D09522A"/>
    <w:rsid w:val="3D2417E7"/>
    <w:rsid w:val="3D3721BE"/>
    <w:rsid w:val="3D3E0107"/>
    <w:rsid w:val="3D6220FF"/>
    <w:rsid w:val="3D8716C8"/>
    <w:rsid w:val="3DB11C8C"/>
    <w:rsid w:val="3DF62562"/>
    <w:rsid w:val="3DFE68EC"/>
    <w:rsid w:val="3E023CFD"/>
    <w:rsid w:val="3E37350E"/>
    <w:rsid w:val="3E384B7E"/>
    <w:rsid w:val="3E691A29"/>
    <w:rsid w:val="3E7567E7"/>
    <w:rsid w:val="3E7C27CC"/>
    <w:rsid w:val="3E985CCF"/>
    <w:rsid w:val="3EAA791A"/>
    <w:rsid w:val="3EB14CCF"/>
    <w:rsid w:val="3ED040BE"/>
    <w:rsid w:val="3EFE66C5"/>
    <w:rsid w:val="3F0776F6"/>
    <w:rsid w:val="3F0926AA"/>
    <w:rsid w:val="3F1C410D"/>
    <w:rsid w:val="3F1F2E3A"/>
    <w:rsid w:val="3F321DE0"/>
    <w:rsid w:val="3F655F80"/>
    <w:rsid w:val="3F836767"/>
    <w:rsid w:val="3F8416A9"/>
    <w:rsid w:val="3FB4435D"/>
    <w:rsid w:val="3FE27AD7"/>
    <w:rsid w:val="3FEE696C"/>
    <w:rsid w:val="3FF17812"/>
    <w:rsid w:val="3FF5144C"/>
    <w:rsid w:val="402F5D2B"/>
    <w:rsid w:val="40370911"/>
    <w:rsid w:val="405D60C0"/>
    <w:rsid w:val="406908C1"/>
    <w:rsid w:val="406B260D"/>
    <w:rsid w:val="409B7B42"/>
    <w:rsid w:val="40A31DFF"/>
    <w:rsid w:val="40AD618A"/>
    <w:rsid w:val="40D92ECE"/>
    <w:rsid w:val="40E3424D"/>
    <w:rsid w:val="40E34F6B"/>
    <w:rsid w:val="40EF6545"/>
    <w:rsid w:val="41147A47"/>
    <w:rsid w:val="41635C58"/>
    <w:rsid w:val="418A5985"/>
    <w:rsid w:val="419817C1"/>
    <w:rsid w:val="419E2015"/>
    <w:rsid w:val="41AB4806"/>
    <w:rsid w:val="41C84456"/>
    <w:rsid w:val="41D47D41"/>
    <w:rsid w:val="41FD6D00"/>
    <w:rsid w:val="42145522"/>
    <w:rsid w:val="42475FAC"/>
    <w:rsid w:val="42800D61"/>
    <w:rsid w:val="42826BE0"/>
    <w:rsid w:val="428649CF"/>
    <w:rsid w:val="42D34C54"/>
    <w:rsid w:val="42EB23D1"/>
    <w:rsid w:val="431C38E4"/>
    <w:rsid w:val="432A2BE0"/>
    <w:rsid w:val="432B0496"/>
    <w:rsid w:val="43312648"/>
    <w:rsid w:val="43586EE2"/>
    <w:rsid w:val="436444C7"/>
    <w:rsid w:val="43753C89"/>
    <w:rsid w:val="43890713"/>
    <w:rsid w:val="43AA5158"/>
    <w:rsid w:val="43CA7E08"/>
    <w:rsid w:val="43DB5EC1"/>
    <w:rsid w:val="43E4646B"/>
    <w:rsid w:val="43FF5550"/>
    <w:rsid w:val="441C6365"/>
    <w:rsid w:val="442B37DA"/>
    <w:rsid w:val="443911C0"/>
    <w:rsid w:val="443C043D"/>
    <w:rsid w:val="445C67FB"/>
    <w:rsid w:val="44940F00"/>
    <w:rsid w:val="449828FE"/>
    <w:rsid w:val="449A1C96"/>
    <w:rsid w:val="44C62DDD"/>
    <w:rsid w:val="44CF2A1C"/>
    <w:rsid w:val="44DB0E77"/>
    <w:rsid w:val="44E42638"/>
    <w:rsid w:val="44EE77DA"/>
    <w:rsid w:val="44FC2324"/>
    <w:rsid w:val="453F7D18"/>
    <w:rsid w:val="45481699"/>
    <w:rsid w:val="455F5F31"/>
    <w:rsid w:val="4565151A"/>
    <w:rsid w:val="456F4189"/>
    <w:rsid w:val="45852843"/>
    <w:rsid w:val="458D58FE"/>
    <w:rsid w:val="459A0A23"/>
    <w:rsid w:val="45A22836"/>
    <w:rsid w:val="45C556F6"/>
    <w:rsid w:val="45CD57E6"/>
    <w:rsid w:val="45E41B81"/>
    <w:rsid w:val="45F04AAB"/>
    <w:rsid w:val="464C0106"/>
    <w:rsid w:val="464C7766"/>
    <w:rsid w:val="467206AF"/>
    <w:rsid w:val="46805000"/>
    <w:rsid w:val="46B14637"/>
    <w:rsid w:val="46BE0748"/>
    <w:rsid w:val="46BF6EEC"/>
    <w:rsid w:val="46C05D32"/>
    <w:rsid w:val="46C72FD1"/>
    <w:rsid w:val="46C95A29"/>
    <w:rsid w:val="46F65641"/>
    <w:rsid w:val="47025A93"/>
    <w:rsid w:val="47105EDC"/>
    <w:rsid w:val="4712355F"/>
    <w:rsid w:val="472E5108"/>
    <w:rsid w:val="4734254C"/>
    <w:rsid w:val="475356B8"/>
    <w:rsid w:val="47551C97"/>
    <w:rsid w:val="475C45B6"/>
    <w:rsid w:val="476017A2"/>
    <w:rsid w:val="47806365"/>
    <w:rsid w:val="4786171C"/>
    <w:rsid w:val="479B7BC6"/>
    <w:rsid w:val="47AD0D70"/>
    <w:rsid w:val="47B07CA4"/>
    <w:rsid w:val="47CB75D6"/>
    <w:rsid w:val="47DD22AF"/>
    <w:rsid w:val="47DE7BE2"/>
    <w:rsid w:val="47E02BF0"/>
    <w:rsid w:val="47F44FCE"/>
    <w:rsid w:val="48593DDE"/>
    <w:rsid w:val="48727DB1"/>
    <w:rsid w:val="48BC6D65"/>
    <w:rsid w:val="48BD543E"/>
    <w:rsid w:val="48C246F8"/>
    <w:rsid w:val="48DB78C7"/>
    <w:rsid w:val="48DD0D9F"/>
    <w:rsid w:val="48EC37F5"/>
    <w:rsid w:val="49050CB5"/>
    <w:rsid w:val="491C4C37"/>
    <w:rsid w:val="492A20EB"/>
    <w:rsid w:val="493D6003"/>
    <w:rsid w:val="49430F7E"/>
    <w:rsid w:val="49590B7D"/>
    <w:rsid w:val="49872A44"/>
    <w:rsid w:val="49B059E3"/>
    <w:rsid w:val="49B3137F"/>
    <w:rsid w:val="49DA35A7"/>
    <w:rsid w:val="49E85567"/>
    <w:rsid w:val="4A0F7C53"/>
    <w:rsid w:val="4A242744"/>
    <w:rsid w:val="4A3E5A6A"/>
    <w:rsid w:val="4A4C2753"/>
    <w:rsid w:val="4A5349B7"/>
    <w:rsid w:val="4A6B5D6A"/>
    <w:rsid w:val="4A7210CD"/>
    <w:rsid w:val="4A812780"/>
    <w:rsid w:val="4A8F6BB8"/>
    <w:rsid w:val="4A921F0B"/>
    <w:rsid w:val="4A927938"/>
    <w:rsid w:val="4A941083"/>
    <w:rsid w:val="4A9C456A"/>
    <w:rsid w:val="4AB818D0"/>
    <w:rsid w:val="4ABE6702"/>
    <w:rsid w:val="4AE5667E"/>
    <w:rsid w:val="4AE64BB1"/>
    <w:rsid w:val="4AE73333"/>
    <w:rsid w:val="4AF35D08"/>
    <w:rsid w:val="4B0904A9"/>
    <w:rsid w:val="4B0E74DB"/>
    <w:rsid w:val="4B286C72"/>
    <w:rsid w:val="4B2B30D7"/>
    <w:rsid w:val="4B343AFF"/>
    <w:rsid w:val="4B45687C"/>
    <w:rsid w:val="4B51371C"/>
    <w:rsid w:val="4B674710"/>
    <w:rsid w:val="4B99765B"/>
    <w:rsid w:val="4BB45C30"/>
    <w:rsid w:val="4BB96B68"/>
    <w:rsid w:val="4BCE0B3C"/>
    <w:rsid w:val="4BD72BA9"/>
    <w:rsid w:val="4BF832AC"/>
    <w:rsid w:val="4C0428DE"/>
    <w:rsid w:val="4C0C2E51"/>
    <w:rsid w:val="4C6B6D7E"/>
    <w:rsid w:val="4C8C6D69"/>
    <w:rsid w:val="4C9E2DF5"/>
    <w:rsid w:val="4CC70B96"/>
    <w:rsid w:val="4CCA7AF0"/>
    <w:rsid w:val="4CCB79E0"/>
    <w:rsid w:val="4CD16313"/>
    <w:rsid w:val="4CD75608"/>
    <w:rsid w:val="4CDD60BF"/>
    <w:rsid w:val="4CF866F2"/>
    <w:rsid w:val="4D056D56"/>
    <w:rsid w:val="4D14449C"/>
    <w:rsid w:val="4D390030"/>
    <w:rsid w:val="4D772093"/>
    <w:rsid w:val="4D7A6104"/>
    <w:rsid w:val="4D7D0EEA"/>
    <w:rsid w:val="4D9651D7"/>
    <w:rsid w:val="4DAA1DA4"/>
    <w:rsid w:val="4DBC3CDA"/>
    <w:rsid w:val="4DCD4DC6"/>
    <w:rsid w:val="4DE21809"/>
    <w:rsid w:val="4E493037"/>
    <w:rsid w:val="4E6229AB"/>
    <w:rsid w:val="4E7768B4"/>
    <w:rsid w:val="4E7C5908"/>
    <w:rsid w:val="4EA91345"/>
    <w:rsid w:val="4EBD2ABF"/>
    <w:rsid w:val="4EFA1096"/>
    <w:rsid w:val="4EFC3316"/>
    <w:rsid w:val="4F26074A"/>
    <w:rsid w:val="4F282C7D"/>
    <w:rsid w:val="4F640AB8"/>
    <w:rsid w:val="4F65750F"/>
    <w:rsid w:val="4F81668B"/>
    <w:rsid w:val="4F8B7437"/>
    <w:rsid w:val="4FAC2F84"/>
    <w:rsid w:val="4FB94BFE"/>
    <w:rsid w:val="4FDE386F"/>
    <w:rsid w:val="4FED7CDB"/>
    <w:rsid w:val="500E00A3"/>
    <w:rsid w:val="50145734"/>
    <w:rsid w:val="50386E98"/>
    <w:rsid w:val="50805179"/>
    <w:rsid w:val="50936A85"/>
    <w:rsid w:val="50C01AEB"/>
    <w:rsid w:val="50D162C1"/>
    <w:rsid w:val="50F062D4"/>
    <w:rsid w:val="514774C9"/>
    <w:rsid w:val="516406B1"/>
    <w:rsid w:val="517E44E0"/>
    <w:rsid w:val="518F486D"/>
    <w:rsid w:val="51913849"/>
    <w:rsid w:val="51CA399B"/>
    <w:rsid w:val="51CC5720"/>
    <w:rsid w:val="51D7750A"/>
    <w:rsid w:val="51E25429"/>
    <w:rsid w:val="52106D9F"/>
    <w:rsid w:val="521A3E29"/>
    <w:rsid w:val="521F7993"/>
    <w:rsid w:val="52211268"/>
    <w:rsid w:val="526951AC"/>
    <w:rsid w:val="526A4C17"/>
    <w:rsid w:val="529419D5"/>
    <w:rsid w:val="5298254C"/>
    <w:rsid w:val="52C56C5E"/>
    <w:rsid w:val="52CD61C6"/>
    <w:rsid w:val="52DC6CEB"/>
    <w:rsid w:val="52EC350C"/>
    <w:rsid w:val="53186491"/>
    <w:rsid w:val="53624DC7"/>
    <w:rsid w:val="538962E9"/>
    <w:rsid w:val="538E4B14"/>
    <w:rsid w:val="539D2CF3"/>
    <w:rsid w:val="53BF32B0"/>
    <w:rsid w:val="53D04FEC"/>
    <w:rsid w:val="53D26CD8"/>
    <w:rsid w:val="540939FC"/>
    <w:rsid w:val="54114343"/>
    <w:rsid w:val="54117410"/>
    <w:rsid w:val="543A7D72"/>
    <w:rsid w:val="543E0065"/>
    <w:rsid w:val="544D3C8A"/>
    <w:rsid w:val="54A24AAF"/>
    <w:rsid w:val="54E9733C"/>
    <w:rsid w:val="54EA6554"/>
    <w:rsid w:val="54EC603E"/>
    <w:rsid w:val="55005FBB"/>
    <w:rsid w:val="55123AFD"/>
    <w:rsid w:val="55160E55"/>
    <w:rsid w:val="551C6E80"/>
    <w:rsid w:val="55213EFD"/>
    <w:rsid w:val="55291AE8"/>
    <w:rsid w:val="55326F82"/>
    <w:rsid w:val="55466395"/>
    <w:rsid w:val="554C200F"/>
    <w:rsid w:val="555A6BE7"/>
    <w:rsid w:val="5566091D"/>
    <w:rsid w:val="558B13C9"/>
    <w:rsid w:val="55A57E08"/>
    <w:rsid w:val="55AE407F"/>
    <w:rsid w:val="561C16B8"/>
    <w:rsid w:val="562E0CCD"/>
    <w:rsid w:val="565D7E45"/>
    <w:rsid w:val="56767435"/>
    <w:rsid w:val="56882A7F"/>
    <w:rsid w:val="56AA463C"/>
    <w:rsid w:val="56DA7603"/>
    <w:rsid w:val="56DD2759"/>
    <w:rsid w:val="575521D9"/>
    <w:rsid w:val="576B2706"/>
    <w:rsid w:val="578309F2"/>
    <w:rsid w:val="57933CD4"/>
    <w:rsid w:val="57BC3711"/>
    <w:rsid w:val="57C90487"/>
    <w:rsid w:val="57D31B33"/>
    <w:rsid w:val="57FA3689"/>
    <w:rsid w:val="580A40CC"/>
    <w:rsid w:val="58213E3E"/>
    <w:rsid w:val="585E29BB"/>
    <w:rsid w:val="58C01A3E"/>
    <w:rsid w:val="58D165AE"/>
    <w:rsid w:val="58E24461"/>
    <w:rsid w:val="58FA4937"/>
    <w:rsid w:val="59056ACD"/>
    <w:rsid w:val="590C28B8"/>
    <w:rsid w:val="5912558D"/>
    <w:rsid w:val="594F4D6A"/>
    <w:rsid w:val="59517300"/>
    <w:rsid w:val="59576817"/>
    <w:rsid w:val="597948DC"/>
    <w:rsid w:val="597B5719"/>
    <w:rsid w:val="598E7A38"/>
    <w:rsid w:val="59DD3199"/>
    <w:rsid w:val="59F07F0D"/>
    <w:rsid w:val="5A292240"/>
    <w:rsid w:val="5A2F74DA"/>
    <w:rsid w:val="5A366128"/>
    <w:rsid w:val="5A442FD3"/>
    <w:rsid w:val="5A5006A5"/>
    <w:rsid w:val="5A553035"/>
    <w:rsid w:val="5A6402C3"/>
    <w:rsid w:val="5A933526"/>
    <w:rsid w:val="5A9C6330"/>
    <w:rsid w:val="5B0A5054"/>
    <w:rsid w:val="5B0D0F91"/>
    <w:rsid w:val="5B121B23"/>
    <w:rsid w:val="5B141A9B"/>
    <w:rsid w:val="5B187F82"/>
    <w:rsid w:val="5B59285F"/>
    <w:rsid w:val="5B625854"/>
    <w:rsid w:val="5B785A00"/>
    <w:rsid w:val="5B842288"/>
    <w:rsid w:val="5BA04545"/>
    <w:rsid w:val="5BB2428E"/>
    <w:rsid w:val="5BD72DBE"/>
    <w:rsid w:val="5BED7AAD"/>
    <w:rsid w:val="5C105E53"/>
    <w:rsid w:val="5C181A63"/>
    <w:rsid w:val="5C1A6AF8"/>
    <w:rsid w:val="5C2A4DFA"/>
    <w:rsid w:val="5C3B4A74"/>
    <w:rsid w:val="5C54077A"/>
    <w:rsid w:val="5C5D344A"/>
    <w:rsid w:val="5C7C51AA"/>
    <w:rsid w:val="5CB35D39"/>
    <w:rsid w:val="5CBC249F"/>
    <w:rsid w:val="5CE944F1"/>
    <w:rsid w:val="5CFD36A7"/>
    <w:rsid w:val="5D0150E4"/>
    <w:rsid w:val="5D0E0421"/>
    <w:rsid w:val="5D314C1B"/>
    <w:rsid w:val="5D464191"/>
    <w:rsid w:val="5D530E0B"/>
    <w:rsid w:val="5D871248"/>
    <w:rsid w:val="5D922E1E"/>
    <w:rsid w:val="5DE2472B"/>
    <w:rsid w:val="5E3B68AD"/>
    <w:rsid w:val="5E4C4B8A"/>
    <w:rsid w:val="5E6862ED"/>
    <w:rsid w:val="5E795C96"/>
    <w:rsid w:val="5EC12B97"/>
    <w:rsid w:val="5ED05D89"/>
    <w:rsid w:val="5F0541E9"/>
    <w:rsid w:val="5F0D4E1D"/>
    <w:rsid w:val="5F5945EC"/>
    <w:rsid w:val="5F673F28"/>
    <w:rsid w:val="5F6B7616"/>
    <w:rsid w:val="5F7C74AF"/>
    <w:rsid w:val="5F8714D2"/>
    <w:rsid w:val="5FB00D66"/>
    <w:rsid w:val="5FB42D1F"/>
    <w:rsid w:val="5FBC46BB"/>
    <w:rsid w:val="5FC6038D"/>
    <w:rsid w:val="600F63F0"/>
    <w:rsid w:val="601B5F1A"/>
    <w:rsid w:val="602A6F14"/>
    <w:rsid w:val="606D581A"/>
    <w:rsid w:val="60A2653F"/>
    <w:rsid w:val="60B023DC"/>
    <w:rsid w:val="60C0300D"/>
    <w:rsid w:val="60CA236E"/>
    <w:rsid w:val="60E440ED"/>
    <w:rsid w:val="60EC1891"/>
    <w:rsid w:val="60F76CCD"/>
    <w:rsid w:val="6112522E"/>
    <w:rsid w:val="611B53A5"/>
    <w:rsid w:val="613D03A0"/>
    <w:rsid w:val="61572FD4"/>
    <w:rsid w:val="618F6809"/>
    <w:rsid w:val="61965A6A"/>
    <w:rsid w:val="61A47489"/>
    <w:rsid w:val="61B054B5"/>
    <w:rsid w:val="61B42C58"/>
    <w:rsid w:val="61CA519D"/>
    <w:rsid w:val="61F32BF6"/>
    <w:rsid w:val="62064218"/>
    <w:rsid w:val="623863AB"/>
    <w:rsid w:val="62444231"/>
    <w:rsid w:val="62517367"/>
    <w:rsid w:val="625251BA"/>
    <w:rsid w:val="6258320F"/>
    <w:rsid w:val="628D5A97"/>
    <w:rsid w:val="628D641F"/>
    <w:rsid w:val="62B12DE9"/>
    <w:rsid w:val="62C51CDE"/>
    <w:rsid w:val="62D17E11"/>
    <w:rsid w:val="6307006E"/>
    <w:rsid w:val="631C3741"/>
    <w:rsid w:val="631F6B9D"/>
    <w:rsid w:val="63234055"/>
    <w:rsid w:val="632E6A94"/>
    <w:rsid w:val="63333F00"/>
    <w:rsid w:val="63395622"/>
    <w:rsid w:val="63536EA5"/>
    <w:rsid w:val="63622ED2"/>
    <w:rsid w:val="63761457"/>
    <w:rsid w:val="63927677"/>
    <w:rsid w:val="63933559"/>
    <w:rsid w:val="63AD0492"/>
    <w:rsid w:val="63B731FA"/>
    <w:rsid w:val="63D46C4C"/>
    <w:rsid w:val="63E34D8B"/>
    <w:rsid w:val="63E34ED4"/>
    <w:rsid w:val="63F6417E"/>
    <w:rsid w:val="63FE2EAD"/>
    <w:rsid w:val="640422E7"/>
    <w:rsid w:val="64187637"/>
    <w:rsid w:val="642607EC"/>
    <w:rsid w:val="642923E1"/>
    <w:rsid w:val="643A0E69"/>
    <w:rsid w:val="643E2D43"/>
    <w:rsid w:val="645A17EB"/>
    <w:rsid w:val="645C0B9B"/>
    <w:rsid w:val="646D4372"/>
    <w:rsid w:val="64934340"/>
    <w:rsid w:val="64A4614A"/>
    <w:rsid w:val="64A5101A"/>
    <w:rsid w:val="64A66375"/>
    <w:rsid w:val="64F83759"/>
    <w:rsid w:val="65043471"/>
    <w:rsid w:val="650D08F0"/>
    <w:rsid w:val="653265F2"/>
    <w:rsid w:val="656C69EB"/>
    <w:rsid w:val="65D16450"/>
    <w:rsid w:val="661F1014"/>
    <w:rsid w:val="66435A81"/>
    <w:rsid w:val="669F4FB3"/>
    <w:rsid w:val="66AF0BFB"/>
    <w:rsid w:val="66C73E89"/>
    <w:rsid w:val="66F37FEE"/>
    <w:rsid w:val="671757A8"/>
    <w:rsid w:val="671E3DFC"/>
    <w:rsid w:val="674418C9"/>
    <w:rsid w:val="674B1091"/>
    <w:rsid w:val="678C6FCB"/>
    <w:rsid w:val="678D14C9"/>
    <w:rsid w:val="67A557D8"/>
    <w:rsid w:val="67A95DD5"/>
    <w:rsid w:val="67B6127C"/>
    <w:rsid w:val="67C33B37"/>
    <w:rsid w:val="67C416CA"/>
    <w:rsid w:val="67F52E5E"/>
    <w:rsid w:val="67FB5A1C"/>
    <w:rsid w:val="6819595B"/>
    <w:rsid w:val="683F43D7"/>
    <w:rsid w:val="68471C64"/>
    <w:rsid w:val="68544080"/>
    <w:rsid w:val="685D0F1B"/>
    <w:rsid w:val="68691202"/>
    <w:rsid w:val="68912D71"/>
    <w:rsid w:val="68A1127F"/>
    <w:rsid w:val="68AF011B"/>
    <w:rsid w:val="68F1479F"/>
    <w:rsid w:val="69024510"/>
    <w:rsid w:val="691E46F8"/>
    <w:rsid w:val="69210620"/>
    <w:rsid w:val="692630E3"/>
    <w:rsid w:val="692958D2"/>
    <w:rsid w:val="692F65B3"/>
    <w:rsid w:val="694D40DB"/>
    <w:rsid w:val="69B908BA"/>
    <w:rsid w:val="69B913D2"/>
    <w:rsid w:val="69BE7E8F"/>
    <w:rsid w:val="69C02E61"/>
    <w:rsid w:val="69E3111D"/>
    <w:rsid w:val="69FA1079"/>
    <w:rsid w:val="6A595603"/>
    <w:rsid w:val="6A7A5C62"/>
    <w:rsid w:val="6A824165"/>
    <w:rsid w:val="6A873ABB"/>
    <w:rsid w:val="6AA000D0"/>
    <w:rsid w:val="6B08758D"/>
    <w:rsid w:val="6B2109C0"/>
    <w:rsid w:val="6B4B1289"/>
    <w:rsid w:val="6B511F99"/>
    <w:rsid w:val="6B563EA2"/>
    <w:rsid w:val="6B680722"/>
    <w:rsid w:val="6B7429EF"/>
    <w:rsid w:val="6B7A3FC1"/>
    <w:rsid w:val="6B8C30C8"/>
    <w:rsid w:val="6B985938"/>
    <w:rsid w:val="6BA13247"/>
    <w:rsid w:val="6BD25A2B"/>
    <w:rsid w:val="6BD27611"/>
    <w:rsid w:val="6BD61F33"/>
    <w:rsid w:val="6BF70CD0"/>
    <w:rsid w:val="6BF7328A"/>
    <w:rsid w:val="6C2E7EFC"/>
    <w:rsid w:val="6C5C4915"/>
    <w:rsid w:val="6C76714D"/>
    <w:rsid w:val="6C865793"/>
    <w:rsid w:val="6C8D49DE"/>
    <w:rsid w:val="6CE3483F"/>
    <w:rsid w:val="6D2D4CF3"/>
    <w:rsid w:val="6D4A55AD"/>
    <w:rsid w:val="6D5764E8"/>
    <w:rsid w:val="6D955661"/>
    <w:rsid w:val="6D9A0FA3"/>
    <w:rsid w:val="6D9D3C6F"/>
    <w:rsid w:val="6DA36393"/>
    <w:rsid w:val="6DA6637B"/>
    <w:rsid w:val="6DD01F5A"/>
    <w:rsid w:val="6DD2717F"/>
    <w:rsid w:val="6DDF62CA"/>
    <w:rsid w:val="6DE57A3C"/>
    <w:rsid w:val="6DF06136"/>
    <w:rsid w:val="6DF25DED"/>
    <w:rsid w:val="6DF701C5"/>
    <w:rsid w:val="6E060A20"/>
    <w:rsid w:val="6E1836B1"/>
    <w:rsid w:val="6E59581F"/>
    <w:rsid w:val="6E85421D"/>
    <w:rsid w:val="6EA407CC"/>
    <w:rsid w:val="6EBE0396"/>
    <w:rsid w:val="6ED516E8"/>
    <w:rsid w:val="6F104A67"/>
    <w:rsid w:val="6F517A46"/>
    <w:rsid w:val="6F5E1417"/>
    <w:rsid w:val="6F6965D7"/>
    <w:rsid w:val="6F6D19F9"/>
    <w:rsid w:val="6F9C187B"/>
    <w:rsid w:val="6F9E0C49"/>
    <w:rsid w:val="6FA14078"/>
    <w:rsid w:val="6FB669C4"/>
    <w:rsid w:val="6FBA384D"/>
    <w:rsid w:val="6FC43B7C"/>
    <w:rsid w:val="6FEC6AF7"/>
    <w:rsid w:val="700455EC"/>
    <w:rsid w:val="7009167F"/>
    <w:rsid w:val="702169DB"/>
    <w:rsid w:val="7022192B"/>
    <w:rsid w:val="70237A92"/>
    <w:rsid w:val="70342FD9"/>
    <w:rsid w:val="703A3875"/>
    <w:rsid w:val="703A39CA"/>
    <w:rsid w:val="70413A64"/>
    <w:rsid w:val="70576DFB"/>
    <w:rsid w:val="707931DC"/>
    <w:rsid w:val="70A8790C"/>
    <w:rsid w:val="70B00A6B"/>
    <w:rsid w:val="70F151CD"/>
    <w:rsid w:val="710E6864"/>
    <w:rsid w:val="71356680"/>
    <w:rsid w:val="71834A26"/>
    <w:rsid w:val="718576A6"/>
    <w:rsid w:val="718908A9"/>
    <w:rsid w:val="71A6369E"/>
    <w:rsid w:val="71A7291B"/>
    <w:rsid w:val="71C26A75"/>
    <w:rsid w:val="71D4404A"/>
    <w:rsid w:val="71FA473E"/>
    <w:rsid w:val="72146A0B"/>
    <w:rsid w:val="729F3D1D"/>
    <w:rsid w:val="72AE5F80"/>
    <w:rsid w:val="72BE51D0"/>
    <w:rsid w:val="72C51EE5"/>
    <w:rsid w:val="72E944A0"/>
    <w:rsid w:val="72EA5554"/>
    <w:rsid w:val="72EC042D"/>
    <w:rsid w:val="73124A0D"/>
    <w:rsid w:val="73353F41"/>
    <w:rsid w:val="736163DE"/>
    <w:rsid w:val="737750AF"/>
    <w:rsid w:val="73930D4A"/>
    <w:rsid w:val="73997A1F"/>
    <w:rsid w:val="73AF2BDC"/>
    <w:rsid w:val="73C66389"/>
    <w:rsid w:val="73CC188F"/>
    <w:rsid w:val="7410743E"/>
    <w:rsid w:val="7413594B"/>
    <w:rsid w:val="7419501D"/>
    <w:rsid w:val="741C5570"/>
    <w:rsid w:val="74367E7F"/>
    <w:rsid w:val="745675A8"/>
    <w:rsid w:val="74BF1876"/>
    <w:rsid w:val="74E34890"/>
    <w:rsid w:val="74F22281"/>
    <w:rsid w:val="750B4787"/>
    <w:rsid w:val="75366783"/>
    <w:rsid w:val="753D3272"/>
    <w:rsid w:val="75440297"/>
    <w:rsid w:val="75464DB6"/>
    <w:rsid w:val="7572447D"/>
    <w:rsid w:val="75A153E9"/>
    <w:rsid w:val="75B32BB2"/>
    <w:rsid w:val="75C30A72"/>
    <w:rsid w:val="75C75CFC"/>
    <w:rsid w:val="75D014CA"/>
    <w:rsid w:val="75DB55BD"/>
    <w:rsid w:val="75F966F4"/>
    <w:rsid w:val="75FB186A"/>
    <w:rsid w:val="76084BB2"/>
    <w:rsid w:val="760C2AC0"/>
    <w:rsid w:val="760C35BA"/>
    <w:rsid w:val="761C1651"/>
    <w:rsid w:val="76454A40"/>
    <w:rsid w:val="76600E65"/>
    <w:rsid w:val="766541A0"/>
    <w:rsid w:val="76836D80"/>
    <w:rsid w:val="76912508"/>
    <w:rsid w:val="76AD0924"/>
    <w:rsid w:val="76C7239F"/>
    <w:rsid w:val="76CF4028"/>
    <w:rsid w:val="76E00C6A"/>
    <w:rsid w:val="770832A6"/>
    <w:rsid w:val="770A2D91"/>
    <w:rsid w:val="773844EE"/>
    <w:rsid w:val="776343D1"/>
    <w:rsid w:val="77726B10"/>
    <w:rsid w:val="77FA4023"/>
    <w:rsid w:val="7807395C"/>
    <w:rsid w:val="78273AE1"/>
    <w:rsid w:val="784D5938"/>
    <w:rsid w:val="7851457C"/>
    <w:rsid w:val="785E6DD5"/>
    <w:rsid w:val="787448B5"/>
    <w:rsid w:val="78761F23"/>
    <w:rsid w:val="788132DA"/>
    <w:rsid w:val="789F7762"/>
    <w:rsid w:val="78B159EF"/>
    <w:rsid w:val="78E04FC1"/>
    <w:rsid w:val="78E35490"/>
    <w:rsid w:val="78F8709B"/>
    <w:rsid w:val="79207251"/>
    <w:rsid w:val="79466092"/>
    <w:rsid w:val="794C6F57"/>
    <w:rsid w:val="79836D27"/>
    <w:rsid w:val="79A44781"/>
    <w:rsid w:val="79AD28D4"/>
    <w:rsid w:val="79B56636"/>
    <w:rsid w:val="79C53467"/>
    <w:rsid w:val="7A190218"/>
    <w:rsid w:val="7A5C1F45"/>
    <w:rsid w:val="7A744649"/>
    <w:rsid w:val="7A825439"/>
    <w:rsid w:val="7A891DC2"/>
    <w:rsid w:val="7AA93AD5"/>
    <w:rsid w:val="7ACE085F"/>
    <w:rsid w:val="7ADA0602"/>
    <w:rsid w:val="7AE10A2B"/>
    <w:rsid w:val="7AE62DD1"/>
    <w:rsid w:val="7AF976CD"/>
    <w:rsid w:val="7B0161D5"/>
    <w:rsid w:val="7B646A2A"/>
    <w:rsid w:val="7B6F51C7"/>
    <w:rsid w:val="7B7A2FF6"/>
    <w:rsid w:val="7B8669A5"/>
    <w:rsid w:val="7BD51EB9"/>
    <w:rsid w:val="7BE725D2"/>
    <w:rsid w:val="7C065E53"/>
    <w:rsid w:val="7C2F6373"/>
    <w:rsid w:val="7C493BC9"/>
    <w:rsid w:val="7C8678BF"/>
    <w:rsid w:val="7C942C83"/>
    <w:rsid w:val="7CC66D54"/>
    <w:rsid w:val="7CD224DF"/>
    <w:rsid w:val="7CE85A0F"/>
    <w:rsid w:val="7CF04D76"/>
    <w:rsid w:val="7D224111"/>
    <w:rsid w:val="7D613B60"/>
    <w:rsid w:val="7D623A77"/>
    <w:rsid w:val="7D6E1DD4"/>
    <w:rsid w:val="7D8318E9"/>
    <w:rsid w:val="7D874004"/>
    <w:rsid w:val="7DB912EF"/>
    <w:rsid w:val="7DBD3902"/>
    <w:rsid w:val="7DD77D5C"/>
    <w:rsid w:val="7E157C82"/>
    <w:rsid w:val="7E310FB8"/>
    <w:rsid w:val="7E3F3CEF"/>
    <w:rsid w:val="7E60760D"/>
    <w:rsid w:val="7E68107C"/>
    <w:rsid w:val="7E973CFE"/>
    <w:rsid w:val="7EE4605C"/>
    <w:rsid w:val="7F026F69"/>
    <w:rsid w:val="7F050CF5"/>
    <w:rsid w:val="7F0D4493"/>
    <w:rsid w:val="7F2C3FF8"/>
    <w:rsid w:val="7F2E1E69"/>
    <w:rsid w:val="7F2F331E"/>
    <w:rsid w:val="7F8A4EBF"/>
    <w:rsid w:val="7FC034B0"/>
    <w:rsid w:val="7FC63F33"/>
    <w:rsid w:val="7FDD3D1F"/>
    <w:rsid w:val="7FE0072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line="360" w:lineRule="auto"/>
      <w:jc w:val="both"/>
    </w:pPr>
    <w:rPr>
      <w:rFonts w:ascii="Calibri" w:hAnsi="Calibri" w:eastAsia="楷体" w:cs="Times New Roman"/>
      <w:kern w:val="2"/>
      <w:sz w:val="24"/>
      <w:szCs w:val="24"/>
      <w:lang w:val="en-US" w:eastAsia="zh-CN" w:bidi="ar-SA"/>
    </w:rPr>
  </w:style>
  <w:style w:type="paragraph" w:styleId="3">
    <w:name w:val="heading 1"/>
    <w:basedOn w:val="1"/>
    <w:next w:val="1"/>
    <w:link w:val="88"/>
    <w:qFormat/>
    <w:uiPriority w:val="0"/>
    <w:pPr>
      <w:keepNext/>
      <w:keepLines/>
      <w:spacing w:before="340" w:after="330" w:line="578" w:lineRule="auto"/>
      <w:outlineLvl w:val="0"/>
    </w:pPr>
    <w:rPr>
      <w:b/>
      <w:bCs/>
      <w:kern w:val="44"/>
      <w:szCs w:val="44"/>
    </w:rPr>
  </w:style>
  <w:style w:type="paragraph" w:styleId="4">
    <w:name w:val="heading 2"/>
    <w:basedOn w:val="1"/>
    <w:next w:val="1"/>
    <w:link w:val="89"/>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121"/>
    <w:semiHidden/>
    <w:unhideWhenUsed/>
    <w:qFormat/>
    <w:uiPriority w:val="0"/>
    <w:pPr>
      <w:keepNext/>
      <w:keepLines/>
      <w:spacing w:before="260" w:after="260" w:line="416" w:lineRule="auto"/>
      <w:outlineLvl w:val="2"/>
    </w:pPr>
    <w:rPr>
      <w:b/>
      <w:bCs/>
      <w:sz w:val="32"/>
      <w:szCs w:val="32"/>
    </w:rPr>
  </w:style>
  <w:style w:type="paragraph" w:styleId="6">
    <w:name w:val="heading 5"/>
    <w:basedOn w:val="1"/>
    <w:next w:val="2"/>
    <w:link w:val="111"/>
    <w:qFormat/>
    <w:uiPriority w:val="0"/>
    <w:pPr>
      <w:adjustRightInd w:val="0"/>
      <w:spacing w:before="40" w:after="20" w:line="288" w:lineRule="auto"/>
      <w:ind w:firstLine="510"/>
      <w:outlineLvl w:val="4"/>
    </w:pPr>
    <w:rPr>
      <w:rFonts w:ascii="Times New Roman" w:hAnsi="Times New Roman"/>
      <w:kern w:val="0"/>
      <w:sz w:val="28"/>
      <w:szCs w:val="20"/>
    </w:rPr>
  </w:style>
  <w:style w:type="paragraph" w:styleId="7">
    <w:name w:val="heading 6"/>
    <w:basedOn w:val="1"/>
    <w:next w:val="2"/>
    <w:link w:val="112"/>
    <w:qFormat/>
    <w:uiPriority w:val="0"/>
    <w:pPr>
      <w:keepNext/>
      <w:keepLines/>
      <w:adjustRightInd w:val="0"/>
      <w:spacing w:before="240" w:after="64" w:line="319" w:lineRule="auto"/>
      <w:outlineLvl w:val="5"/>
    </w:pPr>
    <w:rPr>
      <w:rFonts w:ascii="Arial" w:hAnsi="Arial" w:eastAsia="黑体"/>
      <w:b/>
      <w:kern w:val="0"/>
      <w:sz w:val="20"/>
      <w:szCs w:val="20"/>
    </w:rPr>
  </w:style>
  <w:style w:type="paragraph" w:styleId="8">
    <w:name w:val="heading 7"/>
    <w:basedOn w:val="1"/>
    <w:next w:val="2"/>
    <w:link w:val="113"/>
    <w:qFormat/>
    <w:uiPriority w:val="0"/>
    <w:pPr>
      <w:keepNext/>
      <w:keepLines/>
      <w:adjustRightInd w:val="0"/>
      <w:spacing w:before="240" w:after="64" w:line="319" w:lineRule="auto"/>
      <w:outlineLvl w:val="6"/>
    </w:pPr>
    <w:rPr>
      <w:rFonts w:ascii="宋体" w:hAnsi="Times New Roman"/>
      <w:b/>
      <w:kern w:val="0"/>
      <w:sz w:val="20"/>
      <w:szCs w:val="20"/>
    </w:rPr>
  </w:style>
  <w:style w:type="paragraph" w:styleId="9">
    <w:name w:val="heading 8"/>
    <w:basedOn w:val="1"/>
    <w:next w:val="2"/>
    <w:link w:val="114"/>
    <w:qFormat/>
    <w:uiPriority w:val="0"/>
    <w:pPr>
      <w:keepNext/>
      <w:keepLines/>
      <w:adjustRightInd w:val="0"/>
      <w:spacing w:before="240" w:after="64" w:line="319" w:lineRule="auto"/>
      <w:outlineLvl w:val="7"/>
    </w:pPr>
    <w:rPr>
      <w:rFonts w:ascii="Arial" w:hAnsi="Arial" w:eastAsia="黑体"/>
      <w:kern w:val="0"/>
      <w:sz w:val="20"/>
      <w:szCs w:val="20"/>
    </w:rPr>
  </w:style>
  <w:style w:type="paragraph" w:styleId="10">
    <w:name w:val="heading 9"/>
    <w:basedOn w:val="1"/>
    <w:next w:val="2"/>
    <w:link w:val="115"/>
    <w:qFormat/>
    <w:uiPriority w:val="0"/>
    <w:pPr>
      <w:keepNext/>
      <w:keepLines/>
      <w:adjustRightInd w:val="0"/>
      <w:spacing w:before="240" w:after="64" w:line="319" w:lineRule="auto"/>
      <w:outlineLvl w:val="8"/>
    </w:pPr>
    <w:rPr>
      <w:rFonts w:ascii="Arial" w:hAnsi="Arial" w:eastAsia="黑体"/>
      <w:kern w:val="0"/>
      <w:szCs w:val="20"/>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11">
    <w:name w:val="toc 7"/>
    <w:basedOn w:val="1"/>
    <w:next w:val="1"/>
    <w:qFormat/>
    <w:uiPriority w:val="39"/>
    <w:pPr>
      <w:spacing w:before="0"/>
      <w:ind w:left="1440"/>
      <w:jc w:val="left"/>
    </w:pPr>
    <w:rPr>
      <w:rFonts w:asciiTheme="minorHAnsi" w:hAnsiTheme="minorHAnsi"/>
      <w:sz w:val="18"/>
      <w:szCs w:val="18"/>
    </w:rPr>
  </w:style>
  <w:style w:type="paragraph" w:styleId="12">
    <w:name w:val="Document Map"/>
    <w:basedOn w:val="1"/>
    <w:link w:val="94"/>
    <w:semiHidden/>
    <w:qFormat/>
    <w:uiPriority w:val="0"/>
    <w:pPr>
      <w:shd w:val="clear" w:color="auto" w:fill="000080"/>
    </w:pPr>
  </w:style>
  <w:style w:type="paragraph" w:styleId="13">
    <w:name w:val="annotation text"/>
    <w:basedOn w:val="1"/>
    <w:link w:val="95"/>
    <w:qFormat/>
    <w:uiPriority w:val="99"/>
    <w:pPr>
      <w:jc w:val="left"/>
    </w:pPr>
  </w:style>
  <w:style w:type="paragraph" w:styleId="14">
    <w:name w:val="List Bullet 3"/>
    <w:basedOn w:val="1"/>
    <w:qFormat/>
    <w:uiPriority w:val="0"/>
    <w:pPr>
      <w:spacing w:line="360" w:lineRule="exact"/>
    </w:pPr>
    <w:rPr>
      <w:rFonts w:eastAsia="楷体_GB2312"/>
      <w:b/>
    </w:rPr>
  </w:style>
  <w:style w:type="paragraph" w:styleId="15">
    <w:name w:val="Body Text"/>
    <w:basedOn w:val="1"/>
    <w:link w:val="98"/>
    <w:qFormat/>
    <w:uiPriority w:val="0"/>
    <w:pPr>
      <w:spacing w:after="120"/>
    </w:pPr>
  </w:style>
  <w:style w:type="paragraph" w:styleId="16">
    <w:name w:val="Body Text Indent"/>
    <w:basedOn w:val="1"/>
    <w:link w:val="90"/>
    <w:qFormat/>
    <w:uiPriority w:val="0"/>
    <w:pPr>
      <w:spacing w:after="120"/>
      <w:ind w:left="420" w:leftChars="200"/>
    </w:pPr>
  </w:style>
  <w:style w:type="paragraph" w:styleId="17">
    <w:name w:val="List Bullet 2"/>
    <w:basedOn w:val="1"/>
    <w:qFormat/>
    <w:uiPriority w:val="0"/>
    <w:pPr>
      <w:tabs>
        <w:tab w:val="left" w:pos="780"/>
      </w:tabs>
    </w:pPr>
  </w:style>
  <w:style w:type="paragraph" w:styleId="18">
    <w:name w:val="toc 5"/>
    <w:basedOn w:val="1"/>
    <w:next w:val="1"/>
    <w:qFormat/>
    <w:uiPriority w:val="39"/>
    <w:pPr>
      <w:spacing w:before="0"/>
      <w:ind w:left="960"/>
      <w:jc w:val="left"/>
    </w:pPr>
    <w:rPr>
      <w:rFonts w:asciiTheme="minorHAnsi" w:hAnsiTheme="minorHAnsi"/>
      <w:sz w:val="18"/>
      <w:szCs w:val="18"/>
    </w:rPr>
  </w:style>
  <w:style w:type="paragraph" w:styleId="19">
    <w:name w:val="toc 3"/>
    <w:basedOn w:val="1"/>
    <w:next w:val="1"/>
    <w:qFormat/>
    <w:uiPriority w:val="39"/>
    <w:pPr>
      <w:spacing w:before="0"/>
      <w:ind w:left="480"/>
      <w:jc w:val="left"/>
    </w:pPr>
    <w:rPr>
      <w:rFonts w:asciiTheme="minorHAnsi" w:hAnsiTheme="minorHAnsi"/>
      <w:i/>
      <w:iCs/>
      <w:sz w:val="22"/>
      <w:szCs w:val="22"/>
    </w:rPr>
  </w:style>
  <w:style w:type="paragraph" w:styleId="20">
    <w:name w:val="toc 8"/>
    <w:basedOn w:val="1"/>
    <w:next w:val="1"/>
    <w:qFormat/>
    <w:uiPriority w:val="39"/>
    <w:pPr>
      <w:spacing w:before="0"/>
      <w:ind w:left="1680"/>
      <w:jc w:val="left"/>
    </w:pPr>
    <w:rPr>
      <w:rFonts w:asciiTheme="minorHAnsi" w:hAnsiTheme="minorHAnsi"/>
      <w:sz w:val="18"/>
      <w:szCs w:val="18"/>
    </w:rPr>
  </w:style>
  <w:style w:type="paragraph" w:styleId="21">
    <w:name w:val="Body Text Indent 2"/>
    <w:basedOn w:val="1"/>
    <w:link w:val="97"/>
    <w:qFormat/>
    <w:uiPriority w:val="0"/>
    <w:pPr>
      <w:tabs>
        <w:tab w:val="left" w:pos="2340"/>
      </w:tabs>
      <w:spacing w:line="400" w:lineRule="atLeast"/>
      <w:ind w:left="2340" w:leftChars="1114" w:hanging="1"/>
    </w:pPr>
    <w:rPr>
      <w:rFonts w:eastAsia="楷体_GB2312"/>
    </w:rPr>
  </w:style>
  <w:style w:type="paragraph" w:styleId="22">
    <w:name w:val="Balloon Text"/>
    <w:basedOn w:val="1"/>
    <w:link w:val="93"/>
    <w:semiHidden/>
    <w:qFormat/>
    <w:uiPriority w:val="0"/>
    <w:rPr>
      <w:sz w:val="18"/>
      <w:szCs w:val="18"/>
    </w:rPr>
  </w:style>
  <w:style w:type="paragraph" w:styleId="23">
    <w:name w:val="footer"/>
    <w:basedOn w:val="1"/>
    <w:link w:val="91"/>
    <w:qFormat/>
    <w:uiPriority w:val="99"/>
    <w:pPr>
      <w:tabs>
        <w:tab w:val="center" w:pos="4153"/>
        <w:tab w:val="right" w:pos="8306"/>
      </w:tabs>
      <w:snapToGrid w:val="0"/>
      <w:jc w:val="left"/>
    </w:pPr>
    <w:rPr>
      <w:sz w:val="18"/>
      <w:szCs w:val="18"/>
    </w:rPr>
  </w:style>
  <w:style w:type="paragraph" w:styleId="24">
    <w:name w:val="header"/>
    <w:basedOn w:val="1"/>
    <w:link w:val="87"/>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jc w:val="left"/>
    </w:pPr>
    <w:rPr>
      <w:rFonts w:asciiTheme="minorHAnsi" w:hAnsiTheme="minorHAnsi"/>
      <w:b/>
      <w:bCs/>
      <w:caps/>
      <w:sz w:val="22"/>
      <w:szCs w:val="22"/>
    </w:rPr>
  </w:style>
  <w:style w:type="paragraph" w:styleId="26">
    <w:name w:val="toc 4"/>
    <w:basedOn w:val="1"/>
    <w:next w:val="1"/>
    <w:qFormat/>
    <w:uiPriority w:val="39"/>
    <w:pPr>
      <w:spacing w:before="0"/>
      <w:ind w:left="720"/>
      <w:jc w:val="left"/>
    </w:pPr>
    <w:rPr>
      <w:rFonts w:asciiTheme="minorHAnsi" w:hAnsiTheme="minorHAnsi"/>
      <w:sz w:val="18"/>
      <w:szCs w:val="18"/>
    </w:rPr>
  </w:style>
  <w:style w:type="paragraph" w:styleId="27">
    <w:name w:val="index heading"/>
    <w:basedOn w:val="1"/>
    <w:next w:val="28"/>
    <w:semiHidden/>
    <w:qFormat/>
    <w:uiPriority w:val="0"/>
    <w:rPr>
      <w:rFonts w:ascii="Arial" w:hAnsi="Arial" w:cs="Arial"/>
      <w:b/>
      <w:bCs/>
    </w:rPr>
  </w:style>
  <w:style w:type="paragraph" w:styleId="28">
    <w:name w:val="index 1"/>
    <w:basedOn w:val="1"/>
    <w:next w:val="1"/>
    <w:semiHidden/>
    <w:qFormat/>
    <w:uiPriority w:val="0"/>
  </w:style>
  <w:style w:type="paragraph" w:styleId="29">
    <w:name w:val="toc 6"/>
    <w:basedOn w:val="1"/>
    <w:next w:val="1"/>
    <w:qFormat/>
    <w:uiPriority w:val="39"/>
    <w:pPr>
      <w:spacing w:before="0"/>
      <w:ind w:left="1200"/>
      <w:jc w:val="left"/>
    </w:pPr>
    <w:rPr>
      <w:rFonts w:asciiTheme="minorHAnsi" w:hAnsiTheme="minorHAnsi"/>
      <w:sz w:val="18"/>
      <w:szCs w:val="18"/>
    </w:rPr>
  </w:style>
  <w:style w:type="paragraph" w:styleId="30">
    <w:name w:val="Body Text Indent 3"/>
    <w:basedOn w:val="1"/>
    <w:link w:val="92"/>
    <w:qFormat/>
    <w:uiPriority w:val="0"/>
    <w:pPr>
      <w:spacing w:after="120"/>
      <w:ind w:left="420" w:leftChars="200"/>
    </w:pPr>
    <w:rPr>
      <w:sz w:val="16"/>
      <w:szCs w:val="16"/>
    </w:rPr>
  </w:style>
  <w:style w:type="paragraph" w:styleId="31">
    <w:name w:val="toc 2"/>
    <w:basedOn w:val="1"/>
    <w:next w:val="1"/>
    <w:qFormat/>
    <w:uiPriority w:val="39"/>
    <w:pPr>
      <w:spacing w:before="0"/>
      <w:ind w:left="240"/>
      <w:jc w:val="left"/>
    </w:pPr>
    <w:rPr>
      <w:rFonts w:asciiTheme="minorHAnsi" w:hAnsiTheme="minorHAnsi"/>
      <w:smallCaps/>
      <w:sz w:val="22"/>
      <w:szCs w:val="22"/>
    </w:rPr>
  </w:style>
  <w:style w:type="paragraph" w:styleId="32">
    <w:name w:val="toc 9"/>
    <w:basedOn w:val="1"/>
    <w:next w:val="1"/>
    <w:qFormat/>
    <w:uiPriority w:val="39"/>
    <w:pPr>
      <w:spacing w:before="0"/>
      <w:ind w:left="1920"/>
      <w:jc w:val="left"/>
    </w:pPr>
    <w:rPr>
      <w:rFonts w:asciiTheme="minorHAnsi" w:hAnsiTheme="minorHAnsi"/>
      <w:sz w:val="18"/>
      <w:szCs w:val="18"/>
    </w:rPr>
  </w:style>
  <w:style w:type="paragraph" w:styleId="33">
    <w:name w:val="Normal (Web)"/>
    <w:basedOn w:val="1"/>
    <w:unhideWhenUsed/>
    <w:qFormat/>
    <w:uiPriority w:val="0"/>
    <w:pPr>
      <w:widowControl/>
      <w:spacing w:after="100" w:afterAutospacing="1"/>
      <w:jc w:val="left"/>
    </w:pPr>
    <w:rPr>
      <w:rFonts w:ascii="宋体" w:hAnsi="宋体" w:cs="宋体"/>
      <w:kern w:val="0"/>
    </w:rPr>
  </w:style>
  <w:style w:type="paragraph" w:styleId="34">
    <w:name w:val="Title"/>
    <w:basedOn w:val="1"/>
    <w:next w:val="1"/>
    <w:link w:val="129"/>
    <w:qFormat/>
    <w:uiPriority w:val="0"/>
    <w:pPr>
      <w:numPr>
        <w:ilvl w:val="0"/>
        <w:numId w:val="1"/>
      </w:numPr>
      <w:spacing w:before="240" w:after="60"/>
      <w:jc w:val="center"/>
      <w:outlineLvl w:val="0"/>
    </w:pPr>
    <w:rPr>
      <w:rFonts w:eastAsia="宋体" w:asciiTheme="majorHAnsi" w:hAnsiTheme="majorHAnsi" w:cstheme="majorBidi"/>
      <w:b/>
      <w:bCs/>
      <w:sz w:val="32"/>
      <w:szCs w:val="32"/>
    </w:rPr>
  </w:style>
  <w:style w:type="paragraph" w:styleId="35">
    <w:name w:val="annotation subject"/>
    <w:basedOn w:val="13"/>
    <w:next w:val="13"/>
    <w:link w:val="96"/>
    <w:semiHidden/>
    <w:qFormat/>
    <w:uiPriority w:val="0"/>
    <w:rPr>
      <w:b/>
      <w:bCs/>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954F72"/>
      <w:u w:val="single"/>
    </w:rPr>
  </w:style>
  <w:style w:type="character" w:styleId="42">
    <w:name w:val="Hyperlink"/>
    <w:qFormat/>
    <w:uiPriority w:val="99"/>
    <w:rPr>
      <w:color w:val="auto"/>
      <w:u w:val="none"/>
    </w:rPr>
  </w:style>
  <w:style w:type="character" w:styleId="43">
    <w:name w:val="annotation reference"/>
    <w:qFormat/>
    <w:uiPriority w:val="99"/>
    <w:rPr>
      <w:sz w:val="21"/>
      <w:szCs w:val="21"/>
    </w:rPr>
  </w:style>
  <w:style w:type="paragraph" w:customStyle="1" w:styleId="44">
    <w:name w:val="1"/>
    <w:basedOn w:val="1"/>
    <w:next w:val="16"/>
    <w:qFormat/>
    <w:uiPriority w:val="0"/>
    <w:pPr>
      <w:ind w:firstLine="376"/>
    </w:pPr>
  </w:style>
  <w:style w:type="paragraph" w:customStyle="1" w:styleId="45">
    <w:name w:val="2"/>
    <w:basedOn w:val="1"/>
    <w:next w:val="16"/>
    <w:qFormat/>
    <w:uiPriority w:val="0"/>
    <w:pPr>
      <w:spacing w:after="120"/>
      <w:ind w:left="420" w:leftChars="200"/>
    </w:pPr>
  </w:style>
  <w:style w:type="paragraph" w:customStyle="1" w:styleId="46">
    <w:name w:val="FWB_L1"/>
    <w:basedOn w:val="1"/>
    <w:next w:val="47"/>
    <w:qFormat/>
    <w:uiPriority w:val="0"/>
    <w:pPr>
      <w:keepNext/>
      <w:keepLines/>
      <w:widowControl/>
      <w:tabs>
        <w:tab w:val="left" w:pos="360"/>
      </w:tabs>
      <w:spacing w:after="240"/>
      <w:jc w:val="left"/>
      <w:outlineLvl w:val="0"/>
    </w:pPr>
    <w:rPr>
      <w:b/>
      <w:smallCaps/>
      <w:kern w:val="0"/>
      <w:szCs w:val="20"/>
      <w:lang w:val="en-GB" w:eastAsia="en-US"/>
    </w:rPr>
  </w:style>
  <w:style w:type="paragraph" w:customStyle="1" w:styleId="47">
    <w:name w:val="FWB_L2"/>
    <w:basedOn w:val="46"/>
    <w:qFormat/>
    <w:uiPriority w:val="0"/>
    <w:pPr>
      <w:keepNext w:val="0"/>
      <w:keepLines w:val="0"/>
      <w:jc w:val="both"/>
      <w:outlineLvl w:val="9"/>
    </w:pPr>
    <w:rPr>
      <w:b w:val="0"/>
      <w:smallCaps w:val="0"/>
    </w:rPr>
  </w:style>
  <w:style w:type="paragraph" w:customStyle="1" w:styleId="48">
    <w:name w:val="FWB_L3"/>
    <w:basedOn w:val="47"/>
    <w:qFormat/>
    <w:uiPriority w:val="0"/>
  </w:style>
  <w:style w:type="paragraph" w:customStyle="1" w:styleId="49">
    <w:name w:val="FWB_L4"/>
    <w:basedOn w:val="48"/>
    <w:qFormat/>
    <w:uiPriority w:val="0"/>
  </w:style>
  <w:style w:type="paragraph" w:customStyle="1" w:styleId="50">
    <w:name w:val="FWB_L5"/>
    <w:basedOn w:val="49"/>
    <w:qFormat/>
    <w:uiPriority w:val="0"/>
  </w:style>
  <w:style w:type="paragraph" w:customStyle="1" w:styleId="51">
    <w:name w:val="FWB_L6"/>
    <w:basedOn w:val="50"/>
    <w:qFormat/>
    <w:uiPriority w:val="0"/>
  </w:style>
  <w:style w:type="paragraph" w:customStyle="1" w:styleId="52">
    <w:name w:val="FWB_L7"/>
    <w:basedOn w:val="51"/>
    <w:qFormat/>
    <w:uiPriority w:val="0"/>
  </w:style>
  <w:style w:type="paragraph" w:customStyle="1" w:styleId="53">
    <w:name w:val="FWB_L8"/>
    <w:basedOn w:val="52"/>
    <w:qFormat/>
    <w:uiPriority w:val="0"/>
  </w:style>
  <w:style w:type="paragraph" w:customStyle="1" w:styleId="54">
    <w:name w:val="3"/>
    <w:basedOn w:val="1"/>
    <w:next w:val="16"/>
    <w:qFormat/>
    <w:uiPriority w:val="0"/>
    <w:pPr>
      <w:ind w:firstLine="560" w:firstLineChars="200"/>
    </w:pPr>
    <w:rPr>
      <w:rFonts w:ascii="仿宋_GB2312" w:eastAsia="仿宋_GB2312"/>
      <w:sz w:val="28"/>
    </w:rPr>
  </w:style>
  <w:style w:type="paragraph" w:customStyle="1" w:styleId="55">
    <w:name w:val="FWB Cont 3"/>
    <w:basedOn w:val="1"/>
    <w:qFormat/>
    <w:uiPriority w:val="0"/>
    <w:pPr>
      <w:widowControl/>
      <w:spacing w:after="240"/>
      <w:ind w:left="720"/>
    </w:pPr>
    <w:rPr>
      <w:kern w:val="0"/>
      <w:szCs w:val="20"/>
      <w:lang w:val="en-GB" w:eastAsia="en-US"/>
    </w:rPr>
  </w:style>
  <w:style w:type="paragraph" w:customStyle="1" w:styleId="56">
    <w:name w:val="(a)"/>
    <w:basedOn w:val="15"/>
    <w:qFormat/>
    <w:uiPriority w:val="0"/>
    <w:pPr>
      <w:widowControl/>
      <w:spacing w:after="240"/>
      <w:ind w:left="720" w:hanging="720"/>
    </w:pPr>
    <w:rPr>
      <w:bCs/>
      <w:kern w:val="0"/>
      <w:lang w:val="en-GB" w:eastAsia="en-US"/>
    </w:rPr>
  </w:style>
  <w:style w:type="paragraph" w:customStyle="1" w:styleId="57">
    <w:name w:val="FWB Cont 2"/>
    <w:basedOn w:val="1"/>
    <w:qFormat/>
    <w:uiPriority w:val="0"/>
    <w:pPr>
      <w:widowControl/>
      <w:spacing w:after="240"/>
    </w:pPr>
    <w:rPr>
      <w:kern w:val="0"/>
      <w:szCs w:val="20"/>
      <w:lang w:val="en-GB" w:eastAsia="en-US"/>
    </w:rPr>
  </w:style>
  <w:style w:type="paragraph" w:customStyle="1" w:styleId="58">
    <w:name w:val="FWB Cont 4"/>
    <w:basedOn w:val="55"/>
    <w:qFormat/>
    <w:uiPriority w:val="0"/>
    <w:pPr>
      <w:ind w:left="1440"/>
    </w:pPr>
  </w:style>
  <w:style w:type="character" w:customStyle="1" w:styleId="59">
    <w:name w:val="访问过的超链接1"/>
    <w:qFormat/>
    <w:uiPriority w:val="0"/>
    <w:rPr>
      <w:color w:val="800080"/>
      <w:u w:val="single"/>
    </w:rPr>
  </w:style>
  <w:style w:type="paragraph" w:customStyle="1" w:styleId="60">
    <w:name w:val="FWS_L1"/>
    <w:basedOn w:val="1"/>
    <w:next w:val="61"/>
    <w:qFormat/>
    <w:uiPriority w:val="0"/>
    <w:pPr>
      <w:keepNext/>
      <w:keepLines/>
      <w:pageBreakBefore/>
      <w:widowControl/>
      <w:numPr>
        <w:ilvl w:val="0"/>
        <w:numId w:val="2"/>
      </w:numPr>
      <w:spacing w:after="240" w:line="480" w:lineRule="auto"/>
      <w:jc w:val="center"/>
      <w:outlineLvl w:val="0"/>
    </w:pPr>
    <w:rPr>
      <w:b/>
      <w:caps/>
      <w:kern w:val="0"/>
      <w:szCs w:val="20"/>
      <w:lang w:val="en-GB" w:eastAsia="en-US"/>
    </w:rPr>
  </w:style>
  <w:style w:type="paragraph" w:customStyle="1" w:styleId="61">
    <w:name w:val="FWS_L2"/>
    <w:basedOn w:val="60"/>
    <w:next w:val="62"/>
    <w:qFormat/>
    <w:uiPriority w:val="0"/>
    <w:pPr>
      <w:pageBreakBefore w:val="0"/>
      <w:numPr>
        <w:ilvl w:val="1"/>
      </w:numPr>
      <w:spacing w:line="240" w:lineRule="auto"/>
      <w:outlineLvl w:val="1"/>
    </w:pPr>
    <w:rPr>
      <w:caps w:val="0"/>
    </w:rPr>
  </w:style>
  <w:style w:type="paragraph" w:customStyle="1" w:styleId="62">
    <w:name w:val="FWS_L3"/>
    <w:basedOn w:val="61"/>
    <w:next w:val="63"/>
    <w:qFormat/>
    <w:uiPriority w:val="0"/>
    <w:pPr>
      <w:numPr>
        <w:ilvl w:val="2"/>
      </w:numPr>
      <w:jc w:val="left"/>
      <w:outlineLvl w:val="2"/>
    </w:pPr>
    <w:rPr>
      <w:smallCaps/>
    </w:rPr>
  </w:style>
  <w:style w:type="paragraph" w:customStyle="1" w:styleId="63">
    <w:name w:val="FWS_L5"/>
    <w:basedOn w:val="64"/>
    <w:qFormat/>
    <w:uiPriority w:val="0"/>
    <w:pPr>
      <w:numPr>
        <w:ilvl w:val="3"/>
      </w:numPr>
    </w:pPr>
  </w:style>
  <w:style w:type="paragraph" w:customStyle="1" w:styleId="64">
    <w:name w:val="FWS_L4"/>
    <w:basedOn w:val="62"/>
    <w:qFormat/>
    <w:uiPriority w:val="0"/>
    <w:pPr>
      <w:keepNext w:val="0"/>
      <w:keepLines w:val="0"/>
      <w:numPr>
        <w:ilvl w:val="4"/>
      </w:numPr>
      <w:jc w:val="both"/>
      <w:outlineLvl w:val="9"/>
    </w:pPr>
    <w:rPr>
      <w:b w:val="0"/>
      <w:smallCaps w:val="0"/>
    </w:rPr>
  </w:style>
  <w:style w:type="paragraph" w:customStyle="1" w:styleId="65">
    <w:name w:val="FWS_L6"/>
    <w:basedOn w:val="63"/>
    <w:qFormat/>
    <w:uiPriority w:val="0"/>
    <w:pPr>
      <w:numPr>
        <w:ilvl w:val="5"/>
      </w:numPr>
    </w:pPr>
  </w:style>
  <w:style w:type="paragraph" w:customStyle="1" w:styleId="66">
    <w:name w:val="FWS_L7"/>
    <w:basedOn w:val="65"/>
    <w:qFormat/>
    <w:uiPriority w:val="0"/>
    <w:pPr>
      <w:numPr>
        <w:ilvl w:val="6"/>
      </w:numPr>
    </w:pPr>
  </w:style>
  <w:style w:type="paragraph" w:customStyle="1" w:styleId="67">
    <w:name w:val="FWS_L8"/>
    <w:basedOn w:val="66"/>
    <w:qFormat/>
    <w:uiPriority w:val="0"/>
    <w:pPr>
      <w:numPr>
        <w:ilvl w:val="7"/>
      </w:numPr>
    </w:pPr>
  </w:style>
  <w:style w:type="paragraph" w:customStyle="1" w:styleId="68">
    <w:name w:val="FWS_L9"/>
    <w:basedOn w:val="67"/>
    <w:qFormat/>
    <w:uiPriority w:val="0"/>
    <w:pPr>
      <w:numPr>
        <w:ilvl w:val="8"/>
      </w:numPr>
    </w:pPr>
  </w:style>
  <w:style w:type="paragraph" w:customStyle="1" w:styleId="69">
    <w:name w:val="Normal (Justified)"/>
    <w:basedOn w:val="1"/>
    <w:qFormat/>
    <w:uiPriority w:val="0"/>
    <w:pPr>
      <w:widowControl/>
    </w:pPr>
    <w:rPr>
      <w:snapToGrid w:val="0"/>
      <w:kern w:val="28"/>
      <w:szCs w:val="20"/>
    </w:rPr>
  </w:style>
  <w:style w:type="paragraph" w:customStyle="1" w:styleId="70">
    <w:name w:val="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1">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72">
    <w:name w:val="DeltaView Insertion"/>
    <w:qFormat/>
    <w:uiPriority w:val="0"/>
    <w:rPr>
      <w:color w:val="0000FF"/>
      <w:spacing w:val="0"/>
      <w:u w:val="double"/>
    </w:rPr>
  </w:style>
  <w:style w:type="paragraph" w:customStyle="1" w:styleId="73">
    <w:name w:val="A1"/>
    <w:basedOn w:val="17"/>
    <w:qFormat/>
    <w:uiPriority w:val="0"/>
    <w:pPr>
      <w:numPr>
        <w:ilvl w:val="0"/>
        <w:numId w:val="3"/>
      </w:numPr>
      <w:tabs>
        <w:tab w:val="left" w:pos="693"/>
      </w:tabs>
      <w:wordWrap w:val="0"/>
      <w:overflowPunct w:val="0"/>
      <w:spacing w:beforeLines="50" w:afterLines="50" w:line="380" w:lineRule="exact"/>
      <w:ind w:left="0" w:firstLine="0"/>
      <w:outlineLvl w:val="0"/>
    </w:pPr>
    <w:rPr>
      <w:rFonts w:eastAsia="楷体_GB2312"/>
      <w:b/>
    </w:rPr>
  </w:style>
  <w:style w:type="paragraph" w:customStyle="1" w:styleId="74">
    <w:name w:val="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5">
    <w:name w:val="Char Char Char Char 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6">
    <w:name w:val="Char Char Char Char 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7">
    <w:name w:val="Index Heading 2"/>
    <w:basedOn w:val="27"/>
    <w:qFormat/>
    <w:uiPriority w:val="0"/>
    <w:pPr>
      <w:widowControl/>
      <w:tabs>
        <w:tab w:val="right" w:pos="8280"/>
      </w:tabs>
      <w:spacing w:after="480"/>
      <w:jc w:val="left"/>
    </w:pPr>
    <w:rPr>
      <w:rFonts w:ascii="Times New Roman" w:hAnsi="Times New Roman" w:cs="Times New Roman"/>
      <w:bCs w:val="0"/>
      <w:caps/>
      <w:kern w:val="0"/>
      <w:lang w:val="en-GB" w:eastAsia="en-US"/>
    </w:rPr>
  </w:style>
  <w:style w:type="paragraph" w:customStyle="1" w:styleId="78">
    <w:name w:val="Char Char Char Char Char Char Char Char Char Char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79">
    <w:name w:val="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0">
    <w:name w:val="Char Char Char Char Char Char Char Char Char Char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81">
    <w:name w:val="样式 (中文) 楷体_GB2312 小四 行距: 最小值 19 磅"/>
    <w:basedOn w:val="47"/>
    <w:next w:val="48"/>
    <w:qFormat/>
    <w:uiPriority w:val="0"/>
    <w:pPr>
      <w:tabs>
        <w:tab w:val="left" w:pos="420"/>
        <w:tab w:val="left" w:pos="630"/>
      </w:tabs>
      <w:spacing w:after="0" w:line="380" w:lineRule="atLeast"/>
    </w:pPr>
    <w:rPr>
      <w:rFonts w:eastAsia="楷体_GB2312" w:cs="宋体"/>
    </w:rPr>
  </w:style>
  <w:style w:type="paragraph" w:customStyle="1" w:styleId="82">
    <w:name w:val="FWParties"/>
    <w:basedOn w:val="15"/>
    <w:qFormat/>
    <w:uiPriority w:val="0"/>
    <w:pPr>
      <w:widowControl/>
      <w:tabs>
        <w:tab w:val="left" w:pos="425"/>
      </w:tabs>
      <w:spacing w:after="240"/>
      <w:ind w:left="425" w:hanging="425"/>
    </w:pPr>
    <w:rPr>
      <w:bCs/>
      <w:kern w:val="0"/>
      <w:lang w:val="en-GB" w:eastAsia="en-US"/>
    </w:rPr>
  </w:style>
  <w:style w:type="paragraph" w:customStyle="1" w:styleId="83">
    <w:name w:val="A2"/>
    <w:basedOn w:val="17"/>
    <w:qFormat/>
    <w:uiPriority w:val="0"/>
    <w:pPr>
      <w:wordWrap w:val="0"/>
      <w:overflowPunct w:val="0"/>
      <w:spacing w:beforeLines="50" w:afterLines="50" w:line="380" w:lineRule="exact"/>
    </w:pPr>
    <w:rPr>
      <w:rFonts w:eastAsia="楷体_GB2312"/>
    </w:rPr>
  </w:style>
  <w:style w:type="paragraph" w:customStyle="1" w:styleId="84">
    <w:name w:val="A3"/>
    <w:basedOn w:val="1"/>
    <w:qFormat/>
    <w:uiPriority w:val="0"/>
    <w:pPr>
      <w:numPr>
        <w:ilvl w:val="2"/>
        <w:numId w:val="3"/>
      </w:numPr>
      <w:wordWrap w:val="0"/>
      <w:overflowPunct w:val="0"/>
      <w:spacing w:beforeLines="50" w:afterLines="50" w:line="380" w:lineRule="exact"/>
    </w:pPr>
    <w:rPr>
      <w:rFonts w:eastAsia="楷体_GB2312"/>
    </w:rPr>
  </w:style>
  <w:style w:type="paragraph" w:customStyle="1" w:styleId="85">
    <w:name w:val="A4"/>
    <w:basedOn w:val="1"/>
    <w:qFormat/>
    <w:uiPriority w:val="0"/>
    <w:pPr>
      <w:numPr>
        <w:ilvl w:val="3"/>
        <w:numId w:val="3"/>
      </w:numPr>
      <w:wordWrap w:val="0"/>
      <w:overflowPunct w:val="0"/>
      <w:spacing w:beforeLines="50" w:afterLines="50" w:line="380" w:lineRule="exact"/>
    </w:pPr>
    <w:rPr>
      <w:rFonts w:eastAsia="楷体_GB2312"/>
    </w:rPr>
  </w:style>
  <w:style w:type="paragraph" w:customStyle="1" w:styleId="86">
    <w:name w:val="彩色底纹 - 强调文字颜色 31"/>
    <w:basedOn w:val="1"/>
    <w:qFormat/>
    <w:uiPriority w:val="34"/>
    <w:pPr>
      <w:widowControl/>
      <w:ind w:firstLine="420" w:firstLineChars="200"/>
      <w:jc w:val="left"/>
    </w:pPr>
    <w:rPr>
      <w:rFonts w:eastAsia="PMingLiU"/>
      <w:kern w:val="0"/>
      <w:lang w:eastAsia="zh-TW"/>
    </w:rPr>
  </w:style>
  <w:style w:type="character" w:customStyle="1" w:styleId="87">
    <w:name w:val="页眉 Char"/>
    <w:link w:val="24"/>
    <w:qFormat/>
    <w:uiPriority w:val="0"/>
    <w:rPr>
      <w:kern w:val="2"/>
      <w:sz w:val="18"/>
      <w:szCs w:val="18"/>
    </w:rPr>
  </w:style>
  <w:style w:type="character" w:customStyle="1" w:styleId="88">
    <w:name w:val="标题 1 Char"/>
    <w:link w:val="3"/>
    <w:qFormat/>
    <w:uiPriority w:val="0"/>
    <w:rPr>
      <w:rFonts w:eastAsia="楷体"/>
      <w:b/>
      <w:bCs/>
      <w:kern w:val="44"/>
      <w:sz w:val="24"/>
      <w:szCs w:val="44"/>
    </w:rPr>
  </w:style>
  <w:style w:type="character" w:customStyle="1" w:styleId="89">
    <w:name w:val="标题 2 Char"/>
    <w:link w:val="4"/>
    <w:qFormat/>
    <w:uiPriority w:val="0"/>
    <w:rPr>
      <w:rFonts w:ascii="Arial" w:hAnsi="Arial" w:eastAsia="黑体"/>
      <w:b/>
      <w:bCs/>
      <w:kern w:val="2"/>
      <w:sz w:val="32"/>
      <w:szCs w:val="32"/>
    </w:rPr>
  </w:style>
  <w:style w:type="character" w:customStyle="1" w:styleId="90">
    <w:name w:val="正文文本缩进 Char"/>
    <w:link w:val="16"/>
    <w:qFormat/>
    <w:uiPriority w:val="0"/>
    <w:rPr>
      <w:kern w:val="2"/>
      <w:sz w:val="21"/>
      <w:szCs w:val="24"/>
    </w:rPr>
  </w:style>
  <w:style w:type="character" w:customStyle="1" w:styleId="91">
    <w:name w:val="页脚 Char"/>
    <w:link w:val="23"/>
    <w:qFormat/>
    <w:uiPriority w:val="99"/>
    <w:rPr>
      <w:kern w:val="2"/>
      <w:sz w:val="18"/>
      <w:szCs w:val="18"/>
    </w:rPr>
  </w:style>
  <w:style w:type="character" w:customStyle="1" w:styleId="92">
    <w:name w:val="正文文本缩进 3 Char"/>
    <w:link w:val="30"/>
    <w:qFormat/>
    <w:uiPriority w:val="0"/>
    <w:rPr>
      <w:kern w:val="2"/>
      <w:sz w:val="16"/>
      <w:szCs w:val="16"/>
    </w:rPr>
  </w:style>
  <w:style w:type="character" w:customStyle="1" w:styleId="93">
    <w:name w:val="批注框文本 Char"/>
    <w:link w:val="22"/>
    <w:semiHidden/>
    <w:qFormat/>
    <w:uiPriority w:val="0"/>
    <w:rPr>
      <w:kern w:val="2"/>
      <w:sz w:val="18"/>
      <w:szCs w:val="18"/>
    </w:rPr>
  </w:style>
  <w:style w:type="character" w:customStyle="1" w:styleId="94">
    <w:name w:val="文档结构图 Char"/>
    <w:link w:val="12"/>
    <w:semiHidden/>
    <w:qFormat/>
    <w:uiPriority w:val="0"/>
    <w:rPr>
      <w:kern w:val="2"/>
      <w:sz w:val="21"/>
      <w:szCs w:val="24"/>
      <w:shd w:val="clear" w:color="auto" w:fill="000080"/>
    </w:rPr>
  </w:style>
  <w:style w:type="character" w:customStyle="1" w:styleId="95">
    <w:name w:val="批注文字 Char"/>
    <w:link w:val="13"/>
    <w:qFormat/>
    <w:uiPriority w:val="99"/>
    <w:rPr>
      <w:kern w:val="2"/>
      <w:sz w:val="21"/>
      <w:szCs w:val="24"/>
    </w:rPr>
  </w:style>
  <w:style w:type="character" w:customStyle="1" w:styleId="96">
    <w:name w:val="批注主题 Char"/>
    <w:link w:val="35"/>
    <w:semiHidden/>
    <w:qFormat/>
    <w:uiPriority w:val="0"/>
    <w:rPr>
      <w:b/>
      <w:bCs/>
      <w:kern w:val="2"/>
      <w:sz w:val="21"/>
      <w:szCs w:val="24"/>
    </w:rPr>
  </w:style>
  <w:style w:type="character" w:customStyle="1" w:styleId="97">
    <w:name w:val="正文文本缩进 2 Char"/>
    <w:link w:val="21"/>
    <w:qFormat/>
    <w:uiPriority w:val="0"/>
    <w:rPr>
      <w:rFonts w:eastAsia="楷体_GB2312"/>
      <w:kern w:val="2"/>
      <w:sz w:val="24"/>
      <w:szCs w:val="24"/>
    </w:rPr>
  </w:style>
  <w:style w:type="character" w:customStyle="1" w:styleId="98">
    <w:name w:val="正文文本 Char"/>
    <w:link w:val="15"/>
    <w:qFormat/>
    <w:uiPriority w:val="0"/>
    <w:rPr>
      <w:kern w:val="2"/>
      <w:sz w:val="21"/>
      <w:szCs w:val="24"/>
    </w:rPr>
  </w:style>
  <w:style w:type="paragraph" w:customStyle="1" w:styleId="99">
    <w:name w:val="Char Char Char Char Char Char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0">
    <w:name w:val="字元 字元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1">
    <w:name w:val="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2">
    <w:name w:val="Char Char Char Char Char Char Char Char Char Char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3">
    <w:name w:val="Char Char Char Char Char Char Char Char Char Char Char Char Char Char1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4">
    <w:name w:val="Char Char Char Char Char Char Char Char Char Char Char Char Char Char2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5">
    <w:name w:val="Char Char2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6">
    <w:name w:val="Char Char Char Char Char Char Char Char Char Char Char Char Char Char3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7">
    <w:name w:val="深色列表 - 强调文字颜色 31"/>
    <w:hidden/>
    <w:semiHidden/>
    <w:qFormat/>
    <w:uiPriority w:val="99"/>
    <w:rPr>
      <w:rFonts w:ascii="Calibri" w:hAnsi="Calibri" w:eastAsia="宋体" w:cs="Times New Roman"/>
      <w:kern w:val="2"/>
      <w:sz w:val="21"/>
      <w:szCs w:val="24"/>
      <w:lang w:val="en-US" w:eastAsia="zh-CN" w:bidi="ar-SA"/>
    </w:rPr>
  </w:style>
  <w:style w:type="paragraph" w:customStyle="1" w:styleId="108">
    <w:name w:val="字元 字元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09">
    <w:name w:val="字元 字元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110">
    <w:name w:val="字元 字元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111">
    <w:name w:val="标题 5 Char"/>
    <w:link w:val="6"/>
    <w:qFormat/>
    <w:uiPriority w:val="0"/>
    <w:rPr>
      <w:rFonts w:ascii="Times New Roman" w:hAnsi="Times New Roman" w:cs="宋体"/>
      <w:kern w:val="0"/>
      <w:sz w:val="28"/>
      <w:szCs w:val="20"/>
    </w:rPr>
  </w:style>
  <w:style w:type="character" w:customStyle="1" w:styleId="112">
    <w:name w:val="标题 6 Char"/>
    <w:link w:val="7"/>
    <w:qFormat/>
    <w:uiPriority w:val="0"/>
    <w:rPr>
      <w:rFonts w:ascii="Arial" w:hAnsi="Arial" w:eastAsia="黑体"/>
      <w:b/>
    </w:rPr>
  </w:style>
  <w:style w:type="character" w:customStyle="1" w:styleId="113">
    <w:name w:val="标题 7 Char"/>
    <w:link w:val="8"/>
    <w:qFormat/>
    <w:uiPriority w:val="0"/>
    <w:rPr>
      <w:rFonts w:ascii="宋体" w:hAnsi="Times New Roman"/>
      <w:b/>
    </w:rPr>
  </w:style>
  <w:style w:type="character" w:customStyle="1" w:styleId="114">
    <w:name w:val="标题 8 Char"/>
    <w:link w:val="9"/>
    <w:qFormat/>
    <w:uiPriority w:val="0"/>
    <w:rPr>
      <w:rFonts w:ascii="Arial" w:hAnsi="Arial" w:eastAsia="黑体"/>
    </w:rPr>
  </w:style>
  <w:style w:type="character" w:customStyle="1" w:styleId="115">
    <w:name w:val="标题 9 Char"/>
    <w:link w:val="10"/>
    <w:qFormat/>
    <w:uiPriority w:val="0"/>
    <w:rPr>
      <w:rFonts w:ascii="Arial" w:hAnsi="Arial" w:eastAsia="黑体"/>
      <w:kern w:val="0"/>
      <w:sz w:val="21"/>
      <w:szCs w:val="20"/>
    </w:rPr>
  </w:style>
  <w:style w:type="paragraph" w:customStyle="1" w:styleId="116">
    <w:name w:val="中等深浅列表 2 - 强调文字颜色 21"/>
    <w:hidden/>
    <w:semiHidden/>
    <w:qFormat/>
    <w:uiPriority w:val="99"/>
    <w:rPr>
      <w:rFonts w:ascii="Calibri" w:hAnsi="Calibri" w:eastAsia="宋体" w:cs="Times New Roman"/>
      <w:kern w:val="2"/>
      <w:sz w:val="21"/>
      <w:szCs w:val="24"/>
      <w:lang w:val="en-US" w:eastAsia="zh-CN" w:bidi="ar-SA"/>
    </w:rPr>
  </w:style>
  <w:style w:type="paragraph" w:customStyle="1" w:styleId="117">
    <w:name w:val="彩色列表 - 强调文字颜色 11"/>
    <w:basedOn w:val="1"/>
    <w:qFormat/>
    <w:uiPriority w:val="72"/>
    <w:pPr>
      <w:ind w:firstLine="420" w:firstLineChars="200"/>
    </w:pPr>
  </w:style>
  <w:style w:type="paragraph" w:styleId="118">
    <w:name w:val="List Paragraph"/>
    <w:basedOn w:val="1"/>
    <w:qFormat/>
    <w:uiPriority w:val="72"/>
    <w:pPr>
      <w:ind w:firstLine="420" w:firstLineChars="200"/>
    </w:pPr>
  </w:style>
  <w:style w:type="paragraph" w:customStyle="1" w:styleId="119">
    <w:name w:val="修订1"/>
    <w:hidden/>
    <w:qFormat/>
    <w:uiPriority w:val="71"/>
    <w:rPr>
      <w:rFonts w:ascii="Calibri" w:hAnsi="Calibri" w:eastAsia="宋体" w:cs="Times New Roman"/>
      <w:kern w:val="2"/>
      <w:sz w:val="21"/>
      <w:szCs w:val="24"/>
      <w:lang w:val="en-US" w:eastAsia="zh-CN" w:bidi="ar-SA"/>
    </w:rPr>
  </w:style>
  <w:style w:type="character" w:customStyle="1" w:styleId="120">
    <w:name w:val="15"/>
    <w:qFormat/>
    <w:uiPriority w:val="0"/>
    <w:rPr>
      <w:rFonts w:hint="default" w:ascii="Times New Roman" w:hAnsi="Times New Roman" w:cs="Times New Roman"/>
      <w:color w:val="0000FF"/>
      <w:spacing w:val="0"/>
      <w:u w:val="double"/>
    </w:rPr>
  </w:style>
  <w:style w:type="character" w:customStyle="1" w:styleId="121">
    <w:name w:val="标题 3 Char"/>
    <w:basedOn w:val="38"/>
    <w:link w:val="5"/>
    <w:semiHidden/>
    <w:qFormat/>
    <w:uiPriority w:val="0"/>
    <w:rPr>
      <w:b/>
      <w:bCs/>
      <w:kern w:val="2"/>
      <w:sz w:val="32"/>
      <w:szCs w:val="32"/>
    </w:rPr>
  </w:style>
  <w:style w:type="paragraph" w:customStyle="1" w:styleId="122">
    <w:name w:val="修订2"/>
    <w:hidden/>
    <w:semiHidden/>
    <w:qFormat/>
    <w:uiPriority w:val="99"/>
    <w:rPr>
      <w:rFonts w:ascii="Calibri" w:hAnsi="Calibri" w:eastAsia="宋体" w:cs="Times New Roman"/>
      <w:kern w:val="2"/>
      <w:sz w:val="21"/>
      <w:szCs w:val="24"/>
      <w:lang w:val="en-US" w:eastAsia="zh-CN" w:bidi="ar-SA"/>
    </w:rPr>
  </w:style>
  <w:style w:type="paragraph" w:customStyle="1" w:styleId="123">
    <w:name w:val="修订3"/>
    <w:hidden/>
    <w:semiHidden/>
    <w:qFormat/>
    <w:uiPriority w:val="99"/>
    <w:rPr>
      <w:rFonts w:ascii="Calibri" w:hAnsi="Calibri" w:eastAsia="宋体" w:cs="Times New Roman"/>
      <w:kern w:val="2"/>
      <w:sz w:val="21"/>
      <w:szCs w:val="24"/>
      <w:lang w:val="en-US" w:eastAsia="zh-CN" w:bidi="ar-SA"/>
    </w:rPr>
  </w:style>
  <w:style w:type="paragraph" w:customStyle="1" w:styleId="124">
    <w:name w:val="修订4"/>
    <w:hidden/>
    <w:semiHidden/>
    <w:qFormat/>
    <w:uiPriority w:val="99"/>
    <w:rPr>
      <w:rFonts w:ascii="Calibri" w:hAnsi="Calibri" w:eastAsia="宋体" w:cs="Times New Roman"/>
      <w:kern w:val="2"/>
      <w:sz w:val="21"/>
      <w:szCs w:val="24"/>
      <w:lang w:val="en-US" w:eastAsia="zh-CN" w:bidi="ar-SA"/>
    </w:rPr>
  </w:style>
  <w:style w:type="character" w:customStyle="1" w:styleId="125">
    <w:name w:val="正文文本_"/>
    <w:basedOn w:val="38"/>
    <w:link w:val="126"/>
    <w:qFormat/>
    <w:uiPriority w:val="0"/>
    <w:rPr>
      <w:rFonts w:ascii="宋体" w:hAnsi="宋体" w:eastAsia="宋体" w:cs="宋体"/>
      <w:sz w:val="22"/>
      <w:szCs w:val="22"/>
    </w:rPr>
  </w:style>
  <w:style w:type="paragraph" w:customStyle="1" w:styleId="126">
    <w:name w:val="正文文本1"/>
    <w:basedOn w:val="1"/>
    <w:link w:val="125"/>
    <w:qFormat/>
    <w:uiPriority w:val="0"/>
    <w:pPr>
      <w:spacing w:before="0" w:beforeAutospacing="0" w:after="160" w:line="410" w:lineRule="auto"/>
      <w:jc w:val="left"/>
    </w:pPr>
    <w:rPr>
      <w:rFonts w:ascii="宋体" w:hAnsi="宋体" w:eastAsia="宋体" w:cs="宋体"/>
      <w:kern w:val="0"/>
      <w:sz w:val="22"/>
      <w:szCs w:val="22"/>
    </w:rPr>
  </w:style>
  <w:style w:type="character" w:customStyle="1" w:styleId="127">
    <w:name w:val="标题 #2_"/>
    <w:basedOn w:val="38"/>
    <w:link w:val="128"/>
    <w:qFormat/>
    <w:uiPriority w:val="0"/>
    <w:rPr>
      <w:rFonts w:ascii="宋体" w:hAnsi="宋体" w:eastAsia="宋体" w:cs="宋体"/>
      <w:b/>
      <w:bCs/>
      <w:sz w:val="22"/>
      <w:szCs w:val="22"/>
    </w:rPr>
  </w:style>
  <w:style w:type="paragraph" w:customStyle="1" w:styleId="128">
    <w:name w:val="标题 #2"/>
    <w:basedOn w:val="1"/>
    <w:link w:val="127"/>
    <w:qFormat/>
    <w:uiPriority w:val="0"/>
    <w:pPr>
      <w:spacing w:before="0" w:beforeAutospacing="0" w:after="160" w:line="440" w:lineRule="exact"/>
      <w:jc w:val="left"/>
      <w:outlineLvl w:val="1"/>
    </w:pPr>
    <w:rPr>
      <w:rFonts w:ascii="宋体" w:hAnsi="宋体" w:eastAsia="宋体" w:cs="宋体"/>
      <w:b/>
      <w:bCs/>
      <w:kern w:val="0"/>
      <w:sz w:val="22"/>
      <w:szCs w:val="22"/>
    </w:rPr>
  </w:style>
  <w:style w:type="character" w:customStyle="1" w:styleId="129">
    <w:name w:val="标题 Char"/>
    <w:basedOn w:val="38"/>
    <w:link w:val="34"/>
    <w:qFormat/>
    <w:uiPriority w:val="0"/>
    <w:rPr>
      <w:rFonts w:asciiTheme="majorHAnsi" w:hAnsiTheme="majorHAnsi" w:cstheme="majorBidi"/>
      <w:b/>
      <w:bCs/>
      <w:kern w:val="2"/>
      <w:sz w:val="32"/>
      <w:szCs w:val="32"/>
    </w:rPr>
  </w:style>
  <w:style w:type="paragraph" w:customStyle="1" w:styleId="130">
    <w:name w:val="TOC 标题1"/>
    <w:basedOn w:val="3"/>
    <w:next w:val="1"/>
    <w:unhideWhenUsed/>
    <w:qFormat/>
    <w:uiPriority w:val="39"/>
    <w:pPr>
      <w:widowControl/>
      <w:spacing w:before="480" w:beforeAutospacing="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131">
    <w:name w:val="MSG_EN_FONT_STYLE_NAME_TEMPLATE_ROLE_NUMBER MSG_EN_FONT_STYLE_NAME_BY_ROLE_TEXT 2"/>
    <w:basedOn w:val="1"/>
    <w:link w:val="132"/>
    <w:qFormat/>
    <w:uiPriority w:val="99"/>
    <w:pPr>
      <w:shd w:val="clear" w:color="auto" w:fill="FFFFFF"/>
      <w:spacing w:line="220" w:lineRule="exact"/>
      <w:ind w:hanging="780"/>
      <w:jc w:val="distribute"/>
    </w:pPr>
    <w:rPr>
      <w:rFonts w:ascii="PMingLiU" w:eastAsia="PMingLiU"/>
      <w:sz w:val="22"/>
      <w:szCs w:val="22"/>
    </w:rPr>
  </w:style>
  <w:style w:type="character" w:customStyle="1" w:styleId="132">
    <w:name w:val="MSG_EN_FONT_STYLE_NAME_TEMPLATE_ROLE_NUMBER MSG_EN_FONT_STYLE_NAME_BY_ROLE_TEXT 2_"/>
    <w:link w:val="131"/>
    <w:qFormat/>
    <w:uiPriority w:val="99"/>
    <w:rPr>
      <w:rFonts w:ascii="PMingLiU" w:eastAsia="PMingLiU"/>
      <w:color w:val="auto"/>
      <w:sz w:val="22"/>
      <w:szCs w:val="22"/>
    </w:rPr>
  </w:style>
  <w:style w:type="character" w:customStyle="1" w:styleId="133">
    <w:name w:val="MSG_EN_FONT_STYLE_NAME_TEMPLATE_ROLE_NUMBER MSG_EN_FONT_STYLE_NAME_BY_ROLE_TEXT 2 + MSG_EN_FONT_STYLE_MODIFER_SPACING 0"/>
    <w:qFormat/>
    <w:uiPriority w:val="99"/>
    <w:rPr>
      <w:rFonts w:ascii="PMingLiU" w:eastAsia="PMingLiU" w:cs="PMingLiU"/>
      <w:spacing w:val="10"/>
      <w:sz w:val="22"/>
      <w:szCs w:val="22"/>
      <w:u w:val="none"/>
    </w:rPr>
  </w:style>
  <w:style w:type="character" w:customStyle="1" w:styleId="134">
    <w:name w:val="MSG_EN_FONT_STYLE_NAME_TEMPLATE_ROLE_NUMBER MSG_EN_FONT_STYLE_NAME_BY_ROLE_TEXT 2 + MSG_EN_FONT_STYLE_MODIFER_SPACING 11"/>
    <w:qFormat/>
    <w:uiPriority w:val="0"/>
    <w:rPr>
      <w:rFonts w:ascii="PMingLiU" w:eastAsia="PMingLiU" w:cs="PMingLiU"/>
      <w:spacing w:val="20"/>
      <w:sz w:val="22"/>
      <w:szCs w:val="22"/>
      <w:u w:val="none"/>
    </w:rPr>
  </w:style>
  <w:style w:type="paragraph" w:customStyle="1" w:styleId="135">
    <w:name w:val="font6"/>
    <w:basedOn w:val="1"/>
    <w:qFormat/>
    <w:uiPriority w:val="0"/>
    <w:pPr>
      <w:widowControl/>
      <w:spacing w:after="100" w:afterAutospacing="1" w:line="240" w:lineRule="auto"/>
      <w:jc w:val="left"/>
    </w:pPr>
    <w:rPr>
      <w:rFonts w:ascii="Times New Roman" w:hAnsi="Times New Roman" w:eastAsia="Times New Roman"/>
      <w:color w:val="000000"/>
      <w:kern w:val="0"/>
      <w:sz w:val="22"/>
      <w:szCs w:val="22"/>
    </w:rPr>
  </w:style>
  <w:style w:type="paragraph" w:customStyle="1" w:styleId="136">
    <w:name w:val="修订5"/>
    <w:hidden/>
    <w:unhideWhenUsed/>
    <w:qFormat/>
    <w:uiPriority w:val="99"/>
    <w:rPr>
      <w:rFonts w:ascii="Calibri" w:hAnsi="Calibri" w:eastAsia="楷体" w:cs="Times New Roman"/>
      <w:kern w:val="2"/>
      <w:sz w:val="24"/>
      <w:szCs w:val="24"/>
      <w:lang w:val="en-US" w:eastAsia="zh-CN" w:bidi="ar-SA"/>
    </w:rPr>
  </w:style>
  <w:style w:type="paragraph" w:customStyle="1" w:styleId="137">
    <w:name w:val="Revision"/>
    <w:hidden/>
    <w:semiHidden/>
    <w:qFormat/>
    <w:uiPriority w:val="99"/>
    <w:rPr>
      <w:rFonts w:ascii="Calibri" w:hAnsi="Calibri" w:eastAsia="楷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C35A4-5CA3-41A3-A9AA-37E9D49D8CD9}">
  <ds:schemaRefs/>
</ds:datastoreItem>
</file>

<file path=customXml/itemProps3.xml><?xml version="1.0" encoding="utf-8"?>
<ds:datastoreItem xmlns:ds="http://schemas.openxmlformats.org/officeDocument/2006/customXml" ds:itemID="{A857B9D3-652B-4543-A5B7-411A7E5FEE5E}">
  <ds:schemaRefs/>
</ds:datastoreItem>
</file>

<file path=customXml/itemProps4.xml><?xml version="1.0" encoding="utf-8"?>
<ds:datastoreItem xmlns:ds="http://schemas.openxmlformats.org/officeDocument/2006/customXml" ds:itemID="{30D4CC7C-491F-4AFE-B554-4BFA642A787A}">
  <ds:schemaRefs/>
</ds:datastoreItem>
</file>

<file path=customXml/itemProps5.xml><?xml version="1.0" encoding="utf-8"?>
<ds:datastoreItem xmlns:ds="http://schemas.openxmlformats.org/officeDocument/2006/customXml" ds:itemID="{FBB5BD0D-5746-4526-B14D-24255CFCBED5}">
  <ds:schemaRefs/>
</ds:datastoreItem>
</file>

<file path=docProps/app.xml><?xml version="1.0" encoding="utf-8"?>
<Properties xmlns="http://schemas.openxmlformats.org/officeDocument/2006/extended-properties" xmlns:vt="http://schemas.openxmlformats.org/officeDocument/2006/docPropsVTypes">
  <Template>wdzx97.dot</Template>
  <Company>King &amp; Wood Mallesons</Company>
  <Pages>49</Pages>
  <Words>23714</Words>
  <Characters>24237</Characters>
  <Lines>190</Lines>
  <Paragraphs>53</Paragraphs>
  <TotalTime>18</TotalTime>
  <ScaleCrop>false</ScaleCrop>
  <LinksUpToDate>false</LinksUpToDate>
  <CharactersWithSpaces>24419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2023-02-22T02:27:00Z</dcterms:created>
  <dc:creator>KWM</dc:creator>
  <cp:lastModifiedBy>Administrator</cp:lastModifiedBy>
  <cp:lastPrinted>2022-03-16T06:45:00Z</cp:lastPrinted>
  <dcterms:modified xsi:type="dcterms:W3CDTF">2025-01-20T08:07:16Z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38A92189B1C54B259F83BF8EBE5D99EF</vt:lpwstr>
  </property>
  <property fmtid="{D5CDD505-2E9C-101B-9397-08002B2CF9AE}" pid="4" name="KSOTemplateDocerSaveRecord">
    <vt:lpwstr>eyJoZGlkIjoiOWZjY2U5ZDg0MDM3NTlhODYzZWNjYWExNjMzYzgzYzAiLCJ1c2VySWQiOiIyMzI0MTU4MjgifQ==</vt:lpwstr>
  </property>
</Properties>
</file>