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5ACD1">
      <w:pPr>
        <w:rPr>
          <w:color w:val="000000" w:themeColor="text1"/>
          <w14:textFill>
            <w14:solidFill>
              <w14:schemeClr w14:val="tx1"/>
            </w14:solidFill>
          </w14:textFill>
        </w:rPr>
      </w:pPr>
    </w:p>
    <w:p w14:paraId="6F446E6E">
      <w:pPr>
        <w:rPr>
          <w:color w:val="000000" w:themeColor="text1"/>
          <w14:textFill>
            <w14:solidFill>
              <w14:schemeClr w14:val="tx1"/>
            </w14:solidFill>
          </w14:textFill>
        </w:rPr>
      </w:pPr>
    </w:p>
    <w:p w14:paraId="07155B07">
      <w:pPr>
        <w:jc w:val="center"/>
        <w:rPr>
          <w:rFonts w:hint="eastAsia" w:eastAsia="宋体"/>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浙江开放大学萧山学院办公平台人资管理和移动端模块采购</w:t>
      </w:r>
    </w:p>
    <w:p w14:paraId="0D82839D">
      <w:pPr>
        <w:jc w:val="center"/>
        <w:rPr>
          <w:color w:val="000000" w:themeColor="text1"/>
          <w:sz w:val="40"/>
          <w14:textFill>
            <w14:solidFill>
              <w14:schemeClr w14:val="tx1"/>
            </w14:solidFill>
          </w14:textFill>
        </w:rPr>
      </w:pPr>
    </w:p>
    <w:p w14:paraId="6A0BCC5A">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交易文件</w:t>
      </w:r>
    </w:p>
    <w:p w14:paraId="5608102D">
      <w:pPr>
        <w:jc w:val="center"/>
        <w:rPr>
          <w:color w:val="000000" w:themeColor="text1"/>
          <w:sz w:val="36"/>
          <w14:textFill>
            <w14:solidFill>
              <w14:schemeClr w14:val="tx1"/>
            </w14:solidFill>
          </w14:textFill>
        </w:rPr>
      </w:pPr>
    </w:p>
    <w:p w14:paraId="7DF12E3C">
      <w:pPr>
        <w:jc w:val="center"/>
        <w:rPr>
          <w:color w:val="000000" w:themeColor="text1"/>
          <w:sz w:val="36"/>
          <w14:textFill>
            <w14:solidFill>
              <w14:schemeClr w14:val="tx1"/>
            </w14:solidFill>
          </w14:textFill>
        </w:rPr>
      </w:pPr>
    </w:p>
    <w:p w14:paraId="0C6E9452">
      <w:pPr>
        <w:jc w:val="center"/>
        <w:rPr>
          <w:color w:val="000000" w:themeColor="text1"/>
          <w:sz w:val="36"/>
          <w14:textFill>
            <w14:solidFill>
              <w14:schemeClr w14:val="tx1"/>
            </w14:solidFill>
          </w14:textFill>
        </w:rPr>
      </w:pPr>
    </w:p>
    <w:p w14:paraId="7621AC35">
      <w:pPr>
        <w:jc w:val="center"/>
        <w:rPr>
          <w:color w:val="000000" w:themeColor="text1"/>
          <w:sz w:val="36"/>
          <w14:textFill>
            <w14:solidFill>
              <w14:schemeClr w14:val="tx1"/>
            </w14:solidFill>
          </w14:textFill>
        </w:rPr>
      </w:pPr>
    </w:p>
    <w:p w14:paraId="68371B93">
      <w:pPr>
        <w:jc w:val="center"/>
        <w:rPr>
          <w:color w:val="000000" w:themeColor="text1"/>
          <w:sz w:val="36"/>
          <w14:textFill>
            <w14:solidFill>
              <w14:schemeClr w14:val="tx1"/>
            </w14:solidFill>
          </w14:textFill>
        </w:rPr>
      </w:pPr>
    </w:p>
    <w:p w14:paraId="6D74FFCC">
      <w:pPr>
        <w:jc w:val="center"/>
        <w:rPr>
          <w:color w:val="000000" w:themeColor="text1"/>
          <w:sz w:val="36"/>
          <w14:textFill>
            <w14:solidFill>
              <w14:schemeClr w14:val="tx1"/>
            </w14:solidFill>
          </w14:textFill>
        </w:rPr>
      </w:pPr>
    </w:p>
    <w:p w14:paraId="646E8894">
      <w:pPr>
        <w:jc w:val="center"/>
        <w:rPr>
          <w:rFonts w:hint="eastAsia" w:eastAsia="宋体"/>
          <w:color w:val="000000" w:themeColor="text1"/>
          <w:sz w:val="36"/>
          <w:lang w:eastAsia="zh-CN"/>
          <w14:textFill>
            <w14:solidFill>
              <w14:schemeClr w14:val="tx1"/>
            </w14:solidFill>
          </w14:textFill>
        </w:rPr>
      </w:pPr>
      <w:r>
        <w:rPr>
          <w:rFonts w:hint="eastAsia"/>
          <w:color w:val="000000" w:themeColor="text1"/>
          <w:sz w:val="36"/>
          <w14:textFill>
            <w14:solidFill>
              <w14:schemeClr w14:val="tx1"/>
            </w14:solidFill>
          </w14:textFill>
        </w:rPr>
        <w:t>编号:</w:t>
      </w:r>
      <w:r>
        <w:rPr>
          <w:rFonts w:hint="eastAsia"/>
          <w:color w:val="000000" w:themeColor="text1"/>
          <w:sz w:val="36"/>
          <w:lang w:eastAsia="zh-CN"/>
          <w14:textFill>
            <w14:solidFill>
              <w14:schemeClr w14:val="tx1"/>
            </w14:solidFill>
          </w14:textFill>
        </w:rPr>
        <w:t>KFDX2024002</w:t>
      </w:r>
    </w:p>
    <w:p w14:paraId="58096621">
      <w:pPr>
        <w:jc w:val="center"/>
        <w:rPr>
          <w:color w:val="000000" w:themeColor="text1"/>
          <w:sz w:val="36"/>
          <w14:textFill>
            <w14:solidFill>
              <w14:schemeClr w14:val="tx1"/>
            </w14:solidFill>
          </w14:textFill>
        </w:rPr>
      </w:pPr>
    </w:p>
    <w:p w14:paraId="18B39BD9">
      <w:pPr>
        <w:jc w:val="center"/>
        <w:rPr>
          <w:color w:val="000000" w:themeColor="text1"/>
          <w:sz w:val="36"/>
          <w14:textFill>
            <w14:solidFill>
              <w14:schemeClr w14:val="tx1"/>
            </w14:solidFill>
          </w14:textFill>
        </w:rPr>
      </w:pPr>
    </w:p>
    <w:p w14:paraId="0415E86C">
      <w:pPr>
        <w:pStyle w:val="15"/>
        <w:ind w:firstLine="720"/>
        <w:rPr>
          <w:rFonts w:cs="宋体"/>
          <w:color w:val="000000" w:themeColor="text1"/>
          <w:sz w:val="36"/>
          <w14:textFill>
            <w14:solidFill>
              <w14:schemeClr w14:val="tx1"/>
            </w14:solidFill>
          </w14:textFill>
        </w:rPr>
      </w:pPr>
    </w:p>
    <w:p w14:paraId="69DD64E8">
      <w:pPr>
        <w:pStyle w:val="15"/>
        <w:ind w:firstLine="720"/>
        <w:rPr>
          <w:rFonts w:cs="宋体"/>
          <w:color w:val="000000" w:themeColor="text1"/>
          <w:sz w:val="36"/>
          <w14:textFill>
            <w14:solidFill>
              <w14:schemeClr w14:val="tx1"/>
            </w14:solidFill>
          </w14:textFill>
        </w:rPr>
      </w:pPr>
    </w:p>
    <w:p w14:paraId="3AC5A0DA">
      <w:pPr>
        <w:pStyle w:val="15"/>
        <w:ind w:firstLine="720"/>
        <w:rPr>
          <w:rFonts w:cs="宋体"/>
          <w:color w:val="000000" w:themeColor="text1"/>
          <w:sz w:val="36"/>
          <w14:textFill>
            <w14:solidFill>
              <w14:schemeClr w14:val="tx1"/>
            </w14:solidFill>
          </w14:textFill>
        </w:rPr>
      </w:pPr>
    </w:p>
    <w:p w14:paraId="1EE55845">
      <w:pPr>
        <w:jc w:val="center"/>
        <w:rPr>
          <w:color w:val="000000" w:themeColor="text1"/>
          <w:sz w:val="36"/>
          <w14:textFill>
            <w14:solidFill>
              <w14:schemeClr w14:val="tx1"/>
            </w14:solidFill>
          </w14:textFill>
        </w:rPr>
      </w:pPr>
    </w:p>
    <w:p w14:paraId="419EA7AF">
      <w:pPr>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 xml:space="preserve"> </w:t>
      </w:r>
    </w:p>
    <w:p w14:paraId="64CE74C0">
      <w:pPr>
        <w:rPr>
          <w:color w:val="000000" w:themeColor="text1"/>
          <w14:textFill>
            <w14:solidFill>
              <w14:schemeClr w14:val="tx1"/>
            </w14:solidFill>
          </w14:textFill>
        </w:rPr>
      </w:pPr>
    </w:p>
    <w:p w14:paraId="0490ECC8">
      <w:pPr>
        <w:jc w:val="center"/>
        <w:rPr>
          <w:color w:val="000000" w:themeColor="text1"/>
          <w14:textFill>
            <w14:solidFill>
              <w14:schemeClr w14:val="tx1"/>
            </w14:solidFill>
          </w14:textFill>
        </w:rPr>
      </w:pPr>
    </w:p>
    <w:p w14:paraId="366121E2">
      <w:pPr>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浙江开放大学萧山学院</w:t>
      </w:r>
    </w:p>
    <w:p w14:paraId="3189F50B">
      <w:pPr>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浙江越锋项目管理有限公司</w:t>
      </w:r>
    </w:p>
    <w:p w14:paraId="35127399">
      <w:pPr>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2024年</w:t>
      </w:r>
      <w:r>
        <w:rPr>
          <w:rFonts w:hint="eastAsia"/>
          <w:color w:val="000000" w:themeColor="text1"/>
          <w:sz w:val="36"/>
          <w:lang w:val="en-US" w:eastAsia="zh-CN"/>
          <w14:textFill>
            <w14:solidFill>
              <w14:schemeClr w14:val="tx1"/>
            </w14:solidFill>
          </w14:textFill>
        </w:rPr>
        <w:t>8</w:t>
      </w:r>
      <w:r>
        <w:rPr>
          <w:rFonts w:hint="eastAsia"/>
          <w:color w:val="000000" w:themeColor="text1"/>
          <w:sz w:val="36"/>
          <w14:textFill>
            <w14:solidFill>
              <w14:schemeClr w14:val="tx1"/>
            </w14:solidFill>
          </w14:textFill>
        </w:rPr>
        <w:t>月</w:t>
      </w:r>
    </w:p>
    <w:p w14:paraId="43E49BC5">
      <w:pPr>
        <w:spacing w:line="276" w:lineRule="auto"/>
        <w:rPr>
          <w:b/>
          <w:smallCaps/>
          <w:color w:val="000000" w:themeColor="text1"/>
          <w:spacing w:val="5"/>
          <w:sz w:val="36"/>
          <w:szCs w:val="36"/>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br w:type="page"/>
      </w:r>
    </w:p>
    <w:p w14:paraId="7D95A606">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目  录</w:t>
      </w:r>
    </w:p>
    <w:p w14:paraId="1E2CD16D">
      <w:pPr>
        <w:rPr>
          <w:color w:val="000000" w:themeColor="text1"/>
          <w14:textFill>
            <w14:solidFill>
              <w14:schemeClr w14:val="tx1"/>
            </w14:solidFill>
          </w14:textFill>
        </w:rPr>
      </w:pPr>
    </w:p>
    <w:p w14:paraId="7CF8208F">
      <w:pPr>
        <w:rPr>
          <w:color w:val="000000" w:themeColor="text1"/>
          <w14:textFill>
            <w14:solidFill>
              <w14:schemeClr w14:val="tx1"/>
            </w14:solidFill>
          </w14:textFill>
        </w:rPr>
      </w:pPr>
    </w:p>
    <w:p w14:paraId="26811625">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第一部分      交易公告</w:t>
      </w:r>
    </w:p>
    <w:p w14:paraId="2F950CFC">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第二部分      供应商须知</w:t>
      </w:r>
    </w:p>
    <w:p w14:paraId="6315615C">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第三部分      采购需求</w:t>
      </w:r>
    </w:p>
    <w:p w14:paraId="0EA9D7B4">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第四部分      评标办法</w:t>
      </w:r>
    </w:p>
    <w:p w14:paraId="2D6D56A7">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第五部分      拟签订的合同文本</w:t>
      </w:r>
    </w:p>
    <w:p w14:paraId="58C74731">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第六部分      应提交的有关格式范例</w:t>
      </w:r>
    </w:p>
    <w:p w14:paraId="65D27F35">
      <w:pPr>
        <w:spacing w:line="276" w:lineRule="auto"/>
        <w:rPr>
          <w:color w:val="000000" w:themeColor="text1"/>
          <w:sz w:val="32"/>
          <w14:textFill>
            <w14:solidFill>
              <w14:schemeClr w14:val="tx1"/>
            </w14:solidFill>
          </w14:textFill>
        </w:rPr>
      </w:pPr>
    </w:p>
    <w:p w14:paraId="36F3023C">
      <w:pPr>
        <w:spacing w:line="276" w:lineRule="auto"/>
        <w:rPr>
          <w:b/>
          <w:smallCaps/>
          <w:color w:val="000000" w:themeColor="text1"/>
          <w:spacing w:val="5"/>
          <w:sz w:val="36"/>
          <w:szCs w:val="36"/>
          <w14:textFill>
            <w14:solidFill>
              <w14:schemeClr w14:val="tx1"/>
            </w14:solidFill>
          </w14:textFill>
        </w:rPr>
      </w:pPr>
      <w:r>
        <w:rPr>
          <w:rFonts w:hint="eastAsia"/>
          <w:color w:val="000000" w:themeColor="text1"/>
          <w14:textFill>
            <w14:solidFill>
              <w14:schemeClr w14:val="tx1"/>
            </w14:solidFill>
          </w14:textFill>
        </w:rPr>
        <w:br w:type="page"/>
      </w:r>
    </w:p>
    <w:p w14:paraId="40F8E854">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交易公告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0D0B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E831A88">
            <w:pPr>
              <w:rPr>
                <w:color w:val="000000" w:themeColor="text1"/>
                <w14:textFill>
                  <w14:solidFill>
                    <w14:schemeClr w14:val="tx1"/>
                  </w14:solidFill>
                </w14:textFill>
              </w:rPr>
            </w:pPr>
            <w:r>
              <w:rPr>
                <w:rFonts w:hint="eastAsia"/>
                <w:color w:val="000000" w:themeColor="text1"/>
                <w14:textFill>
                  <w14:solidFill>
                    <w14:schemeClr w14:val="tx1"/>
                  </w14:solidFill>
                </w14:textFill>
              </w:rPr>
              <w:t>项目概况</w:t>
            </w:r>
          </w:p>
          <w:p w14:paraId="6F58B0DA">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r>
              <w:rPr>
                <w:rFonts w:hint="eastAsia"/>
                <w:color w:val="000000" w:themeColor="text1"/>
                <w:u w:val="single"/>
                <w:lang w:eastAsia="zh-CN"/>
                <w14:textFill>
                  <w14:solidFill>
                    <w14:schemeClr w14:val="tx1"/>
                  </w14:solidFill>
                </w14:textFill>
              </w:rPr>
              <w:t>浙江开放大学萧山学院办公平台人资管理和移动端模块采购</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招标项目的潜在供应商应在</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w:t>
            </w:r>
            <w:r>
              <w:fldChar w:fldCharType="begin"/>
            </w:r>
            <w:r>
              <w:instrText xml:space="preserve"> HYPERLINK "https://www.zcygov.cn/）获取（下载）招标文件，并于2021年" </w:instrText>
            </w:r>
            <w:r>
              <w:fldChar w:fldCharType="separate"/>
            </w:r>
            <w:r>
              <w:rPr>
                <w:rFonts w:hint="eastAsia"/>
                <w:color w:val="000000" w:themeColor="text1"/>
                <w14:textFill>
                  <w14:solidFill>
                    <w14:schemeClr w14:val="tx1"/>
                  </w14:solidFill>
                </w14:textFill>
              </w:rPr>
              <w:t>https://</w:t>
            </w:r>
            <w:r>
              <w:rPr>
                <w:rFonts w:hint="eastAsia"/>
                <w:color w:val="000000" w:themeColor="text1"/>
                <w:lang w:eastAsia="zh-CN"/>
                <w14:textFill>
                  <w14:solidFill>
                    <w14:schemeClr w14:val="tx1"/>
                  </w14:solidFill>
                </w14:textFill>
              </w:rPr>
              <w:t>www.leicaiyun.com</w:t>
            </w:r>
            <w:r>
              <w:rPr>
                <w:rFonts w:hint="eastAsia"/>
                <w:color w:val="000000" w:themeColor="text1"/>
                <w14:textFill>
                  <w14:solidFill>
                    <w14:schemeClr w14:val="tx1"/>
                  </w14:solidFill>
                </w14:textFill>
              </w:rPr>
              <w:t>/）获取（下载）交易文件，并于2024年</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日09点</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分00秒</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（北京时间）前递交（上传）响应文件。</w:t>
            </w:r>
          </w:p>
          <w:p w14:paraId="07BA4646">
            <w:pPr>
              <w:rPr>
                <w:color w:val="000000" w:themeColor="text1"/>
                <w14:textFill>
                  <w14:solidFill>
                    <w14:schemeClr w14:val="tx1"/>
                  </w14:solidFill>
                </w14:textFill>
              </w:rPr>
            </w:pPr>
          </w:p>
        </w:tc>
      </w:tr>
    </w:tbl>
    <w:p w14:paraId="7FBC6C60">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一、项目基本情况                                            </w:t>
      </w:r>
    </w:p>
    <w:p w14:paraId="1DE1CB70">
      <w:pPr>
        <w:spacing w:line="360" w:lineRule="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KFDX2024002</w:t>
      </w:r>
    </w:p>
    <w:p w14:paraId="341979B5">
      <w:pPr>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浙江开放大学萧山学院办公平台人资管理和移动端模块采购</w:t>
      </w:r>
    </w:p>
    <w:p w14:paraId="62B91EF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预算金额（元）：2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0000</w:t>
      </w:r>
    </w:p>
    <w:p w14:paraId="739F9B1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最高限价（元）：2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0000</w:t>
      </w:r>
    </w:p>
    <w:p w14:paraId="3FEB381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采购需求：（项目名称）主要内容：</w:t>
      </w:r>
      <w:bookmarkStart w:id="0" w:name="OLE_LINK2"/>
      <w:r>
        <w:rPr>
          <w:rFonts w:hint="eastAsia"/>
          <w:color w:val="000000" w:themeColor="text1"/>
          <w14:textFill>
            <w14:solidFill>
              <w14:schemeClr w14:val="tx1"/>
            </w14:solidFill>
          </w14:textFill>
        </w:rPr>
        <w:t>详见交易文件第三部分采购需求</w:t>
      </w:r>
      <w:bookmarkEnd w:id="0"/>
      <w:r>
        <w:rPr>
          <w:rFonts w:hint="eastAsia"/>
          <w:color w:val="000000" w:themeColor="text1"/>
          <w14:textFill>
            <w14:solidFill>
              <w14:schemeClr w14:val="tx1"/>
            </w14:solidFill>
          </w14:textFill>
        </w:rPr>
        <w:t>。</w:t>
      </w:r>
    </w:p>
    <w:p w14:paraId="44491C4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合同履约期限：按交易文件要求</w:t>
      </w:r>
    </w:p>
    <w:p w14:paraId="48BBD05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本项目接受联合体投标：否 。</w:t>
      </w:r>
    </w:p>
    <w:p w14:paraId="1CE745AC">
      <w:pPr>
        <w:spacing w:line="360" w:lineRule="auto"/>
        <w:rPr>
          <w:color w:val="000000" w:themeColor="text1"/>
          <w14:textFill>
            <w14:solidFill>
              <w14:schemeClr w14:val="tx1"/>
            </w14:solidFill>
          </w14:textFill>
        </w:rPr>
      </w:pPr>
      <w:r>
        <w:rPr>
          <w:rFonts w:hint="eastAsia"/>
          <w:b/>
          <w:color w:val="000000" w:themeColor="text1"/>
          <w14:textFill>
            <w14:solidFill>
              <w14:schemeClr w14:val="tx1"/>
            </w14:solidFill>
          </w14:textFill>
        </w:rPr>
        <w:t>二、申请人的资格要求</w:t>
      </w:r>
      <w:r>
        <w:rPr>
          <w:rFonts w:hint="eastAsia"/>
          <w:color w:val="000000" w:themeColor="text1"/>
          <w14:textFill>
            <w14:solidFill>
              <w14:schemeClr w14:val="tx1"/>
            </w14:solidFill>
          </w14:textFill>
        </w:rPr>
        <w:t>：</w:t>
      </w:r>
    </w:p>
    <w:p w14:paraId="5F6673A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F4485B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2.本项目的特定资格要求：无；</w:t>
      </w:r>
    </w:p>
    <w:p w14:paraId="6C4AAD4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A49CDB">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三、获取交易文件 </w:t>
      </w:r>
    </w:p>
    <w:p w14:paraId="140054B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时间：/至2024年</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日，每天上午00:00至12:00 ，下午12:00至23:59（北京时间，线上获取法定节假日均可，线下获取文件法定节假日除外）</w:t>
      </w:r>
    </w:p>
    <w:p w14:paraId="30F021D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地点（网址）：</w:t>
      </w:r>
      <w:bookmarkStart w:id="1" w:name="OLE_LINK3"/>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平台（https://</w:t>
      </w:r>
      <w:r>
        <w:rPr>
          <w:rFonts w:hint="eastAsia"/>
          <w:color w:val="000000" w:themeColor="text1"/>
          <w:lang w:eastAsia="zh-CN"/>
          <w14:textFill>
            <w14:solidFill>
              <w14:schemeClr w14:val="tx1"/>
            </w14:solidFill>
          </w14:textFill>
        </w:rPr>
        <w:t>www.leicaiyun.com</w:t>
      </w:r>
      <w:r>
        <w:rPr>
          <w:rFonts w:hint="eastAsia"/>
          <w:color w:val="000000" w:themeColor="text1"/>
          <w14:textFill>
            <w14:solidFill>
              <w14:schemeClr w14:val="tx1"/>
            </w14:solidFill>
          </w14:textFill>
        </w:rPr>
        <w:t xml:space="preserve">/） </w:t>
      </w:r>
      <w:bookmarkEnd w:id="1"/>
    </w:p>
    <w:p w14:paraId="3C8340A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方式：供应商登录</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平台https://</w:t>
      </w:r>
      <w:r>
        <w:rPr>
          <w:rFonts w:hint="eastAsia"/>
          <w:color w:val="000000" w:themeColor="text1"/>
          <w:lang w:eastAsia="zh-CN"/>
          <w14:textFill>
            <w14:solidFill>
              <w14:schemeClr w14:val="tx1"/>
            </w14:solidFill>
          </w14:textFill>
        </w:rPr>
        <w:t>www.leicaiyun.com</w:t>
      </w:r>
      <w:r>
        <w:rPr>
          <w:rFonts w:hint="eastAsia"/>
          <w:color w:val="000000" w:themeColor="text1"/>
          <w14:textFill>
            <w14:solidFill>
              <w14:schemeClr w14:val="tx1"/>
            </w14:solidFill>
          </w14:textFill>
        </w:rPr>
        <w:t xml:space="preserve">/在线申请获取采购文件（进入“项目采购”应用，在获取采购文件菜单中选择项目，申请获取采购文件）。 </w:t>
      </w:r>
    </w:p>
    <w:p w14:paraId="7C9A4A9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售价（元）：0 </w:t>
      </w:r>
      <w:r>
        <w:rPr>
          <w:rFonts w:hint="eastAsia"/>
          <w:color w:val="000000" w:themeColor="text1"/>
          <w14:textFill>
            <w14:solidFill>
              <w14:schemeClr w14:val="tx1"/>
            </w14:solidFill>
          </w14:textFill>
        </w:rPr>
        <w:tab/>
      </w:r>
    </w:p>
    <w:p w14:paraId="3782F207">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四、提交响应文件截止时间、开标时间和地点</w:t>
      </w:r>
    </w:p>
    <w:p w14:paraId="098F489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提交响应文件截止时间： 2024年</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日09点</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分 （北京时间）</w:t>
      </w:r>
    </w:p>
    <w:p w14:paraId="3849BE4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投标地点（网址）：</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平台（https://</w:t>
      </w:r>
      <w:r>
        <w:rPr>
          <w:rFonts w:hint="eastAsia"/>
          <w:color w:val="000000" w:themeColor="text1"/>
          <w:lang w:eastAsia="zh-CN"/>
          <w14:textFill>
            <w14:solidFill>
              <w14:schemeClr w14:val="tx1"/>
            </w14:solidFill>
          </w14:textFill>
        </w:rPr>
        <w:t>www.leicaiyun.com</w:t>
      </w:r>
      <w:r>
        <w:rPr>
          <w:rFonts w:hint="eastAsia"/>
          <w:color w:val="000000" w:themeColor="text1"/>
          <w14:textFill>
            <w14:solidFill>
              <w14:schemeClr w14:val="tx1"/>
            </w14:solidFill>
          </w14:textFill>
        </w:rPr>
        <w:t xml:space="preserve">/） </w:t>
      </w:r>
    </w:p>
    <w:p w14:paraId="2405F0C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开标时间：2024年</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日09点</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 xml:space="preserve">分 </w:t>
      </w:r>
    </w:p>
    <w:p w14:paraId="16719D3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开标地点（网址）：</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平台（https://</w:t>
      </w:r>
      <w:r>
        <w:rPr>
          <w:rFonts w:hint="eastAsia"/>
          <w:color w:val="000000" w:themeColor="text1"/>
          <w:lang w:eastAsia="zh-CN"/>
          <w14:textFill>
            <w14:solidFill>
              <w14:schemeClr w14:val="tx1"/>
            </w14:solidFill>
          </w14:textFill>
        </w:rPr>
        <w:t>www.leicaiyun.com</w:t>
      </w:r>
      <w:r>
        <w:rPr>
          <w:rFonts w:hint="eastAsia"/>
          <w:color w:val="000000" w:themeColor="text1"/>
          <w14:textFill>
            <w14:solidFill>
              <w14:schemeClr w14:val="tx1"/>
            </w14:solidFill>
          </w14:textFill>
        </w:rPr>
        <w:t>/）</w:t>
      </w:r>
    </w:p>
    <w:p w14:paraId="1D952796">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五、公告期限 </w:t>
      </w:r>
    </w:p>
    <w:p w14:paraId="0701A0A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自本公告发布之日起1个工作日。</w:t>
      </w:r>
    </w:p>
    <w:p w14:paraId="71A3414C">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六、其他补充事宜</w:t>
      </w:r>
    </w:p>
    <w:p w14:paraId="43142EF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供应商认为交易文件使自己的权益受到损害的，可以自获取交易文件之日或者交易文件公告期限届满之日（公告期限届满后获取交易文件的，以公告期限届满之日为准）起3个工作日内，以书面形式向采购人和采购代理机构提出质疑。</w:t>
      </w:r>
    </w:p>
    <w:p w14:paraId="6A8772C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2.其他事项：（1）电子招投标的说明：①电子招投标：本项目以数据电文形式，依托“政府采购云平台（</w:t>
      </w:r>
      <w:r>
        <w:rPr>
          <w:rFonts w:hint="eastAsia"/>
          <w:color w:val="000000" w:themeColor="text1"/>
          <w:lang w:eastAsia="zh-CN"/>
          <w14:textFill>
            <w14:solidFill>
              <w14:schemeClr w14:val="tx1"/>
            </w14:solidFill>
          </w14:textFill>
        </w:rPr>
        <w:t>www.leicaiyun.com</w:t>
      </w:r>
      <w:r>
        <w:rPr>
          <w:rFonts w:hint="eastAsia"/>
          <w:color w:val="000000" w:themeColor="text1"/>
          <w14:textFill>
            <w14:solidFill>
              <w14:schemeClr w14:val="tx1"/>
            </w14:solidFill>
          </w14:textFill>
        </w:rPr>
        <w:t>）”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电子交易客户端”----前往“浙江政府采购网-下载专区-电子交易客户端”进行下载并安装；③交易文件的获取：使用账号登录或者使用CA登录</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平台；进入“项目采购”应用，在获取采购文件菜单中选择项目，获取交易文件；④响应文件的制作：在“</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电子交易客户端”中完成“填写基本信息”、“导入响应文件”、“标书关联”、“标书检查”、“电子签名”、“生成电子标书”等操作；⑤采购人、采购机构将依托</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平台完成本项目的电子交易活动，平台不接受未按上述方式获取交易文件的供应商进行投标活动； ⑥对未按上述方式获取交易文件的供应商对该文件提出的质疑，采购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投标无效；⑩具体操作指南：详见</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平台“服务中心-帮助文档-项目采购-操作流程-电子招投标-政府采购项目电子交易管理操作指南-供应商”。</w:t>
      </w:r>
    </w:p>
    <w:p w14:paraId="758CFE22">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七、对本次采购提出询问、质疑，请按以下方式联系</w:t>
      </w:r>
    </w:p>
    <w:p w14:paraId="692DA8E2">
      <w:pPr>
        <w:spacing w:line="360" w:lineRule="auto"/>
        <w:rPr>
          <w:color w:val="000000" w:themeColor="text1"/>
          <w14:textFill>
            <w14:solidFill>
              <w14:schemeClr w14:val="tx1"/>
            </w14:solidFill>
          </w14:textFill>
        </w:rPr>
      </w:pPr>
      <w:bookmarkStart w:id="2" w:name="_Toc28359009"/>
      <w:bookmarkStart w:id="3" w:name="_Toc28359086"/>
      <w:r>
        <w:rPr>
          <w:rFonts w:hint="eastAsia"/>
          <w:color w:val="000000" w:themeColor="text1"/>
          <w14:textFill>
            <w14:solidFill>
              <w14:schemeClr w14:val="tx1"/>
            </w14:solidFill>
          </w14:textFill>
        </w:rPr>
        <w:t>1.采购人信息</w:t>
      </w:r>
    </w:p>
    <w:p w14:paraId="49EF56A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名 称：浙江开放大学萧山学院</w:t>
      </w:r>
    </w:p>
    <w:p w14:paraId="703D0D5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地 址：杭州市萧山区南秀路1398号  </w:t>
      </w:r>
    </w:p>
    <w:p w14:paraId="76CA418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14:paraId="2B7A355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 徐国丽</w:t>
      </w:r>
    </w:p>
    <w:p w14:paraId="3DB1AA3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项目联系方式（询问）：13575723936</w:t>
      </w:r>
    </w:p>
    <w:p w14:paraId="389859E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2.采购代理机构信息</w:t>
      </w:r>
      <w:bookmarkEnd w:id="2"/>
      <w:bookmarkEnd w:id="3"/>
    </w:p>
    <w:p w14:paraId="6901DA98">
      <w:pPr>
        <w:spacing w:after="200"/>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名 称：浙江越锋项目管理有限公司</w:t>
      </w:r>
    </w:p>
    <w:p w14:paraId="4B29FED6">
      <w:pPr>
        <w:spacing w:after="200"/>
        <w:ind w:firstLine="240" w:firstLineChars="1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 xml:space="preserve">地 址： </w:t>
      </w:r>
      <w:r>
        <w:rPr>
          <w:rFonts w:hint="eastAsia"/>
          <w:color w:val="000000" w:themeColor="text1"/>
          <w:lang w:eastAsia="zh-CN"/>
          <w14:textFill>
            <w14:solidFill>
              <w14:schemeClr w14:val="tx1"/>
            </w14:solidFill>
          </w14:textFill>
        </w:rPr>
        <w:t>萧山区建设二路1657号</w:t>
      </w:r>
    </w:p>
    <w:p w14:paraId="6D98FCB3">
      <w:pPr>
        <w:spacing w:after="200"/>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14:paraId="79F2B20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项目联系人（询问）：陆先生   </w:t>
      </w:r>
    </w:p>
    <w:p w14:paraId="17CC04E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项目联系方式（询问）：15356114982</w:t>
      </w:r>
    </w:p>
    <w:p w14:paraId="1F3264D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质疑联系人：楼喆</w:t>
      </w:r>
    </w:p>
    <w:p w14:paraId="330A3C9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质疑联系方式：18069844756</w:t>
      </w:r>
    </w:p>
    <w:p w14:paraId="3FF3A54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1A8FA58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61CA36B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若对项目采购电子交易系统操作有疑问，可登录</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（https://</w:t>
      </w:r>
      <w:r>
        <w:rPr>
          <w:rFonts w:hint="eastAsia"/>
          <w:color w:val="000000" w:themeColor="text1"/>
          <w:lang w:eastAsia="zh-CN"/>
          <w14:textFill>
            <w14:solidFill>
              <w14:schemeClr w14:val="tx1"/>
            </w14:solidFill>
          </w14:textFill>
        </w:rPr>
        <w:t>www.leicaiyun.com</w:t>
      </w:r>
      <w:r>
        <w:rPr>
          <w:rFonts w:hint="eastAsia"/>
          <w:color w:val="000000" w:themeColor="text1"/>
          <w14:textFill>
            <w14:solidFill>
              <w14:schemeClr w14:val="tx1"/>
            </w14:solidFill>
          </w14:textFill>
        </w:rPr>
        <w:t>/），点击右侧咨询小采，获取采小蜜智能服务管家帮助，或拨打</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服务热线400-881-7190获取热线服务帮助。</w:t>
      </w:r>
    </w:p>
    <w:p w14:paraId="20BE034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CA问题联系电话（人工）：汇信CA 400-888-4636；天谷CA 400-087-8198。</w:t>
      </w:r>
    </w:p>
    <w:p w14:paraId="20CA72D9">
      <w:pPr>
        <w:spacing w:line="276"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第二部分 供应商须知</w:t>
      </w:r>
    </w:p>
    <w:p w14:paraId="1CB2CA9E">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前附表</w:t>
      </w:r>
    </w:p>
    <w:tbl>
      <w:tblPr>
        <w:tblStyle w:val="26"/>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14:paraId="4E48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262EACE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822" w:type="pct"/>
            <w:vAlign w:val="center"/>
          </w:tcPr>
          <w:p w14:paraId="654CF43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事项</w:t>
            </w:r>
          </w:p>
        </w:tc>
        <w:tc>
          <w:tcPr>
            <w:tcW w:w="3867" w:type="pct"/>
            <w:vAlign w:val="center"/>
          </w:tcPr>
          <w:p w14:paraId="7F1FEDD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本项目特别规定</w:t>
            </w:r>
          </w:p>
        </w:tc>
      </w:tr>
      <w:tr w14:paraId="38F0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7C566A1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22" w:type="pct"/>
            <w:vAlign w:val="center"/>
          </w:tcPr>
          <w:p w14:paraId="7634A09A">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项目属性与核心产品</w:t>
            </w:r>
          </w:p>
        </w:tc>
        <w:tc>
          <w:tcPr>
            <w:tcW w:w="3867" w:type="pct"/>
            <w:vAlign w:val="center"/>
          </w:tcPr>
          <w:p w14:paraId="07BE2588">
            <w:pPr>
              <w:spacing w:line="360" w:lineRule="auto"/>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)A货物类，单一产品或核心产品为：</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w:t>
            </w:r>
          </w:p>
          <w:p w14:paraId="1812F4F2">
            <w:pPr>
              <w:ind w:firstLine="220" w:firstLineChars="100"/>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)B服务类。</w:t>
            </w:r>
          </w:p>
        </w:tc>
      </w:tr>
      <w:tr w14:paraId="794E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7E4856E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822" w:type="pct"/>
            <w:vAlign w:val="center"/>
          </w:tcPr>
          <w:p w14:paraId="1BCDE54E">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采购标的对应的中小企业划分标准所属行业</w:t>
            </w:r>
          </w:p>
        </w:tc>
        <w:tc>
          <w:tcPr>
            <w:tcW w:w="3867" w:type="pct"/>
            <w:vAlign w:val="center"/>
          </w:tcPr>
          <w:p w14:paraId="4B87B11E">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586F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6D38DB9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822" w:type="pct"/>
            <w:vAlign w:val="center"/>
          </w:tcPr>
          <w:p w14:paraId="249F5C6F">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是否允许采购进口产品</w:t>
            </w:r>
          </w:p>
        </w:tc>
        <w:tc>
          <w:tcPr>
            <w:tcW w:w="3867" w:type="pct"/>
            <w:vAlign w:val="center"/>
          </w:tcPr>
          <w:p w14:paraId="19C2D7A7">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0D7F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vAlign w:val="center"/>
          </w:tcPr>
          <w:p w14:paraId="3FA978D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822" w:type="pct"/>
            <w:vAlign w:val="center"/>
          </w:tcPr>
          <w:p w14:paraId="792D158C">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分包</w:t>
            </w:r>
          </w:p>
        </w:tc>
        <w:tc>
          <w:tcPr>
            <w:tcW w:w="3867" w:type="pct"/>
            <w:vAlign w:val="center"/>
          </w:tcPr>
          <w:p w14:paraId="7DDC19D3">
            <w:pPr>
              <w:snapToGrid w:val="0"/>
              <w:spacing w:line="360" w:lineRule="auto"/>
              <w:rPr>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 ）</w:t>
            </w:r>
            <w:r>
              <w:rPr>
                <w:rFonts w:hint="eastAsia"/>
                <w:color w:val="000000" w:themeColor="text1"/>
                <w:sz w:val="22"/>
                <w14:textFill>
                  <w14:solidFill>
                    <w14:schemeClr w14:val="tx1"/>
                  </w14:solidFill>
                </w14:textFill>
              </w:rPr>
              <w:t>A同意将非主体、非关键性的</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工作分包。</w:t>
            </w:r>
          </w:p>
          <w:p w14:paraId="0935F4FA">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B不同意分包。</w:t>
            </w:r>
          </w:p>
        </w:tc>
      </w:tr>
      <w:tr w14:paraId="2DB7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6FCC7E7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822" w:type="pct"/>
            <w:vAlign w:val="center"/>
          </w:tcPr>
          <w:p w14:paraId="02091F74">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开标前答疑会或现场考察</w:t>
            </w:r>
          </w:p>
        </w:tc>
        <w:tc>
          <w:tcPr>
            <w:tcW w:w="3867" w:type="pct"/>
            <w:vAlign w:val="center"/>
          </w:tcPr>
          <w:p w14:paraId="07AC189D">
            <w:pPr>
              <w:spacing w:line="360" w:lineRule="auto"/>
              <w:rPr>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A不组织。</w:t>
            </w:r>
          </w:p>
          <w:p w14:paraId="3748E77E">
            <w:pPr>
              <w:spacing w:line="360" w:lineRule="auto"/>
              <w:rPr>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  ）</w:t>
            </w:r>
            <w:r>
              <w:rPr>
                <w:rFonts w:hint="eastAsia"/>
                <w:color w:val="000000" w:themeColor="text1"/>
                <w:sz w:val="22"/>
                <w14:textFill>
                  <w14:solidFill>
                    <w14:schemeClr w14:val="tx1"/>
                  </w14:solidFill>
                </w14:textFill>
              </w:rPr>
              <w:t>B组织，时间：</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,地点：</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w:t>
            </w:r>
          </w:p>
          <w:p w14:paraId="6E3848BD">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联系人：</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；其他说明：</w:t>
            </w:r>
          </w:p>
        </w:tc>
      </w:tr>
      <w:tr w14:paraId="10F8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1" w:type="pct"/>
            <w:vAlign w:val="center"/>
          </w:tcPr>
          <w:p w14:paraId="7CAA03A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822" w:type="pct"/>
            <w:vAlign w:val="center"/>
          </w:tcPr>
          <w:p w14:paraId="41020A6F">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样品提供</w:t>
            </w:r>
          </w:p>
        </w:tc>
        <w:tc>
          <w:tcPr>
            <w:tcW w:w="3867" w:type="pct"/>
            <w:vAlign w:val="center"/>
          </w:tcPr>
          <w:p w14:paraId="5171740E">
            <w:pPr>
              <w:rPr>
                <w:color w:val="000000" w:themeColor="text1"/>
                <w14:textFill>
                  <w14:solidFill>
                    <w14:schemeClr w14:val="tx1"/>
                  </w14:solidFill>
                </w14:textFill>
              </w:rPr>
            </w:pPr>
            <w:r>
              <w:rPr>
                <w:rFonts w:hint="eastAsia"/>
                <w:bCs/>
                <w:color w:val="000000" w:themeColor="text1"/>
                <w:sz w:val="22"/>
                <w14:textFill>
                  <w14:solidFill>
                    <w14:schemeClr w14:val="tx1"/>
                  </w14:solidFill>
                </w14:textFill>
              </w:rPr>
              <w:t>/</w:t>
            </w:r>
          </w:p>
        </w:tc>
      </w:tr>
      <w:tr w14:paraId="3662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432E417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411" w:type="dxa"/>
            <w:vAlign w:val="center"/>
          </w:tcPr>
          <w:p w14:paraId="47015DDD">
            <w:pPr>
              <w:snapToGrid w:val="0"/>
              <w:spacing w:line="360" w:lineRule="auto"/>
              <w:jc w:val="center"/>
              <w:rPr>
                <w:color w:val="000000" w:themeColor="text1"/>
                <w14:textFill>
                  <w14:solidFill>
                    <w14:schemeClr w14:val="tx1"/>
                  </w14:solidFill>
                </w14:textFill>
              </w:rPr>
            </w:pPr>
            <w:r>
              <w:rPr>
                <w:rFonts w:hint="eastAsia"/>
                <w:b/>
                <w:color w:val="000000" w:themeColor="text1"/>
                <w14:textFill>
                  <w14:solidFill>
                    <w14:schemeClr w14:val="tx1"/>
                  </w14:solidFill>
                </w14:textFill>
              </w:rPr>
              <w:t>现场演示</w:t>
            </w:r>
          </w:p>
        </w:tc>
        <w:tc>
          <w:tcPr>
            <w:tcW w:w="6640" w:type="dxa"/>
            <w:vAlign w:val="center"/>
          </w:tcPr>
          <w:p w14:paraId="17B05B52">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eastAsia="宋体"/>
                <w:color w:val="000000" w:themeColor="text1"/>
                <w:lang w:eastAsia="zh-CN"/>
                <w14:textFill>
                  <w14:solidFill>
                    <w14:schemeClr w14:val="tx1"/>
                  </w14:solidFill>
                </w14:textFill>
              </w:rPr>
            </w:pPr>
            <w:r>
              <w:rPr>
                <w:rFonts w:hint="eastAsia" w:cs="宋体"/>
                <w:kern w:val="0"/>
                <w:sz w:val="24"/>
                <w:szCs w:val="24"/>
                <w:highlight w:val="none"/>
                <w:lang w:val="en-US" w:eastAsia="zh-CN"/>
              </w:rPr>
              <w:t>/</w:t>
            </w:r>
          </w:p>
        </w:tc>
      </w:tr>
      <w:tr w14:paraId="5314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01CA289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822" w:type="pct"/>
            <w:vAlign w:val="center"/>
          </w:tcPr>
          <w:p w14:paraId="436AC2BB">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供应商应当提供的资格、资信证明文件</w:t>
            </w:r>
          </w:p>
        </w:tc>
        <w:tc>
          <w:tcPr>
            <w:tcW w:w="3867" w:type="pct"/>
            <w:vAlign w:val="center"/>
          </w:tcPr>
          <w:p w14:paraId="24600381">
            <w:pPr>
              <w:spacing w:line="360" w:lineRule="auto"/>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（1）资格证明文件：见交易文件第二部分11.1。</w:t>
            </w:r>
          </w:p>
          <w:p w14:paraId="2885C2D5">
            <w:pPr>
              <w:rPr>
                <w:color w:val="000000" w:themeColor="text1"/>
                <w:sz w:val="22"/>
                <w:lang w:val="zh-CN"/>
                <w14:textFill>
                  <w14:solidFill>
                    <w14:schemeClr w14:val="tx1"/>
                  </w14:solidFill>
                </w14:textFill>
              </w:rPr>
            </w:pPr>
            <w:r>
              <w:rPr>
                <w:rFonts w:hint="eastAsia"/>
                <w:color w:val="000000" w:themeColor="text1"/>
                <w:sz w:val="22"/>
                <w:lang w:val="zh-CN"/>
                <w14:textFill>
                  <w14:solidFill>
                    <w14:schemeClr w14:val="tx1"/>
                  </w14:solidFill>
                </w14:textFill>
              </w:rPr>
              <w:t>供应商未提供有效的资格证明文件的，视为供应商不具备交易文件中规定的资格要求，投标无效。</w:t>
            </w:r>
          </w:p>
          <w:p w14:paraId="4086E988">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（2）资信证明文件：根据交易文件第四部分评标标准提供。</w:t>
            </w:r>
          </w:p>
        </w:tc>
      </w:tr>
      <w:tr w14:paraId="6389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691CFB8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822" w:type="pct"/>
            <w:vAlign w:val="center"/>
          </w:tcPr>
          <w:p w14:paraId="73E61F46">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节能产品、环境标志产品</w:t>
            </w:r>
          </w:p>
        </w:tc>
        <w:tc>
          <w:tcPr>
            <w:tcW w:w="3867" w:type="pct"/>
            <w:vAlign w:val="center"/>
          </w:tcPr>
          <w:p w14:paraId="1E31EE6D">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3D72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3D7C949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822" w:type="pct"/>
            <w:vAlign w:val="center"/>
          </w:tcPr>
          <w:p w14:paraId="291B2805">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报价要求</w:t>
            </w:r>
          </w:p>
        </w:tc>
        <w:tc>
          <w:tcPr>
            <w:tcW w:w="3867" w:type="pct"/>
            <w:vAlign w:val="center"/>
          </w:tcPr>
          <w:p w14:paraId="31116047">
            <w:pPr>
              <w:spacing w:line="360" w:lineRule="auto"/>
              <w:ind w:firstLine="440" w:firstLineChars="200"/>
              <w:rPr>
                <w:bCs/>
                <w:color w:val="000000" w:themeColor="text1"/>
                <w:sz w:val="22"/>
                <w:lang w:val="zh-CN"/>
                <w14:textFill>
                  <w14:solidFill>
                    <w14:schemeClr w14:val="tx1"/>
                  </w14:solidFill>
                </w14:textFill>
              </w:rPr>
            </w:pPr>
            <w:r>
              <w:rPr>
                <w:rFonts w:hint="eastAsia"/>
                <w:bCs/>
                <w:color w:val="000000" w:themeColor="text1"/>
                <w:sz w:val="22"/>
                <w:lang w:val="zh-CN"/>
                <w14:textFill>
                  <w14:solidFill>
                    <w14:schemeClr w14:val="tx1"/>
                  </w14:solidFill>
                </w14:textFill>
              </w:rPr>
              <w:t>有关本项目实施所需的所有费用（含税费）均计入报价。</w:t>
            </w:r>
            <w:r>
              <w:rPr>
                <w:rFonts w:hint="eastAsia"/>
                <w:bCs/>
                <w:color w:val="000000" w:themeColor="text1"/>
                <w:sz w:val="22"/>
                <w14:textFill>
                  <w14:solidFill>
                    <w14:schemeClr w14:val="tx1"/>
                  </w14:solidFill>
                </w14:textFill>
              </w:rPr>
              <w:t>开标一览表（报价表）是报价的唯一载体</w:t>
            </w:r>
            <w:r>
              <w:rPr>
                <w:rFonts w:hint="eastAsia"/>
                <w:bCs/>
                <w:color w:val="000000" w:themeColor="text1"/>
                <w:sz w:val="22"/>
                <w:lang w:val="zh-CN"/>
                <w14:textFill>
                  <w14:solidFill>
                    <w14:schemeClr w14:val="tx1"/>
                  </w14:solidFill>
                </w14:textFill>
              </w:rPr>
              <w:t>。响应文件中价格全部采用人民币报价。交易文件未列明，而供应商认为必需的费用也需列入报价。提醒：验收时检测费用由采购人承担，不包含在投标总价中。</w:t>
            </w:r>
          </w:p>
          <w:p w14:paraId="45B3203B">
            <w:pPr>
              <w:spacing w:line="360" w:lineRule="auto"/>
              <w:rPr>
                <w:bCs/>
                <w:color w:val="000000" w:themeColor="text1"/>
                <w:sz w:val="22"/>
                <w:lang w:val="zh-CN"/>
                <w14:textFill>
                  <w14:solidFill>
                    <w14:schemeClr w14:val="tx1"/>
                  </w14:solidFill>
                </w14:textFill>
              </w:rPr>
            </w:pPr>
            <w:r>
              <w:rPr>
                <w:rFonts w:hint="eastAsia"/>
                <w:bCs/>
                <w:color w:val="000000" w:themeColor="text1"/>
                <w:sz w:val="22"/>
                <w:lang w:val="zh-CN"/>
                <w14:textFill>
                  <w14:solidFill>
                    <w14:schemeClr w14:val="tx1"/>
                  </w14:solidFill>
                </w14:textFill>
              </w:rPr>
              <w:t>投标报价出现下列情形的，投标无效：</w:t>
            </w:r>
          </w:p>
          <w:p w14:paraId="33F3E9EF">
            <w:pPr>
              <w:spacing w:line="360" w:lineRule="auto"/>
              <w:ind w:firstLine="440" w:firstLineChars="200"/>
              <w:rPr>
                <w:bCs/>
                <w:color w:val="000000" w:themeColor="text1"/>
                <w:sz w:val="22"/>
                <w:lang w:val="zh-CN"/>
                <w14:textFill>
                  <w14:solidFill>
                    <w14:schemeClr w14:val="tx1"/>
                  </w14:solidFill>
                </w14:textFill>
              </w:rPr>
            </w:pPr>
            <w:r>
              <w:rPr>
                <w:rFonts w:hint="eastAsia"/>
                <w:bCs/>
                <w:color w:val="000000" w:themeColor="text1"/>
                <w:sz w:val="22"/>
                <w:lang w:val="zh-CN"/>
                <w14:textFill>
                  <w14:solidFill>
                    <w14:schemeClr w14:val="tx1"/>
                  </w14:solidFill>
                </w14:textFill>
              </w:rPr>
              <w:t>响应文件出现不是唯一的、有选择性投标报价的；</w:t>
            </w:r>
          </w:p>
          <w:p w14:paraId="416D8345">
            <w:pPr>
              <w:spacing w:line="360" w:lineRule="auto"/>
              <w:ind w:firstLine="440" w:firstLineChars="200"/>
              <w:rPr>
                <w:bCs/>
                <w:color w:val="000000" w:themeColor="text1"/>
                <w:sz w:val="22"/>
                <w:lang w:val="zh-CN"/>
                <w14:textFill>
                  <w14:solidFill>
                    <w14:schemeClr w14:val="tx1"/>
                  </w14:solidFill>
                </w14:textFill>
              </w:rPr>
            </w:pPr>
            <w:r>
              <w:rPr>
                <w:rFonts w:hint="eastAsia"/>
                <w:bCs/>
                <w:color w:val="000000" w:themeColor="text1"/>
                <w:sz w:val="22"/>
                <w:lang w:val="zh-CN"/>
                <w14:textFill>
                  <w14:solidFill>
                    <w14:schemeClr w14:val="tx1"/>
                  </w14:solidFill>
                </w14:textFill>
              </w:rPr>
              <w:t>投标报价超过交易文件中规定的预算金额或者最高限价的;</w:t>
            </w:r>
          </w:p>
          <w:p w14:paraId="0AC78167">
            <w:pPr>
              <w:spacing w:line="360" w:lineRule="auto"/>
              <w:ind w:firstLine="440" w:firstLineChars="200"/>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p>
          <w:p w14:paraId="77D8B542">
            <w:pPr>
              <w:spacing w:line="360" w:lineRule="auto"/>
              <w:ind w:firstLine="440" w:firstLineChars="200"/>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供应商对根据修正原则修正后的报价不确认的。</w:t>
            </w:r>
          </w:p>
          <w:p w14:paraId="52B327A2">
            <w:pPr>
              <w:spacing w:line="360" w:lineRule="auto"/>
              <w:ind w:firstLine="440" w:firstLineChars="200"/>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资格文件、商务技术文件与报价文件未分开制作。</w:t>
            </w:r>
          </w:p>
          <w:p w14:paraId="47D0929A">
            <w:pPr>
              <w:rPr>
                <w:color w:val="000000" w:themeColor="text1"/>
                <w14:textFill>
                  <w14:solidFill>
                    <w14:schemeClr w14:val="tx1"/>
                  </w14:solidFill>
                </w14:textFill>
              </w:rPr>
            </w:pPr>
          </w:p>
        </w:tc>
      </w:tr>
      <w:tr w14:paraId="4E22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4F1E689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822" w:type="pct"/>
            <w:vAlign w:val="center"/>
          </w:tcPr>
          <w:p w14:paraId="0FD654E6">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中小企业信用融资</w:t>
            </w:r>
          </w:p>
        </w:tc>
        <w:tc>
          <w:tcPr>
            <w:tcW w:w="3867" w:type="pct"/>
            <w:vAlign w:val="center"/>
          </w:tcPr>
          <w:p w14:paraId="12312D6B">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5563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2BA3B4F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822" w:type="pct"/>
            <w:vAlign w:val="center"/>
          </w:tcPr>
          <w:p w14:paraId="1FCB46A4">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备份响应文件</w:t>
            </w:r>
          </w:p>
        </w:tc>
        <w:tc>
          <w:tcPr>
            <w:tcW w:w="3867" w:type="pct"/>
            <w:vAlign w:val="center"/>
          </w:tcPr>
          <w:p w14:paraId="09EE9C7B">
            <w:pPr>
              <w:pStyle w:val="16"/>
              <w:spacing w:line="360" w:lineRule="auto"/>
              <w:rPr>
                <w:rFonts w:hAnsi="宋体" w:cs="宋体"/>
                <w:color w:val="000000" w:themeColor="text1"/>
                <w:kern w:val="28"/>
                <w:sz w:val="22"/>
                <w:szCs w:val="24"/>
                <w14:textFill>
                  <w14:solidFill>
                    <w14:schemeClr w14:val="tx1"/>
                  </w14:solidFill>
                </w14:textFill>
              </w:rPr>
            </w:pPr>
            <w:r>
              <w:rPr>
                <w:rFonts w:hint="eastAsia" w:hAnsi="宋体" w:cs="宋体"/>
                <w:color w:val="000000" w:themeColor="text1"/>
                <w:kern w:val="28"/>
                <w:sz w:val="22"/>
                <w:szCs w:val="24"/>
                <w14:textFill>
                  <w14:solidFill>
                    <w14:schemeClr w14:val="tx1"/>
                  </w14:solidFill>
                </w14:textFill>
              </w:rPr>
              <w:t>备份文件是否收取：可提交备份</w:t>
            </w:r>
          </w:p>
          <w:p w14:paraId="0066B1CD">
            <w:pPr>
              <w:pStyle w:val="16"/>
              <w:spacing w:line="360" w:lineRule="auto"/>
              <w:ind w:left="880" w:hanging="880" w:hangingChars="400"/>
              <w:rPr>
                <w:rFonts w:hAnsi="宋体" w:cs="宋体"/>
                <w:color w:val="000000" w:themeColor="text1"/>
                <w:kern w:val="28"/>
                <w:sz w:val="22"/>
                <w:szCs w:val="24"/>
                <w14:textFill>
                  <w14:solidFill>
                    <w14:schemeClr w14:val="tx1"/>
                  </w14:solidFill>
                </w14:textFill>
              </w:rPr>
            </w:pPr>
            <w:r>
              <w:rPr>
                <w:rFonts w:hint="eastAsia" w:hAnsi="宋体" w:cs="宋体"/>
                <w:color w:val="000000" w:themeColor="text1"/>
                <w:kern w:val="28"/>
                <w:sz w:val="22"/>
                <w:szCs w:val="24"/>
                <w14:textFill>
                  <w14:solidFill>
                    <w14:schemeClr w14:val="tx1"/>
                  </w14:solidFill>
                </w14:textFill>
              </w:rPr>
              <w:t>备份响应文件送达地点：</w:t>
            </w:r>
            <w:r>
              <w:rPr>
                <w:rFonts w:hint="eastAsia" w:hAnsi="宋体" w:cs="宋体"/>
                <w:color w:val="000000" w:themeColor="text1"/>
                <w:kern w:val="0"/>
                <w:sz w:val="24"/>
                <w:lang w:eastAsia="zh-CN"/>
                <w14:textFill>
                  <w14:solidFill>
                    <w14:schemeClr w14:val="tx1"/>
                  </w14:solidFill>
                </w14:textFill>
              </w:rPr>
              <w:t>萧山区建设二路1657号</w:t>
            </w:r>
            <w:r>
              <w:rPr>
                <w:rFonts w:hint="eastAsia" w:hAnsi="宋体" w:cs="宋体"/>
                <w:color w:val="000000" w:themeColor="text1"/>
                <w:kern w:val="28"/>
                <w:sz w:val="22"/>
                <w:szCs w:val="24"/>
                <w14:textFill>
                  <w14:solidFill>
                    <w14:schemeClr w14:val="tx1"/>
                  </w14:solidFill>
                </w14:textFill>
              </w:rPr>
              <w:t>；</w:t>
            </w:r>
          </w:p>
          <w:p w14:paraId="4E595C29">
            <w:pPr>
              <w:pStyle w:val="16"/>
              <w:spacing w:line="360" w:lineRule="auto"/>
              <w:ind w:left="880" w:hanging="880" w:hangingChars="400"/>
              <w:rPr>
                <w:rFonts w:hAnsi="宋体" w:cs="宋体"/>
                <w:color w:val="000000" w:themeColor="text1"/>
                <w:sz w:val="22"/>
                <w:szCs w:val="24"/>
                <w14:textFill>
                  <w14:solidFill>
                    <w14:schemeClr w14:val="tx1"/>
                  </w14:solidFill>
                </w14:textFill>
              </w:rPr>
            </w:pPr>
            <w:r>
              <w:rPr>
                <w:rFonts w:hint="eastAsia" w:hAnsi="宋体" w:cs="宋体"/>
                <w:color w:val="000000" w:themeColor="text1"/>
                <w:kern w:val="28"/>
                <w:sz w:val="22"/>
                <w:szCs w:val="24"/>
                <w14:textFill>
                  <w14:solidFill>
                    <w14:schemeClr w14:val="tx1"/>
                  </w14:solidFill>
                </w14:textFill>
              </w:rPr>
              <w:t>备份响应文件签收人员联系电话：陆先生</w:t>
            </w:r>
            <w:r>
              <w:rPr>
                <w:rFonts w:hint="eastAsia" w:cs="宋体"/>
                <w:color w:val="000000" w:themeColor="text1"/>
                <w:sz w:val="24"/>
                <w14:textFill>
                  <w14:solidFill>
                    <w14:schemeClr w14:val="tx1"/>
                  </w14:solidFill>
                </w14:textFill>
              </w:rPr>
              <w:t>15356114982</w:t>
            </w:r>
            <w:r>
              <w:rPr>
                <w:rFonts w:hint="eastAsia" w:hAnsi="宋体" w:cs="宋体"/>
                <w:color w:val="000000" w:themeColor="text1"/>
                <w:sz w:val="22"/>
                <w14:textFill>
                  <w14:solidFill>
                    <w14:schemeClr w14:val="tx1"/>
                  </w14:solidFill>
                </w14:textFill>
              </w:rPr>
              <w:t xml:space="preserve"> </w:t>
            </w:r>
            <w:r>
              <w:rPr>
                <w:rFonts w:hint="eastAsia" w:hAnsi="宋体" w:cs="宋体"/>
                <w:color w:val="000000" w:themeColor="text1"/>
                <w:sz w:val="22"/>
                <w:szCs w:val="24"/>
                <w14:textFill>
                  <w14:solidFill>
                    <w14:schemeClr w14:val="tx1"/>
                  </w14:solidFill>
                </w14:textFill>
              </w:rPr>
              <w:t>。</w:t>
            </w:r>
          </w:p>
          <w:p w14:paraId="0AA8926B">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采购人、采购机构不强制或变相强制供应商提交备份文件。提交的备份文件格式无效（.bfbs格式）或其他因供应商自身制作不当导致的无法使用的情况由供应商自行负责。</w:t>
            </w:r>
          </w:p>
        </w:tc>
      </w:tr>
      <w:tr w14:paraId="37C3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311" w:type="pct"/>
            <w:vAlign w:val="center"/>
          </w:tcPr>
          <w:p w14:paraId="0BFB40C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822" w:type="pct"/>
            <w:vAlign w:val="center"/>
          </w:tcPr>
          <w:p w14:paraId="06B06DD7">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采购机构代理费用</w:t>
            </w:r>
          </w:p>
        </w:tc>
        <w:tc>
          <w:tcPr>
            <w:tcW w:w="3867" w:type="pct"/>
            <w:vAlign w:val="center"/>
          </w:tcPr>
          <w:p w14:paraId="4CAE18C2">
            <w:pPr>
              <w:rPr>
                <w:color w:val="000000" w:themeColor="text1"/>
                <w:sz w:val="22"/>
                <w:lang w:val="zh-CN"/>
                <w14:textFill>
                  <w14:solidFill>
                    <w14:schemeClr w14:val="tx1"/>
                  </w14:solidFill>
                </w14:textFill>
              </w:rPr>
            </w:pPr>
            <w:r>
              <w:rPr>
                <w:rFonts w:hint="eastAsia"/>
                <w:color w:val="000000" w:themeColor="text1"/>
                <w:sz w:val="22"/>
                <w:lang w:val="zh-CN"/>
                <w14:textFill>
                  <w14:solidFill>
                    <w14:schemeClr w14:val="tx1"/>
                  </w14:solidFill>
                </w14:textFill>
              </w:rPr>
              <w:t>本项目</w:t>
            </w:r>
            <w:r>
              <w:rPr>
                <w:rFonts w:hint="eastAsia"/>
                <w:color w:val="000000" w:themeColor="text1"/>
                <w:sz w:val="22"/>
                <w14:textFill>
                  <w14:solidFill>
                    <w14:schemeClr w14:val="tx1"/>
                  </w14:solidFill>
                </w14:textFill>
              </w:rPr>
              <w:t>的</w:t>
            </w:r>
            <w:r>
              <w:rPr>
                <w:rFonts w:hint="eastAsia"/>
                <w:color w:val="000000" w:themeColor="text1"/>
                <w:sz w:val="22"/>
                <w:lang w:val="zh-CN"/>
                <w14:textFill>
                  <w14:solidFill>
                    <w14:schemeClr w14:val="tx1"/>
                  </w14:solidFill>
                </w14:textFill>
              </w:rPr>
              <w:t>专家评审费和招标代理服务费由中标人支付。专家评审费</w:t>
            </w:r>
            <w:r>
              <w:rPr>
                <w:rFonts w:hint="eastAsia"/>
                <w:color w:val="000000" w:themeColor="text1"/>
                <w:sz w:val="22"/>
                <w:lang w:val="en-US" w:eastAsia="zh-CN"/>
                <w14:textFill>
                  <w14:solidFill>
                    <w14:schemeClr w14:val="tx1"/>
                  </w14:solidFill>
                </w14:textFill>
              </w:rPr>
              <w:t>和</w:t>
            </w:r>
            <w:r>
              <w:rPr>
                <w:rFonts w:hint="eastAsia"/>
                <w:color w:val="000000" w:themeColor="text1"/>
                <w:sz w:val="22"/>
                <w:lang w:val="zh-CN"/>
                <w14:textFill>
                  <w14:solidFill>
                    <w14:schemeClr w14:val="tx1"/>
                  </w14:solidFill>
                </w14:textFill>
              </w:rPr>
              <w:t>招标代理服务费</w:t>
            </w:r>
            <w:r>
              <w:rPr>
                <w:rFonts w:hint="eastAsia"/>
                <w:color w:val="000000" w:themeColor="text1"/>
                <w:sz w:val="22"/>
                <w:lang w:val="en-US" w:eastAsia="zh-CN"/>
                <w14:textFill>
                  <w14:solidFill>
                    <w14:schemeClr w14:val="tx1"/>
                  </w14:solidFill>
                </w14:textFill>
              </w:rPr>
              <w:t>按陆仟伍佰元</w:t>
            </w:r>
            <w:r>
              <w:rPr>
                <w:rFonts w:hint="eastAsia"/>
                <w:color w:val="000000" w:themeColor="text1"/>
                <w:sz w:val="22"/>
                <w:lang w:val="zh-CN"/>
                <w14:textFill>
                  <w14:solidFill>
                    <w14:schemeClr w14:val="tx1"/>
                  </w14:solidFill>
                </w14:textFill>
              </w:rPr>
              <w:t>计取。结算方式及时间为：中标人在领取中标通知书</w:t>
            </w:r>
            <w:r>
              <w:rPr>
                <w:rFonts w:hint="eastAsia"/>
                <w:color w:val="000000" w:themeColor="text1"/>
                <w:sz w:val="22"/>
                <w14:textFill>
                  <w14:solidFill>
                    <w14:schemeClr w14:val="tx1"/>
                  </w14:solidFill>
                </w14:textFill>
              </w:rPr>
              <w:t>前</w:t>
            </w:r>
            <w:r>
              <w:rPr>
                <w:rFonts w:hint="eastAsia"/>
                <w:color w:val="000000" w:themeColor="text1"/>
                <w:sz w:val="22"/>
                <w:lang w:val="zh-CN"/>
                <w14:textFill>
                  <w14:solidFill>
                    <w14:schemeClr w14:val="tx1"/>
                  </w14:solidFill>
                </w14:textFill>
              </w:rPr>
              <w:t>向采购代理机构支付专家评审费和招标代理服务费。</w:t>
            </w:r>
          </w:p>
          <w:p w14:paraId="159982E8">
            <w:pPr>
              <w:rPr>
                <w:rFonts w:hint="eastAsia"/>
                <w:color w:val="000000" w:themeColor="text1"/>
                <w:sz w:val="22"/>
                <w:lang w:val="zh-CN"/>
                <w14:textFill>
                  <w14:solidFill>
                    <w14:schemeClr w14:val="tx1"/>
                  </w14:solidFill>
                </w14:textFill>
              </w:rPr>
            </w:pPr>
            <w:r>
              <w:rPr>
                <w:rFonts w:hint="eastAsia"/>
                <w:color w:val="000000" w:themeColor="text1"/>
                <w:sz w:val="22"/>
                <w:lang w:val="zh-CN"/>
                <w14:textFill>
                  <w14:solidFill>
                    <w14:schemeClr w14:val="tx1"/>
                  </w14:solidFill>
                </w14:textFill>
              </w:rPr>
              <w:t>公司名称：浙江越锋项目管理有限公司萧山分公司</w:t>
            </w:r>
          </w:p>
          <w:p w14:paraId="4D37D94C">
            <w:pPr>
              <w:rPr>
                <w:color w:val="000000" w:themeColor="text1"/>
                <w14:textFill>
                  <w14:solidFill>
                    <w14:schemeClr w14:val="tx1"/>
                  </w14:solidFill>
                </w14:textFill>
              </w:rPr>
            </w:pPr>
            <w:r>
              <w:rPr>
                <w:rFonts w:hint="eastAsia"/>
                <w:color w:val="000000" w:themeColor="text1"/>
                <w:sz w:val="22"/>
                <w:lang w:val="zh-CN"/>
                <w14:textFill>
                  <w14:solidFill>
                    <w14:schemeClr w14:val="tx1"/>
                  </w14:solidFill>
                </w14:textFill>
              </w:rPr>
              <w:t>开户行及账号：杭州银行萧山支行3301040160009331375</w:t>
            </w:r>
          </w:p>
        </w:tc>
      </w:tr>
      <w:tr w14:paraId="1506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33E7D27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822" w:type="pct"/>
            <w:vAlign w:val="center"/>
          </w:tcPr>
          <w:p w14:paraId="5131A08A">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履约保证金</w:t>
            </w:r>
          </w:p>
        </w:tc>
        <w:tc>
          <w:tcPr>
            <w:tcW w:w="3867" w:type="pct"/>
            <w:vAlign w:val="center"/>
          </w:tcPr>
          <w:p w14:paraId="3B7B4639">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6030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3CEC2D8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822" w:type="pct"/>
            <w:vAlign w:val="center"/>
          </w:tcPr>
          <w:p w14:paraId="48C2A05C">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资格审查和信用信息审查</w:t>
            </w:r>
          </w:p>
        </w:tc>
        <w:tc>
          <w:tcPr>
            <w:tcW w:w="3867" w:type="pct"/>
            <w:vAlign w:val="center"/>
          </w:tcPr>
          <w:p w14:paraId="48EB1155">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本项目由采购机构进行资格文件及信用信息查询。</w:t>
            </w:r>
          </w:p>
        </w:tc>
      </w:tr>
      <w:tr w14:paraId="27B9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2993FF8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822" w:type="pct"/>
            <w:vAlign w:val="center"/>
          </w:tcPr>
          <w:p w14:paraId="273E7D3C">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质疑接收人及答复</w:t>
            </w:r>
          </w:p>
        </w:tc>
        <w:tc>
          <w:tcPr>
            <w:tcW w:w="3867" w:type="pct"/>
            <w:vAlign w:val="center"/>
          </w:tcPr>
          <w:p w14:paraId="30D09490">
            <w:pPr>
              <w:snapToGrid w:val="0"/>
              <w:spacing w:line="360" w:lineRule="auto"/>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采购人、采购机构质疑接收人、联系方式：详见公告。</w:t>
            </w:r>
          </w:p>
        </w:tc>
      </w:tr>
      <w:tr w14:paraId="030C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14:paraId="23ADE8F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822" w:type="pct"/>
            <w:vAlign w:val="center"/>
          </w:tcPr>
          <w:p w14:paraId="2C47A698">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特别说明</w:t>
            </w:r>
          </w:p>
        </w:tc>
        <w:tc>
          <w:tcPr>
            <w:tcW w:w="3867" w:type="pct"/>
            <w:vAlign w:val="center"/>
          </w:tcPr>
          <w:p w14:paraId="6799C96B">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本项目通用总则条款与前附表等专用特别规定有冲突之处，以专用条款（特别规定）为准</w:t>
            </w:r>
          </w:p>
        </w:tc>
      </w:tr>
    </w:tbl>
    <w:p w14:paraId="4E31200C">
      <w:pPr>
        <w:rPr>
          <w:color w:val="000000" w:themeColor="text1"/>
          <w14:textFill>
            <w14:solidFill>
              <w14:schemeClr w14:val="tx1"/>
            </w14:solidFill>
          </w14:textFill>
        </w:rPr>
      </w:pPr>
    </w:p>
    <w:p w14:paraId="46DB3791">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760DC2F">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一、总则</w:t>
      </w:r>
    </w:p>
    <w:p w14:paraId="782262D2">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适用范围</w:t>
      </w:r>
    </w:p>
    <w:p w14:paraId="6A4A5D5A">
      <w:pPr>
        <w:rPr>
          <w:color w:val="000000" w:themeColor="text1"/>
          <w14:textFill>
            <w14:solidFill>
              <w14:schemeClr w14:val="tx1"/>
            </w14:solidFill>
          </w14:textFill>
        </w:rPr>
      </w:pPr>
      <w:r>
        <w:rPr>
          <w:rFonts w:hint="eastAsia"/>
          <w:color w:val="000000" w:themeColor="text1"/>
          <w14:textFill>
            <w14:solidFill>
              <w14:schemeClr w14:val="tx1"/>
            </w14:solidFill>
          </w14:textFill>
        </w:rPr>
        <w:t>本交易文件适用于该项目的招标、投标、开标、资格审查及信用信息查询、评标、定标、合同、验收等行为（法律、法规另有规定的，从其规定）。</w:t>
      </w:r>
    </w:p>
    <w:p w14:paraId="5C3F82BC">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2.定义</w:t>
      </w:r>
    </w:p>
    <w:p w14:paraId="440E023B">
      <w:pPr>
        <w:rPr>
          <w:color w:val="000000" w:themeColor="text1"/>
          <w14:textFill>
            <w14:solidFill>
              <w14:schemeClr w14:val="tx1"/>
            </w14:solidFill>
          </w14:textFill>
        </w:rPr>
      </w:pPr>
      <w:r>
        <w:rPr>
          <w:rFonts w:hint="eastAsia"/>
          <w:color w:val="000000" w:themeColor="text1"/>
          <w14:textFill>
            <w14:solidFill>
              <w14:schemeClr w14:val="tx1"/>
            </w14:solidFill>
          </w14:textFill>
        </w:rPr>
        <w:t>2.1 “采购人”系指交易公告中载明的本项目的采购人。</w:t>
      </w:r>
    </w:p>
    <w:p w14:paraId="6C1E395F">
      <w:pPr>
        <w:rPr>
          <w:color w:val="000000" w:themeColor="text1"/>
          <w14:textFill>
            <w14:solidFill>
              <w14:schemeClr w14:val="tx1"/>
            </w14:solidFill>
          </w14:textFill>
        </w:rPr>
      </w:pPr>
      <w:r>
        <w:rPr>
          <w:rFonts w:hint="eastAsia"/>
          <w:color w:val="000000" w:themeColor="text1"/>
          <w14:textFill>
            <w14:solidFill>
              <w14:schemeClr w14:val="tx1"/>
            </w14:solidFill>
          </w14:textFill>
        </w:rPr>
        <w:t>2.2 “采购机构”系指交易公告中载明的本项目的采购机构。</w:t>
      </w:r>
    </w:p>
    <w:p w14:paraId="51CD6DAB">
      <w:pPr>
        <w:rPr>
          <w:color w:val="000000" w:themeColor="text1"/>
          <w14:textFill>
            <w14:solidFill>
              <w14:schemeClr w14:val="tx1"/>
            </w14:solidFill>
          </w14:textFill>
        </w:rPr>
      </w:pPr>
      <w:r>
        <w:rPr>
          <w:rFonts w:hint="eastAsia"/>
          <w:color w:val="000000" w:themeColor="text1"/>
          <w14:textFill>
            <w14:solidFill>
              <w14:schemeClr w14:val="tx1"/>
            </w14:solidFill>
          </w14:textFill>
        </w:rPr>
        <w:t>2.3 “供应商”系指是指响应招标、参加投标竞争的法人、其他组织或者自然人。</w:t>
      </w:r>
    </w:p>
    <w:p w14:paraId="3F5A6526">
      <w:pPr>
        <w:rPr>
          <w:color w:val="000000" w:themeColor="text1"/>
          <w14:textFill>
            <w14:solidFill>
              <w14:schemeClr w14:val="tx1"/>
            </w14:solidFill>
          </w14:textFill>
        </w:rPr>
      </w:pPr>
      <w:r>
        <w:rPr>
          <w:rFonts w:hint="eastAsia"/>
          <w:color w:val="000000" w:themeColor="text1"/>
          <w14:textFill>
            <w14:solidFill>
              <w14:schemeClr w14:val="tx1"/>
            </w14:solidFill>
          </w14:textFill>
        </w:rPr>
        <w:t>2.4 “负责人”系指法人企业的法定负责人，或其他组织为法律、行政法规规定代表单位行使职权的主要负责人，或自然人本人。</w:t>
      </w:r>
    </w:p>
    <w:p w14:paraId="3AD16675">
      <w:pPr>
        <w:rPr>
          <w:color w:val="000000" w:themeColor="text1"/>
          <w14:textFill>
            <w14:solidFill>
              <w14:schemeClr w14:val="tx1"/>
            </w14:solidFill>
          </w14:textFill>
        </w:rPr>
      </w:pPr>
      <w:r>
        <w:rPr>
          <w:rFonts w:hint="eastAsia"/>
          <w:color w:val="000000" w:themeColor="text1"/>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3AEE9F79">
      <w:pPr>
        <w:rPr>
          <w:color w:val="000000" w:themeColor="text1"/>
          <w14:textFill>
            <w14:solidFill>
              <w14:schemeClr w14:val="tx1"/>
            </w14:solidFill>
          </w14:textFill>
        </w:rPr>
      </w:pPr>
      <w:r>
        <w:rPr>
          <w:rFonts w:hint="eastAsia"/>
          <w:color w:val="000000" w:themeColor="text1"/>
          <w14:textFill>
            <w14:solidFill>
              <w14:schemeClr w14:val="tx1"/>
            </w14:solidFill>
          </w14:textFill>
        </w:rPr>
        <w:t>2.6“电子交易平台”是指本项目政府采购活动所依托的政府采购云平台（https://</w:t>
      </w:r>
      <w:r>
        <w:rPr>
          <w:rFonts w:hint="eastAsia"/>
          <w:color w:val="000000" w:themeColor="text1"/>
          <w:lang w:eastAsia="zh-CN"/>
          <w14:textFill>
            <w14:solidFill>
              <w14:schemeClr w14:val="tx1"/>
            </w14:solidFill>
          </w14:textFill>
        </w:rPr>
        <w:t>www.leicaiyun.com</w:t>
      </w:r>
      <w:r>
        <w:rPr>
          <w:rFonts w:hint="eastAsia"/>
          <w:color w:val="000000" w:themeColor="text1"/>
          <w14:textFill>
            <w14:solidFill>
              <w14:schemeClr w14:val="tx1"/>
            </w14:solidFill>
          </w14:textFill>
        </w:rPr>
        <w:t>/）。</w:t>
      </w:r>
    </w:p>
    <w:p w14:paraId="686987AE">
      <w:pPr>
        <w:rPr>
          <w:color w:val="000000" w:themeColor="text1"/>
          <w14:textFill>
            <w14:solidFill>
              <w14:schemeClr w14:val="tx1"/>
            </w14:solidFill>
          </w14:textFill>
        </w:rPr>
      </w:pPr>
      <w:r>
        <w:rPr>
          <w:rFonts w:hint="eastAsia"/>
          <w:color w:val="000000" w:themeColor="text1"/>
          <w14:textFill>
            <w14:solidFill>
              <w14:schemeClr w14:val="tx1"/>
            </w14:solidFill>
          </w14:textFill>
        </w:rPr>
        <w:t>2.7 “▲” 系指实质性要求条款，“（√）” 系指适用本项目的要求，“（  ）”系指不适用本项目的要求。</w:t>
      </w:r>
    </w:p>
    <w:p w14:paraId="353D7EE9">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采购项目需要落实的政府采购政策</w:t>
      </w:r>
    </w:p>
    <w:p w14:paraId="79E53656">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无 </w:t>
      </w:r>
    </w:p>
    <w:p w14:paraId="378283CA">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询问、质疑</w:t>
      </w:r>
    </w:p>
    <w:p w14:paraId="3F19FE94">
      <w:pPr>
        <w:rPr>
          <w:color w:val="000000" w:themeColor="text1"/>
          <w14:textFill>
            <w14:solidFill>
              <w14:schemeClr w14:val="tx1"/>
            </w14:solidFill>
          </w14:textFill>
        </w:rPr>
      </w:pPr>
      <w:r>
        <w:rPr>
          <w:rFonts w:hint="eastAsia"/>
          <w:color w:val="000000" w:themeColor="text1"/>
          <w14:textFill>
            <w14:solidFill>
              <w14:schemeClr w14:val="tx1"/>
            </w14:solidFill>
          </w14:textFill>
        </w:rPr>
        <w:t>4.1供应商询问</w:t>
      </w:r>
    </w:p>
    <w:p w14:paraId="2837E077">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8892F7">
      <w:pPr>
        <w:rPr>
          <w:color w:val="000000" w:themeColor="text1"/>
          <w14:textFill>
            <w14:solidFill>
              <w14:schemeClr w14:val="tx1"/>
            </w14:solidFill>
          </w14:textFill>
        </w:rPr>
      </w:pPr>
      <w:r>
        <w:rPr>
          <w:rFonts w:hint="eastAsia"/>
          <w:color w:val="000000" w:themeColor="text1"/>
          <w14:textFill>
            <w14:solidFill>
              <w14:schemeClr w14:val="tx1"/>
            </w14:solidFill>
          </w14:textFill>
        </w:rPr>
        <w:t>4.2供应商质疑</w:t>
      </w:r>
    </w:p>
    <w:p w14:paraId="2384F9D0">
      <w:pPr>
        <w:rPr>
          <w:color w:val="000000" w:themeColor="text1"/>
          <w14:textFill>
            <w14:solidFill>
              <w14:schemeClr w14:val="tx1"/>
            </w14:solidFill>
          </w14:textFill>
        </w:rPr>
      </w:pPr>
      <w:r>
        <w:rPr>
          <w:rFonts w:hint="eastAsia"/>
          <w:color w:val="000000" w:themeColor="text1"/>
          <w14:textFill>
            <w14:solidFill>
              <w14:schemeClr w14:val="tx1"/>
            </w14:solidFill>
          </w14:textFill>
        </w:rPr>
        <w:t>4.2.1提出质疑的供应商应当是参与所质疑项目采购活动的供应商。潜在供应商已依法获取其可质疑的交易文件的，可以对该文件提出质疑。</w:t>
      </w:r>
    </w:p>
    <w:p w14:paraId="6E491147">
      <w:pPr>
        <w:rPr>
          <w:color w:val="000000" w:themeColor="text1"/>
          <w14:textFill>
            <w14:solidFill>
              <w14:schemeClr w14:val="tx1"/>
            </w14:solidFill>
          </w14:textFill>
        </w:rPr>
      </w:pPr>
      <w:r>
        <w:rPr>
          <w:rFonts w:hint="eastAsia"/>
          <w:color w:val="000000" w:themeColor="text1"/>
          <w14:textFill>
            <w14:solidFill>
              <w14:schemeClr w14:val="tx1"/>
            </w14:solidFill>
          </w14:textFill>
        </w:rPr>
        <w:t>4.2.2供应商认为交易文件、采购过程和中标结果使自己的权益受到损害的，可以在知道或者应知其权益受到损害之日起三个工作日内，以书面形式向采购人或者采购机构提出质疑，否则，采购人或者采购机构不予受理：</w:t>
      </w:r>
    </w:p>
    <w:p w14:paraId="7629584D">
      <w:pPr>
        <w:rPr>
          <w:color w:val="000000" w:themeColor="text1"/>
          <w14:textFill>
            <w14:solidFill>
              <w14:schemeClr w14:val="tx1"/>
            </w14:solidFill>
          </w14:textFill>
        </w:rPr>
      </w:pPr>
      <w:r>
        <w:rPr>
          <w:rFonts w:hint="eastAsia"/>
          <w:color w:val="000000" w:themeColor="text1"/>
          <w14:textFill>
            <w14:solidFill>
              <w14:schemeClr w14:val="tx1"/>
            </w14:solidFill>
          </w14:textFill>
        </w:rPr>
        <w:t>4.2.2.1对交易文件提出质疑的，质疑期限为供应商获得交易文件之日或者交易文件公告期限届满之日起计算。</w:t>
      </w:r>
    </w:p>
    <w:p w14:paraId="3A927B9B">
      <w:pPr>
        <w:rPr>
          <w:color w:val="000000" w:themeColor="text1"/>
          <w14:textFill>
            <w14:solidFill>
              <w14:schemeClr w14:val="tx1"/>
            </w14:solidFill>
          </w14:textFill>
        </w:rPr>
      </w:pPr>
      <w:r>
        <w:rPr>
          <w:rFonts w:hint="eastAsia"/>
          <w:color w:val="000000" w:themeColor="text1"/>
          <w14:textFill>
            <w14:solidFill>
              <w14:schemeClr w14:val="tx1"/>
            </w14:solidFill>
          </w14:textFill>
        </w:rPr>
        <w:t>4.2.2.2对采购过程提出质疑的，质疑期限为各采购程序环节结束之日起计算。对同一采购程序环节的质疑，供应商须一次性提出。</w:t>
      </w:r>
    </w:p>
    <w:p w14:paraId="6914CB8B">
      <w:pPr>
        <w:rPr>
          <w:color w:val="000000" w:themeColor="text1"/>
          <w14:textFill>
            <w14:solidFill>
              <w14:schemeClr w14:val="tx1"/>
            </w14:solidFill>
          </w14:textFill>
        </w:rPr>
      </w:pPr>
      <w:r>
        <w:rPr>
          <w:rFonts w:hint="eastAsia"/>
          <w:color w:val="000000" w:themeColor="text1"/>
          <w14:textFill>
            <w14:solidFill>
              <w14:schemeClr w14:val="tx1"/>
            </w14:solidFill>
          </w14:textFill>
        </w:rPr>
        <w:t>4.2.2.3对采购结果提出质疑的，质疑期限自采购结果公告期限届满之日起计算。</w:t>
      </w:r>
    </w:p>
    <w:p w14:paraId="02517BB1">
      <w:pPr>
        <w:rPr>
          <w:color w:val="000000" w:themeColor="text1"/>
          <w14:textFill>
            <w14:solidFill>
              <w14:schemeClr w14:val="tx1"/>
            </w14:solidFill>
          </w14:textFill>
        </w:rPr>
      </w:pPr>
      <w:r>
        <w:rPr>
          <w:rFonts w:hint="eastAsia"/>
          <w:color w:val="000000" w:themeColor="text1"/>
          <w14:textFill>
            <w14:solidFill>
              <w14:schemeClr w14:val="tx1"/>
            </w14:solidFill>
          </w14:textFill>
        </w:rPr>
        <w:t>4.2.3供应商提出质疑应当提交质疑函和必要的证明材料。质疑函应当包括下列内容：</w:t>
      </w:r>
    </w:p>
    <w:p w14:paraId="76D7269F">
      <w:pPr>
        <w:rPr>
          <w:color w:val="000000" w:themeColor="text1"/>
          <w14:textFill>
            <w14:solidFill>
              <w14:schemeClr w14:val="tx1"/>
            </w14:solidFill>
          </w14:textFill>
        </w:rPr>
      </w:pPr>
      <w:r>
        <w:rPr>
          <w:rFonts w:hint="eastAsia"/>
          <w:color w:val="000000" w:themeColor="text1"/>
          <w14:textFill>
            <w14:solidFill>
              <w14:schemeClr w14:val="tx1"/>
            </w14:solidFill>
          </w14:textFill>
        </w:rPr>
        <w:t>　　4.2.3.1供应商的姓名或者名称、地址、邮编、联系人及联系电话；</w:t>
      </w:r>
    </w:p>
    <w:p w14:paraId="1C952A06">
      <w:pPr>
        <w:rPr>
          <w:color w:val="000000" w:themeColor="text1"/>
          <w14:textFill>
            <w14:solidFill>
              <w14:schemeClr w14:val="tx1"/>
            </w14:solidFill>
          </w14:textFill>
        </w:rPr>
      </w:pPr>
      <w:r>
        <w:rPr>
          <w:rFonts w:hint="eastAsia"/>
          <w:color w:val="000000" w:themeColor="text1"/>
          <w14:textFill>
            <w14:solidFill>
              <w14:schemeClr w14:val="tx1"/>
            </w14:solidFill>
          </w14:textFill>
        </w:rPr>
        <w:t>　　4.2.3.2质疑项目的名称、编号；</w:t>
      </w:r>
    </w:p>
    <w:p w14:paraId="4245178A">
      <w:pPr>
        <w:rPr>
          <w:color w:val="000000" w:themeColor="text1"/>
          <w14:textFill>
            <w14:solidFill>
              <w14:schemeClr w14:val="tx1"/>
            </w14:solidFill>
          </w14:textFill>
        </w:rPr>
      </w:pPr>
      <w:r>
        <w:rPr>
          <w:rFonts w:hint="eastAsia"/>
          <w:color w:val="000000" w:themeColor="text1"/>
          <w14:textFill>
            <w14:solidFill>
              <w14:schemeClr w14:val="tx1"/>
            </w14:solidFill>
          </w14:textFill>
        </w:rPr>
        <w:t>　　4.2.3.3具体、明确的质疑事项和与质疑事项相关的请求；</w:t>
      </w:r>
    </w:p>
    <w:p w14:paraId="0F04CD45">
      <w:pPr>
        <w:rPr>
          <w:color w:val="000000" w:themeColor="text1"/>
          <w14:textFill>
            <w14:solidFill>
              <w14:schemeClr w14:val="tx1"/>
            </w14:solidFill>
          </w14:textFill>
        </w:rPr>
      </w:pPr>
      <w:r>
        <w:rPr>
          <w:rFonts w:hint="eastAsia"/>
          <w:color w:val="000000" w:themeColor="text1"/>
          <w14:textFill>
            <w14:solidFill>
              <w14:schemeClr w14:val="tx1"/>
            </w14:solidFill>
          </w14:textFill>
        </w:rPr>
        <w:t>　　4.2.3.4事实依据；</w:t>
      </w:r>
    </w:p>
    <w:p w14:paraId="558C1C8E">
      <w:pPr>
        <w:rPr>
          <w:color w:val="000000" w:themeColor="text1"/>
          <w14:textFill>
            <w14:solidFill>
              <w14:schemeClr w14:val="tx1"/>
            </w14:solidFill>
          </w14:textFill>
        </w:rPr>
      </w:pPr>
      <w:r>
        <w:rPr>
          <w:rFonts w:hint="eastAsia"/>
          <w:color w:val="000000" w:themeColor="text1"/>
          <w14:textFill>
            <w14:solidFill>
              <w14:schemeClr w14:val="tx1"/>
            </w14:solidFill>
          </w14:textFill>
        </w:rPr>
        <w:t>　　4.2.3.5必要的法律依据；</w:t>
      </w:r>
    </w:p>
    <w:p w14:paraId="59B1BFA7">
      <w:pPr>
        <w:rPr>
          <w:color w:val="000000" w:themeColor="text1"/>
          <w14:textFill>
            <w14:solidFill>
              <w14:schemeClr w14:val="tx1"/>
            </w14:solidFill>
          </w14:textFill>
        </w:rPr>
      </w:pPr>
      <w:r>
        <w:rPr>
          <w:rFonts w:hint="eastAsia"/>
          <w:color w:val="000000" w:themeColor="text1"/>
          <w14:textFill>
            <w14:solidFill>
              <w14:schemeClr w14:val="tx1"/>
            </w14:solidFill>
          </w14:textFill>
        </w:rPr>
        <w:t>4.2.3.6提出质疑的日期。</w:t>
      </w:r>
    </w:p>
    <w:p w14:paraId="26E930D7">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6C81B1F">
      <w:pPr>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4A6FC88E">
      <w:pPr>
        <w:rPr>
          <w:color w:val="000000" w:themeColor="text1"/>
          <w14:textFill>
            <w14:solidFill>
              <w14:schemeClr w14:val="tx1"/>
            </w14:solidFill>
          </w14:textFill>
        </w:rPr>
      </w:pPr>
      <w:r>
        <w:rPr>
          <w:rFonts w:hint="eastAsia"/>
          <w:color w:val="000000" w:themeColor="text1"/>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w:t>
      </w:r>
    </w:p>
    <w:p w14:paraId="18FE61FD">
      <w:pPr>
        <w:rPr>
          <w:color w:val="000000" w:themeColor="text1"/>
          <w14:textFill>
            <w14:solidFill>
              <w14:schemeClr w14:val="tx1"/>
            </w14:solidFill>
          </w14:textFill>
        </w:rPr>
      </w:pPr>
      <w:r>
        <w:rPr>
          <w:rFonts w:hint="eastAsia"/>
          <w:color w:val="000000" w:themeColor="text1"/>
          <w14:textFill>
            <w14:solidFill>
              <w14:schemeClr w14:val="tx1"/>
            </w14:solidFill>
          </w14:textFill>
        </w:rPr>
        <w:t>4.2.5询问或者质疑事项可能影响采购结果的，采购人应当暂停签订合同，已经签订合同的，应当中止履行合同。</w:t>
      </w:r>
    </w:p>
    <w:p w14:paraId="16CFD63D">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二、交易文件的构成、澄清、修改</w:t>
      </w:r>
    </w:p>
    <w:p w14:paraId="08C3CDF8">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5．交易文件的构成</w:t>
      </w:r>
    </w:p>
    <w:p w14:paraId="68EC8CE2">
      <w:pPr>
        <w:rPr>
          <w:color w:val="000000" w:themeColor="text1"/>
          <w14:textFill>
            <w14:solidFill>
              <w14:schemeClr w14:val="tx1"/>
            </w14:solidFill>
          </w14:textFill>
        </w:rPr>
      </w:pPr>
      <w:r>
        <w:rPr>
          <w:rFonts w:hint="eastAsia"/>
          <w:color w:val="000000" w:themeColor="text1"/>
          <w14:textFill>
            <w14:solidFill>
              <w14:schemeClr w14:val="tx1"/>
            </w14:solidFill>
          </w14:textFill>
        </w:rPr>
        <w:t>5.1 交易文件包括下列文件及附件：</w:t>
      </w:r>
    </w:p>
    <w:p w14:paraId="206AAB7B">
      <w:pPr>
        <w:rPr>
          <w:color w:val="000000" w:themeColor="text1"/>
          <w14:textFill>
            <w14:solidFill>
              <w14:schemeClr w14:val="tx1"/>
            </w14:solidFill>
          </w14:textFill>
        </w:rPr>
      </w:pPr>
      <w:r>
        <w:rPr>
          <w:rFonts w:hint="eastAsia"/>
          <w:color w:val="000000" w:themeColor="text1"/>
          <w14:textFill>
            <w14:solidFill>
              <w14:schemeClr w14:val="tx1"/>
            </w14:solidFill>
          </w14:textFill>
        </w:rPr>
        <w:t>5.1.1交易公告；</w:t>
      </w:r>
    </w:p>
    <w:p w14:paraId="15B945E3">
      <w:pPr>
        <w:rPr>
          <w:color w:val="000000" w:themeColor="text1"/>
          <w14:textFill>
            <w14:solidFill>
              <w14:schemeClr w14:val="tx1"/>
            </w14:solidFill>
          </w14:textFill>
        </w:rPr>
      </w:pPr>
      <w:r>
        <w:rPr>
          <w:rFonts w:hint="eastAsia"/>
          <w:color w:val="000000" w:themeColor="text1"/>
          <w14:textFill>
            <w14:solidFill>
              <w14:schemeClr w14:val="tx1"/>
            </w14:solidFill>
          </w14:textFill>
        </w:rPr>
        <w:t>5.1.2供应商须知；</w:t>
      </w:r>
    </w:p>
    <w:p w14:paraId="1D4ECAA0">
      <w:pPr>
        <w:rPr>
          <w:color w:val="000000" w:themeColor="text1"/>
          <w14:textFill>
            <w14:solidFill>
              <w14:schemeClr w14:val="tx1"/>
            </w14:solidFill>
          </w14:textFill>
        </w:rPr>
      </w:pPr>
      <w:r>
        <w:rPr>
          <w:rFonts w:hint="eastAsia"/>
          <w:color w:val="000000" w:themeColor="text1"/>
          <w14:textFill>
            <w14:solidFill>
              <w14:schemeClr w14:val="tx1"/>
            </w14:solidFill>
          </w14:textFill>
        </w:rPr>
        <w:t>5.1.3采购需求；</w:t>
      </w:r>
    </w:p>
    <w:p w14:paraId="607787CC">
      <w:pPr>
        <w:rPr>
          <w:color w:val="000000" w:themeColor="text1"/>
          <w14:textFill>
            <w14:solidFill>
              <w14:schemeClr w14:val="tx1"/>
            </w14:solidFill>
          </w14:textFill>
        </w:rPr>
      </w:pPr>
      <w:r>
        <w:rPr>
          <w:rFonts w:hint="eastAsia"/>
          <w:color w:val="000000" w:themeColor="text1"/>
          <w14:textFill>
            <w14:solidFill>
              <w14:schemeClr w14:val="tx1"/>
            </w14:solidFill>
          </w14:textFill>
        </w:rPr>
        <w:t>5.1.4评标办法；</w:t>
      </w:r>
    </w:p>
    <w:p w14:paraId="437CCF45">
      <w:pPr>
        <w:rPr>
          <w:color w:val="000000" w:themeColor="text1"/>
          <w14:textFill>
            <w14:solidFill>
              <w14:schemeClr w14:val="tx1"/>
            </w14:solidFill>
          </w14:textFill>
        </w:rPr>
      </w:pPr>
      <w:r>
        <w:rPr>
          <w:rFonts w:hint="eastAsia"/>
          <w:color w:val="000000" w:themeColor="text1"/>
          <w14:textFill>
            <w14:solidFill>
              <w14:schemeClr w14:val="tx1"/>
            </w14:solidFill>
          </w14:textFill>
        </w:rPr>
        <w:t>5.1.5拟签订的合同文本；</w:t>
      </w:r>
    </w:p>
    <w:p w14:paraId="471FB6CB">
      <w:pPr>
        <w:rPr>
          <w:color w:val="000000" w:themeColor="text1"/>
          <w14:textFill>
            <w14:solidFill>
              <w14:schemeClr w14:val="tx1"/>
            </w14:solidFill>
          </w14:textFill>
        </w:rPr>
      </w:pPr>
      <w:r>
        <w:rPr>
          <w:rFonts w:hint="eastAsia"/>
          <w:color w:val="000000" w:themeColor="text1"/>
          <w14:textFill>
            <w14:solidFill>
              <w14:schemeClr w14:val="tx1"/>
            </w14:solidFill>
          </w14:textFill>
        </w:rPr>
        <w:t>5.1.6应提交的有关格式范例。</w:t>
      </w:r>
    </w:p>
    <w:p w14:paraId="2E26C516">
      <w:pPr>
        <w:rPr>
          <w:color w:val="000000" w:themeColor="text1"/>
          <w14:textFill>
            <w14:solidFill>
              <w14:schemeClr w14:val="tx1"/>
            </w14:solidFill>
          </w14:textFill>
        </w:rPr>
      </w:pPr>
      <w:r>
        <w:rPr>
          <w:rFonts w:hint="eastAsia"/>
          <w:color w:val="000000" w:themeColor="text1"/>
          <w14:textFill>
            <w14:solidFill>
              <w14:schemeClr w14:val="tx1"/>
            </w14:solidFill>
          </w14:textFill>
        </w:rPr>
        <w:t>5.2与本项目有关的澄清或者修改的内容为交易文件的组成部分。</w:t>
      </w:r>
    </w:p>
    <w:p w14:paraId="196194F2">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交易文件的澄清、修改</w:t>
      </w:r>
    </w:p>
    <w:p w14:paraId="456EB600">
      <w:pPr>
        <w:rPr>
          <w:color w:val="000000" w:themeColor="text1"/>
          <w14:textFill>
            <w14:solidFill>
              <w14:schemeClr w14:val="tx1"/>
            </w14:solidFill>
          </w14:textFill>
        </w:rPr>
      </w:pPr>
      <w:r>
        <w:rPr>
          <w:rFonts w:hint="eastAsia"/>
          <w:color w:val="000000" w:themeColor="text1"/>
          <w14:textFill>
            <w14:solidFill>
              <w14:schemeClr w14:val="tx1"/>
            </w14:solidFill>
          </w14:textFill>
        </w:rPr>
        <w:t>6.1已获取交易文件的潜在供应商，若有问题需要澄清，应于投标截止时间前，以书面形式向采购机构提出。</w:t>
      </w:r>
    </w:p>
    <w:p w14:paraId="070FC4BA">
      <w:pPr>
        <w:rPr>
          <w:color w:val="000000" w:themeColor="text1"/>
          <w14:textFill>
            <w14:solidFill>
              <w14:schemeClr w14:val="tx1"/>
            </w14:solidFill>
          </w14:textFill>
        </w:rPr>
      </w:pPr>
      <w:r>
        <w:rPr>
          <w:rFonts w:hint="eastAsia"/>
          <w:color w:val="000000" w:themeColor="text1"/>
          <w14:textFill>
            <w14:solidFill>
              <w14:schemeClr w14:val="tx1"/>
            </w14:solidFill>
          </w14:textFill>
        </w:rPr>
        <w:t>6.2 采购机构对交易文件进行澄清或修改的，将同时通过电子交易平台通知已获取交易文件的潜在供应商。依法应当公告的，将按规定公告，同时视情况延长投标截止时间和开标时间。该澄清或者修改的内容为交易文件的组成部分。</w:t>
      </w:r>
    </w:p>
    <w:p w14:paraId="561BC6EE">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三、投标</w:t>
      </w:r>
    </w:p>
    <w:p w14:paraId="7A56C8F7">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交易文件的获取</w:t>
      </w:r>
    </w:p>
    <w:p w14:paraId="2A529952">
      <w:pPr>
        <w:rPr>
          <w:color w:val="000000" w:themeColor="text1"/>
          <w14:textFill>
            <w14:solidFill>
              <w14:schemeClr w14:val="tx1"/>
            </w14:solidFill>
          </w14:textFill>
        </w:rPr>
      </w:pPr>
      <w:r>
        <w:rPr>
          <w:rFonts w:hint="eastAsia"/>
          <w:color w:val="000000" w:themeColor="text1"/>
          <w14:textFill>
            <w14:solidFill>
              <w14:schemeClr w14:val="tx1"/>
            </w14:solidFill>
          </w14:textFill>
        </w:rPr>
        <w:t>详见交易公告中获取交易文件的时间期限、地点、方式及交易文件售价。</w:t>
      </w:r>
    </w:p>
    <w:p w14:paraId="325CEB18">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8.开标前答疑会或现场考察</w:t>
      </w:r>
    </w:p>
    <w:p w14:paraId="20BF3203">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339B8D1D">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9.投标保证金</w:t>
      </w:r>
    </w:p>
    <w:p w14:paraId="22092290">
      <w:pPr>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本项目不需缴纳投标保证金。</w:t>
      </w:r>
    </w:p>
    <w:p w14:paraId="66B31498">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 响应文件的语言</w:t>
      </w:r>
    </w:p>
    <w:p w14:paraId="4256187A">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响应文件及供应商与采购有关的来往通知、函件和文件均应使用中文。</w:t>
      </w:r>
    </w:p>
    <w:p w14:paraId="602828F2">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 响应文件的组成</w:t>
      </w:r>
    </w:p>
    <w:p w14:paraId="30F79420">
      <w:pPr>
        <w:rPr>
          <w:color w:val="000000" w:themeColor="text1"/>
          <w14:textFill>
            <w14:solidFill>
              <w14:schemeClr w14:val="tx1"/>
            </w14:solidFill>
          </w14:textFill>
        </w:rPr>
      </w:pPr>
      <w:r>
        <w:rPr>
          <w:rFonts w:hint="eastAsia"/>
          <w:color w:val="000000" w:themeColor="text1"/>
          <w14:textFill>
            <w14:solidFill>
              <w14:schemeClr w14:val="tx1"/>
            </w14:solidFill>
          </w14:textFill>
        </w:rPr>
        <w:t>11.1资格文件：</w:t>
      </w:r>
    </w:p>
    <w:p w14:paraId="7C81E8E9">
      <w:pPr>
        <w:rPr>
          <w:color w:val="000000" w:themeColor="text1"/>
          <w14:textFill>
            <w14:solidFill>
              <w14:schemeClr w14:val="tx1"/>
            </w14:solidFill>
          </w14:textFill>
        </w:rPr>
      </w:pPr>
      <w:r>
        <w:rPr>
          <w:rFonts w:hint="eastAsia"/>
          <w:color w:val="000000" w:themeColor="text1"/>
          <w14:textFill>
            <w14:solidFill>
              <w14:schemeClr w14:val="tx1"/>
            </w14:solidFill>
          </w14:textFill>
        </w:rPr>
        <w:t>11.1.1符合参加政府采购活动应当具备的一般条件的承诺函；</w:t>
      </w:r>
    </w:p>
    <w:p w14:paraId="712BB5F6">
      <w:pPr>
        <w:rPr>
          <w:color w:val="000000" w:themeColor="text1"/>
          <w14:textFill>
            <w14:solidFill>
              <w14:schemeClr w14:val="tx1"/>
            </w14:solidFill>
          </w14:textFill>
        </w:rPr>
      </w:pPr>
      <w:r>
        <w:rPr>
          <w:rFonts w:hint="eastAsia"/>
          <w:color w:val="000000" w:themeColor="text1"/>
          <w14:textFill>
            <w14:solidFill>
              <w14:schemeClr w14:val="tx1"/>
            </w14:solidFill>
          </w14:textFill>
        </w:rPr>
        <w:t>11.1.2落实政府采购政策需满足的资格要求；</w:t>
      </w:r>
    </w:p>
    <w:p w14:paraId="2FFD04A2">
      <w:pPr>
        <w:rPr>
          <w:color w:val="000000" w:themeColor="text1"/>
          <w14:textFill>
            <w14:solidFill>
              <w14:schemeClr w14:val="tx1"/>
            </w14:solidFill>
          </w14:textFill>
        </w:rPr>
      </w:pPr>
      <w:r>
        <w:rPr>
          <w:rFonts w:hint="eastAsia"/>
          <w:color w:val="000000" w:themeColor="text1"/>
          <w14:textFill>
            <w14:solidFill>
              <w14:schemeClr w14:val="tx1"/>
            </w14:solidFill>
          </w14:textFill>
        </w:rPr>
        <w:t>11.1.3本项目的特定资格要求。</w:t>
      </w:r>
    </w:p>
    <w:p w14:paraId="05A45139">
      <w:pPr>
        <w:rPr>
          <w:color w:val="000000" w:themeColor="text1"/>
          <w14:textFill>
            <w14:solidFill>
              <w14:schemeClr w14:val="tx1"/>
            </w14:solidFill>
          </w14:textFill>
        </w:rPr>
      </w:pPr>
      <w:r>
        <w:rPr>
          <w:rFonts w:hint="eastAsia"/>
          <w:color w:val="000000" w:themeColor="text1"/>
          <w14:textFill>
            <w14:solidFill>
              <w14:schemeClr w14:val="tx1"/>
            </w14:solidFill>
          </w14:textFill>
        </w:rPr>
        <w:t>11.2  商务技术文件：</w:t>
      </w:r>
    </w:p>
    <w:p w14:paraId="64182C91">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11.2.1投标函； </w:t>
      </w:r>
    </w:p>
    <w:p w14:paraId="23F72D0E">
      <w:pPr>
        <w:rPr>
          <w:color w:val="000000" w:themeColor="text1"/>
          <w14:textFill>
            <w14:solidFill>
              <w14:schemeClr w14:val="tx1"/>
            </w14:solidFill>
          </w14:textFill>
        </w:rPr>
      </w:pPr>
      <w:r>
        <w:rPr>
          <w:rFonts w:hint="eastAsia"/>
          <w:color w:val="000000" w:themeColor="text1"/>
          <w14:textFill>
            <w14:solidFill>
              <w14:schemeClr w14:val="tx1"/>
            </w14:solidFill>
          </w14:textFill>
        </w:rPr>
        <w:t>11.2.2授权委托书或法定代表人（单位负责人、自然人本人）身份证明；</w:t>
      </w:r>
    </w:p>
    <w:p w14:paraId="012F7799">
      <w:pPr>
        <w:rPr>
          <w:color w:val="000000" w:themeColor="text1"/>
          <w14:textFill>
            <w14:solidFill>
              <w14:schemeClr w14:val="tx1"/>
            </w14:solidFill>
          </w14:textFill>
        </w:rPr>
      </w:pPr>
      <w:r>
        <w:rPr>
          <w:rFonts w:hint="eastAsia"/>
          <w:color w:val="000000" w:themeColor="text1"/>
          <w14:textFill>
            <w14:solidFill>
              <w14:schemeClr w14:val="tx1"/>
            </w14:solidFill>
          </w14:textFill>
        </w:rPr>
        <w:t>11.2.3联合协议；</w:t>
      </w:r>
    </w:p>
    <w:p w14:paraId="598E8D31">
      <w:pPr>
        <w:rPr>
          <w:color w:val="000000" w:themeColor="text1"/>
          <w14:textFill>
            <w14:solidFill>
              <w14:schemeClr w14:val="tx1"/>
            </w14:solidFill>
          </w14:textFill>
        </w:rPr>
      </w:pPr>
      <w:r>
        <w:rPr>
          <w:rFonts w:hint="eastAsia"/>
          <w:color w:val="000000" w:themeColor="text1"/>
          <w14:textFill>
            <w14:solidFill>
              <w14:schemeClr w14:val="tx1"/>
            </w14:solidFill>
          </w14:textFill>
        </w:rPr>
        <w:t>11.2.4分包意向协议；</w:t>
      </w:r>
    </w:p>
    <w:p w14:paraId="24178BAB">
      <w:pPr>
        <w:rPr>
          <w:color w:val="000000" w:themeColor="text1"/>
          <w14:textFill>
            <w14:solidFill>
              <w14:schemeClr w14:val="tx1"/>
            </w14:solidFill>
          </w14:textFill>
        </w:rPr>
      </w:pPr>
      <w:r>
        <w:rPr>
          <w:rFonts w:hint="eastAsia"/>
          <w:color w:val="000000" w:themeColor="text1"/>
          <w14:textFill>
            <w14:solidFill>
              <w14:schemeClr w14:val="tx1"/>
            </w14:solidFill>
          </w14:textFill>
        </w:rPr>
        <w:t>11.2.5符合性审查资料；</w:t>
      </w:r>
    </w:p>
    <w:p w14:paraId="6D11CF6F">
      <w:pPr>
        <w:rPr>
          <w:color w:val="000000" w:themeColor="text1"/>
          <w14:textFill>
            <w14:solidFill>
              <w14:schemeClr w14:val="tx1"/>
            </w14:solidFill>
          </w14:textFill>
        </w:rPr>
      </w:pPr>
      <w:r>
        <w:rPr>
          <w:rFonts w:hint="eastAsia"/>
          <w:color w:val="000000" w:themeColor="text1"/>
          <w14:textFill>
            <w14:solidFill>
              <w14:schemeClr w14:val="tx1"/>
            </w14:solidFill>
          </w14:textFill>
        </w:rPr>
        <w:t>11.2.6评标标准相应的商务技术资料；</w:t>
      </w:r>
    </w:p>
    <w:p w14:paraId="73BA0D52">
      <w:pPr>
        <w:rPr>
          <w:color w:val="000000" w:themeColor="text1"/>
          <w14:textFill>
            <w14:solidFill>
              <w14:schemeClr w14:val="tx1"/>
            </w14:solidFill>
          </w14:textFill>
        </w:rPr>
      </w:pPr>
      <w:r>
        <w:rPr>
          <w:rFonts w:hint="eastAsia"/>
          <w:color w:val="000000" w:themeColor="text1"/>
          <w14:textFill>
            <w14:solidFill>
              <w14:schemeClr w14:val="tx1"/>
            </w14:solidFill>
          </w14:textFill>
        </w:rPr>
        <w:t>11.2.7投标标的清单；</w:t>
      </w:r>
    </w:p>
    <w:p w14:paraId="0AF3F424">
      <w:pPr>
        <w:rPr>
          <w:color w:val="000000" w:themeColor="text1"/>
          <w14:textFill>
            <w14:solidFill>
              <w14:schemeClr w14:val="tx1"/>
            </w14:solidFill>
          </w14:textFill>
        </w:rPr>
      </w:pPr>
      <w:r>
        <w:rPr>
          <w:rFonts w:hint="eastAsia"/>
          <w:color w:val="000000" w:themeColor="text1"/>
          <w14:textFill>
            <w14:solidFill>
              <w14:schemeClr w14:val="tx1"/>
            </w14:solidFill>
          </w14:textFill>
        </w:rPr>
        <w:t>11.2.8商务技术偏离表；</w:t>
      </w:r>
    </w:p>
    <w:p w14:paraId="4279668B">
      <w:pPr>
        <w:rPr>
          <w:color w:val="000000" w:themeColor="text1"/>
          <w14:textFill>
            <w14:solidFill>
              <w14:schemeClr w14:val="tx1"/>
            </w14:solidFill>
          </w14:textFill>
        </w:rPr>
      </w:pPr>
      <w:r>
        <w:rPr>
          <w:rFonts w:hint="eastAsia"/>
          <w:color w:val="000000" w:themeColor="text1"/>
          <w14:textFill>
            <w14:solidFill>
              <w14:schemeClr w14:val="tx1"/>
            </w14:solidFill>
          </w14:textFill>
        </w:rPr>
        <w:t>11.2.9政府采购供应商廉洁自律承诺书；</w:t>
      </w:r>
    </w:p>
    <w:p w14:paraId="368FC7B5">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11.3报价文件： </w:t>
      </w:r>
    </w:p>
    <w:p w14:paraId="4E0A8756">
      <w:pPr>
        <w:rPr>
          <w:color w:val="000000" w:themeColor="text1"/>
          <w14:textFill>
            <w14:solidFill>
              <w14:schemeClr w14:val="tx1"/>
            </w14:solidFill>
          </w14:textFill>
        </w:rPr>
      </w:pPr>
      <w:r>
        <w:rPr>
          <w:rFonts w:hint="eastAsia"/>
          <w:color w:val="000000" w:themeColor="text1"/>
          <w14:textFill>
            <w14:solidFill>
              <w14:schemeClr w14:val="tx1"/>
            </w14:solidFill>
          </w14:textFill>
        </w:rPr>
        <w:t>11.3.1开标一览表（报价表）；</w:t>
      </w:r>
    </w:p>
    <w:p w14:paraId="43255354">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响应文件含有采购人不能接受的附加条件的，投标无效；</w:t>
      </w:r>
    </w:p>
    <w:p w14:paraId="4ED17B90">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供应商提供虚假材料投标的，投标无效。</w:t>
      </w:r>
    </w:p>
    <w:p w14:paraId="6D2AC5F4">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 响应文件的编制</w:t>
      </w:r>
    </w:p>
    <w:p w14:paraId="630B9A37">
      <w:pPr>
        <w:rPr>
          <w:color w:val="000000" w:themeColor="text1"/>
          <w14:textFill>
            <w14:solidFill>
              <w14:schemeClr w14:val="tx1"/>
            </w14:solidFill>
          </w14:textFill>
        </w:rPr>
      </w:pPr>
      <w:r>
        <w:rPr>
          <w:rFonts w:hint="eastAsia"/>
          <w:color w:val="000000" w:themeColor="text1"/>
          <w14:textFill>
            <w14:solidFill>
              <w14:schemeClr w14:val="tx1"/>
            </w14:solidFill>
          </w14:textFill>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7D7092E2">
      <w:pPr>
        <w:rPr>
          <w:color w:val="000000" w:themeColor="text1"/>
          <w14:textFill>
            <w14:solidFill>
              <w14:schemeClr w14:val="tx1"/>
            </w14:solidFill>
          </w14:textFill>
        </w:rPr>
      </w:pPr>
      <w:r>
        <w:rPr>
          <w:rFonts w:hint="eastAsia"/>
          <w:color w:val="000000" w:themeColor="text1"/>
          <w14:textFill>
            <w14:solidFill>
              <w14:schemeClr w14:val="tx1"/>
            </w14:solidFill>
          </w14:textFill>
        </w:rPr>
        <w:t>12.2供应商进行电子投标应安装客户端软件—“</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电子交易客户端”，并按照交易文件和电子交易平台的要求编制并加密响应文件。供应商未按规定加密的响应文件，电子交易平台将拒收并提示。</w:t>
      </w:r>
    </w:p>
    <w:p w14:paraId="7D760397">
      <w:pPr>
        <w:rPr>
          <w:color w:val="000000" w:themeColor="text1"/>
          <w14:textFill>
            <w14:solidFill>
              <w14:schemeClr w14:val="tx1"/>
            </w14:solidFill>
          </w14:textFill>
        </w:rPr>
      </w:pPr>
      <w:r>
        <w:rPr>
          <w:rFonts w:hint="eastAsia"/>
          <w:color w:val="000000" w:themeColor="text1"/>
          <w14:textFill>
            <w14:solidFill>
              <w14:schemeClr w14:val="tx1"/>
            </w14:solidFill>
          </w14:textFill>
        </w:rPr>
        <w:t>12.3使用“</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电子交易客户端”需要提前申领CA数字证书，申领流程请自行前往“浙江政府采购网-下载专区-电子交易客户端-CA驱动和申领流程”进行查阅。</w:t>
      </w:r>
    </w:p>
    <w:p w14:paraId="49C4675E">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13.响应文件的签署、盖章</w:t>
      </w:r>
    </w:p>
    <w:p w14:paraId="6932A680">
      <w:pPr>
        <w:rPr>
          <w:color w:val="000000" w:themeColor="text1"/>
          <w14:textFill>
            <w14:solidFill>
              <w14:schemeClr w14:val="tx1"/>
            </w14:solidFill>
          </w14:textFill>
        </w:rPr>
      </w:pPr>
      <w:r>
        <w:rPr>
          <w:rFonts w:hint="eastAsia"/>
          <w:color w:val="000000" w:themeColor="text1"/>
          <w14:textFill>
            <w14:solidFill>
              <w14:schemeClr w14:val="tx1"/>
            </w14:solidFill>
          </w14:textFill>
        </w:rPr>
        <w:t>13.1响应文件按照交易文件第六部分格式要求进行签署、盖章。▲供应商的响应文件未按照交易文件要求签署、盖章的，其投标无效。</w:t>
      </w:r>
    </w:p>
    <w:p w14:paraId="46C3DAFA">
      <w:pPr>
        <w:rPr>
          <w:color w:val="000000" w:themeColor="text1"/>
          <w14:textFill>
            <w14:solidFill>
              <w14:schemeClr w14:val="tx1"/>
            </w14:solidFill>
          </w14:textFill>
        </w:rPr>
      </w:pPr>
      <w:r>
        <w:rPr>
          <w:rFonts w:hint="eastAsia"/>
          <w:color w:val="000000" w:themeColor="text1"/>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5711CA33">
      <w:pPr>
        <w:rPr>
          <w:color w:val="000000" w:themeColor="text1"/>
          <w14:textFill>
            <w14:solidFill>
              <w14:schemeClr w14:val="tx1"/>
            </w14:solidFill>
          </w14:textFill>
        </w:rPr>
      </w:pPr>
      <w:r>
        <w:rPr>
          <w:rFonts w:hint="eastAsia"/>
          <w:color w:val="000000" w:themeColor="text1"/>
          <w14:textFill>
            <w14:solidFill>
              <w14:schemeClr w14:val="tx1"/>
            </w14:solidFill>
          </w14:textFill>
        </w:rPr>
        <w:t>13.3交易文件对响应文件签署、盖章的要求适用于电子签名。</w:t>
      </w:r>
    </w:p>
    <w:p w14:paraId="6595961C">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 响应文件的提交、补充、修改、撤回</w:t>
      </w:r>
    </w:p>
    <w:p w14:paraId="5A3BFE86">
      <w:pPr>
        <w:rPr>
          <w:color w:val="000000" w:themeColor="text1"/>
          <w14:textFill>
            <w14:solidFill>
              <w14:schemeClr w14:val="tx1"/>
            </w14:solidFill>
          </w14:textFill>
        </w:rPr>
      </w:pPr>
      <w:r>
        <w:rPr>
          <w:rFonts w:hint="eastAsia"/>
          <w:color w:val="000000" w:themeColor="text1"/>
          <w14:textFill>
            <w14:solidFill>
              <w14:schemeClr w14:val="tx1"/>
            </w14:solidFill>
          </w14:textFill>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49FEC2DE">
      <w:pPr>
        <w:rPr>
          <w:color w:val="000000" w:themeColor="text1"/>
          <w14:textFill>
            <w14:solidFill>
              <w14:schemeClr w14:val="tx1"/>
            </w14:solidFill>
          </w14:textFill>
        </w:rPr>
      </w:pPr>
      <w:r>
        <w:rPr>
          <w:rFonts w:hint="eastAsia"/>
          <w:color w:val="000000" w:themeColor="text1"/>
          <w14:textFill>
            <w14:solidFill>
              <w14:schemeClr w14:val="tx1"/>
            </w14:solidFill>
          </w14:textFill>
        </w:rPr>
        <w:t>14.2电子交易平台收到响应文件，将妥善保存并即时向供应商发出确认回执通知。在投标截止时间前，除供应商补充、修改或者撤回响应文件外，任何单位和个人不得解密或提取响应文件。</w:t>
      </w:r>
    </w:p>
    <w:p w14:paraId="73EDA025">
      <w:pPr>
        <w:rPr>
          <w:color w:val="000000" w:themeColor="text1"/>
          <w14:textFill>
            <w14:solidFill>
              <w14:schemeClr w14:val="tx1"/>
            </w14:solidFill>
          </w14:textFill>
        </w:rPr>
      </w:pPr>
      <w:r>
        <w:rPr>
          <w:rFonts w:hint="eastAsia"/>
          <w:color w:val="000000" w:themeColor="text1"/>
          <w14:textFill>
            <w14:solidFill>
              <w14:schemeClr w14:val="tx1"/>
            </w14:solidFill>
          </w14:textFill>
        </w:rPr>
        <w:t>14.3采购人、采购机构可以视情况延长响应文件提交的截止时间。在上述情况下，采购机构与供应商以前在投标截止期方面的全部权利、责任和义务，将适用于延长至新的投标截止期。</w:t>
      </w:r>
    </w:p>
    <w:p w14:paraId="11C77E13">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15.备份响应文件</w:t>
      </w:r>
    </w:p>
    <w:p w14:paraId="7A787A30">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15.1供应商在电子交易平台传输递交响应文件后，还可以在投标截止时间前直接提交或者以邮政快递方式递交备份响应文件1份，但采购人、采购机构不强制或变相强制供应商提交备份响应文件。</w:t>
      </w:r>
    </w:p>
    <w:p w14:paraId="72FFE0A3">
      <w:pPr>
        <w:rPr>
          <w:color w:val="000000" w:themeColor="text1"/>
          <w14:textFill>
            <w14:solidFill>
              <w14:schemeClr w14:val="tx1"/>
            </w14:solidFill>
          </w14:textFill>
        </w:rPr>
      </w:pPr>
      <w:r>
        <w:rPr>
          <w:rFonts w:hint="eastAsia"/>
          <w:color w:val="000000" w:themeColor="text1"/>
          <w14:textFill>
            <w14:solidFill>
              <w14:schemeClr w14:val="tx1"/>
            </w14:solidFill>
          </w14:textFill>
        </w:rPr>
        <w:t>15.2备份响应文件须在“</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投标客户端”制作生成，并储存在DVD光盘中。备份响应文件应当密封包装并在包装上加盖公章并注明投标项目名称，供应商名称(联合体投标的，包装物封面需注明联合体投标，并注明联合体成员各方的名称和联合协议中约定的牵头人的名称)。不符合上述制作、存储、密封规定的备份响应文件将被视为无效或者被拒绝接收。</w:t>
      </w:r>
    </w:p>
    <w:p w14:paraId="3F14B97B">
      <w:pPr>
        <w:rPr>
          <w:color w:val="000000" w:themeColor="text1"/>
          <w14:textFill>
            <w14:solidFill>
              <w14:schemeClr w14:val="tx1"/>
            </w14:solidFill>
          </w14:textFill>
        </w:rPr>
      </w:pPr>
      <w:r>
        <w:rPr>
          <w:rFonts w:hint="eastAsia"/>
          <w:color w:val="000000" w:themeColor="text1"/>
          <w14:textFill>
            <w14:solidFill>
              <w14:schemeClr w14:val="tx1"/>
            </w14:solidFill>
          </w14:textFill>
        </w:rPr>
        <w:t>15.3直接提交备份响应文件的，供应商应于投标截止时间前在交易公告中载明的开标地点将备份响应文件提交给采购机构，采购机构将拒绝接受逾期送达的备份响应文件。</w:t>
      </w:r>
    </w:p>
    <w:p w14:paraId="6C779523">
      <w:pPr>
        <w:rPr>
          <w:color w:val="000000" w:themeColor="text1"/>
          <w14:textFill>
            <w14:solidFill>
              <w14:schemeClr w14:val="tx1"/>
            </w14:solidFill>
          </w14:textFill>
        </w:rPr>
      </w:pPr>
      <w:r>
        <w:rPr>
          <w:rFonts w:hint="eastAsia"/>
          <w:color w:val="000000" w:themeColor="text1"/>
          <w14:textFill>
            <w14:solidFill>
              <w14:schemeClr w14:val="tx1"/>
            </w14:solidFill>
          </w14:textFill>
        </w:rPr>
        <w:t>15.4以邮政快递方式递交备份响应文件的，供应商应先将备份响应文件按要求密封和标记，再进行邮政快递包装后邮寄。备份响应文件须在投标截止时间之前送达交易文件第二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2A215779">
      <w:pPr>
        <w:rPr>
          <w:color w:val="000000" w:themeColor="text1"/>
          <w14:textFill>
            <w14:solidFill>
              <w14:schemeClr w14:val="tx1"/>
            </w14:solidFill>
          </w14:textFill>
        </w:rPr>
      </w:pPr>
      <w:r>
        <w:rPr>
          <w:rFonts w:hint="eastAsia"/>
          <w:color w:val="000000" w:themeColor="text1"/>
          <w14:textFill>
            <w14:solidFill>
              <w14:schemeClr w14:val="tx1"/>
            </w14:solidFill>
          </w14:textFill>
        </w:rPr>
        <w:t>15.5供应商仅提交备份响应文件，未在电子交易平台传输递交响应文件的，投标无效。</w:t>
      </w:r>
    </w:p>
    <w:p w14:paraId="01254C8E">
      <w:pPr>
        <w:rPr>
          <w:color w:val="000000" w:themeColor="text1"/>
          <w14:textFill>
            <w14:solidFill>
              <w14:schemeClr w14:val="tx1"/>
            </w14:solidFill>
          </w14:textFill>
        </w:rPr>
      </w:pPr>
      <w:r>
        <w:rPr>
          <w:rFonts w:hint="eastAsia"/>
          <w:color w:val="000000" w:themeColor="text1"/>
          <w14:textFill>
            <w14:solidFill>
              <w14:schemeClr w14:val="tx1"/>
            </w14:solidFill>
          </w14:textFill>
        </w:rPr>
        <w:t>16.响应文件的无效处理</w:t>
      </w:r>
    </w:p>
    <w:p w14:paraId="5F2B1C5B">
      <w:pPr>
        <w:rPr>
          <w:color w:val="000000" w:themeColor="text1"/>
          <w14:textFill>
            <w14:solidFill>
              <w14:schemeClr w14:val="tx1"/>
            </w14:solidFill>
          </w14:textFill>
        </w:rPr>
      </w:pPr>
      <w:r>
        <w:rPr>
          <w:rFonts w:hint="eastAsia"/>
          <w:color w:val="000000" w:themeColor="text1"/>
          <w14:textFill>
            <w14:solidFill>
              <w14:schemeClr w14:val="tx1"/>
            </w14:solidFill>
          </w14:textFill>
        </w:rPr>
        <w:t>有交易文件第四部分4.2规定的情形之一的，投标无效：</w:t>
      </w:r>
    </w:p>
    <w:p w14:paraId="3828C268">
      <w:pPr>
        <w:rPr>
          <w:color w:val="000000" w:themeColor="text1"/>
          <w14:textFill>
            <w14:solidFill>
              <w14:schemeClr w14:val="tx1"/>
            </w14:solidFill>
          </w14:textFill>
        </w:rPr>
      </w:pPr>
      <w:r>
        <w:rPr>
          <w:rFonts w:hint="eastAsia"/>
          <w:color w:val="000000" w:themeColor="text1"/>
          <w14:textFill>
            <w14:solidFill>
              <w14:schemeClr w14:val="tx1"/>
            </w14:solidFill>
          </w14:textFill>
        </w:rPr>
        <w:t>17.投标有效期</w:t>
      </w:r>
    </w:p>
    <w:p w14:paraId="455A5AE2">
      <w:pPr>
        <w:rPr>
          <w:color w:val="000000" w:themeColor="text1"/>
          <w14:textFill>
            <w14:solidFill>
              <w14:schemeClr w14:val="tx1"/>
            </w14:solidFill>
          </w14:textFill>
        </w:rPr>
      </w:pPr>
      <w:r>
        <w:rPr>
          <w:rFonts w:hint="eastAsia"/>
          <w:color w:val="000000" w:themeColor="text1"/>
          <w14:textFill>
            <w14:solidFill>
              <w14:schemeClr w14:val="tx1"/>
            </w14:solidFill>
          </w14:textFill>
        </w:rPr>
        <w:t>17.1投标有效期为从提交响应文件的截止之日起90天。▲供应商的响应文件中承诺的投标有效期少于交易文件中载明的投标有效期的，投标无效。</w:t>
      </w:r>
    </w:p>
    <w:p w14:paraId="538EF1E6">
      <w:pPr>
        <w:rPr>
          <w:color w:val="000000" w:themeColor="text1"/>
          <w14:textFill>
            <w14:solidFill>
              <w14:schemeClr w14:val="tx1"/>
            </w14:solidFill>
          </w14:textFill>
        </w:rPr>
      </w:pPr>
      <w:r>
        <w:rPr>
          <w:rFonts w:hint="eastAsia"/>
          <w:color w:val="000000" w:themeColor="text1"/>
          <w14:textFill>
            <w14:solidFill>
              <w14:schemeClr w14:val="tx1"/>
            </w14:solidFill>
          </w14:textFill>
        </w:rPr>
        <w:t>17.2响应文件合格投递后，自投标截止日期起，在投标有效期内有效。</w:t>
      </w:r>
    </w:p>
    <w:p w14:paraId="439B4FA9">
      <w:pPr>
        <w:rPr>
          <w:color w:val="000000" w:themeColor="text1"/>
          <w14:textFill>
            <w14:solidFill>
              <w14:schemeClr w14:val="tx1"/>
            </w14:solidFill>
          </w14:textFill>
        </w:rPr>
      </w:pPr>
      <w:r>
        <w:rPr>
          <w:rFonts w:hint="eastAsia"/>
          <w:color w:val="000000" w:themeColor="text1"/>
          <w14:textFill>
            <w14:solidFill>
              <w14:schemeClr w14:val="tx1"/>
            </w14:solidFill>
          </w14:textFill>
        </w:rPr>
        <w:t>17.3在原定投标有效期满之前，如果出现特殊情况，采购机构可以以书面形式通知供应商延长投标有效期。供应商同意延长的，不得要求或被允许修改其响应文件，供应商拒绝延长的，其投标无效。</w:t>
      </w:r>
    </w:p>
    <w:p w14:paraId="775A7A1A">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四、开标、资格审查与信用信息查询</w:t>
      </w:r>
    </w:p>
    <w:p w14:paraId="1F224A28">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18.开标 </w:t>
      </w:r>
    </w:p>
    <w:p w14:paraId="3DF743F9">
      <w:pPr>
        <w:rPr>
          <w:color w:val="000000" w:themeColor="text1"/>
          <w14:textFill>
            <w14:solidFill>
              <w14:schemeClr w14:val="tx1"/>
            </w14:solidFill>
          </w14:textFill>
        </w:rPr>
      </w:pPr>
      <w:r>
        <w:rPr>
          <w:rFonts w:hint="eastAsia"/>
          <w:color w:val="000000" w:themeColor="text1"/>
          <w14:textFill>
            <w14:solidFill>
              <w14:schemeClr w14:val="tx1"/>
            </w14:solidFill>
          </w14:textFill>
        </w:rPr>
        <w:t>18.1采购机构按照交易文件规定的时间通过电子交易平台组织开标，所有供应商均应当准时在线参加。供应商不足3家的，不得开标。</w:t>
      </w:r>
    </w:p>
    <w:p w14:paraId="48955C4F">
      <w:pPr>
        <w:rPr>
          <w:color w:val="000000" w:themeColor="text1"/>
          <w14:textFill>
            <w14:solidFill>
              <w14:schemeClr w14:val="tx1"/>
            </w14:solidFill>
          </w14:textFill>
        </w:rPr>
      </w:pPr>
      <w:r>
        <w:rPr>
          <w:rFonts w:hint="eastAsia"/>
          <w:color w:val="000000" w:themeColor="text1"/>
          <w14:textFill>
            <w14:solidFill>
              <w14:schemeClr w14:val="tx1"/>
            </w14:solidFill>
          </w14:textFill>
        </w:rPr>
        <w:t>　18.2开标时，电子交易平台按开标时间自动提取所有响应文件。采购机构依托电子交易平台发起开始解密指令，供应商按照平台提示和交易文件的规定在半小时内完成在线解密。</w:t>
      </w:r>
    </w:p>
    <w:p w14:paraId="363520C6">
      <w:pPr>
        <w:rPr>
          <w:color w:val="000000" w:themeColor="text1"/>
          <w14:textFill>
            <w14:solidFill>
              <w14:schemeClr w14:val="tx1"/>
            </w14:solidFill>
          </w14:textFill>
        </w:rPr>
      </w:pPr>
      <w:r>
        <w:rPr>
          <w:rFonts w:hint="eastAsia"/>
          <w:color w:val="000000" w:themeColor="text1"/>
          <w14:textFill>
            <w14:solidFill>
              <w14:schemeClr w14:val="tx1"/>
            </w14:solidFill>
          </w14:textFill>
        </w:rPr>
        <w:t>　18.3响应文件未按时解密，供应商提供了备份响应文件的，以备份响应文件作为依据，否则视为响应文件撤回。响应文件已按时解密的，备份响应文件自动失效。</w:t>
      </w:r>
    </w:p>
    <w:p w14:paraId="275A1C5E">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19、资格审查</w:t>
      </w:r>
    </w:p>
    <w:p w14:paraId="463DB389">
      <w:pPr>
        <w:rPr>
          <w:color w:val="000000" w:themeColor="text1"/>
          <w14:textFill>
            <w14:solidFill>
              <w14:schemeClr w14:val="tx1"/>
            </w14:solidFill>
          </w14:textFill>
        </w:rPr>
      </w:pPr>
      <w:r>
        <w:rPr>
          <w:rFonts w:hint="eastAsia"/>
          <w:color w:val="000000" w:themeColor="text1"/>
          <w14:textFill>
            <w14:solidFill>
              <w14:schemeClr w14:val="tx1"/>
            </w14:solidFill>
          </w14:textFill>
        </w:rPr>
        <w:t>19.1开标后，采购人或采购机构将依法对供应商的资格进行审查。</w:t>
      </w:r>
    </w:p>
    <w:p w14:paraId="1946D04E">
      <w:pPr>
        <w:rPr>
          <w:color w:val="000000" w:themeColor="text1"/>
          <w14:textFill>
            <w14:solidFill>
              <w14:schemeClr w14:val="tx1"/>
            </w14:solidFill>
          </w14:textFill>
        </w:rPr>
      </w:pPr>
      <w:r>
        <w:rPr>
          <w:rFonts w:hint="eastAsia"/>
          <w:color w:val="000000" w:themeColor="text1"/>
          <w14:textFill>
            <w14:solidFill>
              <w14:schemeClr w14:val="tx1"/>
            </w14:solidFill>
          </w14:textFill>
        </w:rPr>
        <w:t>19.2采购人或采购机构依据法律法规和交易文件的规定，对供应商的基本资格条件、特定资格条件进行审查。</w:t>
      </w:r>
    </w:p>
    <w:p w14:paraId="161715F1">
      <w:pPr>
        <w:rPr>
          <w:color w:val="000000" w:themeColor="text1"/>
          <w14:textFill>
            <w14:solidFill>
              <w14:schemeClr w14:val="tx1"/>
            </w14:solidFill>
          </w14:textFill>
        </w:rPr>
      </w:pPr>
      <w:r>
        <w:rPr>
          <w:rFonts w:hint="eastAsia"/>
          <w:color w:val="000000" w:themeColor="text1"/>
          <w14:textFill>
            <w14:solidFill>
              <w14:schemeClr w14:val="tx1"/>
            </w14:solidFill>
          </w14:textFill>
        </w:rPr>
        <w:t>19.3供应商未按照交易文件要求提供与基本资格条件、特定资格条件相应的有效资格证明材料的，视为供应商不具备交易文件中规定的资格要求，其投标无效。</w:t>
      </w:r>
    </w:p>
    <w:p w14:paraId="5EBA6733">
      <w:pPr>
        <w:rPr>
          <w:color w:val="000000" w:themeColor="text1"/>
          <w14:textFill>
            <w14:solidFill>
              <w14:schemeClr w14:val="tx1"/>
            </w14:solidFill>
          </w14:textFill>
        </w:rPr>
      </w:pPr>
      <w:r>
        <w:rPr>
          <w:rFonts w:hint="eastAsia"/>
          <w:color w:val="000000" w:themeColor="text1"/>
          <w14:textFill>
            <w14:solidFill>
              <w14:schemeClr w14:val="tx1"/>
            </w14:solidFill>
          </w14:textFill>
        </w:rPr>
        <w:t>19.4对未通过资格审查的供应商，采购人或采购机构告知其未通过的原因。</w:t>
      </w:r>
    </w:p>
    <w:p w14:paraId="33714CFB">
      <w:pPr>
        <w:rPr>
          <w:color w:val="000000" w:themeColor="text1"/>
          <w14:textFill>
            <w14:solidFill>
              <w14:schemeClr w14:val="tx1"/>
            </w14:solidFill>
          </w14:textFill>
        </w:rPr>
      </w:pPr>
      <w:r>
        <w:rPr>
          <w:rFonts w:hint="eastAsia"/>
          <w:color w:val="000000" w:themeColor="text1"/>
          <w14:textFill>
            <w14:solidFill>
              <w14:schemeClr w14:val="tx1"/>
            </w14:solidFill>
          </w14:textFill>
        </w:rPr>
        <w:t>19.5合格供应商不足3家的，不再评标。</w:t>
      </w:r>
    </w:p>
    <w:p w14:paraId="0EB27CC3">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20、信用信息查询</w:t>
      </w:r>
    </w:p>
    <w:p w14:paraId="2804046D">
      <w:pPr>
        <w:rPr>
          <w:color w:val="000000" w:themeColor="text1"/>
          <w14:textFill>
            <w14:solidFill>
              <w14:schemeClr w14:val="tx1"/>
            </w14:solidFill>
          </w14:textFill>
        </w:rPr>
      </w:pPr>
      <w:r>
        <w:rPr>
          <w:rFonts w:hint="eastAsia"/>
          <w:color w:val="000000" w:themeColor="text1"/>
          <w14:textFill>
            <w14:solidFill>
              <w14:schemeClr w14:val="tx1"/>
            </w14:solidFill>
          </w14:textFill>
        </w:rPr>
        <w:t>20.1信用信息查询渠道及截止时间：采购机构将通过“信用中国”网站(www.creditchina.gov.cn)、中国政府采购网(www.ccgp.gov.cn)渠道查询供应商投标截止时间当天的信用记录。</w:t>
      </w:r>
    </w:p>
    <w:p w14:paraId="3215EE53">
      <w:pPr>
        <w:rPr>
          <w:color w:val="000000" w:themeColor="text1"/>
          <w14:textFill>
            <w14:solidFill>
              <w14:schemeClr w14:val="tx1"/>
            </w14:solidFill>
          </w14:textFill>
        </w:rPr>
      </w:pPr>
      <w:r>
        <w:rPr>
          <w:rFonts w:hint="eastAsia"/>
          <w:color w:val="000000" w:themeColor="text1"/>
          <w14:textFill>
            <w14:solidFill>
              <w14:schemeClr w14:val="tx1"/>
            </w14:solidFill>
          </w14:textFill>
        </w:rPr>
        <w:t>20.2信用信息查询记录和证据留存的具体方式：现场查询的供应商的信用记录、查询结果经确认后将与采购文件一起存档。</w:t>
      </w:r>
    </w:p>
    <w:p w14:paraId="6B130CF8">
      <w:pPr>
        <w:rPr>
          <w:color w:val="000000" w:themeColor="text1"/>
          <w14:textFill>
            <w14:solidFill>
              <w14:schemeClr w14:val="tx1"/>
            </w14:solidFill>
          </w14:textFill>
        </w:rPr>
      </w:pPr>
      <w:r>
        <w:rPr>
          <w:rFonts w:hint="eastAsia"/>
          <w:color w:val="000000" w:themeColor="text1"/>
          <w14:textFill>
            <w14:solidFill>
              <w14:schemeClr w14:val="tx1"/>
            </w14:solidFill>
          </w14:textFill>
        </w:rPr>
        <w:t>20.3信用信息的使用规则：经查询列入失信被执行人名单、重大税收违法案件当事人名单（税收违法黑名单）、政府采购严重违法失信行为记录名单的供应商将被拒绝参与政府采购活动。</w:t>
      </w:r>
    </w:p>
    <w:p w14:paraId="4C64DE09">
      <w:pPr>
        <w:rPr>
          <w:color w:val="000000" w:themeColor="text1"/>
          <w14:textFill>
            <w14:solidFill>
              <w14:schemeClr w14:val="tx1"/>
            </w14:solidFill>
          </w14:textFill>
        </w:rPr>
      </w:pPr>
      <w:r>
        <w:rPr>
          <w:rFonts w:hint="eastAsia"/>
          <w:color w:val="000000" w:themeColor="text1"/>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0257374">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五、评标</w:t>
      </w:r>
    </w:p>
    <w:p w14:paraId="4E14965D">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评标</w:t>
      </w:r>
    </w:p>
    <w:p w14:paraId="08F428E1">
      <w:pPr>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中标的供应商的先后顺序，并按顺序提出授标建议。详见交易文件第四部分评标办法。</w:t>
      </w:r>
    </w:p>
    <w:p w14:paraId="6405433B">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六、定 标</w:t>
      </w:r>
    </w:p>
    <w:p w14:paraId="39FDDDDC">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确定中标供应商</w:t>
      </w:r>
    </w:p>
    <w:p w14:paraId="14712906">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采购人将自收到评审报告之日起5个工作日内通过电子交易平台在评审报告推荐的中标候选人中按顺序确定中标供应商。</w:t>
      </w:r>
    </w:p>
    <w:p w14:paraId="066CE647">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中标通知与中标结果公告</w:t>
      </w:r>
    </w:p>
    <w:p w14:paraId="44A38413">
      <w:pPr>
        <w:rPr>
          <w:color w:val="000000" w:themeColor="text1"/>
          <w14:textFill>
            <w14:solidFill>
              <w14:schemeClr w14:val="tx1"/>
            </w14:solidFill>
          </w14:textFill>
        </w:rPr>
      </w:pPr>
      <w:r>
        <w:rPr>
          <w:rFonts w:hint="eastAsia"/>
          <w:color w:val="000000" w:themeColor="text1"/>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505E345D">
      <w:pPr>
        <w:rPr>
          <w:color w:val="000000" w:themeColor="text1"/>
          <w14:textFill>
            <w14:solidFill>
              <w14:schemeClr w14:val="tx1"/>
            </w14:solidFill>
          </w14:textFill>
        </w:rPr>
      </w:pPr>
      <w:r>
        <w:rPr>
          <w:rFonts w:hint="eastAsia"/>
          <w:color w:val="000000" w:themeColor="text1"/>
          <w14:textFill>
            <w14:solidFill>
              <w14:schemeClr w14:val="tx1"/>
            </w14:solidFill>
          </w14:textFill>
        </w:rPr>
        <w:t>23.2中标结果公告内容包括采购人及其委托的采购机构的名称、地址、联系方式，项目名称和项目编号，中标人名称、地址和中标金额。</w:t>
      </w:r>
    </w:p>
    <w:p w14:paraId="4F626953">
      <w:pPr>
        <w:rPr>
          <w:color w:val="000000" w:themeColor="text1"/>
          <w14:textFill>
            <w14:solidFill>
              <w14:schemeClr w14:val="tx1"/>
            </w14:solidFill>
          </w14:textFill>
        </w:rPr>
      </w:pPr>
      <w:r>
        <w:rPr>
          <w:rFonts w:hint="eastAsia"/>
          <w:color w:val="000000" w:themeColor="text1"/>
          <w14:textFill>
            <w14:solidFill>
              <w14:schemeClr w14:val="tx1"/>
            </w14:solidFill>
          </w14:textFill>
        </w:rPr>
        <w:t>23.3公告期限为1个工作日。</w:t>
      </w:r>
    </w:p>
    <w:p w14:paraId="27F7DC5A">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七、合同授予</w:t>
      </w:r>
    </w:p>
    <w:p w14:paraId="3EFF9DA5">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 合同主要条款详见第五部分拟签订的合同文本。</w:t>
      </w:r>
    </w:p>
    <w:p w14:paraId="131E7B2A">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 合同的签订</w:t>
      </w:r>
    </w:p>
    <w:p w14:paraId="652666FF">
      <w:pPr>
        <w:rPr>
          <w:color w:val="000000" w:themeColor="text1"/>
          <w14:textFill>
            <w14:solidFill>
              <w14:schemeClr w14:val="tx1"/>
            </w14:solidFill>
          </w14:textFill>
        </w:rPr>
      </w:pPr>
      <w:r>
        <w:rPr>
          <w:rFonts w:hint="eastAsia"/>
          <w:color w:val="000000" w:themeColor="text1"/>
          <w14:textFill>
            <w14:solidFill>
              <w14:schemeClr w14:val="tx1"/>
            </w14:solidFill>
          </w14:textFill>
        </w:rPr>
        <w:t>25.1 采购人与中标人应当通过电子交易平台在中标通知书发出之日起三十日内，按照交易文件确定的事项签订政府采购合同。</w:t>
      </w:r>
    </w:p>
    <w:p w14:paraId="07A21D5F">
      <w:pPr>
        <w:rPr>
          <w:color w:val="000000" w:themeColor="text1"/>
          <w14:textFill>
            <w14:solidFill>
              <w14:schemeClr w14:val="tx1"/>
            </w14:solidFill>
          </w14:textFill>
        </w:rPr>
      </w:pPr>
      <w:r>
        <w:rPr>
          <w:rFonts w:hint="eastAsia"/>
          <w:color w:val="000000" w:themeColor="text1"/>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9D28ECD">
      <w:pPr>
        <w:rPr>
          <w:color w:val="000000" w:themeColor="text1"/>
          <w14:textFill>
            <w14:solidFill>
              <w14:schemeClr w14:val="tx1"/>
            </w14:solidFill>
          </w14:textFill>
        </w:rPr>
      </w:pPr>
      <w:r>
        <w:rPr>
          <w:rFonts w:hint="eastAsia"/>
          <w:color w:val="000000" w:themeColor="text1"/>
          <w14:textFill>
            <w14:solidFill>
              <w14:schemeClr w14:val="tx1"/>
            </w14:solidFill>
          </w14:textFill>
        </w:rPr>
        <w:t>25.3如签订合同并生效后，供应商无故拒绝或延期，除按照合同条款处理外，列入不良行为记录一次，并给予通报。</w:t>
      </w:r>
    </w:p>
    <w:p w14:paraId="2713A2C2">
      <w:pPr>
        <w:rPr>
          <w:color w:val="000000" w:themeColor="text1"/>
          <w14:textFill>
            <w14:solidFill>
              <w14:schemeClr w14:val="tx1"/>
            </w14:solidFill>
          </w14:textFill>
        </w:rPr>
      </w:pPr>
      <w:r>
        <w:rPr>
          <w:rFonts w:hint="eastAsia"/>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69A7BA7">
      <w:pPr>
        <w:rPr>
          <w:color w:val="000000" w:themeColor="text1"/>
          <w14:textFill>
            <w14:solidFill>
              <w14:schemeClr w14:val="tx1"/>
            </w14:solidFill>
          </w14:textFill>
        </w:rPr>
      </w:pPr>
    </w:p>
    <w:p w14:paraId="0BE5AE51">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八、电子交易活动的中止</w:t>
      </w:r>
    </w:p>
    <w:p w14:paraId="7B8AA21D">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 电子交易活动的中止。</w:t>
      </w:r>
    </w:p>
    <w:p w14:paraId="7BDF1A51">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295166EC">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26.1电子交易平台发生故障而无法登录访问的； </w:t>
      </w:r>
    </w:p>
    <w:p w14:paraId="3A67ED1A">
      <w:pPr>
        <w:rPr>
          <w:color w:val="000000" w:themeColor="text1"/>
          <w14:textFill>
            <w14:solidFill>
              <w14:schemeClr w14:val="tx1"/>
            </w14:solidFill>
          </w14:textFill>
        </w:rPr>
      </w:pPr>
      <w:r>
        <w:rPr>
          <w:rFonts w:hint="eastAsia"/>
          <w:color w:val="000000" w:themeColor="text1"/>
          <w14:textFill>
            <w14:solidFill>
              <w14:schemeClr w14:val="tx1"/>
            </w14:solidFill>
          </w14:textFill>
        </w:rPr>
        <w:t>26.2电子交易平台应用或数据库出现错误，不能进行正常操作的；</w:t>
      </w:r>
    </w:p>
    <w:p w14:paraId="32993628">
      <w:pPr>
        <w:rPr>
          <w:color w:val="000000" w:themeColor="text1"/>
          <w14:textFill>
            <w14:solidFill>
              <w14:schemeClr w14:val="tx1"/>
            </w14:solidFill>
          </w14:textFill>
        </w:rPr>
      </w:pPr>
      <w:r>
        <w:rPr>
          <w:rFonts w:hint="eastAsia"/>
          <w:color w:val="000000" w:themeColor="text1"/>
          <w14:textFill>
            <w14:solidFill>
              <w14:schemeClr w14:val="tx1"/>
            </w14:solidFill>
          </w14:textFill>
        </w:rPr>
        <w:t>26.3电子交易平台发现严重安全漏洞，有潜在泄密危险的；</w:t>
      </w:r>
    </w:p>
    <w:p w14:paraId="5671C9E7">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26.4病毒发作导致不能进行正常操作的； </w:t>
      </w:r>
    </w:p>
    <w:p w14:paraId="33345DDC">
      <w:pPr>
        <w:rPr>
          <w:color w:val="000000" w:themeColor="text1"/>
          <w14:textFill>
            <w14:solidFill>
              <w14:schemeClr w14:val="tx1"/>
            </w14:solidFill>
          </w14:textFill>
        </w:rPr>
      </w:pPr>
      <w:r>
        <w:rPr>
          <w:rFonts w:hint="eastAsia"/>
          <w:color w:val="000000" w:themeColor="text1"/>
          <w14:textFill>
            <w14:solidFill>
              <w14:schemeClr w14:val="tx1"/>
            </w14:solidFill>
          </w14:textFill>
        </w:rPr>
        <w:t>26.5其他无法保证电子交易的公平、公正和安全的情况。</w:t>
      </w:r>
    </w:p>
    <w:p w14:paraId="3F4F4E38">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07D15638">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九、验收</w:t>
      </w:r>
    </w:p>
    <w:p w14:paraId="5D179B94">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28.验收</w:t>
      </w:r>
    </w:p>
    <w:p w14:paraId="39CDD443">
      <w:pPr>
        <w:rPr>
          <w:color w:val="000000" w:themeColor="text1"/>
          <w14:textFill>
            <w14:solidFill>
              <w14:schemeClr w14:val="tx1"/>
            </w14:solidFill>
          </w14:textFill>
        </w:rPr>
      </w:pPr>
      <w:r>
        <w:rPr>
          <w:rFonts w:hint="eastAsia"/>
          <w:color w:val="000000" w:themeColor="text1"/>
          <w14:textFill>
            <w14:solidFill>
              <w14:schemeClr w14:val="tx1"/>
            </w14:solidFill>
          </w14:textFill>
        </w:rPr>
        <w:t>28.1采购人应当组织对供应商履约的验收。</w:t>
      </w:r>
    </w:p>
    <w:p w14:paraId="370FFF85">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4D49E837">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第三部分   采购需求</w:t>
      </w:r>
    </w:p>
    <w:p w14:paraId="273855C8">
      <w:pPr>
        <w:snapToGrid w:val="0"/>
        <w:rPr>
          <w:rStyle w:val="53"/>
          <w:i w:val="0"/>
          <w:iCs w:val="0"/>
          <w:color w:val="000000" w:themeColor="text1"/>
          <w14:textFill>
            <w14:solidFill>
              <w14:schemeClr w14:val="tx1"/>
            </w14:solidFill>
          </w14:textFill>
        </w:rPr>
      </w:pPr>
      <w:r>
        <w:rPr>
          <w:rStyle w:val="53"/>
          <w:rFonts w:hint="eastAsia"/>
          <w:i w:val="0"/>
          <w:iCs w:val="0"/>
          <w:color w:val="000000" w:themeColor="text1"/>
          <w14:textFill>
            <w14:solidFill>
              <w14:schemeClr w14:val="tx1"/>
            </w14:solidFill>
          </w14:textFill>
        </w:rPr>
        <w:t>属于实质性要求条款的，请用符号“▲”标明，否则属于非实质性要求。</w:t>
      </w:r>
    </w:p>
    <w:p w14:paraId="270D10F2">
      <w:pPr>
        <w:snapToGrid w:val="0"/>
        <w:rPr>
          <w:rStyle w:val="53"/>
          <w:i w:val="0"/>
          <w:iCs w:val="0"/>
          <w:color w:val="000000" w:themeColor="text1"/>
          <w14:textFill>
            <w14:solidFill>
              <w14:schemeClr w14:val="tx1"/>
            </w14:solidFill>
          </w14:textFill>
        </w:rPr>
      </w:pPr>
      <w:r>
        <w:rPr>
          <w:rStyle w:val="53"/>
          <w:rFonts w:hint="eastAsia"/>
          <w:i w:val="0"/>
          <w:iCs w:val="0"/>
          <w:color w:val="000000" w:themeColor="text1"/>
          <w14:textFill>
            <w14:solidFill>
              <w14:schemeClr w14:val="tx1"/>
            </w14:solidFill>
          </w14:textFill>
        </w:rPr>
        <w:t>“★”系产品采购项目中单一产品或核心产品。</w:t>
      </w:r>
    </w:p>
    <w:p w14:paraId="6DD899E6">
      <w:pPr>
        <w:numPr>
          <w:ilvl w:val="0"/>
          <w:numId w:val="2"/>
        </w:numPr>
        <w:spacing w:line="360" w:lineRule="auto"/>
        <w:ind w:left="360" w:hanging="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交易一览表</w:t>
      </w:r>
    </w:p>
    <w:p w14:paraId="74A74A25">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交易项：一</w:t>
      </w:r>
    </w:p>
    <w:tbl>
      <w:tblPr>
        <w:tblStyle w:val="25"/>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850"/>
        <w:gridCol w:w="851"/>
        <w:gridCol w:w="1309"/>
        <w:gridCol w:w="2048"/>
      </w:tblGrid>
      <w:tr w14:paraId="10B6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14:paraId="7A0E1F65">
            <w:pPr>
              <w:jc w:val="center"/>
              <w:rPr>
                <w:b/>
                <w:color w:val="000000" w:themeColor="text1"/>
                <w14:textFill>
                  <w14:solidFill>
                    <w14:schemeClr w14:val="tx1"/>
                  </w14:solidFill>
                </w14:textFill>
              </w:rPr>
            </w:pPr>
            <w:bookmarkStart w:id="4" w:name="_二期网络工程项目改造需求"/>
            <w:bookmarkEnd w:id="4"/>
            <w:r>
              <w:rPr>
                <w:rFonts w:hint="eastAsia"/>
                <w:b/>
                <w:color w:val="000000" w:themeColor="text1"/>
                <w14:textFill>
                  <w14:solidFill>
                    <w14:schemeClr w14:val="tx1"/>
                  </w14:solidFill>
                </w14:textFill>
              </w:rPr>
              <w:t>交易项</w:t>
            </w:r>
          </w:p>
        </w:tc>
        <w:tc>
          <w:tcPr>
            <w:tcW w:w="2551" w:type="dxa"/>
            <w:vAlign w:val="center"/>
          </w:tcPr>
          <w:p w14:paraId="1895E9A1">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项目内容</w:t>
            </w:r>
          </w:p>
        </w:tc>
        <w:tc>
          <w:tcPr>
            <w:tcW w:w="850" w:type="dxa"/>
            <w:vAlign w:val="center"/>
          </w:tcPr>
          <w:p w14:paraId="512DF91C">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851" w:type="dxa"/>
            <w:vAlign w:val="center"/>
          </w:tcPr>
          <w:p w14:paraId="63D5A9D3">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309" w:type="dxa"/>
            <w:vAlign w:val="center"/>
          </w:tcPr>
          <w:p w14:paraId="273E7B01">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参考品牌</w:t>
            </w:r>
          </w:p>
        </w:tc>
        <w:tc>
          <w:tcPr>
            <w:tcW w:w="2048" w:type="dxa"/>
            <w:vAlign w:val="center"/>
          </w:tcPr>
          <w:p w14:paraId="12A75861">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是否为核心产品</w:t>
            </w:r>
          </w:p>
        </w:tc>
      </w:tr>
      <w:tr w14:paraId="744C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14:paraId="4EAB222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551" w:type="dxa"/>
            <w:vAlign w:val="center"/>
          </w:tcPr>
          <w:p w14:paraId="55A993FB">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浙江开放大学萧山学院办公平台人资管理和移动端模块采购</w:t>
            </w:r>
          </w:p>
        </w:tc>
        <w:tc>
          <w:tcPr>
            <w:tcW w:w="850" w:type="dxa"/>
            <w:vAlign w:val="center"/>
          </w:tcPr>
          <w:p w14:paraId="222FDB0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批</w:t>
            </w:r>
          </w:p>
        </w:tc>
        <w:tc>
          <w:tcPr>
            <w:tcW w:w="851" w:type="dxa"/>
            <w:vAlign w:val="center"/>
          </w:tcPr>
          <w:p w14:paraId="07BBA4D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09" w:type="dxa"/>
            <w:vAlign w:val="center"/>
          </w:tcPr>
          <w:p w14:paraId="11A6A105">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p>
        </w:tc>
        <w:tc>
          <w:tcPr>
            <w:tcW w:w="2048" w:type="dxa"/>
            <w:vAlign w:val="center"/>
          </w:tcPr>
          <w:p w14:paraId="4B6942E0">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p>
        </w:tc>
      </w:tr>
    </w:tbl>
    <w:p w14:paraId="3BFEAABD">
      <w:pPr>
        <w:rPr>
          <w:color w:val="000000" w:themeColor="text1"/>
          <w14:textFill>
            <w14:solidFill>
              <w14:schemeClr w14:val="tx1"/>
            </w14:solidFill>
          </w14:textFill>
        </w:rPr>
      </w:pPr>
    </w:p>
    <w:p w14:paraId="167D2137">
      <w:pPr>
        <w:widowControl w:val="0"/>
        <w:spacing w:line="36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二、招标需求</w:t>
      </w:r>
    </w:p>
    <w:p w14:paraId="24A98671">
      <w:pPr>
        <w:numPr>
          <w:ilvl w:val="0"/>
          <w:numId w:val="3"/>
        </w:numPr>
      </w:pPr>
      <w:r>
        <w:rPr>
          <w:rFonts w:hint="eastAsia"/>
        </w:rPr>
        <w:t>技术需求：</w:t>
      </w:r>
    </w:p>
    <w:p w14:paraId="2A923AFD">
      <w:pPr>
        <w:autoSpaceDE w:val="0"/>
        <w:autoSpaceDN w:val="0"/>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目前学院人事档案管理、薪资核算业务通过线下excel进行，费时费力，效率较低，已不能满足正常管理需求。为了提高工作效率，确保数据安全，实现更为智能化与移动办公，并且充分考虑后续业务功能的拓展性，需对OA系统进行升级改造，新增建设绩效考核与薪资管理模块、人事档案管理模块、移动办公门户，并部署数据中心平台和移动应用设计引擎平台确保系统的拓展性。具体功能见功能清单。</w:t>
      </w:r>
    </w:p>
    <w:p w14:paraId="1A36FAA9">
      <w:pPr>
        <w:autoSpaceDE w:val="0"/>
        <w:autoSpaceDN w:val="0"/>
        <w:adjustRightInd w:val="0"/>
        <w:ind w:firstLine="482" w:firstLineChars="200"/>
        <w:rPr>
          <w:rFonts w:hint="eastAsia" w:ascii="仿宋_GB2312" w:hAnsi="宋体" w:eastAsia="仿宋_GB2312"/>
          <w:b/>
          <w:bCs/>
          <w:color w:val="000000"/>
          <w:sz w:val="24"/>
        </w:rPr>
      </w:pPr>
      <w:r>
        <w:rPr>
          <w:rFonts w:hint="eastAsia" w:ascii="仿宋_GB2312" w:hAnsi="宋体" w:eastAsia="仿宋_GB2312"/>
          <w:b/>
          <w:bCs/>
          <w:color w:val="000000"/>
          <w:sz w:val="24"/>
        </w:rPr>
        <w:t>功能清单：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5103"/>
        <w:gridCol w:w="930"/>
      </w:tblGrid>
      <w:tr w14:paraId="7E71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D20703D">
            <w:pPr>
              <w:jc w:val="center"/>
            </w:pPr>
            <w:r>
              <w:rPr>
                <w:rFonts w:hint="eastAsia"/>
              </w:rPr>
              <w:t>序号</w:t>
            </w:r>
          </w:p>
        </w:tc>
        <w:tc>
          <w:tcPr>
            <w:tcW w:w="1559" w:type="dxa"/>
          </w:tcPr>
          <w:p w14:paraId="507E8C48">
            <w:pPr>
              <w:jc w:val="center"/>
            </w:pPr>
            <w:r>
              <w:rPr>
                <w:rFonts w:hint="eastAsia"/>
              </w:rPr>
              <w:t>模块</w:t>
            </w:r>
          </w:p>
        </w:tc>
        <w:tc>
          <w:tcPr>
            <w:tcW w:w="5103" w:type="dxa"/>
          </w:tcPr>
          <w:p w14:paraId="21D881DF">
            <w:pPr>
              <w:jc w:val="center"/>
            </w:pPr>
            <w:r>
              <w:rPr>
                <w:rFonts w:hint="eastAsia"/>
              </w:rPr>
              <w:t>服务内容</w:t>
            </w:r>
          </w:p>
        </w:tc>
        <w:tc>
          <w:tcPr>
            <w:tcW w:w="930" w:type="dxa"/>
          </w:tcPr>
          <w:p w14:paraId="09FB0814">
            <w:pPr>
              <w:jc w:val="center"/>
            </w:pPr>
            <w:r>
              <w:rPr>
                <w:rFonts w:hint="eastAsia"/>
              </w:rPr>
              <w:t>备注</w:t>
            </w:r>
          </w:p>
        </w:tc>
      </w:tr>
      <w:tr w14:paraId="1E86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907C8A6">
            <w:pPr>
              <w:jc w:val="center"/>
            </w:pPr>
            <w:r>
              <w:rPr>
                <w:rFonts w:hint="eastAsia"/>
              </w:rPr>
              <w:t>1</w:t>
            </w:r>
          </w:p>
        </w:tc>
        <w:tc>
          <w:tcPr>
            <w:tcW w:w="1559" w:type="dxa"/>
          </w:tcPr>
          <w:p w14:paraId="6BC29E7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绩效考核</w:t>
            </w:r>
          </w:p>
          <w:p w14:paraId="51AA82E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与</w:t>
            </w:r>
          </w:p>
          <w:p w14:paraId="6AA96F2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薪资管理</w:t>
            </w:r>
          </w:p>
        </w:tc>
        <w:tc>
          <w:tcPr>
            <w:tcW w:w="5103" w:type="dxa"/>
          </w:tcPr>
          <w:p w14:paraId="7488B313">
            <w:pPr>
              <w:rPr>
                <w:color w:val="000000" w:themeColor="text1"/>
                <w14:textFill>
                  <w14:solidFill>
                    <w14:schemeClr w14:val="tx1"/>
                  </w14:solidFill>
                </w14:textFill>
              </w:rPr>
            </w:pPr>
            <w:r>
              <w:rPr>
                <w:rFonts w:hint="eastAsia"/>
                <w:color w:val="000000" w:themeColor="text1"/>
                <w14:textFill>
                  <w14:solidFill>
                    <w14:schemeClr w14:val="tx1"/>
                  </w14:solidFill>
                </w14:textFill>
              </w:rPr>
              <w:t>绩效考核：</w:t>
            </w:r>
          </w:p>
          <w:p w14:paraId="77F2D10A">
            <w:pPr>
              <w:rPr>
                <w:color w:val="000000" w:themeColor="text1"/>
                <w14:textFill>
                  <w14:solidFill>
                    <w14:schemeClr w14:val="tx1"/>
                  </w14:solidFill>
                </w14:textFill>
              </w:rPr>
            </w:pPr>
            <w:r>
              <w:rPr>
                <w:rFonts w:hint="eastAsia" w:ascii="微软雅黑" w:hAnsi="微软雅黑" w:eastAsia="微软雅黑" w:cs="微软雅黑"/>
                <w:b/>
                <w:bCs/>
                <w:szCs w:val="21"/>
              </w:rPr>
              <w:t>▄</w:t>
            </w:r>
            <w:r>
              <w:rPr>
                <w:rFonts w:hint="eastAsia"/>
                <w:color w:val="000000" w:themeColor="text1"/>
                <w14:textFill>
                  <w14:solidFill>
                    <w14:schemeClr w14:val="tx1"/>
                  </w14:solidFill>
                </w14:textFill>
              </w:rPr>
              <w:t>1、实现各类绩效网上填报（教学科研、管理服务、加班值班等）；</w:t>
            </w:r>
          </w:p>
          <w:p w14:paraId="643089B0">
            <w:pPr>
              <w:rPr>
                <w:color w:val="000000" w:themeColor="text1"/>
                <w14:textFill>
                  <w14:solidFill>
                    <w14:schemeClr w14:val="tx1"/>
                  </w14:solidFill>
                </w14:textFill>
              </w:rPr>
            </w:pPr>
            <w:r>
              <w:rPr>
                <w:rFonts w:hint="eastAsia"/>
                <w:color w:val="000000" w:themeColor="text1"/>
                <w14:textFill>
                  <w14:solidFill>
                    <w14:schemeClr w14:val="tx1"/>
                  </w14:solidFill>
                </w14:textFill>
              </w:rPr>
              <w:t>2、根据学院要求，建设流程对填报数据审核与审批；</w:t>
            </w:r>
          </w:p>
          <w:p w14:paraId="68A46016">
            <w:pPr>
              <w:rPr>
                <w:color w:val="000000" w:themeColor="text1"/>
                <w14:textFill>
                  <w14:solidFill>
                    <w14:schemeClr w14:val="tx1"/>
                  </w14:solidFill>
                </w14:textFill>
              </w:rPr>
            </w:pPr>
            <w:r>
              <w:rPr>
                <w:rFonts w:hint="eastAsia"/>
                <w:color w:val="000000" w:themeColor="text1"/>
                <w14:textFill>
                  <w14:solidFill>
                    <w14:schemeClr w14:val="tx1"/>
                  </w14:solidFill>
                </w14:textFill>
              </w:rPr>
              <w:t>3、数据与内容按操作人的职权和学院相关制度查阅；</w:t>
            </w:r>
          </w:p>
          <w:p w14:paraId="67925993">
            <w:pPr>
              <w:rPr>
                <w:color w:val="000000" w:themeColor="text1"/>
                <w14:textFill>
                  <w14:solidFill>
                    <w14:schemeClr w14:val="tx1"/>
                  </w14:solidFill>
                </w14:textFill>
              </w:rPr>
            </w:pPr>
            <w:r>
              <w:rPr>
                <w:rFonts w:hint="eastAsia" w:ascii="微软雅黑" w:hAnsi="微软雅黑" w:eastAsia="微软雅黑" w:cs="微软雅黑"/>
                <w:b/>
                <w:bCs/>
                <w:szCs w:val="21"/>
              </w:rPr>
              <w:t>▄</w:t>
            </w:r>
            <w:r>
              <w:rPr>
                <w:rFonts w:hint="eastAsia"/>
                <w:color w:val="000000" w:themeColor="text1"/>
                <w14:textFill>
                  <w14:solidFill>
                    <w14:schemeClr w14:val="tx1"/>
                  </w14:solidFill>
                </w14:textFill>
              </w:rPr>
              <w:t>4、各类绩效考核，按学院所需生成汇总与统计报表。</w:t>
            </w:r>
          </w:p>
          <w:p w14:paraId="58D56C36">
            <w:pPr>
              <w:rPr>
                <w:color w:val="000000" w:themeColor="text1"/>
                <w14:textFill>
                  <w14:solidFill>
                    <w14:schemeClr w14:val="tx1"/>
                  </w14:solidFill>
                </w14:textFill>
              </w:rPr>
            </w:pPr>
            <w:r>
              <w:rPr>
                <w:rFonts w:hint="eastAsia"/>
                <w:color w:val="000000" w:themeColor="text1"/>
                <w14:textFill>
                  <w14:solidFill>
                    <w14:schemeClr w14:val="tx1"/>
                  </w14:solidFill>
                </w14:textFill>
              </w:rPr>
              <w:t>薪资管理：</w:t>
            </w:r>
          </w:p>
          <w:p w14:paraId="7AA28099">
            <w:pPr>
              <w:rPr>
                <w:color w:val="000000" w:themeColor="text1"/>
                <w14:textFill>
                  <w14:solidFill>
                    <w14:schemeClr w14:val="tx1"/>
                  </w14:solidFill>
                </w14:textFill>
              </w:rPr>
            </w:pPr>
            <w:r>
              <w:rPr>
                <w:rFonts w:hint="eastAsia" w:ascii="微软雅黑" w:hAnsi="微软雅黑" w:eastAsia="微软雅黑" w:cs="微软雅黑"/>
                <w:b/>
                <w:bCs/>
                <w:szCs w:val="21"/>
              </w:rPr>
              <w:t>▄</w:t>
            </w:r>
            <w:r>
              <w:rPr>
                <w:rFonts w:hint="eastAsia"/>
                <w:color w:val="000000" w:themeColor="text1"/>
                <w14:textFill>
                  <w14:solidFill>
                    <w14:schemeClr w14:val="tx1"/>
                  </w14:solidFill>
                </w14:textFill>
              </w:rPr>
              <w:t>1、按相关文件要求，定制薪酬和奖金标准，每位教职工的薪资将根据自身岗位、职务、职称、职级等自动生成。</w:t>
            </w:r>
          </w:p>
          <w:p w14:paraId="46915BF7">
            <w:pPr>
              <w:rPr>
                <w:color w:val="000000" w:themeColor="text1"/>
                <w14:textFill>
                  <w14:solidFill>
                    <w14:schemeClr w14:val="tx1"/>
                  </w14:solidFill>
                </w14:textFill>
              </w:rPr>
            </w:pPr>
            <w:r>
              <w:rPr>
                <w:rFonts w:hint="eastAsia"/>
                <w:color w:val="000000" w:themeColor="text1"/>
                <w14:textFill>
                  <w14:solidFill>
                    <w14:schemeClr w14:val="tx1"/>
                  </w14:solidFill>
                </w14:textFill>
              </w:rPr>
              <w:t>2、智能化薪酬管理系统，支持与考勤管理、人事管理和绩效考核等业务模块的数据接口无缝衔接。在计算薪酬时，能引入的绩效考核结果、员工考勤信息等作为工资项目进行计算。</w:t>
            </w:r>
          </w:p>
          <w:p w14:paraId="7D71B0DF">
            <w:pPr>
              <w:rPr>
                <w:color w:val="000000" w:themeColor="text1"/>
                <w14:textFill>
                  <w14:solidFill>
                    <w14:schemeClr w14:val="tx1"/>
                  </w14:solidFill>
                </w14:textFill>
              </w:rPr>
            </w:pPr>
            <w:r>
              <w:rPr>
                <w:rFonts w:hint="eastAsia"/>
                <w:color w:val="000000" w:themeColor="text1"/>
                <w14:textFill>
                  <w14:solidFill>
                    <w14:schemeClr w14:val="tx1"/>
                  </w14:solidFill>
                </w14:textFill>
              </w:rPr>
              <w:t>3、自动计算五险一金、税费、党费、工会费等扣缴费清单，并能导出转交其他单位。个人可以查阅相关情况。</w:t>
            </w:r>
          </w:p>
          <w:p w14:paraId="011B209D">
            <w:pPr>
              <w:rPr>
                <w:color w:val="000000" w:themeColor="text1"/>
                <w14:textFill>
                  <w14:solidFill>
                    <w14:schemeClr w14:val="tx1"/>
                  </w14:solidFill>
                </w14:textFill>
              </w:rPr>
            </w:pPr>
            <w:r>
              <w:rPr>
                <w:rFonts w:hint="eastAsia"/>
                <w:color w:val="000000" w:themeColor="text1"/>
                <w14:textFill>
                  <w14:solidFill>
                    <w14:schemeClr w14:val="tx1"/>
                  </w14:solidFill>
                </w14:textFill>
              </w:rPr>
              <w:t>4、薪资报表</w:t>
            </w:r>
          </w:p>
        </w:tc>
        <w:tc>
          <w:tcPr>
            <w:tcW w:w="930" w:type="dxa"/>
          </w:tcPr>
          <w:p w14:paraId="08BEE5E7"/>
        </w:tc>
      </w:tr>
      <w:tr w14:paraId="16B0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2A6B8AD">
            <w:pPr>
              <w:jc w:val="center"/>
            </w:pPr>
            <w:r>
              <w:rPr>
                <w:rFonts w:hint="eastAsia"/>
              </w:rPr>
              <w:t>2</w:t>
            </w:r>
          </w:p>
        </w:tc>
        <w:tc>
          <w:tcPr>
            <w:tcW w:w="1559" w:type="dxa"/>
          </w:tcPr>
          <w:p w14:paraId="5107685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人事档案管理</w:t>
            </w:r>
          </w:p>
        </w:tc>
        <w:tc>
          <w:tcPr>
            <w:tcW w:w="5103" w:type="dxa"/>
          </w:tcPr>
          <w:p w14:paraId="2E3FD297">
            <w:pPr>
              <w:rPr>
                <w:color w:val="000000" w:themeColor="text1"/>
                <w14:textFill>
                  <w14:solidFill>
                    <w14:schemeClr w14:val="tx1"/>
                  </w14:solidFill>
                </w14:textFill>
              </w:rPr>
            </w:pPr>
            <w:r>
              <w:rPr>
                <w:rFonts w:hint="eastAsia"/>
                <w:color w:val="000000" w:themeColor="text1"/>
                <w14:textFill>
                  <w14:solidFill>
                    <w14:schemeClr w14:val="tx1"/>
                  </w14:solidFill>
                </w14:textFill>
              </w:rPr>
              <w:t>基于OA系统构建全程线上的人事档案管理。</w:t>
            </w:r>
          </w:p>
          <w:p w14:paraId="53617F78">
            <w:pPr>
              <w:rPr>
                <w:color w:val="000000" w:themeColor="text1"/>
                <w14:textFill>
                  <w14:solidFill>
                    <w14:schemeClr w14:val="tx1"/>
                  </w14:solidFill>
                </w14:textFill>
              </w:rPr>
            </w:pPr>
            <w:r>
              <w:rPr>
                <w:rFonts w:hint="eastAsia" w:ascii="微软雅黑" w:hAnsi="微软雅黑" w:eastAsia="微软雅黑" w:cs="微软雅黑"/>
                <w:b/>
                <w:bCs/>
                <w:szCs w:val="21"/>
              </w:rPr>
              <w:t>▄</w:t>
            </w:r>
            <w:r>
              <w:rPr>
                <w:rFonts w:hint="eastAsia"/>
                <w:color w:val="000000" w:themeColor="text1"/>
                <w14:textFill>
                  <w14:solidFill>
                    <w14:schemeClr w14:val="tx1"/>
                  </w14:solidFill>
                </w14:textFill>
              </w:rPr>
              <w:t>1、人员异动管理：入职、转正、调岗调级调职、离职、退休、返聘。并能与资产联动，实现相关资产转移。</w:t>
            </w:r>
          </w:p>
          <w:p w14:paraId="042BEB79">
            <w:pPr>
              <w:rPr>
                <w:color w:val="000000" w:themeColor="text1"/>
                <w14:textFill>
                  <w14:solidFill>
                    <w14:schemeClr w14:val="tx1"/>
                  </w14:solidFill>
                </w14:textFill>
              </w:rPr>
            </w:pPr>
            <w:r>
              <w:rPr>
                <w:rFonts w:hint="eastAsia"/>
                <w:color w:val="000000" w:themeColor="text1"/>
                <w14:textFill>
                  <w14:solidFill>
                    <w14:schemeClr w14:val="tx1"/>
                  </w14:solidFill>
                </w14:textFill>
              </w:rPr>
              <w:t>2、构建完善的人员档案管理：基础信息、学习进修培训经历、任职经历、职称与职务经历、工作经历等。结合教师工作特色，记录教务教学经历、班主任工作经历以及科研进修等相关信息。</w:t>
            </w:r>
          </w:p>
          <w:p w14:paraId="4B310777">
            <w:pPr>
              <w:rPr>
                <w:color w:val="000000" w:themeColor="text1"/>
                <w14:textFill>
                  <w14:solidFill>
                    <w14:schemeClr w14:val="tx1"/>
                  </w14:solidFill>
                </w14:textFill>
              </w:rPr>
            </w:pPr>
            <w:r>
              <w:rPr>
                <w:rFonts w:hint="eastAsia"/>
                <w:color w:val="000000" w:themeColor="text1"/>
                <w14:textFill>
                  <w14:solidFill>
                    <w14:schemeClr w14:val="tx1"/>
                  </w14:solidFill>
                </w14:textFill>
              </w:rPr>
              <w:t>3、支持多样化的数据统计报表（如教师岗位相关信息表、岗位量化分数表等数据报表）。</w:t>
            </w:r>
          </w:p>
          <w:p w14:paraId="3F8EDBD3">
            <w:pPr>
              <w:rPr>
                <w:color w:val="000000" w:themeColor="text1"/>
                <w14:textFill>
                  <w14:solidFill>
                    <w14:schemeClr w14:val="tx1"/>
                  </w14:solidFill>
                </w14:textFill>
              </w:rPr>
            </w:pPr>
            <w:r>
              <w:rPr>
                <w:rFonts w:hint="eastAsia"/>
                <w:color w:val="000000" w:themeColor="text1"/>
                <w14:textFill>
                  <w14:solidFill>
                    <w14:schemeClr w14:val="tx1"/>
                  </w14:solidFill>
                </w14:textFill>
              </w:rPr>
              <w:t>4、能自动灵活生成各类名册，如党员名册（按支部）、工会会员名册（按小组等）、干部名册等，并能直接用于线上填报、活动参与登记等。</w:t>
            </w:r>
          </w:p>
          <w:p w14:paraId="33EC4DC3">
            <w:pPr>
              <w:rPr>
                <w:color w:val="000000" w:themeColor="text1"/>
                <w14:textFill>
                  <w14:solidFill>
                    <w14:schemeClr w14:val="tx1"/>
                  </w14:solidFill>
                </w14:textFill>
              </w:rPr>
            </w:pPr>
            <w:r>
              <w:rPr>
                <w:rFonts w:hint="eastAsia"/>
                <w:color w:val="000000" w:themeColor="text1"/>
                <w14:textFill>
                  <w14:solidFill>
                    <w14:schemeClr w14:val="tx1"/>
                  </w14:solidFill>
                </w14:textFill>
              </w:rPr>
              <w:t>5、能灵活生成各类档案卡、登记表、情况表等按要求生成pdf文件。例如：业务档案卡、考核登记表、先锋党员登记表、中层干部情况表、党支部组织生活会个人情况登记表等。</w:t>
            </w:r>
          </w:p>
          <w:p w14:paraId="243B9560">
            <w:pPr>
              <w:rPr>
                <w:color w:val="000000" w:themeColor="text1"/>
                <w14:textFill>
                  <w14:solidFill>
                    <w14:schemeClr w14:val="tx1"/>
                  </w14:solidFill>
                </w14:textFill>
              </w:rPr>
            </w:pPr>
            <w:r>
              <w:rPr>
                <w:rFonts w:hint="eastAsia"/>
                <w:color w:val="000000" w:themeColor="text1"/>
                <w14:textFill>
                  <w14:solidFill>
                    <w14:schemeClr w14:val="tx1"/>
                  </w14:solidFill>
                </w14:textFill>
              </w:rPr>
              <w:t>6、考勤优化。优化考勤视图、优化考勤报表；结合会议管理模块和请假信息生成会议考勤报表；</w:t>
            </w:r>
          </w:p>
        </w:tc>
        <w:tc>
          <w:tcPr>
            <w:tcW w:w="930" w:type="dxa"/>
          </w:tcPr>
          <w:p w14:paraId="1CDE4956"/>
        </w:tc>
      </w:tr>
      <w:tr w14:paraId="41F7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7EE102C">
            <w:pPr>
              <w:jc w:val="center"/>
            </w:pPr>
            <w:r>
              <w:rPr>
                <w:rFonts w:hint="eastAsia"/>
              </w:rPr>
              <w:t>3</w:t>
            </w:r>
          </w:p>
        </w:tc>
        <w:tc>
          <w:tcPr>
            <w:tcW w:w="1559" w:type="dxa"/>
          </w:tcPr>
          <w:p w14:paraId="72EF1F94">
            <w:pPr>
              <w:jc w:val="center"/>
            </w:pPr>
            <w:r>
              <w:rPr>
                <w:rFonts w:hint="eastAsia"/>
              </w:rPr>
              <w:t>移动门户</w:t>
            </w:r>
          </w:p>
        </w:tc>
        <w:tc>
          <w:tcPr>
            <w:tcW w:w="5103" w:type="dxa"/>
          </w:tcPr>
          <w:p w14:paraId="2EFBDCBF">
            <w:r>
              <w:rPr>
                <w:rFonts w:hint="eastAsia" w:ascii="微软雅黑" w:hAnsi="微软雅黑" w:eastAsia="微软雅黑" w:cs="微软雅黑"/>
                <w:b/>
                <w:bCs/>
                <w:szCs w:val="21"/>
              </w:rPr>
              <w:t>▄</w:t>
            </w:r>
            <w:r>
              <w:rPr>
                <w:rFonts w:hint="eastAsia"/>
              </w:rPr>
              <w:t>1、协助学校构建基于微信和钉钉移动办公生态圈，并提供建议和意见。</w:t>
            </w:r>
          </w:p>
          <w:p w14:paraId="744DCC15">
            <w:r>
              <w:rPr>
                <w:rFonts w:hint="eastAsia" w:ascii="微软雅黑" w:hAnsi="微软雅黑" w:eastAsia="微软雅黑" w:cs="微软雅黑"/>
                <w:b/>
                <w:bCs/>
                <w:szCs w:val="21"/>
              </w:rPr>
              <w:t>▄</w:t>
            </w:r>
            <w:r>
              <w:rPr>
                <w:rFonts w:hint="eastAsia"/>
              </w:rPr>
              <w:t>2、建设移动办公门户，移动办公门户应具有与桌面办公门户一致的核心要素，并与办公门户同步。主要有通知、流程中心、常用流程的快捷入口。</w:t>
            </w:r>
          </w:p>
          <w:p w14:paraId="5A9B686D">
            <w:r>
              <w:rPr>
                <w:rFonts w:hint="eastAsia"/>
              </w:rPr>
              <w:t>3、能快速查阅课表、文件、值班安排、通讯录、日程等。</w:t>
            </w:r>
          </w:p>
        </w:tc>
        <w:tc>
          <w:tcPr>
            <w:tcW w:w="930" w:type="dxa"/>
          </w:tcPr>
          <w:p w14:paraId="1701FA96"/>
        </w:tc>
      </w:tr>
    </w:tbl>
    <w:p w14:paraId="0BF09639">
      <w:pPr>
        <w:rPr>
          <w:rFonts w:hint="eastAsia"/>
        </w:rPr>
      </w:pPr>
      <w:r>
        <w:rPr>
          <w:rFonts w:hint="eastAsia"/>
        </w:rPr>
        <w:t>1、项目保障要求</w:t>
      </w:r>
    </w:p>
    <w:p w14:paraId="0738506D">
      <w:pPr>
        <w:rPr>
          <w:rFonts w:hint="eastAsia"/>
        </w:rPr>
      </w:pPr>
      <w:r>
        <w:rPr>
          <w:rFonts w:hint="eastAsia"/>
        </w:rPr>
        <w:t>系统建设过程中，保障浙江开放大学萧山学院OA办公系统不受影响。</w:t>
      </w:r>
    </w:p>
    <w:p w14:paraId="5A165D85">
      <w:pPr>
        <w:rPr>
          <w:rFonts w:hint="eastAsia"/>
        </w:rPr>
      </w:pPr>
      <w:r>
        <w:rPr>
          <w:rFonts w:hint="eastAsia"/>
        </w:rPr>
        <w:t>2、系统要求</w:t>
      </w:r>
    </w:p>
    <w:p w14:paraId="4E38F555">
      <w:pPr>
        <w:rPr>
          <w:rFonts w:hint="eastAsia"/>
        </w:rPr>
      </w:pPr>
      <w:r>
        <w:rPr>
          <w:rFonts w:hint="eastAsia"/>
        </w:rPr>
        <w:t>本次系统升级改造基于浙江开放大学萧山学院OA办公系统进行开发，确保与浙江开放大学萧山学院OA办公系统同一后台管理，同一数据库，统一组织架构。本次升级改造报价中应包含系统所需的软件与代码的正版授权和费用。</w:t>
      </w:r>
    </w:p>
    <w:p w14:paraId="74F5BEDE">
      <w:pPr>
        <w:rPr>
          <w:rFonts w:hint="eastAsia"/>
        </w:rPr>
      </w:pPr>
      <w:r>
        <w:rPr>
          <w:rFonts w:hint="eastAsia"/>
        </w:rPr>
        <w:t>3、人员要求</w:t>
      </w:r>
    </w:p>
    <w:p w14:paraId="0A33121D">
      <w:pPr>
        <w:rPr>
          <w:rFonts w:hint="eastAsia"/>
        </w:rPr>
      </w:pPr>
      <w:r>
        <w:rPr>
          <w:rFonts w:hint="eastAsia"/>
        </w:rPr>
        <w:t>要求实施团队开发人员要有三年以上同类型OA系统开发经验，项目实施期间，必须保障必要的现场服务人员。</w:t>
      </w:r>
    </w:p>
    <w:p w14:paraId="6818B678"/>
    <w:p w14:paraId="38D045DB"/>
    <w:p w14:paraId="25B3EBE6">
      <w:pPr>
        <w:pStyle w:val="11"/>
        <w:spacing w:line="360" w:lineRule="auto"/>
        <w:ind w:firstLine="0"/>
        <w:rPr>
          <w:rFonts w:hAnsi="宋体" w:cs="宋体"/>
          <w:bCs/>
          <w:sz w:val="24"/>
          <w:szCs w:val="24"/>
        </w:rPr>
      </w:pPr>
      <w:r>
        <w:rPr>
          <w:rFonts w:hint="eastAsia" w:hAnsi="宋体" w:cs="宋体"/>
          <w:bCs/>
          <w:sz w:val="24"/>
          <w:szCs w:val="24"/>
        </w:rPr>
        <w:t>商务参数：</w:t>
      </w:r>
    </w:p>
    <w:p w14:paraId="381AC43A">
      <w:pPr>
        <w:pStyle w:val="11"/>
        <w:spacing w:line="360" w:lineRule="auto"/>
        <w:ind w:firstLine="0"/>
        <w:rPr>
          <w:rFonts w:hAnsi="宋体" w:cs="宋体"/>
          <w:bCs/>
          <w:sz w:val="24"/>
          <w:szCs w:val="24"/>
        </w:rPr>
      </w:pPr>
      <w:r>
        <w:rPr>
          <w:rFonts w:hint="eastAsia" w:hAnsi="宋体" w:cs="宋体"/>
          <w:bCs/>
          <w:sz w:val="24"/>
          <w:szCs w:val="24"/>
        </w:rPr>
        <w:t>2.1交货时间</w:t>
      </w:r>
    </w:p>
    <w:p w14:paraId="2E706D47">
      <w:pPr>
        <w:pStyle w:val="11"/>
        <w:spacing w:line="360" w:lineRule="auto"/>
        <w:ind w:firstLine="0"/>
        <w:rPr>
          <w:rFonts w:hAnsi="宋体" w:cs="宋体"/>
          <w:bCs/>
          <w:sz w:val="24"/>
          <w:szCs w:val="24"/>
        </w:rPr>
      </w:pPr>
      <w:r>
        <w:rPr>
          <w:rFonts w:hint="eastAsia" w:hAnsi="宋体" w:cs="宋体"/>
          <w:sz w:val="24"/>
        </w:rPr>
        <w:t>▲</w:t>
      </w:r>
      <w:r>
        <w:rPr>
          <w:rFonts w:hint="eastAsia" w:hAnsi="宋体" w:cs="宋体"/>
          <w:bCs/>
          <w:sz w:val="24"/>
          <w:szCs w:val="24"/>
        </w:rPr>
        <w:t>(1)中标人应在合同签订后</w:t>
      </w:r>
      <w:r>
        <w:rPr>
          <w:rFonts w:hint="eastAsia" w:hAnsi="宋体" w:cs="宋体"/>
          <w:bCs/>
          <w:sz w:val="24"/>
          <w:szCs w:val="24"/>
          <w:lang w:val="en-US" w:eastAsia="zh-CN"/>
        </w:rPr>
        <w:t>30</w:t>
      </w:r>
      <w:r>
        <w:rPr>
          <w:rFonts w:hint="eastAsia" w:hAnsi="宋体" w:cs="宋体"/>
          <w:bCs/>
          <w:sz w:val="24"/>
          <w:szCs w:val="24"/>
        </w:rPr>
        <w:t>日历天内完成技术对接、开发调试等，其他具体以业主实际要求为准。</w:t>
      </w:r>
    </w:p>
    <w:p w14:paraId="5B4194A1">
      <w:pPr>
        <w:pStyle w:val="11"/>
        <w:spacing w:line="360" w:lineRule="auto"/>
        <w:ind w:firstLine="0"/>
        <w:rPr>
          <w:rFonts w:hAnsi="宋体" w:cs="宋体"/>
          <w:bCs/>
          <w:sz w:val="24"/>
          <w:szCs w:val="24"/>
        </w:rPr>
      </w:pPr>
      <w:r>
        <w:rPr>
          <w:rFonts w:hint="eastAsia" w:hAnsi="宋体" w:cs="宋体"/>
          <w:bCs/>
          <w:sz w:val="24"/>
          <w:szCs w:val="24"/>
        </w:rPr>
        <w:t>2.2质保期及售后技术服务要求</w:t>
      </w:r>
    </w:p>
    <w:p w14:paraId="1ED55747">
      <w:pPr>
        <w:pStyle w:val="11"/>
        <w:spacing w:line="360" w:lineRule="auto"/>
        <w:ind w:firstLine="0"/>
        <w:rPr>
          <w:rFonts w:hAnsi="宋体" w:cs="宋体"/>
          <w:bCs/>
          <w:sz w:val="24"/>
          <w:szCs w:val="24"/>
        </w:rPr>
      </w:pPr>
      <w:r>
        <w:rPr>
          <w:rFonts w:hint="eastAsia" w:hAnsi="宋体" w:cs="宋体"/>
          <w:bCs/>
          <w:sz w:val="24"/>
          <w:szCs w:val="24"/>
        </w:rPr>
        <w:t>(1)维护期：1年。</w:t>
      </w:r>
    </w:p>
    <w:p w14:paraId="04D9606A">
      <w:pPr>
        <w:pStyle w:val="11"/>
        <w:spacing w:line="360" w:lineRule="auto"/>
        <w:ind w:firstLine="0"/>
        <w:rPr>
          <w:rFonts w:hAnsi="宋体" w:cs="宋体"/>
          <w:bCs/>
          <w:sz w:val="24"/>
          <w:szCs w:val="24"/>
        </w:rPr>
      </w:pPr>
      <w:r>
        <w:rPr>
          <w:rFonts w:hint="eastAsia" w:hAnsi="宋体" w:cs="宋体"/>
          <w:bCs/>
          <w:sz w:val="24"/>
          <w:szCs w:val="24"/>
        </w:rPr>
        <w:t>(2)维护期内提供免费上门维护、升级服务，如系统出现故障，中标单位在接到电话后，立即响应，1小时以内到现场处理，4小时内修复。</w:t>
      </w:r>
    </w:p>
    <w:p w14:paraId="560048B5">
      <w:pPr>
        <w:pStyle w:val="11"/>
        <w:spacing w:line="360" w:lineRule="auto"/>
        <w:ind w:firstLine="0"/>
        <w:rPr>
          <w:rFonts w:hAnsi="宋体" w:cs="宋体"/>
          <w:bCs/>
          <w:sz w:val="24"/>
          <w:szCs w:val="24"/>
        </w:rPr>
      </w:pPr>
      <w:r>
        <w:rPr>
          <w:rFonts w:hint="eastAsia" w:hAnsi="宋体" w:cs="宋体"/>
          <w:bCs/>
          <w:sz w:val="24"/>
          <w:szCs w:val="24"/>
        </w:rPr>
        <w:t>(3)投标人应提供技术支持方案，内容由投标人根据实际选择以下要点：服务机构（维保点）的地址、人员状况、维修能力、联系方式、营业执照、公司资质材料、相关案例等。</w:t>
      </w:r>
    </w:p>
    <w:p w14:paraId="0C77B8D3">
      <w:pPr>
        <w:pStyle w:val="11"/>
        <w:spacing w:line="360" w:lineRule="auto"/>
        <w:ind w:firstLine="0"/>
        <w:rPr>
          <w:rFonts w:hAnsi="宋体" w:cs="宋体"/>
          <w:bCs/>
          <w:sz w:val="24"/>
          <w:szCs w:val="24"/>
        </w:rPr>
      </w:pPr>
      <w:r>
        <w:rPr>
          <w:rFonts w:hint="eastAsia" w:hAnsi="宋体" w:cs="宋体"/>
          <w:bCs/>
          <w:sz w:val="24"/>
          <w:szCs w:val="24"/>
        </w:rPr>
        <w:t>(4)完整准确地表述原厂家的标准售后服务承诺（范围、标准及期限等）、投标人可能增加的服务承诺等。</w:t>
      </w:r>
    </w:p>
    <w:p w14:paraId="0DCA204F">
      <w:pPr>
        <w:pStyle w:val="11"/>
        <w:spacing w:line="360" w:lineRule="auto"/>
        <w:ind w:firstLine="0"/>
        <w:rPr>
          <w:bCs/>
          <w:sz w:val="24"/>
          <w:szCs w:val="24"/>
        </w:rPr>
      </w:pPr>
      <w:r>
        <w:rPr>
          <w:rFonts w:hint="eastAsia"/>
          <w:bCs/>
          <w:sz w:val="24"/>
          <w:szCs w:val="24"/>
        </w:rPr>
        <w:t>(5)明示服务承诺可能涉及的前提设定和费用，否则将被认为是无条件和免费的。</w:t>
      </w:r>
    </w:p>
    <w:p w14:paraId="65849AC8">
      <w:pPr>
        <w:pStyle w:val="11"/>
        <w:spacing w:line="360" w:lineRule="auto"/>
        <w:ind w:firstLine="0"/>
        <w:rPr>
          <w:bCs/>
          <w:sz w:val="24"/>
          <w:szCs w:val="24"/>
        </w:rPr>
      </w:pPr>
      <w:r>
        <w:rPr>
          <w:rFonts w:hint="eastAsia"/>
          <w:bCs/>
          <w:sz w:val="24"/>
          <w:szCs w:val="24"/>
        </w:rPr>
        <w:t>2.3.项目实施计划</w:t>
      </w:r>
    </w:p>
    <w:p w14:paraId="773E8796">
      <w:pPr>
        <w:pStyle w:val="11"/>
        <w:spacing w:line="360" w:lineRule="auto"/>
        <w:ind w:firstLine="0"/>
        <w:rPr>
          <w:bCs/>
          <w:sz w:val="24"/>
          <w:szCs w:val="24"/>
        </w:rPr>
      </w:pPr>
      <w:r>
        <w:rPr>
          <w:rFonts w:hint="eastAsia"/>
          <w:bCs/>
          <w:sz w:val="24"/>
          <w:szCs w:val="24"/>
        </w:rPr>
        <w:t>项目实施的组织工作方案：工作时间进度表、工作程序或步骤、管理和协调方法等。</w:t>
      </w:r>
    </w:p>
    <w:p w14:paraId="46431A84">
      <w:pPr>
        <w:pStyle w:val="11"/>
        <w:spacing w:line="360" w:lineRule="auto"/>
        <w:ind w:firstLine="0"/>
        <w:rPr>
          <w:bCs/>
          <w:sz w:val="24"/>
          <w:szCs w:val="24"/>
        </w:rPr>
      </w:pPr>
      <w:r>
        <w:rPr>
          <w:rFonts w:hint="eastAsia" w:hAnsi="宋体" w:cs="宋体"/>
          <w:sz w:val="24"/>
        </w:rPr>
        <w:t>▲</w:t>
      </w:r>
      <w:r>
        <w:rPr>
          <w:rFonts w:hint="eastAsia"/>
          <w:bCs/>
          <w:sz w:val="24"/>
          <w:szCs w:val="24"/>
        </w:rPr>
        <w:t>2.4.付款方式</w:t>
      </w:r>
    </w:p>
    <w:p w14:paraId="0231C830">
      <w:pPr>
        <w:spacing w:line="360" w:lineRule="auto"/>
        <w:rPr>
          <w:bCs/>
        </w:rPr>
      </w:pPr>
      <w:r>
        <w:rPr>
          <w:rFonts w:hint="eastAsia"/>
          <w:bCs/>
        </w:rPr>
        <w:t xml:space="preserve"> 合同签订完毕，验收合格后支付合同价的100%。</w:t>
      </w:r>
    </w:p>
    <w:p w14:paraId="6547E0F1">
      <w:pPr>
        <w:rPr>
          <w:color w:val="000000" w:themeColor="text1"/>
          <w14:textFill>
            <w14:solidFill>
              <w14:schemeClr w14:val="tx1"/>
            </w14:solidFill>
          </w14:textFill>
        </w:rPr>
      </w:pPr>
    </w:p>
    <w:p w14:paraId="730B111C">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p>
    <w:p w14:paraId="797292E0">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1、除标注的参考品牌外，欢迎其它能满足本项目技术需求且性能与所注品牌相当的产品参与。</w:t>
      </w:r>
    </w:p>
    <w:p w14:paraId="22146AC8">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2、如有附图，仅作参考。</w:t>
      </w:r>
    </w:p>
    <w:p w14:paraId="6124358F">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3、打▲内容为实质性要求，不允许有负偏离，否则将以涉及无效投标条款作无效投标。</w:t>
      </w:r>
    </w:p>
    <w:p w14:paraId="04F84A53">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4、中标人所提供的货物、服务须与投标承诺一致，不得以次充好、偷工减料，若在项目验收中发现有上述情况，将向有关部门举报，根据相关规定进行处理。</w:t>
      </w:r>
    </w:p>
    <w:p w14:paraId="701D08B4">
      <w:pPr>
        <w:rPr>
          <w:color w:val="000000" w:themeColor="text1"/>
          <w14:textFill>
            <w14:solidFill>
              <w14:schemeClr w14:val="tx1"/>
            </w14:solidFill>
          </w14:textFill>
        </w:rPr>
      </w:pPr>
    </w:p>
    <w:p w14:paraId="17543589">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4B6405E3">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第四部分   </w:t>
      </w:r>
      <w:bookmarkStart w:id="5" w:name="_Toc184312069"/>
      <w:bookmarkEnd w:id="5"/>
      <w:bookmarkStart w:id="6" w:name="_Toc184312107"/>
      <w:bookmarkEnd w:id="6"/>
      <w:bookmarkStart w:id="7" w:name="_Toc184310312"/>
      <w:bookmarkEnd w:id="7"/>
      <w:bookmarkStart w:id="8" w:name="_Toc184312097"/>
      <w:bookmarkEnd w:id="8"/>
      <w:bookmarkStart w:id="9" w:name="_Toc184312077"/>
      <w:bookmarkEnd w:id="9"/>
      <w:bookmarkStart w:id="10" w:name="_Toc184314470"/>
      <w:bookmarkEnd w:id="10"/>
      <w:bookmarkStart w:id="11" w:name="_Toc184310288"/>
      <w:bookmarkEnd w:id="11"/>
      <w:bookmarkStart w:id="12" w:name="_Toc184310299"/>
      <w:bookmarkEnd w:id="12"/>
      <w:bookmarkStart w:id="13" w:name="_Toc184314423"/>
      <w:bookmarkEnd w:id="13"/>
      <w:bookmarkStart w:id="14" w:name="_Toc184314460"/>
      <w:bookmarkEnd w:id="14"/>
      <w:bookmarkStart w:id="15" w:name="_Toc184310331"/>
      <w:bookmarkEnd w:id="15"/>
      <w:bookmarkStart w:id="16" w:name="_Toc184313257"/>
      <w:bookmarkEnd w:id="16"/>
      <w:bookmarkStart w:id="17" w:name="_Toc184312137"/>
      <w:bookmarkEnd w:id="17"/>
      <w:bookmarkStart w:id="18" w:name="_Toc184312088"/>
      <w:bookmarkEnd w:id="18"/>
      <w:bookmarkStart w:id="19" w:name="_Toc184314469"/>
      <w:bookmarkEnd w:id="19"/>
      <w:bookmarkStart w:id="20" w:name="_Toc184313268"/>
      <w:bookmarkEnd w:id="20"/>
      <w:bookmarkStart w:id="21" w:name="_Toc184313289"/>
      <w:bookmarkEnd w:id="21"/>
      <w:bookmarkStart w:id="22" w:name="_Toc184314454"/>
      <w:bookmarkEnd w:id="22"/>
      <w:bookmarkStart w:id="23" w:name="_Toc184310281"/>
      <w:bookmarkEnd w:id="23"/>
      <w:bookmarkStart w:id="24" w:name="_Toc184314435"/>
      <w:bookmarkEnd w:id="24"/>
      <w:bookmarkStart w:id="25" w:name="_Toc184310343"/>
      <w:bookmarkEnd w:id="25"/>
      <w:bookmarkStart w:id="26" w:name="_Toc184308085"/>
      <w:bookmarkEnd w:id="26"/>
      <w:bookmarkStart w:id="27" w:name="_Toc184312087"/>
      <w:bookmarkEnd w:id="27"/>
      <w:bookmarkStart w:id="28" w:name="_Toc184308095"/>
      <w:bookmarkEnd w:id="28"/>
      <w:bookmarkStart w:id="29" w:name="_Toc184308065"/>
      <w:bookmarkEnd w:id="29"/>
      <w:bookmarkStart w:id="30" w:name="_Toc184308070"/>
      <w:bookmarkEnd w:id="30"/>
      <w:bookmarkStart w:id="31" w:name="_Toc184308043"/>
      <w:bookmarkEnd w:id="31"/>
      <w:bookmarkStart w:id="32" w:name="_Toc184312071"/>
      <w:bookmarkEnd w:id="32"/>
      <w:bookmarkStart w:id="33" w:name="_Toc184310342"/>
      <w:bookmarkEnd w:id="33"/>
      <w:bookmarkStart w:id="34" w:name="_Toc184310313"/>
      <w:bookmarkEnd w:id="34"/>
      <w:bookmarkStart w:id="35" w:name="_Toc184308090"/>
      <w:bookmarkEnd w:id="35"/>
      <w:bookmarkStart w:id="36" w:name="_Toc184314410"/>
      <w:bookmarkEnd w:id="36"/>
      <w:bookmarkStart w:id="37" w:name="_Toc184313298"/>
      <w:bookmarkEnd w:id="37"/>
      <w:bookmarkStart w:id="38" w:name="_Toc184308080"/>
      <w:bookmarkEnd w:id="38"/>
      <w:bookmarkStart w:id="39" w:name="_Toc184312075"/>
      <w:bookmarkEnd w:id="39"/>
      <w:bookmarkStart w:id="40" w:name="_Toc184308097"/>
      <w:bookmarkEnd w:id="40"/>
      <w:bookmarkStart w:id="41" w:name="_Toc184312121"/>
      <w:bookmarkEnd w:id="41"/>
      <w:bookmarkStart w:id="42" w:name="_Toc184308037"/>
      <w:bookmarkEnd w:id="42"/>
      <w:bookmarkStart w:id="43" w:name="_Toc184313258"/>
      <w:bookmarkEnd w:id="43"/>
      <w:bookmarkStart w:id="44" w:name="_Toc184308071"/>
      <w:bookmarkEnd w:id="44"/>
      <w:bookmarkStart w:id="45" w:name="_Toc184313300"/>
      <w:bookmarkEnd w:id="45"/>
      <w:bookmarkStart w:id="46" w:name="_Toc184308054"/>
      <w:bookmarkEnd w:id="46"/>
      <w:bookmarkStart w:id="47" w:name="_Toc184310296"/>
      <w:bookmarkEnd w:id="47"/>
      <w:bookmarkStart w:id="48" w:name="_Toc184313301"/>
      <w:bookmarkEnd w:id="48"/>
      <w:bookmarkStart w:id="49" w:name="_Toc184314466"/>
      <w:bookmarkEnd w:id="49"/>
      <w:bookmarkStart w:id="50" w:name="_Toc184308106"/>
      <w:bookmarkEnd w:id="50"/>
      <w:bookmarkStart w:id="51" w:name="_Toc184312133"/>
      <w:bookmarkEnd w:id="51"/>
      <w:bookmarkStart w:id="52" w:name="_Toc184312070"/>
      <w:bookmarkEnd w:id="52"/>
      <w:bookmarkStart w:id="53" w:name="_Toc184313243"/>
      <w:bookmarkEnd w:id="53"/>
      <w:bookmarkStart w:id="54" w:name="_Toc184310277"/>
      <w:bookmarkEnd w:id="54"/>
      <w:bookmarkStart w:id="55" w:name="_Toc184312112"/>
      <w:bookmarkEnd w:id="55"/>
      <w:bookmarkStart w:id="56" w:name="_Toc184312105"/>
      <w:bookmarkEnd w:id="56"/>
      <w:bookmarkStart w:id="57" w:name="_Toc184313246"/>
      <w:bookmarkEnd w:id="57"/>
      <w:bookmarkStart w:id="58" w:name="_Toc184314414"/>
      <w:bookmarkEnd w:id="58"/>
      <w:bookmarkStart w:id="59" w:name="_Toc184310284"/>
      <w:bookmarkEnd w:id="59"/>
      <w:bookmarkStart w:id="60" w:name="_Toc184314427"/>
      <w:bookmarkEnd w:id="60"/>
      <w:bookmarkStart w:id="61" w:name="_Toc184308088"/>
      <w:bookmarkEnd w:id="61"/>
      <w:bookmarkStart w:id="62" w:name="_Toc184314467"/>
      <w:bookmarkEnd w:id="62"/>
      <w:bookmarkStart w:id="63" w:name="_Toc184308058"/>
      <w:bookmarkEnd w:id="63"/>
      <w:bookmarkStart w:id="64" w:name="_Toc184308045"/>
      <w:bookmarkEnd w:id="64"/>
      <w:bookmarkStart w:id="65" w:name="_Toc184313306"/>
      <w:bookmarkEnd w:id="65"/>
      <w:bookmarkStart w:id="66" w:name="_Toc184310307"/>
      <w:bookmarkEnd w:id="66"/>
      <w:bookmarkStart w:id="67" w:name="_Toc184308064"/>
      <w:bookmarkEnd w:id="67"/>
      <w:bookmarkStart w:id="68" w:name="_Toc184308059"/>
      <w:bookmarkEnd w:id="68"/>
      <w:bookmarkStart w:id="69" w:name="_Toc184308075"/>
      <w:bookmarkEnd w:id="69"/>
      <w:bookmarkStart w:id="70" w:name="_Toc184313275"/>
      <w:bookmarkEnd w:id="70"/>
      <w:bookmarkStart w:id="71" w:name="_Toc184308074"/>
      <w:bookmarkEnd w:id="71"/>
      <w:bookmarkStart w:id="72" w:name="_Toc184314464"/>
      <w:bookmarkEnd w:id="72"/>
      <w:bookmarkStart w:id="73" w:name="_Toc184313281"/>
      <w:bookmarkEnd w:id="73"/>
      <w:bookmarkStart w:id="74" w:name="_Toc184310335"/>
      <w:bookmarkEnd w:id="74"/>
      <w:bookmarkStart w:id="75" w:name="_Toc184308108"/>
      <w:bookmarkEnd w:id="75"/>
      <w:bookmarkStart w:id="76" w:name="_Toc184313303"/>
      <w:bookmarkEnd w:id="76"/>
      <w:bookmarkStart w:id="77" w:name="_Toc184314482"/>
      <w:bookmarkEnd w:id="77"/>
      <w:bookmarkStart w:id="78" w:name="_Toc184314455"/>
      <w:bookmarkEnd w:id="78"/>
      <w:bookmarkStart w:id="79" w:name="_Toc184313271"/>
      <w:bookmarkEnd w:id="79"/>
      <w:bookmarkStart w:id="80" w:name="_Toc184313296"/>
      <w:bookmarkEnd w:id="80"/>
      <w:bookmarkStart w:id="81" w:name="_Toc184310279"/>
      <w:bookmarkEnd w:id="81"/>
      <w:bookmarkStart w:id="82" w:name="_Toc184313255"/>
      <w:bookmarkEnd w:id="82"/>
      <w:bookmarkStart w:id="83" w:name="_Toc184312103"/>
      <w:bookmarkEnd w:id="83"/>
      <w:bookmarkStart w:id="84" w:name="_Toc184312128"/>
      <w:bookmarkEnd w:id="84"/>
      <w:bookmarkStart w:id="85" w:name="_Toc184314443"/>
      <w:bookmarkEnd w:id="85"/>
      <w:bookmarkStart w:id="86" w:name="_Toc184312111"/>
      <w:bookmarkEnd w:id="86"/>
      <w:bookmarkStart w:id="87" w:name="_Toc184313242"/>
      <w:bookmarkEnd w:id="87"/>
      <w:bookmarkStart w:id="88" w:name="_Toc184308103"/>
      <w:bookmarkEnd w:id="88"/>
      <w:bookmarkStart w:id="89" w:name="_Toc184308036"/>
      <w:bookmarkEnd w:id="89"/>
      <w:bookmarkStart w:id="90" w:name="_Toc184313250"/>
      <w:bookmarkEnd w:id="90"/>
      <w:bookmarkStart w:id="91" w:name="_Toc184312136"/>
      <w:bookmarkEnd w:id="91"/>
      <w:bookmarkStart w:id="92" w:name="_Toc184313278"/>
      <w:bookmarkEnd w:id="92"/>
      <w:bookmarkStart w:id="93" w:name="_Toc184312135"/>
      <w:bookmarkEnd w:id="93"/>
      <w:bookmarkStart w:id="94" w:name="_Toc184308094"/>
      <w:bookmarkEnd w:id="94"/>
      <w:bookmarkStart w:id="95" w:name="_Toc184312130"/>
      <w:bookmarkEnd w:id="95"/>
      <w:bookmarkStart w:id="96" w:name="_Toc184312093"/>
      <w:bookmarkEnd w:id="96"/>
      <w:bookmarkStart w:id="97" w:name="_Toc184310300"/>
      <w:bookmarkEnd w:id="97"/>
      <w:bookmarkStart w:id="98" w:name="_Toc184313274"/>
      <w:bookmarkEnd w:id="98"/>
      <w:bookmarkStart w:id="99" w:name="_Toc184314434"/>
      <w:bookmarkEnd w:id="99"/>
      <w:bookmarkStart w:id="100" w:name="_Toc184308101"/>
      <w:bookmarkEnd w:id="100"/>
      <w:bookmarkStart w:id="101" w:name="_Toc184314449"/>
      <w:bookmarkEnd w:id="101"/>
      <w:bookmarkStart w:id="102" w:name="_Toc184310303"/>
      <w:bookmarkEnd w:id="102"/>
      <w:bookmarkStart w:id="103" w:name="_Toc184313238"/>
      <w:bookmarkEnd w:id="103"/>
      <w:bookmarkStart w:id="104" w:name="_Toc184310321"/>
      <w:bookmarkEnd w:id="104"/>
      <w:bookmarkStart w:id="105" w:name="_Toc184312127"/>
      <w:bookmarkEnd w:id="105"/>
      <w:bookmarkStart w:id="106" w:name="_Toc184313284"/>
      <w:bookmarkEnd w:id="106"/>
      <w:bookmarkStart w:id="107" w:name="_Toc184312114"/>
      <w:bookmarkEnd w:id="107"/>
      <w:bookmarkStart w:id="108" w:name="_Toc184313256"/>
      <w:bookmarkEnd w:id="108"/>
      <w:bookmarkStart w:id="109" w:name="_Toc184314453"/>
      <w:bookmarkEnd w:id="109"/>
      <w:bookmarkStart w:id="110" w:name="_Toc184310337"/>
      <w:bookmarkEnd w:id="110"/>
      <w:bookmarkStart w:id="111" w:name="_Toc184314479"/>
      <w:bookmarkEnd w:id="111"/>
      <w:bookmarkStart w:id="112" w:name="_Toc184308063"/>
      <w:bookmarkEnd w:id="112"/>
      <w:bookmarkStart w:id="113" w:name="_Toc184312095"/>
      <w:bookmarkEnd w:id="113"/>
      <w:bookmarkStart w:id="114" w:name="_Toc184314419"/>
      <w:bookmarkEnd w:id="114"/>
      <w:bookmarkStart w:id="115" w:name="_Toc184313270"/>
      <w:bookmarkEnd w:id="115"/>
      <w:bookmarkStart w:id="116" w:name="_Toc184314462"/>
      <w:bookmarkEnd w:id="116"/>
      <w:bookmarkStart w:id="117" w:name="_Toc184314420"/>
      <w:bookmarkEnd w:id="117"/>
      <w:bookmarkStart w:id="118" w:name="_Toc184312089"/>
      <w:bookmarkEnd w:id="118"/>
      <w:bookmarkStart w:id="119" w:name="_Toc184314451"/>
      <w:bookmarkEnd w:id="119"/>
      <w:bookmarkStart w:id="120" w:name="_Toc184313248"/>
      <w:bookmarkEnd w:id="120"/>
      <w:bookmarkStart w:id="121" w:name="_Toc184314424"/>
      <w:bookmarkEnd w:id="121"/>
      <w:bookmarkStart w:id="122" w:name="_Toc184313304"/>
      <w:bookmarkEnd w:id="122"/>
      <w:bookmarkStart w:id="123" w:name="_Toc184312096"/>
      <w:bookmarkEnd w:id="123"/>
      <w:bookmarkStart w:id="124" w:name="_Toc184313264"/>
      <w:bookmarkEnd w:id="124"/>
      <w:bookmarkStart w:id="125" w:name="_Toc184313260"/>
      <w:bookmarkEnd w:id="125"/>
      <w:bookmarkStart w:id="126" w:name="_Toc184310328"/>
      <w:bookmarkEnd w:id="126"/>
      <w:bookmarkStart w:id="127" w:name="_Toc184312079"/>
      <w:bookmarkEnd w:id="127"/>
      <w:bookmarkStart w:id="128" w:name="_Toc184314418"/>
      <w:bookmarkEnd w:id="128"/>
      <w:bookmarkStart w:id="129" w:name="_Toc184312080"/>
      <w:bookmarkEnd w:id="129"/>
      <w:bookmarkStart w:id="130" w:name="_Toc184308042"/>
      <w:bookmarkEnd w:id="130"/>
      <w:bookmarkStart w:id="131" w:name="_Toc184314421"/>
      <w:bookmarkEnd w:id="131"/>
      <w:bookmarkStart w:id="132" w:name="_Toc184312086"/>
      <w:bookmarkEnd w:id="132"/>
      <w:bookmarkStart w:id="133" w:name="_Toc184313253"/>
      <w:bookmarkEnd w:id="133"/>
      <w:bookmarkStart w:id="134" w:name="_Toc184308077"/>
      <w:bookmarkEnd w:id="134"/>
      <w:bookmarkStart w:id="135" w:name="_Toc184314439"/>
      <w:bookmarkEnd w:id="135"/>
      <w:bookmarkStart w:id="136" w:name="_Toc184312083"/>
      <w:bookmarkEnd w:id="136"/>
      <w:bookmarkStart w:id="137" w:name="_Toc184312085"/>
      <w:bookmarkEnd w:id="137"/>
      <w:bookmarkStart w:id="138" w:name="_Toc184313310"/>
      <w:bookmarkEnd w:id="138"/>
      <w:bookmarkStart w:id="139" w:name="_Toc184310320"/>
      <w:bookmarkEnd w:id="139"/>
      <w:bookmarkStart w:id="140" w:name="_Toc184310274"/>
      <w:bookmarkEnd w:id="140"/>
      <w:bookmarkStart w:id="141" w:name="_Toc184310314"/>
      <w:bookmarkEnd w:id="141"/>
      <w:bookmarkStart w:id="142" w:name="_Toc184314437"/>
      <w:bookmarkEnd w:id="142"/>
      <w:bookmarkStart w:id="143" w:name="_Toc184314456"/>
      <w:bookmarkEnd w:id="143"/>
      <w:bookmarkStart w:id="144" w:name="_Toc184313277"/>
      <w:bookmarkEnd w:id="144"/>
      <w:bookmarkStart w:id="145" w:name="_Toc184313254"/>
      <w:bookmarkEnd w:id="145"/>
      <w:bookmarkStart w:id="146" w:name="_Toc184312122"/>
      <w:bookmarkEnd w:id="146"/>
      <w:bookmarkStart w:id="147" w:name="_Toc184312081"/>
      <w:bookmarkEnd w:id="147"/>
      <w:bookmarkStart w:id="148" w:name="_Toc184310292"/>
      <w:bookmarkEnd w:id="148"/>
      <w:bookmarkStart w:id="149" w:name="_Toc184314452"/>
      <w:bookmarkEnd w:id="149"/>
      <w:bookmarkStart w:id="150" w:name="_Toc184314459"/>
      <w:bookmarkEnd w:id="150"/>
      <w:bookmarkStart w:id="151" w:name="_Toc184308099"/>
      <w:bookmarkEnd w:id="151"/>
      <w:bookmarkStart w:id="152" w:name="_Toc184308052"/>
      <w:bookmarkEnd w:id="152"/>
      <w:bookmarkStart w:id="153" w:name="_Toc184308067"/>
      <w:bookmarkEnd w:id="153"/>
      <w:bookmarkStart w:id="154" w:name="_Toc184310301"/>
      <w:bookmarkEnd w:id="154"/>
      <w:bookmarkStart w:id="155" w:name="_Toc184310322"/>
      <w:bookmarkEnd w:id="155"/>
      <w:bookmarkStart w:id="156" w:name="_Toc184310327"/>
      <w:bookmarkEnd w:id="156"/>
      <w:bookmarkStart w:id="157" w:name="_Toc184312102"/>
      <w:bookmarkEnd w:id="157"/>
      <w:bookmarkStart w:id="158" w:name="_Toc184313252"/>
      <w:bookmarkEnd w:id="158"/>
      <w:bookmarkStart w:id="159" w:name="_Toc184308081"/>
      <w:bookmarkEnd w:id="159"/>
      <w:bookmarkStart w:id="160" w:name="_Toc184310318"/>
      <w:bookmarkEnd w:id="160"/>
      <w:bookmarkStart w:id="161" w:name="_Toc184314447"/>
      <w:bookmarkEnd w:id="161"/>
      <w:bookmarkStart w:id="162" w:name="_Toc184314458"/>
      <w:bookmarkEnd w:id="162"/>
      <w:bookmarkStart w:id="163" w:name="_Toc184312084"/>
      <w:bookmarkEnd w:id="163"/>
      <w:bookmarkStart w:id="164" w:name="_Toc184313262"/>
      <w:bookmarkEnd w:id="164"/>
      <w:bookmarkStart w:id="165" w:name="_Toc184314438"/>
      <w:bookmarkEnd w:id="165"/>
      <w:bookmarkStart w:id="166" w:name="_Toc184310304"/>
      <w:bookmarkEnd w:id="166"/>
      <w:bookmarkStart w:id="167" w:name="_Toc184313245"/>
      <w:bookmarkEnd w:id="167"/>
      <w:bookmarkStart w:id="168" w:name="_Toc184312120"/>
      <w:bookmarkEnd w:id="168"/>
      <w:bookmarkStart w:id="169" w:name="_Toc184314426"/>
      <w:bookmarkEnd w:id="169"/>
      <w:bookmarkStart w:id="170" w:name="_Toc184310323"/>
      <w:bookmarkEnd w:id="170"/>
      <w:bookmarkStart w:id="171" w:name="_Toc184313309"/>
      <w:bookmarkEnd w:id="171"/>
      <w:bookmarkStart w:id="172" w:name="_Toc184314446"/>
      <w:bookmarkEnd w:id="172"/>
      <w:bookmarkStart w:id="173" w:name="_Toc184310341"/>
      <w:bookmarkEnd w:id="173"/>
      <w:bookmarkStart w:id="174" w:name="_Toc184312078"/>
      <w:bookmarkEnd w:id="174"/>
      <w:bookmarkStart w:id="175" w:name="_Toc184308069"/>
      <w:bookmarkEnd w:id="175"/>
      <w:bookmarkStart w:id="176" w:name="_Toc184313297"/>
      <w:bookmarkEnd w:id="176"/>
      <w:bookmarkStart w:id="177" w:name="_Toc184314417"/>
      <w:bookmarkEnd w:id="177"/>
      <w:bookmarkStart w:id="178" w:name="_Toc184312092"/>
      <w:bookmarkEnd w:id="178"/>
      <w:bookmarkStart w:id="179" w:name="_Toc184312101"/>
      <w:bookmarkEnd w:id="179"/>
      <w:bookmarkStart w:id="180" w:name="_Toc184312098"/>
      <w:bookmarkEnd w:id="180"/>
      <w:bookmarkStart w:id="181" w:name="_Toc184310280"/>
      <w:bookmarkEnd w:id="181"/>
      <w:bookmarkStart w:id="182" w:name="_Toc184312109"/>
      <w:bookmarkEnd w:id="182"/>
      <w:bookmarkStart w:id="183" w:name="_Toc184310330"/>
      <w:bookmarkEnd w:id="183"/>
      <w:bookmarkStart w:id="184" w:name="_Toc184313305"/>
      <w:bookmarkEnd w:id="184"/>
      <w:bookmarkStart w:id="185" w:name="_Toc184314433"/>
      <w:bookmarkEnd w:id="185"/>
      <w:bookmarkStart w:id="186" w:name="_Toc184310311"/>
      <w:bookmarkEnd w:id="186"/>
      <w:bookmarkStart w:id="187" w:name="_Toc184314481"/>
      <w:bookmarkEnd w:id="187"/>
      <w:bookmarkStart w:id="188" w:name="_Toc184308060"/>
      <w:bookmarkEnd w:id="188"/>
      <w:bookmarkStart w:id="189" w:name="_Toc184313292"/>
      <w:bookmarkEnd w:id="189"/>
      <w:bookmarkStart w:id="190" w:name="_Toc184308105"/>
      <w:bookmarkEnd w:id="190"/>
      <w:bookmarkStart w:id="191" w:name="_Toc184313293"/>
      <w:bookmarkEnd w:id="191"/>
      <w:bookmarkStart w:id="192" w:name="_Toc184313291"/>
      <w:bookmarkEnd w:id="192"/>
      <w:bookmarkStart w:id="193" w:name="_Toc184308091"/>
      <w:bookmarkEnd w:id="193"/>
      <w:bookmarkStart w:id="194" w:name="_Toc184314450"/>
      <w:bookmarkEnd w:id="194"/>
      <w:bookmarkStart w:id="195" w:name="_Toc184310336"/>
      <w:bookmarkEnd w:id="195"/>
      <w:bookmarkStart w:id="196" w:name="_Toc184313249"/>
      <w:bookmarkEnd w:id="196"/>
      <w:bookmarkStart w:id="197" w:name="_Toc184310316"/>
      <w:bookmarkEnd w:id="197"/>
      <w:bookmarkStart w:id="198" w:name="_Toc184310282"/>
      <w:bookmarkEnd w:id="198"/>
      <w:bookmarkStart w:id="199" w:name="_Toc184308056"/>
      <w:bookmarkEnd w:id="199"/>
      <w:bookmarkStart w:id="200" w:name="_Toc184313288"/>
      <w:bookmarkEnd w:id="200"/>
      <w:bookmarkStart w:id="201" w:name="_Toc184312091"/>
      <w:bookmarkEnd w:id="201"/>
      <w:bookmarkStart w:id="202" w:name="_Toc184313267"/>
      <w:bookmarkEnd w:id="202"/>
      <w:bookmarkStart w:id="203" w:name="_Toc184308048"/>
      <w:bookmarkEnd w:id="203"/>
      <w:bookmarkStart w:id="204" w:name="_Toc184314474"/>
      <w:bookmarkEnd w:id="204"/>
      <w:bookmarkStart w:id="205" w:name="_Toc184312082"/>
      <w:bookmarkEnd w:id="205"/>
      <w:bookmarkStart w:id="206" w:name="_Toc184312068"/>
      <w:bookmarkEnd w:id="206"/>
      <w:bookmarkStart w:id="207" w:name="_Toc184312115"/>
      <w:bookmarkEnd w:id="207"/>
      <w:bookmarkStart w:id="208" w:name="_Toc184312117"/>
      <w:bookmarkEnd w:id="208"/>
      <w:bookmarkStart w:id="209" w:name="_Toc184313286"/>
      <w:bookmarkEnd w:id="209"/>
      <w:bookmarkStart w:id="210" w:name="_Toc184314429"/>
      <w:bookmarkEnd w:id="210"/>
      <w:bookmarkStart w:id="211" w:name="_Toc184314457"/>
      <w:bookmarkEnd w:id="211"/>
      <w:bookmarkStart w:id="212" w:name="_Toc184308057"/>
      <w:bookmarkEnd w:id="212"/>
      <w:bookmarkStart w:id="213" w:name="_Toc184314416"/>
      <w:bookmarkEnd w:id="213"/>
      <w:bookmarkStart w:id="214" w:name="_Toc184308062"/>
      <w:bookmarkEnd w:id="214"/>
      <w:bookmarkStart w:id="215" w:name="_Toc184308096"/>
      <w:bookmarkEnd w:id="215"/>
      <w:bookmarkStart w:id="216" w:name="_Toc184312073"/>
      <w:bookmarkEnd w:id="216"/>
      <w:bookmarkStart w:id="217" w:name="_Toc184313266"/>
      <w:bookmarkEnd w:id="217"/>
      <w:bookmarkStart w:id="218" w:name="_Toc184313276"/>
      <w:bookmarkEnd w:id="218"/>
      <w:bookmarkStart w:id="219" w:name="_Toc184308102"/>
      <w:bookmarkEnd w:id="219"/>
      <w:bookmarkStart w:id="220" w:name="_Toc184308082"/>
      <w:bookmarkEnd w:id="220"/>
      <w:bookmarkStart w:id="221" w:name="_Toc184314441"/>
      <w:bookmarkEnd w:id="221"/>
      <w:bookmarkStart w:id="222" w:name="_Toc184314448"/>
      <w:bookmarkEnd w:id="222"/>
      <w:bookmarkStart w:id="223" w:name="_Toc184314468"/>
      <w:bookmarkEnd w:id="223"/>
      <w:bookmarkStart w:id="224" w:name="_Toc184314442"/>
      <w:bookmarkEnd w:id="224"/>
      <w:bookmarkStart w:id="225" w:name="_Toc184312090"/>
      <w:bookmarkEnd w:id="225"/>
      <w:bookmarkStart w:id="226" w:name="_Toc184310329"/>
      <w:bookmarkEnd w:id="226"/>
      <w:bookmarkStart w:id="227" w:name="_Toc184313295"/>
      <w:bookmarkEnd w:id="227"/>
      <w:bookmarkStart w:id="228" w:name="_Toc184308038"/>
      <w:bookmarkEnd w:id="228"/>
      <w:bookmarkStart w:id="229" w:name="_Toc184314478"/>
      <w:bookmarkEnd w:id="229"/>
      <w:bookmarkStart w:id="230" w:name="_Toc184308047"/>
      <w:bookmarkEnd w:id="230"/>
      <w:bookmarkStart w:id="231" w:name="_Toc184310324"/>
      <w:bookmarkEnd w:id="231"/>
      <w:bookmarkStart w:id="232" w:name="_Toc184314444"/>
      <w:bookmarkEnd w:id="232"/>
      <w:bookmarkStart w:id="233" w:name="_Toc184314471"/>
      <w:bookmarkEnd w:id="233"/>
      <w:bookmarkStart w:id="234" w:name="_Toc184314473"/>
      <w:bookmarkEnd w:id="234"/>
      <w:bookmarkStart w:id="235" w:name="_Toc184314411"/>
      <w:bookmarkEnd w:id="235"/>
      <w:bookmarkStart w:id="236" w:name="_Toc184312104"/>
      <w:bookmarkEnd w:id="236"/>
      <w:bookmarkStart w:id="237" w:name="_Toc184308044"/>
      <w:bookmarkEnd w:id="237"/>
      <w:bookmarkStart w:id="238" w:name="_Toc184310333"/>
      <w:bookmarkEnd w:id="238"/>
      <w:bookmarkStart w:id="239" w:name="_Toc184312126"/>
      <w:bookmarkEnd w:id="239"/>
      <w:bookmarkStart w:id="240" w:name="_Toc184310297"/>
      <w:bookmarkEnd w:id="240"/>
      <w:bookmarkStart w:id="241" w:name="_Toc184312116"/>
      <w:bookmarkEnd w:id="241"/>
      <w:bookmarkStart w:id="242" w:name="_Toc184308078"/>
      <w:bookmarkEnd w:id="242"/>
      <w:bookmarkStart w:id="243" w:name="_Toc184310344"/>
      <w:bookmarkEnd w:id="243"/>
      <w:bookmarkStart w:id="244" w:name="_Toc184312123"/>
      <w:bookmarkEnd w:id="244"/>
      <w:bookmarkStart w:id="245" w:name="_Toc184310310"/>
      <w:bookmarkEnd w:id="245"/>
      <w:bookmarkStart w:id="246" w:name="_Toc184313279"/>
      <w:bookmarkEnd w:id="246"/>
      <w:bookmarkStart w:id="247" w:name="_Toc184312132"/>
      <w:bookmarkEnd w:id="247"/>
      <w:bookmarkStart w:id="248" w:name="_Toc184314425"/>
      <w:bookmarkEnd w:id="248"/>
      <w:bookmarkStart w:id="249" w:name="_Toc184313280"/>
      <w:bookmarkEnd w:id="249"/>
      <w:bookmarkStart w:id="250" w:name="_Toc184308049"/>
      <w:bookmarkEnd w:id="250"/>
      <w:bookmarkStart w:id="251" w:name="_Toc184313302"/>
      <w:bookmarkEnd w:id="251"/>
      <w:bookmarkStart w:id="252" w:name="_Toc184308087"/>
      <w:bookmarkEnd w:id="252"/>
      <w:bookmarkStart w:id="253" w:name="_Toc184310290"/>
      <w:bookmarkEnd w:id="253"/>
      <w:bookmarkStart w:id="254" w:name="_Toc184313269"/>
      <w:bookmarkEnd w:id="254"/>
      <w:bookmarkStart w:id="255" w:name="_Toc184310276"/>
      <w:bookmarkEnd w:id="255"/>
      <w:bookmarkStart w:id="256" w:name="_Toc184308046"/>
      <w:bookmarkEnd w:id="256"/>
      <w:bookmarkStart w:id="257" w:name="_Toc184312067"/>
      <w:bookmarkEnd w:id="257"/>
      <w:bookmarkStart w:id="258" w:name="_Toc184314422"/>
      <w:bookmarkEnd w:id="258"/>
      <w:bookmarkStart w:id="259" w:name="_Toc184314412"/>
      <w:bookmarkEnd w:id="259"/>
      <w:bookmarkStart w:id="260" w:name="_Toc184310339"/>
      <w:bookmarkEnd w:id="260"/>
      <w:bookmarkStart w:id="261" w:name="_Toc184308083"/>
      <w:bookmarkEnd w:id="261"/>
      <w:bookmarkStart w:id="262" w:name="_Toc184310273"/>
      <w:bookmarkEnd w:id="262"/>
      <w:bookmarkStart w:id="263" w:name="_Toc184310295"/>
      <w:bookmarkEnd w:id="263"/>
      <w:bookmarkStart w:id="264" w:name="_Toc184312129"/>
      <w:bookmarkEnd w:id="264"/>
      <w:bookmarkStart w:id="265" w:name="_Toc184308092"/>
      <w:bookmarkEnd w:id="265"/>
      <w:bookmarkStart w:id="266" w:name="_Toc184308093"/>
      <w:bookmarkEnd w:id="266"/>
      <w:bookmarkStart w:id="267" w:name="_Toc184310275"/>
      <w:bookmarkEnd w:id="267"/>
      <w:bookmarkStart w:id="268" w:name="_Toc184310302"/>
      <w:bookmarkEnd w:id="268"/>
      <w:bookmarkStart w:id="269" w:name="_Toc184314445"/>
      <w:bookmarkEnd w:id="269"/>
      <w:bookmarkStart w:id="270" w:name="_Toc184310326"/>
      <w:bookmarkEnd w:id="270"/>
      <w:bookmarkStart w:id="271" w:name="_Toc184310291"/>
      <w:bookmarkEnd w:id="271"/>
      <w:bookmarkStart w:id="272" w:name="_Toc184314431"/>
      <w:bookmarkEnd w:id="272"/>
      <w:bookmarkStart w:id="273" w:name="_Toc184313308"/>
      <w:bookmarkEnd w:id="273"/>
      <w:bookmarkStart w:id="274" w:name="_Toc184308089"/>
      <w:bookmarkEnd w:id="274"/>
      <w:bookmarkStart w:id="275" w:name="_Toc184310285"/>
      <w:bookmarkEnd w:id="275"/>
      <w:bookmarkStart w:id="276" w:name="_Toc184310332"/>
      <w:bookmarkEnd w:id="276"/>
      <w:bookmarkStart w:id="277" w:name="_Toc184312076"/>
      <w:bookmarkEnd w:id="277"/>
      <w:bookmarkStart w:id="278" w:name="_Toc184312124"/>
      <w:bookmarkEnd w:id="278"/>
      <w:bookmarkStart w:id="279" w:name="_Toc184313299"/>
      <w:bookmarkEnd w:id="279"/>
      <w:bookmarkStart w:id="280" w:name="_Toc184313265"/>
      <w:bookmarkEnd w:id="280"/>
      <w:bookmarkStart w:id="281" w:name="_Toc184312118"/>
      <w:bookmarkEnd w:id="281"/>
      <w:bookmarkStart w:id="282" w:name="_Toc184312108"/>
      <w:bookmarkEnd w:id="282"/>
      <w:bookmarkStart w:id="283" w:name="_Toc184308076"/>
      <w:bookmarkEnd w:id="283"/>
      <w:bookmarkStart w:id="284" w:name="_Toc184314480"/>
      <w:bookmarkEnd w:id="284"/>
      <w:bookmarkStart w:id="285" w:name="_Toc184310283"/>
      <w:bookmarkEnd w:id="285"/>
      <w:bookmarkStart w:id="286" w:name="_Toc184310338"/>
      <w:bookmarkEnd w:id="286"/>
      <w:bookmarkStart w:id="287" w:name="_Toc184313285"/>
      <w:bookmarkEnd w:id="287"/>
      <w:bookmarkStart w:id="288" w:name="_Toc184312134"/>
      <w:bookmarkEnd w:id="288"/>
      <w:bookmarkStart w:id="289" w:name="_Toc184312094"/>
      <w:bookmarkEnd w:id="289"/>
      <w:bookmarkStart w:id="290" w:name="_Toc184308050"/>
      <w:bookmarkEnd w:id="290"/>
      <w:bookmarkStart w:id="291" w:name="_Toc184313263"/>
      <w:bookmarkEnd w:id="291"/>
      <w:bookmarkStart w:id="292" w:name="_Toc184310317"/>
      <w:bookmarkEnd w:id="292"/>
      <w:bookmarkStart w:id="293" w:name="_Toc184314476"/>
      <w:bookmarkEnd w:id="293"/>
      <w:bookmarkStart w:id="294" w:name="_Toc184310334"/>
      <w:bookmarkEnd w:id="294"/>
      <w:bookmarkStart w:id="295" w:name="_Toc184314432"/>
      <w:bookmarkEnd w:id="295"/>
      <w:bookmarkStart w:id="296" w:name="_Toc184314463"/>
      <w:bookmarkEnd w:id="296"/>
      <w:bookmarkStart w:id="297" w:name="_Toc184308079"/>
      <w:bookmarkEnd w:id="297"/>
      <w:bookmarkStart w:id="298" w:name="_Toc184310309"/>
      <w:bookmarkEnd w:id="298"/>
      <w:bookmarkStart w:id="299" w:name="_Toc184312113"/>
      <w:bookmarkEnd w:id="299"/>
      <w:bookmarkStart w:id="300" w:name="_Toc184314461"/>
      <w:bookmarkEnd w:id="300"/>
      <w:bookmarkStart w:id="301" w:name="_Toc184312074"/>
      <w:bookmarkEnd w:id="301"/>
      <w:bookmarkStart w:id="302" w:name="_Toc184308053"/>
      <w:bookmarkEnd w:id="302"/>
      <w:bookmarkStart w:id="303" w:name="_Toc184313283"/>
      <w:bookmarkEnd w:id="303"/>
      <w:bookmarkStart w:id="304" w:name="_Toc184308055"/>
      <w:bookmarkEnd w:id="304"/>
      <w:bookmarkStart w:id="305" w:name="_Toc184314477"/>
      <w:bookmarkEnd w:id="305"/>
      <w:bookmarkStart w:id="306" w:name="_Toc184308051"/>
      <w:bookmarkEnd w:id="306"/>
      <w:bookmarkStart w:id="307" w:name="_Toc184310340"/>
      <w:bookmarkEnd w:id="307"/>
      <w:bookmarkStart w:id="308" w:name="_Toc184308066"/>
      <w:bookmarkEnd w:id="308"/>
      <w:bookmarkStart w:id="309" w:name="_Toc184310293"/>
      <w:bookmarkEnd w:id="309"/>
      <w:bookmarkStart w:id="310" w:name="_Toc184308104"/>
      <w:bookmarkEnd w:id="310"/>
      <w:bookmarkStart w:id="311" w:name="_Toc184310289"/>
      <w:bookmarkEnd w:id="311"/>
      <w:bookmarkStart w:id="312" w:name="_Toc184313272"/>
      <w:bookmarkEnd w:id="312"/>
      <w:bookmarkStart w:id="313" w:name="_Toc184310315"/>
      <w:bookmarkEnd w:id="313"/>
      <w:bookmarkStart w:id="314" w:name="_Toc184308100"/>
      <w:bookmarkEnd w:id="314"/>
      <w:bookmarkStart w:id="315" w:name="_Toc184310294"/>
      <w:bookmarkEnd w:id="315"/>
      <w:bookmarkStart w:id="316" w:name="_Toc184313244"/>
      <w:bookmarkEnd w:id="316"/>
      <w:bookmarkStart w:id="317" w:name="_Toc184308073"/>
      <w:bookmarkEnd w:id="317"/>
      <w:bookmarkStart w:id="318" w:name="_Toc184312100"/>
      <w:bookmarkEnd w:id="318"/>
      <w:bookmarkStart w:id="319" w:name="_Toc184314413"/>
      <w:bookmarkEnd w:id="319"/>
      <w:bookmarkStart w:id="320" w:name="_Toc184310325"/>
      <w:bookmarkEnd w:id="320"/>
      <w:bookmarkStart w:id="321" w:name="_Toc184310308"/>
      <w:bookmarkEnd w:id="321"/>
      <w:bookmarkStart w:id="322" w:name="_Toc184310298"/>
      <w:bookmarkEnd w:id="322"/>
      <w:bookmarkStart w:id="323" w:name="_Toc184312139"/>
      <w:bookmarkEnd w:id="323"/>
      <w:bookmarkStart w:id="324" w:name="_Toc184308041"/>
      <w:bookmarkEnd w:id="324"/>
      <w:bookmarkStart w:id="325" w:name="_Toc184313290"/>
      <w:bookmarkEnd w:id="325"/>
      <w:bookmarkStart w:id="326" w:name="_Toc184308040"/>
      <w:bookmarkEnd w:id="326"/>
      <w:bookmarkStart w:id="327" w:name="_Toc184310278"/>
      <w:bookmarkEnd w:id="327"/>
      <w:bookmarkStart w:id="328" w:name="_Toc184314472"/>
      <w:bookmarkEnd w:id="328"/>
      <w:bookmarkStart w:id="329" w:name="_Toc184314415"/>
      <w:bookmarkEnd w:id="329"/>
      <w:bookmarkStart w:id="330" w:name="_Toc184313239"/>
      <w:bookmarkEnd w:id="330"/>
      <w:bookmarkStart w:id="331" w:name="_Toc184310319"/>
      <w:bookmarkEnd w:id="331"/>
      <w:bookmarkStart w:id="332" w:name="_Toc184312131"/>
      <w:bookmarkEnd w:id="332"/>
      <w:bookmarkStart w:id="333" w:name="_Toc184308086"/>
      <w:bookmarkEnd w:id="333"/>
      <w:bookmarkStart w:id="334" w:name="_Toc184313241"/>
      <w:bookmarkEnd w:id="334"/>
      <w:bookmarkStart w:id="335" w:name="_Toc184310305"/>
      <w:bookmarkEnd w:id="335"/>
      <w:bookmarkStart w:id="336" w:name="_Toc184314475"/>
      <w:bookmarkEnd w:id="336"/>
      <w:bookmarkStart w:id="337" w:name="_Toc184312072"/>
      <w:bookmarkEnd w:id="337"/>
      <w:bookmarkStart w:id="338" w:name="_Toc184313273"/>
      <w:bookmarkEnd w:id="338"/>
      <w:bookmarkStart w:id="339" w:name="_Toc184310306"/>
      <w:bookmarkEnd w:id="339"/>
      <w:bookmarkStart w:id="340" w:name="_Toc184310272"/>
      <w:bookmarkEnd w:id="340"/>
      <w:bookmarkStart w:id="341" w:name="_Toc184313240"/>
      <w:bookmarkEnd w:id="341"/>
      <w:bookmarkStart w:id="342" w:name="_Toc184308061"/>
      <w:bookmarkEnd w:id="342"/>
      <w:bookmarkStart w:id="343" w:name="_Toc184308068"/>
      <w:bookmarkEnd w:id="343"/>
      <w:bookmarkStart w:id="344" w:name="_Toc184313259"/>
      <w:bookmarkEnd w:id="344"/>
      <w:bookmarkStart w:id="345" w:name="_Toc184314428"/>
      <w:bookmarkEnd w:id="345"/>
      <w:bookmarkStart w:id="346" w:name="_Toc184310287"/>
      <w:bookmarkEnd w:id="346"/>
      <w:bookmarkStart w:id="347" w:name="_Toc184308084"/>
      <w:bookmarkEnd w:id="347"/>
      <w:bookmarkStart w:id="348" w:name="_Toc184308107"/>
      <w:bookmarkEnd w:id="348"/>
      <w:bookmarkStart w:id="349" w:name="_Toc184313287"/>
      <w:bookmarkEnd w:id="349"/>
      <w:bookmarkStart w:id="350" w:name="_Toc184313261"/>
      <w:bookmarkEnd w:id="350"/>
      <w:bookmarkStart w:id="351" w:name="_Toc184313247"/>
      <w:bookmarkEnd w:id="351"/>
      <w:bookmarkStart w:id="352" w:name="_Toc184308039"/>
      <w:bookmarkEnd w:id="352"/>
      <w:bookmarkStart w:id="353" w:name="_Toc184314440"/>
      <w:bookmarkEnd w:id="353"/>
      <w:bookmarkStart w:id="354" w:name="_Toc184312119"/>
      <w:bookmarkEnd w:id="354"/>
      <w:bookmarkStart w:id="355" w:name="_Toc184312110"/>
      <w:bookmarkEnd w:id="355"/>
      <w:bookmarkStart w:id="356" w:name="_Toc184313294"/>
      <w:bookmarkEnd w:id="356"/>
      <w:bookmarkStart w:id="357" w:name="_Toc184314465"/>
      <w:bookmarkEnd w:id="357"/>
      <w:bookmarkStart w:id="358" w:name="_Toc184308072"/>
      <w:bookmarkEnd w:id="358"/>
      <w:bookmarkStart w:id="359" w:name="_Toc184310286"/>
      <w:bookmarkEnd w:id="359"/>
      <w:bookmarkStart w:id="360" w:name="_Toc184314436"/>
      <w:bookmarkEnd w:id="360"/>
      <w:bookmarkStart w:id="361" w:name="_Toc184313251"/>
      <w:bookmarkEnd w:id="361"/>
      <w:bookmarkStart w:id="362" w:name="_Toc184312106"/>
      <w:bookmarkEnd w:id="362"/>
      <w:bookmarkStart w:id="363" w:name="_Toc184313282"/>
      <w:bookmarkEnd w:id="363"/>
      <w:bookmarkStart w:id="364" w:name="_Toc184312125"/>
      <w:bookmarkEnd w:id="364"/>
      <w:bookmarkStart w:id="365" w:name="_Toc184313307"/>
      <w:bookmarkEnd w:id="365"/>
      <w:bookmarkStart w:id="366" w:name="_Toc184312138"/>
      <w:bookmarkEnd w:id="366"/>
      <w:bookmarkStart w:id="367" w:name="_Toc184308098"/>
      <w:bookmarkEnd w:id="367"/>
      <w:bookmarkStart w:id="368" w:name="_Toc184312099"/>
      <w:bookmarkEnd w:id="368"/>
      <w:bookmarkStart w:id="369" w:name="_Toc184314430"/>
      <w:bookmarkEnd w:id="369"/>
      <w:r>
        <w:rPr>
          <w:rFonts w:hint="eastAsia" w:ascii="宋体" w:hAnsi="宋体" w:eastAsia="宋体" w:cs="宋体"/>
          <w:color w:val="000000" w:themeColor="text1"/>
          <w14:textFill>
            <w14:solidFill>
              <w14:schemeClr w14:val="tx1"/>
            </w14:solidFill>
          </w14:textFill>
        </w:rPr>
        <w:t>评标办法</w:t>
      </w:r>
    </w:p>
    <w:p w14:paraId="030D0E83">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评标办法前附表</w:t>
      </w:r>
    </w:p>
    <w:p w14:paraId="69CE5408">
      <w:pPr>
        <w:shd w:val="clear"/>
        <w:spacing w:line="360" w:lineRule="auto"/>
        <w:rPr>
          <w:rFonts w:hint="eastAsia"/>
          <w:b/>
          <w:bCs/>
          <w:color w:val="000000" w:themeColor="text1"/>
          <w:highlight w:val="none"/>
          <w14:textFill>
            <w14:solidFill>
              <w14:schemeClr w14:val="tx1"/>
            </w14:solidFill>
          </w14:textFill>
        </w:rPr>
      </w:pPr>
      <w:r>
        <w:rPr>
          <w:rFonts w:hint="eastAsia"/>
          <w:b/>
          <w:bCs/>
          <w:color w:val="000000" w:themeColor="text1"/>
          <w14:textFill>
            <w14:solidFill>
              <w14:schemeClr w14:val="tx1"/>
            </w14:solidFill>
          </w14:textFill>
        </w:rPr>
        <w:t>商务资信分（90分）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4"/>
        <w:gridCol w:w="6658"/>
        <w:gridCol w:w="993"/>
      </w:tblGrid>
      <w:tr w14:paraId="339C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7502" w:type="dxa"/>
            <w:gridSpan w:val="2"/>
            <w:shd w:val="clear" w:color="auto" w:fill="auto"/>
            <w:noWrap w:val="0"/>
            <w:vAlign w:val="center"/>
          </w:tcPr>
          <w:p w14:paraId="73AE5496">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评标内容及分值</w:t>
            </w:r>
          </w:p>
        </w:tc>
        <w:tc>
          <w:tcPr>
            <w:tcW w:w="993" w:type="dxa"/>
            <w:shd w:val="clear" w:color="auto" w:fill="auto"/>
            <w:noWrap w:val="0"/>
            <w:vAlign w:val="center"/>
          </w:tcPr>
          <w:p w14:paraId="068C59A8">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评分区间</w:t>
            </w:r>
          </w:p>
        </w:tc>
      </w:tr>
      <w:tr w14:paraId="18F2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0" w:type="auto"/>
            <w:vMerge w:val="restart"/>
            <w:shd w:val="clear" w:color="auto" w:fill="auto"/>
            <w:noWrap w:val="0"/>
            <w:vAlign w:val="center"/>
          </w:tcPr>
          <w:p w14:paraId="7808DC3D">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商 务</w:t>
            </w:r>
          </w:p>
          <w:p w14:paraId="1F482124">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资 信</w:t>
            </w:r>
          </w:p>
          <w:p w14:paraId="79E458A2">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分</w:t>
            </w:r>
          </w:p>
          <w:p w14:paraId="7B9F23A9">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（2</w:t>
            </w:r>
            <w:r>
              <w:rPr>
                <w:rFonts w:hint="eastAsia" w:cs="宋体"/>
                <w:color w:val="000000"/>
                <w:sz w:val="24"/>
                <w:highlight w:val="none"/>
                <w:shd w:val="clear" w:color="auto" w:fill="auto"/>
                <w:lang w:val="en-US" w:eastAsia="zh-CN"/>
              </w:rPr>
              <w:t>0</w:t>
            </w:r>
            <w:r>
              <w:rPr>
                <w:rFonts w:hint="eastAsia" w:ascii="宋体" w:hAnsi="宋体" w:eastAsia="宋体" w:cs="宋体"/>
                <w:color w:val="000000"/>
                <w:sz w:val="24"/>
                <w:highlight w:val="none"/>
                <w:shd w:val="clear" w:color="auto" w:fill="auto"/>
              </w:rPr>
              <w:t>分）</w:t>
            </w:r>
          </w:p>
        </w:tc>
        <w:tc>
          <w:tcPr>
            <w:tcW w:w="6658" w:type="dxa"/>
            <w:shd w:val="clear" w:color="auto" w:fill="auto"/>
            <w:noWrap w:val="0"/>
            <w:vAlign w:val="center"/>
          </w:tcPr>
          <w:p w14:paraId="5D71384C">
            <w:pPr>
              <w:spacing w:line="340" w:lineRule="exact"/>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 xml:space="preserve">根据供应商综合实力等情况综合评定打分 </w:t>
            </w:r>
          </w:p>
          <w:p w14:paraId="457C9BD3">
            <w:pP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 xml:space="preserve"> </w:t>
            </w:r>
          </w:p>
        </w:tc>
        <w:tc>
          <w:tcPr>
            <w:tcW w:w="993" w:type="dxa"/>
            <w:tcBorders/>
            <w:shd w:val="clear" w:color="auto" w:fill="auto"/>
            <w:noWrap w:val="0"/>
            <w:vAlign w:val="center"/>
          </w:tcPr>
          <w:p w14:paraId="4C4DF909">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cs="宋体"/>
                <w:color w:val="000000"/>
                <w:sz w:val="24"/>
                <w:highlight w:val="none"/>
                <w:shd w:val="clear" w:color="auto" w:fill="auto"/>
                <w:lang w:val="en-US" w:eastAsia="zh-CN"/>
              </w:rPr>
              <w:t>5</w:t>
            </w:r>
            <w:r>
              <w:rPr>
                <w:rFonts w:hint="eastAsia" w:ascii="宋体" w:hAnsi="宋体" w:eastAsia="宋体" w:cs="宋体"/>
                <w:color w:val="000000"/>
                <w:sz w:val="24"/>
                <w:highlight w:val="none"/>
                <w:shd w:val="clear" w:color="auto" w:fill="auto"/>
              </w:rPr>
              <w:t>分</w:t>
            </w:r>
          </w:p>
        </w:tc>
      </w:tr>
      <w:tr w14:paraId="0AC2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vMerge w:val="continue"/>
            <w:shd w:val="clear" w:color="auto" w:fill="auto"/>
            <w:noWrap w:val="0"/>
            <w:vAlign w:val="center"/>
          </w:tcPr>
          <w:p w14:paraId="48EFACE8">
            <w:pPr>
              <w:shd w:val="clear"/>
              <w:spacing w:line="340" w:lineRule="exact"/>
              <w:jc w:val="center"/>
              <w:rPr>
                <w:rFonts w:hint="eastAsia" w:ascii="宋体" w:hAnsi="宋体" w:eastAsia="宋体" w:cs="宋体"/>
                <w:color w:val="000000"/>
                <w:sz w:val="24"/>
                <w:highlight w:val="none"/>
                <w:shd w:val="clear" w:color="auto" w:fill="auto"/>
              </w:rPr>
            </w:pPr>
          </w:p>
        </w:tc>
        <w:tc>
          <w:tcPr>
            <w:tcW w:w="6658" w:type="dxa"/>
            <w:shd w:val="clear" w:color="auto" w:fill="auto"/>
            <w:noWrap w:val="0"/>
            <w:vAlign w:val="center"/>
          </w:tcPr>
          <w:p w14:paraId="75943B65">
            <w:pPr>
              <w:spacing w:line="340" w:lineRule="exact"/>
              <w:rPr>
                <w:rFonts w:hint="default" w:ascii="宋体" w:hAnsi="宋体" w:eastAsia="宋体" w:cs="宋体"/>
                <w:color w:val="000000"/>
                <w:sz w:val="24"/>
                <w:highlight w:val="none"/>
                <w:shd w:val="clear" w:color="auto" w:fill="auto"/>
                <w:lang w:val="en-US" w:eastAsia="zh-CN"/>
              </w:rPr>
            </w:pPr>
            <w:r>
              <w:rPr>
                <w:rFonts w:hint="eastAsia" w:ascii="宋体" w:hAnsi="宋体" w:eastAsia="宋体" w:cs="宋体"/>
                <w:color w:val="000000"/>
                <w:sz w:val="24"/>
                <w:highlight w:val="none"/>
                <w:shd w:val="clear" w:color="auto" w:fill="auto"/>
              </w:rPr>
              <w:t>供应商</w:t>
            </w:r>
            <w:r>
              <w:rPr>
                <w:rFonts w:hint="eastAsia" w:ascii="宋体" w:hAnsi="宋体" w:eastAsia="宋体" w:cs="宋体"/>
                <w:color w:val="000000"/>
                <w:sz w:val="24"/>
                <w:highlight w:val="none"/>
                <w:shd w:val="clear" w:color="auto" w:fill="auto"/>
                <w:lang w:val="en-US" w:eastAsia="zh-CN"/>
              </w:rPr>
              <w:t>2021</w:t>
            </w:r>
            <w:r>
              <w:rPr>
                <w:rFonts w:hint="eastAsia" w:ascii="宋体" w:hAnsi="宋体" w:eastAsia="宋体" w:cs="宋体"/>
                <w:color w:val="000000"/>
                <w:sz w:val="24"/>
                <w:highlight w:val="none"/>
                <w:shd w:val="clear" w:color="auto" w:fill="auto"/>
              </w:rPr>
              <w:t>年1月1日起管理过的类似项目业绩每个得1分，最高得</w:t>
            </w:r>
            <w:r>
              <w:rPr>
                <w:rFonts w:hint="eastAsia" w:cs="宋体"/>
                <w:color w:val="000000"/>
                <w:sz w:val="24"/>
                <w:highlight w:val="none"/>
                <w:shd w:val="clear" w:color="auto" w:fill="auto"/>
                <w:lang w:val="en-US" w:eastAsia="zh-CN"/>
              </w:rPr>
              <w:t>5</w:t>
            </w:r>
            <w:r>
              <w:rPr>
                <w:rFonts w:hint="eastAsia" w:ascii="宋体" w:hAnsi="宋体" w:eastAsia="宋体" w:cs="宋体"/>
                <w:color w:val="000000"/>
                <w:sz w:val="24"/>
                <w:highlight w:val="none"/>
                <w:shd w:val="clear" w:color="auto" w:fill="auto"/>
              </w:rPr>
              <w:t>分。</w:t>
            </w:r>
          </w:p>
        </w:tc>
        <w:tc>
          <w:tcPr>
            <w:tcW w:w="993" w:type="dxa"/>
            <w:shd w:val="clear" w:color="auto" w:fill="auto"/>
            <w:noWrap w:val="0"/>
            <w:vAlign w:val="center"/>
          </w:tcPr>
          <w:p w14:paraId="5EAD92AB">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cs="宋体"/>
                <w:color w:val="000000"/>
                <w:sz w:val="24"/>
                <w:highlight w:val="none"/>
                <w:shd w:val="clear" w:color="auto" w:fill="auto"/>
                <w:lang w:val="en-US" w:eastAsia="zh-CN"/>
              </w:rPr>
              <w:t>5</w:t>
            </w:r>
            <w:r>
              <w:rPr>
                <w:rFonts w:hint="eastAsia" w:ascii="宋体" w:hAnsi="宋体" w:eastAsia="宋体" w:cs="宋体"/>
                <w:color w:val="000000"/>
                <w:sz w:val="24"/>
                <w:highlight w:val="none"/>
                <w:shd w:val="clear" w:color="auto" w:fill="auto"/>
              </w:rPr>
              <w:t>分</w:t>
            </w:r>
          </w:p>
        </w:tc>
      </w:tr>
      <w:tr w14:paraId="7401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vMerge w:val="continue"/>
            <w:shd w:val="clear" w:color="auto" w:fill="auto"/>
            <w:noWrap w:val="0"/>
            <w:vAlign w:val="center"/>
          </w:tcPr>
          <w:p w14:paraId="761726CE">
            <w:pPr>
              <w:shd w:val="clear"/>
              <w:spacing w:line="340" w:lineRule="exact"/>
              <w:jc w:val="center"/>
              <w:rPr>
                <w:rFonts w:hint="eastAsia" w:ascii="宋体" w:hAnsi="宋体" w:eastAsia="宋体" w:cs="宋体"/>
                <w:color w:val="000000"/>
                <w:sz w:val="24"/>
                <w:highlight w:val="none"/>
                <w:shd w:val="clear" w:color="auto" w:fill="auto"/>
              </w:rPr>
            </w:pPr>
          </w:p>
        </w:tc>
        <w:tc>
          <w:tcPr>
            <w:tcW w:w="6658" w:type="dxa"/>
            <w:shd w:val="clear" w:color="auto" w:fill="auto"/>
            <w:noWrap w:val="0"/>
            <w:vAlign w:val="center"/>
          </w:tcPr>
          <w:p w14:paraId="1FFA6148">
            <w:pPr>
              <w:rPr>
                <w:rFonts w:hint="eastAsia" w:ascii="宋体" w:hAnsi="宋体"/>
                <w:szCs w:val="21"/>
              </w:rPr>
            </w:pPr>
            <w:r>
              <w:rPr>
                <w:rFonts w:hint="eastAsia" w:ascii="宋体" w:hAnsi="宋体"/>
                <w:szCs w:val="21"/>
              </w:rPr>
              <w:t>1、供应商具有有效的质量管理体系认证证书（I</w:t>
            </w:r>
            <w:r>
              <w:rPr>
                <w:rFonts w:ascii="宋体" w:hAnsi="宋体"/>
                <w:szCs w:val="21"/>
              </w:rPr>
              <w:t>SO9001</w:t>
            </w:r>
            <w:r>
              <w:rPr>
                <w:rFonts w:hint="eastAsia" w:ascii="宋体" w:hAnsi="宋体"/>
                <w:szCs w:val="21"/>
              </w:rPr>
              <w:t>）的得</w:t>
            </w:r>
            <w:r>
              <w:rPr>
                <w:rFonts w:hint="eastAsia" w:ascii="宋体" w:hAnsi="宋体"/>
                <w:szCs w:val="21"/>
                <w:lang w:val="en-US" w:eastAsia="zh-CN"/>
              </w:rPr>
              <w:t>1</w:t>
            </w:r>
            <w:r>
              <w:rPr>
                <w:rFonts w:hint="eastAsia" w:ascii="宋体" w:hAnsi="宋体"/>
                <w:szCs w:val="21"/>
              </w:rPr>
              <w:t>分；</w:t>
            </w:r>
          </w:p>
          <w:p w14:paraId="6372C891">
            <w:pPr>
              <w:rPr>
                <w:rFonts w:hint="eastAsia" w:ascii="宋体" w:hAnsi="宋体"/>
                <w:szCs w:val="21"/>
              </w:rPr>
            </w:pPr>
            <w:r>
              <w:rPr>
                <w:rFonts w:ascii="宋体" w:hAnsi="宋体"/>
                <w:szCs w:val="21"/>
              </w:rPr>
              <w:t>2</w:t>
            </w:r>
            <w:r>
              <w:rPr>
                <w:rFonts w:hint="eastAsia" w:ascii="宋体" w:hAnsi="宋体"/>
                <w:szCs w:val="21"/>
              </w:rPr>
              <w:t>、供应商具有高新技术企业证书的得</w:t>
            </w:r>
            <w:r>
              <w:rPr>
                <w:rFonts w:hint="eastAsia" w:ascii="宋体" w:hAnsi="宋体"/>
                <w:szCs w:val="21"/>
                <w:lang w:val="en-US" w:eastAsia="zh-CN"/>
              </w:rPr>
              <w:t>2</w:t>
            </w:r>
            <w:r>
              <w:rPr>
                <w:rFonts w:hint="eastAsia" w:ascii="宋体" w:hAnsi="宋体"/>
                <w:szCs w:val="21"/>
              </w:rPr>
              <w:t>分；</w:t>
            </w:r>
          </w:p>
          <w:p w14:paraId="26B99FBC">
            <w:pPr>
              <w:rPr>
                <w:rFonts w:hint="eastAsia" w:ascii="宋体" w:hAnsi="宋体"/>
                <w:szCs w:val="21"/>
              </w:rPr>
            </w:pPr>
            <w:r>
              <w:rPr>
                <w:rFonts w:ascii="宋体" w:hAnsi="宋体"/>
                <w:szCs w:val="21"/>
              </w:rPr>
              <w:t>3</w:t>
            </w:r>
            <w:r>
              <w:rPr>
                <w:rFonts w:hint="eastAsia" w:ascii="宋体" w:hAnsi="宋体"/>
                <w:szCs w:val="21"/>
              </w:rPr>
              <w:t>、供应商具有软件能力成熟度CMMI等级：CMMI1-CMMI3得</w:t>
            </w:r>
            <w:r>
              <w:rPr>
                <w:rFonts w:ascii="宋体" w:hAnsi="宋体"/>
                <w:szCs w:val="21"/>
              </w:rPr>
              <w:t>1</w:t>
            </w:r>
            <w:r>
              <w:rPr>
                <w:rFonts w:hint="eastAsia" w:ascii="宋体" w:hAnsi="宋体"/>
                <w:szCs w:val="21"/>
              </w:rPr>
              <w:t xml:space="preserve">分，CMMI4得 </w:t>
            </w:r>
            <w:r>
              <w:rPr>
                <w:rFonts w:ascii="宋体" w:hAnsi="宋体"/>
                <w:szCs w:val="21"/>
              </w:rPr>
              <w:t>2</w:t>
            </w:r>
            <w:r>
              <w:rPr>
                <w:rFonts w:hint="eastAsia" w:ascii="宋体" w:hAnsi="宋体"/>
                <w:szCs w:val="21"/>
              </w:rPr>
              <w:t>分，CMMI</w:t>
            </w:r>
            <w:bookmarkStart w:id="526" w:name="_GoBack"/>
            <w:bookmarkEnd w:id="526"/>
            <w:r>
              <w:rPr>
                <w:rFonts w:hint="eastAsia" w:ascii="宋体" w:hAnsi="宋体"/>
                <w:szCs w:val="21"/>
              </w:rPr>
              <w:t>5得</w:t>
            </w:r>
            <w:r>
              <w:rPr>
                <w:rFonts w:ascii="宋体" w:hAnsi="宋体"/>
                <w:szCs w:val="21"/>
              </w:rPr>
              <w:t>3</w:t>
            </w:r>
            <w:r>
              <w:rPr>
                <w:rFonts w:hint="eastAsia" w:ascii="宋体" w:hAnsi="宋体"/>
                <w:szCs w:val="21"/>
              </w:rPr>
              <w:t>分；；</w:t>
            </w:r>
          </w:p>
          <w:p w14:paraId="3A31B67B">
            <w:pPr>
              <w:rPr>
                <w:rFonts w:hint="eastAsia" w:ascii="宋体" w:hAnsi="宋体"/>
                <w:szCs w:val="21"/>
              </w:rPr>
            </w:pPr>
            <w:r>
              <w:rPr>
                <w:rFonts w:hint="eastAsia" w:ascii="宋体" w:hAnsi="宋体"/>
                <w:szCs w:val="21"/>
                <w:lang w:val="en-US" w:eastAsia="zh-CN"/>
              </w:rPr>
              <w:t>4</w:t>
            </w:r>
            <w:r>
              <w:rPr>
                <w:rFonts w:hint="eastAsia" w:ascii="宋体" w:hAnsi="宋体"/>
                <w:szCs w:val="21"/>
              </w:rPr>
              <w:t>、供应商具有企业信用等级证书（A</w:t>
            </w:r>
            <w:r>
              <w:rPr>
                <w:rFonts w:ascii="宋体" w:hAnsi="宋体"/>
                <w:szCs w:val="21"/>
              </w:rPr>
              <w:t>AA</w:t>
            </w:r>
            <w:r>
              <w:rPr>
                <w:rFonts w:hint="eastAsia" w:ascii="宋体" w:hAnsi="宋体"/>
                <w:szCs w:val="21"/>
              </w:rPr>
              <w:t>级），得</w:t>
            </w:r>
            <w:r>
              <w:rPr>
                <w:rFonts w:hint="eastAsia" w:ascii="宋体" w:hAnsi="宋体"/>
                <w:szCs w:val="21"/>
                <w:lang w:val="en-US" w:eastAsia="zh-CN"/>
              </w:rPr>
              <w:t>2</w:t>
            </w:r>
            <w:r>
              <w:rPr>
                <w:rFonts w:hint="eastAsia" w:ascii="宋体" w:hAnsi="宋体"/>
                <w:szCs w:val="21"/>
              </w:rPr>
              <w:t>分；</w:t>
            </w:r>
          </w:p>
          <w:p w14:paraId="68F0F596">
            <w:pPr>
              <w:rPr>
                <w:rFonts w:hint="eastAsia" w:ascii="宋体" w:hAnsi="宋体" w:eastAsia="宋体" w:cs="宋体"/>
                <w:color w:val="000000"/>
                <w:sz w:val="24"/>
                <w:highlight w:val="none"/>
                <w:shd w:val="clear" w:color="auto" w:fill="auto"/>
              </w:rPr>
            </w:pPr>
            <w:r>
              <w:rPr>
                <w:rFonts w:hint="eastAsia" w:ascii="宋体" w:hAnsi="宋体"/>
                <w:szCs w:val="21"/>
                <w:lang w:val="en-US" w:eastAsia="zh-CN"/>
              </w:rPr>
              <w:t>5</w:t>
            </w:r>
            <w:r>
              <w:rPr>
                <w:rFonts w:hint="eastAsia" w:ascii="宋体" w:hAnsi="宋体"/>
                <w:szCs w:val="21"/>
              </w:rPr>
              <w:t>、供应商具有ITSS信息技术服务标准资质（三级）：得</w:t>
            </w:r>
            <w:r>
              <w:rPr>
                <w:rFonts w:hint="eastAsia" w:ascii="宋体" w:hAnsi="宋体"/>
                <w:szCs w:val="21"/>
                <w:lang w:val="en-US" w:eastAsia="zh-CN"/>
              </w:rPr>
              <w:t>2</w:t>
            </w:r>
            <w:r>
              <w:rPr>
                <w:rFonts w:hint="eastAsia" w:ascii="宋体" w:hAnsi="宋体"/>
                <w:szCs w:val="21"/>
              </w:rPr>
              <w:t>分；</w:t>
            </w:r>
            <w:r>
              <w:rPr>
                <w:rFonts w:hint="eastAsia" w:ascii="宋体" w:hAnsi="宋体" w:eastAsia="宋体" w:cs="宋体"/>
                <w:b w:val="0"/>
                <w:bCs w:val="0"/>
                <w:color w:val="auto"/>
                <w:kern w:val="2"/>
                <w:sz w:val="24"/>
                <w:szCs w:val="24"/>
                <w:highlight w:val="none"/>
                <w:shd w:val="clear" w:color="auto" w:fill="auto"/>
                <w:lang w:val="en-US" w:eastAsia="zh-CN" w:bidi="ar-SA"/>
              </w:rPr>
              <w:t>（投标文件中须提供相关证明资料复印件并加盖公章，否则不得分）</w:t>
            </w:r>
          </w:p>
        </w:tc>
        <w:tc>
          <w:tcPr>
            <w:tcW w:w="993" w:type="dxa"/>
            <w:shd w:val="clear" w:color="auto" w:fill="auto"/>
            <w:noWrap w:val="0"/>
            <w:vAlign w:val="center"/>
          </w:tcPr>
          <w:p w14:paraId="3EB14032">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cs="宋体"/>
                <w:color w:val="000000"/>
                <w:sz w:val="24"/>
                <w:highlight w:val="none"/>
                <w:shd w:val="clear" w:color="auto" w:fill="auto"/>
                <w:lang w:val="en-US" w:eastAsia="zh-CN"/>
              </w:rPr>
              <w:t>10</w:t>
            </w:r>
            <w:r>
              <w:rPr>
                <w:rFonts w:hint="eastAsia" w:ascii="宋体" w:hAnsi="宋体" w:eastAsia="宋体" w:cs="宋体"/>
                <w:color w:val="000000"/>
                <w:sz w:val="24"/>
                <w:highlight w:val="none"/>
                <w:shd w:val="clear" w:color="auto" w:fill="auto"/>
              </w:rPr>
              <w:t>分</w:t>
            </w:r>
          </w:p>
        </w:tc>
      </w:tr>
      <w:tr w14:paraId="5EE2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0" w:type="auto"/>
            <w:vMerge w:val="restart"/>
            <w:shd w:val="clear" w:color="auto" w:fill="auto"/>
            <w:noWrap w:val="0"/>
            <w:vAlign w:val="center"/>
          </w:tcPr>
          <w:p w14:paraId="03865E29">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技</w:t>
            </w:r>
          </w:p>
          <w:p w14:paraId="270B624B">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术</w:t>
            </w:r>
          </w:p>
          <w:p w14:paraId="7DDE00E9">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分</w:t>
            </w:r>
          </w:p>
          <w:p w14:paraId="59016986">
            <w:pPr>
              <w:shd w:val="clear"/>
              <w:spacing w:line="34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w:t>
            </w:r>
            <w:r>
              <w:rPr>
                <w:rFonts w:hint="eastAsia" w:cs="宋体"/>
                <w:color w:val="000000"/>
                <w:sz w:val="24"/>
                <w:highlight w:val="none"/>
                <w:shd w:val="clear" w:color="auto" w:fill="auto"/>
                <w:lang w:val="en-US" w:eastAsia="zh-CN"/>
              </w:rPr>
              <w:t>70</w:t>
            </w:r>
            <w:r>
              <w:rPr>
                <w:rFonts w:hint="eastAsia" w:ascii="宋体" w:hAnsi="宋体" w:eastAsia="宋体" w:cs="宋体"/>
                <w:color w:val="000000"/>
                <w:sz w:val="24"/>
                <w:highlight w:val="none"/>
                <w:shd w:val="clear" w:color="auto" w:fill="auto"/>
              </w:rPr>
              <w:t>分）</w:t>
            </w:r>
          </w:p>
        </w:tc>
        <w:tc>
          <w:tcPr>
            <w:tcW w:w="6658" w:type="dxa"/>
            <w:shd w:val="clear" w:color="auto" w:fill="auto"/>
            <w:noWrap w:val="0"/>
            <w:vAlign w:val="center"/>
          </w:tcPr>
          <w:p w14:paraId="3C5FFA7B">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auto"/>
                <w:kern w:val="2"/>
                <w:sz w:val="24"/>
                <w:szCs w:val="24"/>
                <w:highlight w:val="none"/>
                <w:lang w:val="en-US" w:eastAsia="zh-CN" w:bidi="ar-SA"/>
              </w:rPr>
              <w:t>标“</w:t>
            </w:r>
            <w:r>
              <w:rPr>
                <w:rFonts w:hint="eastAsia" w:ascii="微软雅黑" w:hAnsi="微软雅黑" w:eastAsia="微软雅黑" w:cs="微软雅黑"/>
                <w:b/>
                <w:bCs/>
                <w:szCs w:val="21"/>
                <w:highlight w:val="none"/>
              </w:rPr>
              <w:t>▄</w:t>
            </w:r>
            <w:r>
              <w:rPr>
                <w:rFonts w:hint="eastAsia" w:ascii="宋体" w:hAnsi="宋体" w:eastAsia="宋体" w:cs="宋体"/>
                <w:color w:val="auto"/>
                <w:kern w:val="2"/>
                <w:sz w:val="24"/>
                <w:szCs w:val="24"/>
                <w:highlight w:val="none"/>
                <w:lang w:val="en-US" w:eastAsia="zh-CN" w:bidi="ar-SA"/>
              </w:rPr>
              <w:t>”属于重要参数，对打“</w:t>
            </w:r>
            <w:r>
              <w:rPr>
                <w:rFonts w:hint="eastAsia" w:ascii="微软雅黑" w:hAnsi="微软雅黑" w:eastAsia="微软雅黑" w:cs="微软雅黑"/>
                <w:b/>
                <w:bCs/>
                <w:szCs w:val="21"/>
                <w:highlight w:val="none"/>
              </w:rPr>
              <w:t>▄</w:t>
            </w:r>
            <w:r>
              <w:rPr>
                <w:rFonts w:hint="eastAsia" w:ascii="宋体" w:hAnsi="宋体" w:eastAsia="宋体" w:cs="宋体"/>
                <w:color w:val="auto"/>
                <w:kern w:val="2"/>
                <w:sz w:val="24"/>
                <w:szCs w:val="24"/>
                <w:highlight w:val="none"/>
                <w:lang w:val="en-US" w:eastAsia="zh-CN" w:bidi="ar-SA"/>
              </w:rPr>
              <w:t>”的性能指标及技术参数负偏离或缺漏项的每项扣</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分；扣完为止。</w:t>
            </w:r>
          </w:p>
        </w:tc>
        <w:tc>
          <w:tcPr>
            <w:tcW w:w="993" w:type="dxa"/>
            <w:shd w:val="clear" w:color="auto" w:fill="auto"/>
            <w:noWrap w:val="0"/>
            <w:vAlign w:val="center"/>
          </w:tcPr>
          <w:p w14:paraId="2886D11F">
            <w:pPr>
              <w:shd w:val="clear"/>
              <w:spacing w:line="360" w:lineRule="exact"/>
              <w:jc w:val="center"/>
              <w:rPr>
                <w:rFonts w:hint="eastAsia" w:ascii="宋体" w:hAnsi="宋体" w:eastAsia="宋体" w:cs="宋体"/>
                <w:color w:val="000000"/>
                <w:sz w:val="24"/>
                <w:highlight w:val="none"/>
                <w:shd w:val="clear" w:color="auto" w:fill="auto"/>
                <w:lang w:val="en-US" w:eastAsia="zh-CN"/>
              </w:rPr>
            </w:pPr>
            <w:r>
              <w:rPr>
                <w:rFonts w:hint="eastAsia" w:ascii="宋体" w:hAnsi="宋体" w:eastAsia="宋体" w:cs="宋体"/>
                <w:color w:val="000000"/>
                <w:sz w:val="24"/>
                <w:highlight w:val="none"/>
                <w:shd w:val="clear" w:color="auto" w:fill="auto"/>
              </w:rPr>
              <w:t>0-1</w:t>
            </w:r>
            <w:r>
              <w:rPr>
                <w:rFonts w:hint="eastAsia" w:cs="宋体"/>
                <w:color w:val="000000"/>
                <w:sz w:val="24"/>
                <w:highlight w:val="none"/>
                <w:shd w:val="clear" w:color="auto" w:fill="auto"/>
                <w:lang w:val="en-US" w:eastAsia="zh-CN"/>
              </w:rPr>
              <w:t>0</w:t>
            </w:r>
            <w:r>
              <w:rPr>
                <w:rFonts w:hint="eastAsia" w:ascii="宋体" w:hAnsi="宋体" w:eastAsia="宋体" w:cs="宋体"/>
                <w:color w:val="000000"/>
                <w:sz w:val="24"/>
                <w:highlight w:val="none"/>
                <w:shd w:val="clear" w:color="auto" w:fill="auto"/>
              </w:rPr>
              <w:t>分</w:t>
            </w:r>
          </w:p>
        </w:tc>
      </w:tr>
      <w:tr w14:paraId="6B64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0" w:type="auto"/>
            <w:vMerge w:val="continue"/>
            <w:shd w:val="clear" w:color="auto" w:fill="auto"/>
            <w:noWrap w:val="0"/>
            <w:vAlign w:val="center"/>
          </w:tcPr>
          <w:p w14:paraId="3052DD5A">
            <w:pPr>
              <w:shd w:val="clear"/>
              <w:spacing w:line="340" w:lineRule="exact"/>
              <w:jc w:val="center"/>
              <w:rPr>
                <w:rFonts w:hint="eastAsia" w:ascii="宋体" w:hAnsi="宋体" w:eastAsia="宋体" w:cs="宋体"/>
                <w:color w:val="000000"/>
                <w:sz w:val="24"/>
                <w:highlight w:val="none"/>
                <w:shd w:val="clear" w:color="auto" w:fill="auto"/>
              </w:rPr>
            </w:pPr>
          </w:p>
        </w:tc>
        <w:tc>
          <w:tcPr>
            <w:tcW w:w="6658" w:type="dxa"/>
            <w:shd w:val="clear" w:color="auto" w:fill="auto"/>
            <w:noWrap w:val="0"/>
            <w:vAlign w:val="center"/>
          </w:tcPr>
          <w:p w14:paraId="44476565">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交易方案的合理性、科学性、全面性</w:t>
            </w:r>
          </w:p>
          <w:p w14:paraId="4B387F76">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（根据对投标项目的理解程度、总体设计、组织实施、独到优势等情况综合评定打分）</w:t>
            </w:r>
          </w:p>
        </w:tc>
        <w:tc>
          <w:tcPr>
            <w:tcW w:w="993" w:type="dxa"/>
            <w:shd w:val="clear" w:color="auto" w:fill="auto"/>
            <w:noWrap w:val="0"/>
            <w:vAlign w:val="center"/>
          </w:tcPr>
          <w:p w14:paraId="79BE46E8">
            <w:pPr>
              <w:shd w:val="clea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0-1</w:t>
            </w:r>
            <w:r>
              <w:rPr>
                <w:rFonts w:hint="eastAsia" w:cs="宋体"/>
                <w:color w:val="000000"/>
                <w:sz w:val="24"/>
                <w:highlight w:val="none"/>
                <w:shd w:val="clear" w:color="auto" w:fill="auto"/>
                <w:lang w:val="en-US" w:eastAsia="zh-CN"/>
              </w:rPr>
              <w:t>2</w:t>
            </w:r>
            <w:r>
              <w:rPr>
                <w:rFonts w:hint="eastAsia" w:ascii="宋体" w:hAnsi="宋体" w:eastAsia="宋体" w:cs="宋体"/>
                <w:color w:val="000000"/>
                <w:sz w:val="24"/>
                <w:highlight w:val="none"/>
                <w:shd w:val="clear" w:color="auto" w:fill="auto"/>
              </w:rPr>
              <w:t>分</w:t>
            </w:r>
          </w:p>
        </w:tc>
      </w:tr>
      <w:tr w14:paraId="7A75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shd w:val="clear" w:color="auto" w:fill="auto"/>
            <w:noWrap w:val="0"/>
            <w:vAlign w:val="top"/>
          </w:tcPr>
          <w:p w14:paraId="47BB26DC">
            <w:pPr>
              <w:shd w:val="clear"/>
              <w:spacing w:line="340" w:lineRule="exact"/>
              <w:jc w:val="center"/>
              <w:rPr>
                <w:rFonts w:hint="eastAsia" w:ascii="宋体" w:hAnsi="宋体" w:eastAsia="宋体" w:cs="宋体"/>
                <w:color w:val="000000"/>
                <w:sz w:val="24"/>
                <w:highlight w:val="none"/>
                <w:shd w:val="clear" w:color="auto" w:fill="auto"/>
              </w:rPr>
            </w:pPr>
          </w:p>
        </w:tc>
        <w:tc>
          <w:tcPr>
            <w:tcW w:w="6658" w:type="dxa"/>
            <w:shd w:val="clear" w:color="auto" w:fill="auto"/>
            <w:noWrap w:val="0"/>
            <w:vAlign w:val="center"/>
          </w:tcPr>
          <w:p w14:paraId="41BC8A34">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交易方案中提供或使用主要设备的优劣</w:t>
            </w:r>
          </w:p>
          <w:p w14:paraId="117E6FD6">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（综合评定对比打分）</w:t>
            </w:r>
          </w:p>
        </w:tc>
        <w:tc>
          <w:tcPr>
            <w:tcW w:w="993" w:type="dxa"/>
            <w:shd w:val="clear" w:color="auto" w:fill="auto"/>
            <w:noWrap w:val="0"/>
            <w:vAlign w:val="center"/>
          </w:tcPr>
          <w:p w14:paraId="080688A0">
            <w:pPr>
              <w:shd w:val="clea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cs="宋体"/>
                <w:color w:val="000000"/>
                <w:sz w:val="24"/>
                <w:highlight w:val="none"/>
                <w:shd w:val="clear" w:color="auto" w:fill="auto"/>
                <w:lang w:val="en-US" w:eastAsia="zh-CN"/>
              </w:rPr>
              <w:t>9</w:t>
            </w:r>
            <w:r>
              <w:rPr>
                <w:rFonts w:hint="eastAsia" w:ascii="宋体" w:hAnsi="宋体" w:eastAsia="宋体" w:cs="宋体"/>
                <w:color w:val="000000"/>
                <w:sz w:val="24"/>
                <w:highlight w:val="none"/>
                <w:shd w:val="clear" w:color="auto" w:fill="auto"/>
              </w:rPr>
              <w:t>分</w:t>
            </w:r>
          </w:p>
        </w:tc>
      </w:tr>
      <w:tr w14:paraId="7C81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shd w:val="clear" w:color="auto" w:fill="auto"/>
            <w:noWrap w:val="0"/>
            <w:vAlign w:val="top"/>
          </w:tcPr>
          <w:p w14:paraId="7707DE8A">
            <w:pPr>
              <w:shd w:val="clear"/>
              <w:spacing w:line="340" w:lineRule="exact"/>
              <w:jc w:val="center"/>
              <w:rPr>
                <w:rFonts w:hint="eastAsia" w:ascii="宋体" w:hAnsi="宋体" w:eastAsia="宋体" w:cs="宋体"/>
                <w:color w:val="000000"/>
                <w:sz w:val="24"/>
                <w:highlight w:val="none"/>
                <w:shd w:val="clear" w:color="auto" w:fill="auto"/>
              </w:rPr>
            </w:pPr>
          </w:p>
        </w:tc>
        <w:tc>
          <w:tcPr>
            <w:tcW w:w="6658" w:type="dxa"/>
            <w:shd w:val="clear" w:color="auto" w:fill="auto"/>
            <w:noWrap w:val="0"/>
            <w:vAlign w:val="center"/>
          </w:tcPr>
          <w:p w14:paraId="02B49EDF">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保证进度和项目完成的方案和措施等</w:t>
            </w:r>
          </w:p>
          <w:p w14:paraId="729F5CC4">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（综合评定对比打分）</w:t>
            </w:r>
          </w:p>
        </w:tc>
        <w:tc>
          <w:tcPr>
            <w:tcW w:w="993" w:type="dxa"/>
            <w:shd w:val="clear" w:color="auto" w:fill="auto"/>
            <w:noWrap w:val="0"/>
            <w:vAlign w:val="center"/>
          </w:tcPr>
          <w:p w14:paraId="7108EF7C">
            <w:pPr>
              <w:shd w:val="clea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cs="宋体"/>
                <w:color w:val="000000"/>
                <w:sz w:val="24"/>
                <w:highlight w:val="none"/>
                <w:shd w:val="clear" w:color="auto" w:fill="auto"/>
                <w:lang w:val="en-US" w:eastAsia="zh-CN"/>
              </w:rPr>
              <w:t>9</w:t>
            </w:r>
            <w:r>
              <w:rPr>
                <w:rFonts w:hint="eastAsia" w:ascii="宋体" w:hAnsi="宋体" w:eastAsia="宋体" w:cs="宋体"/>
                <w:color w:val="000000"/>
                <w:sz w:val="24"/>
                <w:highlight w:val="none"/>
                <w:shd w:val="clear" w:color="auto" w:fill="auto"/>
              </w:rPr>
              <w:t>分</w:t>
            </w:r>
          </w:p>
        </w:tc>
      </w:tr>
      <w:tr w14:paraId="2228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shd w:val="clear" w:color="auto" w:fill="auto"/>
            <w:noWrap w:val="0"/>
            <w:vAlign w:val="top"/>
          </w:tcPr>
          <w:p w14:paraId="1F969938">
            <w:pPr>
              <w:shd w:val="clear"/>
              <w:spacing w:line="340" w:lineRule="exact"/>
              <w:jc w:val="center"/>
              <w:rPr>
                <w:rFonts w:hint="eastAsia" w:ascii="宋体" w:hAnsi="宋体" w:eastAsia="宋体" w:cs="宋体"/>
                <w:color w:val="000000"/>
                <w:sz w:val="24"/>
                <w:highlight w:val="none"/>
                <w:shd w:val="clear" w:color="auto" w:fill="auto"/>
              </w:rPr>
            </w:pPr>
          </w:p>
        </w:tc>
        <w:tc>
          <w:tcPr>
            <w:tcW w:w="6658" w:type="dxa"/>
            <w:shd w:val="clear" w:color="auto" w:fill="auto"/>
            <w:noWrap w:val="0"/>
            <w:vAlign w:val="center"/>
          </w:tcPr>
          <w:p w14:paraId="72585CD5">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项目负责人及技术力量安排等</w:t>
            </w:r>
          </w:p>
          <w:p w14:paraId="116219BB">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（综合评定对比打分）</w:t>
            </w:r>
          </w:p>
        </w:tc>
        <w:tc>
          <w:tcPr>
            <w:tcW w:w="993" w:type="dxa"/>
            <w:shd w:val="clear" w:color="auto" w:fill="auto"/>
            <w:noWrap w:val="0"/>
            <w:vAlign w:val="center"/>
          </w:tcPr>
          <w:p w14:paraId="163E7F10">
            <w:pPr>
              <w:shd w:val="clea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cs="宋体"/>
                <w:color w:val="000000"/>
                <w:sz w:val="24"/>
                <w:highlight w:val="none"/>
                <w:shd w:val="clear" w:color="auto" w:fill="auto"/>
                <w:lang w:val="en-US" w:eastAsia="zh-CN"/>
              </w:rPr>
              <w:t>7</w:t>
            </w:r>
            <w:r>
              <w:rPr>
                <w:rFonts w:hint="eastAsia" w:ascii="宋体" w:hAnsi="宋体" w:eastAsia="宋体" w:cs="宋体"/>
                <w:color w:val="000000"/>
                <w:sz w:val="24"/>
                <w:highlight w:val="none"/>
                <w:shd w:val="clear" w:color="auto" w:fill="auto"/>
              </w:rPr>
              <w:t>分</w:t>
            </w:r>
          </w:p>
        </w:tc>
      </w:tr>
      <w:tr w14:paraId="5D1F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shd w:val="clear" w:color="auto" w:fill="auto"/>
            <w:noWrap w:val="0"/>
            <w:vAlign w:val="top"/>
          </w:tcPr>
          <w:p w14:paraId="20F9444A">
            <w:pPr>
              <w:shd w:val="clear"/>
              <w:spacing w:line="340" w:lineRule="exact"/>
              <w:jc w:val="center"/>
              <w:rPr>
                <w:rFonts w:hint="eastAsia" w:ascii="宋体" w:hAnsi="宋体" w:eastAsia="宋体" w:cs="宋体"/>
                <w:color w:val="000000"/>
                <w:sz w:val="24"/>
                <w:highlight w:val="none"/>
                <w:shd w:val="clear" w:color="auto" w:fill="auto"/>
              </w:rPr>
            </w:pPr>
          </w:p>
        </w:tc>
        <w:tc>
          <w:tcPr>
            <w:tcW w:w="6658" w:type="dxa"/>
            <w:shd w:val="clear" w:color="auto" w:fill="auto"/>
            <w:noWrap w:val="0"/>
            <w:vAlign w:val="center"/>
          </w:tcPr>
          <w:p w14:paraId="7E85DF4A">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对本项目的合理化建议</w:t>
            </w:r>
          </w:p>
          <w:p w14:paraId="140DDE57">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（综合评定对比打分）</w:t>
            </w:r>
          </w:p>
        </w:tc>
        <w:tc>
          <w:tcPr>
            <w:tcW w:w="993" w:type="dxa"/>
            <w:shd w:val="clear" w:color="auto" w:fill="auto"/>
            <w:noWrap w:val="0"/>
            <w:vAlign w:val="center"/>
          </w:tcPr>
          <w:p w14:paraId="1C343E84">
            <w:pPr>
              <w:shd w:val="clea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cs="宋体"/>
                <w:color w:val="000000"/>
                <w:sz w:val="24"/>
                <w:highlight w:val="none"/>
                <w:shd w:val="clear" w:color="auto" w:fill="auto"/>
                <w:lang w:val="en-US" w:eastAsia="zh-CN"/>
              </w:rPr>
              <w:t>7</w:t>
            </w:r>
            <w:r>
              <w:rPr>
                <w:rFonts w:hint="eastAsia" w:ascii="宋体" w:hAnsi="宋体" w:eastAsia="宋体" w:cs="宋体"/>
                <w:color w:val="000000"/>
                <w:sz w:val="24"/>
                <w:highlight w:val="none"/>
                <w:shd w:val="clear" w:color="auto" w:fill="auto"/>
              </w:rPr>
              <w:t>分</w:t>
            </w:r>
          </w:p>
        </w:tc>
      </w:tr>
      <w:tr w14:paraId="695F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0" w:type="auto"/>
            <w:vMerge w:val="continue"/>
            <w:shd w:val="clear" w:color="auto" w:fill="auto"/>
            <w:noWrap w:val="0"/>
            <w:vAlign w:val="top"/>
          </w:tcPr>
          <w:p w14:paraId="43D82E2F">
            <w:pPr>
              <w:shd w:val="clear"/>
              <w:spacing w:line="340" w:lineRule="exact"/>
              <w:jc w:val="center"/>
              <w:rPr>
                <w:rFonts w:hint="eastAsia" w:ascii="宋体" w:hAnsi="宋体" w:eastAsia="宋体" w:cs="宋体"/>
                <w:color w:val="000000"/>
                <w:sz w:val="24"/>
                <w:highlight w:val="none"/>
                <w:shd w:val="clear" w:color="auto" w:fill="auto"/>
              </w:rPr>
            </w:pPr>
          </w:p>
        </w:tc>
        <w:tc>
          <w:tcPr>
            <w:tcW w:w="6658" w:type="dxa"/>
            <w:shd w:val="clear" w:color="auto" w:fill="auto"/>
            <w:noWrap w:val="0"/>
            <w:vAlign w:val="center"/>
          </w:tcPr>
          <w:p w14:paraId="785B9C4B">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服务质量保证情况</w:t>
            </w:r>
          </w:p>
          <w:p w14:paraId="23A9B2E0">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（根据质保期限、可实现程度、提供优惠等情况综合评定对比打分）</w:t>
            </w:r>
          </w:p>
        </w:tc>
        <w:tc>
          <w:tcPr>
            <w:tcW w:w="993" w:type="dxa"/>
            <w:shd w:val="clear" w:color="auto" w:fill="auto"/>
            <w:noWrap w:val="0"/>
            <w:vAlign w:val="center"/>
          </w:tcPr>
          <w:p w14:paraId="459B84A5">
            <w:pPr>
              <w:shd w:val="clea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cs="宋体"/>
                <w:color w:val="000000"/>
                <w:sz w:val="24"/>
                <w:highlight w:val="none"/>
                <w:shd w:val="clear" w:color="auto" w:fill="auto"/>
                <w:lang w:val="en-US" w:eastAsia="zh-CN"/>
              </w:rPr>
              <w:t>7</w:t>
            </w:r>
            <w:r>
              <w:rPr>
                <w:rFonts w:hint="eastAsia" w:ascii="宋体" w:hAnsi="宋体" w:eastAsia="宋体" w:cs="宋体"/>
                <w:color w:val="000000"/>
                <w:sz w:val="24"/>
                <w:highlight w:val="none"/>
                <w:shd w:val="clear" w:color="auto" w:fill="auto"/>
              </w:rPr>
              <w:t>分</w:t>
            </w:r>
          </w:p>
        </w:tc>
      </w:tr>
      <w:tr w14:paraId="0C1B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5" w:hRule="atLeast"/>
          <w:jc w:val="center"/>
        </w:trPr>
        <w:tc>
          <w:tcPr>
            <w:tcW w:w="0" w:type="auto"/>
            <w:vMerge w:val="continue"/>
            <w:shd w:val="clear" w:color="auto" w:fill="auto"/>
            <w:noWrap w:val="0"/>
            <w:vAlign w:val="top"/>
          </w:tcPr>
          <w:p w14:paraId="79B9A8FB">
            <w:pPr>
              <w:shd w:val="clear"/>
              <w:spacing w:line="340" w:lineRule="exact"/>
              <w:jc w:val="center"/>
              <w:rPr>
                <w:rFonts w:hint="eastAsia" w:ascii="宋体" w:hAnsi="宋体" w:eastAsia="宋体" w:cs="宋体"/>
                <w:color w:val="000000"/>
                <w:sz w:val="24"/>
                <w:highlight w:val="none"/>
                <w:shd w:val="clear" w:color="auto" w:fill="auto"/>
              </w:rPr>
            </w:pPr>
          </w:p>
        </w:tc>
        <w:tc>
          <w:tcPr>
            <w:tcW w:w="6658" w:type="dxa"/>
            <w:shd w:val="clear" w:color="auto" w:fill="auto"/>
            <w:noWrap w:val="0"/>
            <w:vAlign w:val="center"/>
          </w:tcPr>
          <w:p w14:paraId="30FC6228">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服务承诺</w:t>
            </w:r>
          </w:p>
          <w:p w14:paraId="54D769BF">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（根据售后服务方案、措施、响应及本地化服务能力等情况综合评定对比打分）</w:t>
            </w:r>
          </w:p>
        </w:tc>
        <w:tc>
          <w:tcPr>
            <w:tcW w:w="993" w:type="dxa"/>
            <w:shd w:val="clear" w:color="auto" w:fill="auto"/>
            <w:noWrap w:val="0"/>
            <w:vAlign w:val="center"/>
          </w:tcPr>
          <w:p w14:paraId="6C987241">
            <w:pPr>
              <w:shd w:val="clea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0-6分</w:t>
            </w:r>
          </w:p>
        </w:tc>
      </w:tr>
      <w:tr w14:paraId="4F87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7" w:hRule="atLeast"/>
          <w:jc w:val="center"/>
        </w:trPr>
        <w:tc>
          <w:tcPr>
            <w:tcW w:w="0" w:type="auto"/>
            <w:vMerge w:val="continue"/>
            <w:shd w:val="clear" w:color="auto" w:fill="auto"/>
            <w:noWrap w:val="0"/>
            <w:vAlign w:val="top"/>
          </w:tcPr>
          <w:p w14:paraId="0566471A">
            <w:pPr>
              <w:shd w:val="clear"/>
              <w:spacing w:line="340" w:lineRule="exact"/>
              <w:jc w:val="center"/>
              <w:rPr>
                <w:rFonts w:hint="eastAsia" w:ascii="宋体" w:hAnsi="宋体" w:eastAsia="宋体" w:cs="宋体"/>
                <w:color w:val="000000"/>
                <w:sz w:val="24"/>
                <w:highlight w:val="none"/>
                <w:shd w:val="clear" w:color="auto" w:fill="auto"/>
              </w:rPr>
            </w:pPr>
          </w:p>
        </w:tc>
        <w:tc>
          <w:tcPr>
            <w:tcW w:w="6658" w:type="dxa"/>
            <w:shd w:val="clear" w:color="auto" w:fill="auto"/>
            <w:noWrap w:val="0"/>
            <w:vAlign w:val="center"/>
          </w:tcPr>
          <w:p w14:paraId="228FC786">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交易文件制作质量</w:t>
            </w:r>
          </w:p>
          <w:p w14:paraId="6AFF8AC8">
            <w:pPr>
              <w:shd w:val="clea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（根据投标文件编制有序、内容规范、字句清晰、表述完整等情况综合评定对比打分）</w:t>
            </w:r>
          </w:p>
        </w:tc>
        <w:tc>
          <w:tcPr>
            <w:tcW w:w="993" w:type="dxa"/>
            <w:shd w:val="clear" w:color="auto" w:fill="auto"/>
            <w:noWrap w:val="0"/>
            <w:vAlign w:val="center"/>
          </w:tcPr>
          <w:p w14:paraId="6769E9B9">
            <w:pPr>
              <w:shd w:val="clear"/>
              <w:spacing w:line="360" w:lineRule="exact"/>
              <w:jc w:val="center"/>
              <w:rPr>
                <w:rFonts w:hint="eastAsia" w:ascii="宋体" w:hAnsi="宋体" w:eastAsia="宋体" w:cs="宋体"/>
                <w:color w:val="000000"/>
                <w:sz w:val="24"/>
                <w:highlight w:val="none"/>
                <w:shd w:val="clear" w:color="auto" w:fill="auto"/>
              </w:rPr>
            </w:pPr>
            <w:r>
              <w:rPr>
                <w:rFonts w:hint="eastAsia" w:ascii="宋体" w:hAnsi="宋体" w:eastAsia="宋体" w:cs="宋体"/>
                <w:color w:val="000000"/>
                <w:sz w:val="24"/>
                <w:highlight w:val="none"/>
                <w:shd w:val="clear" w:color="auto" w:fill="auto"/>
              </w:rPr>
              <w:t>0-</w:t>
            </w:r>
            <w:r>
              <w:rPr>
                <w:rFonts w:hint="eastAsia" w:ascii="宋体" w:hAnsi="宋体" w:eastAsia="宋体" w:cs="宋体"/>
                <w:color w:val="000000"/>
                <w:sz w:val="24"/>
                <w:highlight w:val="none"/>
                <w:shd w:val="clear" w:color="auto" w:fill="auto"/>
                <w:lang w:val="en-US" w:eastAsia="zh-CN"/>
              </w:rPr>
              <w:t>3</w:t>
            </w:r>
            <w:r>
              <w:rPr>
                <w:rFonts w:hint="eastAsia" w:ascii="宋体" w:hAnsi="宋体" w:eastAsia="宋体" w:cs="宋体"/>
                <w:color w:val="000000"/>
                <w:sz w:val="24"/>
                <w:highlight w:val="none"/>
                <w:shd w:val="clear" w:color="auto" w:fill="auto"/>
              </w:rPr>
              <w:t>分</w:t>
            </w:r>
          </w:p>
        </w:tc>
      </w:tr>
    </w:tbl>
    <w:p w14:paraId="0C40EA10"/>
    <w:p w14:paraId="4C224502">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价格分（10分）</w:t>
      </w: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937"/>
        <w:gridCol w:w="6142"/>
      </w:tblGrid>
      <w:tr w14:paraId="3605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14:paraId="6F7A2010">
            <w:pPr>
              <w:rPr>
                <w:color w:val="000000" w:themeColor="text1"/>
                <w14:textFill>
                  <w14:solidFill>
                    <w14:schemeClr w14:val="tx1"/>
                  </w14:solidFill>
                </w14:textFill>
              </w:rPr>
            </w:pPr>
            <w:r>
              <w:rPr>
                <w:rFonts w:hint="eastAsia"/>
                <w:color w:val="000000" w:themeColor="text1"/>
                <w14:textFill>
                  <w14:solidFill>
                    <w14:schemeClr w14:val="tx1"/>
                  </w14:solidFill>
                </w14:textFill>
              </w:rPr>
              <w:t>价格分</w:t>
            </w:r>
          </w:p>
        </w:tc>
        <w:tc>
          <w:tcPr>
            <w:tcW w:w="553" w:type="dxa"/>
            <w:vAlign w:val="center"/>
          </w:tcPr>
          <w:p w14:paraId="51665DC1">
            <w:pPr>
              <w:pStyle w:val="48"/>
              <w:numPr>
                <w:ilvl w:val="0"/>
                <w:numId w:val="4"/>
              </w:numPr>
              <w:spacing w:after="0"/>
              <w:jc w:val="center"/>
              <w:rPr>
                <w:rFonts w:ascii="宋体" w:hAnsi="宋体" w:eastAsia="宋体" w:cs="宋体"/>
                <w:color w:val="000000" w:themeColor="text1"/>
                <w14:textFill>
                  <w14:solidFill>
                    <w14:schemeClr w14:val="tx1"/>
                  </w14:solidFill>
                </w14:textFill>
              </w:rPr>
            </w:pPr>
          </w:p>
        </w:tc>
        <w:tc>
          <w:tcPr>
            <w:tcW w:w="1937" w:type="dxa"/>
            <w:vAlign w:val="center"/>
          </w:tcPr>
          <w:p w14:paraId="29814501">
            <w:pPr>
              <w:rPr>
                <w:color w:val="000000" w:themeColor="text1"/>
                <w14:textFill>
                  <w14:solidFill>
                    <w14:schemeClr w14:val="tx1"/>
                  </w14:solidFill>
                </w14:textFill>
              </w:rPr>
            </w:pPr>
            <w:r>
              <w:rPr>
                <w:rFonts w:hint="eastAsia"/>
                <w:color w:val="000000" w:themeColor="text1"/>
                <w14:textFill>
                  <w14:solidFill>
                    <w14:schemeClr w14:val="tx1"/>
                  </w14:solidFill>
                </w14:textFill>
              </w:rPr>
              <w:t>价格权值=0.10</w:t>
            </w:r>
          </w:p>
        </w:tc>
        <w:tc>
          <w:tcPr>
            <w:tcW w:w="6142" w:type="dxa"/>
          </w:tcPr>
          <w:p w14:paraId="6EB6BF4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最低有效投标价格为评标基准价</w:t>
            </w:r>
          </w:p>
          <w:p w14:paraId="12036FF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投标报价得分=(评标基准价／投标报价)×价格权值×100 </w:t>
            </w:r>
          </w:p>
          <w:p w14:paraId="42130CA6">
            <w:pPr>
              <w:rPr>
                <w:color w:val="000000" w:themeColor="text1"/>
                <w14:textFill>
                  <w14:solidFill>
                    <w14:schemeClr w14:val="tx1"/>
                  </w14:solidFill>
                </w14:textFill>
              </w:rPr>
            </w:pPr>
            <w:r>
              <w:rPr>
                <w:rFonts w:hint="eastAsia"/>
                <w:color w:val="000000" w:themeColor="text1"/>
                <w14:textFill>
                  <w14:solidFill>
                    <w14:schemeClr w14:val="tx1"/>
                  </w14:solidFill>
                </w14:textFill>
              </w:rPr>
              <w:t>（计算得分保留小数点后2位）</w:t>
            </w:r>
          </w:p>
        </w:tc>
      </w:tr>
    </w:tbl>
    <w:p w14:paraId="4ACC6426">
      <w:pPr>
        <w:spacing w:line="360" w:lineRule="auto"/>
        <w:rPr>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r>
        <w:rPr>
          <w:rFonts w:hint="eastAsia"/>
          <w:color w:val="000000" w:themeColor="text1"/>
          <w14:textFill>
            <w14:solidFill>
              <w14:schemeClr w14:val="tx1"/>
            </w14:solidFill>
          </w14:textFill>
        </w:rPr>
        <w:t>1、评分条款中涉及的业绩、荣誉、人员、社保等分公司均有效。</w:t>
      </w:r>
    </w:p>
    <w:p w14:paraId="6C4696B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4C40E77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3、供应商编制响应文件（商务技术文件部分）时，建议按此目录（序号和内容）提供评标标准相应的商务技术资料。 </w:t>
      </w:r>
    </w:p>
    <w:p w14:paraId="0B600875">
      <w:pPr>
        <w:rPr>
          <w:color w:val="000000" w:themeColor="text1"/>
          <w14:textFill>
            <w14:solidFill>
              <w14:schemeClr w14:val="tx1"/>
            </w14:solidFill>
          </w14:textFill>
        </w:rPr>
      </w:pPr>
    </w:p>
    <w:p w14:paraId="6ED4FDE0">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一、评标方法</w:t>
      </w:r>
    </w:p>
    <w:p w14:paraId="58B71E58">
      <w:pPr>
        <w:spacing w:line="360" w:lineRule="auto"/>
        <w:ind w:firstLine="472" w:firstLineChars="196"/>
        <w:rPr>
          <w:color w:val="000000" w:themeColor="text1"/>
          <w14:textFill>
            <w14:solidFill>
              <w14:schemeClr w14:val="tx1"/>
            </w14:solidFill>
          </w14:textFill>
        </w:rPr>
      </w:pPr>
      <w:r>
        <w:rPr>
          <w:rStyle w:val="38"/>
          <w:rFonts w:hint="eastAsia" w:ascii="宋体" w:hAnsi="宋体" w:eastAsia="宋体"/>
          <w:color w:val="000000" w:themeColor="text1"/>
          <w14:textFill>
            <w14:solidFill>
              <w14:schemeClr w14:val="tx1"/>
            </w14:solidFill>
          </w14:textFill>
        </w:rPr>
        <w:t>1.本项目采用综合评分法。</w:t>
      </w:r>
      <w:r>
        <w:rPr>
          <w:rFonts w:hint="eastAsia"/>
          <w:color w:val="000000" w:themeColor="text1"/>
          <w14:textFill>
            <w14:solidFill>
              <w14:schemeClr w14:val="tx1"/>
            </w14:solidFill>
          </w14:textFill>
        </w:rPr>
        <w:t>综合评分法，是指响应文件满足交易文件全部实质性要求，且按照评审因素的量化指标评审得分最高的供应商为中标候选人的评标方法。</w:t>
      </w:r>
    </w:p>
    <w:p w14:paraId="45B9ED74">
      <w:pPr>
        <w:pStyle w:val="3"/>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二、评标标准</w:t>
      </w:r>
    </w:p>
    <w:p w14:paraId="7079E535">
      <w:pPr>
        <w:spacing w:line="360" w:lineRule="auto"/>
        <w:ind w:firstLine="472" w:firstLineChars="196"/>
        <w:rPr>
          <w:b/>
          <w:color w:val="000000" w:themeColor="text1"/>
          <w14:textFill>
            <w14:solidFill>
              <w14:schemeClr w14:val="tx1"/>
            </w14:solidFill>
          </w14:textFill>
        </w:rPr>
      </w:pPr>
      <w:r>
        <w:rPr>
          <w:rStyle w:val="38"/>
          <w:rFonts w:hint="eastAsia" w:ascii="宋体" w:hAnsi="宋体" w:eastAsia="宋体"/>
          <w:color w:val="000000" w:themeColor="text1"/>
          <w14:textFill>
            <w14:solidFill>
              <w14:schemeClr w14:val="tx1"/>
            </w14:solidFill>
          </w14:textFill>
        </w:rPr>
        <w:t>2. 评标标准：</w:t>
      </w:r>
      <w:r>
        <w:rPr>
          <w:rFonts w:hint="eastAsia"/>
          <w:color w:val="000000" w:themeColor="text1"/>
          <w14:textFill>
            <w14:solidFill>
              <w14:schemeClr w14:val="tx1"/>
            </w14:solidFill>
          </w14:textFill>
        </w:rPr>
        <w:t>见评标办法前附表。</w:t>
      </w:r>
    </w:p>
    <w:p w14:paraId="595C52FB">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三、评标程序</w:t>
      </w:r>
    </w:p>
    <w:p w14:paraId="4D472921">
      <w:pPr>
        <w:spacing w:line="360" w:lineRule="auto"/>
        <w:ind w:firstLine="472" w:firstLineChars="196"/>
        <w:rPr>
          <w:color w:val="000000" w:themeColor="text1"/>
          <w14:textFill>
            <w14:solidFill>
              <w14:schemeClr w14:val="tx1"/>
            </w14:solidFill>
          </w14:textFill>
        </w:rPr>
      </w:pPr>
      <w:r>
        <w:rPr>
          <w:rStyle w:val="38"/>
          <w:rFonts w:hint="eastAsia" w:ascii="宋体" w:hAnsi="宋体" w:eastAsia="宋体"/>
          <w:color w:val="000000" w:themeColor="text1"/>
          <w14:textFill>
            <w14:solidFill>
              <w14:schemeClr w14:val="tx1"/>
            </w14:solidFill>
          </w14:textFill>
        </w:rPr>
        <w:t>3.1符合性审查。</w:t>
      </w:r>
      <w:r>
        <w:rPr>
          <w:rFonts w:hint="eastAsia"/>
          <w:color w:val="000000" w:themeColor="text1"/>
          <w14:textFill>
            <w14:solidFill>
              <w14:schemeClr w14:val="tx1"/>
            </w14:solidFill>
          </w14:textFill>
        </w:rPr>
        <w:t>评标委员会应当对符合资格的供应商的响应文件进行符合性审查，以确定其是否满足交易文件的实质性要求。不满足交易文件的实质性要求的，投标无效。</w:t>
      </w:r>
    </w:p>
    <w:p w14:paraId="0E09A283">
      <w:pPr>
        <w:spacing w:line="360" w:lineRule="auto"/>
        <w:ind w:firstLine="472" w:firstLineChars="196"/>
        <w:rPr>
          <w:color w:val="000000" w:themeColor="text1"/>
          <w14:textFill>
            <w14:solidFill>
              <w14:schemeClr w14:val="tx1"/>
            </w14:solidFill>
          </w14:textFill>
        </w:rPr>
      </w:pPr>
      <w:r>
        <w:rPr>
          <w:rStyle w:val="38"/>
          <w:rFonts w:hint="eastAsia" w:ascii="宋体" w:hAnsi="宋体" w:eastAsia="宋体"/>
          <w:color w:val="000000" w:themeColor="text1"/>
          <w14:textFill>
            <w14:solidFill>
              <w14:schemeClr w14:val="tx1"/>
            </w14:solidFill>
          </w14:textFill>
        </w:rPr>
        <w:t>3.2 比较与评价。</w:t>
      </w:r>
      <w:r>
        <w:rPr>
          <w:rFonts w:hint="eastAsia"/>
          <w:color w:val="000000" w:themeColor="text1"/>
          <w14:textFill>
            <w14:solidFill>
              <w14:schemeClr w14:val="tx1"/>
            </w14:solidFill>
          </w14:textFill>
        </w:rPr>
        <w:t>评标委员会应当按照交易文件中规定的评标方法和标准，对符合性审查合格的响应文件进行商务和技术评估，综合比较与评价。</w:t>
      </w:r>
    </w:p>
    <w:p w14:paraId="74404BB4">
      <w:pPr>
        <w:spacing w:line="360" w:lineRule="auto"/>
        <w:ind w:firstLine="472" w:firstLineChars="196"/>
        <w:rPr>
          <w:color w:val="000000" w:themeColor="text1"/>
          <w14:textFill>
            <w14:solidFill>
              <w14:schemeClr w14:val="tx1"/>
            </w14:solidFill>
          </w14:textFill>
        </w:rPr>
      </w:pPr>
      <w:r>
        <w:rPr>
          <w:rStyle w:val="38"/>
          <w:rFonts w:hint="eastAsia" w:ascii="宋体" w:hAnsi="宋体" w:eastAsia="宋体"/>
          <w:color w:val="000000" w:themeColor="text1"/>
          <w14:textFill>
            <w14:solidFill>
              <w14:schemeClr w14:val="tx1"/>
            </w14:solidFill>
          </w14:textFill>
        </w:rPr>
        <w:t>3.3汇总商务技术得分。</w:t>
      </w:r>
      <w:r>
        <w:rPr>
          <w:rFonts w:hint="eastAsia"/>
          <w:color w:val="000000" w:themeColor="text1"/>
          <w14:textFill>
            <w14:solidFill>
              <w14:schemeClr w14:val="tx1"/>
            </w14:solidFill>
          </w14:textFill>
        </w:rPr>
        <w:t>评标委员会各成员应当独立对每个供应商的商务和技术文件进行评价，并汇总商务技术得分情况。</w:t>
      </w:r>
    </w:p>
    <w:p w14:paraId="61354EE0">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3.4报价评审。</w:t>
      </w:r>
    </w:p>
    <w:p w14:paraId="1392036A">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3.4.1响应文件报价出现前后不一致的，按照下列规定修正：</w:t>
      </w:r>
    </w:p>
    <w:p w14:paraId="01F2DF46">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3.4.1.1响应文件中开标一览表(报价表)内容与响应文件中相应内容不一致的，以开标一览表(报价表)为准;</w:t>
      </w:r>
    </w:p>
    <w:p w14:paraId="497BDD26">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3.4.1.2大写金额和小写金额不一致的，以大写金额为准;</w:t>
      </w:r>
    </w:p>
    <w:p w14:paraId="4C922540">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3.4.1.3单价金额小数点或者百分比有明显错位的，以开标一览表的总价为准，并修改单价;</w:t>
      </w:r>
    </w:p>
    <w:p w14:paraId="3D32CAC4">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3.4.1.4总价金额与按单价汇总金额不一致的，以单价金额计算结果为准。</w:t>
      </w:r>
    </w:p>
    <w:p w14:paraId="34891CD6">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594B9AA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3.4.2响应文件出现不是唯一的、有选择性投标报价的，投标无效。</w:t>
      </w:r>
    </w:p>
    <w:p w14:paraId="3EF77F5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3.4.3投标报价超过交易文件中规定的预算金额或者最高限价的，投标无效。</w:t>
      </w:r>
    </w:p>
    <w:p w14:paraId="19DCECFC">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18419299">
      <w:pPr>
        <w:spacing w:line="360" w:lineRule="auto"/>
        <w:ind w:firstLine="482" w:firstLineChars="200"/>
        <w:rPr>
          <w:color w:val="000000" w:themeColor="text1"/>
          <w14:textFill>
            <w14:solidFill>
              <w14:schemeClr w14:val="tx1"/>
            </w14:solidFill>
          </w14:textFill>
        </w:rPr>
      </w:pPr>
      <w:r>
        <w:rPr>
          <w:rStyle w:val="38"/>
          <w:rFonts w:hint="eastAsia" w:ascii="宋体" w:hAnsi="宋体" w:eastAsia="宋体"/>
          <w:color w:val="000000" w:themeColor="text1"/>
          <w14:textFill>
            <w14:solidFill>
              <w14:schemeClr w14:val="tx1"/>
            </w14:solidFill>
          </w14:textFill>
        </w:rPr>
        <w:t>3.5排序与推荐。</w:t>
      </w:r>
      <w:r>
        <w:rPr>
          <w:rFonts w:hint="eastAsia"/>
          <w:color w:val="000000" w:themeColor="text1"/>
          <w14:textFill>
            <w14:solidFill>
              <w14:schemeClr w14:val="tx1"/>
            </w14:solidFill>
          </w14:textFill>
        </w:rPr>
        <w:t>采用综合评分法的，评标结果按评审后得分由高到低顺序排列。得分相同的，按投标报价由低到高顺序排列。得分且投标报价相同的并列。响应文件满足交易文件全部实质性要求，且按照评审因素的量化指标评审得分最高的供应商为排名第一的中标候选人。</w:t>
      </w:r>
    </w:p>
    <w:p w14:paraId="1D30D873">
      <w:pPr>
        <w:spacing w:line="360" w:lineRule="auto"/>
        <w:rPr>
          <w:b/>
          <w:color w:val="000000" w:themeColor="text1"/>
          <w14:textFill>
            <w14:solidFill>
              <w14:schemeClr w14:val="tx1"/>
            </w14:solidFill>
          </w14:textFill>
        </w:rPr>
      </w:pPr>
      <w:r>
        <w:rPr>
          <w:rFonts w:hint="eastAsia"/>
          <w:color w:val="000000" w:themeColor="text1"/>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264AD072">
      <w:pPr>
        <w:spacing w:line="360" w:lineRule="auto"/>
        <w:ind w:firstLine="472" w:firstLineChars="196"/>
        <w:rPr>
          <w:color w:val="000000" w:themeColor="text1"/>
          <w14:textFill>
            <w14:solidFill>
              <w14:schemeClr w14:val="tx1"/>
            </w14:solidFill>
          </w14:textFill>
        </w:rPr>
      </w:pPr>
      <w:r>
        <w:rPr>
          <w:rStyle w:val="38"/>
          <w:rFonts w:hint="eastAsia" w:ascii="宋体" w:hAnsi="宋体" w:eastAsia="宋体"/>
          <w:color w:val="000000" w:themeColor="text1"/>
          <w14:textFill>
            <w14:solidFill>
              <w14:schemeClr w14:val="tx1"/>
            </w14:solidFill>
          </w14:textFill>
        </w:rPr>
        <w:t>3.6编写评标报告。</w:t>
      </w:r>
      <w:r>
        <w:rPr>
          <w:rFonts w:hint="eastAsia"/>
          <w:color w:val="000000" w:themeColor="text1"/>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70AFE6E">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四、评标中的其他事项</w:t>
      </w:r>
    </w:p>
    <w:p w14:paraId="7982EC5C">
      <w:pPr>
        <w:pStyle w:val="62"/>
        <w:rPr>
          <w:rFonts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4.1供应商澄清、说明或者补正。</w:t>
      </w:r>
      <w:r>
        <w:rPr>
          <w:rFonts w:hint="eastAsia" w:ascii="宋体" w:hAnsi="宋体" w:eastAsia="宋体" w:cs="宋体"/>
          <w:color w:val="000000" w:themeColor="text1"/>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AA85476">
      <w:pPr>
        <w:pStyle w:val="15"/>
        <w:spacing w:line="360" w:lineRule="auto"/>
        <w:ind w:left="1021" w:leftChars="226" w:hanging="479" w:firstLineChars="0"/>
        <w:rPr>
          <w:rFonts w:cs="宋体"/>
          <w:color w:val="000000" w:themeColor="text1"/>
          <w:szCs w:val="2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07BF804E">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4.2.1供应商不具备交易文件中规定的资格要求的（供应商未提供有效的资格文件的，视为供应商不具备交易文件中规定的资格要求）；</w:t>
      </w:r>
    </w:p>
    <w:p w14:paraId="7DBBD780">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4.2.2响应文件未按照交易文件要求签署、盖章的；</w:t>
      </w:r>
    </w:p>
    <w:p w14:paraId="3F90DC41">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4.2.3采购人拟采购的产品属于政府强制采购的节能产品品目清单范围的，供应商未按交易文件要求提供国家确定的认证机构出具的、处于有效期之内的节能产品认证证书的；</w:t>
      </w:r>
    </w:p>
    <w:p w14:paraId="50185173">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4.2.4响应文件含有采购人不能接受的附加条件的；</w:t>
      </w:r>
    </w:p>
    <w:p w14:paraId="5C10D28A">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4.2.5响应文件中承诺的投标有效期少于交易文件中载明的投标有效期的；</w:t>
      </w:r>
    </w:p>
    <w:p w14:paraId="475E403F">
      <w:pPr>
        <w:snapToGrid w:val="0"/>
        <w:spacing w:line="360" w:lineRule="auto"/>
        <w:ind w:firstLine="120" w:firstLineChars="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4.2.6响应文件出现不是唯一的、有选择性投标报价的;</w:t>
      </w:r>
    </w:p>
    <w:p w14:paraId="32E953EB">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4.2.7投标报价超过交易文件中规定的预算金额或者最高限价的;</w:t>
      </w:r>
    </w:p>
    <w:p w14:paraId="22725754">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781C21A9">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4.2.9供应商对根据修正原则修正后的报价不确认的；</w:t>
      </w:r>
    </w:p>
    <w:p w14:paraId="29C42F3B">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4.2.10供应商提供虚假材料投标的；</w:t>
      </w:r>
    </w:p>
    <w:p w14:paraId="7BE94CC8">
      <w:pPr>
        <w:spacing w:line="360" w:lineRule="auto"/>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4.2.11供应商有恶意串通、妨碍其他供应商的竞争行为、损害采购人或者其他供应商的合法权益情形的；</w:t>
      </w:r>
    </w:p>
    <w:p w14:paraId="101418E2">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4.2.12供应商仅提交备份响应文件，未在电子交易平台传输递交响应文件的，投标无效；</w:t>
      </w:r>
    </w:p>
    <w:p w14:paraId="42C08FE5">
      <w:pPr>
        <w:ind w:firstLine="480" w:firstLineChars="200"/>
        <w:rPr>
          <w:b/>
          <w:bCs/>
          <w:color w:val="000000" w:themeColor="text1"/>
          <w14:textFill>
            <w14:solidFill>
              <w14:schemeClr w14:val="tx1"/>
            </w14:solidFill>
          </w14:textFill>
        </w:rPr>
      </w:pPr>
      <w:r>
        <w:rPr>
          <w:rFonts w:hint="eastAsia"/>
          <w:color w:val="000000" w:themeColor="text1"/>
          <w14:textFill>
            <w14:solidFill>
              <w14:schemeClr w14:val="tx1"/>
            </w14:solidFill>
          </w14:textFill>
        </w:rPr>
        <w:t>4.2.13 响应文件不满足交易文件的其它实质性要求的；</w:t>
      </w:r>
    </w:p>
    <w:p w14:paraId="640AD583">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4.2.14法律、法规、规章（适用本市的）及省级以上规范性文件（适用本市的）规定的其他无效情形。</w:t>
      </w:r>
    </w:p>
    <w:p w14:paraId="3B3B224A">
      <w:pPr>
        <w:pStyle w:val="15"/>
        <w:snapToGrid w:val="0"/>
        <w:spacing w:line="360" w:lineRule="auto"/>
        <w:ind w:firstLine="472" w:firstLineChars="196"/>
        <w:rPr>
          <w:rFonts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21A875AD">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5.1符合专业条件的供应商或者对交易文件作实质响应的供应商不足3家的；</w:t>
      </w:r>
    </w:p>
    <w:p w14:paraId="67FF6955">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542B29EE">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5.3供应商的报价均超过了采购预算，采购人不能支付的；</w:t>
      </w:r>
    </w:p>
    <w:p w14:paraId="4E8EFFE8">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2D273B78">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废标后，采购机构应当将废标理由通知所有供应商。</w:t>
      </w:r>
    </w:p>
    <w:p w14:paraId="032506C2">
      <w:pPr>
        <w:pStyle w:val="15"/>
        <w:snapToGrid w:val="0"/>
        <w:spacing w:line="360" w:lineRule="auto"/>
        <w:ind w:firstLine="590" w:firstLineChars="245"/>
        <w:rPr>
          <w:rFonts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6.修改交易文件，重新组织采购活动。</w:t>
      </w:r>
      <w:r>
        <w:rPr>
          <w:rFonts w:hint="eastAsia" w:cs="宋体"/>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47173A51">
      <w:pPr>
        <w:pStyle w:val="15"/>
        <w:snapToGrid w:val="0"/>
        <w:spacing w:line="360" w:lineRule="auto"/>
        <w:ind w:firstLine="590" w:firstLineChars="245"/>
        <w:rPr>
          <w:rFonts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7F7E5FB6">
      <w:pPr>
        <w:pStyle w:val="15"/>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7.1未确定中标或者中标人的，终止本次政府采购活动，重新开展政府采购活动。</w:t>
      </w:r>
    </w:p>
    <w:p w14:paraId="03ACD498">
      <w:pPr>
        <w:pStyle w:val="15"/>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68FA355B">
      <w:pPr>
        <w:pStyle w:val="15"/>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524D7147">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33AFDD0A">
      <w:pPr>
        <w:pStyle w:val="1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w:t>
      </w:r>
      <w:r>
        <w:rPr>
          <w:rFonts w:hint="eastAsia" w:cs="宋体"/>
          <w:color w:val="000000" w:themeColor="text1"/>
          <w:kern w:val="0"/>
          <w14:textFill>
            <w14:solidFill>
              <w14:schemeClr w14:val="tx1"/>
            </w14:solidFill>
          </w14:textFill>
        </w:rPr>
        <w:t>或者政府采购法实施条例等法律法规规定</w:t>
      </w:r>
      <w:r>
        <w:rPr>
          <w:rFonts w:hint="eastAsia" w:cs="宋体"/>
          <w:color w:val="000000" w:themeColor="text1"/>
          <w14:textFill>
            <w14:solidFill>
              <w14:schemeClr w14:val="tx1"/>
            </w14:solidFill>
          </w14:textFill>
        </w:rPr>
        <w:t>的行为，经改正后仍然影响或者可能影响中标、成交结果或者依法被认定为中标、成交无效的，依照7.1-7.4规定处理。</w:t>
      </w:r>
    </w:p>
    <w:p w14:paraId="6A51A188">
      <w:pPr>
        <w:spacing w:line="276" w:lineRule="auto"/>
        <w:rPr>
          <w:b/>
          <w:smallCaps/>
          <w:color w:val="000000" w:themeColor="text1"/>
          <w:spacing w:val="5"/>
          <w:sz w:val="36"/>
          <w:szCs w:val="36"/>
          <w14:textFill>
            <w14:solidFill>
              <w14:schemeClr w14:val="tx1"/>
            </w14:solidFill>
          </w14:textFill>
        </w:rPr>
      </w:pPr>
      <w:r>
        <w:rPr>
          <w:rFonts w:hint="eastAsia"/>
          <w:color w:val="000000" w:themeColor="text1"/>
          <w14:textFill>
            <w14:solidFill>
              <w14:schemeClr w14:val="tx1"/>
            </w14:solidFill>
          </w14:textFill>
        </w:rPr>
        <w:br w:type="page"/>
      </w:r>
    </w:p>
    <w:p w14:paraId="47E18510">
      <w:pPr>
        <w:pStyle w:val="2"/>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第五部分 拟签订的合同文本</w:t>
      </w:r>
    </w:p>
    <w:p w14:paraId="6740A9C7">
      <w:pPr>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服务类合同建议可按照参考格式按照实际情况调整修改。</w:t>
      </w:r>
    </w:p>
    <w:p w14:paraId="069C09F6">
      <w:pPr>
        <w:jc w:val="righ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 合同编号：</w:t>
      </w:r>
      <w:r>
        <w:rPr>
          <w:rFonts w:hint="eastAsia"/>
          <w:color w:val="000000" w:themeColor="text1"/>
          <w:u w:val="single"/>
          <w14:textFill>
            <w14:solidFill>
              <w14:schemeClr w14:val="tx1"/>
            </w14:solidFill>
          </w14:textFill>
        </w:rPr>
        <w:t xml:space="preserve">           </w:t>
      </w:r>
    </w:p>
    <w:p w14:paraId="0CE31BD5">
      <w:pPr>
        <w:pStyle w:val="15"/>
        <w:snapToGrid w:val="0"/>
        <w:spacing w:line="360" w:lineRule="auto"/>
        <w:rPr>
          <w:rFonts w:cs="宋体"/>
          <w:color w:val="000000" w:themeColor="text1"/>
          <w14:textFill>
            <w14:solidFill>
              <w14:schemeClr w14:val="tx1"/>
            </w14:solidFill>
          </w14:textFill>
        </w:rPr>
      </w:pPr>
    </w:p>
    <w:p w14:paraId="04C07F61">
      <w:pPr>
        <w:spacing w:line="48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政府采购合同参考范本</w:t>
      </w:r>
    </w:p>
    <w:p w14:paraId="5ADF8BF5">
      <w:pPr>
        <w:pStyle w:val="73"/>
        <w:ind w:left="480" w:firstLine="723"/>
        <w:jc w:val="center"/>
        <w:rPr>
          <w:rFonts w:ascii="宋体" w:hAnsi="宋体" w:cs="宋体"/>
          <w:color w:val="000000" w:themeColor="text1"/>
          <w:szCs w:val="24"/>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w:t>
      </w:r>
    </w:p>
    <w:p w14:paraId="46D07D61">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合同书</w:t>
      </w:r>
    </w:p>
    <w:p w14:paraId="2051CA1C">
      <w:pPr>
        <w:pStyle w:val="73"/>
        <w:ind w:left="480"/>
        <w:rPr>
          <w:rFonts w:ascii="宋体" w:hAnsi="宋体" w:cs="宋体"/>
          <w:color w:val="000000" w:themeColor="text1"/>
          <w:szCs w:val="24"/>
          <w14:textFill>
            <w14:solidFill>
              <w14:schemeClr w14:val="tx1"/>
            </w14:solidFill>
          </w14:textFill>
        </w:rPr>
      </w:pPr>
    </w:p>
    <w:p w14:paraId="702B70B9">
      <w:pPr>
        <w:spacing w:before="120" w:line="22" w:lineRule="atLeast"/>
        <w:rPr>
          <w:color w:val="000000" w:themeColor="text1"/>
          <w14:textFill>
            <w14:solidFill>
              <w14:schemeClr w14:val="tx1"/>
            </w14:solidFill>
          </w14:textFill>
        </w:rPr>
      </w:pPr>
    </w:p>
    <w:p w14:paraId="3CF1AF9C">
      <w:pPr>
        <w:spacing w:before="120" w:line="22" w:lineRule="atLeast"/>
        <w:ind w:left="96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u w:val="single"/>
          <w14:textFill>
            <w14:solidFill>
              <w14:schemeClr w14:val="tx1"/>
            </w14:solidFill>
          </w14:textFill>
        </w:rPr>
        <w:t xml:space="preserve">                                   </w:t>
      </w:r>
    </w:p>
    <w:p w14:paraId="620A6615">
      <w:pPr>
        <w:pStyle w:val="72"/>
        <w:spacing w:before="120" w:line="22" w:lineRule="atLeast"/>
        <w:rPr>
          <w:rFonts w:ascii="宋体" w:hAnsi="宋体" w:eastAsia="宋体" w:cs="宋体"/>
          <w:color w:val="000000" w:themeColor="text1"/>
          <w:szCs w:val="24"/>
          <w14:textFill>
            <w14:solidFill>
              <w14:schemeClr w14:val="tx1"/>
            </w14:solidFill>
          </w14:textFill>
        </w:rPr>
      </w:pPr>
    </w:p>
    <w:p w14:paraId="74621101">
      <w:pPr>
        <w:pStyle w:val="72"/>
        <w:spacing w:before="120" w:line="22" w:lineRule="atLeast"/>
        <w:rPr>
          <w:rFonts w:ascii="宋体" w:hAnsi="宋体" w:eastAsia="宋体" w:cs="宋体"/>
          <w:color w:val="000000" w:themeColor="text1"/>
          <w:szCs w:val="24"/>
          <w14:textFill>
            <w14:solidFill>
              <w14:schemeClr w14:val="tx1"/>
            </w14:solidFill>
          </w14:textFill>
        </w:rPr>
      </w:pPr>
    </w:p>
    <w:p w14:paraId="3A45F77B">
      <w:pPr>
        <w:rPr>
          <w:color w:val="000000" w:themeColor="text1"/>
          <w14:textFill>
            <w14:solidFill>
              <w14:schemeClr w14:val="tx1"/>
            </w14:solidFill>
          </w14:textFill>
        </w:rPr>
      </w:pPr>
    </w:p>
    <w:p w14:paraId="0E001870">
      <w:pPr>
        <w:spacing w:before="120" w:line="22" w:lineRule="atLeast"/>
        <w:ind w:left="96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p>
    <w:p w14:paraId="402AE643">
      <w:pPr>
        <w:spacing w:before="120" w:line="22" w:lineRule="atLeast"/>
        <w:rPr>
          <w:color w:val="000000" w:themeColor="text1"/>
          <w14:textFill>
            <w14:solidFill>
              <w14:schemeClr w14:val="tx1"/>
            </w14:solidFill>
          </w14:textFill>
        </w:rPr>
      </w:pPr>
    </w:p>
    <w:p w14:paraId="6A6DC849">
      <w:pPr>
        <w:spacing w:before="120" w:line="22" w:lineRule="atLeast"/>
        <w:ind w:left="96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p>
    <w:p w14:paraId="5FEA3CF1">
      <w:pPr>
        <w:spacing w:before="120" w:line="22" w:lineRule="atLeast"/>
        <w:rPr>
          <w:color w:val="000000" w:themeColor="text1"/>
          <w14:textFill>
            <w14:solidFill>
              <w14:schemeClr w14:val="tx1"/>
            </w14:solidFill>
          </w14:textFill>
        </w:rPr>
      </w:pPr>
    </w:p>
    <w:p w14:paraId="2F25F28C">
      <w:pPr>
        <w:spacing w:before="120" w:line="22" w:lineRule="atLeast"/>
        <w:ind w:firstLine="960" w:firstLineChars="4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签订地：</w:t>
      </w:r>
      <w:r>
        <w:rPr>
          <w:rFonts w:hint="eastAsia"/>
          <w:color w:val="000000" w:themeColor="text1"/>
          <w:u w:val="single"/>
          <w14:textFill>
            <w14:solidFill>
              <w14:schemeClr w14:val="tx1"/>
            </w14:solidFill>
          </w14:textFill>
        </w:rPr>
        <w:t xml:space="preserve">                                     </w:t>
      </w:r>
    </w:p>
    <w:p w14:paraId="13907727">
      <w:pPr>
        <w:spacing w:before="120" w:line="22" w:lineRule="atLeast"/>
        <w:rPr>
          <w:color w:val="000000" w:themeColor="text1"/>
          <w14:textFill>
            <w14:solidFill>
              <w14:schemeClr w14:val="tx1"/>
            </w14:solidFill>
          </w14:textFill>
        </w:rPr>
      </w:pPr>
    </w:p>
    <w:p w14:paraId="656ECE3E">
      <w:pPr>
        <w:spacing w:before="120" w:line="22" w:lineRule="atLeast"/>
        <w:ind w:firstLine="960" w:firstLineChars="4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签订日期：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707816C9">
      <w:pPr>
        <w:rPr>
          <w:color w:val="000000" w:themeColor="text1"/>
          <w14:textFill>
            <w14:solidFill>
              <w14:schemeClr w14:val="tx1"/>
            </w14:solidFill>
          </w14:textFill>
        </w:rPr>
        <w:sectPr>
          <w:headerReference r:id="rId3" w:type="default"/>
          <w:footerReference r:id="rId4" w:type="default"/>
          <w:pgSz w:w="11907" w:h="16840"/>
          <w:pgMar w:top="1474" w:right="1814" w:bottom="1474" w:left="1814" w:header="851" w:footer="851" w:gutter="0"/>
          <w:cols w:space="720" w:num="1"/>
        </w:sectPr>
      </w:pPr>
    </w:p>
    <w:p w14:paraId="04283D0E">
      <w:pPr>
        <w:spacing w:line="560" w:lineRule="exact"/>
        <w:ind w:firstLine="480" w:firstLineChars="200"/>
        <w:rPr>
          <w:color w:val="000000" w:themeColor="text1"/>
          <w14:textFill>
            <w14:solidFill>
              <w14:schemeClr w14:val="tx1"/>
            </w14:solidFill>
          </w14:textFill>
        </w:rPr>
      </w:pP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日</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（采购人）   </w:t>
      </w:r>
      <w:r>
        <w:rPr>
          <w:rFonts w:hint="eastAsia"/>
          <w:color w:val="000000" w:themeColor="text1"/>
          <w14:textFill>
            <w14:solidFill>
              <w14:schemeClr w14:val="tx1"/>
            </w14:solidFill>
          </w14:textFill>
        </w:rPr>
        <w:t>以</w:t>
      </w:r>
      <w:r>
        <w:rPr>
          <w:rFonts w:hint="eastAsia"/>
          <w:color w:val="000000" w:themeColor="text1"/>
          <w:u w:val="single"/>
          <w14:textFill>
            <w14:solidFill>
              <w14:schemeClr w14:val="tx1"/>
            </w14:solidFill>
          </w14:textFill>
        </w:rPr>
        <w:t xml:space="preserve">   （政府采购方式）  </w:t>
      </w:r>
      <w:r>
        <w:rPr>
          <w:rFonts w:hint="eastAsia"/>
          <w:color w:val="000000" w:themeColor="text1"/>
          <w14:textFill>
            <w14:solidFill>
              <w14:schemeClr w14:val="tx1"/>
            </w14:solidFill>
          </w14:textFill>
        </w:rPr>
        <w:t>对</w:t>
      </w:r>
      <w:r>
        <w:rPr>
          <w:rFonts w:hint="eastAsia"/>
          <w:color w:val="000000" w:themeColor="text1"/>
          <w:u w:val="single"/>
          <w14:textFill>
            <w14:solidFill>
              <w14:schemeClr w14:val="tx1"/>
            </w14:solidFill>
          </w14:textFill>
        </w:rPr>
        <w:t xml:space="preserve">   （同前页项目名称）   </w:t>
      </w:r>
      <w:r>
        <w:rPr>
          <w:rFonts w:hint="eastAsia"/>
          <w:color w:val="000000" w:themeColor="text1"/>
          <w14:textFill>
            <w14:solidFill>
              <w14:schemeClr w14:val="tx1"/>
            </w14:solidFill>
          </w14:textFill>
        </w:rPr>
        <w:t>项目进行了采购。经</w:t>
      </w:r>
      <w:r>
        <w:rPr>
          <w:rFonts w:hint="eastAsia"/>
          <w:color w:val="000000" w:themeColor="text1"/>
          <w:u w:val="single"/>
          <w14:textFill>
            <w14:solidFill>
              <w14:schemeClr w14:val="tx1"/>
            </w14:solidFill>
          </w14:textFill>
        </w:rPr>
        <w:t xml:space="preserve">   （相关评定主体名称）   </w:t>
      </w:r>
      <w:r>
        <w:rPr>
          <w:rFonts w:hint="eastAsia"/>
          <w:color w:val="000000" w:themeColor="text1"/>
          <w14:textFill>
            <w14:solidFill>
              <w14:schemeClr w14:val="tx1"/>
            </w14:solidFill>
          </w14:textFill>
        </w:rPr>
        <w:t>评定，</w:t>
      </w:r>
      <w:r>
        <w:rPr>
          <w:rFonts w:hint="eastAsia"/>
          <w:color w:val="000000" w:themeColor="text1"/>
          <w:u w:val="single"/>
          <w14:textFill>
            <w14:solidFill>
              <w14:schemeClr w14:val="tx1"/>
            </w14:solidFill>
          </w14:textFill>
        </w:rPr>
        <w:t xml:space="preserve">   （中标供应商名称）</w:t>
      </w:r>
      <w:r>
        <w:rPr>
          <w:rFonts w:hint="eastAsia"/>
          <w:color w:val="000000" w:themeColor="text1"/>
          <w14:textFill>
            <w14:solidFill>
              <w14:schemeClr w14:val="tx1"/>
            </w14:solidFill>
          </w14:textFill>
        </w:rPr>
        <w:t>为该项目中标供应商。现于中标通知书发出之日起三十日内，按照采购文件确定的事项签订本合同。</w:t>
      </w:r>
    </w:p>
    <w:p w14:paraId="701DFCEF">
      <w:pPr>
        <w:spacing w:line="560" w:lineRule="exact"/>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color w:val="000000" w:themeColor="text1"/>
          <w:u w:val="single"/>
          <w14:textFill>
            <w14:solidFill>
              <w14:schemeClr w14:val="tx1"/>
            </w14:solidFill>
          </w14:textFill>
        </w:rPr>
        <w:t xml:space="preserve">   （采购人）   </w:t>
      </w:r>
      <w:r>
        <w:rPr>
          <w:rFonts w:hint="eastAsia"/>
          <w:color w:val="000000" w:themeColor="text1"/>
          <w:lang w:val="zh-CN"/>
          <w14:textFill>
            <w14:solidFill>
              <w14:schemeClr w14:val="tx1"/>
            </w14:solidFill>
          </w14:textFill>
        </w:rPr>
        <w:t>(以下简称：甲方)和</w:t>
      </w:r>
      <w:r>
        <w:rPr>
          <w:rFonts w:hint="eastAsia"/>
          <w:color w:val="000000" w:themeColor="text1"/>
          <w:u w:val="single"/>
          <w14:textFill>
            <w14:solidFill>
              <w14:schemeClr w14:val="tx1"/>
            </w14:solidFill>
          </w14:textFill>
        </w:rPr>
        <w:t xml:space="preserve">   （中标供应商名称）   </w:t>
      </w:r>
      <w:r>
        <w:rPr>
          <w:rFonts w:hint="eastAsia"/>
          <w:color w:val="000000" w:themeColor="text1"/>
          <w:lang w:val="zh-CN"/>
          <w14:textFill>
            <w14:solidFill>
              <w14:schemeClr w14:val="tx1"/>
            </w14:solidFill>
          </w14:textFill>
        </w:rPr>
        <w:t>(以下简称：乙方)协商一致，约定以下合同</w:t>
      </w:r>
      <w:r>
        <w:rPr>
          <w:rFonts w:hint="eastAsia"/>
          <w:color w:val="000000" w:themeColor="text1"/>
          <w14:textFill>
            <w14:solidFill>
              <w14:schemeClr w14:val="tx1"/>
            </w14:solidFill>
          </w14:textFill>
        </w:rPr>
        <w:t>条款，以兹共同遵守、全面履行。</w:t>
      </w:r>
    </w:p>
    <w:p w14:paraId="72B0BBA7">
      <w:pPr>
        <w:pStyle w:val="4"/>
        <w:rPr>
          <w:rFonts w:ascii="宋体" w:hAnsi="宋体" w:eastAsia="宋体" w:cs="宋体"/>
          <w:color w:val="000000" w:themeColor="text1"/>
          <w14:textFill>
            <w14:solidFill>
              <w14:schemeClr w14:val="tx1"/>
            </w14:solidFill>
          </w14:textFill>
        </w:rPr>
      </w:pPr>
      <w:bookmarkStart w:id="370" w:name="_Toc2232"/>
      <w:bookmarkStart w:id="371" w:name="_Toc24059"/>
      <w:bookmarkStart w:id="372" w:name="_Toc3029"/>
      <w:r>
        <w:rPr>
          <w:rFonts w:hint="eastAsia" w:ascii="宋体" w:hAnsi="宋体" w:eastAsia="宋体" w:cs="宋体"/>
          <w:color w:val="000000" w:themeColor="text1"/>
          <w14:textFill>
            <w14:solidFill>
              <w14:schemeClr w14:val="tx1"/>
            </w14:solidFill>
          </w14:textFill>
        </w:rPr>
        <w:t>1.1 合同组成部分</w:t>
      </w:r>
      <w:bookmarkEnd w:id="370"/>
      <w:bookmarkEnd w:id="371"/>
      <w:bookmarkEnd w:id="372"/>
    </w:p>
    <w:p w14:paraId="7CB85E5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2C66C8">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1.1.1 本合同及其补充合同、变更协议；</w:t>
      </w:r>
    </w:p>
    <w:p w14:paraId="094361A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1.1.2 中标通知书；</w:t>
      </w:r>
    </w:p>
    <w:p w14:paraId="0AE0F759">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1.1.3 响应文件（含澄清或者说明文件）；</w:t>
      </w:r>
    </w:p>
    <w:p w14:paraId="0F855B1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1.1.4 交易文件（含澄清或者修改文件）；</w:t>
      </w:r>
    </w:p>
    <w:p w14:paraId="7F585F3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1.1.5 其他相关采购文件。</w:t>
      </w:r>
    </w:p>
    <w:p w14:paraId="53A9356E">
      <w:pPr>
        <w:pStyle w:val="4"/>
        <w:rPr>
          <w:rFonts w:ascii="宋体" w:hAnsi="宋体" w:eastAsia="宋体" w:cs="宋体"/>
          <w:color w:val="000000" w:themeColor="text1"/>
          <w14:textFill>
            <w14:solidFill>
              <w14:schemeClr w14:val="tx1"/>
            </w14:solidFill>
          </w14:textFill>
        </w:rPr>
      </w:pPr>
      <w:bookmarkStart w:id="373" w:name="_Toc21295"/>
      <w:bookmarkStart w:id="374" w:name="_Toc24300"/>
      <w:bookmarkStart w:id="375" w:name="_Toc27126"/>
      <w:r>
        <w:rPr>
          <w:rFonts w:hint="eastAsia" w:ascii="宋体" w:hAnsi="宋体" w:eastAsia="宋体" w:cs="宋体"/>
          <w:color w:val="000000" w:themeColor="text1"/>
          <w14:textFill>
            <w14:solidFill>
              <w14:schemeClr w14:val="tx1"/>
            </w14:solidFill>
          </w14:textFill>
        </w:rPr>
        <w:t>1.2 货物</w:t>
      </w:r>
      <w:bookmarkEnd w:id="373"/>
      <w:bookmarkEnd w:id="374"/>
      <w:bookmarkEnd w:id="375"/>
    </w:p>
    <w:p w14:paraId="761D1492">
      <w:pPr>
        <w:spacing w:line="560" w:lineRule="exact"/>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1.2.1 货物名称：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4A60AB28">
      <w:pPr>
        <w:spacing w:line="560" w:lineRule="exact"/>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1.2.2 货物数量：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70DA614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1.2.3 货物质量：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03C0631C">
      <w:pPr>
        <w:pStyle w:val="4"/>
        <w:rPr>
          <w:rFonts w:ascii="宋体" w:hAnsi="宋体" w:eastAsia="宋体" w:cs="宋体"/>
          <w:color w:val="000000" w:themeColor="text1"/>
          <w14:textFill>
            <w14:solidFill>
              <w14:schemeClr w14:val="tx1"/>
            </w14:solidFill>
          </w14:textFill>
        </w:rPr>
      </w:pPr>
      <w:bookmarkStart w:id="376" w:name="_Toc21631"/>
      <w:bookmarkStart w:id="377" w:name="_Toc23292"/>
      <w:bookmarkStart w:id="378" w:name="_Toc21551"/>
      <w:r>
        <w:rPr>
          <w:rFonts w:hint="eastAsia" w:ascii="宋体" w:hAnsi="宋体" w:eastAsia="宋体" w:cs="宋体"/>
          <w:color w:val="000000" w:themeColor="text1"/>
          <w14:textFill>
            <w14:solidFill>
              <w14:schemeClr w14:val="tx1"/>
            </w14:solidFill>
          </w14:textFill>
        </w:rPr>
        <w:t>1.3 价款</w:t>
      </w:r>
      <w:bookmarkEnd w:id="376"/>
      <w:bookmarkEnd w:id="377"/>
      <w:bookmarkEnd w:id="378"/>
    </w:p>
    <w:p w14:paraId="0BE81125">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本合同总价为：￥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元（大写：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元人民币）。</w:t>
      </w:r>
    </w:p>
    <w:p w14:paraId="38E4ABD4">
      <w:pPr>
        <w:spacing w:line="560" w:lineRule="exact"/>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5F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DD68DA">
            <w:pPr>
              <w:pStyle w:val="69"/>
              <w:spacing w:line="560" w:lineRule="exact"/>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E1B010B">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2C9562B">
            <w:pPr>
              <w:pStyle w:val="69"/>
              <w:spacing w:line="560" w:lineRule="exact"/>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分项价格</w:t>
            </w:r>
          </w:p>
        </w:tc>
      </w:tr>
      <w:tr w14:paraId="3314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0D64C8">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B7879F5">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74E76C5E">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r>
      <w:tr w14:paraId="1369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43246A">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DBC7A16">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C94F5B1">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r>
      <w:tr w14:paraId="5AB3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D12C2A2">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01C78710">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8992EBD">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r>
      <w:tr w14:paraId="7AEF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0EF5168">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09B612E5">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792A4B58">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r>
      <w:tr w14:paraId="2C21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FE07142">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780E363">
            <w:pPr>
              <w:pStyle w:val="69"/>
              <w:spacing w:line="560" w:lineRule="exact"/>
              <w:ind w:firstLine="200"/>
              <w:jc w:val="center"/>
              <w:rPr>
                <w:rFonts w:hAnsi="宋体" w:eastAsia="宋体" w:cs="宋体"/>
                <w:color w:val="000000" w:themeColor="text1"/>
                <w:sz w:val="24"/>
                <w:szCs w:val="24"/>
                <w14:textFill>
                  <w14:solidFill>
                    <w14:schemeClr w14:val="tx1"/>
                  </w14:solidFill>
                </w14:textFill>
              </w:rPr>
            </w:pPr>
          </w:p>
        </w:tc>
      </w:tr>
    </w:tbl>
    <w:p w14:paraId="50491783">
      <w:pPr>
        <w:pStyle w:val="4"/>
        <w:rPr>
          <w:rFonts w:ascii="宋体" w:hAnsi="宋体" w:eastAsia="宋体" w:cs="宋体"/>
          <w:color w:val="000000" w:themeColor="text1"/>
          <w14:textFill>
            <w14:solidFill>
              <w14:schemeClr w14:val="tx1"/>
            </w14:solidFill>
          </w14:textFill>
        </w:rPr>
      </w:pPr>
      <w:bookmarkStart w:id="379" w:name="_Toc1814"/>
      <w:bookmarkStart w:id="380" w:name="_Toc22618"/>
      <w:bookmarkStart w:id="381" w:name="_Toc10340"/>
      <w:r>
        <w:rPr>
          <w:rFonts w:hint="eastAsia" w:ascii="宋体" w:hAnsi="宋体" w:eastAsia="宋体" w:cs="宋体"/>
          <w:color w:val="000000" w:themeColor="text1"/>
          <w14:textFill>
            <w14:solidFill>
              <w14:schemeClr w14:val="tx1"/>
            </w14:solidFill>
          </w14:textFill>
        </w:rPr>
        <w:t>1.4 付款</w:t>
      </w:r>
      <w:bookmarkEnd w:id="379"/>
      <w:bookmarkEnd w:id="380"/>
      <w:bookmarkEnd w:id="381"/>
      <w:r>
        <w:rPr>
          <w:rFonts w:hint="eastAsia" w:ascii="宋体" w:hAnsi="宋体" w:eastAsia="宋体" w:cs="宋体"/>
          <w:color w:val="000000" w:themeColor="text1"/>
          <w14:textFill>
            <w14:solidFill>
              <w14:schemeClr w14:val="tx1"/>
            </w14:solidFill>
          </w14:textFill>
        </w:rPr>
        <w:t>方式、时间和条件</w:t>
      </w:r>
    </w:p>
    <w:p w14:paraId="2523CF70">
      <w:pPr>
        <w:pStyle w:val="74"/>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A192F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前台大厅选择金融服务 - 【保函保险服务】出具预付款保函，具体步骤：选择产品—填写供应商信息—选择中标项目—确认信息—等待保险/保函受理—确认保单—支付保费—成功出单。</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金融专线400-903-9583。</w:t>
      </w:r>
    </w:p>
    <w:p w14:paraId="28FCEC44">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1C2291B">
      <w:pPr>
        <w:rPr>
          <w:color w:val="000000" w:themeColor="text1"/>
          <w14:textFill>
            <w14:solidFill>
              <w14:schemeClr w14:val="tx1"/>
            </w14:solidFill>
          </w14:textFill>
        </w:rPr>
      </w:pPr>
      <w:r>
        <w:rPr>
          <w:rFonts w:hint="eastAsia"/>
          <w:color w:val="000000" w:themeColor="text1"/>
          <w14:textFill>
            <w14:solidFill>
              <w14:schemeClr w14:val="tx1"/>
            </w14:solidFill>
          </w14:textFill>
        </w:rPr>
        <w:t>1.4.4资金支付的方式、时间和条件详见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35E0F297">
      <w:pPr>
        <w:rPr>
          <w:color w:val="000000" w:themeColor="text1"/>
          <w14:textFill>
            <w14:solidFill>
              <w14:schemeClr w14:val="tx1"/>
            </w14:solidFill>
          </w14:textFill>
        </w:rPr>
      </w:pPr>
      <w:r>
        <w:rPr>
          <w:rFonts w:hint="eastAsia"/>
          <w:color w:val="000000" w:themeColor="text1"/>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523A9BF7">
      <w:pPr>
        <w:pStyle w:val="4"/>
        <w:rPr>
          <w:rFonts w:ascii="宋体" w:hAnsi="宋体" w:eastAsia="宋体" w:cs="宋体"/>
          <w:color w:val="000000" w:themeColor="text1"/>
          <w14:textFill>
            <w14:solidFill>
              <w14:schemeClr w14:val="tx1"/>
            </w14:solidFill>
          </w14:textFill>
        </w:rPr>
      </w:pPr>
      <w:bookmarkStart w:id="382" w:name="_Toc19304"/>
      <w:bookmarkStart w:id="383" w:name="_Toc32071"/>
      <w:bookmarkStart w:id="384" w:name="_Toc2846"/>
      <w:r>
        <w:rPr>
          <w:rFonts w:hint="eastAsia" w:ascii="宋体" w:hAnsi="宋体" w:eastAsia="宋体" w:cs="宋体"/>
          <w:color w:val="000000" w:themeColor="text1"/>
          <w14:textFill>
            <w14:solidFill>
              <w14:schemeClr w14:val="tx1"/>
            </w14:solidFill>
          </w14:textFill>
        </w:rPr>
        <w:t>1.5 货物交付期限、地点和方式</w:t>
      </w:r>
      <w:bookmarkEnd w:id="382"/>
      <w:bookmarkEnd w:id="383"/>
      <w:bookmarkEnd w:id="384"/>
    </w:p>
    <w:p w14:paraId="0246FDE5">
      <w:pPr>
        <w:spacing w:line="560" w:lineRule="exact"/>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1.5.1 交付期限：详见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189B4A57">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 交付地点：</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7C60A3E5">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1.5.3 交付方式：</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33DC89F7">
      <w:pPr>
        <w:pStyle w:val="4"/>
        <w:rPr>
          <w:rFonts w:ascii="宋体" w:hAnsi="宋体" w:eastAsia="宋体" w:cs="宋体"/>
          <w:color w:val="000000" w:themeColor="text1"/>
          <w14:textFill>
            <w14:solidFill>
              <w14:schemeClr w14:val="tx1"/>
            </w14:solidFill>
          </w14:textFill>
        </w:rPr>
      </w:pPr>
      <w:bookmarkStart w:id="385" w:name="_Toc27250"/>
      <w:bookmarkStart w:id="386" w:name="_Toc19554"/>
      <w:bookmarkStart w:id="387" w:name="_Toc21423"/>
      <w:r>
        <w:rPr>
          <w:rFonts w:hint="eastAsia" w:ascii="宋体" w:hAnsi="宋体" w:eastAsia="宋体" w:cs="宋体"/>
          <w:color w:val="000000" w:themeColor="text1"/>
          <w14:textFill>
            <w14:solidFill>
              <w14:schemeClr w14:val="tx1"/>
            </w14:solidFill>
          </w14:textFill>
        </w:rPr>
        <w:t>1.6 违约责任</w:t>
      </w:r>
      <w:bookmarkEnd w:id="385"/>
      <w:bookmarkEnd w:id="386"/>
      <w:bookmarkEnd w:id="387"/>
    </w:p>
    <w:p w14:paraId="7839BF16">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14:textFill>
            <w14:solidFill>
              <w14:schemeClr w14:val="tx1"/>
            </w14:solidFill>
          </w14:textFill>
        </w:rPr>
        <w:t xml:space="preserve">  0.05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14:paraId="3A714D91">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color w:val="000000" w:themeColor="text1"/>
          <w:u w:val="single"/>
          <w14:textFill>
            <w14:solidFill>
              <w14:schemeClr w14:val="tx1"/>
            </w14:solidFill>
          </w14:textFill>
        </w:rPr>
        <w:t xml:space="preserve">  0.05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%；迟延付款的违约金计算数额达到前述最高限额之日起，乙方有权在要求甲方支付违约金的同时，书面通知甲方解除本合同；</w:t>
      </w:r>
    </w:p>
    <w:p w14:paraId="7EFCE8A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189736">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A16C8C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CE78684">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7ADAA861">
      <w:pPr>
        <w:spacing w:line="560" w:lineRule="exact"/>
        <w:ind w:left="-480" w:leftChars="-200" w:right="-480" w:rightChars="-200"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1.6.7违约责任</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另有约定的，从其约定。</w:t>
      </w:r>
    </w:p>
    <w:p w14:paraId="1ADE5F21">
      <w:pPr>
        <w:pStyle w:val="4"/>
        <w:rPr>
          <w:rFonts w:ascii="宋体" w:hAnsi="宋体" w:eastAsia="宋体" w:cs="宋体"/>
          <w:color w:val="000000" w:themeColor="text1"/>
          <w14:textFill>
            <w14:solidFill>
              <w14:schemeClr w14:val="tx1"/>
            </w14:solidFill>
          </w14:textFill>
        </w:rPr>
      </w:pPr>
      <w:bookmarkStart w:id="388" w:name="_Toc16021"/>
      <w:bookmarkStart w:id="389" w:name="_Toc28375"/>
      <w:bookmarkStart w:id="390" w:name="_Toc15583"/>
      <w:r>
        <w:rPr>
          <w:rFonts w:hint="eastAsia" w:ascii="宋体" w:hAnsi="宋体" w:eastAsia="宋体" w:cs="宋体"/>
          <w:color w:val="000000" w:themeColor="text1"/>
          <w14:textFill>
            <w14:solidFill>
              <w14:schemeClr w14:val="tx1"/>
            </w14:solidFill>
          </w14:textFill>
        </w:rPr>
        <w:t>1.7 合同争议的解决</w:t>
      </w:r>
      <w:bookmarkEnd w:id="388"/>
      <w:bookmarkEnd w:id="389"/>
      <w:bookmarkEnd w:id="390"/>
    </w:p>
    <w:p w14:paraId="353A0308">
      <w:pPr>
        <w:spacing w:line="560" w:lineRule="exact"/>
        <w:ind w:left="-70" w:leftChars="-29" w:right="-480" w:rightChars="-200"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b/>
          <w:i/>
          <w:color w:val="000000" w:themeColor="text1"/>
          <w:u w:val="single"/>
          <w14:textFill>
            <w14:solidFill>
              <w14:schemeClr w14:val="tx1"/>
            </w14:solidFill>
          </w14:textFill>
        </w:rPr>
        <w:t xml:space="preserve"> 合同专用条款  </w:t>
      </w:r>
      <w:r>
        <w:rPr>
          <w:rFonts w:hint="eastAsia"/>
          <w:color w:val="000000" w:themeColor="text1"/>
          <w14:textFill>
            <w14:solidFill>
              <w14:schemeClr w14:val="tx1"/>
            </w14:solidFill>
          </w14:textFill>
        </w:rPr>
        <w:t>条款规定的方式解决：</w:t>
      </w:r>
    </w:p>
    <w:p w14:paraId="64882928">
      <w:pPr>
        <w:spacing w:line="560" w:lineRule="exact"/>
        <w:ind w:left="-480" w:leftChars="-200" w:right="-480" w:rightChars="-200" w:firstLine="600"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1.7.1 将争议提交</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仲裁委员会依申请仲裁时其现行有效的仲裁规则裁决；</w:t>
      </w:r>
    </w:p>
    <w:p w14:paraId="54717E55">
      <w:pPr>
        <w:spacing w:line="560" w:lineRule="exact"/>
        <w:ind w:left="-480" w:leftChars="-200" w:right="-480" w:rightChars="-200" w:firstLine="600"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1.7.2 向</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人民法院起诉。</w:t>
      </w:r>
    </w:p>
    <w:p w14:paraId="120C94F9">
      <w:pPr>
        <w:pStyle w:val="4"/>
        <w:rPr>
          <w:rFonts w:ascii="宋体" w:hAnsi="宋体" w:eastAsia="宋体" w:cs="宋体"/>
          <w:color w:val="000000" w:themeColor="text1"/>
          <w14:textFill>
            <w14:solidFill>
              <w14:schemeClr w14:val="tx1"/>
            </w14:solidFill>
          </w14:textFill>
        </w:rPr>
      </w:pPr>
      <w:bookmarkStart w:id="391" w:name="_Toc15322"/>
      <w:bookmarkStart w:id="392" w:name="_Toc7245"/>
      <w:bookmarkStart w:id="393" w:name="_Toc11173"/>
      <w:r>
        <w:rPr>
          <w:rFonts w:hint="eastAsia" w:ascii="宋体" w:hAnsi="宋体" w:eastAsia="宋体" w:cs="宋体"/>
          <w:color w:val="000000" w:themeColor="text1"/>
          <w14:textFill>
            <w14:solidFill>
              <w14:schemeClr w14:val="tx1"/>
            </w14:solidFill>
          </w14:textFill>
        </w:rPr>
        <w:t>1.8 合同生效</w:t>
      </w:r>
      <w:bookmarkEnd w:id="391"/>
      <w:bookmarkEnd w:id="392"/>
      <w:bookmarkEnd w:id="393"/>
    </w:p>
    <w:p w14:paraId="5FEB0652">
      <w:pPr>
        <w:spacing w:line="560" w:lineRule="exact"/>
        <w:ind w:firstLine="480" w:firstLineChars="200"/>
        <w:rPr>
          <w:b/>
          <w:color w:val="000000" w:themeColor="text1"/>
          <w14:textFill>
            <w14:solidFill>
              <w14:schemeClr w14:val="tx1"/>
            </w14:solidFill>
          </w14:textFill>
        </w:rPr>
      </w:pPr>
      <w:r>
        <w:rPr>
          <w:rFonts w:hint="eastAsia"/>
          <w:color w:val="000000" w:themeColor="text1"/>
          <w14:textFill>
            <w14:solidFill>
              <w14:schemeClr w14:val="tx1"/>
            </w14:solidFill>
          </w14:textFill>
        </w:rPr>
        <w:t>本合同自双方当事人盖章或者签字时生效。</w:t>
      </w:r>
    </w:p>
    <w:p w14:paraId="7BB758E1">
      <w:pPr>
        <w:autoSpaceDE w:val="0"/>
        <w:autoSpaceDN w:val="0"/>
        <w:spacing w:line="560" w:lineRule="exact"/>
        <w:rPr>
          <w:color w:val="000000" w:themeColor="text1"/>
          <w:lang w:val="zh-CN"/>
          <w14:textFill>
            <w14:solidFill>
              <w14:schemeClr w14:val="tx1"/>
            </w14:solidFill>
          </w14:textFill>
        </w:rPr>
      </w:pPr>
    </w:p>
    <w:p w14:paraId="6DCDA23B">
      <w:pPr>
        <w:autoSpaceDE w:val="0"/>
        <w:autoSpaceDN w:val="0"/>
        <w:spacing w:line="560" w:lineRule="exact"/>
        <w:rPr>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甲方</w:t>
      </w:r>
      <w:r>
        <w:rPr>
          <w:rFonts w:hint="eastAsia"/>
          <w:color w:val="000000" w:themeColor="text1"/>
          <w:lang w:val="zh-CN"/>
          <w14:textFill>
            <w14:solidFill>
              <w14:schemeClr w14:val="tx1"/>
            </w14:solidFill>
          </w14:textFill>
        </w:rPr>
        <w:t xml:space="preserve">：                             </w:t>
      </w:r>
      <w:r>
        <w:rPr>
          <w:rFonts w:hint="eastAsia"/>
          <w:b/>
          <w:color w:val="000000" w:themeColor="text1"/>
          <w:lang w:val="zh-CN"/>
          <w14:textFill>
            <w14:solidFill>
              <w14:schemeClr w14:val="tx1"/>
            </w14:solidFill>
          </w14:textFill>
        </w:rPr>
        <w:t xml:space="preserve">      乙方</w:t>
      </w:r>
      <w:r>
        <w:rPr>
          <w:rFonts w:hint="eastAsia"/>
          <w:color w:val="000000" w:themeColor="text1"/>
          <w:lang w:val="zh-CN"/>
          <w14:textFill>
            <w14:solidFill>
              <w14:schemeClr w14:val="tx1"/>
            </w14:solidFill>
          </w14:textFill>
        </w:rPr>
        <w:t>：</w:t>
      </w:r>
    </w:p>
    <w:p w14:paraId="17F4C8BE">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统一社会信用代码：                        统一社会信用代码或身份证号码：</w:t>
      </w:r>
    </w:p>
    <w:p w14:paraId="3AC44267">
      <w:pPr>
        <w:autoSpaceDE w:val="0"/>
        <w:autoSpaceDN w:val="0"/>
        <w:spacing w:line="560" w:lineRule="exact"/>
        <w:rPr>
          <w:color w:val="000000" w:themeColor="text1"/>
          <w:lang w:val="zh-CN"/>
          <w14:textFill>
            <w14:solidFill>
              <w14:schemeClr w14:val="tx1"/>
            </w14:solidFill>
          </w14:textFill>
        </w:rPr>
      </w:pPr>
    </w:p>
    <w:p w14:paraId="0F1B7830">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住所：                                   住所：</w:t>
      </w:r>
    </w:p>
    <w:p w14:paraId="04E926F7">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法定代表人或                             法定代表人</w:t>
      </w:r>
    </w:p>
    <w:p w14:paraId="3811774B">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授权代表（签字）：                        或授权代表（签字）: </w:t>
      </w:r>
    </w:p>
    <w:p w14:paraId="60A0ECDB">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联系人：                                 联系人：</w:t>
      </w:r>
    </w:p>
    <w:p w14:paraId="2912E2F0">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约定送达地址：                           约定送达地址：</w:t>
      </w:r>
    </w:p>
    <w:p w14:paraId="0978CA81">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邮政编码：                               邮政编码：</w:t>
      </w:r>
    </w:p>
    <w:p w14:paraId="5873B28F">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电话:                                    电话: </w:t>
      </w:r>
    </w:p>
    <w:p w14:paraId="607BBCC1">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传真:                                    传真:</w:t>
      </w:r>
    </w:p>
    <w:p w14:paraId="6A87F4AE">
      <w:pPr>
        <w:autoSpaceDE w:val="0"/>
        <w:autoSpaceDN w:val="0"/>
        <w:spacing w:line="560" w:lineRule="exac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电子邮箱：                               电子邮箱：</w:t>
      </w:r>
    </w:p>
    <w:p w14:paraId="0E590875">
      <w:pPr>
        <w:autoSpaceDE w:val="0"/>
        <w:autoSpaceDN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开户银行：                               开户银行： </w:t>
      </w:r>
    </w:p>
    <w:p w14:paraId="6077F550">
      <w:pPr>
        <w:autoSpaceDE w:val="0"/>
        <w:autoSpaceDN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开户名称：                               开户名称： </w:t>
      </w:r>
    </w:p>
    <w:p w14:paraId="29F9931E">
      <w:pPr>
        <w:autoSpaceDE w:val="0"/>
        <w:autoSpaceDN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开户账号：</w:t>
      </w: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开户账号：</w:t>
      </w:r>
    </w:p>
    <w:p w14:paraId="665BFF02">
      <w:pPr>
        <w:spacing w:line="560" w:lineRule="exact"/>
        <w:rPr>
          <w:b/>
          <w:color w:val="000000" w:themeColor="text1"/>
          <w14:textFill>
            <w14:solidFill>
              <w14:schemeClr w14:val="tx1"/>
            </w14:solidFill>
          </w14:textFill>
        </w:rPr>
      </w:pPr>
      <w:bookmarkStart w:id="394" w:name="_Toc331685783"/>
    </w:p>
    <w:p w14:paraId="7935F98B">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第二部分 合同一般条款</w:t>
      </w:r>
      <w:bookmarkEnd w:id="394"/>
    </w:p>
    <w:p w14:paraId="52A170AF">
      <w:pPr>
        <w:pStyle w:val="4"/>
        <w:rPr>
          <w:rFonts w:ascii="宋体" w:hAnsi="宋体" w:eastAsia="宋体" w:cs="宋体"/>
          <w:color w:val="000000" w:themeColor="text1"/>
          <w14:textFill>
            <w14:solidFill>
              <w14:schemeClr w14:val="tx1"/>
            </w14:solidFill>
          </w14:textFill>
        </w:rPr>
      </w:pPr>
      <w:bookmarkStart w:id="395" w:name="_Toc279701240"/>
      <w:bookmarkStart w:id="396" w:name="_Toc16917"/>
      <w:bookmarkStart w:id="397" w:name="_Ref467379214"/>
      <w:bookmarkStart w:id="398" w:name="_Ref467378499"/>
      <w:bookmarkStart w:id="399" w:name="_Ref467379094"/>
      <w:bookmarkStart w:id="400" w:name="_Toc19614"/>
      <w:bookmarkStart w:id="401" w:name="_Toc259093669"/>
      <w:bookmarkStart w:id="402" w:name="_Ref467379109"/>
      <w:bookmarkStart w:id="403" w:name="_Ref467378463"/>
      <w:bookmarkStart w:id="404" w:name="_Ref467379225"/>
      <w:bookmarkStart w:id="405" w:name="_Ref467379195"/>
      <w:bookmarkStart w:id="406" w:name="_Toc487900349"/>
      <w:bookmarkStart w:id="407" w:name="_Toc28763"/>
      <w:bookmarkStart w:id="408" w:name="_Ref467379205"/>
      <w:bookmarkStart w:id="409" w:name="_Ref467379101"/>
      <w:bookmarkStart w:id="410" w:name="_Ref467378404"/>
      <w:r>
        <w:rPr>
          <w:rFonts w:hint="eastAsia" w:ascii="宋体" w:hAnsi="宋体" w:eastAsia="宋体" w:cs="宋体"/>
          <w:color w:val="000000" w:themeColor="text1"/>
          <w14:textFill>
            <w14:solidFill>
              <w14:schemeClr w14:val="tx1"/>
            </w14:solidFill>
          </w14:textFill>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5DED83CE">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本合同中的下列词语应按以下内容进行解释：</w:t>
      </w:r>
    </w:p>
    <w:p w14:paraId="61FC4FE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2.1.1 “合同”系指采购人和中标供应商签订的载明双方当事人所达成的协议，并包括所有的附件、附录和构成合同的其他文件。</w:t>
      </w:r>
    </w:p>
    <w:p w14:paraId="10484CD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 “合同价”系指根据合同约定，中标供应商在完全履行合同义务后，采购人应支付给中标供应商的价格。</w:t>
      </w:r>
    </w:p>
    <w:p w14:paraId="15CC426F">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14:paraId="3D0A842A">
      <w:pPr>
        <w:spacing w:line="560" w:lineRule="exact"/>
        <w:ind w:firstLine="480" w:firstLineChars="200"/>
        <w:rPr>
          <w:color w:val="000000" w:themeColor="text1"/>
          <w14:textFill>
            <w14:solidFill>
              <w14:schemeClr w14:val="tx1"/>
            </w14:solidFill>
          </w14:textFill>
        </w:rPr>
      </w:pPr>
      <w:bookmarkStart w:id="411" w:name="_Ref467378840"/>
      <w:r>
        <w:rPr>
          <w:rFonts w:hint="eastAsia"/>
          <w:color w:val="000000" w:themeColor="text1"/>
          <w14:textFill>
            <w14:solidFill>
              <w14:schemeClr w14:val="tx1"/>
            </w14:solidFill>
          </w14:textFill>
        </w:rPr>
        <w:t>2.1.4 “甲方”系指与中标供应商签署合同的采购人</w:t>
      </w:r>
      <w:bookmarkEnd w:id="411"/>
      <w:r>
        <w:rPr>
          <w:rFonts w:hint="eastAsia"/>
          <w:color w:val="000000" w:themeColor="text1"/>
          <w14:textFill>
            <w14:solidFill>
              <w14:schemeClr w14:val="tx1"/>
            </w14:solidFill>
          </w14:textFill>
        </w:rPr>
        <w:t>；采购人委托采购代理机构代表其与乙方签订合同的，采购人的授权委托书作为合同附件。</w:t>
      </w:r>
    </w:p>
    <w:p w14:paraId="3A360CBF">
      <w:pPr>
        <w:spacing w:line="560" w:lineRule="exact"/>
        <w:ind w:firstLine="480" w:firstLineChars="200"/>
        <w:rPr>
          <w:color w:val="000000" w:themeColor="text1"/>
          <w14:textFill>
            <w14:solidFill>
              <w14:schemeClr w14:val="tx1"/>
            </w14:solidFill>
          </w14:textFill>
        </w:rPr>
      </w:pPr>
      <w:bookmarkStart w:id="412" w:name="_Ref467379400"/>
      <w:r>
        <w:rPr>
          <w:rFonts w:hint="eastAsia"/>
          <w:color w:val="000000" w:themeColor="text1"/>
          <w14:textFill>
            <w14:solidFill>
              <w14:schemeClr w14:val="tx1"/>
            </w14:solidFill>
          </w14:textFill>
        </w:rPr>
        <w:t>2.1.5 “乙方”系指根据合同约定交付货物的中标供应商</w:t>
      </w:r>
      <w:bookmarkEnd w:id="412"/>
      <w:r>
        <w:rPr>
          <w:rFonts w:hint="eastAsia"/>
          <w:color w:val="000000" w:themeColor="text1"/>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1038152">
      <w:pPr>
        <w:spacing w:line="560" w:lineRule="exact"/>
        <w:ind w:firstLine="480" w:firstLineChars="200"/>
        <w:rPr>
          <w:color w:val="000000" w:themeColor="text1"/>
          <w14:textFill>
            <w14:solidFill>
              <w14:schemeClr w14:val="tx1"/>
            </w14:solidFill>
          </w14:textFill>
        </w:rPr>
      </w:pPr>
      <w:bookmarkStart w:id="413" w:name="_Ref467379436"/>
      <w:r>
        <w:rPr>
          <w:rFonts w:hint="eastAsia"/>
          <w:color w:val="000000" w:themeColor="text1"/>
          <w14:textFill>
            <w14:solidFill>
              <w14:schemeClr w14:val="tx1"/>
            </w14:solidFill>
          </w14:textFill>
        </w:rPr>
        <w:t>2.1.6 “现场”系指合同约定货物将要运至或者安装的地点。</w:t>
      </w:r>
      <w:bookmarkEnd w:id="413"/>
    </w:p>
    <w:p w14:paraId="2F5AC737">
      <w:pPr>
        <w:pStyle w:val="4"/>
        <w:rPr>
          <w:rFonts w:ascii="宋体" w:hAnsi="宋体" w:eastAsia="宋体" w:cs="宋体"/>
          <w:color w:val="000000" w:themeColor="text1"/>
          <w14:textFill>
            <w14:solidFill>
              <w14:schemeClr w14:val="tx1"/>
            </w14:solidFill>
          </w14:textFill>
        </w:rPr>
      </w:pPr>
      <w:bookmarkStart w:id="414" w:name="_Toc32504"/>
      <w:bookmarkStart w:id="415" w:name="_Toc279701241"/>
      <w:bookmarkStart w:id="416" w:name="_Toc13336"/>
      <w:bookmarkStart w:id="417" w:name="_Toc27635"/>
      <w:bookmarkStart w:id="418" w:name="_Toc259093670"/>
      <w:bookmarkStart w:id="419" w:name="_Toc487900350"/>
      <w:r>
        <w:rPr>
          <w:rFonts w:hint="eastAsia" w:ascii="宋体" w:hAnsi="宋体" w:eastAsia="宋体" w:cs="宋体"/>
          <w:color w:val="000000" w:themeColor="text1"/>
          <w14:textFill>
            <w14:solidFill>
              <w14:schemeClr w14:val="tx1"/>
            </w14:solidFill>
          </w14:textFill>
        </w:rPr>
        <w:t>2.2 技术规范</w:t>
      </w:r>
      <w:bookmarkEnd w:id="414"/>
      <w:bookmarkEnd w:id="415"/>
      <w:bookmarkEnd w:id="416"/>
      <w:bookmarkEnd w:id="417"/>
      <w:bookmarkEnd w:id="418"/>
      <w:bookmarkEnd w:id="419"/>
    </w:p>
    <w:p w14:paraId="581FEE74">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0CB965A">
      <w:pPr>
        <w:pStyle w:val="4"/>
        <w:rPr>
          <w:rFonts w:ascii="宋体" w:hAnsi="宋体" w:eastAsia="宋体" w:cs="宋体"/>
          <w:color w:val="000000" w:themeColor="text1"/>
          <w14:textFill>
            <w14:solidFill>
              <w14:schemeClr w14:val="tx1"/>
            </w14:solidFill>
          </w14:textFill>
        </w:rPr>
      </w:pPr>
      <w:bookmarkStart w:id="420" w:name="_Toc487900351"/>
      <w:bookmarkStart w:id="421" w:name="_Toc259093671"/>
      <w:bookmarkStart w:id="422" w:name="_Toc279701242"/>
      <w:bookmarkStart w:id="423" w:name="_Toc31634"/>
      <w:bookmarkStart w:id="424" w:name="_Toc27853"/>
      <w:bookmarkStart w:id="425" w:name="_Toc9829"/>
      <w:r>
        <w:rPr>
          <w:rFonts w:hint="eastAsia" w:ascii="宋体" w:hAnsi="宋体" w:eastAsia="宋体" w:cs="宋体"/>
          <w:color w:val="000000" w:themeColor="text1"/>
          <w14:textFill>
            <w14:solidFill>
              <w14:schemeClr w14:val="tx1"/>
            </w14:solidFill>
          </w14:textFill>
        </w:rPr>
        <w:t>2.3 知识产权</w:t>
      </w:r>
      <w:bookmarkEnd w:id="420"/>
      <w:bookmarkEnd w:id="421"/>
      <w:bookmarkEnd w:id="422"/>
      <w:bookmarkEnd w:id="423"/>
      <w:bookmarkEnd w:id="424"/>
      <w:bookmarkEnd w:id="425"/>
    </w:p>
    <w:p w14:paraId="4C72EB2E">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6D94C59">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2.3.2具有知识产权的计算机软件等货物的知识产权归属，详见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7945456F">
      <w:pPr>
        <w:pStyle w:val="4"/>
        <w:rPr>
          <w:rFonts w:ascii="宋体" w:hAnsi="宋体" w:eastAsia="宋体" w:cs="宋体"/>
          <w:color w:val="000000" w:themeColor="text1"/>
          <w14:textFill>
            <w14:solidFill>
              <w14:schemeClr w14:val="tx1"/>
            </w14:solidFill>
          </w14:textFill>
        </w:rPr>
      </w:pPr>
      <w:bookmarkStart w:id="426" w:name="_Toc11932"/>
      <w:bookmarkStart w:id="427" w:name="_Toc4194"/>
      <w:bookmarkStart w:id="428" w:name="_Toc29149"/>
      <w:r>
        <w:rPr>
          <w:rFonts w:hint="eastAsia" w:ascii="宋体" w:hAnsi="宋体" w:eastAsia="宋体" w:cs="宋体"/>
          <w:color w:val="000000" w:themeColor="text1"/>
          <w14:textFill>
            <w14:solidFill>
              <w14:schemeClr w14:val="tx1"/>
            </w14:solidFill>
          </w14:textFill>
        </w:rPr>
        <w:t>2.4 包装和装运</w:t>
      </w:r>
      <w:bookmarkEnd w:id="426"/>
      <w:bookmarkEnd w:id="427"/>
      <w:bookmarkEnd w:id="428"/>
    </w:p>
    <w:p w14:paraId="7751D16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2.4.1除</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D839F93">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B631C6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2.4.2 装运货物的要求和通知，详见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063B8561">
      <w:pPr>
        <w:pStyle w:val="4"/>
        <w:rPr>
          <w:rFonts w:ascii="宋体" w:hAnsi="宋体" w:eastAsia="宋体" w:cs="宋体"/>
          <w:color w:val="000000" w:themeColor="text1"/>
          <w14:textFill>
            <w14:solidFill>
              <w14:schemeClr w14:val="tx1"/>
            </w14:solidFill>
          </w14:textFill>
        </w:rPr>
      </w:pPr>
      <w:bookmarkStart w:id="429" w:name="_Ref467379536"/>
      <w:bookmarkStart w:id="430" w:name="_Ref467379542"/>
      <w:bookmarkStart w:id="431" w:name="_Ref467379527"/>
      <w:bookmarkStart w:id="432" w:name="_Toc259093674"/>
      <w:bookmarkStart w:id="433" w:name="_Toc279701245"/>
      <w:bookmarkStart w:id="434" w:name="_Ref467378541"/>
      <w:bookmarkStart w:id="435" w:name="_Ref467378591"/>
      <w:bookmarkStart w:id="436" w:name="_Toc487900354"/>
      <w:bookmarkStart w:id="437" w:name="_Toc30272"/>
      <w:bookmarkStart w:id="438" w:name="_Toc26182"/>
      <w:bookmarkStart w:id="439" w:name="_Toc19074"/>
      <w:r>
        <w:rPr>
          <w:rFonts w:hint="eastAsia" w:ascii="宋体" w:hAnsi="宋体" w:eastAsia="宋体" w:cs="宋体"/>
          <w:color w:val="000000" w:themeColor="text1"/>
          <w14:textFill>
            <w14:solidFill>
              <w14:schemeClr w14:val="tx1"/>
            </w14:solidFill>
          </w14:textFill>
        </w:rPr>
        <w:t>2.</w:t>
      </w:r>
      <w:bookmarkEnd w:id="429"/>
      <w:bookmarkEnd w:id="430"/>
      <w:bookmarkEnd w:id="431"/>
      <w:bookmarkEnd w:id="432"/>
      <w:bookmarkEnd w:id="433"/>
      <w:bookmarkEnd w:id="434"/>
      <w:bookmarkEnd w:id="435"/>
      <w:bookmarkEnd w:id="436"/>
      <w:r>
        <w:rPr>
          <w:rFonts w:hint="eastAsia" w:ascii="宋体" w:hAnsi="宋体" w:eastAsia="宋体" w:cs="宋体"/>
          <w:color w:val="000000" w:themeColor="text1"/>
          <w14:textFill>
            <w14:solidFill>
              <w14:schemeClr w14:val="tx1"/>
            </w14:solidFill>
          </w14:textFill>
        </w:rPr>
        <w:t>5 履约检查和问题反馈</w:t>
      </w:r>
      <w:bookmarkEnd w:id="437"/>
      <w:bookmarkEnd w:id="438"/>
      <w:bookmarkEnd w:id="439"/>
    </w:p>
    <w:p w14:paraId="136C0D6A">
      <w:pPr>
        <w:spacing w:line="560" w:lineRule="exact"/>
        <w:ind w:firstLine="480" w:firstLineChars="200"/>
        <w:rPr>
          <w:color w:val="000000" w:themeColor="text1"/>
          <w14:textFill>
            <w14:solidFill>
              <w14:schemeClr w14:val="tx1"/>
            </w14:solidFill>
          </w14:textFill>
        </w:rPr>
      </w:pPr>
      <w:bookmarkStart w:id="440" w:name="_Ref467379657"/>
      <w:r>
        <w:rPr>
          <w:rFonts w:hint="eastAsia"/>
          <w:color w:val="000000" w:themeColor="text1"/>
          <w14:textFill>
            <w14:solidFill>
              <w14:schemeClr w14:val="tx1"/>
            </w14:solidFill>
          </w14:textFill>
        </w:rPr>
        <w:t>2.5.1</w:t>
      </w:r>
      <w:bookmarkEnd w:id="440"/>
      <w:bookmarkStart w:id="441" w:name="_Toc186431854"/>
      <w:bookmarkStart w:id="442" w:name="_Toc279701247"/>
      <w:bookmarkStart w:id="443" w:name="_Ref467379793"/>
      <w:bookmarkStart w:id="444" w:name="_Toc487900357"/>
      <w:bookmarkStart w:id="445" w:name="_Toc259093676"/>
      <w:bookmarkStart w:id="446" w:name="_Ref467379807"/>
      <w:r>
        <w:rPr>
          <w:rFonts w:hint="eastAsia"/>
          <w:color w:val="000000" w:themeColor="text1"/>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31B0241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2.5.2 合同履行期间，甲方有权将履行过程中出现的问题反馈给乙方，双方当事人应以书面形式约定需要完善和改进的内容</w:t>
      </w:r>
      <w:bookmarkEnd w:id="441"/>
      <w:bookmarkStart w:id="447" w:name="_Toc186431855"/>
      <w:r>
        <w:rPr>
          <w:rFonts w:hint="eastAsia"/>
          <w:color w:val="000000" w:themeColor="text1"/>
          <w14:textFill>
            <w14:solidFill>
              <w14:schemeClr w14:val="tx1"/>
            </w14:solidFill>
          </w14:textFill>
        </w:rPr>
        <w:t>。</w:t>
      </w:r>
    </w:p>
    <w:bookmarkEnd w:id="442"/>
    <w:bookmarkEnd w:id="443"/>
    <w:bookmarkEnd w:id="444"/>
    <w:bookmarkEnd w:id="445"/>
    <w:bookmarkEnd w:id="446"/>
    <w:bookmarkEnd w:id="447"/>
    <w:p w14:paraId="4D1D156E">
      <w:pPr>
        <w:pStyle w:val="4"/>
        <w:rPr>
          <w:rFonts w:ascii="宋体" w:hAnsi="宋体" w:eastAsia="宋体" w:cs="宋体"/>
          <w:color w:val="000000" w:themeColor="text1"/>
          <w14:textFill>
            <w14:solidFill>
              <w14:schemeClr w14:val="tx1"/>
            </w14:solidFill>
          </w14:textFill>
        </w:rPr>
      </w:pPr>
      <w:bookmarkStart w:id="448" w:name="_Toc279701248"/>
      <w:bookmarkStart w:id="449" w:name="_Toc259093677"/>
      <w:bookmarkStart w:id="450" w:name="_Toc487900358"/>
      <w:bookmarkStart w:id="451" w:name="_Ref467379863"/>
      <w:bookmarkStart w:id="452" w:name="_Ref467379923"/>
      <w:bookmarkStart w:id="453" w:name="_Ref467379852"/>
      <w:bookmarkStart w:id="454" w:name="_Toc3225"/>
      <w:bookmarkStart w:id="455" w:name="_Toc16110"/>
      <w:bookmarkStart w:id="456" w:name="_Toc774"/>
      <w:r>
        <w:rPr>
          <w:rFonts w:hint="eastAsia" w:ascii="宋体" w:hAnsi="宋体" w:eastAsia="宋体" w:cs="宋体"/>
          <w:color w:val="000000" w:themeColor="text1"/>
          <w14:textFill>
            <w14:solidFill>
              <w14:schemeClr w14:val="tx1"/>
            </w14:solidFill>
          </w14:textFill>
        </w:rPr>
        <w:t>2.6 技术资料</w:t>
      </w:r>
      <w:bookmarkEnd w:id="448"/>
      <w:bookmarkEnd w:id="449"/>
      <w:bookmarkEnd w:id="450"/>
      <w:bookmarkEnd w:id="451"/>
      <w:bookmarkEnd w:id="452"/>
      <w:bookmarkEnd w:id="453"/>
      <w:r>
        <w:rPr>
          <w:rFonts w:hint="eastAsia" w:ascii="宋体" w:hAnsi="宋体" w:eastAsia="宋体" w:cs="宋体"/>
          <w:color w:val="000000" w:themeColor="text1"/>
          <w14:textFill>
            <w14:solidFill>
              <w14:schemeClr w14:val="tx1"/>
            </w14:solidFill>
          </w14:textFill>
        </w:rPr>
        <w:t>和保密义务</w:t>
      </w:r>
      <w:bookmarkEnd w:id="454"/>
      <w:bookmarkEnd w:id="455"/>
      <w:bookmarkEnd w:id="456"/>
    </w:p>
    <w:p w14:paraId="1127CAA0">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2.6.1 乙方有权依据合同约定和项目需要，向甲方了解有关情况，调阅有关资料等，甲方应予积极配合；</w:t>
      </w:r>
    </w:p>
    <w:p w14:paraId="35E5073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2.6.2 乙方有义务妥善保管和保护由甲方提供的前款信息和资料等；</w:t>
      </w:r>
    </w:p>
    <w:p w14:paraId="74A160E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FF88770">
      <w:pPr>
        <w:pStyle w:val="4"/>
        <w:rPr>
          <w:rFonts w:ascii="宋体" w:hAnsi="宋体" w:eastAsia="宋体" w:cs="宋体"/>
          <w:color w:val="000000" w:themeColor="text1"/>
          <w14:textFill>
            <w14:solidFill>
              <w14:schemeClr w14:val="tx1"/>
            </w14:solidFill>
          </w14:textFill>
        </w:rPr>
      </w:pPr>
      <w:bookmarkStart w:id="457" w:name="_Toc7860"/>
      <w:r>
        <w:rPr>
          <w:rFonts w:hint="eastAsia" w:ascii="宋体" w:hAnsi="宋体" w:eastAsia="宋体" w:cs="宋体"/>
          <w:color w:val="000000" w:themeColor="text1"/>
          <w14:textFill>
            <w14:solidFill>
              <w14:schemeClr w14:val="tx1"/>
            </w14:solidFill>
          </w14:textFill>
        </w:rPr>
        <w:t>2.7 质量保证</w:t>
      </w:r>
      <w:bookmarkEnd w:id="457"/>
    </w:p>
    <w:p w14:paraId="551E676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2.7.1 乙方应建立和完善履行合同的内部质量保证体系，并提供相关内部规章制度给甲方，以便甲方进行监督检查；</w:t>
      </w:r>
    </w:p>
    <w:p w14:paraId="51A2E5F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2.7.2 乙方应保证履行合同的人员数量和素质、软件和硬件设备的配置、场地、环境和设施等满足全面履行合同的要求，并应接受甲方的监督检查。</w:t>
      </w:r>
    </w:p>
    <w:p w14:paraId="1DCBA29B">
      <w:pPr>
        <w:pStyle w:val="4"/>
        <w:rPr>
          <w:rFonts w:ascii="宋体" w:hAnsi="宋体" w:eastAsia="宋体" w:cs="宋体"/>
          <w:color w:val="000000" w:themeColor="text1"/>
          <w14:textFill>
            <w14:solidFill>
              <w14:schemeClr w14:val="tx1"/>
            </w14:solidFill>
          </w14:textFill>
        </w:rPr>
      </w:pPr>
      <w:bookmarkStart w:id="458" w:name="_Toc17244"/>
      <w:bookmarkStart w:id="459" w:name="_Toc279701252"/>
      <w:bookmarkStart w:id="460" w:name="_Toc487900362"/>
      <w:bookmarkStart w:id="461" w:name="_Toc259093681"/>
      <w:r>
        <w:rPr>
          <w:rFonts w:hint="eastAsia" w:ascii="宋体" w:hAnsi="宋体" w:eastAsia="宋体" w:cs="宋体"/>
          <w:color w:val="000000" w:themeColor="text1"/>
          <w14:textFill>
            <w14:solidFill>
              <w14:schemeClr w14:val="tx1"/>
            </w14:solidFill>
          </w14:textFill>
        </w:rPr>
        <w:t>2.8 货物的风险负担</w:t>
      </w:r>
      <w:bookmarkEnd w:id="458"/>
    </w:p>
    <w:p w14:paraId="7F11F898">
      <w:pPr>
        <w:spacing w:line="560" w:lineRule="exact"/>
        <w:ind w:firstLine="480" w:firstLineChars="200"/>
        <w:rPr>
          <w:b/>
          <w:color w:val="000000" w:themeColor="text1"/>
          <w14:textFill>
            <w14:solidFill>
              <w14:schemeClr w14:val="tx1"/>
            </w14:solidFill>
          </w14:textFill>
        </w:rPr>
      </w:pPr>
      <w:r>
        <w:rPr>
          <w:rFonts w:hint="eastAsia"/>
          <w:color w:val="000000" w:themeColor="text1"/>
          <w14:textFill>
            <w14:solidFill>
              <w14:schemeClr w14:val="tx1"/>
            </w14:solidFill>
          </w14:textFill>
        </w:rPr>
        <w:t>货物或者在途货物或者交付给第一承运人后的货物毁损、灭失的风险负担详见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34CE26AD">
      <w:pPr>
        <w:pStyle w:val="4"/>
        <w:rPr>
          <w:rFonts w:ascii="宋体" w:hAnsi="宋体" w:eastAsia="宋体" w:cs="宋体"/>
          <w:color w:val="000000" w:themeColor="text1"/>
          <w14:textFill>
            <w14:solidFill>
              <w14:schemeClr w14:val="tx1"/>
            </w14:solidFill>
          </w14:textFill>
        </w:rPr>
      </w:pPr>
      <w:bookmarkStart w:id="462" w:name="_Toc14055"/>
      <w:r>
        <w:rPr>
          <w:rFonts w:hint="eastAsia" w:ascii="宋体" w:hAnsi="宋体" w:eastAsia="宋体" w:cs="宋体"/>
          <w:color w:val="000000" w:themeColor="text1"/>
          <w14:textFill>
            <w14:solidFill>
              <w14:schemeClr w14:val="tx1"/>
            </w14:solidFill>
          </w14:textFill>
        </w:rPr>
        <w:t>2.9 延迟交货</w:t>
      </w:r>
      <w:bookmarkEnd w:id="459"/>
      <w:bookmarkEnd w:id="460"/>
      <w:bookmarkEnd w:id="461"/>
      <w:bookmarkEnd w:id="462"/>
    </w:p>
    <w:p w14:paraId="070F36CB">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B07581F">
      <w:pPr>
        <w:pStyle w:val="4"/>
        <w:rPr>
          <w:rFonts w:ascii="宋体" w:hAnsi="宋体" w:eastAsia="宋体" w:cs="宋体"/>
          <w:color w:val="000000" w:themeColor="text1"/>
          <w14:textFill>
            <w14:solidFill>
              <w14:schemeClr w14:val="tx1"/>
            </w14:solidFill>
          </w14:textFill>
        </w:rPr>
      </w:pPr>
      <w:bookmarkStart w:id="463" w:name="_Toc7502"/>
      <w:bookmarkStart w:id="464" w:name="_Ref467378121"/>
      <w:bookmarkStart w:id="465" w:name="_Toc259093683"/>
      <w:bookmarkStart w:id="466" w:name="_Toc487900364"/>
      <w:bookmarkStart w:id="467" w:name="_Toc279701254"/>
      <w:r>
        <w:rPr>
          <w:rFonts w:hint="eastAsia" w:ascii="宋体" w:hAnsi="宋体" w:eastAsia="宋体" w:cs="宋体"/>
          <w:color w:val="000000" w:themeColor="text1"/>
          <w14:textFill>
            <w14:solidFill>
              <w14:schemeClr w14:val="tx1"/>
            </w14:solidFill>
          </w14:textFill>
        </w:rPr>
        <w:t>2.10 合同变更</w:t>
      </w:r>
      <w:bookmarkEnd w:id="463"/>
    </w:p>
    <w:p w14:paraId="7987F57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68" w:name="_Toc279701259"/>
      <w:bookmarkStart w:id="469" w:name="_Toc259093688"/>
      <w:bookmarkStart w:id="470" w:name="_Toc487900369"/>
    </w:p>
    <w:p w14:paraId="2058CFA5">
      <w:pPr>
        <w:pStyle w:val="4"/>
        <w:rPr>
          <w:rFonts w:ascii="宋体" w:hAnsi="宋体" w:eastAsia="宋体" w:cs="宋体"/>
          <w:color w:val="000000" w:themeColor="text1"/>
          <w14:textFill>
            <w14:solidFill>
              <w14:schemeClr w14:val="tx1"/>
            </w14:solidFill>
          </w14:textFill>
        </w:rPr>
      </w:pPr>
      <w:bookmarkStart w:id="471" w:name="_Toc10366"/>
      <w:bookmarkStart w:id="472" w:name="_Toc15237"/>
      <w:bookmarkStart w:id="473" w:name="_Toc22955"/>
      <w:r>
        <w:rPr>
          <w:rFonts w:hint="eastAsia" w:ascii="宋体" w:hAnsi="宋体" w:eastAsia="宋体" w:cs="宋体"/>
          <w:color w:val="000000" w:themeColor="text1"/>
          <w14:textFill>
            <w14:solidFill>
              <w14:schemeClr w14:val="tx1"/>
            </w14:solidFill>
          </w14:textFill>
        </w:rPr>
        <w:t>2.11 合同转让</w:t>
      </w:r>
      <w:bookmarkEnd w:id="468"/>
      <w:bookmarkEnd w:id="469"/>
      <w:bookmarkEnd w:id="470"/>
      <w:r>
        <w:rPr>
          <w:rFonts w:hint="eastAsia" w:ascii="宋体" w:hAnsi="宋体" w:eastAsia="宋体" w:cs="宋体"/>
          <w:color w:val="000000" w:themeColor="text1"/>
          <w14:textFill>
            <w14:solidFill>
              <w14:schemeClr w14:val="tx1"/>
            </w14:solidFill>
          </w14:textFill>
        </w:rPr>
        <w:t>和分包</w:t>
      </w:r>
      <w:bookmarkEnd w:id="471"/>
      <w:bookmarkEnd w:id="472"/>
      <w:bookmarkEnd w:id="473"/>
    </w:p>
    <w:p w14:paraId="45720018">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DE157F9">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2.11.2乙方采取分包方式履行合同的，甲方可直接向分包供应商支付款项。</w:t>
      </w:r>
    </w:p>
    <w:p w14:paraId="5EFFC173">
      <w:pPr>
        <w:pStyle w:val="4"/>
        <w:rPr>
          <w:rFonts w:ascii="宋体" w:hAnsi="宋体" w:eastAsia="宋体" w:cs="宋体"/>
          <w:color w:val="000000" w:themeColor="text1"/>
          <w14:textFill>
            <w14:solidFill>
              <w14:schemeClr w14:val="tx1"/>
            </w14:solidFill>
          </w14:textFill>
        </w:rPr>
      </w:pPr>
      <w:bookmarkStart w:id="474" w:name="_Toc13566"/>
      <w:bookmarkStart w:id="475" w:name="_Toc14066"/>
      <w:bookmarkStart w:id="476" w:name="_Toc16508"/>
      <w:r>
        <w:rPr>
          <w:rFonts w:hint="eastAsia" w:ascii="宋体" w:hAnsi="宋体" w:eastAsia="宋体" w:cs="宋体"/>
          <w:color w:val="000000" w:themeColor="text1"/>
          <w14:textFill>
            <w14:solidFill>
              <w14:schemeClr w14:val="tx1"/>
            </w14:solidFill>
          </w14:textFill>
        </w:rPr>
        <w:t>2.12 不可抗力</w:t>
      </w:r>
      <w:bookmarkEnd w:id="474"/>
      <w:bookmarkEnd w:id="475"/>
      <w:bookmarkEnd w:id="476"/>
    </w:p>
    <w:p w14:paraId="42957AA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2.12.1如果任何一方遭遇法律规定的不可抗力，致使合同履行受阻时，履行合同的期限应予延长，延长的期限应相当于不可抗力所影响的时间；</w:t>
      </w:r>
    </w:p>
    <w:p w14:paraId="4957EB56">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2.12.2 因不可抗力致使不能实现合同目的的，当事人可以解除合同；</w:t>
      </w:r>
    </w:p>
    <w:p w14:paraId="47DF71E9">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2.12.3 因不可抗力致使合同有变更必要的，双方当事人应在</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约定时间内以书面形式变更合同；</w:t>
      </w:r>
    </w:p>
    <w:p w14:paraId="2F4D4AF8">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2.12.4受不可抗力影响的一方在不可抗力发生后，应在</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约定时间内以书面形式通知对方当事人，并在</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约定时间内，将有关部门出具的证明文件送达对方当事人。</w:t>
      </w:r>
    </w:p>
    <w:p w14:paraId="388F7913">
      <w:pPr>
        <w:pStyle w:val="4"/>
        <w:rPr>
          <w:rFonts w:ascii="宋体" w:hAnsi="宋体" w:eastAsia="宋体" w:cs="宋体"/>
          <w:color w:val="000000" w:themeColor="text1"/>
          <w14:textFill>
            <w14:solidFill>
              <w14:schemeClr w14:val="tx1"/>
            </w14:solidFill>
          </w14:textFill>
        </w:rPr>
      </w:pPr>
      <w:bookmarkStart w:id="477" w:name="_Toc259093684"/>
      <w:bookmarkStart w:id="478" w:name="_Toc30676"/>
      <w:bookmarkStart w:id="479" w:name="_Toc279701255"/>
      <w:bookmarkStart w:id="480" w:name="_Toc6969"/>
      <w:bookmarkStart w:id="481" w:name="_Toc689"/>
      <w:bookmarkStart w:id="482" w:name="_Toc487900365"/>
      <w:r>
        <w:rPr>
          <w:rFonts w:hint="eastAsia" w:ascii="宋体" w:hAnsi="宋体" w:eastAsia="宋体" w:cs="宋体"/>
          <w:color w:val="000000" w:themeColor="text1"/>
          <w14:textFill>
            <w14:solidFill>
              <w14:schemeClr w14:val="tx1"/>
            </w14:solidFill>
          </w14:textFill>
        </w:rPr>
        <w:t>2.13 税费</w:t>
      </w:r>
      <w:bookmarkEnd w:id="477"/>
      <w:bookmarkEnd w:id="478"/>
      <w:bookmarkEnd w:id="479"/>
      <w:bookmarkEnd w:id="480"/>
      <w:bookmarkEnd w:id="481"/>
      <w:bookmarkEnd w:id="482"/>
    </w:p>
    <w:p w14:paraId="25622F0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与合同有关的一切税费，均按照中华人民共和国法律的相关规定。</w:t>
      </w:r>
    </w:p>
    <w:p w14:paraId="088D4A47">
      <w:pPr>
        <w:pStyle w:val="4"/>
        <w:rPr>
          <w:rFonts w:ascii="宋体" w:hAnsi="宋体" w:eastAsia="宋体" w:cs="宋体"/>
          <w:color w:val="000000" w:themeColor="text1"/>
          <w14:textFill>
            <w14:solidFill>
              <w14:schemeClr w14:val="tx1"/>
            </w14:solidFill>
          </w14:textFill>
        </w:rPr>
      </w:pPr>
      <w:bookmarkStart w:id="483" w:name="_Toc279701258"/>
      <w:bookmarkStart w:id="484" w:name="_Toc259093687"/>
      <w:bookmarkStart w:id="485" w:name="_Toc7102"/>
      <w:bookmarkStart w:id="486" w:name="_Toc8298"/>
      <w:bookmarkStart w:id="487" w:name="_Toc487900368"/>
      <w:bookmarkStart w:id="488" w:name="_Toc16959"/>
      <w:r>
        <w:rPr>
          <w:rFonts w:hint="eastAsia" w:ascii="宋体" w:hAnsi="宋体" w:eastAsia="宋体" w:cs="宋体"/>
          <w:color w:val="000000" w:themeColor="text1"/>
          <w14:textFill>
            <w14:solidFill>
              <w14:schemeClr w14:val="tx1"/>
            </w14:solidFill>
          </w14:textFill>
        </w:rPr>
        <w:t>2.14乙方破产</w:t>
      </w:r>
      <w:bookmarkEnd w:id="483"/>
      <w:bookmarkEnd w:id="484"/>
      <w:bookmarkEnd w:id="485"/>
      <w:bookmarkEnd w:id="486"/>
      <w:bookmarkEnd w:id="487"/>
      <w:bookmarkEnd w:id="488"/>
    </w:p>
    <w:p w14:paraId="182202EF">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3B0B3D">
      <w:pPr>
        <w:pStyle w:val="4"/>
        <w:rPr>
          <w:rFonts w:ascii="宋体" w:hAnsi="宋体" w:eastAsia="宋体" w:cs="宋体"/>
          <w:color w:val="000000" w:themeColor="text1"/>
          <w14:textFill>
            <w14:solidFill>
              <w14:schemeClr w14:val="tx1"/>
            </w14:solidFill>
          </w14:textFill>
        </w:rPr>
      </w:pPr>
      <w:bookmarkStart w:id="489" w:name="_Toc6134"/>
      <w:bookmarkStart w:id="490" w:name="_Toc29333"/>
      <w:bookmarkStart w:id="491" w:name="_Toc15387"/>
      <w:r>
        <w:rPr>
          <w:rFonts w:hint="eastAsia" w:ascii="宋体" w:hAnsi="宋体" w:eastAsia="宋体" w:cs="宋体"/>
          <w:color w:val="000000" w:themeColor="text1"/>
          <w14:textFill>
            <w14:solidFill>
              <w14:schemeClr w14:val="tx1"/>
            </w14:solidFill>
          </w14:textFill>
        </w:rPr>
        <w:t>2.15 合同中止、终止</w:t>
      </w:r>
      <w:bookmarkEnd w:id="489"/>
      <w:bookmarkEnd w:id="490"/>
      <w:bookmarkEnd w:id="491"/>
    </w:p>
    <w:p w14:paraId="30EEF4A9">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2.15.1 双方当事人不得擅自中止或者终止合同；</w:t>
      </w:r>
    </w:p>
    <w:p w14:paraId="5346185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70E57DAE">
      <w:pPr>
        <w:pStyle w:val="4"/>
        <w:rPr>
          <w:rFonts w:ascii="宋体" w:hAnsi="宋体" w:eastAsia="宋体" w:cs="宋体"/>
          <w:color w:val="000000" w:themeColor="text1"/>
          <w14:textFill>
            <w14:solidFill>
              <w14:schemeClr w14:val="tx1"/>
            </w14:solidFill>
          </w14:textFill>
        </w:rPr>
      </w:pPr>
      <w:bookmarkStart w:id="492" w:name="_Toc14563"/>
      <w:bookmarkStart w:id="493" w:name="_Toc1125"/>
      <w:bookmarkStart w:id="494" w:name="_Toc6596"/>
      <w:r>
        <w:rPr>
          <w:rFonts w:hint="eastAsia" w:ascii="宋体" w:hAnsi="宋体" w:eastAsia="宋体" w:cs="宋体"/>
          <w:color w:val="000000" w:themeColor="text1"/>
          <w14:textFill>
            <w14:solidFill>
              <w14:schemeClr w14:val="tx1"/>
            </w14:solidFill>
          </w14:textFill>
        </w:rPr>
        <w:t>2.16检验和验收</w:t>
      </w:r>
      <w:bookmarkEnd w:id="492"/>
      <w:bookmarkEnd w:id="493"/>
      <w:bookmarkEnd w:id="494"/>
    </w:p>
    <w:p w14:paraId="3B4CE3E1">
      <w:pPr>
        <w:tabs>
          <w:tab w:val="left" w:pos="360"/>
          <w:tab w:val="left" w:pos="540"/>
          <w:tab w:val="left" w:pos="1080"/>
        </w:tabs>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约定时间内组织验收，并可依法邀请相关方参加，验收应出具验收书。</w:t>
      </w:r>
    </w:p>
    <w:p w14:paraId="50D75802">
      <w:pPr>
        <w:tabs>
          <w:tab w:val="left" w:pos="360"/>
          <w:tab w:val="left" w:pos="540"/>
          <w:tab w:val="left" w:pos="1080"/>
        </w:tabs>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82106AA">
      <w:pPr>
        <w:tabs>
          <w:tab w:val="left" w:pos="360"/>
          <w:tab w:val="left" w:pos="540"/>
          <w:tab w:val="left" w:pos="1080"/>
        </w:tabs>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2.16.3 检验和验收标准、程序等具体内容以及前述验收书的效力详见</w:t>
      </w:r>
      <w:r>
        <w:rPr>
          <w:rFonts w:hint="eastAsia"/>
          <w:b/>
          <w:i/>
          <w:color w:val="000000" w:themeColor="text1"/>
          <w:u w:val="single"/>
          <w14:textFill>
            <w14:solidFill>
              <w14:schemeClr w14:val="tx1"/>
            </w14:solidFill>
          </w14:textFill>
        </w:rPr>
        <w:t>合同专用条款</w:t>
      </w:r>
      <w:r>
        <w:rPr>
          <w:rFonts w:hint="eastAsia"/>
          <w:i/>
          <w:color w:val="000000" w:themeColor="text1"/>
          <w14:textFill>
            <w14:solidFill>
              <w14:schemeClr w14:val="tx1"/>
            </w14:solidFill>
          </w14:textFill>
        </w:rPr>
        <w:t>。</w:t>
      </w:r>
    </w:p>
    <w:bookmarkEnd w:id="464"/>
    <w:bookmarkEnd w:id="465"/>
    <w:bookmarkEnd w:id="466"/>
    <w:bookmarkEnd w:id="467"/>
    <w:p w14:paraId="0043CB38">
      <w:pPr>
        <w:pStyle w:val="4"/>
        <w:rPr>
          <w:rFonts w:ascii="宋体" w:hAnsi="宋体" w:eastAsia="宋体" w:cs="宋体"/>
          <w:color w:val="000000" w:themeColor="text1"/>
          <w14:textFill>
            <w14:solidFill>
              <w14:schemeClr w14:val="tx1"/>
            </w14:solidFill>
          </w14:textFill>
        </w:rPr>
      </w:pPr>
      <w:bookmarkStart w:id="495" w:name="_Toc487900371"/>
      <w:bookmarkStart w:id="496" w:name="_Toc259093690"/>
      <w:bookmarkStart w:id="497" w:name="_Toc279701261"/>
      <w:bookmarkStart w:id="498" w:name="_Toc25182"/>
      <w:bookmarkStart w:id="499" w:name="_Toc11284"/>
      <w:bookmarkStart w:id="500" w:name="_Toc19604"/>
      <w:r>
        <w:rPr>
          <w:rFonts w:hint="eastAsia" w:ascii="宋体" w:hAnsi="宋体" w:eastAsia="宋体" w:cs="宋体"/>
          <w:color w:val="000000" w:themeColor="text1"/>
          <w14:textFill>
            <w14:solidFill>
              <w14:schemeClr w14:val="tx1"/>
            </w14:solidFill>
          </w14:textFill>
        </w:rPr>
        <w:t>2.17 通知</w:t>
      </w:r>
      <w:bookmarkEnd w:id="495"/>
      <w:bookmarkEnd w:id="496"/>
      <w:bookmarkEnd w:id="497"/>
      <w:r>
        <w:rPr>
          <w:rFonts w:hint="eastAsia" w:ascii="宋体" w:hAnsi="宋体" w:eastAsia="宋体" w:cs="宋体"/>
          <w:color w:val="000000" w:themeColor="text1"/>
          <w14:textFill>
            <w14:solidFill>
              <w14:schemeClr w14:val="tx1"/>
            </w14:solidFill>
          </w14:textFill>
        </w:rPr>
        <w:t>和送达</w:t>
      </w:r>
      <w:bookmarkEnd w:id="498"/>
      <w:bookmarkEnd w:id="499"/>
      <w:bookmarkEnd w:id="500"/>
    </w:p>
    <w:p w14:paraId="1E61689B">
      <w:pPr>
        <w:spacing w:line="560" w:lineRule="exact"/>
        <w:ind w:firstLine="480" w:firstLineChars="200"/>
        <w:rPr>
          <w:color w:val="000000" w:themeColor="text1"/>
          <w14:textFill>
            <w14:solidFill>
              <w14:schemeClr w14:val="tx1"/>
            </w14:solidFill>
          </w14:textFill>
        </w:rPr>
      </w:pPr>
      <w:bookmarkStart w:id="501" w:name="_Toc6698"/>
      <w:bookmarkStart w:id="502" w:name="_Toc3135"/>
      <w:bookmarkStart w:id="503" w:name="_Toc259093691"/>
      <w:bookmarkStart w:id="504" w:name="_Toc487900372"/>
      <w:bookmarkStart w:id="505" w:name="_Toc279701262"/>
      <w:r>
        <w:rPr>
          <w:rFonts w:hint="eastAsia"/>
          <w:color w:val="000000" w:themeColor="text1"/>
          <w14:textFill>
            <w14:solidFill>
              <w14:schemeClr w14:val="tx1"/>
            </w14:solidFill>
          </w14:textFill>
        </w:rPr>
        <w:t xml:space="preserve">2.17.1任何一方因履行合同而以合同第一部分尾部所列明的传真或电子邮件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发出的所有通知、文件、材料，均视为已向对方当事人送达；任何一方变更上述送达方式或者地址的，应于</w:t>
      </w:r>
      <w:r>
        <w:rPr>
          <w:rFonts w:hint="eastAsia"/>
          <w:color w:val="000000" w:themeColor="text1"/>
          <w:u w:val="single"/>
          <w14:textFill>
            <w14:solidFill>
              <w14:schemeClr w14:val="tx1"/>
            </w14:solidFill>
          </w14:textFill>
        </w:rPr>
        <w:t>3</w:t>
      </w:r>
      <w:r>
        <w:rPr>
          <w:rFonts w:hint="eastAsia"/>
          <w:color w:val="000000" w:themeColor="text1"/>
          <w14:textFill>
            <w14:solidFill>
              <w14:schemeClr w14:val="tx1"/>
            </w14:solidFill>
          </w14:textFill>
        </w:rPr>
        <w:t>个工作日内书面通知对方当事人，在对方当事人收到有关变更通知之前，变更前的约定送达方式或者地址仍视为有效。</w:t>
      </w:r>
      <w:bookmarkEnd w:id="501"/>
      <w:bookmarkEnd w:id="502"/>
    </w:p>
    <w:p w14:paraId="0FA6B28A">
      <w:pPr>
        <w:spacing w:line="560" w:lineRule="exact"/>
        <w:ind w:firstLine="480" w:firstLineChars="200"/>
        <w:rPr>
          <w:color w:val="000000" w:themeColor="text1"/>
          <w14:textFill>
            <w14:solidFill>
              <w14:schemeClr w14:val="tx1"/>
            </w14:solidFill>
          </w14:textFill>
        </w:rPr>
      </w:pPr>
      <w:bookmarkStart w:id="506" w:name="_Toc23128"/>
      <w:bookmarkStart w:id="507" w:name="_Toc23294"/>
      <w:r>
        <w:rPr>
          <w:rFonts w:hint="eastAsia"/>
          <w:color w:val="000000" w:themeColor="text1"/>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14:paraId="516071CC">
      <w:pPr>
        <w:pStyle w:val="4"/>
        <w:rPr>
          <w:rFonts w:ascii="宋体" w:hAnsi="宋体" w:eastAsia="宋体" w:cs="宋体"/>
          <w:color w:val="000000" w:themeColor="text1"/>
          <w14:textFill>
            <w14:solidFill>
              <w14:schemeClr w14:val="tx1"/>
            </w14:solidFill>
          </w14:textFill>
        </w:rPr>
      </w:pPr>
      <w:bookmarkStart w:id="508" w:name="_Toc18540"/>
      <w:bookmarkStart w:id="509" w:name="_Toc4355"/>
      <w:bookmarkStart w:id="510" w:name="_Toc30599"/>
      <w:r>
        <w:rPr>
          <w:rFonts w:hint="eastAsia" w:ascii="宋体" w:hAnsi="宋体" w:eastAsia="宋体" w:cs="宋体"/>
          <w:color w:val="000000" w:themeColor="text1"/>
          <w14:textFill>
            <w14:solidFill>
              <w14:schemeClr w14:val="tx1"/>
            </w14:solidFill>
          </w14:textFill>
        </w:rPr>
        <w:t>2.18 计量单位</w:t>
      </w:r>
      <w:bookmarkEnd w:id="503"/>
      <w:bookmarkEnd w:id="504"/>
      <w:bookmarkEnd w:id="505"/>
      <w:bookmarkEnd w:id="508"/>
      <w:bookmarkEnd w:id="509"/>
      <w:bookmarkEnd w:id="510"/>
    </w:p>
    <w:p w14:paraId="6E70ADC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除技术规范中另有规定外,合同的计量单位均使用国家法定计量单位。</w:t>
      </w:r>
    </w:p>
    <w:p w14:paraId="4CFAFB06">
      <w:pPr>
        <w:pStyle w:val="4"/>
        <w:rPr>
          <w:rFonts w:ascii="宋体" w:hAnsi="宋体" w:eastAsia="宋体" w:cs="宋体"/>
          <w:color w:val="000000" w:themeColor="text1"/>
          <w14:textFill>
            <w14:solidFill>
              <w14:schemeClr w14:val="tx1"/>
            </w14:solidFill>
          </w14:textFill>
        </w:rPr>
      </w:pPr>
      <w:bookmarkStart w:id="511" w:name="_Toc279701263"/>
      <w:bookmarkStart w:id="512" w:name="_Toc12773"/>
      <w:bookmarkStart w:id="513" w:name="_Toc487900373"/>
      <w:bookmarkStart w:id="514" w:name="_Toc10330"/>
      <w:bookmarkStart w:id="515" w:name="_Toc259093692"/>
      <w:bookmarkStart w:id="516" w:name="_Toc18567"/>
      <w:r>
        <w:rPr>
          <w:rFonts w:hint="eastAsia" w:ascii="宋体" w:hAnsi="宋体" w:eastAsia="宋体" w:cs="宋体"/>
          <w:color w:val="000000" w:themeColor="text1"/>
          <w14:textFill>
            <w14:solidFill>
              <w14:schemeClr w14:val="tx1"/>
            </w14:solidFill>
          </w14:textFill>
        </w:rPr>
        <w:t>2.19 合同使用的文字和适用的法律</w:t>
      </w:r>
      <w:bookmarkEnd w:id="511"/>
      <w:bookmarkEnd w:id="512"/>
      <w:bookmarkEnd w:id="513"/>
      <w:bookmarkEnd w:id="514"/>
      <w:bookmarkEnd w:id="515"/>
      <w:bookmarkEnd w:id="516"/>
    </w:p>
    <w:p w14:paraId="16686C8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2.19.1 合同使用汉语书就、变更和解释；</w:t>
      </w:r>
    </w:p>
    <w:p w14:paraId="2178485E">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2.19.2 合同适用中华人民共和国法律。</w:t>
      </w:r>
    </w:p>
    <w:p w14:paraId="3D8797EA">
      <w:pPr>
        <w:pStyle w:val="4"/>
        <w:rPr>
          <w:rFonts w:ascii="宋体" w:hAnsi="宋体" w:eastAsia="宋体" w:cs="宋体"/>
          <w:color w:val="000000" w:themeColor="text1"/>
          <w14:textFill>
            <w14:solidFill>
              <w14:schemeClr w14:val="tx1"/>
            </w14:solidFill>
          </w14:textFill>
        </w:rPr>
      </w:pPr>
      <w:bookmarkStart w:id="517" w:name="_Toc16673"/>
      <w:bookmarkStart w:id="518" w:name="_Toc3148"/>
      <w:bookmarkStart w:id="519" w:name="_Toc279701264"/>
      <w:bookmarkStart w:id="520" w:name="_Toc12004"/>
      <w:bookmarkStart w:id="521" w:name="_Toc259093693"/>
      <w:bookmarkStart w:id="522" w:name="_Toc487900374"/>
      <w:r>
        <w:rPr>
          <w:rFonts w:hint="eastAsia" w:ascii="宋体" w:hAnsi="宋体" w:eastAsia="宋体" w:cs="宋体"/>
          <w:color w:val="000000" w:themeColor="text1"/>
          <w14:textFill>
            <w14:solidFill>
              <w14:schemeClr w14:val="tx1"/>
            </w14:solidFill>
          </w14:textFill>
        </w:rPr>
        <w:t>2.20 履约保证金</w:t>
      </w:r>
      <w:bookmarkEnd w:id="517"/>
      <w:bookmarkEnd w:id="518"/>
      <w:bookmarkEnd w:id="519"/>
      <w:bookmarkEnd w:id="520"/>
      <w:bookmarkEnd w:id="521"/>
      <w:r>
        <w:rPr>
          <w:rFonts w:hint="eastAsia" w:ascii="宋体" w:hAnsi="宋体" w:eastAsia="宋体" w:cs="宋体"/>
          <w:color w:val="000000" w:themeColor="text1"/>
          <w14:textFill>
            <w14:solidFill>
              <w14:schemeClr w14:val="tx1"/>
            </w14:solidFill>
          </w14:textFill>
        </w:rPr>
        <w:t>：无</w:t>
      </w:r>
    </w:p>
    <w:p w14:paraId="553F153F">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2.21对于因甲方原因导致变更、中止或者终止政府采购合同的，甲方应当依照合同约定对供应商受到的损失予以赔偿或者补偿。</w:t>
      </w:r>
    </w:p>
    <w:bookmarkEnd w:id="522"/>
    <w:p w14:paraId="2EDD6282">
      <w:pPr>
        <w:pStyle w:val="4"/>
        <w:rPr>
          <w:rFonts w:ascii="宋体" w:hAnsi="宋体" w:eastAsia="宋体" w:cs="宋体"/>
          <w:color w:val="000000" w:themeColor="text1"/>
          <w14:textFill>
            <w14:solidFill>
              <w14:schemeClr w14:val="tx1"/>
            </w14:solidFill>
          </w14:textFill>
        </w:rPr>
      </w:pPr>
      <w:bookmarkStart w:id="523" w:name="_Toc14001"/>
      <w:bookmarkStart w:id="524" w:name="_Toc19890"/>
      <w:bookmarkStart w:id="525" w:name="_Toc6885"/>
      <w:r>
        <w:rPr>
          <w:rFonts w:hint="eastAsia" w:ascii="宋体" w:hAnsi="宋体" w:eastAsia="宋体" w:cs="宋体"/>
          <w:color w:val="000000" w:themeColor="text1"/>
          <w14:textFill>
            <w14:solidFill>
              <w14:schemeClr w14:val="tx1"/>
            </w14:solidFill>
          </w14:textFill>
        </w:rPr>
        <w:t>2.22合同份数</w:t>
      </w:r>
      <w:bookmarkEnd w:id="523"/>
      <w:bookmarkEnd w:id="524"/>
      <w:bookmarkEnd w:id="525"/>
    </w:p>
    <w:p w14:paraId="428608C1">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合同份数按</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规定，每份均具有同等法律效力。</w:t>
      </w:r>
    </w:p>
    <w:p w14:paraId="13531150">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第三部分  合同专用条款</w:t>
      </w:r>
    </w:p>
    <w:p w14:paraId="2D575E34">
      <w:pPr>
        <w:spacing w:line="560" w:lineRule="exact"/>
        <w:ind w:left="-480" w:leftChars="-200" w:right="-480" w:rightChars="-20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14:paraId="179F1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14:paraId="15EE200E">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条款号</w:t>
            </w:r>
          </w:p>
        </w:tc>
        <w:tc>
          <w:tcPr>
            <w:tcW w:w="4534" w:type="pct"/>
            <w:vAlign w:val="center"/>
          </w:tcPr>
          <w:p w14:paraId="57CEB9A2">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约定内容</w:t>
            </w:r>
          </w:p>
        </w:tc>
      </w:tr>
      <w:tr w14:paraId="61D6B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395E6A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4534" w:type="pct"/>
            <w:vAlign w:val="center"/>
          </w:tcPr>
          <w:p w14:paraId="4282529D">
            <w:pPr>
              <w:spacing w:line="360" w:lineRule="auto"/>
              <w:rPr>
                <w:color w:val="000000" w:themeColor="text1"/>
                <w14:textFill>
                  <w14:solidFill>
                    <w14:schemeClr w14:val="tx1"/>
                  </w14:solidFill>
                </w14:textFill>
              </w:rPr>
            </w:pPr>
          </w:p>
        </w:tc>
      </w:tr>
      <w:tr w14:paraId="4EBCC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584F84E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1.5.1 </w:t>
            </w:r>
          </w:p>
        </w:tc>
        <w:tc>
          <w:tcPr>
            <w:tcW w:w="4534" w:type="pct"/>
            <w:vAlign w:val="center"/>
          </w:tcPr>
          <w:p w14:paraId="512988FE">
            <w:pPr>
              <w:spacing w:line="360" w:lineRule="auto"/>
              <w:rPr>
                <w:color w:val="000000" w:themeColor="text1"/>
                <w14:textFill>
                  <w14:solidFill>
                    <w14:schemeClr w14:val="tx1"/>
                  </w14:solidFill>
                </w14:textFill>
              </w:rPr>
            </w:pPr>
          </w:p>
        </w:tc>
      </w:tr>
      <w:tr w14:paraId="5A02F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75A2EC7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1.5.2</w:t>
            </w:r>
          </w:p>
        </w:tc>
        <w:tc>
          <w:tcPr>
            <w:tcW w:w="4534" w:type="pct"/>
            <w:vAlign w:val="center"/>
          </w:tcPr>
          <w:p w14:paraId="07F17118">
            <w:pPr>
              <w:spacing w:line="360" w:lineRule="auto"/>
              <w:rPr>
                <w:color w:val="000000" w:themeColor="text1"/>
                <w14:textFill>
                  <w14:solidFill>
                    <w14:schemeClr w14:val="tx1"/>
                  </w14:solidFill>
                </w14:textFill>
              </w:rPr>
            </w:pPr>
          </w:p>
        </w:tc>
      </w:tr>
      <w:tr w14:paraId="1F9D0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4EBFCE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1.5.3 </w:t>
            </w:r>
          </w:p>
        </w:tc>
        <w:tc>
          <w:tcPr>
            <w:tcW w:w="4534" w:type="pct"/>
            <w:vAlign w:val="center"/>
          </w:tcPr>
          <w:p w14:paraId="5D5654E4">
            <w:pPr>
              <w:spacing w:line="360" w:lineRule="auto"/>
              <w:rPr>
                <w:color w:val="000000" w:themeColor="text1"/>
                <w14:textFill>
                  <w14:solidFill>
                    <w14:schemeClr w14:val="tx1"/>
                  </w14:solidFill>
                </w14:textFill>
              </w:rPr>
            </w:pPr>
          </w:p>
        </w:tc>
      </w:tr>
      <w:tr w14:paraId="771FD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A8A37E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1.6.7</w:t>
            </w:r>
          </w:p>
        </w:tc>
        <w:tc>
          <w:tcPr>
            <w:tcW w:w="4534" w:type="pct"/>
            <w:vAlign w:val="center"/>
          </w:tcPr>
          <w:p w14:paraId="75796044">
            <w:pPr>
              <w:spacing w:line="360" w:lineRule="auto"/>
              <w:rPr>
                <w:color w:val="000000" w:themeColor="text1"/>
                <w14:textFill>
                  <w14:solidFill>
                    <w14:schemeClr w14:val="tx1"/>
                  </w14:solidFill>
                </w14:textFill>
              </w:rPr>
            </w:pPr>
          </w:p>
        </w:tc>
      </w:tr>
      <w:tr w14:paraId="37699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D044D8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4534" w:type="pct"/>
            <w:vAlign w:val="center"/>
          </w:tcPr>
          <w:p w14:paraId="1D9DA59E">
            <w:pPr>
              <w:spacing w:line="360" w:lineRule="auto"/>
              <w:rPr>
                <w:color w:val="000000" w:themeColor="text1"/>
                <w14:textFill>
                  <w14:solidFill>
                    <w14:schemeClr w14:val="tx1"/>
                  </w14:solidFill>
                </w14:textFill>
              </w:rPr>
            </w:pPr>
          </w:p>
        </w:tc>
      </w:tr>
      <w:tr w14:paraId="6933F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7D33067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1.7.1</w:t>
            </w:r>
          </w:p>
        </w:tc>
        <w:tc>
          <w:tcPr>
            <w:tcW w:w="4534" w:type="pct"/>
            <w:vAlign w:val="center"/>
          </w:tcPr>
          <w:p w14:paraId="3C2EB7FE">
            <w:pPr>
              <w:spacing w:line="360" w:lineRule="auto"/>
              <w:rPr>
                <w:color w:val="000000" w:themeColor="text1"/>
                <w14:textFill>
                  <w14:solidFill>
                    <w14:schemeClr w14:val="tx1"/>
                  </w14:solidFill>
                </w14:textFill>
              </w:rPr>
            </w:pPr>
          </w:p>
        </w:tc>
      </w:tr>
      <w:tr w14:paraId="6DD72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17893A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1.7.2</w:t>
            </w:r>
          </w:p>
        </w:tc>
        <w:tc>
          <w:tcPr>
            <w:tcW w:w="4534" w:type="pct"/>
            <w:vAlign w:val="center"/>
          </w:tcPr>
          <w:p w14:paraId="1EBF6EE5">
            <w:pPr>
              <w:spacing w:line="360" w:lineRule="auto"/>
              <w:rPr>
                <w:color w:val="000000" w:themeColor="text1"/>
                <w14:textFill>
                  <w14:solidFill>
                    <w14:schemeClr w14:val="tx1"/>
                  </w14:solidFill>
                </w14:textFill>
              </w:rPr>
            </w:pPr>
          </w:p>
        </w:tc>
      </w:tr>
      <w:tr w14:paraId="496AF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745F9BB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2.3.2</w:t>
            </w:r>
          </w:p>
        </w:tc>
        <w:tc>
          <w:tcPr>
            <w:tcW w:w="4534" w:type="pct"/>
            <w:vAlign w:val="center"/>
          </w:tcPr>
          <w:p w14:paraId="3AF3D0A8">
            <w:pPr>
              <w:spacing w:line="360" w:lineRule="auto"/>
              <w:ind w:left="-480" w:leftChars="-200" w:right="-480" w:rightChars="-200" w:firstLine="480" w:firstLineChars="200"/>
              <w:rPr>
                <w:color w:val="000000" w:themeColor="text1"/>
                <w14:textFill>
                  <w14:solidFill>
                    <w14:schemeClr w14:val="tx1"/>
                  </w14:solidFill>
                </w14:textFill>
              </w:rPr>
            </w:pPr>
          </w:p>
        </w:tc>
      </w:tr>
      <w:tr w14:paraId="70D08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7613DB5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2.4.1</w:t>
            </w:r>
          </w:p>
        </w:tc>
        <w:tc>
          <w:tcPr>
            <w:tcW w:w="4534" w:type="pct"/>
            <w:vAlign w:val="center"/>
          </w:tcPr>
          <w:p w14:paraId="0730D7D3">
            <w:pPr>
              <w:spacing w:line="360" w:lineRule="auto"/>
              <w:ind w:left="-480" w:leftChars="-200" w:right="-480" w:rightChars="-200" w:firstLine="480" w:firstLineChars="200"/>
              <w:rPr>
                <w:color w:val="000000" w:themeColor="text1"/>
                <w14:textFill>
                  <w14:solidFill>
                    <w14:schemeClr w14:val="tx1"/>
                  </w14:solidFill>
                </w14:textFill>
              </w:rPr>
            </w:pPr>
          </w:p>
        </w:tc>
      </w:tr>
      <w:tr w14:paraId="3E094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0E40A67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2.4.2</w:t>
            </w:r>
          </w:p>
        </w:tc>
        <w:tc>
          <w:tcPr>
            <w:tcW w:w="4534" w:type="pct"/>
            <w:vAlign w:val="center"/>
          </w:tcPr>
          <w:p w14:paraId="060B95DA">
            <w:pPr>
              <w:spacing w:line="360" w:lineRule="auto"/>
              <w:rPr>
                <w:color w:val="000000" w:themeColor="text1"/>
                <w14:textFill>
                  <w14:solidFill>
                    <w14:schemeClr w14:val="tx1"/>
                  </w14:solidFill>
                </w14:textFill>
              </w:rPr>
            </w:pPr>
          </w:p>
        </w:tc>
      </w:tr>
      <w:tr w14:paraId="563FA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14:paraId="5A43DC6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2.8 </w:t>
            </w:r>
          </w:p>
        </w:tc>
        <w:tc>
          <w:tcPr>
            <w:tcW w:w="4534" w:type="pct"/>
          </w:tcPr>
          <w:p w14:paraId="2644FCD1">
            <w:pPr>
              <w:spacing w:line="360" w:lineRule="auto"/>
              <w:rPr>
                <w:color w:val="000000" w:themeColor="text1"/>
                <w14:textFill>
                  <w14:solidFill>
                    <w14:schemeClr w14:val="tx1"/>
                  </w14:solidFill>
                </w14:textFill>
              </w:rPr>
            </w:pPr>
          </w:p>
        </w:tc>
      </w:tr>
      <w:tr w14:paraId="63495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7A26869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2.12.3</w:t>
            </w:r>
          </w:p>
        </w:tc>
        <w:tc>
          <w:tcPr>
            <w:tcW w:w="4534" w:type="pct"/>
            <w:vAlign w:val="center"/>
          </w:tcPr>
          <w:p w14:paraId="79DC76AC">
            <w:pPr>
              <w:spacing w:line="360" w:lineRule="auto"/>
              <w:rPr>
                <w:color w:val="000000" w:themeColor="text1"/>
                <w14:textFill>
                  <w14:solidFill>
                    <w14:schemeClr w14:val="tx1"/>
                  </w14:solidFill>
                </w14:textFill>
              </w:rPr>
            </w:pPr>
          </w:p>
        </w:tc>
      </w:tr>
      <w:tr w14:paraId="40384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3D9FDE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2.12.4</w:t>
            </w:r>
          </w:p>
        </w:tc>
        <w:tc>
          <w:tcPr>
            <w:tcW w:w="4534" w:type="pct"/>
            <w:vAlign w:val="center"/>
          </w:tcPr>
          <w:p w14:paraId="609CD520">
            <w:pPr>
              <w:spacing w:line="360" w:lineRule="auto"/>
              <w:rPr>
                <w:color w:val="000000" w:themeColor="text1"/>
                <w14:textFill>
                  <w14:solidFill>
                    <w14:schemeClr w14:val="tx1"/>
                  </w14:solidFill>
                </w14:textFill>
              </w:rPr>
            </w:pPr>
          </w:p>
        </w:tc>
      </w:tr>
      <w:tr w14:paraId="70C3E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4367D94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2.16.1</w:t>
            </w:r>
          </w:p>
        </w:tc>
        <w:tc>
          <w:tcPr>
            <w:tcW w:w="4534" w:type="pct"/>
            <w:vAlign w:val="center"/>
          </w:tcPr>
          <w:p w14:paraId="2F35C53F">
            <w:pPr>
              <w:spacing w:line="360" w:lineRule="auto"/>
              <w:rPr>
                <w:color w:val="000000" w:themeColor="text1"/>
                <w14:textFill>
                  <w14:solidFill>
                    <w14:schemeClr w14:val="tx1"/>
                  </w14:solidFill>
                </w14:textFill>
              </w:rPr>
            </w:pPr>
          </w:p>
        </w:tc>
      </w:tr>
      <w:tr w14:paraId="11897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14:paraId="717A723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2.16.3</w:t>
            </w:r>
          </w:p>
        </w:tc>
        <w:tc>
          <w:tcPr>
            <w:tcW w:w="4534" w:type="pct"/>
            <w:vAlign w:val="center"/>
          </w:tcPr>
          <w:p w14:paraId="6B28CEBE">
            <w:pPr>
              <w:spacing w:line="360" w:lineRule="auto"/>
              <w:rPr>
                <w:color w:val="000000" w:themeColor="text1"/>
                <w14:textFill>
                  <w14:solidFill>
                    <w14:schemeClr w14:val="tx1"/>
                  </w14:solidFill>
                </w14:textFill>
              </w:rPr>
            </w:pPr>
          </w:p>
        </w:tc>
      </w:tr>
      <w:tr w14:paraId="46EE1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14:paraId="4BF1C0A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2.20.1</w:t>
            </w:r>
          </w:p>
        </w:tc>
        <w:tc>
          <w:tcPr>
            <w:tcW w:w="4534" w:type="pct"/>
          </w:tcPr>
          <w:p w14:paraId="31593BB2">
            <w:pPr>
              <w:spacing w:line="360" w:lineRule="auto"/>
              <w:rPr>
                <w:color w:val="000000" w:themeColor="text1"/>
                <w14:textFill>
                  <w14:solidFill>
                    <w14:schemeClr w14:val="tx1"/>
                  </w14:solidFill>
                </w14:textFill>
              </w:rPr>
            </w:pPr>
          </w:p>
        </w:tc>
      </w:tr>
      <w:tr w14:paraId="268E5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47D03AA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2.20.2 </w:t>
            </w:r>
          </w:p>
        </w:tc>
        <w:tc>
          <w:tcPr>
            <w:tcW w:w="4534" w:type="pct"/>
            <w:vAlign w:val="center"/>
          </w:tcPr>
          <w:p w14:paraId="4D2ADEF2">
            <w:pPr>
              <w:spacing w:line="360" w:lineRule="auto"/>
              <w:rPr>
                <w:color w:val="000000" w:themeColor="text1"/>
                <w14:textFill>
                  <w14:solidFill>
                    <w14:schemeClr w14:val="tx1"/>
                  </w14:solidFill>
                </w14:textFill>
              </w:rPr>
            </w:pPr>
          </w:p>
        </w:tc>
      </w:tr>
      <w:tr w14:paraId="3D745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0384B177">
            <w:pPr>
              <w:spacing w:line="360" w:lineRule="auto"/>
              <w:ind w:left="-480" w:leftChars="-200" w:right="-480" w:rightChars="-200" w:firstLine="480" w:firstLineChars="200"/>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2.22 </w:t>
            </w:r>
          </w:p>
        </w:tc>
        <w:tc>
          <w:tcPr>
            <w:tcW w:w="4534" w:type="pct"/>
            <w:vAlign w:val="center"/>
          </w:tcPr>
          <w:p w14:paraId="0ACECDC7">
            <w:pPr>
              <w:spacing w:line="360" w:lineRule="auto"/>
              <w:rPr>
                <w:color w:val="000000" w:themeColor="text1"/>
                <w14:textFill>
                  <w14:solidFill>
                    <w14:schemeClr w14:val="tx1"/>
                  </w14:solidFill>
                </w14:textFill>
              </w:rPr>
            </w:pPr>
          </w:p>
        </w:tc>
      </w:tr>
    </w:tbl>
    <w:p w14:paraId="72866705">
      <w:pPr>
        <w:rPr>
          <w:color w:val="000000" w:themeColor="text1"/>
          <w14:textFill>
            <w14:solidFill>
              <w14:schemeClr w14:val="tx1"/>
            </w14:solidFill>
          </w14:textFill>
        </w:rPr>
      </w:pPr>
    </w:p>
    <w:p w14:paraId="45BD1122">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B62EE21">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第六部分 应提交的有关格式范例</w:t>
      </w:r>
    </w:p>
    <w:p w14:paraId="53ADDEF7">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资格文件部分</w:t>
      </w:r>
    </w:p>
    <w:p w14:paraId="69AD9E1F">
      <w:pPr>
        <w:jc w:val="center"/>
        <w:rPr>
          <w:b/>
          <w:color w:val="000000" w:themeColor="text1"/>
          <w:sz w:val="40"/>
          <w14:textFill>
            <w14:solidFill>
              <w14:schemeClr w14:val="tx1"/>
            </w14:solidFill>
          </w14:textFill>
        </w:rPr>
      </w:pPr>
      <w:r>
        <w:rPr>
          <w:rFonts w:hint="eastAsia"/>
          <w:b/>
          <w:color w:val="000000" w:themeColor="text1"/>
          <w:sz w:val="40"/>
          <w14:textFill>
            <w14:solidFill>
              <w14:schemeClr w14:val="tx1"/>
            </w14:solidFill>
          </w14:textFill>
        </w:rPr>
        <w:t>目录</w:t>
      </w:r>
    </w:p>
    <w:p w14:paraId="289AA554">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（1）符合参加政府采购活动应当具备的一般条件的承诺函……………（页码）</w:t>
      </w:r>
    </w:p>
    <w:p w14:paraId="3CBE555A">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（2）落实政府采购政策需满足的资格要求………………………………（页码）</w:t>
      </w:r>
    </w:p>
    <w:p w14:paraId="7DDDB6E0">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（3）本项目的特定资格要求………………………………………………（页码）</w:t>
      </w:r>
    </w:p>
    <w:p w14:paraId="6C142E94">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84A9F38">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 符合参加政府采购活动应当具备的一般条件的承诺函</w:t>
      </w:r>
    </w:p>
    <w:p w14:paraId="0160988F">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p>
    <w:p w14:paraId="121479C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我方参与（项目名称）【招标编号：（采购编号）】政府采购活动，郑重承诺：</w:t>
      </w:r>
    </w:p>
    <w:p w14:paraId="69AB2468">
      <w:pPr>
        <w:snapToGrid w:val="0"/>
        <w:spacing w:line="360" w:lineRule="auto"/>
        <w:ind w:firstLine="36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（一）具备《中华人民共和国政府采购法》第二十二条第一款规定的条件：</w:t>
      </w:r>
    </w:p>
    <w:p w14:paraId="3AD95F2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1、具有独立承担民事责任的能力；</w:t>
      </w:r>
    </w:p>
    <w:p w14:paraId="622D3D3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2、具有良好的商业信誉和健全的财务会计制度； </w:t>
      </w:r>
    </w:p>
    <w:p w14:paraId="67D4854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3、具有履行合同所必需的设备和专业技术能力；</w:t>
      </w:r>
    </w:p>
    <w:p w14:paraId="623575E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4、有依法缴纳税收和社会保障资金的良好记录；</w:t>
      </w:r>
    </w:p>
    <w:p w14:paraId="2D33184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5、参加政府采购活动前三年内，在经营活动中没有重大违法记录；</w:t>
      </w:r>
    </w:p>
    <w:p w14:paraId="0DDF3CF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6、具有法律、行政法规规定的其他条件。</w:t>
      </w:r>
    </w:p>
    <w:p w14:paraId="4E75726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B8AAAC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（三）不存在以下情况：</w:t>
      </w:r>
    </w:p>
    <w:p w14:paraId="260B1EC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1、单位负责人为同一人或者存在直接控股、管理关系的不同供应商参加同一合同项下的政府采购活动的；</w:t>
      </w:r>
    </w:p>
    <w:p w14:paraId="6986469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2、为采购项目提供整体设计、规范编制或者项目管理、监理、检测等服务后再参加该采购项目的其他采购活动的。</w:t>
      </w:r>
    </w:p>
    <w:p w14:paraId="17B2E1FC">
      <w:pPr>
        <w:snapToGrid w:val="0"/>
        <w:spacing w:line="360" w:lineRule="auto"/>
        <w:ind w:firstLine="5520" w:firstLineChars="23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供应商名称(电子签名)：</w:t>
      </w:r>
    </w:p>
    <w:p w14:paraId="1056E503">
      <w:pPr>
        <w:snapToGrid w:val="0"/>
        <w:spacing w:line="360" w:lineRule="auto"/>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日期</w:t>
      </w:r>
      <w:r>
        <w:rPr>
          <w:rFonts w:hint="eastAsia"/>
          <w:color w:val="000000" w:themeColor="text1"/>
          <w14:textFill>
            <w14:solidFill>
              <w14:schemeClr w14:val="tx1"/>
            </w14:solidFill>
          </w14:textFill>
        </w:rPr>
        <w:t xml:space="preserve">：  年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w:t>
      </w:r>
    </w:p>
    <w:p w14:paraId="664A5171">
      <w:pPr>
        <w:snapToGrid w:val="0"/>
        <w:spacing w:line="360" w:lineRule="auto"/>
        <w:ind w:right="480"/>
        <w:jc w:val="center"/>
        <w:rPr>
          <w:b/>
          <w:color w:val="000000" w:themeColor="text1"/>
          <w:sz w:val="32"/>
          <w:szCs w:val="32"/>
          <w14:textFill>
            <w14:solidFill>
              <w14:schemeClr w14:val="tx1"/>
            </w14:solidFill>
          </w14:textFill>
        </w:rPr>
      </w:pPr>
    </w:p>
    <w:p w14:paraId="1EDEEBD5">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二、落实政府采购政策需满足的资格要求</w:t>
      </w:r>
    </w:p>
    <w:p w14:paraId="6F742A83">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（根据交易公告落实政府采购政策需满足的资格要求选择提供相应的材料；未要求的，无需提供）</w:t>
      </w:r>
    </w:p>
    <w:p w14:paraId="5FD6C11E">
      <w:pPr>
        <w:rPr>
          <w:color w:val="000000" w:themeColor="text1"/>
          <w14:textFill>
            <w14:solidFill>
              <w14:schemeClr w14:val="tx1"/>
            </w14:solidFill>
          </w14:textFill>
        </w:rPr>
      </w:pPr>
      <w:r>
        <w:rPr>
          <w:rFonts w:hint="eastAsia"/>
          <w:b/>
          <w:color w:val="000000" w:themeColor="text1"/>
          <w14:textFill>
            <w14:solidFill>
              <w14:schemeClr w14:val="tx1"/>
            </w14:solidFill>
          </w14:textFill>
        </w:rPr>
        <w:t>A</w:t>
      </w:r>
      <w:r>
        <w:rPr>
          <w:rFonts w:hint="eastAsia"/>
          <w:color w:val="000000" w:themeColor="text1"/>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14:paraId="4F086157">
      <w:pPr>
        <w:rPr>
          <w:color w:val="000000" w:themeColor="text1"/>
          <w14:textFill>
            <w14:solidFill>
              <w14:schemeClr w14:val="tx1"/>
            </w14:solidFill>
          </w14:textFill>
        </w:rPr>
      </w:pPr>
      <w:r>
        <w:rPr>
          <w:rFonts w:hint="eastAsia"/>
          <w:b/>
          <w:color w:val="000000" w:themeColor="text1"/>
          <w14:textFill>
            <w14:solidFill>
              <w14:schemeClr w14:val="tx1"/>
            </w14:solidFill>
          </w14:textFill>
        </w:rPr>
        <w:t>B.</w:t>
      </w:r>
      <w:r>
        <w:rPr>
          <w:rFonts w:hint="eastAsia"/>
          <w:color w:val="000000" w:themeColor="text1"/>
          <w14:textFill>
            <w14:solidFill>
              <w14:schemeClr w14:val="tx1"/>
            </w14:solidFill>
          </w14:textFill>
        </w:rPr>
        <w:t>要求以联合体形式参加的，提供联合协议和中小企业声明函（附件5），联合协议中中小企业合同金额应当达到交易公告载明的比例；如果供应商本身提供所有标的均由中小企业制造或承接的，视同符合了资格条件，无需再与其他中小企业组成联合体参加政府采购活动，无需提供联合协议。</w:t>
      </w:r>
    </w:p>
    <w:p w14:paraId="2EB91AD7">
      <w:pPr>
        <w:rPr>
          <w:color w:val="000000" w:themeColor="text1"/>
          <w14:textFill>
            <w14:solidFill>
              <w14:schemeClr w14:val="tx1"/>
            </w14:solidFill>
          </w14:textFill>
        </w:rPr>
      </w:pPr>
      <w:r>
        <w:rPr>
          <w:rFonts w:hint="eastAsia"/>
          <w:b/>
          <w:color w:val="000000" w:themeColor="text1"/>
          <w14:textFill>
            <w14:solidFill>
              <w14:schemeClr w14:val="tx1"/>
            </w14:solidFill>
          </w14:textFill>
        </w:rPr>
        <w:t>C、</w:t>
      </w:r>
      <w:r>
        <w:rPr>
          <w:rFonts w:hint="eastAsia"/>
          <w:color w:val="000000" w:themeColor="text1"/>
          <w14:textFill>
            <w14:solidFill>
              <w14:schemeClr w14:val="tx1"/>
            </w14:solidFill>
          </w14:textFill>
        </w:rPr>
        <w:t>要求合同分包的，提供分包意向协议和中小企业声明函（附件5），分包意向协议中中小企业合同金额应当达到交易公告载明的比例；如果供应商本身提供所有标的均由中小企业制造或承接，视同符合了资格条件，无需再向中小企业分包，无需提供分包意向协议。</w:t>
      </w:r>
    </w:p>
    <w:p w14:paraId="5308A89B">
      <w:pPr>
        <w:jc w:val="center"/>
        <w:rPr>
          <w:b/>
          <w:color w:val="000000" w:themeColor="text1"/>
          <w:sz w:val="32"/>
          <w:szCs w:val="32"/>
          <w:lang w:val="zh-CN"/>
          <w14:textFill>
            <w14:solidFill>
              <w14:schemeClr w14:val="tx1"/>
            </w14:solidFill>
          </w14:textFill>
        </w:rPr>
      </w:pPr>
      <w:r>
        <w:rPr>
          <w:rFonts w:hint="eastAsia"/>
          <w:b/>
          <w:color w:val="000000" w:themeColor="text1"/>
          <w:sz w:val="32"/>
          <w:szCs w:val="32"/>
          <w:lang w:val="zh-CN"/>
          <w14:textFill>
            <w14:solidFill>
              <w14:schemeClr w14:val="tx1"/>
            </w14:solidFill>
          </w14:textFill>
        </w:rPr>
        <w:t>联合协议</w:t>
      </w:r>
    </w:p>
    <w:p w14:paraId="50CE89E2">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（联合体所有成员名称）</w:t>
      </w:r>
      <w:r>
        <w:rPr>
          <w:rFonts w:hint="eastAsia"/>
          <w:color w:val="000000" w:themeColor="text1"/>
          <w14:textFill>
            <w14:solidFill>
              <w14:schemeClr w14:val="tx1"/>
            </w14:solidFill>
          </w14:textFill>
        </w:rPr>
        <w:t>自愿</w:t>
      </w:r>
      <w:r>
        <w:rPr>
          <w:rFonts w:hint="eastAsia"/>
          <w:color w:val="000000" w:themeColor="text1"/>
          <w:lang w:val="zh-CN"/>
          <w14:textFill>
            <w14:solidFill>
              <w14:schemeClr w14:val="tx1"/>
            </w14:solidFill>
          </w14:textFill>
        </w:rPr>
        <w:t>组成一个联合体，以一个供应商的身份</w:t>
      </w:r>
      <w:r>
        <w:rPr>
          <w:rFonts w:hint="eastAsia"/>
          <w:color w:val="000000" w:themeColor="text1"/>
          <w14:textFill>
            <w14:solidFill>
              <w14:schemeClr w14:val="tx1"/>
            </w14:solidFill>
          </w14:textFill>
        </w:rPr>
        <w:t>参加（项目名称）【招标编号：（采购编号）】</w:t>
      </w:r>
      <w:r>
        <w:rPr>
          <w:rFonts w:hint="eastAsia"/>
          <w:color w:val="000000" w:themeColor="text1"/>
          <w:lang w:val="zh-CN"/>
          <w14:textFill>
            <w14:solidFill>
              <w14:schemeClr w14:val="tx1"/>
            </w14:solidFill>
          </w14:textFill>
        </w:rPr>
        <w:t xml:space="preserve">投标。 </w:t>
      </w:r>
    </w:p>
    <w:p w14:paraId="0B95B500">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一、各方一致决定，</w:t>
      </w:r>
      <w:r>
        <w:rPr>
          <w:rFonts w:hint="eastAsia"/>
          <w:color w:val="000000" w:themeColor="text1"/>
          <w:u w:val="single"/>
          <w14:textFill>
            <w14:solidFill>
              <w14:schemeClr w14:val="tx1"/>
            </w14:solidFill>
          </w14:textFill>
        </w:rPr>
        <w:t>（某联合体成员名称）</w:t>
      </w:r>
      <w:r>
        <w:rPr>
          <w:rFonts w:hint="eastAsia"/>
          <w:color w:val="000000" w:themeColor="text1"/>
          <w14:textFill>
            <w14:solidFill>
              <w14:schemeClr w14:val="tx1"/>
            </w14:solidFill>
          </w14:textFill>
        </w:rPr>
        <w:t>为联合体</w:t>
      </w:r>
      <w:r>
        <w:rPr>
          <w:rFonts w:hint="eastAsia"/>
          <w:color w:val="000000" w:themeColor="text1"/>
          <w:lang w:val="zh-CN"/>
          <w14:textFill>
            <w14:solidFill>
              <w14:schemeClr w14:val="tx1"/>
            </w14:solidFill>
          </w14:textFill>
        </w:rPr>
        <w:t>牵头人</w:t>
      </w:r>
      <w:r>
        <w:rPr>
          <w:rFonts w:hint="eastAsia"/>
          <w:color w:val="000000" w:themeColor="text1"/>
          <w14:textFill>
            <w14:solidFill>
              <w14:schemeClr w14:val="tx1"/>
            </w14:solidFill>
          </w14:textFill>
        </w:rPr>
        <w:t>，代表所有联合体成员负责投标和合同实施阶段的主办、协调工作</w:t>
      </w:r>
      <w:r>
        <w:rPr>
          <w:rFonts w:hint="eastAsia"/>
          <w:color w:val="000000" w:themeColor="text1"/>
          <w:lang w:val="zh-CN"/>
          <w14:textFill>
            <w14:solidFill>
              <w14:schemeClr w14:val="tx1"/>
            </w14:solidFill>
          </w14:textFill>
        </w:rPr>
        <w:t>。</w:t>
      </w:r>
    </w:p>
    <w:p w14:paraId="65ECCF24">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w:t>
      </w:r>
      <w:r>
        <w:rPr>
          <w:rFonts w:hint="eastAsia"/>
          <w:color w:val="000000" w:themeColor="text1"/>
          <w14:textFill>
            <w14:solidFill>
              <w14:schemeClr w14:val="tx1"/>
            </w14:solidFill>
          </w14:textFill>
        </w:rPr>
        <w:t>所有联合体成员各方签署授权书，授权书载明的</w:t>
      </w:r>
      <w:r>
        <w:rPr>
          <w:rFonts w:hint="eastAsia"/>
          <w:color w:val="000000" w:themeColor="text1"/>
          <w:lang w:val="zh-CN"/>
          <w14:textFill>
            <w14:solidFill>
              <w14:schemeClr w14:val="tx1"/>
            </w14:solidFill>
          </w14:textFill>
        </w:rPr>
        <w:t>授权代表根据交易文件规定及投标内容而对采购人、采购机构所作的任何合法承诺，包括书面澄清及相应等均对联合投标各方产生约束力。</w:t>
      </w:r>
    </w:p>
    <w:p w14:paraId="11B81F57">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三、本次联合投标中，分工如下：</w:t>
      </w:r>
      <w:r>
        <w:rPr>
          <w:rFonts w:hint="eastAsia"/>
          <w:color w:val="000000" w:themeColor="text1"/>
          <w:u w:val="single"/>
          <w14:textFill>
            <w14:solidFill>
              <w14:schemeClr w14:val="tx1"/>
            </w14:solidFill>
          </w14:textFill>
        </w:rPr>
        <w:t>（联合体其中一方成员名称）</w:t>
      </w:r>
      <w:r>
        <w:rPr>
          <w:rFonts w:hint="eastAsia"/>
          <w:color w:val="000000" w:themeColor="text1"/>
          <w:lang w:val="zh-CN"/>
          <w14:textFill>
            <w14:solidFill>
              <w14:schemeClr w14:val="tx1"/>
            </w14:solidFill>
          </w14:textFill>
        </w:rPr>
        <w:t>承担的工作和义务为：</w:t>
      </w:r>
      <w:r>
        <w:rPr>
          <w:rFonts w:hint="eastAsia"/>
          <w:color w:val="000000" w:themeColor="text1"/>
          <w:u w:val="single"/>
          <w14:textFill>
            <w14:solidFill>
              <w14:schemeClr w14:val="tx1"/>
            </w14:solidFill>
          </w14:textFill>
        </w:rPr>
        <w:t xml:space="preserve">             </w:t>
      </w:r>
      <w:r>
        <w:rPr>
          <w:rFonts w:hint="eastAsia"/>
          <w:color w:val="000000" w:themeColor="text1"/>
          <w:lang w:val="zh-CN"/>
          <w14:textFill>
            <w14:solidFill>
              <w14:schemeClr w14:val="tx1"/>
            </w14:solidFill>
          </w14:textFill>
        </w:rPr>
        <w:t>；</w:t>
      </w:r>
      <w:r>
        <w:rPr>
          <w:rFonts w:hint="eastAsia"/>
          <w:color w:val="000000" w:themeColor="text1"/>
          <w:u w:val="single"/>
          <w14:textFill>
            <w14:solidFill>
              <w14:schemeClr w14:val="tx1"/>
            </w14:solidFill>
          </w14:textFill>
        </w:rPr>
        <w:t>（联合体其中一方成员名称）</w:t>
      </w:r>
      <w:r>
        <w:rPr>
          <w:rFonts w:hint="eastAsia"/>
          <w:color w:val="000000" w:themeColor="text1"/>
          <w:lang w:val="zh-CN"/>
          <w14:textFill>
            <w14:solidFill>
              <w14:schemeClr w14:val="tx1"/>
            </w14:solidFill>
          </w14:textFill>
        </w:rPr>
        <w:t>承担的工作和义务为：</w:t>
      </w:r>
      <w:r>
        <w:rPr>
          <w:rFonts w:hint="eastAsia"/>
          <w:color w:val="000000" w:themeColor="text1"/>
          <w:u w:val="single"/>
          <w14:textFill>
            <w14:solidFill>
              <w14:schemeClr w14:val="tx1"/>
            </w14:solidFill>
          </w14:textFill>
        </w:rPr>
        <w:t xml:space="preserve">            </w:t>
      </w:r>
      <w:r>
        <w:rPr>
          <w:rFonts w:hint="eastAsia"/>
          <w:color w:val="000000" w:themeColor="text1"/>
          <w:lang w:val="zh-CN"/>
          <w14:textFill>
            <w14:solidFill>
              <w14:schemeClr w14:val="tx1"/>
            </w14:solidFill>
          </w14:textFill>
        </w:rPr>
        <w:t xml:space="preserve"> ；……。</w:t>
      </w:r>
    </w:p>
    <w:p w14:paraId="27AD1ED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w:t>
      </w:r>
      <w:r>
        <w:rPr>
          <w:rFonts w:hint="eastAsia"/>
          <w:color w:val="000000" w:themeColor="text1"/>
          <w14:textFill>
            <w14:solidFill>
              <w14:schemeClr w14:val="tx1"/>
            </w14:solidFill>
          </w14:textFill>
        </w:rPr>
        <w:t>中小企业合同金额达到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%，小微企业合同金额达到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w:t>
      </w:r>
    </w:p>
    <w:p w14:paraId="5A5BE2DC">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五、如果中标，</w:t>
      </w:r>
      <w:r>
        <w:rPr>
          <w:rFonts w:hint="eastAsia"/>
          <w:color w:val="000000" w:themeColor="text1"/>
          <w14:textFill>
            <w14:solidFill>
              <w14:schemeClr w14:val="tx1"/>
            </w14:solidFill>
          </w14:textFill>
        </w:rPr>
        <w:t>联合体各成员方共同与采购人签订合同，并就采购合同约定的事项对采购人承担连带责任。</w:t>
      </w:r>
    </w:p>
    <w:p w14:paraId="4FA95A3C">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六、有关本次联合投标的其他事宜：</w:t>
      </w:r>
    </w:p>
    <w:p w14:paraId="3FC3A348">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1、联合体各方不再单独参加或者与其他供应商另外组成联合体参加同一合同项下的政府采购活动。</w:t>
      </w:r>
    </w:p>
    <w:p w14:paraId="384486D8">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2、联合体中有同类资质的各方按照联合体分工承担相同工作的，按照资质等级较低的供应商确定资质等级。</w:t>
      </w:r>
    </w:p>
    <w:p w14:paraId="4589667E">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3、本协议提交采购人、采购机构后，联合体各方不得以任何形式对上述内容进行修改或撤销。</w:t>
      </w:r>
    </w:p>
    <w:p w14:paraId="20E1DF58">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073AD1BF">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127C3F34">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761DF453">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分包意向协议</w:t>
      </w:r>
    </w:p>
    <w:p w14:paraId="5093EE6E">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color w:val="000000" w:themeColor="text1"/>
          <w14:textFill>
            <w14:solidFill>
              <w14:schemeClr w14:val="tx1"/>
            </w14:solidFill>
          </w14:textFill>
        </w:rPr>
        <w:t>）</w:t>
      </w:r>
    </w:p>
    <w:p w14:paraId="1CAFF592">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（供应商名称）</w:t>
      </w:r>
      <w:r>
        <w:rPr>
          <w:rFonts w:hint="eastAsia"/>
          <w:color w:val="000000" w:themeColor="text1"/>
          <w:lang w:val="zh-CN"/>
          <w14:textFill>
            <w14:solidFill>
              <w14:schemeClr w14:val="tx1"/>
            </w14:solidFill>
          </w14:textFill>
        </w:rPr>
        <w:t>若成为</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的中标供应商，将依法采取分包方式履行合同。</w:t>
      </w:r>
      <w:r>
        <w:rPr>
          <w:rFonts w:hint="eastAsia"/>
          <w:color w:val="000000" w:themeColor="text1"/>
          <w:u w:val="single"/>
          <w14:textFill>
            <w14:solidFill>
              <w14:schemeClr w14:val="tx1"/>
            </w14:solidFill>
          </w14:textFill>
        </w:rPr>
        <w:t>（供应商名称）</w:t>
      </w:r>
      <w:r>
        <w:rPr>
          <w:rFonts w:hint="eastAsia"/>
          <w:color w:val="000000" w:themeColor="text1"/>
          <w14:textFill>
            <w14:solidFill>
              <w14:schemeClr w14:val="tx1"/>
            </w14:solidFill>
          </w14:textFill>
        </w:rPr>
        <w:t>与</w:t>
      </w:r>
      <w:r>
        <w:rPr>
          <w:rFonts w:hint="eastAsia"/>
          <w:color w:val="000000" w:themeColor="text1"/>
          <w:u w:val="single"/>
          <w14:textFill>
            <w14:solidFill>
              <w14:schemeClr w14:val="tx1"/>
            </w14:solidFill>
          </w14:textFill>
        </w:rPr>
        <w:t>（所有分包供应商名称）</w:t>
      </w:r>
      <w:r>
        <w:rPr>
          <w:rFonts w:hint="eastAsia"/>
          <w:color w:val="000000" w:themeColor="text1"/>
          <w14:textFill>
            <w14:solidFill>
              <w14:schemeClr w14:val="tx1"/>
            </w14:solidFill>
          </w14:textFill>
        </w:rPr>
        <w:t>达成分包意向协议</w:t>
      </w:r>
      <w:r>
        <w:rPr>
          <w:rFonts w:hint="eastAsia"/>
          <w:color w:val="000000" w:themeColor="text1"/>
          <w:lang w:val="zh-CN"/>
          <w14:textFill>
            <w14:solidFill>
              <w14:schemeClr w14:val="tx1"/>
            </w14:solidFill>
          </w14:textFill>
        </w:rPr>
        <w:t xml:space="preserve">。 </w:t>
      </w:r>
    </w:p>
    <w:p w14:paraId="2D4234D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一、分包标的及数量</w:t>
      </w:r>
    </w:p>
    <w:p w14:paraId="13C76CB3">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（供应商名称）</w:t>
      </w:r>
      <w:r>
        <w:rPr>
          <w:rFonts w:hint="eastAsia"/>
          <w:color w:val="000000" w:themeColor="text1"/>
          <w:lang w:val="zh-CN"/>
          <w14:textFill>
            <w14:solidFill>
              <w14:schemeClr w14:val="tx1"/>
            </w14:solidFill>
          </w14:textFill>
        </w:rPr>
        <w:t>将</w:t>
      </w:r>
      <w:r>
        <w:rPr>
          <w:rFonts w:hint="eastAsia"/>
          <w:color w:val="000000" w:themeColor="text1"/>
          <w:u w:val="single"/>
          <w14:textFill>
            <w14:solidFill>
              <w14:schemeClr w14:val="tx1"/>
            </w14:solidFill>
          </w14:textFill>
        </w:rPr>
        <w:t xml:space="preserve">   XX工作内容   </w:t>
      </w:r>
      <w:r>
        <w:rPr>
          <w:rFonts w:hint="eastAsia"/>
          <w:color w:val="000000" w:themeColor="text1"/>
          <w14:textFill>
            <w14:solidFill>
              <w14:schemeClr w14:val="tx1"/>
            </w14:solidFill>
          </w14:textFill>
        </w:rPr>
        <w:t>分包给</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具备承</w:t>
      </w:r>
      <w:r>
        <w:rPr>
          <w:rFonts w:hint="eastAsia"/>
          <w:color w:val="000000" w:themeColor="text1"/>
          <w14:textFill>
            <w14:solidFill>
              <w14:schemeClr w14:val="tx1"/>
            </w14:solidFill>
          </w14:textFill>
        </w:rPr>
        <w:t>担</w:t>
      </w:r>
      <w:r>
        <w:rPr>
          <w:rFonts w:hint="eastAsia"/>
          <w:color w:val="000000" w:themeColor="text1"/>
          <w:u w:val="single"/>
          <w:lang w:val="zh-CN"/>
          <w14:textFill>
            <w14:solidFill>
              <w14:schemeClr w14:val="tx1"/>
            </w14:solidFill>
          </w14:textFill>
        </w:rPr>
        <w:t>XX工作内容</w:t>
      </w:r>
      <w:r>
        <w:rPr>
          <w:rFonts w:hint="eastAsia"/>
          <w:color w:val="000000" w:themeColor="text1"/>
          <w:lang w:val="zh-CN"/>
          <w14:textFill>
            <w14:solidFill>
              <w14:schemeClr w14:val="tx1"/>
            </w14:solidFill>
          </w14:textFill>
        </w:rPr>
        <w:t>相应资质条件且不得再次分包；</w:t>
      </w:r>
    </w:p>
    <w:p w14:paraId="204EE837">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二、分包工作履行期限、地点、方式</w:t>
      </w:r>
    </w:p>
    <w:p w14:paraId="758E7F06">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4725094A">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三、质量</w:t>
      </w:r>
    </w:p>
    <w:p w14:paraId="11C64E4E">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5F16BED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四、价款或者报酬</w:t>
      </w:r>
    </w:p>
    <w:p w14:paraId="4735A2EC">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64B38A4F">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五、违约责任</w:t>
      </w:r>
    </w:p>
    <w:p w14:paraId="521DB61A">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66E3171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六、争议解决的办法</w:t>
      </w:r>
    </w:p>
    <w:p w14:paraId="4A87594B">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705746D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七、其他</w:t>
      </w:r>
    </w:p>
    <w:p w14:paraId="55D64249">
      <w:pP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中小企业合同金额达到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%，小微企业合同金额达到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 xml:space="preserve">  。                                           供应商名称(电子签名)：</w:t>
      </w:r>
    </w:p>
    <w:p w14:paraId="16B3738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分包供应商名称：</w:t>
      </w:r>
    </w:p>
    <w:p w14:paraId="3338C1E4">
      <w:pPr>
        <w:jc w:val="righ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日期：  年  月   日</w:t>
      </w:r>
    </w:p>
    <w:p w14:paraId="5F41BD6A">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三、本项目的特定资格要求</w:t>
      </w:r>
    </w:p>
    <w:p w14:paraId="3BD5E780">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（根据交易公告本项目的特定资格要求提供相应的材料；未要求的，无需提供）</w:t>
      </w:r>
    </w:p>
    <w:p w14:paraId="6AC432AE">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AA359A6">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商务技术文件部分</w:t>
      </w:r>
    </w:p>
    <w:p w14:paraId="29A71F94">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目录</w:t>
      </w:r>
    </w:p>
    <w:p w14:paraId="218DC60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（1）投标函……………………………………………………………………（页码）</w:t>
      </w:r>
    </w:p>
    <w:p w14:paraId="30F17E7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（2）授权委托书或法定代表人（单位负责人、自然人本人）身份证明……（页码）</w:t>
      </w:r>
    </w:p>
    <w:p w14:paraId="28B0F4D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（3）联合协议……………………………………………………………………（页码）</w:t>
      </w:r>
    </w:p>
    <w:p w14:paraId="77BBC08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（4）分包意向协议………………………………………………………………（页码）</w:t>
      </w:r>
    </w:p>
    <w:p w14:paraId="3123BBC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（5）符合性审查资料…………………………………………………………（页码）</w:t>
      </w:r>
    </w:p>
    <w:p w14:paraId="5086E5C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评标标准相应的商务技术资料……………………………………………（页码）（7）投标标的清单………………………………………………………………（页码）（8）商务技术偏离表……………………………………………………………（页码）</w:t>
      </w:r>
    </w:p>
    <w:p w14:paraId="4F49EA5D">
      <w:pPr>
        <w:spacing w:line="360" w:lineRule="auto"/>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9</w:t>
      </w:r>
      <w:r>
        <w:rPr>
          <w:rFonts w:hint="eastAsia"/>
          <w:color w:val="000000" w:themeColor="text1"/>
          <w:lang w:val="zh-CN"/>
          <w14:textFill>
            <w14:solidFill>
              <w14:schemeClr w14:val="tx1"/>
            </w14:solidFill>
          </w14:textFill>
        </w:rPr>
        <w:t>）政府采购供应商廉洁自律承诺书</w:t>
      </w:r>
      <w:r>
        <w:rPr>
          <w:rFonts w:hint="eastAsia"/>
          <w:color w:val="000000" w:themeColor="text1"/>
          <w14:textFill>
            <w14:solidFill>
              <w14:schemeClr w14:val="tx1"/>
            </w14:solidFill>
          </w14:textFill>
        </w:rPr>
        <w:t>…………………………………………（页码）</w:t>
      </w:r>
    </w:p>
    <w:p w14:paraId="7B1A7F6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7C15DBCC">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一、投标函</w:t>
      </w:r>
    </w:p>
    <w:p w14:paraId="49ACD56A">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p>
    <w:p w14:paraId="3F3759A4">
      <w:pPr>
        <w:rPr>
          <w:color w:val="000000" w:themeColor="text1"/>
          <w14:textFill>
            <w14:solidFill>
              <w14:schemeClr w14:val="tx1"/>
            </w14:solidFill>
          </w14:textFill>
        </w:rPr>
      </w:pPr>
      <w:r>
        <w:rPr>
          <w:rFonts w:hint="eastAsia"/>
          <w:color w:val="000000" w:themeColor="text1"/>
          <w14:textFill>
            <w14:solidFill>
              <w14:schemeClr w14:val="tx1"/>
            </w14:solidFill>
          </w14:textFill>
        </w:rPr>
        <w:t>我方参加你方组织的（项目名称）【招标编号：（采购编号）】招标的有关活动，并对此项目进行投标。为此：</w:t>
      </w:r>
    </w:p>
    <w:p w14:paraId="6A2FD34C">
      <w:pPr>
        <w:rPr>
          <w:color w:val="000000" w:themeColor="text1"/>
          <w14:textFill>
            <w14:solidFill>
              <w14:schemeClr w14:val="tx1"/>
            </w14:solidFill>
          </w14:textFill>
        </w:rPr>
      </w:pPr>
      <w:r>
        <w:rPr>
          <w:rFonts w:hint="eastAsia"/>
          <w:color w:val="000000" w:themeColor="text1"/>
          <w14:textFill>
            <w14:solidFill>
              <w14:schemeClr w14:val="tx1"/>
            </w14:solidFill>
          </w14:textFill>
        </w:rPr>
        <w:t>1、我方承诺投标有效期从提交响应文件的截止之日起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天（不少于90天），本响应文件在投标有效期满之前均具有约束力。</w:t>
      </w:r>
    </w:p>
    <w:p w14:paraId="2252771C">
      <w:pPr>
        <w:rPr>
          <w:color w:val="000000" w:themeColor="text1"/>
          <w14:textFill>
            <w14:solidFill>
              <w14:schemeClr w14:val="tx1"/>
            </w14:solidFill>
          </w14:textFill>
        </w:rPr>
      </w:pPr>
      <w:r>
        <w:rPr>
          <w:rFonts w:hint="eastAsia"/>
          <w:color w:val="000000" w:themeColor="text1"/>
          <w14:textFill>
            <w14:solidFill>
              <w14:schemeClr w14:val="tx1"/>
            </w14:solidFill>
          </w14:textFill>
        </w:rPr>
        <w:t>2、我方的响应文件包括以下内容：</w:t>
      </w:r>
    </w:p>
    <w:p w14:paraId="0C5918B2">
      <w:pPr>
        <w:rPr>
          <w:color w:val="000000" w:themeColor="text1"/>
          <w14:textFill>
            <w14:solidFill>
              <w14:schemeClr w14:val="tx1"/>
            </w14:solidFill>
          </w14:textFill>
        </w:rPr>
      </w:pPr>
      <w:r>
        <w:rPr>
          <w:rFonts w:hint="eastAsia"/>
          <w:color w:val="000000" w:themeColor="text1"/>
          <w14:textFill>
            <w14:solidFill>
              <w14:schemeClr w14:val="tx1"/>
            </w14:solidFill>
          </w14:textFill>
        </w:rPr>
        <w:t>2.1资格文件：</w:t>
      </w:r>
    </w:p>
    <w:p w14:paraId="27AAAA1E">
      <w:pPr>
        <w:rPr>
          <w:color w:val="000000" w:themeColor="text1"/>
          <w14:textFill>
            <w14:solidFill>
              <w14:schemeClr w14:val="tx1"/>
            </w14:solidFill>
          </w14:textFill>
        </w:rPr>
      </w:pPr>
      <w:r>
        <w:rPr>
          <w:rFonts w:hint="eastAsia"/>
          <w:color w:val="000000" w:themeColor="text1"/>
          <w14:textFill>
            <w14:solidFill>
              <w14:schemeClr w14:val="tx1"/>
            </w14:solidFill>
          </w14:textFill>
        </w:rPr>
        <w:t>2.1.1承诺函；</w:t>
      </w:r>
    </w:p>
    <w:p w14:paraId="190C7E2C">
      <w:pPr>
        <w:rPr>
          <w:color w:val="000000" w:themeColor="text1"/>
          <w14:textFill>
            <w14:solidFill>
              <w14:schemeClr w14:val="tx1"/>
            </w14:solidFill>
          </w14:textFill>
        </w:rPr>
      </w:pPr>
      <w:r>
        <w:rPr>
          <w:rFonts w:hint="eastAsia"/>
          <w:color w:val="000000" w:themeColor="text1"/>
          <w14:textFill>
            <w14:solidFill>
              <w14:schemeClr w14:val="tx1"/>
            </w14:solidFill>
          </w14:textFill>
        </w:rPr>
        <w:t>2.1.2落实政府采购政策需满足的资格要求（如果有）；</w:t>
      </w:r>
    </w:p>
    <w:p w14:paraId="0DBE2B4B">
      <w:pPr>
        <w:rPr>
          <w:color w:val="000000" w:themeColor="text1"/>
          <w14:textFill>
            <w14:solidFill>
              <w14:schemeClr w14:val="tx1"/>
            </w14:solidFill>
          </w14:textFill>
        </w:rPr>
      </w:pPr>
      <w:r>
        <w:rPr>
          <w:rFonts w:hint="eastAsia"/>
          <w:color w:val="000000" w:themeColor="text1"/>
          <w14:textFill>
            <w14:solidFill>
              <w14:schemeClr w14:val="tx1"/>
            </w14:solidFill>
          </w14:textFill>
        </w:rPr>
        <w:t>2.1.3本项目的特定资格要求（如果有）。</w:t>
      </w:r>
    </w:p>
    <w:p w14:paraId="1055E4E9">
      <w:pP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商务技术</w:t>
      </w:r>
      <w:r>
        <w:rPr>
          <w:rFonts w:hint="eastAsia"/>
          <w:color w:val="000000" w:themeColor="text1"/>
          <w:lang w:val="zh-CN"/>
          <w14:textFill>
            <w14:solidFill>
              <w14:schemeClr w14:val="tx1"/>
            </w14:solidFill>
          </w14:textFill>
        </w:rPr>
        <w:t>文件：</w:t>
      </w:r>
    </w:p>
    <w:p w14:paraId="7FF79073">
      <w:pPr>
        <w:rPr>
          <w:color w:val="000000" w:themeColor="text1"/>
          <w14:textFill>
            <w14:solidFill>
              <w14:schemeClr w14:val="tx1"/>
            </w14:solidFill>
          </w14:textFill>
        </w:rPr>
      </w:pPr>
      <w:r>
        <w:rPr>
          <w:rFonts w:hint="eastAsia"/>
          <w:color w:val="000000" w:themeColor="text1"/>
          <w14:textFill>
            <w14:solidFill>
              <w14:schemeClr w14:val="tx1"/>
            </w14:solidFill>
          </w14:textFill>
        </w:rPr>
        <w:t>2.2.1投标函；</w:t>
      </w:r>
      <w:r>
        <w:rPr>
          <w:rFonts w:hint="eastAsia"/>
          <w:color w:val="000000" w:themeColor="text1"/>
          <w:lang w:val="zh-CN"/>
          <w14:textFill>
            <w14:solidFill>
              <w14:schemeClr w14:val="tx1"/>
            </w14:solidFill>
          </w14:textFill>
        </w:rPr>
        <w:t xml:space="preserve"> </w:t>
      </w:r>
    </w:p>
    <w:p w14:paraId="22DE7C39">
      <w:pPr>
        <w:rPr>
          <w:color w:val="000000" w:themeColor="text1"/>
          <w14:textFill>
            <w14:solidFill>
              <w14:schemeClr w14:val="tx1"/>
            </w14:solidFill>
          </w14:textFill>
        </w:rPr>
      </w:pPr>
      <w:r>
        <w:rPr>
          <w:rFonts w:hint="eastAsia"/>
          <w:color w:val="000000" w:themeColor="text1"/>
          <w14:textFill>
            <w14:solidFill>
              <w14:schemeClr w14:val="tx1"/>
            </w14:solidFill>
          </w14:textFill>
        </w:rPr>
        <w:t>2.2.2授权委托书或法定代表人（单位负责人）身份证明；</w:t>
      </w:r>
    </w:p>
    <w:p w14:paraId="3A3676F8">
      <w:pPr>
        <w:rPr>
          <w:color w:val="000000" w:themeColor="text1"/>
          <w14:textFill>
            <w14:solidFill>
              <w14:schemeClr w14:val="tx1"/>
            </w14:solidFill>
          </w14:textFill>
        </w:rPr>
      </w:pPr>
      <w:r>
        <w:rPr>
          <w:rFonts w:hint="eastAsia"/>
          <w:color w:val="000000" w:themeColor="text1"/>
          <w14:textFill>
            <w14:solidFill>
              <w14:schemeClr w14:val="tx1"/>
            </w14:solidFill>
          </w14:textFill>
        </w:rPr>
        <w:t>2.2.3联合协议（如果有）；</w:t>
      </w:r>
    </w:p>
    <w:p w14:paraId="5D37E00F">
      <w:pPr>
        <w:rPr>
          <w:color w:val="000000" w:themeColor="text1"/>
          <w14:textFill>
            <w14:solidFill>
              <w14:schemeClr w14:val="tx1"/>
            </w14:solidFill>
          </w14:textFill>
        </w:rPr>
      </w:pPr>
      <w:r>
        <w:rPr>
          <w:rFonts w:hint="eastAsia"/>
          <w:color w:val="000000" w:themeColor="text1"/>
          <w14:textFill>
            <w14:solidFill>
              <w14:schemeClr w14:val="tx1"/>
            </w14:solidFill>
          </w14:textFill>
        </w:rPr>
        <w:t>2.2.4分包意向协议（如果有）；</w:t>
      </w:r>
    </w:p>
    <w:p w14:paraId="7042CC24">
      <w:pPr>
        <w:rPr>
          <w:color w:val="000000" w:themeColor="text1"/>
          <w14:textFill>
            <w14:solidFill>
              <w14:schemeClr w14:val="tx1"/>
            </w14:solidFill>
          </w14:textFill>
        </w:rPr>
      </w:pPr>
      <w:r>
        <w:rPr>
          <w:rFonts w:hint="eastAsia"/>
          <w:color w:val="000000" w:themeColor="text1"/>
          <w14:textFill>
            <w14:solidFill>
              <w14:schemeClr w14:val="tx1"/>
            </w14:solidFill>
          </w14:textFill>
        </w:rPr>
        <w:t>2.2.5符合性审查资料；</w:t>
      </w:r>
    </w:p>
    <w:p w14:paraId="63372B6C">
      <w:pPr>
        <w:rPr>
          <w:color w:val="000000" w:themeColor="text1"/>
          <w14:textFill>
            <w14:solidFill>
              <w14:schemeClr w14:val="tx1"/>
            </w14:solidFill>
          </w14:textFill>
        </w:rPr>
      </w:pPr>
      <w:r>
        <w:rPr>
          <w:rFonts w:hint="eastAsia"/>
          <w:color w:val="000000" w:themeColor="text1"/>
          <w14:textFill>
            <w14:solidFill>
              <w14:schemeClr w14:val="tx1"/>
            </w14:solidFill>
          </w14:textFill>
        </w:rPr>
        <w:t>2.2.6评标标准相应的商务技术资料；</w:t>
      </w:r>
    </w:p>
    <w:p w14:paraId="08136871">
      <w:pPr>
        <w:rPr>
          <w:color w:val="000000" w:themeColor="text1"/>
          <w14:textFill>
            <w14:solidFill>
              <w14:schemeClr w14:val="tx1"/>
            </w14:solidFill>
          </w14:textFill>
        </w:rPr>
      </w:pPr>
      <w:r>
        <w:rPr>
          <w:rFonts w:hint="eastAsia"/>
          <w:color w:val="000000" w:themeColor="text1"/>
          <w14:textFill>
            <w14:solidFill>
              <w14:schemeClr w14:val="tx1"/>
            </w14:solidFill>
          </w14:textFill>
        </w:rPr>
        <w:t>2.2.7投标标的清单；</w:t>
      </w:r>
    </w:p>
    <w:p w14:paraId="0ADBBED1">
      <w:pPr>
        <w:rPr>
          <w:color w:val="000000" w:themeColor="text1"/>
          <w14:textFill>
            <w14:solidFill>
              <w14:schemeClr w14:val="tx1"/>
            </w14:solidFill>
          </w14:textFill>
        </w:rPr>
      </w:pPr>
      <w:r>
        <w:rPr>
          <w:rFonts w:hint="eastAsia"/>
          <w:color w:val="000000" w:themeColor="text1"/>
          <w14:textFill>
            <w14:solidFill>
              <w14:schemeClr w14:val="tx1"/>
            </w14:solidFill>
          </w14:textFill>
        </w:rPr>
        <w:t>2.2.8商务技术偏离表；</w:t>
      </w:r>
    </w:p>
    <w:p w14:paraId="0AB969F6">
      <w:pP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9</w:t>
      </w:r>
      <w:r>
        <w:rPr>
          <w:rFonts w:hint="eastAsia"/>
          <w:color w:val="000000" w:themeColor="text1"/>
          <w:lang w:val="zh-CN"/>
          <w14:textFill>
            <w14:solidFill>
              <w14:schemeClr w14:val="tx1"/>
            </w14:solidFill>
          </w14:textFill>
        </w:rPr>
        <w:t>政府采购供应商廉洁自律承诺书；</w:t>
      </w:r>
    </w:p>
    <w:p w14:paraId="3B5F6AAB">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3报价文件</w:t>
      </w:r>
    </w:p>
    <w:p w14:paraId="3626ACE4">
      <w:pPr>
        <w:rPr>
          <w:color w:val="000000" w:themeColor="text1"/>
          <w14:textFill>
            <w14:solidFill>
              <w14:schemeClr w14:val="tx1"/>
            </w14:solidFill>
          </w14:textFill>
        </w:rPr>
      </w:pPr>
      <w:r>
        <w:rPr>
          <w:rFonts w:hint="eastAsia"/>
          <w:color w:val="000000" w:themeColor="text1"/>
          <w14:textFill>
            <w14:solidFill>
              <w14:schemeClr w14:val="tx1"/>
            </w14:solidFill>
          </w14:textFill>
        </w:rPr>
        <w:t>2.3.1开标一览表（报价表）；</w:t>
      </w:r>
    </w:p>
    <w:p w14:paraId="6F553F7A">
      <w:pPr>
        <w:rPr>
          <w:color w:val="000000" w:themeColor="text1"/>
          <w14:textFill>
            <w14:solidFill>
              <w14:schemeClr w14:val="tx1"/>
            </w14:solidFill>
          </w14:textFill>
        </w:rPr>
      </w:pPr>
      <w:r>
        <w:rPr>
          <w:rFonts w:hint="eastAsia"/>
          <w:color w:val="000000" w:themeColor="text1"/>
          <w14:textFill>
            <w14:solidFill>
              <w14:schemeClr w14:val="tx1"/>
            </w14:solidFill>
          </w14:textFill>
        </w:rPr>
        <w:t>2.3.2中小企业声明函（如果有）。</w:t>
      </w:r>
    </w:p>
    <w:p w14:paraId="51092710">
      <w:pPr>
        <w:rPr>
          <w:color w:val="000000" w:themeColor="text1"/>
          <w14:textFill>
            <w14:solidFill>
              <w14:schemeClr w14:val="tx1"/>
            </w14:solidFill>
          </w14:textFill>
        </w:rPr>
      </w:pPr>
      <w:r>
        <w:rPr>
          <w:rFonts w:hint="eastAsia"/>
          <w:color w:val="000000" w:themeColor="text1"/>
          <w14:textFill>
            <w14:solidFill>
              <w14:schemeClr w14:val="tx1"/>
            </w14:solidFill>
          </w14:textFill>
        </w:rPr>
        <w:t>3、我方承诺除商务技术偏离表列出的偏离外，我方响应交易文件的全部要求。</w:t>
      </w:r>
    </w:p>
    <w:p w14:paraId="15C2251C">
      <w:pPr>
        <w:rPr>
          <w:color w:val="000000" w:themeColor="text1"/>
          <w14:textFill>
            <w14:solidFill>
              <w14:schemeClr w14:val="tx1"/>
            </w14:solidFill>
          </w14:textFill>
        </w:rPr>
      </w:pPr>
      <w:r>
        <w:rPr>
          <w:rFonts w:hint="eastAsia"/>
          <w:color w:val="000000" w:themeColor="text1"/>
          <w14:textFill>
            <w14:solidFill>
              <w14:schemeClr w14:val="tx1"/>
            </w14:solidFill>
          </w14:textFill>
        </w:rPr>
        <w:t>4、如我方中标，我方承诺：</w:t>
      </w:r>
    </w:p>
    <w:p w14:paraId="4430934D">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4.1在收到中标通知书后，在中标通知书规定的期限内与你方签订合同； </w:t>
      </w:r>
    </w:p>
    <w:p w14:paraId="2C8FE447">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4.2在签订合同时不向你方提出附加条件； </w:t>
      </w:r>
    </w:p>
    <w:p w14:paraId="25F803D5">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4.3按照交易文件要求提交履约保证金； </w:t>
      </w:r>
    </w:p>
    <w:p w14:paraId="5D96D0B2">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4.4在合同约定的期限内完成合同规定的全部义务。 </w:t>
      </w:r>
    </w:p>
    <w:p w14:paraId="325F7AC2">
      <w:pPr>
        <w:rPr>
          <w:color w:val="000000" w:themeColor="text1"/>
          <w14:textFill>
            <w14:solidFill>
              <w14:schemeClr w14:val="tx1"/>
            </w14:solidFill>
          </w14:textFill>
        </w:rPr>
      </w:pPr>
      <w:r>
        <w:rPr>
          <w:rFonts w:hint="eastAsia"/>
          <w:color w:val="000000" w:themeColor="text1"/>
          <w14:textFill>
            <w14:solidFill>
              <w14:schemeClr w14:val="tx1"/>
            </w14:solidFill>
          </w14:textFill>
        </w:rPr>
        <w:t>5、其他补充说明: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4EF60FC1">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供应商名称（电子签名）：                          </w:t>
      </w:r>
    </w:p>
    <w:p w14:paraId="06E22E68">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日期：  年   月   日</w:t>
      </w:r>
    </w:p>
    <w:p w14:paraId="3FD70EB7">
      <w:pPr>
        <w:rPr>
          <w:color w:val="000000" w:themeColor="text1"/>
          <w:u w:val="single"/>
          <w14:textFill>
            <w14:solidFill>
              <w14:schemeClr w14:val="tx1"/>
            </w14:solidFill>
          </w14:textFill>
        </w:rPr>
      </w:pPr>
    </w:p>
    <w:p w14:paraId="013F5A28">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2FF60F65">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37B3C3B">
      <w:pPr>
        <w:pStyle w:val="3"/>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二、授权委托书或法定代表人（单位负责人、自然人本人）身份证明</w:t>
      </w:r>
    </w:p>
    <w:p w14:paraId="3A08FCFA">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532DF497">
      <w:pPr>
        <w:snapToGrid w:val="0"/>
        <w:spacing w:line="360" w:lineRule="auto"/>
        <w:jc w:val="center"/>
        <w:rPr>
          <w:color w:val="000000" w:themeColor="text1"/>
          <w14:textFill>
            <w14:solidFill>
              <w14:schemeClr w14:val="tx1"/>
            </w14:solidFill>
          </w14:textFill>
        </w:rPr>
      </w:pPr>
      <w:r>
        <w:rPr>
          <w:rFonts w:hint="eastAsia"/>
          <w:b/>
          <w:color w:val="000000" w:themeColor="text1"/>
          <w:sz w:val="32"/>
          <w:szCs w:val="32"/>
          <w:lang w:val="zh-CN"/>
          <w14:textFill>
            <w14:solidFill>
              <w14:schemeClr w14:val="tx1"/>
            </w14:solidFill>
          </w14:textFill>
        </w:rPr>
        <w:t>授权委托书（适用于非联合体投标）</w:t>
      </w:r>
    </w:p>
    <w:p w14:paraId="75F819CB">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14:paraId="2C1343C4">
      <w:pPr>
        <w:rPr>
          <w:color w:val="000000" w:themeColor="text1"/>
          <w14:textFill>
            <w14:solidFill>
              <w14:schemeClr w14:val="tx1"/>
            </w14:solidFill>
          </w14:textFill>
        </w:rPr>
      </w:pPr>
      <w:r>
        <w:rPr>
          <w:rFonts w:hint="eastAsia"/>
          <w:color w:val="000000" w:themeColor="text1"/>
          <w14:textFill>
            <w14:solidFill>
              <w14:schemeClr w14:val="tx1"/>
            </w14:solidFill>
          </w14:textFill>
        </w:rPr>
        <w:t>现</w:t>
      </w:r>
      <w:r>
        <w:rPr>
          <w:rFonts w:hint="eastAsia"/>
          <w:color w:val="000000" w:themeColor="text1"/>
          <w:lang w:val="zh-CN"/>
          <w14:textFill>
            <w14:solidFill>
              <w14:schemeClr w14:val="tx1"/>
            </w14:solidFill>
          </w14:textFill>
        </w:rPr>
        <w:t>委托</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（姓名）为我方代理人（身份证号码：</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，手机：</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），以我方名义处理</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政府采购投标的一切事项，其法律后果由我方承担。</w:t>
      </w:r>
    </w:p>
    <w:p w14:paraId="7D2F74CD">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委托期限</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自</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日起至</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日止。</w:t>
      </w:r>
    </w:p>
    <w:p w14:paraId="2595FFCC">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特此告知。</w:t>
      </w:r>
    </w:p>
    <w:p w14:paraId="088A71B8">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供应商名称(电子签名)：</w:t>
      </w:r>
    </w:p>
    <w:p w14:paraId="7E084205">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签发日期：  年  月   日</w:t>
      </w:r>
    </w:p>
    <w:p w14:paraId="573F6192">
      <w:pPr>
        <w:jc w:val="center"/>
        <w:rPr>
          <w:b/>
          <w:color w:val="000000" w:themeColor="text1"/>
          <w:sz w:val="32"/>
          <w:szCs w:val="32"/>
          <w14:textFill>
            <w14:solidFill>
              <w14:schemeClr w14:val="tx1"/>
            </w14:solidFill>
          </w14:textFill>
        </w:rPr>
      </w:pPr>
      <w:r>
        <w:rPr>
          <w:rFonts w:hint="eastAsia"/>
          <w:b/>
          <w:color w:val="000000" w:themeColor="text1"/>
          <w:sz w:val="32"/>
          <w:szCs w:val="32"/>
          <w:lang w:val="zh-CN"/>
          <w14:textFill>
            <w14:solidFill>
              <w14:schemeClr w14:val="tx1"/>
            </w14:solidFill>
          </w14:textFill>
        </w:rPr>
        <w:t>授权委托书（适用于联合体投标）</w:t>
      </w:r>
    </w:p>
    <w:p w14:paraId="75428E82">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14:paraId="55DB02B3">
      <w:pPr>
        <w:rPr>
          <w:color w:val="000000" w:themeColor="text1"/>
          <w14:textFill>
            <w14:solidFill>
              <w14:schemeClr w14:val="tx1"/>
            </w14:solidFill>
          </w14:textFill>
        </w:rPr>
      </w:pPr>
      <w:r>
        <w:rPr>
          <w:rFonts w:hint="eastAsia"/>
          <w:color w:val="000000" w:themeColor="text1"/>
          <w14:textFill>
            <w14:solidFill>
              <w14:schemeClr w14:val="tx1"/>
            </w14:solidFill>
          </w14:textFill>
        </w:rPr>
        <w:t>现</w:t>
      </w:r>
      <w:r>
        <w:rPr>
          <w:rFonts w:hint="eastAsia"/>
          <w:color w:val="000000" w:themeColor="text1"/>
          <w:lang w:val="zh-CN"/>
          <w14:textFill>
            <w14:solidFill>
              <w14:schemeClr w14:val="tx1"/>
            </w14:solidFill>
          </w14:textFill>
        </w:rPr>
        <w:t>委托</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（姓名）为我方代理人（身份证号码：</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，手机：</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），以我方名义处理</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政府采购投标的一切事项，其法律后果由我方承担。</w:t>
      </w:r>
    </w:p>
    <w:p w14:paraId="3E11AB6F">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委托期限</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自</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日起至</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日止。</w:t>
      </w:r>
    </w:p>
    <w:p w14:paraId="41BFB34E">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特此告知。</w:t>
      </w:r>
    </w:p>
    <w:p w14:paraId="4A20F5BC">
      <w:pPr>
        <w:rPr>
          <w:color w:val="000000" w:themeColor="text1"/>
          <w14:textFill>
            <w14:solidFill>
              <w14:schemeClr w14:val="tx1"/>
            </w14:solidFill>
          </w14:textFill>
        </w:rPr>
      </w:pPr>
    </w:p>
    <w:p w14:paraId="430C96A6">
      <w:pPr>
        <w:snapToGrid w:val="0"/>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6FE78065">
      <w:pPr>
        <w:snapToGrid w:val="0"/>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690E5CBF">
      <w:pPr>
        <w:snapToGrid w:val="0"/>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3825946B">
      <w:pPr>
        <w:spacing w:line="276" w:lineRule="auto"/>
        <w:rPr>
          <w:b/>
          <w:color w:val="000000" w:themeColor="text1"/>
          <w:sz w:val="32"/>
          <w:szCs w:val="32"/>
          <w:lang w:val="zh-CN"/>
          <w14:textFill>
            <w14:solidFill>
              <w14:schemeClr w14:val="tx1"/>
            </w14:solidFill>
          </w14:textFill>
        </w:rPr>
      </w:pPr>
      <w:r>
        <w:rPr>
          <w:rFonts w:hint="eastAsia"/>
          <w:b/>
          <w:color w:val="000000" w:themeColor="text1"/>
          <w:sz w:val="32"/>
          <w:szCs w:val="32"/>
          <w:lang w:val="zh-CN"/>
          <w14:textFill>
            <w14:solidFill>
              <w14:schemeClr w14:val="tx1"/>
            </w14:solidFill>
          </w14:textFill>
        </w:rPr>
        <w:br w:type="page"/>
      </w:r>
    </w:p>
    <w:p w14:paraId="7F7BDC63">
      <w:pPr>
        <w:autoSpaceDE w:val="0"/>
        <w:autoSpaceDN w:val="0"/>
        <w:spacing w:line="360" w:lineRule="auto"/>
        <w:jc w:val="center"/>
        <w:rPr>
          <w:b/>
          <w:color w:val="000000" w:themeColor="text1"/>
          <w14:textFill>
            <w14:solidFill>
              <w14:schemeClr w14:val="tx1"/>
            </w14:solidFill>
          </w14:textFill>
        </w:rPr>
      </w:pPr>
      <w:r>
        <w:rPr>
          <w:rFonts w:hint="eastAsia"/>
          <w:b/>
          <w:color w:val="000000" w:themeColor="text1"/>
          <w:sz w:val="32"/>
          <w:szCs w:val="32"/>
          <w:lang w:val="zh-CN"/>
          <w14:textFill>
            <w14:solidFill>
              <w14:schemeClr w14:val="tx1"/>
            </w14:solidFill>
          </w14:textFill>
        </w:rPr>
        <w:t>法定代表人、单位负责人或自然人本人</w:t>
      </w:r>
      <w:r>
        <w:rPr>
          <w:rFonts w:hint="eastAsia"/>
          <w:b/>
          <w:color w:val="000000" w:themeColor="text1"/>
          <w:sz w:val="30"/>
          <w:szCs w:val="30"/>
          <w14:textFill>
            <w14:solidFill>
              <w14:schemeClr w14:val="tx1"/>
            </w14:solidFill>
          </w14:textFill>
        </w:rPr>
        <w:t>的身份证明（适用于法定代表人、单位负责人或者自然人本人代表供应商参加投标）</w:t>
      </w:r>
    </w:p>
    <w:p w14:paraId="4295945A">
      <w:pPr>
        <w:pStyle w:val="76"/>
        <w:spacing w:line="360" w:lineRule="auto"/>
        <w:rPr>
          <w:rFonts w:hAnsi="宋体" w:eastAsia="宋体" w:cs="宋体"/>
          <w:bCs/>
          <w:color w:val="000000" w:themeColor="text1"/>
          <w:sz w:val="24"/>
          <w14:textFill>
            <w14:solidFill>
              <w14:schemeClr w14:val="tx1"/>
            </w14:solidFill>
          </w14:textFill>
        </w:rPr>
      </w:pPr>
      <w:r>
        <w:rPr>
          <w:rFonts w:hint="eastAsia" w:hAnsi="宋体" w:eastAsia="宋体" w:cs="宋体"/>
          <w:bCs/>
          <w:color w:val="000000" w:themeColor="text1"/>
          <w:sz w:val="24"/>
          <w14:textFill>
            <w14:solidFill>
              <w14:schemeClr w14:val="tx1"/>
            </w14:solidFill>
          </w14:textFill>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05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ABC127">
            <w:pPr>
              <w:pStyle w:val="76"/>
              <w:adjustRightInd w:val="0"/>
              <w:spacing w:line="360" w:lineRule="auto"/>
              <w:rPr>
                <w:rFonts w:hAnsi="宋体" w:eastAsia="宋体" w:cs="宋体"/>
                <w:bCs/>
                <w:color w:val="000000" w:themeColor="text1"/>
                <w:sz w:val="24"/>
                <w14:textFill>
                  <w14:solidFill>
                    <w14:schemeClr w14:val="tx1"/>
                  </w14:solidFill>
                </w14:textFill>
              </w:rPr>
            </w:pPr>
            <w:r>
              <w:rPr>
                <w:rFonts w:hint="eastAsia" w:hAnsi="宋体" w:eastAsia="宋体" w:cs="宋体"/>
                <w:bCs/>
                <w:color w:val="000000" w:themeColor="text1"/>
                <w:sz w:val="24"/>
                <w14:textFill>
                  <w14:solidFill>
                    <w14:schemeClr w14:val="tx1"/>
                  </w14:solidFill>
                </w14:textFill>
              </w:rPr>
              <w:t>正面：                                 反面：</w:t>
            </w:r>
          </w:p>
          <w:p w14:paraId="2DF0FEEB">
            <w:pPr>
              <w:pStyle w:val="76"/>
              <w:adjustRightInd w:val="0"/>
              <w:spacing w:line="360" w:lineRule="auto"/>
              <w:rPr>
                <w:rFonts w:hAnsi="宋体" w:eastAsia="宋体" w:cs="宋体"/>
                <w:bCs/>
                <w:color w:val="000000" w:themeColor="text1"/>
                <w:sz w:val="24"/>
                <w14:textFill>
                  <w14:solidFill>
                    <w14:schemeClr w14:val="tx1"/>
                  </w14:solidFill>
                </w14:textFill>
              </w:rPr>
            </w:pPr>
          </w:p>
        </w:tc>
      </w:tr>
    </w:tbl>
    <w:p w14:paraId="673160D3">
      <w:pPr>
        <w:snapToGrid w:val="0"/>
        <w:spacing w:line="360" w:lineRule="auto"/>
        <w:ind w:firstLine="57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w:t>
      </w:r>
    </w:p>
    <w:p w14:paraId="276BC964">
      <w:pPr>
        <w:snapToGrid w:val="0"/>
        <w:spacing w:line="360" w:lineRule="auto"/>
        <w:ind w:firstLine="57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供应商名称(电子签名)：                              </w:t>
      </w:r>
    </w:p>
    <w:p w14:paraId="7AD23891">
      <w:pPr>
        <w:spacing w:line="360" w:lineRule="auto"/>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7B872437">
      <w:pPr>
        <w:spacing w:line="276"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br w:type="page"/>
      </w:r>
    </w:p>
    <w:p w14:paraId="3600357F">
      <w:pPr>
        <w:pStyle w:val="3"/>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w:t>
      </w:r>
      <w:r>
        <w:rPr>
          <w:rFonts w:hint="eastAsia" w:ascii="宋体" w:hAnsi="宋体" w:eastAsia="宋体" w:cs="宋体"/>
          <w:color w:val="000000" w:themeColor="text1"/>
          <w:lang w:val="zh-CN"/>
          <w14:textFill>
            <w14:solidFill>
              <w14:schemeClr w14:val="tx1"/>
            </w14:solidFill>
          </w14:textFill>
        </w:rPr>
        <w:t>联合协议</w:t>
      </w:r>
    </w:p>
    <w:p w14:paraId="25BC98B6">
      <w:pPr>
        <w:rPr>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（以联合体形式投标的，提供联合协议；本项目不接受联合体投标或者供应商不以联合体形式投标的，则不需要提供）</w:t>
      </w:r>
    </w:p>
    <w:p w14:paraId="5580CC86">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（联合体所有成员名称）</w:t>
      </w:r>
      <w:r>
        <w:rPr>
          <w:rFonts w:hint="eastAsia"/>
          <w:color w:val="000000" w:themeColor="text1"/>
          <w14:textFill>
            <w14:solidFill>
              <w14:schemeClr w14:val="tx1"/>
            </w14:solidFill>
          </w14:textFill>
        </w:rPr>
        <w:t>自愿</w:t>
      </w:r>
      <w:r>
        <w:rPr>
          <w:rFonts w:hint="eastAsia"/>
          <w:color w:val="000000" w:themeColor="text1"/>
          <w:lang w:val="zh-CN"/>
          <w14:textFill>
            <w14:solidFill>
              <w14:schemeClr w14:val="tx1"/>
            </w14:solidFill>
          </w14:textFill>
        </w:rPr>
        <w:t>组成一个联合体，以一个供应商的身份</w:t>
      </w:r>
      <w:r>
        <w:rPr>
          <w:rFonts w:hint="eastAsia"/>
          <w:color w:val="000000" w:themeColor="text1"/>
          <w14:textFill>
            <w14:solidFill>
              <w14:schemeClr w14:val="tx1"/>
            </w14:solidFill>
          </w14:textFill>
        </w:rPr>
        <w:t>参加（项目名称）【招标编号：（采购编号）】</w:t>
      </w:r>
      <w:r>
        <w:rPr>
          <w:rFonts w:hint="eastAsia"/>
          <w:color w:val="000000" w:themeColor="text1"/>
          <w:lang w:val="zh-CN"/>
          <w14:textFill>
            <w14:solidFill>
              <w14:schemeClr w14:val="tx1"/>
            </w14:solidFill>
          </w14:textFill>
        </w:rPr>
        <w:t xml:space="preserve">投标。 </w:t>
      </w:r>
    </w:p>
    <w:p w14:paraId="5086677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一、各方一致决定，</w:t>
      </w:r>
      <w:r>
        <w:rPr>
          <w:rFonts w:hint="eastAsia"/>
          <w:color w:val="000000" w:themeColor="text1"/>
          <w:u w:val="single"/>
          <w14:textFill>
            <w14:solidFill>
              <w14:schemeClr w14:val="tx1"/>
            </w14:solidFill>
          </w14:textFill>
        </w:rPr>
        <w:t>（某联合体成员名称）</w:t>
      </w:r>
      <w:r>
        <w:rPr>
          <w:rFonts w:hint="eastAsia"/>
          <w:color w:val="000000" w:themeColor="text1"/>
          <w14:textFill>
            <w14:solidFill>
              <w14:schemeClr w14:val="tx1"/>
            </w14:solidFill>
          </w14:textFill>
        </w:rPr>
        <w:t>为联合体</w:t>
      </w:r>
      <w:r>
        <w:rPr>
          <w:rFonts w:hint="eastAsia"/>
          <w:color w:val="000000" w:themeColor="text1"/>
          <w:lang w:val="zh-CN"/>
          <w14:textFill>
            <w14:solidFill>
              <w14:schemeClr w14:val="tx1"/>
            </w14:solidFill>
          </w14:textFill>
        </w:rPr>
        <w:t>牵头人</w:t>
      </w:r>
      <w:r>
        <w:rPr>
          <w:rFonts w:hint="eastAsia"/>
          <w:color w:val="000000" w:themeColor="text1"/>
          <w14:textFill>
            <w14:solidFill>
              <w14:schemeClr w14:val="tx1"/>
            </w14:solidFill>
          </w14:textFill>
        </w:rPr>
        <w:t>，代表所有联合体成员负责投标和合同实施阶段的主办、协调工作</w:t>
      </w:r>
      <w:r>
        <w:rPr>
          <w:rFonts w:hint="eastAsia"/>
          <w:color w:val="000000" w:themeColor="text1"/>
          <w:lang w:val="zh-CN"/>
          <w14:textFill>
            <w14:solidFill>
              <w14:schemeClr w14:val="tx1"/>
            </w14:solidFill>
          </w14:textFill>
        </w:rPr>
        <w:t>。</w:t>
      </w:r>
    </w:p>
    <w:p w14:paraId="19F4AC34">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w:t>
      </w:r>
      <w:r>
        <w:rPr>
          <w:rFonts w:hint="eastAsia"/>
          <w:color w:val="000000" w:themeColor="text1"/>
          <w14:textFill>
            <w14:solidFill>
              <w14:schemeClr w14:val="tx1"/>
            </w14:solidFill>
          </w14:textFill>
        </w:rPr>
        <w:t>所有联合体成员各方签署授权书，授权书载明的</w:t>
      </w:r>
      <w:r>
        <w:rPr>
          <w:rFonts w:hint="eastAsia"/>
          <w:color w:val="000000" w:themeColor="text1"/>
          <w:lang w:val="zh-CN"/>
          <w14:textFill>
            <w14:solidFill>
              <w14:schemeClr w14:val="tx1"/>
            </w14:solidFill>
          </w14:textFill>
        </w:rPr>
        <w:t>授权代表根据交易文件规定及投标内容而对采购人、采购机构所作的任何合法承诺，包括书面澄清及相应等均对联合投标各方产生约束力。</w:t>
      </w:r>
    </w:p>
    <w:p w14:paraId="11576B25">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三、本次联合投标中，分工如下：</w:t>
      </w:r>
      <w:r>
        <w:rPr>
          <w:rFonts w:hint="eastAsia"/>
          <w:color w:val="000000" w:themeColor="text1"/>
          <w:u w:val="single"/>
          <w14:textFill>
            <w14:solidFill>
              <w14:schemeClr w14:val="tx1"/>
            </w14:solidFill>
          </w14:textFill>
        </w:rPr>
        <w:t>（联合体其中一方成员名称）</w:t>
      </w:r>
      <w:r>
        <w:rPr>
          <w:rFonts w:hint="eastAsia"/>
          <w:color w:val="000000" w:themeColor="text1"/>
          <w:lang w:val="zh-CN"/>
          <w14:textFill>
            <w14:solidFill>
              <w14:schemeClr w14:val="tx1"/>
            </w14:solidFill>
          </w14:textFill>
        </w:rPr>
        <w:t>承担的工作和义务为：</w:t>
      </w:r>
      <w:r>
        <w:rPr>
          <w:rFonts w:hint="eastAsia"/>
          <w:color w:val="000000" w:themeColor="text1"/>
          <w:u w:val="single"/>
          <w14:textFill>
            <w14:solidFill>
              <w14:schemeClr w14:val="tx1"/>
            </w14:solidFill>
          </w14:textFill>
        </w:rPr>
        <w:t xml:space="preserve">             </w:t>
      </w:r>
      <w:r>
        <w:rPr>
          <w:rFonts w:hint="eastAsia"/>
          <w:color w:val="000000" w:themeColor="text1"/>
          <w:lang w:val="zh-CN"/>
          <w14:textFill>
            <w14:solidFill>
              <w14:schemeClr w14:val="tx1"/>
            </w14:solidFill>
          </w14:textFill>
        </w:rPr>
        <w:t>；……。</w:t>
      </w:r>
    </w:p>
    <w:p w14:paraId="5C573FDB">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w:t>
      </w:r>
      <w:r>
        <w:rPr>
          <w:rFonts w:hint="eastAsia"/>
          <w:color w:val="000000" w:themeColor="text1"/>
          <w:u w:val="single"/>
          <w14:textFill>
            <w14:solidFill>
              <w14:schemeClr w14:val="tx1"/>
            </w14:solidFill>
          </w14:textFill>
        </w:rPr>
        <w:t>（联合体其中一方成员名称）</w:t>
      </w:r>
      <w:r>
        <w:rPr>
          <w:rFonts w:hint="eastAsia"/>
          <w:color w:val="000000" w:themeColor="text1"/>
          <w14:textFill>
            <w14:solidFill>
              <w14:schemeClr w14:val="tx1"/>
            </w14:solidFill>
          </w14:textFill>
        </w:rPr>
        <w:t>提供的全部货物由小微企业制造，其合同份额占到合同总金额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%以上；</w:t>
      </w:r>
      <w:r>
        <w:rPr>
          <w:rFonts w:hint="eastAsia"/>
          <w:color w:val="000000" w:themeColor="text1"/>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14:paraId="2B6F0ECD">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五、如果中标，</w:t>
      </w:r>
      <w:r>
        <w:rPr>
          <w:rFonts w:hint="eastAsia"/>
          <w:color w:val="000000" w:themeColor="text1"/>
          <w14:textFill>
            <w14:solidFill>
              <w14:schemeClr w14:val="tx1"/>
            </w14:solidFill>
          </w14:textFill>
        </w:rPr>
        <w:t>联合体各成员方共同与采购人签订合同，并就采购合同约定的事项对采购人承担连带责任。</w:t>
      </w:r>
    </w:p>
    <w:p w14:paraId="6AB46A38">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六、有关本次联合投标的其他事宜：</w:t>
      </w:r>
    </w:p>
    <w:p w14:paraId="4992F2E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1、联合体各方不再单独参加或者与其他供应商另外组成联合体参加同一合同项下的政府采购活动。</w:t>
      </w:r>
    </w:p>
    <w:p w14:paraId="2E290DF1">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2、联合体中有同类资质的各方按照联合体分工承担相同工作的，按照资质等级较低的供应商确定资质等级。</w:t>
      </w:r>
    </w:p>
    <w:p w14:paraId="3443484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3、本协议提交采购人、采购机构后，联合体各方不得以任何形式对上述内容进行修改或撤销。</w:t>
      </w:r>
    </w:p>
    <w:p w14:paraId="73455933">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520C14D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6DF18C1B">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7692CD21">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9390ABF">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四、分包意向协议</w:t>
      </w:r>
    </w:p>
    <w:p w14:paraId="4EB144F9">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（中标后以分包方式履行合同的，提供分包意向协议；采购人不同意分包或者供应商中标后不以分包方式履行合同的，则不需要提供。）</w:t>
      </w:r>
    </w:p>
    <w:p w14:paraId="0C35254E">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（供应商名称）</w:t>
      </w:r>
      <w:r>
        <w:rPr>
          <w:rFonts w:hint="eastAsia"/>
          <w:color w:val="000000" w:themeColor="text1"/>
          <w:lang w:val="zh-CN"/>
          <w14:textFill>
            <w14:solidFill>
              <w14:schemeClr w14:val="tx1"/>
            </w14:solidFill>
          </w14:textFill>
        </w:rPr>
        <w:t>若成为</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的中标供应商，将依法采取分包方式履行合同。</w:t>
      </w:r>
      <w:r>
        <w:rPr>
          <w:rFonts w:hint="eastAsia"/>
          <w:color w:val="000000" w:themeColor="text1"/>
          <w:u w:val="single"/>
          <w14:textFill>
            <w14:solidFill>
              <w14:schemeClr w14:val="tx1"/>
            </w14:solidFill>
          </w14:textFill>
        </w:rPr>
        <w:t>（供应商名称）</w:t>
      </w:r>
      <w:r>
        <w:rPr>
          <w:rFonts w:hint="eastAsia"/>
          <w:color w:val="000000" w:themeColor="text1"/>
          <w14:textFill>
            <w14:solidFill>
              <w14:schemeClr w14:val="tx1"/>
            </w14:solidFill>
          </w14:textFill>
        </w:rPr>
        <w:t>与</w:t>
      </w:r>
      <w:r>
        <w:rPr>
          <w:rFonts w:hint="eastAsia"/>
          <w:color w:val="000000" w:themeColor="text1"/>
          <w:u w:val="single"/>
          <w14:textFill>
            <w14:solidFill>
              <w14:schemeClr w14:val="tx1"/>
            </w14:solidFill>
          </w14:textFill>
        </w:rPr>
        <w:t>（所有分包供应商名称）</w:t>
      </w:r>
      <w:r>
        <w:rPr>
          <w:rFonts w:hint="eastAsia"/>
          <w:color w:val="000000" w:themeColor="text1"/>
          <w14:textFill>
            <w14:solidFill>
              <w14:schemeClr w14:val="tx1"/>
            </w14:solidFill>
          </w14:textFill>
        </w:rPr>
        <w:t>达成分包意向协议</w:t>
      </w:r>
      <w:r>
        <w:rPr>
          <w:rFonts w:hint="eastAsia"/>
          <w:color w:val="000000" w:themeColor="text1"/>
          <w:lang w:val="zh-CN"/>
          <w14:textFill>
            <w14:solidFill>
              <w14:schemeClr w14:val="tx1"/>
            </w14:solidFill>
          </w14:textFill>
        </w:rPr>
        <w:t xml:space="preserve">。 </w:t>
      </w:r>
    </w:p>
    <w:p w14:paraId="69121C1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一、分包标的及数量</w:t>
      </w:r>
    </w:p>
    <w:p w14:paraId="52CAF908">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（供应商名称）</w:t>
      </w:r>
      <w:r>
        <w:rPr>
          <w:rFonts w:hint="eastAsia"/>
          <w:color w:val="000000" w:themeColor="text1"/>
          <w:lang w:val="zh-CN"/>
          <w14:textFill>
            <w14:solidFill>
              <w14:schemeClr w14:val="tx1"/>
            </w14:solidFill>
          </w14:textFill>
        </w:rPr>
        <w:t>将</w:t>
      </w:r>
      <w:r>
        <w:rPr>
          <w:rFonts w:hint="eastAsia"/>
          <w:color w:val="000000" w:themeColor="text1"/>
          <w:u w:val="single"/>
          <w14:textFill>
            <w14:solidFill>
              <w14:schemeClr w14:val="tx1"/>
            </w14:solidFill>
          </w14:textFill>
        </w:rPr>
        <w:t xml:space="preserve">   XX工作内容   </w:t>
      </w:r>
      <w:r>
        <w:rPr>
          <w:rFonts w:hint="eastAsia"/>
          <w:color w:val="000000" w:themeColor="text1"/>
          <w14:textFill>
            <w14:solidFill>
              <w14:schemeClr w14:val="tx1"/>
            </w14:solidFill>
          </w14:textFill>
        </w:rPr>
        <w:t>分包给</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具备承</w:t>
      </w:r>
      <w:r>
        <w:rPr>
          <w:rFonts w:hint="eastAsia"/>
          <w:color w:val="000000" w:themeColor="text1"/>
          <w14:textFill>
            <w14:solidFill>
              <w14:schemeClr w14:val="tx1"/>
            </w14:solidFill>
          </w14:textFill>
        </w:rPr>
        <w:t>担</w:t>
      </w:r>
      <w:r>
        <w:rPr>
          <w:rFonts w:hint="eastAsia"/>
          <w:color w:val="000000" w:themeColor="text1"/>
          <w:u w:val="single"/>
          <w:lang w:val="zh-CN"/>
          <w14:textFill>
            <w14:solidFill>
              <w14:schemeClr w14:val="tx1"/>
            </w14:solidFill>
          </w14:textFill>
        </w:rPr>
        <w:t>XX工作内容</w:t>
      </w:r>
      <w:r>
        <w:rPr>
          <w:rFonts w:hint="eastAsia"/>
          <w:color w:val="000000" w:themeColor="text1"/>
          <w:lang w:val="zh-CN"/>
          <w14:textFill>
            <w14:solidFill>
              <w14:schemeClr w14:val="tx1"/>
            </w14:solidFill>
          </w14:textFill>
        </w:rPr>
        <w:t>相应资质条件且不得再次分包；</w:t>
      </w:r>
    </w:p>
    <w:p w14:paraId="40ACFF85">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136920E5">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二、分包工作履行期限、地点、方式</w:t>
      </w:r>
    </w:p>
    <w:p w14:paraId="445DBC14">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45A9689C">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三、质量</w:t>
      </w:r>
    </w:p>
    <w:p w14:paraId="625DD975">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29760B8C">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四、价款或者报酬</w:t>
      </w:r>
    </w:p>
    <w:p w14:paraId="6937CDF1">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1ACD2FDA">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五、违约责任</w:t>
      </w:r>
    </w:p>
    <w:p w14:paraId="775988EE">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033EB3D4">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六、争议解决的办法</w:t>
      </w:r>
    </w:p>
    <w:p w14:paraId="3C0D8010">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6480D5EB">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七、其他</w:t>
      </w:r>
    </w:p>
    <w:p w14:paraId="68637339">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（分包供应商名称）提供的货物全部由小微企业制造，</w:t>
      </w:r>
      <w:r>
        <w:rPr>
          <w:rFonts w:hint="eastAsia"/>
          <w:color w:val="000000" w:themeColor="text1"/>
          <w14:textFill>
            <w14:solidFill>
              <w14:schemeClr w14:val="tx1"/>
            </w14:solidFill>
          </w14:textFill>
        </w:rPr>
        <w:t>其合同份额占到合同总金额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%以上。</w:t>
      </w:r>
      <w:r>
        <w:rPr>
          <w:rFonts w:hint="eastAsia"/>
          <w:color w:val="000000" w:themeColor="text1"/>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0224C5B8">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供应商名称(电子签名)：</w:t>
      </w:r>
    </w:p>
    <w:p w14:paraId="023F17B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分包供应商名称：</w:t>
      </w:r>
    </w:p>
    <w:p w14:paraId="1F1BEBF1">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178AE430">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6384DEC6">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五、符合性审查资料</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14:paraId="3A4E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9E421C">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4140" w:type="dxa"/>
            <w:vAlign w:val="center"/>
          </w:tcPr>
          <w:p w14:paraId="687B53E5">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实质性要求</w:t>
            </w:r>
          </w:p>
        </w:tc>
        <w:tc>
          <w:tcPr>
            <w:tcW w:w="2410" w:type="dxa"/>
            <w:vAlign w:val="center"/>
          </w:tcPr>
          <w:p w14:paraId="513A1021">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需要提供的符合性审查资料</w:t>
            </w:r>
          </w:p>
        </w:tc>
        <w:tc>
          <w:tcPr>
            <w:tcW w:w="1701" w:type="dxa"/>
            <w:vAlign w:val="center"/>
          </w:tcPr>
          <w:p w14:paraId="38AA2FAE">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响应文件中的</w:t>
            </w:r>
          </w:p>
          <w:p w14:paraId="21385FA1">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页码位置</w:t>
            </w:r>
          </w:p>
        </w:tc>
      </w:tr>
      <w:tr w14:paraId="132E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0853AA">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140" w:type="dxa"/>
          </w:tcPr>
          <w:p w14:paraId="3E1088AE">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响应文件按照交易文件要求签署、盖章。</w:t>
            </w:r>
          </w:p>
        </w:tc>
        <w:tc>
          <w:tcPr>
            <w:tcW w:w="2410" w:type="dxa"/>
            <w:vAlign w:val="center"/>
          </w:tcPr>
          <w:p w14:paraId="749912F2">
            <w:pPr>
              <w:rPr>
                <w:color w:val="000000" w:themeColor="text1"/>
                <w14:textFill>
                  <w14:solidFill>
                    <w14:schemeClr w14:val="tx1"/>
                  </w14:solidFill>
                </w14:textFill>
              </w:rPr>
            </w:pPr>
            <w:r>
              <w:rPr>
                <w:rFonts w:hint="eastAsia"/>
                <w:color w:val="000000" w:themeColor="text1"/>
                <w14:textFill>
                  <w14:solidFill>
                    <w14:schemeClr w14:val="tx1"/>
                  </w14:solidFill>
                </w14:textFill>
              </w:rPr>
              <w:t>需要使用电子签名或者签字盖章的响应文件的组成部分</w:t>
            </w:r>
          </w:p>
        </w:tc>
        <w:tc>
          <w:tcPr>
            <w:tcW w:w="1701" w:type="dxa"/>
          </w:tcPr>
          <w:p w14:paraId="70DDE2A0">
            <w:pPr>
              <w:rPr>
                <w:color w:val="000000" w:themeColor="text1"/>
                <w14:textFill>
                  <w14:solidFill>
                    <w14:schemeClr w14:val="tx1"/>
                  </w14:solidFill>
                </w14:textFill>
              </w:rPr>
            </w:pPr>
          </w:p>
          <w:p w14:paraId="7A5E3300">
            <w:pPr>
              <w:rPr>
                <w:color w:val="000000" w:themeColor="text1"/>
                <w14:textFill>
                  <w14:solidFill>
                    <w14:schemeClr w14:val="tx1"/>
                  </w14:solidFill>
                </w14:textFill>
              </w:rPr>
            </w:pPr>
            <w:r>
              <w:rPr>
                <w:rFonts w:hint="eastAsia"/>
                <w:color w:val="000000" w:themeColor="text1"/>
                <w14:textFill>
                  <w14:solidFill>
                    <w14:schemeClr w14:val="tx1"/>
                  </w14:solidFill>
                </w14:textFill>
              </w:rPr>
              <w:t>见响应文件</w:t>
            </w:r>
          </w:p>
          <w:p w14:paraId="6F665AE2">
            <w:pPr>
              <w:rPr>
                <w:color w:val="000000" w:themeColor="text1"/>
                <w14:textFill>
                  <w14:solidFill>
                    <w14:schemeClr w14:val="tx1"/>
                  </w14:solidFill>
                </w14:textFill>
              </w:rPr>
            </w:pPr>
            <w:r>
              <w:rPr>
                <w:rFonts w:hint="eastAsia"/>
                <w:color w:val="000000" w:themeColor="text1"/>
                <w14:textFill>
                  <w14:solidFill>
                    <w14:schemeClr w14:val="tx1"/>
                  </w14:solidFill>
                </w14:textFill>
              </w:rPr>
              <w:t>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c>
      </w:tr>
      <w:tr w14:paraId="2866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FE75E8">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140" w:type="dxa"/>
          </w:tcPr>
          <w:p w14:paraId="7A542756">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采购人拟采购的产品属于政府强制采购的节能产品品目清单范围的，供应商按交易文件要求提供国家确定的认证机构出具的、处于有效期之内的节能产品认证证书。</w:t>
            </w:r>
          </w:p>
        </w:tc>
        <w:tc>
          <w:tcPr>
            <w:tcW w:w="2410" w:type="dxa"/>
            <w:vAlign w:val="center"/>
          </w:tcPr>
          <w:p w14:paraId="7FEFE69E">
            <w:pPr>
              <w:rPr>
                <w:color w:val="000000" w:themeColor="text1"/>
                <w14:textFill>
                  <w14:solidFill>
                    <w14:schemeClr w14:val="tx1"/>
                  </w14:solidFill>
                </w14:textFill>
              </w:rPr>
            </w:pPr>
            <w:r>
              <w:rPr>
                <w:rFonts w:hint="eastAsia"/>
                <w:color w:val="000000" w:themeColor="text1"/>
                <w14:textFill>
                  <w14:solidFill>
                    <w14:schemeClr w14:val="tx1"/>
                  </w14:solidFill>
                </w14:textFill>
              </w:rPr>
              <w:t>节能产品认证证书（本项目拟采购的产品不属于政府强制采购的节能产品品目清单范围的，无需提供）</w:t>
            </w:r>
          </w:p>
        </w:tc>
        <w:tc>
          <w:tcPr>
            <w:tcW w:w="1701" w:type="dxa"/>
          </w:tcPr>
          <w:p w14:paraId="0F9498F5">
            <w:pPr>
              <w:rPr>
                <w:color w:val="000000" w:themeColor="text1"/>
                <w14:textFill>
                  <w14:solidFill>
                    <w14:schemeClr w14:val="tx1"/>
                  </w14:solidFill>
                </w14:textFill>
              </w:rPr>
            </w:pPr>
          </w:p>
          <w:p w14:paraId="4A9E7B73">
            <w:pPr>
              <w:rPr>
                <w:color w:val="000000" w:themeColor="text1"/>
                <w14:textFill>
                  <w14:solidFill>
                    <w14:schemeClr w14:val="tx1"/>
                  </w14:solidFill>
                </w14:textFill>
              </w:rPr>
            </w:pPr>
          </w:p>
          <w:p w14:paraId="116C9143">
            <w:pPr>
              <w:rPr>
                <w:color w:val="000000" w:themeColor="text1"/>
                <w14:textFill>
                  <w14:solidFill>
                    <w14:schemeClr w14:val="tx1"/>
                  </w14:solidFill>
                </w14:textFill>
              </w:rPr>
            </w:pPr>
            <w:r>
              <w:rPr>
                <w:rFonts w:hint="eastAsia"/>
                <w:color w:val="000000" w:themeColor="text1"/>
                <w14:textFill>
                  <w14:solidFill>
                    <w14:schemeClr w14:val="tx1"/>
                  </w14:solidFill>
                </w14:textFill>
              </w:rPr>
              <w:t>见响应文件</w:t>
            </w:r>
          </w:p>
          <w:p w14:paraId="0A0BE085">
            <w:pPr>
              <w:rPr>
                <w:color w:val="000000" w:themeColor="text1"/>
                <w14:textFill>
                  <w14:solidFill>
                    <w14:schemeClr w14:val="tx1"/>
                  </w14:solidFill>
                </w14:textFill>
              </w:rPr>
            </w:pPr>
            <w:r>
              <w:rPr>
                <w:rFonts w:hint="eastAsia"/>
                <w:color w:val="000000" w:themeColor="text1"/>
                <w14:textFill>
                  <w14:solidFill>
                    <w14:schemeClr w14:val="tx1"/>
                  </w14:solidFill>
                </w14:textFill>
              </w:rPr>
              <w:t>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c>
      </w:tr>
      <w:tr w14:paraId="33BE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463F85">
            <w:pP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4140" w:type="dxa"/>
          </w:tcPr>
          <w:p w14:paraId="0C955B54">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响应文件中承诺的投标有效期不少于交易文件中载明的投标有效期。</w:t>
            </w:r>
          </w:p>
        </w:tc>
        <w:tc>
          <w:tcPr>
            <w:tcW w:w="2410" w:type="dxa"/>
            <w:vAlign w:val="center"/>
          </w:tcPr>
          <w:p w14:paraId="67808293">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投标函</w:t>
            </w:r>
          </w:p>
        </w:tc>
        <w:tc>
          <w:tcPr>
            <w:tcW w:w="1701" w:type="dxa"/>
          </w:tcPr>
          <w:p w14:paraId="75ED5222">
            <w:pPr>
              <w:rPr>
                <w:color w:val="000000" w:themeColor="text1"/>
                <w14:textFill>
                  <w14:solidFill>
                    <w14:schemeClr w14:val="tx1"/>
                  </w14:solidFill>
                </w14:textFill>
              </w:rPr>
            </w:pPr>
            <w:r>
              <w:rPr>
                <w:rFonts w:hint="eastAsia"/>
                <w:color w:val="000000" w:themeColor="text1"/>
                <w14:textFill>
                  <w14:solidFill>
                    <w14:schemeClr w14:val="tx1"/>
                  </w14:solidFill>
                </w14:textFill>
              </w:rPr>
              <w:t>见响应文件第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c>
      </w:tr>
      <w:tr w14:paraId="08A0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60D5EB">
            <w:pP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4140" w:type="dxa"/>
          </w:tcPr>
          <w:p w14:paraId="12C35834">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响应文件满足交易文件的其它实质性要求。</w:t>
            </w:r>
          </w:p>
        </w:tc>
        <w:tc>
          <w:tcPr>
            <w:tcW w:w="2410" w:type="dxa"/>
            <w:vAlign w:val="center"/>
          </w:tcPr>
          <w:p w14:paraId="7B164BAC">
            <w:pPr>
              <w:rPr>
                <w:color w:val="000000" w:themeColor="text1"/>
                <w14:textFill>
                  <w14:solidFill>
                    <w14:schemeClr w14:val="tx1"/>
                  </w14:solidFill>
                </w14:textFill>
              </w:rPr>
            </w:pPr>
            <w:r>
              <w:rPr>
                <w:rFonts w:hint="eastAsia"/>
                <w:color w:val="000000" w:themeColor="text1"/>
                <w14:textFill>
                  <w14:solidFill>
                    <w14:schemeClr w14:val="tx1"/>
                  </w14:solidFill>
                </w14:textFill>
              </w:rPr>
              <w:t>交易文件其它实质性要求相应的材料（“▲” 系指实质性要求条款，交易文件无其它实质性要求的，无需提供）</w:t>
            </w:r>
          </w:p>
        </w:tc>
        <w:tc>
          <w:tcPr>
            <w:tcW w:w="1701" w:type="dxa"/>
          </w:tcPr>
          <w:p w14:paraId="6B3002F0">
            <w:pPr>
              <w:rPr>
                <w:color w:val="000000" w:themeColor="text1"/>
                <w14:textFill>
                  <w14:solidFill>
                    <w14:schemeClr w14:val="tx1"/>
                  </w14:solidFill>
                </w14:textFill>
              </w:rPr>
            </w:pPr>
            <w:r>
              <w:rPr>
                <w:rFonts w:hint="eastAsia"/>
                <w:color w:val="000000" w:themeColor="text1"/>
                <w14:textFill>
                  <w14:solidFill>
                    <w14:schemeClr w14:val="tx1"/>
                  </w14:solidFill>
                </w14:textFill>
              </w:rPr>
              <w:t>见响应文件第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c>
      </w:tr>
    </w:tbl>
    <w:p w14:paraId="40385491">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1E82D192">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9836B94">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六、评标标准相应的商务技术资料</w:t>
      </w:r>
    </w:p>
    <w:p w14:paraId="2F730384">
      <w:pPr>
        <w:snapToGrid w:val="0"/>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（按交易文件第四部分评标办法前附表中“响应文件中评标标准相应的商务技术资料目录”提供资料。）</w:t>
      </w:r>
    </w:p>
    <w:p w14:paraId="3B5F82A8">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567B74C3">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七、投标标的清单</w:t>
      </w: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956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F8F8D1">
            <w:pP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DEEC8EA">
            <w:pP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EF151AC">
            <w:pPr>
              <w:rPr>
                <w:color w:val="000000" w:themeColor="text1"/>
                <w14:textFill>
                  <w14:solidFill>
                    <w14:schemeClr w14:val="tx1"/>
                  </w14:solidFill>
                </w14:textFill>
              </w:rPr>
            </w:pPr>
            <w:r>
              <w:rPr>
                <w:rFonts w:hint="eastAsia"/>
                <w:color w:val="000000" w:themeColor="text1"/>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40382CB">
            <w:pPr>
              <w:rPr>
                <w:color w:val="000000" w:themeColor="text1"/>
                <w14:textFill>
                  <w14:solidFill>
                    <w14:schemeClr w14:val="tx1"/>
                  </w14:solidFill>
                </w14:textFill>
              </w:rPr>
            </w:pPr>
            <w:r>
              <w:rPr>
                <w:rFonts w:hint="eastAsia"/>
                <w:color w:val="000000" w:themeColor="text1"/>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1A40BDB6">
            <w:pPr>
              <w:rPr>
                <w:color w:val="000000" w:themeColor="text1"/>
                <w14:textFill>
                  <w14:solidFill>
                    <w14:schemeClr w14:val="tx1"/>
                  </w14:solidFill>
                </w14:textFill>
              </w:rPr>
            </w:pPr>
            <w:r>
              <w:rPr>
                <w:rFonts w:hint="eastAsia"/>
                <w:color w:val="000000" w:themeColor="text1"/>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720C5094">
            <w:pP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7E107BA">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210A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98D565">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C1EB6A">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7C37BE1">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ED656B2">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B796CC0">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78074C7">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57DDD4F">
            <w:pPr>
              <w:rPr>
                <w:color w:val="000000" w:themeColor="text1"/>
                <w14:textFill>
                  <w14:solidFill>
                    <w14:schemeClr w14:val="tx1"/>
                  </w14:solidFill>
                </w14:textFill>
              </w:rPr>
            </w:pPr>
          </w:p>
        </w:tc>
      </w:tr>
      <w:tr w14:paraId="235F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56BAC0">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F3A8DC">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0E50C41">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FED23DE">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B0DA9A5">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4F6C6A6">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CFA21A1">
            <w:pPr>
              <w:rPr>
                <w:color w:val="000000" w:themeColor="text1"/>
                <w14:textFill>
                  <w14:solidFill>
                    <w14:schemeClr w14:val="tx1"/>
                  </w14:solidFill>
                </w14:textFill>
              </w:rPr>
            </w:pPr>
          </w:p>
        </w:tc>
      </w:tr>
      <w:tr w14:paraId="7A97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F98B9A">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D087AF5">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2BCD35B">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AFB2BFC">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5AED118">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D541787">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88810E5">
            <w:pPr>
              <w:rPr>
                <w:color w:val="000000" w:themeColor="text1"/>
                <w14:textFill>
                  <w14:solidFill>
                    <w14:schemeClr w14:val="tx1"/>
                  </w14:solidFill>
                </w14:textFill>
              </w:rPr>
            </w:pPr>
          </w:p>
        </w:tc>
      </w:tr>
    </w:tbl>
    <w:p w14:paraId="015AC5B5">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0E82A495">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八、商务技术偏离表</w:t>
      </w:r>
    </w:p>
    <w:tbl>
      <w:tblPr>
        <w:tblStyle w:val="26"/>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7B7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047698">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3683" w:type="dxa"/>
          </w:tcPr>
          <w:p w14:paraId="32AD0D57">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交易文件章节及具体内容</w:t>
            </w:r>
          </w:p>
        </w:tc>
        <w:tc>
          <w:tcPr>
            <w:tcW w:w="3546" w:type="dxa"/>
          </w:tcPr>
          <w:p w14:paraId="27113D6E">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响应文件章节及具体内容</w:t>
            </w:r>
          </w:p>
        </w:tc>
        <w:tc>
          <w:tcPr>
            <w:tcW w:w="1276" w:type="dxa"/>
          </w:tcPr>
          <w:p w14:paraId="487FF266">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偏离说明</w:t>
            </w:r>
          </w:p>
        </w:tc>
      </w:tr>
      <w:tr w14:paraId="529D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0D7E2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683" w:type="dxa"/>
          </w:tcPr>
          <w:p w14:paraId="668A98CF">
            <w:pPr>
              <w:jc w:val="center"/>
              <w:rPr>
                <w:b/>
                <w:color w:val="000000" w:themeColor="text1"/>
                <w:sz w:val="32"/>
                <w:szCs w:val="32"/>
                <w14:textFill>
                  <w14:solidFill>
                    <w14:schemeClr w14:val="tx1"/>
                  </w14:solidFill>
                </w14:textFill>
              </w:rPr>
            </w:pPr>
          </w:p>
        </w:tc>
        <w:tc>
          <w:tcPr>
            <w:tcW w:w="3546" w:type="dxa"/>
          </w:tcPr>
          <w:p w14:paraId="23C31223">
            <w:pPr>
              <w:jc w:val="center"/>
              <w:rPr>
                <w:b/>
                <w:color w:val="000000" w:themeColor="text1"/>
                <w:sz w:val="32"/>
                <w:szCs w:val="32"/>
                <w14:textFill>
                  <w14:solidFill>
                    <w14:schemeClr w14:val="tx1"/>
                  </w14:solidFill>
                </w14:textFill>
              </w:rPr>
            </w:pPr>
          </w:p>
        </w:tc>
        <w:tc>
          <w:tcPr>
            <w:tcW w:w="1276" w:type="dxa"/>
          </w:tcPr>
          <w:p w14:paraId="154ECEF5">
            <w:pPr>
              <w:jc w:val="center"/>
              <w:rPr>
                <w:b/>
                <w:color w:val="000000" w:themeColor="text1"/>
                <w:sz w:val="32"/>
                <w:szCs w:val="32"/>
                <w14:textFill>
                  <w14:solidFill>
                    <w14:schemeClr w14:val="tx1"/>
                  </w14:solidFill>
                </w14:textFill>
              </w:rPr>
            </w:pPr>
          </w:p>
        </w:tc>
      </w:tr>
      <w:tr w14:paraId="42E8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CA281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3683" w:type="dxa"/>
          </w:tcPr>
          <w:p w14:paraId="17C17505">
            <w:pPr>
              <w:jc w:val="center"/>
              <w:rPr>
                <w:b/>
                <w:color w:val="000000" w:themeColor="text1"/>
                <w:sz w:val="32"/>
                <w:szCs w:val="32"/>
                <w14:textFill>
                  <w14:solidFill>
                    <w14:schemeClr w14:val="tx1"/>
                  </w14:solidFill>
                </w14:textFill>
              </w:rPr>
            </w:pPr>
          </w:p>
        </w:tc>
        <w:tc>
          <w:tcPr>
            <w:tcW w:w="3546" w:type="dxa"/>
          </w:tcPr>
          <w:p w14:paraId="18C25897">
            <w:pPr>
              <w:jc w:val="center"/>
              <w:rPr>
                <w:b/>
                <w:color w:val="000000" w:themeColor="text1"/>
                <w:sz w:val="32"/>
                <w:szCs w:val="32"/>
                <w14:textFill>
                  <w14:solidFill>
                    <w14:schemeClr w14:val="tx1"/>
                  </w14:solidFill>
                </w14:textFill>
              </w:rPr>
            </w:pPr>
          </w:p>
        </w:tc>
        <w:tc>
          <w:tcPr>
            <w:tcW w:w="1276" w:type="dxa"/>
          </w:tcPr>
          <w:p w14:paraId="0DA78447">
            <w:pPr>
              <w:jc w:val="center"/>
              <w:rPr>
                <w:b/>
                <w:color w:val="000000" w:themeColor="text1"/>
                <w:sz w:val="32"/>
                <w:szCs w:val="32"/>
                <w14:textFill>
                  <w14:solidFill>
                    <w14:schemeClr w14:val="tx1"/>
                  </w14:solidFill>
                </w14:textFill>
              </w:rPr>
            </w:pPr>
          </w:p>
        </w:tc>
      </w:tr>
      <w:tr w14:paraId="502B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07F1F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683" w:type="dxa"/>
          </w:tcPr>
          <w:p w14:paraId="5262F0CA">
            <w:pPr>
              <w:jc w:val="center"/>
              <w:rPr>
                <w:b/>
                <w:color w:val="000000" w:themeColor="text1"/>
                <w:sz w:val="32"/>
                <w:szCs w:val="32"/>
                <w14:textFill>
                  <w14:solidFill>
                    <w14:schemeClr w14:val="tx1"/>
                  </w14:solidFill>
                </w14:textFill>
              </w:rPr>
            </w:pPr>
          </w:p>
        </w:tc>
        <w:tc>
          <w:tcPr>
            <w:tcW w:w="3546" w:type="dxa"/>
          </w:tcPr>
          <w:p w14:paraId="4C62C376">
            <w:pPr>
              <w:jc w:val="center"/>
              <w:rPr>
                <w:b/>
                <w:color w:val="000000" w:themeColor="text1"/>
                <w:sz w:val="32"/>
                <w:szCs w:val="32"/>
                <w14:textFill>
                  <w14:solidFill>
                    <w14:schemeClr w14:val="tx1"/>
                  </w14:solidFill>
                </w14:textFill>
              </w:rPr>
            </w:pPr>
          </w:p>
        </w:tc>
        <w:tc>
          <w:tcPr>
            <w:tcW w:w="1276" w:type="dxa"/>
          </w:tcPr>
          <w:p w14:paraId="0654D94F">
            <w:pPr>
              <w:jc w:val="center"/>
              <w:rPr>
                <w:b/>
                <w:color w:val="000000" w:themeColor="text1"/>
                <w:sz w:val="32"/>
                <w:szCs w:val="32"/>
                <w14:textFill>
                  <w14:solidFill>
                    <w14:schemeClr w14:val="tx1"/>
                  </w14:solidFill>
                </w14:textFill>
              </w:rPr>
            </w:pPr>
          </w:p>
        </w:tc>
      </w:tr>
    </w:tbl>
    <w:p w14:paraId="0B930B30">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供应商保证：除商务技术偏离表列出的偏离外，供应商响应交易文件的全部要求</w:t>
      </w:r>
    </w:p>
    <w:p w14:paraId="7827246F">
      <w:pPr>
        <w:spacing w:line="360" w:lineRule="auto"/>
        <w:ind w:right="420"/>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0C514C9A">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52A1F7F6">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政府采购供应商廉洁自律承诺书</w:t>
      </w:r>
    </w:p>
    <w:p w14:paraId="39DC9BF9">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14:paraId="745F069D">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我单位响应你</w:t>
      </w:r>
      <w:r>
        <w:rPr>
          <w:rFonts w:hint="eastAsia"/>
          <w:color w:val="000000" w:themeColor="text1"/>
          <w14:textFill>
            <w14:solidFill>
              <w14:schemeClr w14:val="tx1"/>
            </w14:solidFill>
          </w14:textFill>
        </w:rPr>
        <w:t>单位</w:t>
      </w:r>
      <w:r>
        <w:rPr>
          <w:rFonts w:hint="eastAsia"/>
          <w:color w:val="000000" w:themeColor="text1"/>
          <w:lang w:val="zh-CN"/>
          <w14:textFill>
            <w14:solidFill>
              <w14:schemeClr w14:val="tx1"/>
            </w14:solidFill>
          </w14:textFill>
        </w:rPr>
        <w:t>项目招标要求参加投标。在这次投标过程中和中标后，我们将严格遵守国家法律法规要求，并郑重承诺：</w:t>
      </w:r>
    </w:p>
    <w:p w14:paraId="50EFA813">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一、不向项目有关人员及部门赠送礼金礼物、有价证券、回扣以及中介费、介绍费、咨询费等好处费； </w:t>
      </w:r>
    </w:p>
    <w:p w14:paraId="771E03D1">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二、不为项目有关人员及部门报销应由你方单位或个人支付的费用； </w:t>
      </w:r>
    </w:p>
    <w:p w14:paraId="2855EC5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三、不向项目有关人员及部门提供有可能影响公正的宴请和健身娱乐等活动； </w:t>
      </w:r>
    </w:p>
    <w:p w14:paraId="4115D797">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四、不为项目有关人员及部门出国（境）、旅游等提供方便；</w:t>
      </w:r>
    </w:p>
    <w:p w14:paraId="7098746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五、不为项目有关人员个人装修住房、婚丧嫁娶、配偶子女工作安排等提供</w:t>
      </w:r>
    </w:p>
    <w:p w14:paraId="0D389BC8">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好处；</w:t>
      </w:r>
    </w:p>
    <w:p w14:paraId="7452D271">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六、严格遵守《中华人民共和国政府采购法》《中华人民共和国招标投标</w:t>
      </w:r>
    </w:p>
    <w:p w14:paraId="0FCD7B9F">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法》《中华人民共和国民法典》等法律法规，诚实守信，合法经营，坚决抵制各种违法违纪行为。 </w:t>
      </w:r>
    </w:p>
    <w:p w14:paraId="2F1B679A">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如违反上述承诺，你</w:t>
      </w:r>
      <w:r>
        <w:rPr>
          <w:rFonts w:hint="eastAsia"/>
          <w:color w:val="000000" w:themeColor="text1"/>
          <w14:textFill>
            <w14:solidFill>
              <w14:schemeClr w14:val="tx1"/>
            </w14:solidFill>
          </w14:textFill>
        </w:rPr>
        <w:t>单位</w:t>
      </w:r>
      <w:r>
        <w:rPr>
          <w:rFonts w:hint="eastAsia"/>
          <w:color w:val="000000" w:themeColor="text1"/>
          <w:lang w:val="zh-CN"/>
          <w14:textFill>
            <w14:solidFill>
              <w14:schemeClr w14:val="tx1"/>
            </w14:solidFill>
          </w14:textFill>
        </w:rPr>
        <w:t>有权立即取消我单位投标、中标或在建项目的建设资格，有权拒绝我单位在一定时期内进入你</w:t>
      </w:r>
      <w:r>
        <w:rPr>
          <w:rFonts w:hint="eastAsia"/>
          <w:color w:val="000000" w:themeColor="text1"/>
          <w14:textFill>
            <w14:solidFill>
              <w14:schemeClr w14:val="tx1"/>
            </w14:solidFill>
          </w14:textFill>
        </w:rPr>
        <w:t>单位</w:t>
      </w:r>
      <w:r>
        <w:rPr>
          <w:rFonts w:hint="eastAsia"/>
          <w:color w:val="000000" w:themeColor="text1"/>
          <w:lang w:val="zh-CN"/>
          <w14:textFill>
            <w14:solidFill>
              <w14:schemeClr w14:val="tx1"/>
            </w14:solidFill>
          </w14:textFill>
        </w:rPr>
        <w:t>进行项目建设或其他经营活动，并通报市财政局。由此引起的相应损失均由我单位承担。</w:t>
      </w:r>
    </w:p>
    <w:p w14:paraId="45248BCF">
      <w:pPr>
        <w:rPr>
          <w:color w:val="000000" w:themeColor="text1"/>
          <w:lang w:val="zh-CN"/>
          <w14:textFill>
            <w14:solidFill>
              <w14:schemeClr w14:val="tx1"/>
            </w14:solidFill>
          </w14:textFill>
        </w:rPr>
      </w:pPr>
    </w:p>
    <w:p w14:paraId="42CBF8D1">
      <w:pPr>
        <w:rPr>
          <w:color w:val="000000" w:themeColor="text1"/>
          <w:lang w:val="zh-CN"/>
          <w14:textFill>
            <w14:solidFill>
              <w14:schemeClr w14:val="tx1"/>
            </w14:solidFill>
          </w14:textFill>
        </w:rPr>
      </w:pPr>
    </w:p>
    <w:p w14:paraId="3BB9BC35">
      <w:pPr>
        <w:jc w:val="righ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供应商名称（</w:t>
      </w:r>
      <w:r>
        <w:rPr>
          <w:rFonts w:hint="eastAsia"/>
          <w:color w:val="000000" w:themeColor="text1"/>
          <w14:textFill>
            <w14:solidFill>
              <w14:schemeClr w14:val="tx1"/>
            </w14:solidFill>
          </w14:textFill>
        </w:rPr>
        <w:t>电子签名</w:t>
      </w:r>
      <w:r>
        <w:rPr>
          <w:rFonts w:hint="eastAsia"/>
          <w:color w:val="000000" w:themeColor="text1"/>
          <w:lang w:val="zh-CN"/>
          <w14:textFill>
            <w14:solidFill>
              <w14:schemeClr w14:val="tx1"/>
            </w14:solidFill>
          </w14:textFill>
        </w:rPr>
        <w:t xml:space="preserve">）： </w:t>
      </w:r>
    </w:p>
    <w:p w14:paraId="54C7D5A4">
      <w:pPr>
        <w:jc w:val="righ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日期</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 xml:space="preserve">   年   月   日</w:t>
      </w:r>
    </w:p>
    <w:p w14:paraId="670263AD">
      <w:pPr>
        <w:rPr>
          <w:b/>
          <w:bCs/>
          <w:color w:val="000000" w:themeColor="text1"/>
          <w14:textFill>
            <w14:solidFill>
              <w14:schemeClr w14:val="tx1"/>
            </w14:solidFill>
          </w14:textFill>
        </w:rPr>
      </w:pPr>
    </w:p>
    <w:p w14:paraId="0659AB91">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46939633">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1BCE57EC">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报价文件部分</w:t>
      </w:r>
    </w:p>
    <w:p w14:paraId="4BDD65D4">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目录</w:t>
      </w:r>
    </w:p>
    <w:p w14:paraId="64324D9A">
      <w:pPr>
        <w:rPr>
          <w:color w:val="000000" w:themeColor="text1"/>
          <w14:textFill>
            <w14:solidFill>
              <w14:schemeClr w14:val="tx1"/>
            </w14:solidFill>
          </w14:textFill>
        </w:rPr>
      </w:pPr>
      <w:r>
        <w:rPr>
          <w:rFonts w:hint="eastAsia"/>
          <w:color w:val="000000" w:themeColor="text1"/>
          <w14:textFill>
            <w14:solidFill>
              <w14:schemeClr w14:val="tx1"/>
            </w14:solidFill>
          </w14:textFill>
        </w:rPr>
        <w:t>（1）开标一览表（报价表）…………………………………………………（页码）</w:t>
      </w:r>
    </w:p>
    <w:p w14:paraId="7BAD7B2F">
      <w:pPr>
        <w:snapToGrid w:val="0"/>
        <w:spacing w:line="360" w:lineRule="auto"/>
        <w:ind w:right="480"/>
        <w:jc w:val="center"/>
        <w:rPr>
          <w:b/>
          <w:color w:val="000000" w:themeColor="text1"/>
          <w:sz w:val="32"/>
          <w:szCs w:val="32"/>
          <w14:textFill>
            <w14:solidFill>
              <w14:schemeClr w14:val="tx1"/>
            </w14:solidFill>
          </w14:textFill>
        </w:rPr>
      </w:pPr>
    </w:p>
    <w:p w14:paraId="27E1CC49">
      <w:pPr>
        <w:pStyle w:val="77"/>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5" w:type="default"/>
          <w:pgSz w:w="11906" w:h="16838"/>
          <w:pgMar w:top="1440" w:right="1700" w:bottom="1440" w:left="1800" w:header="851" w:footer="992" w:gutter="0"/>
          <w:cols w:space="425" w:num="1"/>
          <w:docGrid w:type="lines" w:linePitch="312" w:charSpace="0"/>
        </w:sectPr>
      </w:pPr>
    </w:p>
    <w:p w14:paraId="552E88D5">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一、开标一览表（报价表）</w:t>
      </w:r>
    </w:p>
    <w:p w14:paraId="2666AE7F">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14:paraId="09805F2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按你方交易文件要求，我们，本响应文件签字方，谨此向你方发出要约如下：如你方接受本投标，我方承诺按照如下开标一览表（报价表）的价格完成</w:t>
      </w:r>
      <w:r>
        <w:rPr>
          <w:rFonts w:hint="eastAsia"/>
          <w:color w:val="000000" w:themeColor="text1"/>
          <w14:textFill>
            <w14:solidFill>
              <w14:schemeClr w14:val="tx1"/>
            </w14:solidFill>
          </w14:textFill>
        </w:rPr>
        <w:t>（项目名称）</w:t>
      </w:r>
      <w:r>
        <w:rPr>
          <w:rFonts w:hint="eastAsia"/>
          <w:color w:val="000000" w:themeColor="text1"/>
          <w:lang w:val="zh-CN"/>
          <w14:textFill>
            <w14:solidFill>
              <w14:schemeClr w14:val="tx1"/>
            </w14:solidFill>
          </w14:textFill>
        </w:rPr>
        <w:t>【招标编号：</w:t>
      </w:r>
      <w:r>
        <w:rPr>
          <w:rFonts w:hint="eastAsia"/>
          <w:color w:val="000000" w:themeColor="text1"/>
          <w14:textFill>
            <w14:solidFill>
              <w14:schemeClr w14:val="tx1"/>
            </w14:solidFill>
          </w14:textFill>
        </w:rPr>
        <w:t>（采购编号）】的实施</w:t>
      </w:r>
      <w:r>
        <w:rPr>
          <w:rFonts w:hint="eastAsia"/>
          <w:color w:val="000000" w:themeColor="text1"/>
          <w:lang w:val="zh-CN"/>
          <w14:textFill>
            <w14:solidFill>
              <w14:schemeClr w14:val="tx1"/>
            </w14:solidFill>
          </w14:textFill>
        </w:rPr>
        <w:t>。</w:t>
      </w:r>
    </w:p>
    <w:p w14:paraId="302082CF">
      <w:pP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开标一览表（报价表）(单位均为人民币元)</w:t>
      </w:r>
    </w:p>
    <w:tbl>
      <w:tblPr>
        <w:tblStyle w:val="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52E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7524357">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1417" w:type="dxa"/>
            <w:vAlign w:val="center"/>
          </w:tcPr>
          <w:p w14:paraId="06F7BDA3">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名称</w:t>
            </w:r>
          </w:p>
        </w:tc>
        <w:tc>
          <w:tcPr>
            <w:tcW w:w="1843" w:type="dxa"/>
          </w:tcPr>
          <w:p w14:paraId="5B5E2BC7">
            <w:pPr>
              <w:rPr>
                <w:b/>
                <w:color w:val="000000" w:themeColor="text1"/>
                <w14:textFill>
                  <w14:solidFill>
                    <w14:schemeClr w14:val="tx1"/>
                  </w14:solidFill>
                </w14:textFill>
              </w:rPr>
            </w:pPr>
          </w:p>
          <w:p w14:paraId="74798CE5">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品牌（如果有）</w:t>
            </w:r>
          </w:p>
        </w:tc>
        <w:tc>
          <w:tcPr>
            <w:tcW w:w="3118" w:type="dxa"/>
            <w:vAlign w:val="center"/>
          </w:tcPr>
          <w:p w14:paraId="057B1F4F">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规格型号（或具体服务）</w:t>
            </w:r>
          </w:p>
        </w:tc>
        <w:tc>
          <w:tcPr>
            <w:tcW w:w="993" w:type="dxa"/>
            <w:vAlign w:val="center"/>
          </w:tcPr>
          <w:p w14:paraId="0BC37675">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559" w:type="dxa"/>
            <w:vAlign w:val="center"/>
          </w:tcPr>
          <w:p w14:paraId="6AE9D99A">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单价</w:t>
            </w:r>
          </w:p>
        </w:tc>
        <w:tc>
          <w:tcPr>
            <w:tcW w:w="1984" w:type="dxa"/>
            <w:vAlign w:val="center"/>
          </w:tcPr>
          <w:p w14:paraId="12F53033">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总价</w:t>
            </w:r>
          </w:p>
        </w:tc>
        <w:tc>
          <w:tcPr>
            <w:tcW w:w="3119" w:type="dxa"/>
            <w:vAlign w:val="center"/>
          </w:tcPr>
          <w:p w14:paraId="507C73DB">
            <w:pPr>
              <w:rPr>
                <w:b/>
                <w:color w:val="000000" w:themeColor="text1"/>
                <w14:textFill>
                  <w14:solidFill>
                    <w14:schemeClr w14:val="tx1"/>
                  </w14:solidFill>
                </w14:textFill>
              </w:rPr>
            </w:pPr>
          </w:p>
          <w:p w14:paraId="2D3934A4">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质保或服务年限</w:t>
            </w:r>
          </w:p>
          <w:p w14:paraId="794A2920">
            <w:pPr>
              <w:rPr>
                <w:b/>
                <w:color w:val="000000" w:themeColor="text1"/>
                <w14:textFill>
                  <w14:solidFill>
                    <w14:schemeClr w14:val="tx1"/>
                  </w14:solidFill>
                </w14:textFill>
              </w:rPr>
            </w:pPr>
          </w:p>
        </w:tc>
      </w:tr>
      <w:tr w14:paraId="05E3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7550B24">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17" w:type="dxa"/>
            <w:vAlign w:val="center"/>
          </w:tcPr>
          <w:p w14:paraId="70DF5C5D">
            <w:pPr>
              <w:rPr>
                <w:color w:val="000000" w:themeColor="text1"/>
                <w14:textFill>
                  <w14:solidFill>
                    <w14:schemeClr w14:val="tx1"/>
                  </w14:solidFill>
                </w14:textFill>
              </w:rPr>
            </w:pPr>
          </w:p>
        </w:tc>
        <w:tc>
          <w:tcPr>
            <w:tcW w:w="1843" w:type="dxa"/>
            <w:vAlign w:val="center"/>
          </w:tcPr>
          <w:p w14:paraId="610A1D7B">
            <w:pPr>
              <w:rPr>
                <w:color w:val="000000" w:themeColor="text1"/>
                <w14:textFill>
                  <w14:solidFill>
                    <w14:schemeClr w14:val="tx1"/>
                  </w14:solidFill>
                </w14:textFill>
              </w:rPr>
            </w:pPr>
          </w:p>
        </w:tc>
        <w:tc>
          <w:tcPr>
            <w:tcW w:w="3118" w:type="dxa"/>
            <w:vAlign w:val="center"/>
          </w:tcPr>
          <w:p w14:paraId="701DC201">
            <w:pPr>
              <w:rPr>
                <w:color w:val="000000" w:themeColor="text1"/>
                <w14:textFill>
                  <w14:solidFill>
                    <w14:schemeClr w14:val="tx1"/>
                  </w14:solidFill>
                </w14:textFill>
              </w:rPr>
            </w:pPr>
          </w:p>
        </w:tc>
        <w:tc>
          <w:tcPr>
            <w:tcW w:w="993" w:type="dxa"/>
            <w:vAlign w:val="center"/>
          </w:tcPr>
          <w:p w14:paraId="58C818DE">
            <w:pPr>
              <w:rPr>
                <w:color w:val="000000" w:themeColor="text1"/>
                <w14:textFill>
                  <w14:solidFill>
                    <w14:schemeClr w14:val="tx1"/>
                  </w14:solidFill>
                </w14:textFill>
              </w:rPr>
            </w:pPr>
          </w:p>
        </w:tc>
        <w:tc>
          <w:tcPr>
            <w:tcW w:w="1559" w:type="dxa"/>
            <w:vAlign w:val="center"/>
          </w:tcPr>
          <w:p w14:paraId="43BBC62C">
            <w:pPr>
              <w:rPr>
                <w:color w:val="000000" w:themeColor="text1"/>
                <w14:textFill>
                  <w14:solidFill>
                    <w14:schemeClr w14:val="tx1"/>
                  </w14:solidFill>
                </w14:textFill>
              </w:rPr>
            </w:pPr>
          </w:p>
        </w:tc>
        <w:tc>
          <w:tcPr>
            <w:tcW w:w="1984" w:type="dxa"/>
            <w:vAlign w:val="center"/>
          </w:tcPr>
          <w:p w14:paraId="71231AEA">
            <w:pPr>
              <w:rPr>
                <w:color w:val="000000" w:themeColor="text1"/>
                <w14:textFill>
                  <w14:solidFill>
                    <w14:schemeClr w14:val="tx1"/>
                  </w14:solidFill>
                </w14:textFill>
              </w:rPr>
            </w:pPr>
          </w:p>
        </w:tc>
        <w:tc>
          <w:tcPr>
            <w:tcW w:w="3119" w:type="dxa"/>
            <w:vAlign w:val="center"/>
          </w:tcPr>
          <w:p w14:paraId="2ADB7769">
            <w:pPr>
              <w:rPr>
                <w:color w:val="000000" w:themeColor="text1"/>
                <w14:textFill>
                  <w14:solidFill>
                    <w14:schemeClr w14:val="tx1"/>
                  </w14:solidFill>
                </w14:textFill>
              </w:rPr>
            </w:pPr>
          </w:p>
        </w:tc>
      </w:tr>
      <w:tr w14:paraId="2FD1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99E2545">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17" w:type="dxa"/>
            <w:vAlign w:val="center"/>
          </w:tcPr>
          <w:p w14:paraId="0D23DEDF">
            <w:pPr>
              <w:rPr>
                <w:color w:val="000000" w:themeColor="text1"/>
                <w14:textFill>
                  <w14:solidFill>
                    <w14:schemeClr w14:val="tx1"/>
                  </w14:solidFill>
                </w14:textFill>
              </w:rPr>
            </w:pPr>
          </w:p>
        </w:tc>
        <w:tc>
          <w:tcPr>
            <w:tcW w:w="1843" w:type="dxa"/>
            <w:vAlign w:val="center"/>
          </w:tcPr>
          <w:p w14:paraId="077F5439">
            <w:pPr>
              <w:rPr>
                <w:color w:val="000000" w:themeColor="text1"/>
                <w14:textFill>
                  <w14:solidFill>
                    <w14:schemeClr w14:val="tx1"/>
                  </w14:solidFill>
                </w14:textFill>
              </w:rPr>
            </w:pPr>
          </w:p>
        </w:tc>
        <w:tc>
          <w:tcPr>
            <w:tcW w:w="3118" w:type="dxa"/>
            <w:vAlign w:val="center"/>
          </w:tcPr>
          <w:p w14:paraId="523F69E5">
            <w:pPr>
              <w:rPr>
                <w:color w:val="000000" w:themeColor="text1"/>
                <w14:textFill>
                  <w14:solidFill>
                    <w14:schemeClr w14:val="tx1"/>
                  </w14:solidFill>
                </w14:textFill>
              </w:rPr>
            </w:pPr>
          </w:p>
        </w:tc>
        <w:tc>
          <w:tcPr>
            <w:tcW w:w="993" w:type="dxa"/>
            <w:vAlign w:val="center"/>
          </w:tcPr>
          <w:p w14:paraId="3D2AC3A4">
            <w:pPr>
              <w:rPr>
                <w:color w:val="000000" w:themeColor="text1"/>
                <w14:textFill>
                  <w14:solidFill>
                    <w14:schemeClr w14:val="tx1"/>
                  </w14:solidFill>
                </w14:textFill>
              </w:rPr>
            </w:pPr>
          </w:p>
        </w:tc>
        <w:tc>
          <w:tcPr>
            <w:tcW w:w="1559" w:type="dxa"/>
            <w:vAlign w:val="center"/>
          </w:tcPr>
          <w:p w14:paraId="26B1A176">
            <w:pPr>
              <w:rPr>
                <w:color w:val="000000" w:themeColor="text1"/>
                <w14:textFill>
                  <w14:solidFill>
                    <w14:schemeClr w14:val="tx1"/>
                  </w14:solidFill>
                </w14:textFill>
              </w:rPr>
            </w:pPr>
          </w:p>
        </w:tc>
        <w:tc>
          <w:tcPr>
            <w:tcW w:w="1984" w:type="dxa"/>
            <w:vAlign w:val="center"/>
          </w:tcPr>
          <w:p w14:paraId="569C4832">
            <w:pPr>
              <w:rPr>
                <w:color w:val="000000" w:themeColor="text1"/>
                <w14:textFill>
                  <w14:solidFill>
                    <w14:schemeClr w14:val="tx1"/>
                  </w14:solidFill>
                </w14:textFill>
              </w:rPr>
            </w:pPr>
          </w:p>
        </w:tc>
        <w:tc>
          <w:tcPr>
            <w:tcW w:w="3119" w:type="dxa"/>
            <w:vAlign w:val="center"/>
          </w:tcPr>
          <w:p w14:paraId="62D6147E">
            <w:pPr>
              <w:rPr>
                <w:color w:val="000000" w:themeColor="text1"/>
                <w14:textFill>
                  <w14:solidFill>
                    <w14:schemeClr w14:val="tx1"/>
                  </w14:solidFill>
                </w14:textFill>
              </w:rPr>
            </w:pPr>
          </w:p>
        </w:tc>
      </w:tr>
      <w:tr w14:paraId="2381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A14B56">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417" w:type="dxa"/>
            <w:vAlign w:val="center"/>
          </w:tcPr>
          <w:p w14:paraId="424152A2">
            <w:pPr>
              <w:rPr>
                <w:color w:val="000000" w:themeColor="text1"/>
                <w14:textFill>
                  <w14:solidFill>
                    <w14:schemeClr w14:val="tx1"/>
                  </w14:solidFill>
                </w14:textFill>
              </w:rPr>
            </w:pPr>
          </w:p>
        </w:tc>
        <w:tc>
          <w:tcPr>
            <w:tcW w:w="1843" w:type="dxa"/>
            <w:vAlign w:val="center"/>
          </w:tcPr>
          <w:p w14:paraId="6995F147">
            <w:pPr>
              <w:rPr>
                <w:color w:val="000000" w:themeColor="text1"/>
                <w14:textFill>
                  <w14:solidFill>
                    <w14:schemeClr w14:val="tx1"/>
                  </w14:solidFill>
                </w14:textFill>
              </w:rPr>
            </w:pPr>
          </w:p>
        </w:tc>
        <w:tc>
          <w:tcPr>
            <w:tcW w:w="3118" w:type="dxa"/>
            <w:vAlign w:val="center"/>
          </w:tcPr>
          <w:p w14:paraId="35D8035D">
            <w:pPr>
              <w:rPr>
                <w:color w:val="000000" w:themeColor="text1"/>
                <w14:textFill>
                  <w14:solidFill>
                    <w14:schemeClr w14:val="tx1"/>
                  </w14:solidFill>
                </w14:textFill>
              </w:rPr>
            </w:pPr>
          </w:p>
        </w:tc>
        <w:tc>
          <w:tcPr>
            <w:tcW w:w="993" w:type="dxa"/>
            <w:vAlign w:val="center"/>
          </w:tcPr>
          <w:p w14:paraId="653B8277">
            <w:pPr>
              <w:rPr>
                <w:color w:val="000000" w:themeColor="text1"/>
                <w14:textFill>
                  <w14:solidFill>
                    <w14:schemeClr w14:val="tx1"/>
                  </w14:solidFill>
                </w14:textFill>
              </w:rPr>
            </w:pPr>
          </w:p>
        </w:tc>
        <w:tc>
          <w:tcPr>
            <w:tcW w:w="1559" w:type="dxa"/>
            <w:vAlign w:val="center"/>
          </w:tcPr>
          <w:p w14:paraId="67E699F2">
            <w:pPr>
              <w:rPr>
                <w:color w:val="000000" w:themeColor="text1"/>
                <w14:textFill>
                  <w14:solidFill>
                    <w14:schemeClr w14:val="tx1"/>
                  </w14:solidFill>
                </w14:textFill>
              </w:rPr>
            </w:pPr>
          </w:p>
        </w:tc>
        <w:tc>
          <w:tcPr>
            <w:tcW w:w="1984" w:type="dxa"/>
            <w:vAlign w:val="center"/>
          </w:tcPr>
          <w:p w14:paraId="1B6CABF8">
            <w:pPr>
              <w:rPr>
                <w:color w:val="000000" w:themeColor="text1"/>
                <w14:textFill>
                  <w14:solidFill>
                    <w14:schemeClr w14:val="tx1"/>
                  </w14:solidFill>
                </w14:textFill>
              </w:rPr>
            </w:pPr>
          </w:p>
        </w:tc>
        <w:tc>
          <w:tcPr>
            <w:tcW w:w="3119" w:type="dxa"/>
            <w:vAlign w:val="center"/>
          </w:tcPr>
          <w:p w14:paraId="2F49D77A">
            <w:pPr>
              <w:rPr>
                <w:color w:val="000000" w:themeColor="text1"/>
                <w14:textFill>
                  <w14:solidFill>
                    <w14:schemeClr w14:val="tx1"/>
                  </w14:solidFill>
                </w14:textFill>
              </w:rPr>
            </w:pPr>
          </w:p>
        </w:tc>
      </w:tr>
      <w:tr w14:paraId="52F6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B1AAB4">
            <w:pPr>
              <w:rPr>
                <w:color w:val="000000" w:themeColor="text1"/>
                <w14:textFill>
                  <w14:solidFill>
                    <w14:schemeClr w14:val="tx1"/>
                  </w14:solidFill>
                </w14:textFill>
              </w:rPr>
            </w:pPr>
          </w:p>
        </w:tc>
        <w:tc>
          <w:tcPr>
            <w:tcW w:w="1417" w:type="dxa"/>
            <w:vAlign w:val="center"/>
          </w:tcPr>
          <w:p w14:paraId="6438DB6C">
            <w:pPr>
              <w:rPr>
                <w:color w:val="000000" w:themeColor="text1"/>
                <w14:textFill>
                  <w14:solidFill>
                    <w14:schemeClr w14:val="tx1"/>
                  </w14:solidFill>
                </w14:textFill>
              </w:rPr>
            </w:pPr>
          </w:p>
        </w:tc>
        <w:tc>
          <w:tcPr>
            <w:tcW w:w="1843" w:type="dxa"/>
            <w:vAlign w:val="center"/>
          </w:tcPr>
          <w:p w14:paraId="3ABDA1F7">
            <w:pPr>
              <w:rPr>
                <w:color w:val="000000" w:themeColor="text1"/>
                <w14:textFill>
                  <w14:solidFill>
                    <w14:schemeClr w14:val="tx1"/>
                  </w14:solidFill>
                </w14:textFill>
              </w:rPr>
            </w:pPr>
          </w:p>
        </w:tc>
        <w:tc>
          <w:tcPr>
            <w:tcW w:w="3118" w:type="dxa"/>
            <w:vAlign w:val="center"/>
          </w:tcPr>
          <w:p w14:paraId="056616D3">
            <w:pPr>
              <w:rPr>
                <w:color w:val="000000" w:themeColor="text1"/>
                <w14:textFill>
                  <w14:solidFill>
                    <w14:schemeClr w14:val="tx1"/>
                  </w14:solidFill>
                </w14:textFill>
              </w:rPr>
            </w:pPr>
          </w:p>
        </w:tc>
        <w:tc>
          <w:tcPr>
            <w:tcW w:w="993" w:type="dxa"/>
            <w:vAlign w:val="center"/>
          </w:tcPr>
          <w:p w14:paraId="41090E0F">
            <w:pPr>
              <w:rPr>
                <w:color w:val="000000" w:themeColor="text1"/>
                <w14:textFill>
                  <w14:solidFill>
                    <w14:schemeClr w14:val="tx1"/>
                  </w14:solidFill>
                </w14:textFill>
              </w:rPr>
            </w:pPr>
          </w:p>
        </w:tc>
        <w:tc>
          <w:tcPr>
            <w:tcW w:w="1559" w:type="dxa"/>
            <w:vAlign w:val="center"/>
          </w:tcPr>
          <w:p w14:paraId="5152D7F3">
            <w:pPr>
              <w:rPr>
                <w:color w:val="000000" w:themeColor="text1"/>
                <w14:textFill>
                  <w14:solidFill>
                    <w14:schemeClr w14:val="tx1"/>
                  </w14:solidFill>
                </w14:textFill>
              </w:rPr>
            </w:pPr>
          </w:p>
        </w:tc>
        <w:tc>
          <w:tcPr>
            <w:tcW w:w="1984" w:type="dxa"/>
            <w:vAlign w:val="center"/>
          </w:tcPr>
          <w:p w14:paraId="126E763D">
            <w:pPr>
              <w:rPr>
                <w:color w:val="000000" w:themeColor="text1"/>
                <w14:textFill>
                  <w14:solidFill>
                    <w14:schemeClr w14:val="tx1"/>
                  </w14:solidFill>
                </w14:textFill>
              </w:rPr>
            </w:pPr>
          </w:p>
        </w:tc>
        <w:tc>
          <w:tcPr>
            <w:tcW w:w="3119" w:type="dxa"/>
            <w:vAlign w:val="center"/>
          </w:tcPr>
          <w:p w14:paraId="7A607174">
            <w:pPr>
              <w:rPr>
                <w:color w:val="000000" w:themeColor="text1"/>
                <w14:textFill>
                  <w14:solidFill>
                    <w14:schemeClr w14:val="tx1"/>
                  </w14:solidFill>
                </w14:textFill>
              </w:rPr>
            </w:pPr>
          </w:p>
        </w:tc>
      </w:tr>
      <w:tr w14:paraId="2283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FFA846">
            <w:pPr>
              <w:rPr>
                <w:color w:val="000000" w:themeColor="text1"/>
                <w14:textFill>
                  <w14:solidFill>
                    <w14:schemeClr w14:val="tx1"/>
                  </w14:solidFill>
                </w14:textFill>
              </w:rPr>
            </w:pPr>
          </w:p>
        </w:tc>
        <w:tc>
          <w:tcPr>
            <w:tcW w:w="1417" w:type="dxa"/>
            <w:vAlign w:val="center"/>
          </w:tcPr>
          <w:p w14:paraId="15B4BA3B">
            <w:pPr>
              <w:rPr>
                <w:color w:val="000000" w:themeColor="text1"/>
                <w14:textFill>
                  <w14:solidFill>
                    <w14:schemeClr w14:val="tx1"/>
                  </w14:solidFill>
                </w14:textFill>
              </w:rPr>
            </w:pPr>
          </w:p>
        </w:tc>
        <w:tc>
          <w:tcPr>
            <w:tcW w:w="1843" w:type="dxa"/>
            <w:vAlign w:val="center"/>
          </w:tcPr>
          <w:p w14:paraId="67A8BDF2">
            <w:pPr>
              <w:rPr>
                <w:color w:val="000000" w:themeColor="text1"/>
                <w14:textFill>
                  <w14:solidFill>
                    <w14:schemeClr w14:val="tx1"/>
                  </w14:solidFill>
                </w14:textFill>
              </w:rPr>
            </w:pPr>
          </w:p>
        </w:tc>
        <w:tc>
          <w:tcPr>
            <w:tcW w:w="3118" w:type="dxa"/>
            <w:vAlign w:val="center"/>
          </w:tcPr>
          <w:p w14:paraId="4A1B9DEC">
            <w:pPr>
              <w:rPr>
                <w:color w:val="000000" w:themeColor="text1"/>
                <w14:textFill>
                  <w14:solidFill>
                    <w14:schemeClr w14:val="tx1"/>
                  </w14:solidFill>
                </w14:textFill>
              </w:rPr>
            </w:pPr>
          </w:p>
        </w:tc>
        <w:tc>
          <w:tcPr>
            <w:tcW w:w="993" w:type="dxa"/>
            <w:vAlign w:val="center"/>
          </w:tcPr>
          <w:p w14:paraId="147FFD40">
            <w:pPr>
              <w:rPr>
                <w:color w:val="000000" w:themeColor="text1"/>
                <w14:textFill>
                  <w14:solidFill>
                    <w14:schemeClr w14:val="tx1"/>
                  </w14:solidFill>
                </w14:textFill>
              </w:rPr>
            </w:pPr>
          </w:p>
        </w:tc>
        <w:tc>
          <w:tcPr>
            <w:tcW w:w="1559" w:type="dxa"/>
            <w:vAlign w:val="center"/>
          </w:tcPr>
          <w:p w14:paraId="0C105D29">
            <w:pPr>
              <w:rPr>
                <w:color w:val="000000" w:themeColor="text1"/>
                <w14:textFill>
                  <w14:solidFill>
                    <w14:schemeClr w14:val="tx1"/>
                  </w14:solidFill>
                </w14:textFill>
              </w:rPr>
            </w:pPr>
          </w:p>
        </w:tc>
        <w:tc>
          <w:tcPr>
            <w:tcW w:w="1984" w:type="dxa"/>
            <w:vAlign w:val="center"/>
          </w:tcPr>
          <w:p w14:paraId="2D217A5B">
            <w:pPr>
              <w:rPr>
                <w:color w:val="000000" w:themeColor="text1"/>
                <w14:textFill>
                  <w14:solidFill>
                    <w14:schemeClr w14:val="tx1"/>
                  </w14:solidFill>
                </w14:textFill>
              </w:rPr>
            </w:pPr>
          </w:p>
        </w:tc>
        <w:tc>
          <w:tcPr>
            <w:tcW w:w="3119" w:type="dxa"/>
            <w:vAlign w:val="center"/>
          </w:tcPr>
          <w:p w14:paraId="04E762E1">
            <w:pPr>
              <w:rPr>
                <w:color w:val="000000" w:themeColor="text1"/>
                <w14:textFill>
                  <w14:solidFill>
                    <w14:schemeClr w14:val="tx1"/>
                  </w14:solidFill>
                </w14:textFill>
              </w:rPr>
            </w:pPr>
          </w:p>
        </w:tc>
      </w:tr>
      <w:tr w14:paraId="6758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3869C87">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投标报价（小写）</w:t>
            </w:r>
          </w:p>
        </w:tc>
        <w:tc>
          <w:tcPr>
            <w:tcW w:w="7655" w:type="dxa"/>
            <w:gridSpan w:val="4"/>
            <w:vAlign w:val="center"/>
          </w:tcPr>
          <w:p w14:paraId="43B83CCD">
            <w:pPr>
              <w:rPr>
                <w:color w:val="000000" w:themeColor="text1"/>
                <w14:textFill>
                  <w14:solidFill>
                    <w14:schemeClr w14:val="tx1"/>
                  </w14:solidFill>
                </w14:textFill>
              </w:rPr>
            </w:pPr>
          </w:p>
        </w:tc>
      </w:tr>
      <w:tr w14:paraId="792B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2FC0255">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投标报价（大写）</w:t>
            </w:r>
          </w:p>
        </w:tc>
        <w:tc>
          <w:tcPr>
            <w:tcW w:w="7655" w:type="dxa"/>
            <w:gridSpan w:val="4"/>
            <w:vAlign w:val="center"/>
          </w:tcPr>
          <w:p w14:paraId="7FE34E47">
            <w:pPr>
              <w:rPr>
                <w:color w:val="000000" w:themeColor="text1"/>
                <w14:textFill>
                  <w14:solidFill>
                    <w14:schemeClr w14:val="tx1"/>
                  </w14:solidFill>
                </w14:textFill>
              </w:rPr>
            </w:pPr>
          </w:p>
        </w:tc>
      </w:tr>
    </w:tbl>
    <w:p w14:paraId="43D0355A">
      <w:pP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注：</w:t>
      </w:r>
    </w:p>
    <w:p w14:paraId="3A5F528D">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1、供应商需按本表格式填写，不得自行更改。</w:t>
      </w:r>
      <w:r>
        <w:rPr>
          <w:rFonts w:hint="eastAsia"/>
          <w:color w:val="000000" w:themeColor="text1"/>
          <w:lang w:val="zh-CN"/>
          <w14:textFill>
            <w14:solidFill>
              <w14:schemeClr w14:val="tx1"/>
            </w14:solidFill>
          </w14:textFill>
        </w:rPr>
        <w:tab/>
      </w:r>
    </w:p>
    <w:p w14:paraId="1A1503C3">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2、有关本项目实施所涉及的一切费用均计入报价。</w:t>
      </w:r>
      <w:r>
        <w:rPr>
          <w:rFonts w:hint="eastAsia"/>
          <w:b/>
          <w:color w:val="000000" w:themeColor="text1"/>
          <w:lang w:val="zh-CN"/>
          <w14:textFill>
            <w14:solidFill>
              <w14:schemeClr w14:val="tx1"/>
            </w14:solidFill>
          </w14:textFill>
        </w:rPr>
        <w:t>采购人将以合同形式有偿取得货物或服务，不接受供应商给予的赠品、回扣或者与采购无关的其他商品、服务</w:t>
      </w:r>
      <w:r>
        <w:rPr>
          <w:rFonts w:hint="eastAsia"/>
          <w:color w:val="000000" w:themeColor="text1"/>
          <w:lang w:val="zh-CN"/>
          <w14:textFill>
            <w14:solidFill>
              <w14:schemeClr w14:val="tx1"/>
            </w14:solidFill>
          </w14:textFill>
        </w:rPr>
        <w:t>，</w:t>
      </w:r>
      <w:r>
        <w:rPr>
          <w:rFonts w:hint="eastAsia"/>
          <w:b/>
          <w:color w:val="000000" w:themeColor="text1"/>
          <w:lang w:val="zh-CN"/>
          <w14:textFill>
            <w14:solidFill>
              <w14:schemeClr w14:val="tx1"/>
            </w14:solidFill>
          </w14:textFill>
        </w:rPr>
        <w:t>不得出现“0元”“免费赠送”等形式的无偿报价，</w:t>
      </w:r>
      <w:r>
        <w:rPr>
          <w:rFonts w:hint="eastAsia"/>
          <w:b/>
          <w:color w:val="000000" w:themeColor="text1"/>
          <w14:textFill>
            <w14:solidFill>
              <w14:schemeClr w14:val="tx1"/>
            </w14:solidFill>
          </w14:textFill>
        </w:rPr>
        <w:t>否则视为响应文件含有采购人不能接受的附加条件的，投标无效</w:t>
      </w:r>
      <w:r>
        <w:rPr>
          <w:rFonts w:hint="eastAsia"/>
          <w:b/>
          <w:color w:val="000000" w:themeColor="text1"/>
          <w:lang w:val="zh-CN"/>
          <w14:textFill>
            <w14:solidFill>
              <w14:schemeClr w14:val="tx1"/>
            </w14:solidFill>
          </w14:textFill>
        </w:rPr>
        <w:t>；采购内容未包含在《开标一览表（报价表）》名称栏中，供应商不能作出合理解释的，</w:t>
      </w:r>
      <w:r>
        <w:rPr>
          <w:rFonts w:hint="eastAsia"/>
          <w:b/>
          <w:color w:val="000000" w:themeColor="text1"/>
          <w14:textFill>
            <w14:solidFill>
              <w14:schemeClr w14:val="tx1"/>
            </w14:solidFill>
          </w14:textFill>
        </w:rPr>
        <w:t>视为响应文件含有采购人不能接受的附加条件的，投标无效。</w:t>
      </w:r>
    </w:p>
    <w:p w14:paraId="060E5EFF">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3、以上表格要求细分项目及报价，在“规格型号（或具体服务）”一栏中，货物类项目填写规格型号，服务类项目填写具体服务。</w:t>
      </w:r>
    </w:p>
    <w:p w14:paraId="28A02DE4">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14:paraId="6A78F15A">
      <w:pPr>
        <w:rPr>
          <w:color w:val="000000" w:themeColor="text1"/>
          <w:lang w:val="zh-CN"/>
          <w14:textFill>
            <w14:solidFill>
              <w14:schemeClr w14:val="tx1"/>
            </w14:solidFill>
          </w14:textFill>
        </w:rPr>
      </w:pPr>
      <w:r>
        <w:rPr>
          <w:rFonts w:hint="eastAsia"/>
          <w:color w:val="000000" w:themeColor="text1"/>
          <w:szCs w:val="22"/>
          <w:lang w:val="zh-CN"/>
          <w14:textFill>
            <w14:solidFill>
              <w14:schemeClr w14:val="tx1"/>
            </w14:solidFill>
          </w14:textFill>
        </w:rPr>
        <w:t>5、</w:t>
      </w:r>
      <w:r>
        <w:rPr>
          <w:rFonts w:hint="eastAsia"/>
          <w:color w:val="000000" w:themeColor="text1"/>
          <w:lang w:val="zh-CN"/>
          <w14:textFill>
            <w14:solidFill>
              <w14:schemeClr w14:val="tx1"/>
            </w14:solidFill>
          </w14:textFill>
        </w:rPr>
        <w:t>符合交易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F376E1F">
      <w:pPr>
        <w:spacing w:line="360" w:lineRule="auto"/>
        <w:ind w:firstLine="482" w:firstLineChars="200"/>
        <w:rPr>
          <w:b/>
          <w:color w:val="000000" w:themeColor="text1"/>
          <w14:textFill>
            <w14:solidFill>
              <w14:schemeClr w14:val="tx1"/>
            </w14:solidFill>
          </w14:textFill>
        </w:rPr>
        <w:sectPr>
          <w:pgSz w:w="16838" w:h="11906" w:orient="landscape"/>
          <w:pgMar w:top="1800" w:right="1440" w:bottom="1700" w:left="1440" w:header="851" w:footer="992" w:gutter="0"/>
          <w:cols w:space="425" w:num="1"/>
          <w:docGrid w:type="lines" w:linePitch="326" w:charSpace="0"/>
        </w:sectPr>
      </w:pPr>
    </w:p>
    <w:p w14:paraId="2BF160B4">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附件2：质疑函范本及制作说明</w:t>
      </w:r>
    </w:p>
    <w:p w14:paraId="74E0CEFA">
      <w:pPr>
        <w:spacing w:line="360" w:lineRule="auto"/>
        <w:jc w:val="center"/>
        <w:rPr>
          <w:b/>
          <w:color w:val="000000" w:themeColor="text1"/>
          <w:spacing w:val="6"/>
          <w:sz w:val="32"/>
          <w:szCs w:val="32"/>
          <w14:textFill>
            <w14:solidFill>
              <w14:schemeClr w14:val="tx1"/>
            </w14:solidFill>
          </w14:textFill>
        </w:rPr>
      </w:pPr>
      <w:r>
        <w:rPr>
          <w:rFonts w:hint="eastAsia"/>
          <w:b/>
          <w:color w:val="000000" w:themeColor="text1"/>
          <w:spacing w:val="6"/>
          <w:sz w:val="32"/>
          <w:szCs w:val="32"/>
          <w14:textFill>
            <w14:solidFill>
              <w14:schemeClr w14:val="tx1"/>
            </w14:solidFill>
          </w14:textFill>
        </w:rPr>
        <w:t>质疑函范本</w:t>
      </w:r>
    </w:p>
    <w:p w14:paraId="4B101857">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一、质疑供应商基本信息</w:t>
      </w:r>
    </w:p>
    <w:p w14:paraId="68C6487C">
      <w:pPr>
        <w:pStyle w:val="62"/>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质疑供应商：</w:t>
      </w:r>
      <w:r>
        <w:rPr>
          <w:rFonts w:hint="eastAsia" w:ascii="宋体" w:hAnsi="宋体" w:eastAsia="宋体" w:cs="宋体"/>
          <w:color w:val="000000" w:themeColor="text1"/>
          <w:u w:val="dotted"/>
          <w14:textFill>
            <w14:solidFill>
              <w14:schemeClr w14:val="tx1"/>
            </w14:solidFill>
          </w14:textFill>
        </w:rPr>
        <w:t xml:space="preserve">                                        </w:t>
      </w:r>
    </w:p>
    <w:p w14:paraId="7999ACEB">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p>
    <w:p w14:paraId="2BBF6465">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p>
    <w:p w14:paraId="6DD5FC3D">
      <w:pPr>
        <w:pStyle w:val="62"/>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授权代表：</w:t>
      </w:r>
      <w:r>
        <w:rPr>
          <w:rFonts w:hint="eastAsia" w:ascii="宋体" w:hAnsi="宋体" w:eastAsia="宋体" w:cs="宋体"/>
          <w:color w:val="000000" w:themeColor="text1"/>
          <w:u w:val="dotted"/>
          <w14:textFill>
            <w14:solidFill>
              <w14:schemeClr w14:val="tx1"/>
            </w14:solidFill>
          </w14:textFill>
        </w:rPr>
        <w:t xml:space="preserve">                                          </w:t>
      </w:r>
    </w:p>
    <w:p w14:paraId="5E55D94D">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2F209B41">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地址： </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p>
    <w:p w14:paraId="27581303">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二、质疑项目基本情况</w:t>
      </w:r>
    </w:p>
    <w:p w14:paraId="4A9B35F4">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质疑项目的名称：</w:t>
      </w:r>
      <w:r>
        <w:rPr>
          <w:rFonts w:hint="eastAsia" w:ascii="宋体" w:hAnsi="宋体" w:eastAsia="宋体" w:cs="宋体"/>
          <w:color w:val="000000" w:themeColor="text1"/>
          <w:u w:val="dotted"/>
          <w14:textFill>
            <w14:solidFill>
              <w14:schemeClr w14:val="tx1"/>
            </w14:solidFill>
          </w14:textFill>
        </w:rPr>
        <w:t xml:space="preserve">                                      </w:t>
      </w:r>
    </w:p>
    <w:p w14:paraId="30211158">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质疑项目的编号：</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包号：</w:t>
      </w:r>
      <w:r>
        <w:rPr>
          <w:rFonts w:hint="eastAsia" w:ascii="宋体" w:hAnsi="宋体" w:eastAsia="宋体" w:cs="宋体"/>
          <w:color w:val="000000" w:themeColor="text1"/>
          <w:u w:val="dotted"/>
          <w14:textFill>
            <w14:solidFill>
              <w14:schemeClr w14:val="tx1"/>
            </w14:solidFill>
          </w14:textFill>
        </w:rPr>
        <w:t xml:space="preserve">                 </w:t>
      </w:r>
    </w:p>
    <w:p w14:paraId="2F8ED563">
      <w:pPr>
        <w:pStyle w:val="62"/>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采购人名称：</w:t>
      </w:r>
      <w:r>
        <w:rPr>
          <w:rFonts w:hint="eastAsia" w:ascii="宋体" w:hAnsi="宋体" w:eastAsia="宋体" w:cs="宋体"/>
          <w:color w:val="000000" w:themeColor="text1"/>
          <w:u w:val="dotted"/>
          <w14:textFill>
            <w14:solidFill>
              <w14:schemeClr w14:val="tx1"/>
            </w14:solidFill>
          </w14:textFill>
        </w:rPr>
        <w:t xml:space="preserve">                                         </w:t>
      </w:r>
    </w:p>
    <w:p w14:paraId="579A2E36">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采购文件获取日期：</w:t>
      </w:r>
      <w:r>
        <w:rPr>
          <w:rFonts w:hint="eastAsia" w:ascii="宋体" w:hAnsi="宋体" w:eastAsia="宋体" w:cs="宋体"/>
          <w:color w:val="000000" w:themeColor="text1"/>
          <w:u w:val="dotted"/>
          <w14:textFill>
            <w14:solidFill>
              <w14:schemeClr w14:val="tx1"/>
            </w14:solidFill>
          </w14:textFill>
        </w:rPr>
        <w:t xml:space="preserve">                                           </w:t>
      </w:r>
    </w:p>
    <w:p w14:paraId="45E3C128">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三、质疑事项具体内容</w:t>
      </w:r>
    </w:p>
    <w:p w14:paraId="50FFA2AF">
      <w:pPr>
        <w:pStyle w:val="62"/>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质疑事项1：</w:t>
      </w:r>
      <w:r>
        <w:rPr>
          <w:rFonts w:hint="eastAsia" w:ascii="宋体" w:hAnsi="宋体" w:eastAsia="宋体" w:cs="宋体"/>
          <w:color w:val="000000" w:themeColor="text1"/>
          <w:u w:val="dotted"/>
          <w14:textFill>
            <w14:solidFill>
              <w14:schemeClr w14:val="tx1"/>
            </w14:solidFill>
          </w14:textFill>
        </w:rPr>
        <w:t xml:space="preserve">                                         </w:t>
      </w:r>
    </w:p>
    <w:p w14:paraId="46E1E1BF">
      <w:pPr>
        <w:pStyle w:val="62"/>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事实依据：</w:t>
      </w:r>
      <w:r>
        <w:rPr>
          <w:rFonts w:hint="eastAsia" w:ascii="宋体" w:hAnsi="宋体" w:eastAsia="宋体" w:cs="宋体"/>
          <w:color w:val="000000" w:themeColor="text1"/>
          <w:u w:val="dotted"/>
          <w14:textFill>
            <w14:solidFill>
              <w14:schemeClr w14:val="tx1"/>
            </w14:solidFill>
          </w14:textFill>
        </w:rPr>
        <w:t xml:space="preserve">                                          </w:t>
      </w:r>
    </w:p>
    <w:p w14:paraId="6E9B41AE">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14:paraId="63369BCF">
      <w:pPr>
        <w:pStyle w:val="62"/>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法律依据：</w:t>
      </w:r>
      <w:r>
        <w:rPr>
          <w:rFonts w:hint="eastAsia" w:ascii="宋体" w:hAnsi="宋体" w:eastAsia="宋体" w:cs="宋体"/>
          <w:color w:val="000000" w:themeColor="text1"/>
          <w:u w:val="dotted"/>
          <w14:textFill>
            <w14:solidFill>
              <w14:schemeClr w14:val="tx1"/>
            </w14:solidFill>
          </w14:textFill>
        </w:rPr>
        <w:t xml:space="preserve">                                          </w:t>
      </w:r>
    </w:p>
    <w:p w14:paraId="504845B4">
      <w:pPr>
        <w:pStyle w:val="62"/>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14:paraId="2F912CA8">
      <w:pPr>
        <w:pStyle w:val="62"/>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质疑事项2</w:t>
      </w:r>
    </w:p>
    <w:p w14:paraId="2E2330AE">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14:paraId="71CA846F">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四、与质疑事项相关的质疑请求</w:t>
      </w:r>
    </w:p>
    <w:p w14:paraId="19EE67FC">
      <w:pPr>
        <w:pStyle w:val="62"/>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请求：</w:t>
      </w:r>
      <w:r>
        <w:rPr>
          <w:rFonts w:hint="eastAsia" w:ascii="宋体" w:hAnsi="宋体" w:eastAsia="宋体" w:cs="宋体"/>
          <w:color w:val="000000" w:themeColor="text1"/>
          <w:u w:val="dotted"/>
          <w14:textFill>
            <w14:solidFill>
              <w14:schemeClr w14:val="tx1"/>
            </w14:solidFill>
          </w14:textFill>
        </w:rPr>
        <w:t xml:space="preserve">                                               </w:t>
      </w:r>
    </w:p>
    <w:p w14:paraId="01AE9D1F">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签字(签章)：                   公章：                      </w:t>
      </w:r>
    </w:p>
    <w:p w14:paraId="055977CD">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日期：    </w:t>
      </w:r>
    </w:p>
    <w:p w14:paraId="63672B08">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质疑函制作说明：</w:t>
      </w:r>
    </w:p>
    <w:p w14:paraId="1873BD86">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1.供应商提出质疑时，应提交质疑函和必要的证明材料。</w:t>
      </w:r>
    </w:p>
    <w:p w14:paraId="6B3268F3">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AF7A285">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3.质疑供应商若对项目的某一分包进行质疑，质疑函中应列明具体分包号。</w:t>
      </w:r>
    </w:p>
    <w:p w14:paraId="519056E9">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4.质疑函的质疑事项应具体、明确，并有必要的事实依据和法律依据。</w:t>
      </w:r>
    </w:p>
    <w:p w14:paraId="10D64B4C">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5.质疑函的质疑请求应与质疑事项相关。</w:t>
      </w:r>
    </w:p>
    <w:p w14:paraId="5C9A2A16">
      <w:pPr>
        <w:pStyle w:val="6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9447698">
      <w:pPr>
        <w:spacing w:line="360" w:lineRule="auto"/>
        <w:ind w:firstLine="600" w:firstLineChars="200"/>
        <w:rPr>
          <w:color w:val="000000" w:themeColor="text1"/>
          <w:sz w:val="30"/>
          <w:szCs w:val="30"/>
          <w14:textFill>
            <w14:solidFill>
              <w14:schemeClr w14:val="tx1"/>
            </w14:solidFill>
          </w14:textFill>
        </w:rPr>
      </w:pPr>
    </w:p>
    <w:p w14:paraId="06DC55F1">
      <w:pPr>
        <w:spacing w:line="360" w:lineRule="auto"/>
        <w:jc w:val="center"/>
        <w:rPr>
          <w:b/>
          <w:color w:val="000000" w:themeColor="text1"/>
          <w:spacing w:val="6"/>
          <w:sz w:val="32"/>
          <w:szCs w:val="32"/>
          <w14:textFill>
            <w14:solidFill>
              <w14:schemeClr w14:val="tx1"/>
            </w14:solidFill>
          </w14:textFill>
        </w:rPr>
      </w:pPr>
    </w:p>
    <w:p w14:paraId="1F01750E">
      <w:pPr>
        <w:spacing w:line="360" w:lineRule="auto"/>
        <w:jc w:val="center"/>
        <w:rPr>
          <w:b/>
          <w:color w:val="000000" w:themeColor="text1"/>
          <w:spacing w:val="6"/>
          <w:sz w:val="32"/>
          <w:szCs w:val="32"/>
          <w14:textFill>
            <w14:solidFill>
              <w14:schemeClr w14:val="tx1"/>
            </w14:solidFill>
          </w14:textFill>
        </w:rPr>
      </w:pPr>
    </w:p>
    <w:p w14:paraId="63363674">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7050CD46">
      <w:pPr>
        <w:pStyle w:val="3"/>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附件4：</w:t>
      </w:r>
      <w:r>
        <w:rPr>
          <w:rFonts w:hint="eastAsia" w:ascii="宋体" w:hAnsi="宋体" w:eastAsia="宋体" w:cs="宋体"/>
          <w:color w:val="000000" w:themeColor="text1"/>
          <w14:textFill>
            <w14:solidFill>
              <w14:schemeClr w14:val="tx1"/>
            </w14:solidFill>
          </w14:textFill>
        </w:rPr>
        <w:t>业务专用章使用说明函</w:t>
      </w:r>
    </w:p>
    <w:p w14:paraId="7DA8B71E">
      <w:pPr>
        <w:spacing w:line="276" w:lineRule="auto"/>
        <w:jc w:val="center"/>
        <w:rPr>
          <w:b/>
          <w:smallCaps/>
          <w:color w:val="000000" w:themeColor="text1"/>
          <w:spacing w:val="6"/>
          <w:sz w:val="36"/>
          <w:szCs w:val="28"/>
          <w14:textFill>
            <w14:solidFill>
              <w14:schemeClr w14:val="tx1"/>
            </w14:solidFill>
          </w14:textFill>
        </w:rPr>
      </w:pPr>
      <w:r>
        <w:rPr>
          <w:rFonts w:hint="eastAsia"/>
          <w:b/>
          <w:color w:val="000000" w:themeColor="text1"/>
          <w:sz w:val="32"/>
          <w14:textFill>
            <w14:solidFill>
              <w14:schemeClr w14:val="tx1"/>
            </w14:solidFill>
          </w14:textFill>
        </w:rPr>
        <w:t>业务专用章使用说明函</w:t>
      </w:r>
    </w:p>
    <w:p w14:paraId="6CDB18EB">
      <w:pPr>
        <w:spacing w:line="360" w:lineRule="auto"/>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（采购人）、（采购代理机构）</w:t>
      </w:r>
    </w:p>
    <w:p w14:paraId="55EEF1D7">
      <w:pPr>
        <w:spacing w:line="360" w:lineRule="auto"/>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我方</w:t>
      </w:r>
      <w:r>
        <w:rPr>
          <w:rFonts w:hint="eastAsia"/>
          <w:color w:val="000000" w:themeColor="text1"/>
          <w:u w:val="single"/>
          <w:lang w:val="zh-CN"/>
          <w14:textFill>
            <w14:solidFill>
              <w14:schemeClr w14:val="tx1"/>
            </w14:solidFill>
          </w14:textFill>
        </w:rPr>
        <w:t xml:space="preserve">                         </w:t>
      </w:r>
      <w:r>
        <w:rPr>
          <w:rFonts w:hint="eastAsia"/>
          <w:color w:val="000000" w:themeColor="text1"/>
          <w14:textFill>
            <w14:solidFill>
              <w14:schemeClr w14:val="tx1"/>
            </w14:solidFill>
          </w14:textFill>
        </w:rPr>
        <w:t>(供应商全称)是中华人民共和国依法登记注册的合法企业，</w:t>
      </w:r>
      <w:r>
        <w:rPr>
          <w:rFonts w:hint="eastAsia"/>
          <w:bCs/>
          <w:color w:val="000000" w:themeColor="text1"/>
          <w14:textFill>
            <w14:solidFill>
              <w14:schemeClr w14:val="tx1"/>
            </w14:solidFill>
          </w14:textFill>
        </w:rPr>
        <w:t>在参加</w:t>
      </w:r>
      <w:r>
        <w:rPr>
          <w:rFonts w:hint="eastAsia"/>
          <w:color w:val="000000" w:themeColor="text1"/>
          <w14:textFill>
            <w14:solidFill>
              <w14:schemeClr w14:val="tx1"/>
            </w14:solidFill>
          </w14:textFill>
        </w:rPr>
        <w:t>你方组织的（项目名称）项目【招标编号：（采购编号）】</w:t>
      </w:r>
      <w:r>
        <w:rPr>
          <w:rFonts w:hint="eastAsia"/>
          <w:bCs/>
          <w:color w:val="000000" w:themeColor="text1"/>
          <w14:textFill>
            <w14:solidFill>
              <w14:schemeClr w14:val="tx1"/>
            </w14:solidFill>
          </w14:textFill>
        </w:rPr>
        <w:t>投标活动中作如下说明：</w:t>
      </w:r>
      <w:r>
        <w:rPr>
          <w:rFonts w:hint="eastAsia"/>
          <w:color w:val="000000" w:themeColor="text1"/>
          <w14:textFill>
            <w14:solidFill>
              <w14:schemeClr w14:val="tx1"/>
            </w14:solidFill>
          </w14:textFill>
        </w:rPr>
        <w:t xml:space="preserve">我方所使用的“XX专用章”与法定名称章具有同等的法律效力，对使用“XX专用章”的行为予以完全承认，并愿意承担相应责任。   </w:t>
      </w:r>
    </w:p>
    <w:p w14:paraId="6CB45A20">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特此说明。</w:t>
      </w:r>
    </w:p>
    <w:p w14:paraId="03AD91A2">
      <w:pPr>
        <w:spacing w:line="360" w:lineRule="auto"/>
        <w:ind w:firstLine="494"/>
        <w:rPr>
          <w:color w:val="000000" w:themeColor="text1"/>
          <w14:textFill>
            <w14:solidFill>
              <w14:schemeClr w14:val="tx1"/>
            </w14:solidFill>
          </w14:textFill>
        </w:rPr>
      </w:pPr>
    </w:p>
    <w:p w14:paraId="7F0E7630">
      <w:pPr>
        <w:spacing w:line="360" w:lineRule="auto"/>
        <w:ind w:right="480" w:firstLine="4080"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投标单位（法定名称章）：</w:t>
      </w:r>
    </w:p>
    <w:p w14:paraId="3EE3365B">
      <w:pPr>
        <w:ind w:right="1440" w:firstLine="49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日期：       年     月     日</w:t>
      </w:r>
    </w:p>
    <w:p w14:paraId="39388B98">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附：</w:t>
      </w:r>
    </w:p>
    <w:p w14:paraId="3D32259D">
      <w:pPr>
        <w:spacing w:line="360" w:lineRule="auto"/>
        <w:rPr>
          <w:bCs/>
          <w:color w:val="000000" w:themeColor="text1"/>
          <w14:textFill>
            <w14:solidFill>
              <w14:schemeClr w14:val="tx1"/>
            </w14:solidFill>
          </w14:textFill>
        </w:rPr>
      </w:pPr>
      <w:r>
        <w:rPr>
          <w:rFonts w:hint="eastAsia"/>
          <w:b/>
          <w:bCs/>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E713F41">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E713F41">
                      <w:pPr>
                        <w:jc w:val="center"/>
                      </w:pPr>
                    </w:p>
                  </w:txbxContent>
                </v:textbox>
              </v:rect>
            </w:pict>
          </mc:Fallback>
        </mc:AlternateContent>
      </w:r>
      <w:r>
        <w:rPr>
          <w:rFonts w:hint="eastAsia"/>
          <w:b/>
          <w:bCs/>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234300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2343000">
                      <w:pPr>
                        <w:jc w:val="center"/>
                      </w:pPr>
                    </w:p>
                  </w:txbxContent>
                </v:textbox>
              </v:rect>
            </w:pict>
          </mc:Fallback>
        </mc:AlternateContent>
      </w:r>
      <w:r>
        <w:rPr>
          <w:rFonts w:hint="eastAsia"/>
          <w:color w:val="000000" w:themeColor="text1"/>
          <w14:textFill>
            <w14:solidFill>
              <w14:schemeClr w14:val="tx1"/>
            </w14:solidFill>
          </w14:textFill>
        </w:rPr>
        <w:t>投标单位法定名称章（印模）                投标单位“XX专用章”（印模）</w:t>
      </w:r>
    </w:p>
    <w:p w14:paraId="4052A3AF">
      <w:pPr>
        <w:spacing w:line="276" w:lineRule="auto"/>
        <w:rPr>
          <w:b/>
          <w:color w:val="000000" w:themeColor="text1"/>
          <w:spacing w:val="6"/>
          <w:sz w:val="32"/>
          <w:szCs w:val="32"/>
          <w14:textFill>
            <w14:solidFill>
              <w14:schemeClr w14:val="tx1"/>
            </w14:solidFill>
          </w14:textFill>
        </w:rPr>
      </w:pPr>
    </w:p>
    <w:p w14:paraId="3432177F">
      <w:pPr>
        <w:spacing w:line="276" w:lineRule="auto"/>
        <w:rPr>
          <w:b/>
          <w:smallCaps/>
          <w:color w:val="000000" w:themeColor="text1"/>
          <w:spacing w:val="6"/>
          <w:sz w:val="28"/>
          <w:szCs w:val="28"/>
          <w14:textFill>
            <w14:solidFill>
              <w14:schemeClr w14:val="tx1"/>
            </w14:solidFill>
          </w14:textFill>
        </w:rPr>
      </w:pPr>
    </w:p>
    <w:p w14:paraId="5CC674A7">
      <w:pPr>
        <w:spacing w:line="276" w:lineRule="auto"/>
        <w:rPr>
          <w:b/>
          <w:smallCaps/>
          <w:color w:val="000000" w:themeColor="text1"/>
          <w:spacing w:val="6"/>
          <w:sz w:val="28"/>
          <w:szCs w:val="28"/>
          <w14:textFill>
            <w14:solidFill>
              <w14:schemeClr w14:val="tx1"/>
            </w14:solidFill>
          </w14:textFill>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97FB">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3768">
    <w:pPr>
      <w:pStyle w:val="19"/>
      <w:pBdr>
        <w:bottom w:val="single" w:color="auto" w:sz="6" w:space="4"/>
      </w:pBdr>
      <w:jc w:val="right"/>
    </w:pPr>
    <w:r>
      <w:t></w:t>
    </w:r>
    <w:r>
      <w:rPr>
        <w:rFonts w:hint="eastAsia"/>
      </w:rPr>
      <w:t xml:space="preserve">            </w:t>
    </w:r>
  </w:p>
  <w:p w14:paraId="701CF6E8">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0F4E">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894CF"/>
    <w:multiLevelType w:val="singleLevel"/>
    <w:tmpl w:val="04D894CF"/>
    <w:lvl w:ilvl="0" w:tentative="0">
      <w:start w:val="1"/>
      <w:numFmt w:val="decimal"/>
      <w:suff w:val="nothing"/>
      <w:lvlText w:val="%1、"/>
      <w:lvlJc w:val="left"/>
    </w:lvl>
  </w:abstractNum>
  <w:abstractNum w:abstractNumId="1">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59833E"/>
    <w:multiLevelType w:val="singleLevel"/>
    <w:tmpl w:val="5559833E"/>
    <w:lvl w:ilvl="0" w:tentative="0">
      <w:start w:val="1"/>
      <w:numFmt w:val="chineseCounting"/>
      <w:suff w:val="nothing"/>
      <w:lvlText w:val="%1、"/>
      <w:lvlJc w:val="left"/>
    </w:lvl>
  </w:abstractNum>
  <w:abstractNum w:abstractNumId="3">
    <w:nsid w:val="727662DE"/>
    <w:multiLevelType w:val="multilevel"/>
    <w:tmpl w:val="727662DE"/>
    <w:lvl w:ilvl="0" w:tentative="0">
      <w:start w:val="1"/>
      <w:numFmt w:val="decimal"/>
      <w:pStyle w:val="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Y2I0OTFkMmI1YTkyNDVkODhhMGNkMTBiN2E2ZTMifQ=="/>
  </w:docVars>
  <w:rsids>
    <w:rsidRoot w:val="004A31C0"/>
    <w:rsid w:val="000166EA"/>
    <w:rsid w:val="00021D82"/>
    <w:rsid w:val="00040E44"/>
    <w:rsid w:val="000506FE"/>
    <w:rsid w:val="00052F13"/>
    <w:rsid w:val="00062A5D"/>
    <w:rsid w:val="00083EEE"/>
    <w:rsid w:val="000C67BA"/>
    <w:rsid w:val="000E75F8"/>
    <w:rsid w:val="000E7A92"/>
    <w:rsid w:val="001375DB"/>
    <w:rsid w:val="001448FA"/>
    <w:rsid w:val="001478DA"/>
    <w:rsid w:val="00173428"/>
    <w:rsid w:val="001A3CF6"/>
    <w:rsid w:val="001E112B"/>
    <w:rsid w:val="00240685"/>
    <w:rsid w:val="0024401D"/>
    <w:rsid w:val="002534A7"/>
    <w:rsid w:val="002E02E0"/>
    <w:rsid w:val="00316013"/>
    <w:rsid w:val="003169BC"/>
    <w:rsid w:val="003240B4"/>
    <w:rsid w:val="0035778E"/>
    <w:rsid w:val="00380ED1"/>
    <w:rsid w:val="00381B1D"/>
    <w:rsid w:val="003A3435"/>
    <w:rsid w:val="003B6360"/>
    <w:rsid w:val="003E6CD2"/>
    <w:rsid w:val="003F7F5E"/>
    <w:rsid w:val="004105E2"/>
    <w:rsid w:val="00424619"/>
    <w:rsid w:val="00424A1D"/>
    <w:rsid w:val="0043074A"/>
    <w:rsid w:val="00462F9D"/>
    <w:rsid w:val="004A31C0"/>
    <w:rsid w:val="004D5946"/>
    <w:rsid w:val="00501CA3"/>
    <w:rsid w:val="00516DE1"/>
    <w:rsid w:val="0054491C"/>
    <w:rsid w:val="00581054"/>
    <w:rsid w:val="00586819"/>
    <w:rsid w:val="005A325A"/>
    <w:rsid w:val="005A3BF2"/>
    <w:rsid w:val="0060320D"/>
    <w:rsid w:val="00604DF8"/>
    <w:rsid w:val="006511DA"/>
    <w:rsid w:val="00652051"/>
    <w:rsid w:val="0065383E"/>
    <w:rsid w:val="006600D1"/>
    <w:rsid w:val="00661973"/>
    <w:rsid w:val="006657BD"/>
    <w:rsid w:val="006C1814"/>
    <w:rsid w:val="006E1E1F"/>
    <w:rsid w:val="006F2568"/>
    <w:rsid w:val="006F282E"/>
    <w:rsid w:val="00706DC6"/>
    <w:rsid w:val="0071005E"/>
    <w:rsid w:val="00711092"/>
    <w:rsid w:val="00716529"/>
    <w:rsid w:val="00725C59"/>
    <w:rsid w:val="00734973"/>
    <w:rsid w:val="00742C93"/>
    <w:rsid w:val="00744AB4"/>
    <w:rsid w:val="007607EC"/>
    <w:rsid w:val="007B07B1"/>
    <w:rsid w:val="00825212"/>
    <w:rsid w:val="00830002"/>
    <w:rsid w:val="008344A8"/>
    <w:rsid w:val="008344AD"/>
    <w:rsid w:val="00843A59"/>
    <w:rsid w:val="00852E70"/>
    <w:rsid w:val="00872DA1"/>
    <w:rsid w:val="00873B8A"/>
    <w:rsid w:val="008B1281"/>
    <w:rsid w:val="008C3320"/>
    <w:rsid w:val="008F3812"/>
    <w:rsid w:val="008F729B"/>
    <w:rsid w:val="009040D0"/>
    <w:rsid w:val="009064F4"/>
    <w:rsid w:val="00924C3A"/>
    <w:rsid w:val="00973138"/>
    <w:rsid w:val="009823B1"/>
    <w:rsid w:val="009843A3"/>
    <w:rsid w:val="009863A6"/>
    <w:rsid w:val="0098739B"/>
    <w:rsid w:val="009B7259"/>
    <w:rsid w:val="009E6B47"/>
    <w:rsid w:val="00A3503E"/>
    <w:rsid w:val="00A401F1"/>
    <w:rsid w:val="00A5394E"/>
    <w:rsid w:val="00A955FA"/>
    <w:rsid w:val="00AB3C03"/>
    <w:rsid w:val="00AC5A89"/>
    <w:rsid w:val="00AE0610"/>
    <w:rsid w:val="00B02E7E"/>
    <w:rsid w:val="00B34428"/>
    <w:rsid w:val="00B50722"/>
    <w:rsid w:val="00B638D9"/>
    <w:rsid w:val="00C13744"/>
    <w:rsid w:val="00C555C7"/>
    <w:rsid w:val="00CA5372"/>
    <w:rsid w:val="00CA5AB0"/>
    <w:rsid w:val="00CC2BA5"/>
    <w:rsid w:val="00CD55C3"/>
    <w:rsid w:val="00CF35F3"/>
    <w:rsid w:val="00D03E3B"/>
    <w:rsid w:val="00D31771"/>
    <w:rsid w:val="00D6417F"/>
    <w:rsid w:val="00D770BB"/>
    <w:rsid w:val="00D901E0"/>
    <w:rsid w:val="00DC6A16"/>
    <w:rsid w:val="00DE7F9D"/>
    <w:rsid w:val="00E01C27"/>
    <w:rsid w:val="00E1596E"/>
    <w:rsid w:val="00E33F6C"/>
    <w:rsid w:val="00E428C8"/>
    <w:rsid w:val="00E81776"/>
    <w:rsid w:val="00E94AF3"/>
    <w:rsid w:val="00E97222"/>
    <w:rsid w:val="00EB21FD"/>
    <w:rsid w:val="00EC758F"/>
    <w:rsid w:val="00ED389E"/>
    <w:rsid w:val="00ED5E76"/>
    <w:rsid w:val="00EE2D23"/>
    <w:rsid w:val="00EF1C3A"/>
    <w:rsid w:val="00F15E61"/>
    <w:rsid w:val="00F53962"/>
    <w:rsid w:val="00F577A9"/>
    <w:rsid w:val="00F66F6C"/>
    <w:rsid w:val="00F71EF6"/>
    <w:rsid w:val="00F82240"/>
    <w:rsid w:val="00F872C5"/>
    <w:rsid w:val="00F906B9"/>
    <w:rsid w:val="00FA64B5"/>
    <w:rsid w:val="00FA6A3A"/>
    <w:rsid w:val="00FD41D5"/>
    <w:rsid w:val="00FD5896"/>
    <w:rsid w:val="00FE4335"/>
    <w:rsid w:val="01286C5C"/>
    <w:rsid w:val="051F3E50"/>
    <w:rsid w:val="098C2B06"/>
    <w:rsid w:val="0D7B3BE2"/>
    <w:rsid w:val="0D8932D9"/>
    <w:rsid w:val="0E4660AC"/>
    <w:rsid w:val="0E4C09E5"/>
    <w:rsid w:val="0F811E95"/>
    <w:rsid w:val="1404500D"/>
    <w:rsid w:val="18573D64"/>
    <w:rsid w:val="1DD35264"/>
    <w:rsid w:val="1EDA35BF"/>
    <w:rsid w:val="201F5BA8"/>
    <w:rsid w:val="20873B99"/>
    <w:rsid w:val="215E49C8"/>
    <w:rsid w:val="21CC56A0"/>
    <w:rsid w:val="26AA5F44"/>
    <w:rsid w:val="26CB50A9"/>
    <w:rsid w:val="2B8D50C5"/>
    <w:rsid w:val="30247F34"/>
    <w:rsid w:val="328F5F4B"/>
    <w:rsid w:val="32EF63B7"/>
    <w:rsid w:val="35D62830"/>
    <w:rsid w:val="3DE97746"/>
    <w:rsid w:val="3E3D6882"/>
    <w:rsid w:val="3F3423F7"/>
    <w:rsid w:val="40A030D6"/>
    <w:rsid w:val="41EC0438"/>
    <w:rsid w:val="44A8751D"/>
    <w:rsid w:val="49B570B6"/>
    <w:rsid w:val="4A777137"/>
    <w:rsid w:val="4B8D1A8F"/>
    <w:rsid w:val="4EB70F0D"/>
    <w:rsid w:val="4F367C3E"/>
    <w:rsid w:val="51785811"/>
    <w:rsid w:val="51DC67CC"/>
    <w:rsid w:val="53FF2B7C"/>
    <w:rsid w:val="544067AC"/>
    <w:rsid w:val="580975E3"/>
    <w:rsid w:val="59146B6E"/>
    <w:rsid w:val="5ABE7D87"/>
    <w:rsid w:val="5EB804F7"/>
    <w:rsid w:val="5EF75257"/>
    <w:rsid w:val="60255718"/>
    <w:rsid w:val="63276375"/>
    <w:rsid w:val="6507007A"/>
    <w:rsid w:val="650869CE"/>
    <w:rsid w:val="6CE90B36"/>
    <w:rsid w:val="6E2031CA"/>
    <w:rsid w:val="6EF77C20"/>
    <w:rsid w:val="704D384F"/>
    <w:rsid w:val="74380D70"/>
    <w:rsid w:val="74441D0D"/>
    <w:rsid w:val="7CB43536"/>
    <w:rsid w:val="7E094382"/>
    <w:rsid w:val="7E134A06"/>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6"/>
    <w:qFormat/>
    <w:uiPriority w:val="9"/>
    <w:pPr>
      <w:spacing w:before="480"/>
      <w:contextualSpacing/>
      <w:jc w:val="center"/>
      <w:outlineLvl w:val="0"/>
    </w:pPr>
    <w:rPr>
      <w:rFonts w:ascii="仿宋_GB2312" w:hAnsi="仿宋" w:eastAsia="仿宋_GB2312" w:cstheme="majorBidi"/>
      <w:b/>
      <w:smallCaps/>
      <w:spacing w:val="5"/>
      <w:sz w:val="36"/>
      <w:szCs w:val="36"/>
    </w:rPr>
  </w:style>
  <w:style w:type="paragraph" w:styleId="3">
    <w:name w:val="heading 2"/>
    <w:basedOn w:val="1"/>
    <w:next w:val="1"/>
    <w:link w:val="37"/>
    <w:unhideWhenUsed/>
    <w:qFormat/>
    <w:uiPriority w:val="9"/>
    <w:pPr>
      <w:spacing w:before="200" w:line="271" w:lineRule="auto"/>
      <w:jc w:val="center"/>
      <w:outlineLvl w:val="1"/>
    </w:pPr>
    <w:rPr>
      <w:rFonts w:ascii="仿宋" w:hAnsi="仿宋" w:eastAsia="仿宋" w:cstheme="majorBidi"/>
      <w:b/>
      <w:smallCaps/>
      <w:sz w:val="28"/>
      <w:szCs w:val="28"/>
    </w:rPr>
  </w:style>
  <w:style w:type="paragraph" w:styleId="4">
    <w:name w:val="heading 3"/>
    <w:basedOn w:val="1"/>
    <w:next w:val="1"/>
    <w:link w:val="38"/>
    <w:unhideWhenUsed/>
    <w:qFormat/>
    <w:uiPriority w:val="9"/>
    <w:pPr>
      <w:spacing w:after="200"/>
      <w:outlineLvl w:val="2"/>
    </w:pPr>
    <w:rPr>
      <w:rFonts w:ascii="仿宋" w:hAnsi="仿宋" w:eastAsia="仿宋" w:cstheme="majorBidi"/>
      <w:b/>
    </w:rPr>
  </w:style>
  <w:style w:type="paragraph" w:styleId="5">
    <w:name w:val="heading 4"/>
    <w:basedOn w:val="1"/>
    <w:next w:val="1"/>
    <w:link w:val="39"/>
    <w:unhideWhenUsed/>
    <w:qFormat/>
    <w:uiPriority w:val="9"/>
    <w:pPr>
      <w:spacing w:line="271" w:lineRule="auto"/>
      <w:outlineLvl w:val="3"/>
    </w:pPr>
    <w:rPr>
      <w:rFonts w:ascii="仿宋" w:hAnsi="仿宋" w:eastAsia="仿宋" w:cstheme="majorBidi"/>
      <w:b/>
      <w:bCs/>
      <w:spacing w:val="5"/>
    </w:rPr>
  </w:style>
  <w:style w:type="paragraph" w:styleId="6">
    <w:name w:val="heading 5"/>
    <w:basedOn w:val="1"/>
    <w:next w:val="1"/>
    <w:link w:val="40"/>
    <w:unhideWhenUsed/>
    <w:qFormat/>
    <w:uiPriority w:val="9"/>
    <w:pPr>
      <w:spacing w:line="271" w:lineRule="auto"/>
      <w:outlineLvl w:val="4"/>
    </w:pPr>
    <w:rPr>
      <w:rFonts w:ascii="仿宋" w:hAnsi="仿宋" w:eastAsia="仿宋" w:cstheme="majorBidi"/>
      <w:i/>
      <w:iCs/>
    </w:rPr>
  </w:style>
  <w:style w:type="paragraph" w:styleId="7">
    <w:name w:val="heading 6"/>
    <w:basedOn w:val="1"/>
    <w:next w:val="1"/>
    <w:link w:val="41"/>
    <w:semiHidden/>
    <w:unhideWhenUsed/>
    <w:qFormat/>
    <w:uiPriority w:val="9"/>
    <w:pPr>
      <w:shd w:val="clear" w:color="auto" w:fill="FFFFFF" w:themeFill="background1"/>
      <w:spacing w:line="271" w:lineRule="auto"/>
      <w:outlineLvl w:val="5"/>
    </w:pPr>
    <w:rPr>
      <w:rFonts w:ascii="仿宋" w:hAnsi="仿宋" w:eastAsia="仿宋" w:cstheme="majorBidi"/>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42"/>
    <w:semiHidden/>
    <w:unhideWhenUsed/>
    <w:qFormat/>
    <w:uiPriority w:val="9"/>
    <w:pPr>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3"/>
    <w:semiHidden/>
    <w:unhideWhenUsed/>
    <w:qFormat/>
    <w:uiPriority w:val="9"/>
    <w:pPr>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4"/>
    <w:semiHidden/>
    <w:unhideWhenUsed/>
    <w:qFormat/>
    <w:uiPriority w:val="9"/>
    <w:pPr>
      <w:spacing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3"/>
    <w:qFormat/>
    <w:uiPriority w:val="0"/>
    <w:pPr>
      <w:adjustRightInd w:val="0"/>
      <w:snapToGrid w:val="0"/>
      <w:spacing w:line="480" w:lineRule="exact"/>
      <w:ind w:firstLine="567"/>
      <w:jc w:val="both"/>
    </w:pPr>
    <w:rPr>
      <w:rFonts w:hAnsi="Times New Roman"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Body Text"/>
    <w:basedOn w:val="1"/>
    <w:next w:val="14"/>
    <w:link w:val="92"/>
    <w:qFormat/>
    <w:uiPriority w:val="99"/>
    <w:pPr>
      <w:autoSpaceDE w:val="0"/>
      <w:autoSpaceDN w:val="0"/>
      <w:adjustRightInd w:val="0"/>
      <w:spacing w:after="200" w:line="360" w:lineRule="auto"/>
    </w:pPr>
    <w:rPr>
      <w:rFonts w:hAnsi="Arial" w:eastAsia="仿宋" w:cs="Arial"/>
      <w:snapToGrid w:val="0"/>
      <w:szCs w:val="21"/>
      <w:lang w:val="zh-CN"/>
    </w:rPr>
  </w:style>
  <w:style w:type="paragraph" w:styleId="14">
    <w:name w:val="Body Text First Indent"/>
    <w:basedOn w:val="13"/>
    <w:next w:val="1"/>
    <w:qFormat/>
    <w:uiPriority w:val="0"/>
    <w:pPr>
      <w:ind w:firstLine="420"/>
    </w:pPr>
    <w:rPr>
      <w:rFonts w:hAnsi="Calibri" w:cs="Times New Roman"/>
      <w:snapToGrid/>
      <w:szCs w:val="20"/>
    </w:rPr>
  </w:style>
  <w:style w:type="paragraph" w:styleId="15">
    <w:name w:val="Body Text Indent"/>
    <w:basedOn w:val="1"/>
    <w:next w:val="1"/>
    <w:link w:val="66"/>
    <w:qFormat/>
    <w:uiPriority w:val="0"/>
    <w:pPr>
      <w:widowControl w:val="0"/>
      <w:adjustRightInd w:val="0"/>
      <w:spacing w:line="480" w:lineRule="exact"/>
      <w:ind w:firstLine="480" w:firstLineChars="200"/>
      <w:jc w:val="both"/>
    </w:pPr>
    <w:rPr>
      <w:rFonts w:cs="Times New Roman"/>
      <w:kern w:val="2"/>
    </w:rPr>
  </w:style>
  <w:style w:type="paragraph" w:styleId="16">
    <w:name w:val="Plain Text"/>
    <w:basedOn w:val="1"/>
    <w:link w:val="64"/>
    <w:qFormat/>
    <w:uiPriority w:val="0"/>
    <w:pPr>
      <w:widowControl w:val="0"/>
      <w:adjustRightInd w:val="0"/>
      <w:jc w:val="both"/>
    </w:pPr>
    <w:rPr>
      <w:rFonts w:hAnsi="Courier New" w:cs="Arial"/>
      <w:snapToGrid w:val="0"/>
      <w:kern w:val="2"/>
      <w:sz w:val="21"/>
      <w:szCs w:val="21"/>
    </w:rPr>
  </w:style>
  <w:style w:type="paragraph" w:styleId="17">
    <w:name w:val="Balloon Text"/>
    <w:basedOn w:val="1"/>
    <w:link w:val="78"/>
    <w:semiHidden/>
    <w:unhideWhenUsed/>
    <w:qFormat/>
    <w:uiPriority w:val="99"/>
    <w:rPr>
      <w:sz w:val="18"/>
      <w:szCs w:val="18"/>
    </w:rPr>
  </w:style>
  <w:style w:type="paragraph" w:styleId="18">
    <w:name w:val="footer"/>
    <w:basedOn w:val="1"/>
    <w:link w:val="35"/>
    <w:unhideWhenUsed/>
    <w:qFormat/>
    <w:uiPriority w:val="99"/>
    <w:pPr>
      <w:tabs>
        <w:tab w:val="center" w:pos="4153"/>
        <w:tab w:val="right" w:pos="8306"/>
      </w:tabs>
      <w:snapToGrid w:val="0"/>
      <w:spacing w:after="200"/>
    </w:pPr>
    <w:rPr>
      <w:rFonts w:ascii="仿宋" w:hAnsi="仿宋" w:eastAsia="仿宋" w:cstheme="majorBidi"/>
      <w:sz w:val="18"/>
      <w:szCs w:val="18"/>
    </w:rPr>
  </w:style>
  <w:style w:type="paragraph" w:styleId="19">
    <w:name w:val="header"/>
    <w:basedOn w:val="1"/>
    <w:link w:val="34"/>
    <w:unhideWhenUsed/>
    <w:qFormat/>
    <w:uiPriority w:val="99"/>
    <w:pPr>
      <w:pBdr>
        <w:bottom w:val="single" w:color="auto" w:sz="6" w:space="1"/>
      </w:pBdr>
      <w:tabs>
        <w:tab w:val="center" w:pos="4153"/>
        <w:tab w:val="right" w:pos="8306"/>
      </w:tabs>
      <w:snapToGrid w:val="0"/>
      <w:spacing w:after="200"/>
      <w:jc w:val="center"/>
    </w:pPr>
    <w:rPr>
      <w:rFonts w:ascii="仿宋" w:hAnsi="仿宋" w:eastAsia="仿宋" w:cstheme="majorBidi"/>
      <w:sz w:val="18"/>
      <w:szCs w:val="18"/>
    </w:rPr>
  </w:style>
  <w:style w:type="paragraph" w:styleId="20">
    <w:name w:val="toc 1"/>
    <w:basedOn w:val="1"/>
    <w:next w:val="1"/>
    <w:qFormat/>
    <w:uiPriority w:val="0"/>
    <w:pPr>
      <w:spacing w:after="200"/>
    </w:pPr>
    <w:rPr>
      <w:rFonts w:ascii="仿宋" w:hAnsi="仿宋" w:eastAsia="仿宋" w:cstheme="majorBidi"/>
    </w:rPr>
  </w:style>
  <w:style w:type="paragraph" w:styleId="21">
    <w:name w:val="Subtitle"/>
    <w:basedOn w:val="1"/>
    <w:next w:val="1"/>
    <w:link w:val="46"/>
    <w:qFormat/>
    <w:uiPriority w:val="11"/>
    <w:pPr>
      <w:spacing w:after="200"/>
    </w:pPr>
    <w:rPr>
      <w:rFonts w:ascii="仿宋" w:hAnsi="仿宋" w:eastAsia="仿宋" w:cstheme="majorBidi"/>
      <w:i/>
      <w:iCs/>
      <w:smallCaps/>
      <w:spacing w:val="10"/>
      <w:sz w:val="28"/>
      <w:szCs w:val="28"/>
    </w:rPr>
  </w:style>
  <w:style w:type="paragraph" w:styleId="22">
    <w:name w:val="Normal (Web)"/>
    <w:basedOn w:val="1"/>
    <w:qFormat/>
    <w:uiPriority w:val="99"/>
    <w:pPr>
      <w:spacing w:before="100" w:beforeAutospacing="1" w:after="100" w:afterAutospacing="1"/>
    </w:pPr>
    <w:rPr>
      <w:rFonts w:ascii="仿宋" w:hAnsi="仿宋" w:eastAsia="仿宋" w:cstheme="majorBidi"/>
    </w:rPr>
  </w:style>
  <w:style w:type="paragraph" w:styleId="23">
    <w:name w:val="Title"/>
    <w:basedOn w:val="1"/>
    <w:next w:val="1"/>
    <w:link w:val="45"/>
    <w:qFormat/>
    <w:uiPriority w:val="10"/>
    <w:pPr>
      <w:spacing w:after="300"/>
      <w:contextualSpacing/>
    </w:pPr>
    <w:rPr>
      <w:rFonts w:ascii="仿宋" w:hAnsi="仿宋" w:eastAsia="仿宋" w:cstheme="majorBidi"/>
      <w:smallCaps/>
      <w:sz w:val="52"/>
      <w:szCs w:val="52"/>
    </w:rPr>
  </w:style>
  <w:style w:type="paragraph" w:styleId="24">
    <w:name w:val="Body Text First Indent 2"/>
    <w:basedOn w:val="15"/>
    <w:semiHidden/>
    <w:unhideWhenUsed/>
    <w:qFormat/>
    <w:uiPriority w:val="99"/>
    <w:pPr>
      <w:ind w:firstLine="420"/>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FollowedHyperlink"/>
    <w:basedOn w:val="27"/>
    <w:semiHidden/>
    <w:unhideWhenUsed/>
    <w:qFormat/>
    <w:uiPriority w:val="99"/>
    <w:rPr>
      <w:color w:val="954F72"/>
      <w:u w:val="single"/>
    </w:rPr>
  </w:style>
  <w:style w:type="character" w:styleId="30">
    <w:name w:val="Emphasis"/>
    <w:qFormat/>
    <w:uiPriority w:val="20"/>
    <w:rPr>
      <w:b/>
      <w:bCs/>
      <w:i/>
      <w:iCs/>
      <w:spacing w:val="10"/>
    </w:rPr>
  </w:style>
  <w:style w:type="character" w:styleId="31">
    <w:name w:val="Hyperlink"/>
    <w:qFormat/>
    <w:uiPriority w:val="99"/>
    <w:rPr>
      <w:rFonts w:ascii="Arial" w:hAnsi="Arial" w:eastAsia="黑体" w:cs="Arial"/>
      <w:snapToGrid w:val="0"/>
      <w:color w:val="000000"/>
      <w:kern w:val="0"/>
      <w:sz w:val="18"/>
      <w:szCs w:val="18"/>
      <w:u w:val="none"/>
    </w:rPr>
  </w:style>
  <w:style w:type="paragraph" w:customStyle="1" w:styleId="32">
    <w:name w:val="[Normal]"/>
    <w:qFormat/>
    <w:uiPriority w:val="0"/>
    <w:rPr>
      <w:rFonts w:ascii="宋体" w:hAnsi="宋体" w:eastAsia="宋体" w:cs="Times New Roman"/>
      <w:sz w:val="24"/>
      <w:szCs w:val="22"/>
      <w:lang w:val="zh-CN" w:eastAsia="zh-CN" w:bidi="ar-SA"/>
    </w:rPr>
  </w:style>
  <w:style w:type="paragraph" w:customStyle="1" w:styleId="33">
    <w:name w:val="正文文本首行缩进 21"/>
    <w:basedOn w:val="15"/>
    <w:qFormat/>
    <w:uiPriority w:val="99"/>
    <w:pPr>
      <w:spacing w:line="200" w:lineRule="atLeast"/>
      <w:ind w:firstLine="420"/>
    </w:pPr>
    <w:rPr>
      <w:rFonts w:hAnsi="Courier New" w:asciiTheme="minorHAnsi" w:eastAsiaTheme="minorEastAsia" w:cstheme="minorBidi"/>
      <w:spacing w:val="-4"/>
      <w:sz w:val="18"/>
      <w:szCs w:val="22"/>
    </w:rPr>
  </w:style>
  <w:style w:type="character" w:customStyle="1" w:styleId="34">
    <w:name w:val="页眉 字符"/>
    <w:basedOn w:val="27"/>
    <w:link w:val="19"/>
    <w:qFormat/>
    <w:uiPriority w:val="99"/>
    <w:rPr>
      <w:sz w:val="18"/>
      <w:szCs w:val="18"/>
    </w:rPr>
  </w:style>
  <w:style w:type="character" w:customStyle="1" w:styleId="35">
    <w:name w:val="页脚 字符"/>
    <w:basedOn w:val="27"/>
    <w:link w:val="18"/>
    <w:qFormat/>
    <w:uiPriority w:val="99"/>
    <w:rPr>
      <w:sz w:val="18"/>
      <w:szCs w:val="18"/>
    </w:rPr>
  </w:style>
  <w:style w:type="character" w:customStyle="1" w:styleId="36">
    <w:name w:val="标题 1 字符"/>
    <w:basedOn w:val="27"/>
    <w:link w:val="2"/>
    <w:qFormat/>
    <w:uiPriority w:val="9"/>
    <w:rPr>
      <w:rFonts w:ascii="仿宋_GB2312" w:hAnsi="仿宋" w:eastAsia="仿宋_GB2312"/>
      <w:b/>
      <w:smallCaps/>
      <w:spacing w:val="5"/>
      <w:sz w:val="36"/>
      <w:szCs w:val="36"/>
    </w:rPr>
  </w:style>
  <w:style w:type="character" w:customStyle="1" w:styleId="37">
    <w:name w:val="标题 2 字符"/>
    <w:basedOn w:val="27"/>
    <w:link w:val="3"/>
    <w:qFormat/>
    <w:uiPriority w:val="9"/>
    <w:rPr>
      <w:rFonts w:ascii="仿宋" w:hAnsi="仿宋" w:eastAsia="仿宋"/>
      <w:b/>
      <w:smallCaps/>
      <w:sz w:val="28"/>
      <w:szCs w:val="28"/>
    </w:rPr>
  </w:style>
  <w:style w:type="character" w:customStyle="1" w:styleId="38">
    <w:name w:val="标题 3 字符"/>
    <w:basedOn w:val="27"/>
    <w:link w:val="4"/>
    <w:qFormat/>
    <w:uiPriority w:val="9"/>
    <w:rPr>
      <w:rFonts w:ascii="仿宋" w:hAnsi="仿宋" w:eastAsia="仿宋"/>
      <w:b/>
      <w:sz w:val="24"/>
      <w:szCs w:val="24"/>
    </w:rPr>
  </w:style>
  <w:style w:type="character" w:customStyle="1" w:styleId="39">
    <w:name w:val="标题 4 字符"/>
    <w:basedOn w:val="27"/>
    <w:link w:val="5"/>
    <w:qFormat/>
    <w:uiPriority w:val="9"/>
    <w:rPr>
      <w:b/>
      <w:bCs/>
      <w:spacing w:val="5"/>
      <w:sz w:val="24"/>
      <w:szCs w:val="24"/>
    </w:rPr>
  </w:style>
  <w:style w:type="character" w:customStyle="1" w:styleId="40">
    <w:name w:val="标题 5 字符"/>
    <w:basedOn w:val="27"/>
    <w:link w:val="6"/>
    <w:qFormat/>
    <w:uiPriority w:val="9"/>
    <w:rPr>
      <w:i/>
      <w:iCs/>
      <w:sz w:val="24"/>
      <w:szCs w:val="24"/>
    </w:rPr>
  </w:style>
  <w:style w:type="character" w:customStyle="1" w:styleId="41">
    <w:name w:val="标题 6 字符"/>
    <w:basedOn w:val="27"/>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2">
    <w:name w:val="标题 7 字符"/>
    <w:basedOn w:val="27"/>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3">
    <w:name w:val="标题 8 字符"/>
    <w:basedOn w:val="27"/>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4">
    <w:name w:val="标题 9 字符"/>
    <w:basedOn w:val="27"/>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5">
    <w:name w:val="标题 字符"/>
    <w:basedOn w:val="27"/>
    <w:link w:val="23"/>
    <w:qFormat/>
    <w:uiPriority w:val="10"/>
    <w:rPr>
      <w:smallCaps/>
      <w:sz w:val="52"/>
      <w:szCs w:val="52"/>
    </w:rPr>
  </w:style>
  <w:style w:type="character" w:customStyle="1" w:styleId="46">
    <w:name w:val="副标题 字符"/>
    <w:basedOn w:val="27"/>
    <w:link w:val="21"/>
    <w:qFormat/>
    <w:uiPriority w:val="11"/>
    <w:rPr>
      <w:i/>
      <w:iCs/>
      <w:smallCaps/>
      <w:spacing w:val="10"/>
      <w:sz w:val="28"/>
      <w:szCs w:val="28"/>
    </w:rPr>
  </w:style>
  <w:style w:type="paragraph" w:styleId="47">
    <w:name w:val="No Spacing"/>
    <w:basedOn w:val="1"/>
    <w:link w:val="59"/>
    <w:qFormat/>
    <w:uiPriority w:val="1"/>
    <w:rPr>
      <w:rFonts w:ascii="仿宋" w:hAnsi="仿宋" w:eastAsia="仿宋" w:cstheme="majorBidi"/>
    </w:rPr>
  </w:style>
  <w:style w:type="paragraph" w:styleId="48">
    <w:name w:val="List Paragraph"/>
    <w:basedOn w:val="1"/>
    <w:qFormat/>
    <w:uiPriority w:val="34"/>
    <w:pPr>
      <w:spacing w:after="200"/>
      <w:ind w:left="720"/>
      <w:contextualSpacing/>
    </w:pPr>
    <w:rPr>
      <w:rFonts w:ascii="仿宋" w:hAnsi="仿宋" w:eastAsia="仿宋" w:cstheme="majorBidi"/>
    </w:rPr>
  </w:style>
  <w:style w:type="paragraph" w:styleId="49">
    <w:name w:val="Quote"/>
    <w:basedOn w:val="1"/>
    <w:next w:val="1"/>
    <w:link w:val="50"/>
    <w:qFormat/>
    <w:uiPriority w:val="29"/>
    <w:pPr>
      <w:spacing w:after="200"/>
    </w:pPr>
    <w:rPr>
      <w:rFonts w:ascii="仿宋" w:hAnsi="仿宋" w:eastAsia="仿宋" w:cstheme="majorBidi"/>
      <w:i/>
      <w:iCs/>
    </w:rPr>
  </w:style>
  <w:style w:type="character" w:customStyle="1" w:styleId="50">
    <w:name w:val="引用 字符"/>
    <w:basedOn w:val="27"/>
    <w:link w:val="49"/>
    <w:qFormat/>
    <w:uiPriority w:val="29"/>
    <w:rPr>
      <w:i/>
      <w:iCs/>
    </w:rPr>
  </w:style>
  <w:style w:type="paragraph" w:styleId="51">
    <w:name w:val="Intense Quote"/>
    <w:basedOn w:val="1"/>
    <w:next w:val="1"/>
    <w:link w:val="52"/>
    <w:qFormat/>
    <w:uiPriority w:val="30"/>
    <w:pPr>
      <w:pBdr>
        <w:top w:val="single" w:color="auto" w:sz="4" w:space="10"/>
        <w:bottom w:val="single" w:color="auto" w:sz="4" w:space="10"/>
      </w:pBdr>
      <w:spacing w:before="240" w:after="240" w:line="300" w:lineRule="auto"/>
      <w:ind w:left="1152" w:right="1152"/>
      <w:jc w:val="both"/>
    </w:pPr>
    <w:rPr>
      <w:rFonts w:ascii="仿宋" w:hAnsi="仿宋" w:eastAsia="仿宋" w:cstheme="majorBidi"/>
      <w:i/>
      <w:iCs/>
    </w:rPr>
  </w:style>
  <w:style w:type="character" w:customStyle="1" w:styleId="52">
    <w:name w:val="明显引用 字符"/>
    <w:basedOn w:val="27"/>
    <w:link w:val="51"/>
    <w:qFormat/>
    <w:uiPriority w:val="30"/>
    <w:rPr>
      <w:i/>
      <w:iCs/>
    </w:rPr>
  </w:style>
  <w:style w:type="character" w:customStyle="1" w:styleId="53">
    <w:name w:val="不明显强调1"/>
    <w:qFormat/>
    <w:uiPriority w:val="19"/>
    <w:rPr>
      <w:i/>
      <w:iCs/>
    </w:rPr>
  </w:style>
  <w:style w:type="character" w:customStyle="1" w:styleId="54">
    <w:name w:val="明显强调1"/>
    <w:qFormat/>
    <w:uiPriority w:val="21"/>
    <w:rPr>
      <w:b/>
      <w:bCs/>
      <w:i/>
      <w:iCs/>
    </w:rPr>
  </w:style>
  <w:style w:type="character" w:customStyle="1" w:styleId="55">
    <w:name w:val="不明显参考1"/>
    <w:basedOn w:val="27"/>
    <w:qFormat/>
    <w:uiPriority w:val="31"/>
    <w:rPr>
      <w:smallCaps/>
    </w:rPr>
  </w:style>
  <w:style w:type="character" w:customStyle="1" w:styleId="56">
    <w:name w:val="明显参考1"/>
    <w:qFormat/>
    <w:uiPriority w:val="32"/>
    <w:rPr>
      <w:b/>
      <w:bCs/>
      <w:smallCaps/>
    </w:rPr>
  </w:style>
  <w:style w:type="character" w:customStyle="1" w:styleId="57">
    <w:name w:val="书籍标题1"/>
    <w:basedOn w:val="27"/>
    <w:qFormat/>
    <w:uiPriority w:val="33"/>
    <w:rPr>
      <w:i/>
      <w:iCs/>
      <w:smallCaps/>
      <w:spacing w:val="5"/>
    </w:rPr>
  </w:style>
  <w:style w:type="paragraph" w:customStyle="1" w:styleId="58">
    <w:name w:val="TOC 标题1"/>
    <w:basedOn w:val="2"/>
    <w:next w:val="1"/>
    <w:semiHidden/>
    <w:unhideWhenUsed/>
    <w:qFormat/>
    <w:uiPriority w:val="39"/>
    <w:pPr>
      <w:outlineLvl w:val="9"/>
    </w:pPr>
    <w:rPr>
      <w:lang w:bidi="en-US"/>
    </w:rPr>
  </w:style>
  <w:style w:type="character" w:customStyle="1" w:styleId="59">
    <w:name w:val="无间隔 字符"/>
    <w:basedOn w:val="27"/>
    <w:link w:val="47"/>
    <w:qFormat/>
    <w:uiPriority w:val="1"/>
  </w:style>
  <w:style w:type="paragraph" w:customStyle="1" w:styleId="60">
    <w:name w:val="Personal Name"/>
    <w:basedOn w:val="23"/>
    <w:qFormat/>
    <w:uiPriority w:val="0"/>
    <w:rPr>
      <w:b/>
      <w:caps/>
      <w:color w:val="000000"/>
      <w:sz w:val="28"/>
      <w:szCs w:val="28"/>
    </w:rPr>
  </w:style>
  <w:style w:type="character" w:customStyle="1" w:styleId="61">
    <w:name w:val="正文2 Char Char"/>
    <w:link w:val="62"/>
    <w:qFormat/>
    <w:uiPriority w:val="0"/>
    <w:rPr>
      <w:rFonts w:ascii="仿宋" w:hAnsi="仿宋" w:eastAsia="仿宋"/>
      <w:sz w:val="24"/>
      <w:szCs w:val="24"/>
    </w:rPr>
  </w:style>
  <w:style w:type="paragraph" w:customStyle="1" w:styleId="62">
    <w:name w:val="正文2"/>
    <w:basedOn w:val="1"/>
    <w:link w:val="61"/>
    <w:qFormat/>
    <w:uiPriority w:val="0"/>
    <w:pPr>
      <w:spacing w:after="200" w:line="360" w:lineRule="auto"/>
    </w:pPr>
    <w:rPr>
      <w:rFonts w:ascii="仿宋" w:hAnsi="仿宋" w:eastAsia="仿宋" w:cstheme="majorBidi"/>
    </w:rPr>
  </w:style>
  <w:style w:type="character" w:customStyle="1" w:styleId="63">
    <w:name w:val="正文缩进 字符"/>
    <w:link w:val="11"/>
    <w:qFormat/>
    <w:uiPriority w:val="0"/>
    <w:rPr>
      <w:rFonts w:ascii="宋体" w:hAnsi="Times New Roman" w:eastAsia="宋体" w:cs="Times New Roman"/>
      <w:snapToGrid w:val="0"/>
      <w:color w:val="000000"/>
      <w:kern w:val="28"/>
      <w:sz w:val="28"/>
      <w:szCs w:val="20"/>
    </w:rPr>
  </w:style>
  <w:style w:type="character" w:customStyle="1" w:styleId="64">
    <w:name w:val="纯文本 字符"/>
    <w:basedOn w:val="27"/>
    <w:link w:val="16"/>
    <w:qFormat/>
    <w:uiPriority w:val="0"/>
    <w:rPr>
      <w:rFonts w:ascii="宋体" w:hAnsi="Courier New" w:eastAsia="宋体" w:cs="Arial"/>
      <w:snapToGrid w:val="0"/>
      <w:kern w:val="2"/>
      <w:sz w:val="21"/>
      <w:szCs w:val="21"/>
    </w:rPr>
  </w:style>
  <w:style w:type="character" w:customStyle="1" w:styleId="65">
    <w:name w:val="正文文本缩进 Char"/>
    <w:basedOn w:val="27"/>
    <w:semiHidden/>
    <w:qFormat/>
    <w:uiPriority w:val="99"/>
    <w:rPr>
      <w:rFonts w:ascii="仿宋" w:hAnsi="仿宋" w:eastAsia="仿宋"/>
      <w:sz w:val="24"/>
      <w:szCs w:val="24"/>
    </w:rPr>
  </w:style>
  <w:style w:type="character" w:customStyle="1" w:styleId="66">
    <w:name w:val="正文文本缩进 字符"/>
    <w:link w:val="15"/>
    <w:qFormat/>
    <w:uiPriority w:val="0"/>
    <w:rPr>
      <w:rFonts w:ascii="宋体" w:hAnsi="宋体" w:eastAsia="宋体" w:cs="Times New Roman"/>
      <w:kern w:val="2"/>
      <w:sz w:val="24"/>
      <w:szCs w:val="24"/>
    </w:rPr>
  </w:style>
  <w:style w:type="character" w:customStyle="1" w:styleId="67">
    <w:name w:val="标题 Char2"/>
    <w:qFormat/>
    <w:uiPriority w:val="10"/>
    <w:rPr>
      <w:b/>
      <w:sz w:val="24"/>
      <w:lang w:val="en-GB"/>
    </w:rPr>
  </w:style>
  <w:style w:type="character" w:customStyle="1" w:styleId="68">
    <w:name w:val="纯文本 Char1"/>
    <w:link w:val="69"/>
    <w:qFormat/>
    <w:uiPriority w:val="0"/>
    <w:rPr>
      <w:rFonts w:ascii="宋体" w:hAnsi="Courier New"/>
    </w:rPr>
  </w:style>
  <w:style w:type="paragraph" w:customStyle="1" w:styleId="69">
    <w:name w:val="纯文本1"/>
    <w:basedOn w:val="1"/>
    <w:link w:val="68"/>
    <w:qFormat/>
    <w:uiPriority w:val="0"/>
    <w:pPr>
      <w:widowControl w:val="0"/>
      <w:jc w:val="both"/>
    </w:pPr>
    <w:rPr>
      <w:rFonts w:hAnsi="Courier New" w:eastAsiaTheme="majorEastAsia" w:cstheme="majorBidi"/>
      <w:sz w:val="22"/>
      <w:szCs w:val="22"/>
    </w:rPr>
  </w:style>
  <w:style w:type="character" w:customStyle="1" w:styleId="70">
    <w:name w:val="页脚 Char2"/>
    <w:qFormat/>
    <w:locked/>
    <w:uiPriority w:val="99"/>
    <w:rPr>
      <w:kern w:val="2"/>
      <w:sz w:val="18"/>
      <w:szCs w:val="18"/>
    </w:rPr>
  </w:style>
  <w:style w:type="character" w:customStyle="1" w:styleId="71">
    <w:name w:val="页眉 Char2"/>
    <w:qFormat/>
    <w:uiPriority w:val="99"/>
    <w:rPr>
      <w:kern w:val="2"/>
      <w:sz w:val="18"/>
      <w:szCs w:val="18"/>
    </w:rPr>
  </w:style>
  <w:style w:type="paragraph" w:customStyle="1" w:styleId="72">
    <w:name w:val="索引 11"/>
    <w:basedOn w:val="1"/>
    <w:next w:val="1"/>
    <w:qFormat/>
    <w:uiPriority w:val="99"/>
    <w:pPr>
      <w:widowControl w:val="0"/>
      <w:spacing w:line="360" w:lineRule="auto"/>
      <w:jc w:val="both"/>
    </w:pPr>
    <w:rPr>
      <w:rFonts w:ascii="仿宋_GB2312" w:hAnsi="Times New Roman" w:eastAsia="仿宋_GB2312" w:cs="Times New Roman"/>
      <w:kern w:val="2"/>
      <w:szCs w:val="20"/>
    </w:rPr>
  </w:style>
  <w:style w:type="paragraph" w:customStyle="1" w:styleId="73">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cs="Times New Roman"/>
      <w:kern w:val="2"/>
      <w:szCs w:val="21"/>
    </w:rPr>
  </w:style>
  <w:style w:type="paragraph" w:customStyle="1" w:styleId="74">
    <w:name w:val="text-tag"/>
    <w:basedOn w:val="1"/>
    <w:semiHidden/>
    <w:qFormat/>
    <w:uiPriority w:val="99"/>
    <w:pPr>
      <w:spacing w:before="100" w:beforeAutospacing="1" w:after="100" w:afterAutospacing="1"/>
    </w:pPr>
  </w:style>
  <w:style w:type="character" w:customStyle="1" w:styleId="75">
    <w:name w:val="纯文本 Char_0"/>
    <w:link w:val="76"/>
    <w:qFormat/>
    <w:uiPriority w:val="0"/>
    <w:rPr>
      <w:rFonts w:ascii="宋体" w:hAnsi="Courier New"/>
      <w:kern w:val="2"/>
      <w:sz w:val="21"/>
      <w:szCs w:val="21"/>
    </w:rPr>
  </w:style>
  <w:style w:type="paragraph" w:customStyle="1" w:styleId="76">
    <w:name w:val="纯文本_0_0"/>
    <w:basedOn w:val="1"/>
    <w:link w:val="75"/>
    <w:qFormat/>
    <w:uiPriority w:val="0"/>
    <w:pPr>
      <w:widowControl w:val="0"/>
      <w:jc w:val="both"/>
    </w:pPr>
    <w:rPr>
      <w:rFonts w:hAnsi="Courier New" w:eastAsiaTheme="majorEastAsia" w:cstheme="majorBidi"/>
      <w:kern w:val="2"/>
      <w:sz w:val="21"/>
      <w:szCs w:val="21"/>
    </w:rPr>
  </w:style>
  <w:style w:type="paragraph" w:customStyle="1" w:styleId="77">
    <w:name w:val="部分1"/>
    <w:basedOn w:val="1"/>
    <w:qFormat/>
    <w:uiPriority w:val="0"/>
    <w:pPr>
      <w:keepNext/>
      <w:pageBreakBefore/>
      <w:widowControl w:val="0"/>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character" w:customStyle="1" w:styleId="78">
    <w:name w:val="批注框文本 字符"/>
    <w:basedOn w:val="27"/>
    <w:link w:val="17"/>
    <w:semiHidden/>
    <w:qFormat/>
    <w:uiPriority w:val="99"/>
    <w:rPr>
      <w:rFonts w:ascii="仿宋" w:hAnsi="仿宋" w:eastAsia="仿宋"/>
      <w:sz w:val="18"/>
      <w:szCs w:val="18"/>
    </w:rPr>
  </w:style>
  <w:style w:type="paragraph" w:customStyle="1" w:styleId="79">
    <w:name w:val="3级"/>
    <w:basedOn w:val="1"/>
    <w:qFormat/>
    <w:uiPriority w:val="0"/>
    <w:pPr>
      <w:numPr>
        <w:ilvl w:val="0"/>
        <w:numId w:val="1"/>
      </w:numPr>
      <w:spacing w:after="200" w:line="360" w:lineRule="auto"/>
      <w:outlineLvl w:val="2"/>
    </w:pPr>
    <w:rPr>
      <w:rFonts w:ascii="仿宋" w:hAnsi="仿宋" w:eastAsia="仿宋" w:cstheme="majorBidi"/>
      <w:b/>
    </w:rPr>
  </w:style>
  <w:style w:type="paragraph" w:customStyle="1" w:styleId="80">
    <w:name w:val="zhengwen"/>
    <w:basedOn w:val="1"/>
    <w:qFormat/>
    <w:uiPriority w:val="0"/>
    <w:pPr>
      <w:spacing w:after="200" w:line="360" w:lineRule="auto"/>
      <w:ind w:left="-2" w:leftChars="-1" w:firstLine="425" w:firstLineChars="177"/>
    </w:pPr>
    <w:rPr>
      <w:rFonts w:ascii="仿宋" w:hAnsi="仿宋" w:eastAsia="仿宋" w:cstheme="majorBidi"/>
    </w:rPr>
  </w:style>
  <w:style w:type="paragraph" w:customStyle="1" w:styleId="81">
    <w:name w:val="文档正文"/>
    <w:basedOn w:val="1"/>
    <w:qFormat/>
    <w:uiPriority w:val="0"/>
    <w:pPr>
      <w:spacing w:after="200" w:line="480" w:lineRule="atLeast"/>
      <w:ind w:firstLine="567"/>
      <w:textAlignment w:val="baseline"/>
    </w:pPr>
    <w:rPr>
      <w:rFonts w:ascii="仿宋" w:hAnsi="仿宋" w:eastAsia="仿宋" w:cstheme="majorBidi"/>
      <w:szCs w:val="20"/>
    </w:rPr>
  </w:style>
  <w:style w:type="paragraph" w:customStyle="1" w:styleId="82">
    <w:name w:val="正常"/>
    <w:qFormat/>
    <w:uiPriority w:val="0"/>
    <w:pPr>
      <w:widowControl w:val="0"/>
      <w:jc w:val="both"/>
    </w:pPr>
    <w:rPr>
      <w:rFonts w:ascii="宋体" w:hAnsi="宋体" w:eastAsia="宋体" w:cs="Times New Roman"/>
      <w:snapToGrid w:val="0"/>
      <w:sz w:val="24"/>
      <w:szCs w:val="24"/>
      <w:lang w:val="en-US" w:eastAsia="zh-CN" w:bidi="ar-SA"/>
    </w:rPr>
  </w:style>
  <w:style w:type="paragraph" w:customStyle="1" w:styleId="83">
    <w:name w:val="首行缩进"/>
    <w:qFormat/>
    <w:uiPriority w:val="0"/>
    <w:pPr>
      <w:widowControl w:val="0"/>
      <w:adjustRightInd w:val="0"/>
      <w:spacing w:line="360" w:lineRule="auto"/>
      <w:ind w:firstLine="480" w:firstLineChars="200"/>
      <w:jc w:val="both"/>
    </w:pPr>
    <w:rPr>
      <w:rFonts w:ascii="宋体" w:hAnsi="Times New Roman" w:eastAsia="宋体" w:cs="Times New Roman"/>
      <w:kern w:val="2"/>
      <w:sz w:val="24"/>
      <w:lang w:val="en-US" w:eastAsia="zh-CN" w:bidi="ar-SA"/>
    </w:rPr>
  </w:style>
  <w:style w:type="paragraph" w:customStyle="1" w:styleId="84">
    <w:name w:val="一级条标题"/>
    <w:next w:val="85"/>
    <w:qFormat/>
    <w:uiPriority w:val="0"/>
    <w:pPr>
      <w:tabs>
        <w:tab w:val="left" w:pos="1260"/>
        <w:tab w:val="left" w:pos="1680"/>
      </w:tabs>
      <w:ind w:left="1680" w:hanging="420"/>
      <w:jc w:val="both"/>
      <w:outlineLvl w:val="2"/>
    </w:pPr>
    <w:rPr>
      <w:rFonts w:ascii="黑体" w:hAnsi="Times New Roman" w:eastAsia="黑体" w:cs="Times New Roman"/>
      <w:sz w:val="21"/>
      <w:lang w:val="en-US" w:eastAsia="zh-CN" w:bidi="ar-SA"/>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章标题"/>
    <w:next w:val="8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7">
    <w:name w:val="3级标题"/>
    <w:qFormat/>
    <w:uiPriority w:val="0"/>
    <w:pPr>
      <w:widowControl w:val="0"/>
      <w:spacing w:beforeLines="10" w:afterLines="10" w:line="360" w:lineRule="auto"/>
      <w:outlineLvl w:val="2"/>
    </w:pPr>
    <w:rPr>
      <w:rFonts w:ascii="Times New Roman" w:hAnsi="Times New Roman" w:eastAsia="仿宋" w:cs="Times New Roman"/>
      <w:b/>
      <w:kern w:val="2"/>
      <w:sz w:val="30"/>
      <w:szCs w:val="22"/>
      <w:lang w:val="en-US" w:eastAsia="zh-CN" w:bidi="ar-SA"/>
    </w:rPr>
  </w:style>
  <w:style w:type="paragraph" w:customStyle="1" w:styleId="88">
    <w:name w:val="2级标题"/>
    <w:qFormat/>
    <w:uiPriority w:val="0"/>
    <w:pPr>
      <w:widowControl w:val="0"/>
      <w:spacing w:beforeLines="10" w:afterLines="10" w:line="360" w:lineRule="auto"/>
      <w:outlineLvl w:val="1"/>
    </w:pPr>
    <w:rPr>
      <w:rFonts w:ascii="Times New Roman" w:hAnsi="Times New Roman" w:eastAsia="仿宋" w:cs="Times New Roman"/>
      <w:b/>
      <w:kern w:val="2"/>
      <w:sz w:val="30"/>
      <w:szCs w:val="22"/>
      <w:lang w:val="en-US" w:eastAsia="zh-CN" w:bidi="ar-SA"/>
    </w:rPr>
  </w:style>
  <w:style w:type="paragraph" w:customStyle="1" w:styleId="89">
    <w:name w:val="1级标题"/>
    <w:qFormat/>
    <w:uiPriority w:val="0"/>
    <w:pPr>
      <w:widowControl w:val="0"/>
      <w:spacing w:beforeLines="10" w:afterLines="10" w:line="360" w:lineRule="auto"/>
      <w:jc w:val="center"/>
      <w:outlineLvl w:val="0"/>
    </w:pPr>
    <w:rPr>
      <w:rFonts w:ascii="Calibri" w:hAnsi="Calibri" w:eastAsia="宋体" w:cs="Times New Roman"/>
      <w:b/>
      <w:kern w:val="2"/>
      <w:sz w:val="44"/>
      <w:szCs w:val="22"/>
      <w:lang w:val="en-US" w:eastAsia="zh-CN" w:bidi="ar-SA"/>
    </w:rPr>
  </w:style>
  <w:style w:type="paragraph" w:customStyle="1" w:styleId="90">
    <w:name w:val="此正文"/>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91">
    <w:name w:val="样式 首行缩进:  0 字符"/>
    <w:basedOn w:val="1"/>
    <w:qFormat/>
    <w:uiPriority w:val="0"/>
    <w:pPr>
      <w:widowControl w:val="0"/>
      <w:spacing w:line="360" w:lineRule="auto"/>
      <w:ind w:firstLine="200" w:firstLineChars="200"/>
      <w:jc w:val="both"/>
    </w:pPr>
    <w:rPr>
      <w:rFonts w:ascii="Verdana" w:hAnsi="Verdana"/>
      <w:kern w:val="2"/>
      <w:szCs w:val="20"/>
    </w:rPr>
  </w:style>
  <w:style w:type="character" w:customStyle="1" w:styleId="92">
    <w:name w:val="正文文本 字符"/>
    <w:basedOn w:val="27"/>
    <w:link w:val="13"/>
    <w:qFormat/>
    <w:uiPriority w:val="99"/>
    <w:rPr>
      <w:rFonts w:ascii="宋体" w:hAnsi="Arial" w:eastAsia="仿宋" w:cs="Arial"/>
      <w:snapToGrid w:val="0"/>
      <w:sz w:val="24"/>
      <w:szCs w:val="21"/>
      <w:lang w:val="zh-CN"/>
    </w:rPr>
  </w:style>
  <w:style w:type="paragraph" w:customStyle="1" w:styleId="93">
    <w:name w:val="msonormal"/>
    <w:basedOn w:val="1"/>
    <w:qFormat/>
    <w:uiPriority w:val="0"/>
    <w:pPr>
      <w:spacing w:before="100" w:beforeAutospacing="1" w:after="100" w:afterAutospacing="1"/>
    </w:pPr>
  </w:style>
  <w:style w:type="paragraph" w:customStyle="1" w:styleId="94">
    <w:name w:val="font5"/>
    <w:basedOn w:val="1"/>
    <w:qFormat/>
    <w:uiPriority w:val="0"/>
    <w:pPr>
      <w:spacing w:before="100" w:beforeAutospacing="1" w:after="100" w:afterAutospacing="1"/>
    </w:pPr>
    <w:rPr>
      <w:rFonts w:ascii="等线" w:hAnsi="等线" w:eastAsia="等线"/>
      <w:sz w:val="18"/>
      <w:szCs w:val="18"/>
    </w:rPr>
  </w:style>
  <w:style w:type="paragraph" w:customStyle="1" w:styleId="95">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96">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000000"/>
      <w:sz w:val="20"/>
      <w:szCs w:val="20"/>
    </w:rPr>
  </w:style>
  <w:style w:type="paragraph" w:customStyle="1" w:styleId="97">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98">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0"/>
      <w:szCs w:val="20"/>
    </w:rPr>
  </w:style>
  <w:style w:type="paragraph" w:customStyle="1" w:styleId="99">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00">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0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0"/>
      <w:szCs w:val="20"/>
    </w:rPr>
  </w:style>
  <w:style w:type="paragraph" w:customStyle="1" w:styleId="10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rPr>
  </w:style>
  <w:style w:type="paragraph" w:customStyle="1" w:styleId="10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10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07">
    <w:name w:val="xl7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08">
    <w:name w:val="xl76"/>
    <w:basedOn w:val="1"/>
    <w:qFormat/>
    <w:uiPriority w:val="0"/>
    <w:pPr>
      <w:pBdr>
        <w:top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09">
    <w:name w:val="xl77"/>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110">
    <w:name w:val="xl78"/>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1">
    <w:name w:val="xl79"/>
    <w:basedOn w:val="1"/>
    <w:qFormat/>
    <w:uiPriority w:val="0"/>
    <w:pPr>
      <w:pBdr>
        <w:top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2">
    <w:name w:val="xl8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113">
    <w:name w:val="xl81"/>
    <w:basedOn w:val="1"/>
    <w:qFormat/>
    <w:uiPriority w:val="0"/>
    <w:pPr>
      <w:pBdr>
        <w:top w:val="single" w:color="auto" w:sz="4" w:space="0"/>
        <w:left w:val="single" w:color="auto" w:sz="4" w:space="0"/>
        <w:bottom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4">
    <w:name w:val="xl82"/>
    <w:basedOn w:val="1"/>
    <w:qFormat/>
    <w:uiPriority w:val="0"/>
    <w:pPr>
      <w:pBdr>
        <w:top w:val="single" w:color="auto" w:sz="4" w:space="0"/>
        <w:bottom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5">
    <w:name w:val="xl83"/>
    <w:basedOn w:val="1"/>
    <w:qFormat/>
    <w:uiPriority w:val="0"/>
    <w:pPr>
      <w:pBdr>
        <w:top w:val="single" w:color="auto" w:sz="4" w:space="0"/>
        <w:bottom w:val="single" w:color="auto" w:sz="4" w:space="0"/>
        <w:right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character" w:customStyle="1" w:styleId="116">
    <w:name w:val="font51"/>
    <w:basedOn w:val="27"/>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77298-1B9C-4AA4-83E5-07C83CF8F6CC}">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25587</Words>
  <Characters>27262</Characters>
  <Lines>259</Lines>
  <Paragraphs>73</Paragraphs>
  <TotalTime>2</TotalTime>
  <ScaleCrop>false</ScaleCrop>
  <LinksUpToDate>false</LinksUpToDate>
  <CharactersWithSpaces>31116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2024-06-24T03:05:00Z</dcterms:created>
  <dc:creator>admin</dc:creator>
  <cp:lastModifiedBy>豐</cp:lastModifiedBy>
  <cp:lastPrinted>2022-06-10T09:02:00Z</cp:lastPrinted>
  <dcterms:modified xsi:type="dcterms:W3CDTF">2024-08-09T00:42:47Z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7C7FF7CB622B4EC489D80390DC7C3DAF</vt:lpwstr>
  </property>
</Properties>
</file>